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83A08" w:rsidP="00EA6C60" w14:paraId="290A8F4A" w14:textId="77777777">
      <w:pPr>
        <w:tabs>
          <w:tab w:val="center" w:pos="4680"/>
        </w:tabs>
        <w:jc w:val="center"/>
      </w:pPr>
    </w:p>
    <w:p w:rsidR="00C83A08" w:rsidRPr="00550F57" w:rsidP="00C83A08" w14:paraId="413DF988" w14:textId="77777777">
      <w:pPr>
        <w:spacing w:before="800"/>
        <w:jc w:val="center"/>
        <w:rPr>
          <w:b/>
          <w:color w:val="000000" w:themeColor="text1"/>
          <w:sz w:val="22"/>
          <w:szCs w:val="22"/>
        </w:rPr>
      </w:pPr>
      <w:r w:rsidRPr="00550F57">
        <w:rPr>
          <w:b/>
          <w:sz w:val="22"/>
          <w:szCs w:val="22"/>
        </w:rPr>
        <w:t>U</w:t>
      </w:r>
      <w:r w:rsidRPr="00550F57">
        <w:rPr>
          <w:b/>
          <w:color w:val="000000" w:themeColor="text1"/>
          <w:sz w:val="22"/>
          <w:szCs w:val="22"/>
        </w:rPr>
        <w:t>.S. DEPARTMENT OF HEALTH AND HUMAN SERVICES</w:t>
      </w:r>
    </w:p>
    <w:p w:rsidR="00C83A08" w:rsidRPr="00550F57" w:rsidP="00C83A08" w14:paraId="019AB14C" w14:textId="77777777">
      <w:pPr>
        <w:jc w:val="center"/>
        <w:rPr>
          <w:b/>
          <w:color w:val="000000" w:themeColor="text1"/>
          <w:sz w:val="22"/>
          <w:szCs w:val="22"/>
        </w:rPr>
      </w:pPr>
      <w:r w:rsidRPr="00550F57">
        <w:rPr>
          <w:b/>
          <w:color w:val="000000" w:themeColor="text1"/>
          <w:sz w:val="22"/>
          <w:szCs w:val="22"/>
        </w:rPr>
        <w:t>CENTERS FOR MEDICARE &amp; MEDICAID SERVICES</w:t>
      </w:r>
    </w:p>
    <w:p w:rsidR="00C83A08" w:rsidRPr="00550F57" w:rsidP="00C83A08" w14:paraId="269070C0" w14:textId="77777777">
      <w:pPr>
        <w:spacing w:before="800"/>
        <w:jc w:val="center"/>
        <w:rPr>
          <w:b/>
          <w:color w:val="000000" w:themeColor="text1"/>
          <w:sz w:val="22"/>
          <w:szCs w:val="22"/>
        </w:rPr>
      </w:pPr>
      <w:r w:rsidRPr="00550F57">
        <w:rPr>
          <w:b/>
          <w:color w:val="000000" w:themeColor="text1"/>
          <w:sz w:val="22"/>
          <w:szCs w:val="22"/>
        </w:rPr>
        <w:t>OFFICE OF MANAGEMENT AND BUDGET</w:t>
      </w:r>
    </w:p>
    <w:p w:rsidR="00C83A08" w:rsidRPr="00550F57" w:rsidP="00C83A08" w14:paraId="0E423BD0" w14:textId="77777777">
      <w:pPr>
        <w:jc w:val="center"/>
        <w:rPr>
          <w:b/>
          <w:color w:val="000000" w:themeColor="text1"/>
          <w:sz w:val="22"/>
          <w:szCs w:val="22"/>
        </w:rPr>
      </w:pPr>
      <w:r w:rsidRPr="00550F57">
        <w:rPr>
          <w:b/>
          <w:color w:val="000000" w:themeColor="text1"/>
          <w:sz w:val="22"/>
          <w:szCs w:val="22"/>
        </w:rPr>
        <w:t>PAPERWORK REDUCTION ACT</w:t>
      </w:r>
    </w:p>
    <w:p w:rsidR="00C83A08" w:rsidRPr="00550F57" w:rsidP="00C83A08" w14:paraId="1DFD532C" w14:textId="77777777">
      <w:pPr>
        <w:jc w:val="center"/>
        <w:rPr>
          <w:b/>
          <w:color w:val="000000" w:themeColor="text1"/>
          <w:sz w:val="22"/>
          <w:szCs w:val="22"/>
        </w:rPr>
      </w:pPr>
      <w:r w:rsidRPr="00550F57">
        <w:rPr>
          <w:b/>
          <w:color w:val="000000" w:themeColor="text1"/>
          <w:sz w:val="22"/>
          <w:szCs w:val="22"/>
        </w:rPr>
        <w:t xml:space="preserve">CLEARANCE PACKAGE </w:t>
      </w:r>
    </w:p>
    <w:p w:rsidR="00C83A08" w:rsidRPr="00550F57" w:rsidP="00C83A08" w14:paraId="1F3CD8AF" w14:textId="77777777">
      <w:pPr>
        <w:pStyle w:val="Title"/>
        <w:spacing w:before="1200" w:after="0"/>
        <w:rPr>
          <w:rFonts w:ascii="Times New Roman" w:hAnsi="Times New Roman" w:cs="Times New Roman"/>
          <w:i/>
          <w:color w:val="000000" w:themeColor="text1"/>
          <w:sz w:val="22"/>
          <w:szCs w:val="22"/>
          <w:u w:val="single"/>
        </w:rPr>
      </w:pPr>
      <w:bookmarkStart w:id="0" w:name="_Toc95988045"/>
      <w:bookmarkStart w:id="1" w:name="_Toc125742237"/>
      <w:r w:rsidRPr="00550F57">
        <w:rPr>
          <w:rFonts w:ascii="Times New Roman" w:hAnsi="Times New Roman" w:cs="Times New Roman"/>
          <w:i/>
          <w:color w:val="000000" w:themeColor="text1"/>
          <w:sz w:val="22"/>
          <w:szCs w:val="22"/>
          <w:u w:val="single"/>
        </w:rPr>
        <w:t>SUPPORTING STATEMENT-PART A</w:t>
      </w:r>
      <w:bookmarkEnd w:id="0"/>
      <w:bookmarkEnd w:id="1"/>
    </w:p>
    <w:p w:rsidR="00C83A08" w:rsidRPr="00550F57" w:rsidP="00C83A08" w14:paraId="7C517934" w14:textId="192FA59A">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before="240"/>
        <w:jc w:val="center"/>
        <w:rPr>
          <w:color w:val="000000" w:themeColor="text1"/>
          <w:sz w:val="22"/>
          <w:szCs w:val="22"/>
        </w:rPr>
      </w:pPr>
      <w:r>
        <w:rPr>
          <w:color w:val="000000" w:themeColor="text1"/>
          <w:sz w:val="22"/>
          <w:szCs w:val="22"/>
        </w:rPr>
        <w:t>REVISION</w:t>
      </w:r>
      <w:r w:rsidRPr="00550F57">
        <w:rPr>
          <w:color w:val="000000" w:themeColor="text1"/>
          <w:sz w:val="22"/>
          <w:szCs w:val="22"/>
        </w:rPr>
        <w:t xml:space="preserve"> </w:t>
      </w:r>
      <w:r w:rsidRPr="00550F57">
        <w:rPr>
          <w:color w:val="000000" w:themeColor="text1"/>
          <w:sz w:val="22"/>
          <w:szCs w:val="22"/>
        </w:rPr>
        <w:t>OF THE M</w:t>
      </w:r>
      <w:r w:rsidRPr="00550F57" w:rsidR="00D80D0A">
        <w:rPr>
          <w:color w:val="000000" w:themeColor="text1"/>
          <w:sz w:val="22"/>
          <w:szCs w:val="22"/>
        </w:rPr>
        <w:t>INIMUM DATA SET (M</w:t>
      </w:r>
      <w:r w:rsidRPr="00550F57">
        <w:rPr>
          <w:color w:val="000000" w:themeColor="text1"/>
          <w:sz w:val="22"/>
          <w:szCs w:val="22"/>
        </w:rPr>
        <w:t>DS</w:t>
      </w:r>
      <w:r w:rsidRPr="00550F57" w:rsidR="00D80D0A">
        <w:rPr>
          <w:color w:val="000000" w:themeColor="text1"/>
          <w:sz w:val="22"/>
          <w:szCs w:val="22"/>
        </w:rPr>
        <w:t>)</w:t>
      </w:r>
      <w:r w:rsidRPr="00550F57">
        <w:rPr>
          <w:color w:val="000000" w:themeColor="text1"/>
          <w:sz w:val="22"/>
          <w:szCs w:val="22"/>
        </w:rPr>
        <w:t xml:space="preserve"> 3.0 (v1.1</w:t>
      </w:r>
      <w:r>
        <w:rPr>
          <w:color w:val="000000" w:themeColor="text1"/>
          <w:sz w:val="22"/>
          <w:szCs w:val="22"/>
        </w:rPr>
        <w:t>8</w:t>
      </w:r>
      <w:r w:rsidRPr="00550F57">
        <w:rPr>
          <w:color w:val="000000" w:themeColor="text1"/>
          <w:sz w:val="22"/>
          <w:szCs w:val="22"/>
        </w:rPr>
        <w:t>.</w:t>
      </w:r>
      <w:r>
        <w:rPr>
          <w:color w:val="000000" w:themeColor="text1"/>
          <w:sz w:val="22"/>
          <w:szCs w:val="22"/>
        </w:rPr>
        <w:t>11</w:t>
      </w:r>
      <w:r w:rsidRPr="00550F57">
        <w:rPr>
          <w:color w:val="000000" w:themeColor="text1"/>
          <w:sz w:val="22"/>
          <w:szCs w:val="22"/>
        </w:rPr>
        <w:t>)</w:t>
      </w:r>
    </w:p>
    <w:p w:rsidR="00D80D0A" w:rsidRPr="00550F57" w:rsidP="00C83A08" w14:paraId="61B0A44D" w14:textId="7730562B">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550F57">
        <w:rPr>
          <w:color w:val="000000" w:themeColor="text1"/>
          <w:sz w:val="22"/>
          <w:szCs w:val="22"/>
        </w:rPr>
        <w:t>NURSING HOME AND SWING BED PROSPECTIVE PAYMENT SYSTEM (PPS)</w:t>
      </w:r>
    </w:p>
    <w:p w:rsidR="00C83A08" w:rsidRPr="00550F57" w:rsidP="00C83A08" w14:paraId="5CA3B29B" w14:textId="41FB531F">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550F57">
        <w:rPr>
          <w:color w:val="000000" w:themeColor="text1"/>
          <w:sz w:val="22"/>
          <w:szCs w:val="22"/>
        </w:rPr>
        <w:t xml:space="preserve">FOR THE COLLECTION OF DATA </w:t>
      </w:r>
    </w:p>
    <w:p w:rsidR="00C83A08" w:rsidRPr="00550F57" w:rsidP="00C83A08" w14:paraId="0F07C1BF" w14:textId="48E0CDF9">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550F57">
        <w:rPr>
          <w:color w:val="000000" w:themeColor="text1"/>
          <w:sz w:val="22"/>
          <w:szCs w:val="22"/>
        </w:rPr>
        <w:t xml:space="preserve">PERTAINING TO </w:t>
      </w:r>
      <w:r w:rsidRPr="00550F57" w:rsidR="00390250">
        <w:rPr>
          <w:color w:val="000000" w:themeColor="text1"/>
          <w:sz w:val="22"/>
          <w:szCs w:val="22"/>
        </w:rPr>
        <w:t>THE</w:t>
      </w:r>
    </w:p>
    <w:p w:rsidR="00C83A08" w:rsidRPr="00550F57" w:rsidP="00C83A08" w14:paraId="37A08345" w14:textId="5B36D14F">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550F57">
        <w:rPr>
          <w:color w:val="000000" w:themeColor="text1"/>
          <w:sz w:val="22"/>
          <w:szCs w:val="22"/>
        </w:rPr>
        <w:t xml:space="preserve">PATIENT DRIVEN PAYMENT MODEL (PDPM) &amp; THE SKILLED NURSING FACILITY QUALITY REPORTING PROGRAM (QRP) </w:t>
      </w:r>
    </w:p>
    <w:p w:rsidR="00C83A08" w:rsidRPr="00550F57" w14:paraId="05552021" w14:textId="77777777"/>
    <w:p w:rsidR="00C83A08" w:rsidRPr="00550F57" w14:paraId="1DE985D2" w14:textId="77777777"/>
    <w:p w:rsidR="00C83A08" w:rsidRPr="00550F57" w14:paraId="588F15DB" w14:textId="77777777"/>
    <w:p w:rsidR="00C83A08" w:rsidRPr="00550F57" w14:paraId="345B38C5" w14:textId="625B0301">
      <w:r w:rsidRPr="00550F57">
        <w:br w:type="page"/>
      </w:r>
    </w:p>
    <w:p w:rsidR="00043183" w:rsidRPr="00550F57" w:rsidP="00043183" w14:paraId="4C22DB1C" w14:textId="77777777">
      <w:pPr>
        <w:jc w:val="center"/>
        <w:rPr>
          <w:i/>
          <w:color w:val="000000" w:themeColor="text1"/>
          <w:sz w:val="22"/>
          <w:szCs w:val="22"/>
          <w:u w:val="single"/>
        </w:rPr>
      </w:pPr>
      <w:r w:rsidRPr="00550F57">
        <w:rPr>
          <w:b/>
          <w:i/>
          <w:color w:val="000000" w:themeColor="text1"/>
          <w:sz w:val="22"/>
          <w:szCs w:val="22"/>
          <w:u w:val="single"/>
        </w:rPr>
        <w:t>SUPPORTING STATEMENT-PART A</w:t>
      </w:r>
    </w:p>
    <w:p w:rsidR="00043183" w:rsidRPr="00550F57" w:rsidP="00043183" w14:paraId="703C9803" w14:textId="49917C90">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550F57">
        <w:rPr>
          <w:color w:val="000000" w:themeColor="text1"/>
          <w:sz w:val="22"/>
          <w:szCs w:val="22"/>
        </w:rPr>
        <w:t>MDS 3.0</w:t>
      </w:r>
    </w:p>
    <w:p w:rsidR="00043183" w:rsidRPr="00550F57" w:rsidP="00043183" w14:paraId="5FA098EF" w14:textId="77777777">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550F57">
        <w:rPr>
          <w:color w:val="000000" w:themeColor="text1"/>
          <w:sz w:val="22"/>
          <w:szCs w:val="22"/>
        </w:rPr>
        <w:t xml:space="preserve">FOR THE COLLECTION OF DATA PERTAINING TO </w:t>
      </w:r>
    </w:p>
    <w:p w:rsidR="00043183" w:rsidRPr="00550F57" w:rsidP="00043183" w14:paraId="2F17EDC1" w14:textId="7AECAC8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color w:val="000000" w:themeColor="text1"/>
          <w:sz w:val="22"/>
          <w:szCs w:val="22"/>
        </w:rPr>
      </w:pPr>
      <w:r w:rsidRPr="00550F57">
        <w:rPr>
          <w:color w:val="000000" w:themeColor="text1"/>
          <w:sz w:val="22"/>
          <w:szCs w:val="22"/>
        </w:rPr>
        <w:t xml:space="preserve">THE PDPM AND SNF QRP </w:t>
      </w:r>
    </w:p>
    <w:p w:rsidR="00043183" w:rsidRPr="00550F57" w:rsidP="00043183" w14:paraId="4408D24A" w14:textId="77777777">
      <w:pPr>
        <w:pStyle w:val="TOC0"/>
        <w:rPr>
          <w:i/>
          <w:color w:val="000000" w:themeColor="text1"/>
          <w:sz w:val="22"/>
          <w:szCs w:val="22"/>
          <w:u w:val="single"/>
        </w:rPr>
      </w:pPr>
      <w:r w:rsidRPr="00550F57">
        <w:rPr>
          <w:i/>
          <w:color w:val="000000" w:themeColor="text1"/>
          <w:sz w:val="22"/>
          <w:szCs w:val="22"/>
          <w:u w:val="single"/>
        </w:rPr>
        <w:t>TABLE OF CONTENTS</w:t>
      </w:r>
    </w:p>
    <w:sdt>
      <w:sdtPr>
        <w:id w:val="-1938367460"/>
        <w:docPartObj>
          <w:docPartGallery w:val="Table of Contents"/>
          <w:docPartUnique/>
        </w:docPartObj>
      </w:sdtPr>
      <w:sdtEndPr>
        <w:rPr>
          <w:b/>
          <w:bCs/>
          <w:noProof/>
        </w:rPr>
      </w:sdtEndPr>
      <w:sdtContent>
        <w:p w:rsidR="003B258D" w14:paraId="2A09D4AE" w14:textId="7C058CDA">
          <w:pPr>
            <w:pStyle w:val="TOC1"/>
            <w:tabs>
              <w:tab w:val="right" w:leader="dot" w:pos="9350"/>
            </w:tabs>
            <w:rPr>
              <w:rFonts w:asciiTheme="minorHAnsi" w:eastAsiaTheme="minorEastAsia" w:hAnsiTheme="minorHAnsi" w:cstheme="minorBidi"/>
              <w:noProof/>
              <w:sz w:val="22"/>
              <w:szCs w:val="22"/>
            </w:rPr>
          </w:pPr>
          <w:r w:rsidRPr="00550F57">
            <w:fldChar w:fldCharType="begin"/>
          </w:r>
          <w:r w:rsidRPr="00550F57">
            <w:instrText xml:space="preserve"> TOC \o "1-3" \h \z \u </w:instrText>
          </w:r>
          <w:r w:rsidRPr="00550F57">
            <w:fldChar w:fldCharType="separate"/>
          </w:r>
          <w:hyperlink w:anchor="_Toc125742237" w:history="1">
            <w:r w:rsidRPr="00EC26FF">
              <w:rPr>
                <w:rStyle w:val="Hyperlink"/>
                <w:i/>
                <w:noProof/>
              </w:rPr>
              <w:t>SUPPORTING STATEMENT-PART A</w:t>
            </w:r>
            <w:r>
              <w:rPr>
                <w:noProof/>
                <w:webHidden/>
              </w:rPr>
              <w:tab/>
            </w:r>
            <w:r>
              <w:rPr>
                <w:noProof/>
                <w:webHidden/>
              </w:rPr>
              <w:fldChar w:fldCharType="begin"/>
            </w:r>
            <w:r>
              <w:rPr>
                <w:noProof/>
                <w:webHidden/>
              </w:rPr>
              <w:instrText xml:space="preserve"> PAGEREF _Toc125742237 \h </w:instrText>
            </w:r>
            <w:r>
              <w:rPr>
                <w:noProof/>
                <w:webHidden/>
              </w:rPr>
              <w:fldChar w:fldCharType="separate"/>
            </w:r>
            <w:r>
              <w:rPr>
                <w:noProof/>
                <w:webHidden/>
              </w:rPr>
              <w:t>1</w:t>
            </w:r>
            <w:r>
              <w:rPr>
                <w:noProof/>
                <w:webHidden/>
              </w:rPr>
              <w:fldChar w:fldCharType="end"/>
            </w:r>
          </w:hyperlink>
        </w:p>
        <w:p w:rsidR="003B258D" w14:paraId="5630E450" w14:textId="195C3A5E">
          <w:pPr>
            <w:pStyle w:val="TOC1"/>
            <w:tabs>
              <w:tab w:val="left" w:pos="720"/>
              <w:tab w:val="right" w:leader="dot" w:pos="9350"/>
            </w:tabs>
            <w:rPr>
              <w:rFonts w:asciiTheme="minorHAnsi" w:eastAsiaTheme="minorEastAsia" w:hAnsiTheme="minorHAnsi" w:cstheme="minorBidi"/>
              <w:noProof/>
              <w:sz w:val="22"/>
              <w:szCs w:val="22"/>
            </w:rPr>
          </w:pPr>
          <w:hyperlink w:anchor="_Toc125742238" w:history="1">
            <w:r w:rsidRPr="00EC26FF">
              <w:rPr>
                <w:rStyle w:val="Hyperlink"/>
                <w:noProof/>
              </w:rPr>
              <w:t>A.</w:t>
            </w:r>
            <w:r>
              <w:rPr>
                <w:rFonts w:asciiTheme="minorHAnsi" w:eastAsiaTheme="minorEastAsia" w:hAnsiTheme="minorHAnsi" w:cstheme="minorBidi"/>
                <w:noProof/>
                <w:sz w:val="22"/>
                <w:szCs w:val="22"/>
              </w:rPr>
              <w:tab/>
            </w:r>
            <w:r w:rsidRPr="00EC26FF">
              <w:rPr>
                <w:rStyle w:val="Hyperlink"/>
                <w:noProof/>
              </w:rPr>
              <w:t>Background</w:t>
            </w:r>
            <w:r>
              <w:rPr>
                <w:noProof/>
                <w:webHidden/>
              </w:rPr>
              <w:tab/>
            </w:r>
            <w:r>
              <w:rPr>
                <w:noProof/>
                <w:webHidden/>
              </w:rPr>
              <w:fldChar w:fldCharType="begin"/>
            </w:r>
            <w:r>
              <w:rPr>
                <w:noProof/>
                <w:webHidden/>
              </w:rPr>
              <w:instrText xml:space="preserve"> PAGEREF _Toc125742238 \h </w:instrText>
            </w:r>
            <w:r>
              <w:rPr>
                <w:noProof/>
                <w:webHidden/>
              </w:rPr>
              <w:fldChar w:fldCharType="separate"/>
            </w:r>
            <w:r>
              <w:rPr>
                <w:noProof/>
                <w:webHidden/>
              </w:rPr>
              <w:t>4</w:t>
            </w:r>
            <w:r>
              <w:rPr>
                <w:noProof/>
                <w:webHidden/>
              </w:rPr>
              <w:fldChar w:fldCharType="end"/>
            </w:r>
          </w:hyperlink>
        </w:p>
        <w:p w:rsidR="003B258D" w14:paraId="2CB3A762" w14:textId="54876DE0">
          <w:pPr>
            <w:pStyle w:val="TOC2"/>
            <w:rPr>
              <w:rFonts w:asciiTheme="minorHAnsi" w:eastAsiaTheme="minorEastAsia" w:hAnsiTheme="minorHAnsi" w:cstheme="minorBidi"/>
              <w:noProof/>
              <w:sz w:val="22"/>
              <w:szCs w:val="22"/>
            </w:rPr>
          </w:pPr>
          <w:hyperlink w:anchor="_Toc125742239" w:history="1">
            <w:r w:rsidRPr="00EC26FF">
              <w:rPr>
                <w:rStyle w:val="Hyperlink"/>
                <w:noProof/>
              </w:rPr>
              <w:t>1. Background of the MDS in Nursing Homes (NH)</w:t>
            </w:r>
            <w:r>
              <w:rPr>
                <w:noProof/>
                <w:webHidden/>
              </w:rPr>
              <w:tab/>
            </w:r>
            <w:r>
              <w:rPr>
                <w:noProof/>
                <w:webHidden/>
              </w:rPr>
              <w:fldChar w:fldCharType="begin"/>
            </w:r>
            <w:r>
              <w:rPr>
                <w:noProof/>
                <w:webHidden/>
              </w:rPr>
              <w:instrText xml:space="preserve"> PAGEREF _Toc125742239 \h </w:instrText>
            </w:r>
            <w:r>
              <w:rPr>
                <w:noProof/>
                <w:webHidden/>
              </w:rPr>
              <w:fldChar w:fldCharType="separate"/>
            </w:r>
            <w:r>
              <w:rPr>
                <w:noProof/>
                <w:webHidden/>
              </w:rPr>
              <w:t>4</w:t>
            </w:r>
            <w:r>
              <w:rPr>
                <w:noProof/>
                <w:webHidden/>
              </w:rPr>
              <w:fldChar w:fldCharType="end"/>
            </w:r>
          </w:hyperlink>
        </w:p>
        <w:p w:rsidR="003B258D" w14:paraId="032917AC" w14:textId="41A2F50A">
          <w:pPr>
            <w:pStyle w:val="TOC2"/>
            <w:rPr>
              <w:rFonts w:asciiTheme="minorHAnsi" w:eastAsiaTheme="minorEastAsia" w:hAnsiTheme="minorHAnsi" w:cstheme="minorBidi"/>
              <w:noProof/>
              <w:sz w:val="22"/>
              <w:szCs w:val="22"/>
            </w:rPr>
          </w:pPr>
          <w:hyperlink w:anchor="_Toc125742240" w:history="1">
            <w:r w:rsidRPr="00EC26FF">
              <w:rPr>
                <w:rStyle w:val="Hyperlink"/>
                <w:noProof/>
              </w:rPr>
              <w:t>2. Background of this PRA Package</w:t>
            </w:r>
            <w:r>
              <w:rPr>
                <w:noProof/>
                <w:webHidden/>
              </w:rPr>
              <w:tab/>
            </w:r>
            <w:r>
              <w:rPr>
                <w:noProof/>
                <w:webHidden/>
              </w:rPr>
              <w:fldChar w:fldCharType="begin"/>
            </w:r>
            <w:r>
              <w:rPr>
                <w:noProof/>
                <w:webHidden/>
              </w:rPr>
              <w:instrText xml:space="preserve"> PAGEREF _Toc125742240 \h </w:instrText>
            </w:r>
            <w:r>
              <w:rPr>
                <w:noProof/>
                <w:webHidden/>
              </w:rPr>
              <w:fldChar w:fldCharType="separate"/>
            </w:r>
            <w:r>
              <w:rPr>
                <w:noProof/>
                <w:webHidden/>
              </w:rPr>
              <w:t>5</w:t>
            </w:r>
            <w:r>
              <w:rPr>
                <w:noProof/>
                <w:webHidden/>
              </w:rPr>
              <w:fldChar w:fldCharType="end"/>
            </w:r>
          </w:hyperlink>
        </w:p>
        <w:p w:rsidR="003B258D" w14:paraId="5A7DD662" w14:textId="0EAECE46">
          <w:pPr>
            <w:pStyle w:val="TOC1"/>
            <w:tabs>
              <w:tab w:val="left" w:pos="720"/>
              <w:tab w:val="right" w:leader="dot" w:pos="9350"/>
            </w:tabs>
            <w:rPr>
              <w:rFonts w:asciiTheme="minorHAnsi" w:eastAsiaTheme="minorEastAsia" w:hAnsiTheme="minorHAnsi" w:cstheme="minorBidi"/>
              <w:noProof/>
              <w:sz w:val="22"/>
              <w:szCs w:val="22"/>
            </w:rPr>
          </w:pPr>
          <w:hyperlink w:anchor="_Toc125742241" w:history="1">
            <w:r w:rsidRPr="00EC26FF">
              <w:rPr>
                <w:rStyle w:val="Hyperlink"/>
                <w:noProof/>
              </w:rPr>
              <w:t>B.</w:t>
            </w:r>
            <w:r>
              <w:rPr>
                <w:rFonts w:asciiTheme="minorHAnsi" w:eastAsiaTheme="minorEastAsia" w:hAnsiTheme="minorHAnsi" w:cstheme="minorBidi"/>
                <w:noProof/>
                <w:sz w:val="22"/>
                <w:szCs w:val="22"/>
              </w:rPr>
              <w:tab/>
            </w:r>
            <w:r w:rsidRPr="00EC26FF">
              <w:rPr>
                <w:rStyle w:val="Hyperlink"/>
                <w:noProof/>
              </w:rPr>
              <w:t>Justification</w:t>
            </w:r>
            <w:r>
              <w:rPr>
                <w:noProof/>
                <w:webHidden/>
              </w:rPr>
              <w:tab/>
            </w:r>
            <w:r>
              <w:rPr>
                <w:noProof/>
                <w:webHidden/>
              </w:rPr>
              <w:fldChar w:fldCharType="begin"/>
            </w:r>
            <w:r>
              <w:rPr>
                <w:noProof/>
                <w:webHidden/>
              </w:rPr>
              <w:instrText xml:space="preserve"> PAGEREF _Toc125742241 \h </w:instrText>
            </w:r>
            <w:r>
              <w:rPr>
                <w:noProof/>
                <w:webHidden/>
              </w:rPr>
              <w:fldChar w:fldCharType="separate"/>
            </w:r>
            <w:r>
              <w:rPr>
                <w:noProof/>
                <w:webHidden/>
              </w:rPr>
              <w:t>5</w:t>
            </w:r>
            <w:r>
              <w:rPr>
                <w:noProof/>
                <w:webHidden/>
              </w:rPr>
              <w:fldChar w:fldCharType="end"/>
            </w:r>
          </w:hyperlink>
        </w:p>
        <w:p w:rsidR="003B258D" w14:paraId="28965096" w14:textId="08718EE9">
          <w:pPr>
            <w:pStyle w:val="TOC2"/>
            <w:rPr>
              <w:rFonts w:asciiTheme="minorHAnsi" w:eastAsiaTheme="minorEastAsia" w:hAnsiTheme="minorHAnsi" w:cstheme="minorBidi"/>
              <w:noProof/>
              <w:sz w:val="22"/>
              <w:szCs w:val="22"/>
            </w:rPr>
          </w:pPr>
          <w:hyperlink w:anchor="_Toc125742242" w:history="1">
            <w:r w:rsidRPr="00EC26FF">
              <w:rPr>
                <w:rStyle w:val="Hyperlink"/>
                <w:noProof/>
              </w:rPr>
              <w:t>1.  Need and Legal Basis</w:t>
            </w:r>
            <w:r>
              <w:rPr>
                <w:noProof/>
                <w:webHidden/>
              </w:rPr>
              <w:tab/>
            </w:r>
            <w:r>
              <w:rPr>
                <w:noProof/>
                <w:webHidden/>
              </w:rPr>
              <w:fldChar w:fldCharType="begin"/>
            </w:r>
            <w:r>
              <w:rPr>
                <w:noProof/>
                <w:webHidden/>
              </w:rPr>
              <w:instrText xml:space="preserve"> PAGEREF _Toc125742242 \h </w:instrText>
            </w:r>
            <w:r>
              <w:rPr>
                <w:noProof/>
                <w:webHidden/>
              </w:rPr>
              <w:fldChar w:fldCharType="separate"/>
            </w:r>
            <w:r>
              <w:rPr>
                <w:noProof/>
                <w:webHidden/>
              </w:rPr>
              <w:t>5</w:t>
            </w:r>
            <w:r>
              <w:rPr>
                <w:noProof/>
                <w:webHidden/>
              </w:rPr>
              <w:fldChar w:fldCharType="end"/>
            </w:r>
          </w:hyperlink>
        </w:p>
        <w:p w:rsidR="003B258D" w14:paraId="299E52F3" w14:textId="6EBC9E12">
          <w:pPr>
            <w:pStyle w:val="TOC2"/>
            <w:rPr>
              <w:rFonts w:asciiTheme="minorHAnsi" w:eastAsiaTheme="minorEastAsia" w:hAnsiTheme="minorHAnsi" w:cstheme="minorBidi"/>
              <w:noProof/>
              <w:sz w:val="22"/>
              <w:szCs w:val="22"/>
            </w:rPr>
          </w:pPr>
          <w:hyperlink w:anchor="_Toc125742243" w:history="1">
            <w:r w:rsidRPr="00EC26FF">
              <w:rPr>
                <w:rStyle w:val="Hyperlink"/>
                <w:noProof/>
              </w:rPr>
              <w:t>2.  Information Users</w:t>
            </w:r>
            <w:r>
              <w:rPr>
                <w:noProof/>
                <w:webHidden/>
              </w:rPr>
              <w:tab/>
            </w:r>
            <w:r>
              <w:rPr>
                <w:noProof/>
                <w:webHidden/>
              </w:rPr>
              <w:fldChar w:fldCharType="begin"/>
            </w:r>
            <w:r>
              <w:rPr>
                <w:noProof/>
                <w:webHidden/>
              </w:rPr>
              <w:instrText xml:space="preserve"> PAGEREF _Toc125742243 \h </w:instrText>
            </w:r>
            <w:r>
              <w:rPr>
                <w:noProof/>
                <w:webHidden/>
              </w:rPr>
              <w:fldChar w:fldCharType="separate"/>
            </w:r>
            <w:r>
              <w:rPr>
                <w:noProof/>
                <w:webHidden/>
              </w:rPr>
              <w:t>6</w:t>
            </w:r>
            <w:r>
              <w:rPr>
                <w:noProof/>
                <w:webHidden/>
              </w:rPr>
              <w:fldChar w:fldCharType="end"/>
            </w:r>
          </w:hyperlink>
        </w:p>
        <w:p w:rsidR="003B258D" w14:paraId="39E1008E" w14:textId="52FB9905">
          <w:pPr>
            <w:pStyle w:val="TOC2"/>
            <w:rPr>
              <w:rFonts w:asciiTheme="minorHAnsi" w:eastAsiaTheme="minorEastAsia" w:hAnsiTheme="minorHAnsi" w:cstheme="minorBidi"/>
              <w:noProof/>
              <w:sz w:val="22"/>
              <w:szCs w:val="22"/>
            </w:rPr>
          </w:pPr>
          <w:hyperlink w:anchor="_Toc125742244" w:history="1">
            <w:r w:rsidRPr="00EC26FF">
              <w:rPr>
                <w:rStyle w:val="Hyperlink"/>
                <w:noProof/>
              </w:rPr>
              <w:t>3.  Improved Information Technology</w:t>
            </w:r>
            <w:r>
              <w:rPr>
                <w:noProof/>
                <w:webHidden/>
              </w:rPr>
              <w:tab/>
            </w:r>
            <w:r>
              <w:rPr>
                <w:noProof/>
                <w:webHidden/>
              </w:rPr>
              <w:fldChar w:fldCharType="begin"/>
            </w:r>
            <w:r>
              <w:rPr>
                <w:noProof/>
                <w:webHidden/>
              </w:rPr>
              <w:instrText xml:space="preserve"> PAGEREF _Toc125742244 \h </w:instrText>
            </w:r>
            <w:r>
              <w:rPr>
                <w:noProof/>
                <w:webHidden/>
              </w:rPr>
              <w:fldChar w:fldCharType="separate"/>
            </w:r>
            <w:r>
              <w:rPr>
                <w:noProof/>
                <w:webHidden/>
              </w:rPr>
              <w:t>6</w:t>
            </w:r>
            <w:r>
              <w:rPr>
                <w:noProof/>
                <w:webHidden/>
              </w:rPr>
              <w:fldChar w:fldCharType="end"/>
            </w:r>
          </w:hyperlink>
        </w:p>
        <w:p w:rsidR="003B258D" w14:paraId="07DF1DFB" w14:textId="5B280750">
          <w:pPr>
            <w:pStyle w:val="TOC2"/>
            <w:rPr>
              <w:rFonts w:asciiTheme="minorHAnsi" w:eastAsiaTheme="minorEastAsia" w:hAnsiTheme="minorHAnsi" w:cstheme="minorBidi"/>
              <w:noProof/>
              <w:sz w:val="22"/>
              <w:szCs w:val="22"/>
            </w:rPr>
          </w:pPr>
          <w:hyperlink w:anchor="_Toc125742245" w:history="1">
            <w:r w:rsidRPr="00EC26FF">
              <w:rPr>
                <w:rStyle w:val="Hyperlink"/>
                <w:noProof/>
              </w:rPr>
              <w:t>4.  Duplication of Similar Information</w:t>
            </w:r>
            <w:r>
              <w:rPr>
                <w:noProof/>
                <w:webHidden/>
              </w:rPr>
              <w:tab/>
            </w:r>
            <w:r>
              <w:rPr>
                <w:noProof/>
                <w:webHidden/>
              </w:rPr>
              <w:fldChar w:fldCharType="begin"/>
            </w:r>
            <w:r>
              <w:rPr>
                <w:noProof/>
                <w:webHidden/>
              </w:rPr>
              <w:instrText xml:space="preserve"> PAGEREF _Toc125742245 \h </w:instrText>
            </w:r>
            <w:r>
              <w:rPr>
                <w:noProof/>
                <w:webHidden/>
              </w:rPr>
              <w:fldChar w:fldCharType="separate"/>
            </w:r>
            <w:r>
              <w:rPr>
                <w:noProof/>
                <w:webHidden/>
              </w:rPr>
              <w:t>6</w:t>
            </w:r>
            <w:r>
              <w:rPr>
                <w:noProof/>
                <w:webHidden/>
              </w:rPr>
              <w:fldChar w:fldCharType="end"/>
            </w:r>
          </w:hyperlink>
        </w:p>
        <w:p w:rsidR="003B258D" w14:paraId="158DEA39" w14:textId="11322597">
          <w:pPr>
            <w:pStyle w:val="TOC2"/>
            <w:rPr>
              <w:rFonts w:asciiTheme="minorHAnsi" w:eastAsiaTheme="minorEastAsia" w:hAnsiTheme="minorHAnsi" w:cstheme="minorBidi"/>
              <w:noProof/>
              <w:sz w:val="22"/>
              <w:szCs w:val="22"/>
            </w:rPr>
          </w:pPr>
          <w:hyperlink w:anchor="_Toc125742246" w:history="1">
            <w:r w:rsidRPr="00EC26FF">
              <w:rPr>
                <w:rStyle w:val="Hyperlink"/>
                <w:noProof/>
              </w:rPr>
              <w:t>5.  Small Entities</w:t>
            </w:r>
            <w:r>
              <w:rPr>
                <w:noProof/>
                <w:webHidden/>
              </w:rPr>
              <w:tab/>
            </w:r>
            <w:r>
              <w:rPr>
                <w:noProof/>
                <w:webHidden/>
              </w:rPr>
              <w:fldChar w:fldCharType="begin"/>
            </w:r>
            <w:r>
              <w:rPr>
                <w:noProof/>
                <w:webHidden/>
              </w:rPr>
              <w:instrText xml:space="preserve"> PAGEREF _Toc125742246 \h </w:instrText>
            </w:r>
            <w:r>
              <w:rPr>
                <w:noProof/>
                <w:webHidden/>
              </w:rPr>
              <w:fldChar w:fldCharType="separate"/>
            </w:r>
            <w:r>
              <w:rPr>
                <w:noProof/>
                <w:webHidden/>
              </w:rPr>
              <w:t>6</w:t>
            </w:r>
            <w:r>
              <w:rPr>
                <w:noProof/>
                <w:webHidden/>
              </w:rPr>
              <w:fldChar w:fldCharType="end"/>
            </w:r>
          </w:hyperlink>
        </w:p>
        <w:p w:rsidR="003B258D" w14:paraId="005F3D7D" w14:textId="3477A054">
          <w:pPr>
            <w:pStyle w:val="TOC2"/>
            <w:rPr>
              <w:rFonts w:asciiTheme="minorHAnsi" w:eastAsiaTheme="minorEastAsia" w:hAnsiTheme="minorHAnsi" w:cstheme="minorBidi"/>
              <w:noProof/>
              <w:sz w:val="22"/>
              <w:szCs w:val="22"/>
            </w:rPr>
          </w:pPr>
          <w:hyperlink w:anchor="_Toc125742247" w:history="1">
            <w:r w:rsidRPr="00EC26FF">
              <w:rPr>
                <w:rStyle w:val="Hyperlink"/>
                <w:noProof/>
              </w:rPr>
              <w:t>6.  Collection Frequency</w:t>
            </w:r>
            <w:r>
              <w:rPr>
                <w:noProof/>
                <w:webHidden/>
              </w:rPr>
              <w:tab/>
            </w:r>
            <w:r>
              <w:rPr>
                <w:noProof/>
                <w:webHidden/>
              </w:rPr>
              <w:fldChar w:fldCharType="begin"/>
            </w:r>
            <w:r>
              <w:rPr>
                <w:noProof/>
                <w:webHidden/>
              </w:rPr>
              <w:instrText xml:space="preserve"> PAGEREF _Toc125742247 \h </w:instrText>
            </w:r>
            <w:r>
              <w:rPr>
                <w:noProof/>
                <w:webHidden/>
              </w:rPr>
              <w:fldChar w:fldCharType="separate"/>
            </w:r>
            <w:r>
              <w:rPr>
                <w:noProof/>
                <w:webHidden/>
              </w:rPr>
              <w:t>7</w:t>
            </w:r>
            <w:r>
              <w:rPr>
                <w:noProof/>
                <w:webHidden/>
              </w:rPr>
              <w:fldChar w:fldCharType="end"/>
            </w:r>
          </w:hyperlink>
        </w:p>
        <w:p w:rsidR="003B258D" w14:paraId="60C6A166" w14:textId="6B95B5FC">
          <w:pPr>
            <w:pStyle w:val="TOC2"/>
            <w:rPr>
              <w:rFonts w:asciiTheme="minorHAnsi" w:eastAsiaTheme="minorEastAsia" w:hAnsiTheme="minorHAnsi" w:cstheme="minorBidi"/>
              <w:noProof/>
              <w:sz w:val="22"/>
              <w:szCs w:val="22"/>
            </w:rPr>
          </w:pPr>
          <w:hyperlink w:anchor="_Toc125742248" w:history="1">
            <w:r w:rsidRPr="00EC26FF">
              <w:rPr>
                <w:rStyle w:val="Hyperlink"/>
                <w:noProof/>
              </w:rPr>
              <w:t>7.  Special Circumstances</w:t>
            </w:r>
            <w:r>
              <w:rPr>
                <w:noProof/>
                <w:webHidden/>
              </w:rPr>
              <w:tab/>
            </w:r>
            <w:r>
              <w:rPr>
                <w:noProof/>
                <w:webHidden/>
              </w:rPr>
              <w:fldChar w:fldCharType="begin"/>
            </w:r>
            <w:r>
              <w:rPr>
                <w:noProof/>
                <w:webHidden/>
              </w:rPr>
              <w:instrText xml:space="preserve"> PAGEREF _Toc125742248 \h </w:instrText>
            </w:r>
            <w:r>
              <w:rPr>
                <w:noProof/>
                <w:webHidden/>
              </w:rPr>
              <w:fldChar w:fldCharType="separate"/>
            </w:r>
            <w:r>
              <w:rPr>
                <w:noProof/>
                <w:webHidden/>
              </w:rPr>
              <w:t>7</w:t>
            </w:r>
            <w:r>
              <w:rPr>
                <w:noProof/>
                <w:webHidden/>
              </w:rPr>
              <w:fldChar w:fldCharType="end"/>
            </w:r>
          </w:hyperlink>
        </w:p>
        <w:p w:rsidR="003B258D" w14:paraId="3F2AC0B7" w14:textId="2E958BDE">
          <w:pPr>
            <w:pStyle w:val="TOC2"/>
            <w:rPr>
              <w:rFonts w:asciiTheme="minorHAnsi" w:eastAsiaTheme="minorEastAsia" w:hAnsiTheme="minorHAnsi" w:cstheme="minorBidi"/>
              <w:noProof/>
              <w:sz w:val="22"/>
              <w:szCs w:val="22"/>
            </w:rPr>
          </w:pPr>
          <w:hyperlink w:anchor="_Toc125742249" w:history="1">
            <w:r w:rsidRPr="00EC26FF">
              <w:rPr>
                <w:rStyle w:val="Hyperlink"/>
                <w:noProof/>
              </w:rPr>
              <w:t>8.  Federal Register Notice/Outside Consultation</w:t>
            </w:r>
            <w:r>
              <w:rPr>
                <w:noProof/>
                <w:webHidden/>
              </w:rPr>
              <w:tab/>
            </w:r>
            <w:r>
              <w:rPr>
                <w:noProof/>
                <w:webHidden/>
              </w:rPr>
              <w:fldChar w:fldCharType="begin"/>
            </w:r>
            <w:r>
              <w:rPr>
                <w:noProof/>
                <w:webHidden/>
              </w:rPr>
              <w:instrText xml:space="preserve"> PAGEREF _Toc125742249 \h </w:instrText>
            </w:r>
            <w:r>
              <w:rPr>
                <w:noProof/>
                <w:webHidden/>
              </w:rPr>
              <w:fldChar w:fldCharType="separate"/>
            </w:r>
            <w:r>
              <w:rPr>
                <w:noProof/>
                <w:webHidden/>
              </w:rPr>
              <w:t>7</w:t>
            </w:r>
            <w:r>
              <w:rPr>
                <w:noProof/>
                <w:webHidden/>
              </w:rPr>
              <w:fldChar w:fldCharType="end"/>
            </w:r>
          </w:hyperlink>
        </w:p>
        <w:p w:rsidR="003B258D" w14:paraId="662FFB9A" w14:textId="20A4FEED">
          <w:pPr>
            <w:pStyle w:val="TOC2"/>
            <w:rPr>
              <w:rFonts w:asciiTheme="minorHAnsi" w:eastAsiaTheme="minorEastAsia" w:hAnsiTheme="minorHAnsi" w:cstheme="minorBidi"/>
              <w:noProof/>
              <w:sz w:val="22"/>
              <w:szCs w:val="22"/>
            </w:rPr>
          </w:pPr>
          <w:hyperlink w:anchor="_Toc125742250" w:history="1">
            <w:r w:rsidRPr="00EC26FF">
              <w:rPr>
                <w:rStyle w:val="Hyperlink"/>
                <w:noProof/>
              </w:rPr>
              <w:t>9.  Payment/Gift to Respondent</w:t>
            </w:r>
            <w:r>
              <w:rPr>
                <w:noProof/>
                <w:webHidden/>
              </w:rPr>
              <w:tab/>
            </w:r>
            <w:r>
              <w:rPr>
                <w:noProof/>
                <w:webHidden/>
              </w:rPr>
              <w:fldChar w:fldCharType="begin"/>
            </w:r>
            <w:r>
              <w:rPr>
                <w:noProof/>
                <w:webHidden/>
              </w:rPr>
              <w:instrText xml:space="preserve"> PAGEREF _Toc125742250 \h </w:instrText>
            </w:r>
            <w:r>
              <w:rPr>
                <w:noProof/>
                <w:webHidden/>
              </w:rPr>
              <w:fldChar w:fldCharType="separate"/>
            </w:r>
            <w:r>
              <w:rPr>
                <w:noProof/>
                <w:webHidden/>
              </w:rPr>
              <w:t>7</w:t>
            </w:r>
            <w:r>
              <w:rPr>
                <w:noProof/>
                <w:webHidden/>
              </w:rPr>
              <w:fldChar w:fldCharType="end"/>
            </w:r>
          </w:hyperlink>
        </w:p>
        <w:p w:rsidR="003B258D" w14:paraId="59D43BF4" w14:textId="7C125016">
          <w:pPr>
            <w:pStyle w:val="TOC2"/>
            <w:rPr>
              <w:rFonts w:asciiTheme="minorHAnsi" w:eastAsiaTheme="minorEastAsia" w:hAnsiTheme="minorHAnsi" w:cstheme="minorBidi"/>
              <w:noProof/>
              <w:sz w:val="22"/>
              <w:szCs w:val="22"/>
            </w:rPr>
          </w:pPr>
          <w:hyperlink w:anchor="_Toc125742251" w:history="1">
            <w:r w:rsidRPr="00EC26FF">
              <w:rPr>
                <w:rStyle w:val="Hyperlink"/>
                <w:noProof/>
              </w:rPr>
              <w:t>10.  Confidentiality</w:t>
            </w:r>
            <w:r>
              <w:rPr>
                <w:noProof/>
                <w:webHidden/>
              </w:rPr>
              <w:tab/>
            </w:r>
            <w:r>
              <w:rPr>
                <w:noProof/>
                <w:webHidden/>
              </w:rPr>
              <w:fldChar w:fldCharType="begin"/>
            </w:r>
            <w:r>
              <w:rPr>
                <w:noProof/>
                <w:webHidden/>
              </w:rPr>
              <w:instrText xml:space="preserve"> PAGEREF _Toc125742251 \h </w:instrText>
            </w:r>
            <w:r>
              <w:rPr>
                <w:noProof/>
                <w:webHidden/>
              </w:rPr>
              <w:fldChar w:fldCharType="separate"/>
            </w:r>
            <w:r>
              <w:rPr>
                <w:noProof/>
                <w:webHidden/>
              </w:rPr>
              <w:t>7</w:t>
            </w:r>
            <w:r>
              <w:rPr>
                <w:noProof/>
                <w:webHidden/>
              </w:rPr>
              <w:fldChar w:fldCharType="end"/>
            </w:r>
          </w:hyperlink>
        </w:p>
        <w:p w:rsidR="003B258D" w14:paraId="3E0CE6E4" w14:textId="50948534">
          <w:pPr>
            <w:pStyle w:val="TOC2"/>
            <w:rPr>
              <w:rFonts w:asciiTheme="minorHAnsi" w:eastAsiaTheme="minorEastAsia" w:hAnsiTheme="minorHAnsi" w:cstheme="minorBidi"/>
              <w:noProof/>
              <w:sz w:val="22"/>
              <w:szCs w:val="22"/>
            </w:rPr>
          </w:pPr>
          <w:hyperlink w:anchor="_Toc125742252" w:history="1">
            <w:r w:rsidRPr="00EC26FF">
              <w:rPr>
                <w:rStyle w:val="Hyperlink"/>
                <w:noProof/>
              </w:rPr>
              <w:t>11.  Sensitive Questions</w:t>
            </w:r>
            <w:r>
              <w:rPr>
                <w:noProof/>
                <w:webHidden/>
              </w:rPr>
              <w:tab/>
            </w:r>
            <w:r>
              <w:rPr>
                <w:noProof/>
                <w:webHidden/>
              </w:rPr>
              <w:fldChar w:fldCharType="begin"/>
            </w:r>
            <w:r>
              <w:rPr>
                <w:noProof/>
                <w:webHidden/>
              </w:rPr>
              <w:instrText xml:space="preserve"> PAGEREF _Toc125742252 \h </w:instrText>
            </w:r>
            <w:r>
              <w:rPr>
                <w:noProof/>
                <w:webHidden/>
              </w:rPr>
              <w:fldChar w:fldCharType="separate"/>
            </w:r>
            <w:r>
              <w:rPr>
                <w:noProof/>
                <w:webHidden/>
              </w:rPr>
              <w:t>7</w:t>
            </w:r>
            <w:r>
              <w:rPr>
                <w:noProof/>
                <w:webHidden/>
              </w:rPr>
              <w:fldChar w:fldCharType="end"/>
            </w:r>
          </w:hyperlink>
        </w:p>
        <w:p w:rsidR="003B258D" w14:paraId="10029E36" w14:textId="0D02A83D">
          <w:pPr>
            <w:pStyle w:val="TOC2"/>
            <w:rPr>
              <w:rFonts w:asciiTheme="minorHAnsi" w:eastAsiaTheme="minorEastAsia" w:hAnsiTheme="minorHAnsi" w:cstheme="minorBidi"/>
              <w:noProof/>
              <w:sz w:val="22"/>
              <w:szCs w:val="22"/>
            </w:rPr>
          </w:pPr>
          <w:hyperlink w:anchor="_Toc125742253" w:history="1">
            <w:r w:rsidRPr="00EC26FF">
              <w:rPr>
                <w:rStyle w:val="Hyperlink"/>
                <w:noProof/>
              </w:rPr>
              <w:t>12.  Burden Estimate (Total Hours &amp; Wages)</w:t>
            </w:r>
            <w:r>
              <w:rPr>
                <w:noProof/>
                <w:webHidden/>
              </w:rPr>
              <w:tab/>
            </w:r>
            <w:r>
              <w:rPr>
                <w:noProof/>
                <w:webHidden/>
              </w:rPr>
              <w:fldChar w:fldCharType="begin"/>
            </w:r>
            <w:r>
              <w:rPr>
                <w:noProof/>
                <w:webHidden/>
              </w:rPr>
              <w:instrText xml:space="preserve"> PAGEREF _Toc125742253 \h </w:instrText>
            </w:r>
            <w:r>
              <w:rPr>
                <w:noProof/>
                <w:webHidden/>
              </w:rPr>
              <w:fldChar w:fldCharType="separate"/>
            </w:r>
            <w:r>
              <w:rPr>
                <w:noProof/>
                <w:webHidden/>
              </w:rPr>
              <w:t>8</w:t>
            </w:r>
            <w:r>
              <w:rPr>
                <w:noProof/>
                <w:webHidden/>
              </w:rPr>
              <w:fldChar w:fldCharType="end"/>
            </w:r>
          </w:hyperlink>
        </w:p>
        <w:p w:rsidR="003B258D" w14:paraId="4F7C27E0" w14:textId="22EE0E68">
          <w:pPr>
            <w:pStyle w:val="TOC2"/>
            <w:rPr>
              <w:rFonts w:asciiTheme="minorHAnsi" w:eastAsiaTheme="minorEastAsia" w:hAnsiTheme="minorHAnsi" w:cstheme="minorBidi"/>
              <w:noProof/>
              <w:sz w:val="22"/>
              <w:szCs w:val="22"/>
            </w:rPr>
          </w:pPr>
          <w:hyperlink w:anchor="_Toc125742254" w:history="1">
            <w:r w:rsidRPr="00EC26FF">
              <w:rPr>
                <w:rStyle w:val="Hyperlink"/>
                <w:noProof/>
              </w:rPr>
              <w:t>13.  Capital Costs (Maintenance of Capital Costs)</w:t>
            </w:r>
            <w:r>
              <w:rPr>
                <w:noProof/>
                <w:webHidden/>
              </w:rPr>
              <w:tab/>
            </w:r>
            <w:r>
              <w:rPr>
                <w:noProof/>
                <w:webHidden/>
              </w:rPr>
              <w:fldChar w:fldCharType="begin"/>
            </w:r>
            <w:r>
              <w:rPr>
                <w:noProof/>
                <w:webHidden/>
              </w:rPr>
              <w:instrText xml:space="preserve"> PAGEREF _Toc125742254 \h </w:instrText>
            </w:r>
            <w:r>
              <w:rPr>
                <w:noProof/>
                <w:webHidden/>
              </w:rPr>
              <w:fldChar w:fldCharType="separate"/>
            </w:r>
            <w:r>
              <w:rPr>
                <w:noProof/>
                <w:webHidden/>
              </w:rPr>
              <w:t>11</w:t>
            </w:r>
            <w:r>
              <w:rPr>
                <w:noProof/>
                <w:webHidden/>
              </w:rPr>
              <w:fldChar w:fldCharType="end"/>
            </w:r>
          </w:hyperlink>
        </w:p>
        <w:p w:rsidR="003B258D" w14:paraId="6912A74C" w14:textId="7988E75E">
          <w:pPr>
            <w:pStyle w:val="TOC2"/>
            <w:rPr>
              <w:rFonts w:asciiTheme="minorHAnsi" w:eastAsiaTheme="minorEastAsia" w:hAnsiTheme="minorHAnsi" w:cstheme="minorBidi"/>
              <w:noProof/>
              <w:sz w:val="22"/>
              <w:szCs w:val="22"/>
            </w:rPr>
          </w:pPr>
          <w:hyperlink w:anchor="_Toc125742255" w:history="1">
            <w:r w:rsidRPr="00EC26FF">
              <w:rPr>
                <w:rStyle w:val="Hyperlink"/>
                <w:noProof/>
              </w:rPr>
              <w:t>14.  Cost to Federal Government</w:t>
            </w:r>
            <w:r>
              <w:rPr>
                <w:noProof/>
                <w:webHidden/>
              </w:rPr>
              <w:tab/>
            </w:r>
            <w:r>
              <w:rPr>
                <w:noProof/>
                <w:webHidden/>
              </w:rPr>
              <w:fldChar w:fldCharType="begin"/>
            </w:r>
            <w:r>
              <w:rPr>
                <w:noProof/>
                <w:webHidden/>
              </w:rPr>
              <w:instrText xml:space="preserve"> PAGEREF _Toc125742255 \h </w:instrText>
            </w:r>
            <w:r>
              <w:rPr>
                <w:noProof/>
                <w:webHidden/>
              </w:rPr>
              <w:fldChar w:fldCharType="separate"/>
            </w:r>
            <w:r>
              <w:rPr>
                <w:noProof/>
                <w:webHidden/>
              </w:rPr>
              <w:t>11</w:t>
            </w:r>
            <w:r>
              <w:rPr>
                <w:noProof/>
                <w:webHidden/>
              </w:rPr>
              <w:fldChar w:fldCharType="end"/>
            </w:r>
          </w:hyperlink>
        </w:p>
        <w:p w:rsidR="003B258D" w14:paraId="0BA8F02B" w14:textId="7864EA27">
          <w:pPr>
            <w:pStyle w:val="TOC2"/>
            <w:rPr>
              <w:rFonts w:asciiTheme="minorHAnsi" w:eastAsiaTheme="minorEastAsia" w:hAnsiTheme="minorHAnsi" w:cstheme="minorBidi"/>
              <w:noProof/>
              <w:sz w:val="22"/>
              <w:szCs w:val="22"/>
            </w:rPr>
          </w:pPr>
          <w:hyperlink w:anchor="_Toc125742256" w:history="1">
            <w:r w:rsidRPr="00EC26FF">
              <w:rPr>
                <w:rStyle w:val="Hyperlink"/>
                <w:noProof/>
              </w:rPr>
              <w:t>15.  Program Changes</w:t>
            </w:r>
            <w:r>
              <w:rPr>
                <w:noProof/>
                <w:webHidden/>
              </w:rPr>
              <w:tab/>
            </w:r>
            <w:r>
              <w:rPr>
                <w:noProof/>
                <w:webHidden/>
              </w:rPr>
              <w:fldChar w:fldCharType="begin"/>
            </w:r>
            <w:r>
              <w:rPr>
                <w:noProof/>
                <w:webHidden/>
              </w:rPr>
              <w:instrText xml:space="preserve"> PAGEREF _Toc125742256 \h </w:instrText>
            </w:r>
            <w:r>
              <w:rPr>
                <w:noProof/>
                <w:webHidden/>
              </w:rPr>
              <w:fldChar w:fldCharType="separate"/>
            </w:r>
            <w:r>
              <w:rPr>
                <w:noProof/>
                <w:webHidden/>
              </w:rPr>
              <w:t>12</w:t>
            </w:r>
            <w:r>
              <w:rPr>
                <w:noProof/>
                <w:webHidden/>
              </w:rPr>
              <w:fldChar w:fldCharType="end"/>
            </w:r>
          </w:hyperlink>
        </w:p>
        <w:p w:rsidR="003B258D" w14:paraId="6B126820" w14:textId="5CEC36F9">
          <w:pPr>
            <w:pStyle w:val="TOC2"/>
            <w:rPr>
              <w:rFonts w:asciiTheme="minorHAnsi" w:eastAsiaTheme="minorEastAsia" w:hAnsiTheme="minorHAnsi" w:cstheme="minorBidi"/>
              <w:noProof/>
              <w:sz w:val="22"/>
              <w:szCs w:val="22"/>
            </w:rPr>
          </w:pPr>
          <w:hyperlink w:anchor="_Toc125742257" w:history="1">
            <w:r w:rsidRPr="00EC26FF">
              <w:rPr>
                <w:rStyle w:val="Hyperlink"/>
                <w:noProof/>
              </w:rPr>
              <w:t>16.  Publication and Tabulation Dates</w:t>
            </w:r>
            <w:r>
              <w:rPr>
                <w:noProof/>
                <w:webHidden/>
              </w:rPr>
              <w:tab/>
            </w:r>
            <w:r>
              <w:rPr>
                <w:noProof/>
                <w:webHidden/>
              </w:rPr>
              <w:fldChar w:fldCharType="begin"/>
            </w:r>
            <w:r>
              <w:rPr>
                <w:noProof/>
                <w:webHidden/>
              </w:rPr>
              <w:instrText xml:space="preserve"> PAGEREF _Toc125742257 \h </w:instrText>
            </w:r>
            <w:r>
              <w:rPr>
                <w:noProof/>
                <w:webHidden/>
              </w:rPr>
              <w:fldChar w:fldCharType="separate"/>
            </w:r>
            <w:r>
              <w:rPr>
                <w:noProof/>
                <w:webHidden/>
              </w:rPr>
              <w:t>12</w:t>
            </w:r>
            <w:r>
              <w:rPr>
                <w:noProof/>
                <w:webHidden/>
              </w:rPr>
              <w:fldChar w:fldCharType="end"/>
            </w:r>
          </w:hyperlink>
        </w:p>
        <w:p w:rsidR="003B258D" w14:paraId="3C3190E8" w14:textId="1D9B3D90">
          <w:pPr>
            <w:pStyle w:val="TOC2"/>
            <w:rPr>
              <w:rFonts w:asciiTheme="minorHAnsi" w:eastAsiaTheme="minorEastAsia" w:hAnsiTheme="minorHAnsi" w:cstheme="minorBidi"/>
              <w:noProof/>
              <w:sz w:val="22"/>
              <w:szCs w:val="22"/>
            </w:rPr>
          </w:pPr>
          <w:hyperlink w:anchor="_Toc125742258" w:history="1">
            <w:r w:rsidRPr="00EC26FF">
              <w:rPr>
                <w:rStyle w:val="Hyperlink"/>
                <w:noProof/>
              </w:rPr>
              <w:t>17.  Expiration Date</w:t>
            </w:r>
            <w:r>
              <w:rPr>
                <w:noProof/>
                <w:webHidden/>
              </w:rPr>
              <w:tab/>
            </w:r>
            <w:r>
              <w:rPr>
                <w:noProof/>
                <w:webHidden/>
              </w:rPr>
              <w:fldChar w:fldCharType="begin"/>
            </w:r>
            <w:r>
              <w:rPr>
                <w:noProof/>
                <w:webHidden/>
              </w:rPr>
              <w:instrText xml:space="preserve"> PAGEREF _Toc125742258 \h </w:instrText>
            </w:r>
            <w:r>
              <w:rPr>
                <w:noProof/>
                <w:webHidden/>
              </w:rPr>
              <w:fldChar w:fldCharType="separate"/>
            </w:r>
            <w:r>
              <w:rPr>
                <w:noProof/>
                <w:webHidden/>
              </w:rPr>
              <w:t>13</w:t>
            </w:r>
            <w:r>
              <w:rPr>
                <w:noProof/>
                <w:webHidden/>
              </w:rPr>
              <w:fldChar w:fldCharType="end"/>
            </w:r>
          </w:hyperlink>
        </w:p>
        <w:p w:rsidR="003B258D" w14:paraId="5490E2BB" w14:textId="6A424508">
          <w:pPr>
            <w:pStyle w:val="TOC2"/>
            <w:rPr>
              <w:rFonts w:asciiTheme="minorHAnsi" w:eastAsiaTheme="minorEastAsia" w:hAnsiTheme="minorHAnsi" w:cstheme="minorBidi"/>
              <w:noProof/>
              <w:sz w:val="22"/>
              <w:szCs w:val="22"/>
            </w:rPr>
          </w:pPr>
          <w:hyperlink w:anchor="_Toc125742259" w:history="1">
            <w:r w:rsidRPr="00EC26FF">
              <w:rPr>
                <w:rStyle w:val="Hyperlink"/>
                <w:noProof/>
              </w:rPr>
              <w:t>18.  Certification Statement</w:t>
            </w:r>
            <w:r>
              <w:rPr>
                <w:noProof/>
                <w:webHidden/>
              </w:rPr>
              <w:tab/>
            </w:r>
            <w:r>
              <w:rPr>
                <w:noProof/>
                <w:webHidden/>
              </w:rPr>
              <w:fldChar w:fldCharType="begin"/>
            </w:r>
            <w:r>
              <w:rPr>
                <w:noProof/>
                <w:webHidden/>
              </w:rPr>
              <w:instrText xml:space="preserve"> PAGEREF _Toc125742259 \h </w:instrText>
            </w:r>
            <w:r>
              <w:rPr>
                <w:noProof/>
                <w:webHidden/>
              </w:rPr>
              <w:fldChar w:fldCharType="separate"/>
            </w:r>
            <w:r>
              <w:rPr>
                <w:noProof/>
                <w:webHidden/>
              </w:rPr>
              <w:t>13</w:t>
            </w:r>
            <w:r>
              <w:rPr>
                <w:noProof/>
                <w:webHidden/>
              </w:rPr>
              <w:fldChar w:fldCharType="end"/>
            </w:r>
          </w:hyperlink>
        </w:p>
        <w:p w:rsidR="003B258D" w14:paraId="55570097" w14:textId="736F0BFD">
          <w:pPr>
            <w:pStyle w:val="TOC1"/>
            <w:tabs>
              <w:tab w:val="left" w:pos="720"/>
              <w:tab w:val="right" w:leader="dot" w:pos="9350"/>
            </w:tabs>
            <w:rPr>
              <w:rFonts w:asciiTheme="minorHAnsi" w:eastAsiaTheme="minorEastAsia" w:hAnsiTheme="minorHAnsi" w:cstheme="minorBidi"/>
              <w:noProof/>
              <w:sz w:val="22"/>
              <w:szCs w:val="22"/>
            </w:rPr>
          </w:pPr>
          <w:hyperlink w:anchor="_Toc125742260" w:history="1">
            <w:r w:rsidRPr="00EC26FF">
              <w:rPr>
                <w:rStyle w:val="Hyperlink"/>
                <w:noProof/>
              </w:rPr>
              <w:t>C.</w:t>
            </w:r>
            <w:r>
              <w:rPr>
                <w:rFonts w:asciiTheme="minorHAnsi" w:eastAsiaTheme="minorEastAsia" w:hAnsiTheme="minorHAnsi" w:cstheme="minorBidi"/>
                <w:noProof/>
                <w:sz w:val="22"/>
                <w:szCs w:val="22"/>
              </w:rPr>
              <w:tab/>
            </w:r>
            <w:r w:rsidRPr="00EC26FF">
              <w:rPr>
                <w:rStyle w:val="Hyperlink"/>
                <w:noProof/>
              </w:rPr>
              <w:t>Collection of Information Employing Statistical Methods</w:t>
            </w:r>
            <w:r>
              <w:rPr>
                <w:noProof/>
                <w:webHidden/>
              </w:rPr>
              <w:tab/>
            </w:r>
            <w:r>
              <w:rPr>
                <w:noProof/>
                <w:webHidden/>
              </w:rPr>
              <w:fldChar w:fldCharType="begin"/>
            </w:r>
            <w:r>
              <w:rPr>
                <w:noProof/>
                <w:webHidden/>
              </w:rPr>
              <w:instrText xml:space="preserve"> PAGEREF _Toc125742260 \h </w:instrText>
            </w:r>
            <w:r>
              <w:rPr>
                <w:noProof/>
                <w:webHidden/>
              </w:rPr>
              <w:fldChar w:fldCharType="separate"/>
            </w:r>
            <w:r>
              <w:rPr>
                <w:noProof/>
                <w:webHidden/>
              </w:rPr>
              <w:t>13</w:t>
            </w:r>
            <w:r>
              <w:rPr>
                <w:noProof/>
                <w:webHidden/>
              </w:rPr>
              <w:fldChar w:fldCharType="end"/>
            </w:r>
          </w:hyperlink>
        </w:p>
        <w:p w:rsidR="003B258D" w14:paraId="05BE86D6" w14:textId="5E244457">
          <w:pPr>
            <w:pStyle w:val="TOC1"/>
            <w:tabs>
              <w:tab w:val="right" w:leader="dot" w:pos="9350"/>
            </w:tabs>
            <w:rPr>
              <w:rFonts w:asciiTheme="minorHAnsi" w:eastAsiaTheme="minorEastAsia" w:hAnsiTheme="minorHAnsi" w:cstheme="minorBidi"/>
              <w:noProof/>
              <w:sz w:val="22"/>
              <w:szCs w:val="22"/>
            </w:rPr>
          </w:pPr>
          <w:hyperlink w:anchor="_Toc125742261" w:history="1">
            <w:r w:rsidRPr="00EC26FF">
              <w:rPr>
                <w:rStyle w:val="Hyperlink"/>
                <w:noProof/>
              </w:rPr>
              <w:t>APPENDIX A: MDS 3.0 Item Set v1.18.11 Associated Change Table</w:t>
            </w:r>
            <w:r>
              <w:rPr>
                <w:noProof/>
                <w:webHidden/>
              </w:rPr>
              <w:tab/>
            </w:r>
            <w:r>
              <w:rPr>
                <w:noProof/>
                <w:webHidden/>
              </w:rPr>
              <w:fldChar w:fldCharType="begin"/>
            </w:r>
            <w:r>
              <w:rPr>
                <w:noProof/>
                <w:webHidden/>
              </w:rPr>
              <w:instrText xml:space="preserve"> PAGEREF _Toc125742261 \h </w:instrText>
            </w:r>
            <w:r>
              <w:rPr>
                <w:noProof/>
                <w:webHidden/>
              </w:rPr>
              <w:fldChar w:fldCharType="separate"/>
            </w:r>
            <w:r>
              <w:rPr>
                <w:noProof/>
                <w:webHidden/>
              </w:rPr>
              <w:t>14</w:t>
            </w:r>
            <w:r>
              <w:rPr>
                <w:noProof/>
                <w:webHidden/>
              </w:rPr>
              <w:fldChar w:fldCharType="end"/>
            </w:r>
          </w:hyperlink>
        </w:p>
        <w:p w:rsidR="003B258D" w14:paraId="79477B62" w14:textId="44D6CD46">
          <w:pPr>
            <w:pStyle w:val="TOC1"/>
            <w:tabs>
              <w:tab w:val="right" w:leader="dot" w:pos="9350"/>
            </w:tabs>
            <w:rPr>
              <w:rFonts w:asciiTheme="minorHAnsi" w:eastAsiaTheme="minorEastAsia" w:hAnsiTheme="minorHAnsi" w:cstheme="minorBidi"/>
              <w:noProof/>
              <w:sz w:val="22"/>
              <w:szCs w:val="22"/>
            </w:rPr>
          </w:pPr>
          <w:hyperlink w:anchor="_Toc125742262" w:history="1">
            <w:r w:rsidRPr="00EC26FF">
              <w:rPr>
                <w:rStyle w:val="Hyperlink"/>
                <w:noProof/>
              </w:rPr>
              <w:t>APPENDIX B: Glossary</w:t>
            </w:r>
            <w:r>
              <w:rPr>
                <w:noProof/>
                <w:webHidden/>
              </w:rPr>
              <w:tab/>
            </w:r>
            <w:r>
              <w:rPr>
                <w:noProof/>
                <w:webHidden/>
              </w:rPr>
              <w:fldChar w:fldCharType="begin"/>
            </w:r>
            <w:r>
              <w:rPr>
                <w:noProof/>
                <w:webHidden/>
              </w:rPr>
              <w:instrText xml:space="preserve"> PAGEREF _Toc125742262 \h </w:instrText>
            </w:r>
            <w:r>
              <w:rPr>
                <w:noProof/>
                <w:webHidden/>
              </w:rPr>
              <w:fldChar w:fldCharType="separate"/>
            </w:r>
            <w:r>
              <w:rPr>
                <w:noProof/>
                <w:webHidden/>
              </w:rPr>
              <w:t>14</w:t>
            </w:r>
            <w:r>
              <w:rPr>
                <w:noProof/>
                <w:webHidden/>
              </w:rPr>
              <w:fldChar w:fldCharType="end"/>
            </w:r>
          </w:hyperlink>
        </w:p>
        <w:p w:rsidR="00404E14" w:rsidRPr="00550F57" w14:paraId="5B8AF407" w14:textId="07A041D2">
          <w:r w:rsidRPr="00550F57">
            <w:rPr>
              <w:b/>
              <w:bCs/>
              <w:noProof/>
            </w:rPr>
            <w:fldChar w:fldCharType="end"/>
          </w:r>
        </w:p>
      </w:sdtContent>
    </w:sdt>
    <w:p w:rsidR="00043183" w:rsidRPr="00550F57" w14:paraId="2506C553" w14:textId="2ECD955B"/>
    <w:p w:rsidR="00EA6C60" w:rsidRPr="00550F57" w:rsidP="00EA6C60" w14:paraId="14E4781B" w14:textId="4E837AB1">
      <w:pPr>
        <w:tabs>
          <w:tab w:val="center" w:pos="4680"/>
        </w:tabs>
        <w:jc w:val="center"/>
      </w:pPr>
      <w:r w:rsidRPr="00550F57">
        <w:t>Supporting Statement A</w:t>
      </w:r>
    </w:p>
    <w:p w:rsidR="00EA6C60" w:rsidRPr="00550F57" w:rsidP="00EA6C60" w14:paraId="4CE584F7" w14:textId="043EC8C7">
      <w:pPr>
        <w:tabs>
          <w:tab w:val="center" w:pos="4680"/>
        </w:tabs>
        <w:jc w:val="center"/>
      </w:pPr>
      <w:r w:rsidRPr="00550F57">
        <w:t>Minimum Data Set 3.0 Nursing Home and Swing Bed Prospective Payment System (PPS)</w:t>
      </w:r>
    </w:p>
    <w:p w:rsidR="00EA6C60" w:rsidRPr="00550F57" w:rsidP="00486441" w14:paraId="68AD86E3" w14:textId="12838005">
      <w:pPr>
        <w:tabs>
          <w:tab w:val="center" w:pos="4680"/>
        </w:tabs>
        <w:jc w:val="center"/>
      </w:pPr>
      <w:r w:rsidRPr="00550F57">
        <w:t xml:space="preserve">For the collection of data related to the Patient Driven Payment Model and the Skilled Nursing Facility Quality Reporting Program </w:t>
      </w:r>
      <w:r w:rsidRPr="00550F57" w:rsidR="00150793">
        <w:t>(QRP)</w:t>
      </w:r>
    </w:p>
    <w:p w:rsidR="00232D22" w:rsidRPr="00550F57" w:rsidP="00AC4009" w14:paraId="54FC6AB3" w14:textId="739F3C97">
      <w:pPr>
        <w:tabs>
          <w:tab w:val="center" w:pos="4680"/>
        </w:tabs>
        <w:jc w:val="center"/>
      </w:pPr>
      <w:bookmarkStart w:id="2" w:name="_Hlk12360180"/>
      <w:r w:rsidRPr="00550F57">
        <w:t xml:space="preserve">CMS-10387, </w:t>
      </w:r>
      <w:r w:rsidRPr="00550F57" w:rsidR="00606F57">
        <w:t>OMB 0938-1140</w:t>
      </w:r>
      <w:bookmarkEnd w:id="2"/>
    </w:p>
    <w:p w:rsidR="0070147D" w:rsidP="00486441" w14:paraId="382CF57C" w14:textId="7248F847">
      <w:r>
        <w:rPr>
          <w:noProof/>
        </w:rPr>
        <mc:AlternateContent>
          <mc:Choice Requires="wps">
            <w:drawing>
              <wp:anchor distT="0" distB="0" distL="114300" distR="114300" simplePos="0" relativeHeight="251658240" behindDoc="0" locked="0" layoutInCell="1" allowOverlap="1">
                <wp:simplePos x="0" y="0"/>
                <wp:positionH relativeFrom="column">
                  <wp:posOffset>133350</wp:posOffset>
                </wp:positionH>
                <wp:positionV relativeFrom="paragraph">
                  <wp:posOffset>142875</wp:posOffset>
                </wp:positionV>
                <wp:extent cx="5890437" cy="2514600"/>
                <wp:effectExtent l="0" t="0" r="15240" b="1905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5890437" cy="2514600"/>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style="width:463.8pt;height:198pt;margin-top:11.25pt;margin-left:10.5pt;mso-height-percent:0;mso-height-relative:margin;mso-width-percent:0;mso-width-relative:margin;mso-wrap-distance-bottom:0;mso-wrap-distance-left:9pt;mso-wrap-distance-right:9pt;mso-wrap-distance-top:0;mso-wrap-style:square;position:absolute;visibility:visible;v-text-anchor:middle;z-index:251659264" filled="f" strokecolor="#c00000" strokeweight="2pt"/>
            </w:pict>
          </mc:Fallback>
        </mc:AlternateContent>
      </w:r>
    </w:p>
    <w:p w:rsidR="00AF65E8" w:rsidP="005D1F1A" w14:paraId="674CE196" w14:textId="0DF400E2">
      <w:pPr>
        <w:ind w:left="360"/>
      </w:pPr>
      <w:r>
        <w:t xml:space="preserve">This package is a request for a revision to the current Minimum Data Set (MDS) assessment instrument for the Skilled Nursing Facility (SNF).  </w:t>
      </w:r>
      <w:r>
        <w:t>This package represents a request from t</w:t>
      </w:r>
      <w:r w:rsidRPr="003E223B">
        <w:t>he Centers for Medicare &amp; Medicaid Services (CMS) to implement the MDS 3.0</w:t>
      </w:r>
      <w:r w:rsidR="0012301F">
        <w:t xml:space="preserve"> </w:t>
      </w:r>
      <w:r w:rsidRPr="003E223B">
        <w:rPr>
          <w:spacing w:val="-57"/>
        </w:rPr>
        <w:t xml:space="preserve"> </w:t>
      </w:r>
      <w:r w:rsidR="0012301F">
        <w:rPr>
          <w:spacing w:val="-57"/>
        </w:rPr>
        <w:t xml:space="preserve"> </w:t>
      </w:r>
      <w:r w:rsidRPr="003E223B">
        <w:t>v1.1</w:t>
      </w:r>
      <w:r>
        <w:t>8</w:t>
      </w:r>
      <w:r w:rsidRPr="003E223B">
        <w:t>.</w:t>
      </w:r>
      <w:r>
        <w:t>11</w:t>
      </w:r>
      <w:r w:rsidRPr="003E223B">
        <w:t xml:space="preserve"> </w:t>
      </w:r>
      <w:r>
        <w:t xml:space="preserve">beginning </w:t>
      </w:r>
      <w:r w:rsidRPr="003E223B">
        <w:t>Oct</w:t>
      </w:r>
      <w:r>
        <w:t>ober</w:t>
      </w:r>
      <w:r w:rsidRPr="003E223B">
        <w:t xml:space="preserve"> 1, 202</w:t>
      </w:r>
      <w:r>
        <w:t>3 to October 1, 2026</w:t>
      </w:r>
      <w:r w:rsidR="0012301F">
        <w:t xml:space="preserve"> in order to meet the requirements of policies finalized in the Federal Fiscal Year</w:t>
      </w:r>
      <w:r w:rsidR="00E33FF5">
        <w:t xml:space="preserve"> (FY)</w:t>
      </w:r>
      <w:r w:rsidR="0012301F">
        <w:t xml:space="preserve"> 2020 Skilled Nursing Facility </w:t>
      </w:r>
      <w:r w:rsidR="00E33FF5">
        <w:t xml:space="preserve">(SNF) </w:t>
      </w:r>
      <w:r w:rsidR="0012301F">
        <w:t>Prospective Payment System</w:t>
      </w:r>
      <w:r w:rsidR="00E33FF5">
        <w:t xml:space="preserve"> (PPS)</w:t>
      </w:r>
      <w:r w:rsidR="0012301F">
        <w:t xml:space="preserve"> </w:t>
      </w:r>
      <w:r w:rsidR="00E33FF5">
        <w:t>f</w:t>
      </w:r>
      <w:r w:rsidR="0012301F">
        <w:t xml:space="preserve">inal </w:t>
      </w:r>
      <w:r w:rsidR="00E33FF5">
        <w:t>r</w:t>
      </w:r>
      <w:r w:rsidR="0012301F">
        <w:t xml:space="preserve">ule </w:t>
      </w:r>
      <w:r w:rsidRPr="005E3DEF" w:rsidR="0012301F">
        <w:t>(CMS-1718-F, RIN 0938-AT75)</w:t>
      </w:r>
      <w:r w:rsidRPr="003E223B">
        <w:t xml:space="preserve">. </w:t>
      </w:r>
      <w:r>
        <w:t xml:space="preserve"> </w:t>
      </w:r>
      <w:r w:rsidR="00463CE4">
        <w:t>A PRA package was submitted at the time of the finalized policies and approved</w:t>
      </w:r>
      <w:r w:rsidR="002F209D">
        <w:t xml:space="preserve"> on 11/22/2019</w:t>
      </w:r>
      <w:r w:rsidR="00463CE4">
        <w:t xml:space="preserve">, but </w:t>
      </w:r>
      <w:r w:rsidR="0012301F">
        <w:t>the compliance date for the finalized policies</w:t>
      </w:r>
      <w:r w:rsidR="002F209D">
        <w:t xml:space="preserve"> (10/01/2020)</w:t>
      </w:r>
      <w:r w:rsidR="0012301F">
        <w:t xml:space="preserve"> was delayed due to the COVID-19 public health emergency </w:t>
      </w:r>
      <w:r w:rsidRPr="005E3DEF" w:rsidR="0012301F">
        <w:t>(PHE)</w:t>
      </w:r>
      <w:r w:rsidR="00463CE4">
        <w:t>.</w:t>
      </w:r>
      <w:r>
        <w:rPr>
          <w:rStyle w:val="FootnoteReference"/>
        </w:rPr>
        <w:footnoteReference w:id="3"/>
      </w:r>
      <w:r w:rsidR="0012301F">
        <w:t xml:space="preserve"> </w:t>
      </w:r>
      <w:r w:rsidR="00463CE4">
        <w:t xml:space="preserve">Please note, however, </w:t>
      </w:r>
      <w:r w:rsidR="0012301F">
        <w:t>the burden was never retracted</w:t>
      </w:r>
      <w:r w:rsidR="00463CE4">
        <w:t>, and the implementation of the instrument was simply delayed</w:t>
      </w:r>
      <w:r w:rsidR="0012301F">
        <w:t xml:space="preserve">.  </w:t>
      </w:r>
      <w:r w:rsidR="00463CE4">
        <w:t xml:space="preserve">While there </w:t>
      </w:r>
      <w:r>
        <w:t xml:space="preserve">has been no change in </w:t>
      </w:r>
      <w:r w:rsidR="00463CE4">
        <w:t xml:space="preserve">assessment-level </w:t>
      </w:r>
      <w:r>
        <w:t>burden since the approval of the MDS 3.0 v1.17.2</w:t>
      </w:r>
      <w:r w:rsidR="00463CE4">
        <w:t xml:space="preserve">, there has been a </w:t>
      </w:r>
      <w:r w:rsidR="005C11A3">
        <w:t xml:space="preserve">change </w:t>
      </w:r>
      <w:r w:rsidR="00463CE4">
        <w:t xml:space="preserve">in total burden </w:t>
      </w:r>
      <w:r w:rsidR="003B258D">
        <w:t xml:space="preserve">since 2019 when the package was originally approved </w:t>
      </w:r>
      <w:r w:rsidR="00463CE4">
        <w:t xml:space="preserve">due to a decrease in the number of </w:t>
      </w:r>
      <w:r w:rsidR="002F209D">
        <w:t xml:space="preserve">MDS </w:t>
      </w:r>
      <w:r w:rsidR="00463CE4">
        <w:t>assessments completed</w:t>
      </w:r>
      <w:r w:rsidR="003B258D">
        <w:t xml:space="preserve"> and a change in the hourly rate for clinicians completing the assessment</w:t>
      </w:r>
      <w:r w:rsidR="00463CE4">
        <w:t>.</w:t>
      </w:r>
    </w:p>
    <w:p w:rsidR="00AF65E8" w:rsidRPr="003B258D" w:rsidP="00AF65E8" w14:paraId="755613B7" w14:textId="1C787113">
      <w:pPr>
        <w:pStyle w:val="BodyText"/>
        <w:spacing w:after="0"/>
        <w:ind w:left="540" w:right="540"/>
        <w:rPr>
          <w:sz w:val="18"/>
        </w:rPr>
      </w:pPr>
    </w:p>
    <w:p w:rsidR="000E62F7" w:rsidP="005D1F1A" w14:paraId="53969615" w14:textId="3CDB09D6">
      <w:pPr>
        <w:pStyle w:val="BodyText"/>
        <w:spacing w:after="0"/>
        <w:ind w:left="360"/>
      </w:pPr>
      <w:r>
        <w:t xml:space="preserve">The </w:t>
      </w:r>
      <w:r>
        <w:t xml:space="preserve">package submitted </w:t>
      </w:r>
      <w:r>
        <w:t xml:space="preserve">with the FY 2020 SNF PPS final rule described the assessment tool changes associated with the policies finalized in the FY 2020 SNF PPS final rule, </w:t>
      </w:r>
      <w:r w:rsidR="002F209D">
        <w:t xml:space="preserve">and </w:t>
      </w:r>
      <w:r w:rsidR="002B7007">
        <w:t xml:space="preserve">are summarized here and in the document included with the package, titled </w:t>
      </w:r>
      <w:r w:rsidR="002B7007">
        <w:rPr>
          <w:i/>
        </w:rPr>
        <w:t>Draft MDS 3.0 Item Set Change History v1.18.11 Oct 2023.pdf</w:t>
      </w:r>
      <w:r>
        <w:t>:</w:t>
      </w:r>
    </w:p>
    <w:p w:rsidR="002F209D" w:rsidRPr="008C4ED4" w:rsidP="00AF65E8" w14:paraId="3A1539D6" w14:textId="77777777">
      <w:pPr>
        <w:pStyle w:val="BodyText"/>
        <w:spacing w:after="0"/>
        <w:ind w:left="540" w:right="540"/>
        <w:rPr>
          <w:sz w:val="8"/>
        </w:rPr>
      </w:pPr>
    </w:p>
    <w:p w:rsidR="00E33FF5" w:rsidP="00E33FF5" w14:paraId="222C06DC" w14:textId="04D41511">
      <w:pPr>
        <w:pStyle w:val="BodyText"/>
        <w:numPr>
          <w:ilvl w:val="0"/>
          <w:numId w:val="24"/>
        </w:numPr>
        <w:spacing w:after="0"/>
        <w:ind w:right="540"/>
      </w:pPr>
      <w:r>
        <w:t>REMOVED:  These items present in v1.17.2 are not present in v1.18.11</w:t>
      </w:r>
      <w:r w:rsidR="004E7753">
        <w:t>.</w:t>
      </w:r>
    </w:p>
    <w:tbl>
      <w:tblPr>
        <w:tblStyle w:val="TableGrid"/>
        <w:tblW w:w="0" w:type="auto"/>
        <w:tblInd w:w="540" w:type="dxa"/>
        <w:tblLook w:val="04A0"/>
      </w:tblPr>
      <w:tblGrid>
        <w:gridCol w:w="1762"/>
        <w:gridCol w:w="1762"/>
        <w:gridCol w:w="1762"/>
        <w:gridCol w:w="1762"/>
        <w:gridCol w:w="1762"/>
      </w:tblGrid>
      <w:tr w14:paraId="14251CB3" w14:textId="1D9CF0E5" w:rsidTr="003B258D">
        <w:tblPrEx>
          <w:tblW w:w="0" w:type="auto"/>
          <w:tblInd w:w="540" w:type="dxa"/>
          <w:tblLook w:val="04A0"/>
        </w:tblPrEx>
        <w:tc>
          <w:tcPr>
            <w:tcW w:w="1762" w:type="dxa"/>
          </w:tcPr>
          <w:p w:rsidR="0049529F" w:rsidP="0049529F" w14:paraId="1422242D" w14:textId="77777777">
            <w:pPr>
              <w:pStyle w:val="BodyText"/>
              <w:tabs>
                <w:tab w:val="left" w:pos="877"/>
              </w:tabs>
              <w:spacing w:after="0"/>
              <w:jc w:val="center"/>
            </w:pPr>
            <w:r>
              <w:t>A0300</w:t>
            </w:r>
          </w:p>
        </w:tc>
        <w:tc>
          <w:tcPr>
            <w:tcW w:w="1762" w:type="dxa"/>
          </w:tcPr>
          <w:p w:rsidR="0049529F" w:rsidP="0049529F" w14:paraId="051725E2" w14:textId="6414FC5B">
            <w:pPr>
              <w:pStyle w:val="BodyText"/>
              <w:tabs>
                <w:tab w:val="left" w:pos="877"/>
              </w:tabs>
              <w:spacing w:after="0"/>
              <w:ind w:right="-82"/>
              <w:jc w:val="center"/>
            </w:pPr>
            <w:r>
              <w:t>A1000</w:t>
            </w:r>
          </w:p>
        </w:tc>
        <w:tc>
          <w:tcPr>
            <w:tcW w:w="1762" w:type="dxa"/>
          </w:tcPr>
          <w:p w:rsidR="0049529F" w:rsidP="0049529F" w14:paraId="68A106B9" w14:textId="048BDFD8">
            <w:pPr>
              <w:pStyle w:val="BodyText"/>
              <w:tabs>
                <w:tab w:val="left" w:pos="877"/>
              </w:tabs>
              <w:spacing w:after="0"/>
              <w:ind w:right="-34"/>
              <w:jc w:val="center"/>
            </w:pPr>
            <w:r>
              <w:t>D0200</w:t>
            </w:r>
          </w:p>
        </w:tc>
        <w:tc>
          <w:tcPr>
            <w:tcW w:w="1762" w:type="dxa"/>
          </w:tcPr>
          <w:p w:rsidR="0049529F" w:rsidP="0049529F" w14:paraId="5E1E66FA" w14:textId="4F6173B7">
            <w:pPr>
              <w:pStyle w:val="BodyText"/>
              <w:tabs>
                <w:tab w:val="left" w:pos="877"/>
              </w:tabs>
              <w:spacing w:after="0"/>
              <w:ind w:right="-76"/>
              <w:jc w:val="center"/>
            </w:pPr>
            <w:r>
              <w:t>G0100A</w:t>
            </w:r>
          </w:p>
        </w:tc>
        <w:tc>
          <w:tcPr>
            <w:tcW w:w="1762" w:type="dxa"/>
          </w:tcPr>
          <w:p w:rsidR="0049529F" w:rsidP="0049529F" w14:paraId="28D23950" w14:textId="41D088FB">
            <w:pPr>
              <w:pStyle w:val="BodyText"/>
              <w:tabs>
                <w:tab w:val="left" w:pos="877"/>
              </w:tabs>
              <w:spacing w:after="0"/>
              <w:ind w:right="-26"/>
              <w:jc w:val="center"/>
            </w:pPr>
            <w:r>
              <w:t>G0110B</w:t>
            </w:r>
          </w:p>
        </w:tc>
      </w:tr>
      <w:tr w14:paraId="154A8250" w14:textId="77777777" w:rsidTr="003B258D">
        <w:tblPrEx>
          <w:tblW w:w="0" w:type="auto"/>
          <w:tblInd w:w="540" w:type="dxa"/>
          <w:tblLook w:val="04A0"/>
        </w:tblPrEx>
        <w:tc>
          <w:tcPr>
            <w:tcW w:w="1762" w:type="dxa"/>
          </w:tcPr>
          <w:p w:rsidR="0049529F" w:rsidP="0049529F" w14:paraId="01AF611C" w14:textId="18B4C936">
            <w:pPr>
              <w:pStyle w:val="BodyText"/>
              <w:tabs>
                <w:tab w:val="left" w:pos="877"/>
              </w:tabs>
              <w:spacing w:after="0"/>
              <w:jc w:val="center"/>
            </w:pPr>
            <w:r>
              <w:t>G0110C</w:t>
            </w:r>
          </w:p>
        </w:tc>
        <w:tc>
          <w:tcPr>
            <w:tcW w:w="1762" w:type="dxa"/>
          </w:tcPr>
          <w:p w:rsidR="0049529F" w:rsidP="0049529F" w14:paraId="402D111D" w14:textId="6A97D975">
            <w:pPr>
              <w:pStyle w:val="BodyText"/>
              <w:tabs>
                <w:tab w:val="left" w:pos="877"/>
              </w:tabs>
              <w:spacing w:after="0"/>
              <w:ind w:right="-82"/>
              <w:jc w:val="center"/>
            </w:pPr>
            <w:r>
              <w:t>G0110D</w:t>
            </w:r>
          </w:p>
        </w:tc>
        <w:tc>
          <w:tcPr>
            <w:tcW w:w="1762" w:type="dxa"/>
          </w:tcPr>
          <w:p w:rsidR="0049529F" w:rsidP="0049529F" w14:paraId="1BF66A3E" w14:textId="5E7E4A39">
            <w:pPr>
              <w:pStyle w:val="BodyText"/>
              <w:tabs>
                <w:tab w:val="left" w:pos="877"/>
              </w:tabs>
              <w:spacing w:after="0"/>
              <w:ind w:right="-34"/>
              <w:jc w:val="center"/>
            </w:pPr>
            <w:r>
              <w:t>G0110E</w:t>
            </w:r>
          </w:p>
        </w:tc>
        <w:tc>
          <w:tcPr>
            <w:tcW w:w="1762" w:type="dxa"/>
          </w:tcPr>
          <w:p w:rsidR="0049529F" w:rsidP="0049529F" w14:paraId="57569BCC" w14:textId="2F0F0D3E">
            <w:pPr>
              <w:pStyle w:val="BodyText"/>
              <w:tabs>
                <w:tab w:val="left" w:pos="877"/>
              </w:tabs>
              <w:spacing w:after="0"/>
              <w:ind w:right="-76"/>
              <w:jc w:val="center"/>
            </w:pPr>
            <w:r>
              <w:t>G0110F</w:t>
            </w:r>
          </w:p>
        </w:tc>
        <w:tc>
          <w:tcPr>
            <w:tcW w:w="1762" w:type="dxa"/>
          </w:tcPr>
          <w:p w:rsidR="0049529F" w:rsidP="0049529F" w14:paraId="30A3C1B1" w14:textId="6F7BC2AF">
            <w:pPr>
              <w:pStyle w:val="BodyText"/>
              <w:tabs>
                <w:tab w:val="left" w:pos="877"/>
              </w:tabs>
              <w:spacing w:after="0"/>
              <w:ind w:right="-26"/>
              <w:jc w:val="center"/>
            </w:pPr>
            <w:r>
              <w:t>G0110G</w:t>
            </w:r>
          </w:p>
        </w:tc>
      </w:tr>
      <w:tr w14:paraId="624C3BCB" w14:textId="77777777" w:rsidTr="003B258D">
        <w:tblPrEx>
          <w:tblW w:w="0" w:type="auto"/>
          <w:tblInd w:w="540" w:type="dxa"/>
          <w:tblLook w:val="04A0"/>
        </w:tblPrEx>
        <w:tc>
          <w:tcPr>
            <w:tcW w:w="1762" w:type="dxa"/>
          </w:tcPr>
          <w:p w:rsidR="0049529F" w:rsidP="0049529F" w14:paraId="26117F2D" w14:textId="647535DB">
            <w:pPr>
              <w:pStyle w:val="BodyText"/>
              <w:tabs>
                <w:tab w:val="left" w:pos="877"/>
              </w:tabs>
              <w:spacing w:after="0"/>
              <w:jc w:val="center"/>
            </w:pPr>
            <w:r>
              <w:t>G0110H</w:t>
            </w:r>
          </w:p>
        </w:tc>
        <w:tc>
          <w:tcPr>
            <w:tcW w:w="1762" w:type="dxa"/>
          </w:tcPr>
          <w:p w:rsidR="0049529F" w:rsidP="0049529F" w14:paraId="0848B618" w14:textId="7F9FFDB4">
            <w:pPr>
              <w:pStyle w:val="BodyText"/>
              <w:tabs>
                <w:tab w:val="left" w:pos="877"/>
              </w:tabs>
              <w:spacing w:after="0"/>
              <w:ind w:right="-82"/>
              <w:jc w:val="center"/>
            </w:pPr>
            <w:r>
              <w:t>G0110I</w:t>
            </w:r>
          </w:p>
        </w:tc>
        <w:tc>
          <w:tcPr>
            <w:tcW w:w="1762" w:type="dxa"/>
          </w:tcPr>
          <w:p w:rsidR="0049529F" w:rsidP="0049529F" w14:paraId="687E7AE7" w14:textId="37689735">
            <w:pPr>
              <w:pStyle w:val="BodyText"/>
              <w:tabs>
                <w:tab w:val="left" w:pos="877"/>
              </w:tabs>
              <w:spacing w:after="0"/>
              <w:ind w:right="-34"/>
              <w:jc w:val="center"/>
            </w:pPr>
            <w:r>
              <w:t>G0120</w:t>
            </w:r>
          </w:p>
        </w:tc>
        <w:tc>
          <w:tcPr>
            <w:tcW w:w="1762" w:type="dxa"/>
          </w:tcPr>
          <w:p w:rsidR="0049529F" w:rsidP="0049529F" w14:paraId="573DD4FF" w14:textId="427D9828">
            <w:pPr>
              <w:pStyle w:val="BodyText"/>
              <w:tabs>
                <w:tab w:val="left" w:pos="877"/>
              </w:tabs>
              <w:spacing w:after="0"/>
              <w:ind w:right="-76"/>
              <w:jc w:val="center"/>
            </w:pPr>
            <w:r>
              <w:t>G0300</w:t>
            </w:r>
          </w:p>
        </w:tc>
        <w:tc>
          <w:tcPr>
            <w:tcW w:w="1762" w:type="dxa"/>
          </w:tcPr>
          <w:p w:rsidR="0049529F" w:rsidP="0049529F" w14:paraId="7A2115BF" w14:textId="67431071">
            <w:pPr>
              <w:pStyle w:val="BodyText"/>
              <w:tabs>
                <w:tab w:val="left" w:pos="877"/>
              </w:tabs>
              <w:spacing w:after="0"/>
              <w:ind w:right="-26"/>
              <w:jc w:val="center"/>
            </w:pPr>
            <w:r>
              <w:t>G0900</w:t>
            </w:r>
          </w:p>
        </w:tc>
      </w:tr>
      <w:tr w14:paraId="03066DE4" w14:textId="14DA4784" w:rsidTr="0049529F">
        <w:tblPrEx>
          <w:tblW w:w="0" w:type="auto"/>
          <w:tblInd w:w="540" w:type="dxa"/>
          <w:tblLook w:val="04A0"/>
        </w:tblPrEx>
        <w:trPr>
          <w:gridAfter w:val="1"/>
          <w:wAfter w:w="1762" w:type="dxa"/>
        </w:trPr>
        <w:tc>
          <w:tcPr>
            <w:tcW w:w="1762" w:type="dxa"/>
          </w:tcPr>
          <w:p w:rsidR="005C11A3" w:rsidP="0049529F" w14:paraId="3CE8BD17" w14:textId="34E015A9">
            <w:pPr>
              <w:pStyle w:val="BodyText"/>
              <w:tabs>
                <w:tab w:val="left" w:pos="877"/>
              </w:tabs>
              <w:spacing w:after="0"/>
              <w:jc w:val="center"/>
            </w:pPr>
            <w:r>
              <w:t>J0500</w:t>
            </w:r>
          </w:p>
        </w:tc>
        <w:tc>
          <w:tcPr>
            <w:tcW w:w="1762" w:type="dxa"/>
          </w:tcPr>
          <w:p w:rsidR="005C11A3" w:rsidP="0049529F" w14:paraId="71E1E8FB" w14:textId="571E34A1">
            <w:pPr>
              <w:pStyle w:val="BodyText"/>
              <w:tabs>
                <w:tab w:val="left" w:pos="877"/>
              </w:tabs>
              <w:spacing w:after="0"/>
              <w:ind w:right="-82"/>
              <w:jc w:val="center"/>
            </w:pPr>
            <w:r>
              <w:t>N0410</w:t>
            </w:r>
          </w:p>
        </w:tc>
        <w:tc>
          <w:tcPr>
            <w:tcW w:w="1762" w:type="dxa"/>
          </w:tcPr>
          <w:p w:rsidR="005C11A3" w:rsidP="0049529F" w14:paraId="02B3EB62" w14:textId="3CD5EBAA">
            <w:pPr>
              <w:pStyle w:val="BodyText"/>
              <w:tabs>
                <w:tab w:val="left" w:pos="877"/>
              </w:tabs>
              <w:spacing w:after="0"/>
              <w:ind w:right="-34"/>
              <w:jc w:val="center"/>
            </w:pPr>
            <w:r>
              <w:t>O0600</w:t>
            </w:r>
          </w:p>
        </w:tc>
        <w:tc>
          <w:tcPr>
            <w:tcW w:w="1762" w:type="dxa"/>
          </w:tcPr>
          <w:p w:rsidR="005C11A3" w:rsidP="0049529F" w14:paraId="47AAEB01" w14:textId="75BEB72A">
            <w:pPr>
              <w:pStyle w:val="BodyText"/>
              <w:tabs>
                <w:tab w:val="left" w:pos="0"/>
                <w:tab w:val="left" w:pos="877"/>
              </w:tabs>
              <w:spacing w:after="0"/>
              <w:ind w:right="-76"/>
              <w:jc w:val="center"/>
            </w:pPr>
            <w:r>
              <w:t>O0700</w:t>
            </w:r>
          </w:p>
        </w:tc>
      </w:tr>
    </w:tbl>
    <w:p w:rsidR="00E33FF5" w:rsidRPr="008C4ED4" w:rsidP="005C11A3" w14:paraId="4CA2CDDD" w14:textId="77777777">
      <w:pPr>
        <w:pStyle w:val="BodyText"/>
        <w:spacing w:after="0"/>
        <w:ind w:left="540" w:right="540"/>
        <w:rPr>
          <w:sz w:val="8"/>
        </w:rPr>
      </w:pPr>
    </w:p>
    <w:p w:rsidR="00E33FF5" w:rsidP="00E33FF5" w14:paraId="48C06CF4" w14:textId="7469C5C9">
      <w:pPr>
        <w:pStyle w:val="BodyText"/>
        <w:numPr>
          <w:ilvl w:val="0"/>
          <w:numId w:val="24"/>
        </w:numPr>
        <w:spacing w:after="0"/>
        <w:ind w:right="540"/>
      </w:pPr>
      <w:r>
        <w:t>REVISED:  These items’ language was slightly revised to align across the post-acute care settings and now have new item numbers in v1.18.11</w:t>
      </w:r>
      <w:r w:rsidR="004E7753">
        <w:t>, but do not represent ‘new’ burden for the v1.18.11.</w:t>
      </w:r>
    </w:p>
    <w:tbl>
      <w:tblPr>
        <w:tblStyle w:val="TableGrid"/>
        <w:tblW w:w="0" w:type="auto"/>
        <w:tblInd w:w="535" w:type="dxa"/>
        <w:tblLook w:val="04A0"/>
      </w:tblPr>
      <w:tblGrid>
        <w:gridCol w:w="2203"/>
        <w:gridCol w:w="2204"/>
        <w:gridCol w:w="2204"/>
        <w:gridCol w:w="2204"/>
      </w:tblGrid>
      <w:tr w14:paraId="2D1FB4F2" w14:textId="381FE57D" w:rsidTr="003B258D">
        <w:tblPrEx>
          <w:tblW w:w="0" w:type="auto"/>
          <w:tblInd w:w="535" w:type="dxa"/>
          <w:tblLook w:val="04A0"/>
        </w:tblPrEx>
        <w:tc>
          <w:tcPr>
            <w:tcW w:w="2203" w:type="dxa"/>
          </w:tcPr>
          <w:p w:rsidR="0049529F" w:rsidP="0049529F" w14:paraId="1F043108" w14:textId="77777777">
            <w:pPr>
              <w:pStyle w:val="BodyText"/>
              <w:spacing w:after="0"/>
              <w:ind w:right="-71"/>
              <w:jc w:val="center"/>
            </w:pPr>
            <w:r>
              <w:t>A1100 to A1110</w:t>
            </w:r>
          </w:p>
        </w:tc>
        <w:tc>
          <w:tcPr>
            <w:tcW w:w="2204" w:type="dxa"/>
          </w:tcPr>
          <w:p w:rsidR="0049529F" w:rsidP="0049529F" w14:paraId="229FB7FC" w14:textId="6462026E">
            <w:pPr>
              <w:pStyle w:val="BodyText"/>
              <w:spacing w:after="0"/>
              <w:ind w:right="-21"/>
              <w:jc w:val="center"/>
            </w:pPr>
            <w:r>
              <w:t>A1800 to A1805</w:t>
            </w:r>
          </w:p>
        </w:tc>
        <w:tc>
          <w:tcPr>
            <w:tcW w:w="2204" w:type="dxa"/>
          </w:tcPr>
          <w:p w:rsidR="0049529F" w:rsidP="0049529F" w14:paraId="73C8FD8F" w14:textId="00B45EA6">
            <w:pPr>
              <w:pStyle w:val="BodyText"/>
              <w:spacing w:after="0"/>
              <w:ind w:right="-61"/>
              <w:jc w:val="center"/>
            </w:pPr>
            <w:r>
              <w:t>A2100 to A2105</w:t>
            </w:r>
          </w:p>
        </w:tc>
        <w:tc>
          <w:tcPr>
            <w:tcW w:w="2204" w:type="dxa"/>
          </w:tcPr>
          <w:p w:rsidR="0049529F" w:rsidP="0049529F" w14:paraId="3AB3CB0C" w14:textId="0720C1FF">
            <w:pPr>
              <w:pStyle w:val="BodyText"/>
              <w:spacing w:after="0"/>
              <w:ind w:right="-26"/>
              <w:jc w:val="center"/>
            </w:pPr>
            <w:r>
              <w:t>D0300 to D0160</w:t>
            </w:r>
          </w:p>
        </w:tc>
      </w:tr>
      <w:tr w14:paraId="47AD323F" w14:textId="77777777" w:rsidTr="003B258D">
        <w:tblPrEx>
          <w:tblW w:w="0" w:type="auto"/>
          <w:tblInd w:w="535" w:type="dxa"/>
          <w:tblLook w:val="04A0"/>
        </w:tblPrEx>
        <w:tc>
          <w:tcPr>
            <w:tcW w:w="2203" w:type="dxa"/>
          </w:tcPr>
          <w:p w:rsidR="0049529F" w:rsidP="0049529F" w14:paraId="2C3DC80E" w14:textId="7F7F3A24">
            <w:pPr>
              <w:pStyle w:val="BodyText"/>
              <w:spacing w:after="0"/>
              <w:ind w:right="-71"/>
              <w:jc w:val="center"/>
            </w:pPr>
            <w:r>
              <w:t>G0110J to GG0130I</w:t>
            </w:r>
          </w:p>
        </w:tc>
        <w:tc>
          <w:tcPr>
            <w:tcW w:w="2204" w:type="dxa"/>
          </w:tcPr>
          <w:p w:rsidR="0049529F" w:rsidP="0049529F" w14:paraId="59308053" w14:textId="54DB7B20">
            <w:pPr>
              <w:pStyle w:val="BodyText"/>
              <w:spacing w:after="0"/>
              <w:ind w:right="-21"/>
              <w:jc w:val="center"/>
            </w:pPr>
            <w:r>
              <w:t>G0400 to GG0115</w:t>
            </w:r>
          </w:p>
        </w:tc>
        <w:tc>
          <w:tcPr>
            <w:tcW w:w="2204" w:type="dxa"/>
          </w:tcPr>
          <w:p w:rsidR="0049529F" w:rsidP="0049529F" w14:paraId="34B7D5AE" w14:textId="6DA65490">
            <w:pPr>
              <w:pStyle w:val="BodyText"/>
              <w:spacing w:after="0"/>
              <w:ind w:right="-61"/>
              <w:jc w:val="center"/>
            </w:pPr>
            <w:r>
              <w:t>G0600 to GG0120</w:t>
            </w:r>
          </w:p>
        </w:tc>
        <w:tc>
          <w:tcPr>
            <w:tcW w:w="2204" w:type="dxa"/>
          </w:tcPr>
          <w:p w:rsidR="0049529F" w:rsidP="0049529F" w14:paraId="0B8D52C6" w14:textId="4DC4A7BD">
            <w:pPr>
              <w:pStyle w:val="BodyText"/>
              <w:spacing w:after="0"/>
              <w:ind w:right="-26"/>
              <w:jc w:val="center"/>
            </w:pPr>
            <w:r>
              <w:t>J0400 to J0410</w:t>
            </w:r>
          </w:p>
        </w:tc>
      </w:tr>
      <w:tr w14:paraId="1CFE3F59" w14:textId="77777777" w:rsidTr="008C4ED4">
        <w:tblPrEx>
          <w:tblW w:w="0" w:type="auto"/>
          <w:tblInd w:w="535" w:type="dxa"/>
          <w:tblLook w:val="04A0"/>
        </w:tblPrEx>
        <w:tc>
          <w:tcPr>
            <w:tcW w:w="2203" w:type="dxa"/>
          </w:tcPr>
          <w:p w:rsidR="008C4ED4" w:rsidP="008C4ED4" w14:paraId="606ED990" w14:textId="64D29D7D">
            <w:pPr>
              <w:pStyle w:val="BodyText"/>
              <w:spacing w:after="0"/>
              <w:ind w:right="-71"/>
              <w:jc w:val="center"/>
            </w:pPr>
            <w:r>
              <w:t>K0520</w:t>
            </w:r>
          </w:p>
        </w:tc>
        <w:tc>
          <w:tcPr>
            <w:tcW w:w="2204" w:type="dxa"/>
          </w:tcPr>
          <w:p w:rsidR="008C4ED4" w:rsidP="008C4ED4" w14:paraId="179D4D7F" w14:textId="7EF0B7DF">
            <w:pPr>
              <w:pStyle w:val="BodyText"/>
              <w:spacing w:after="0"/>
              <w:ind w:right="-21"/>
              <w:jc w:val="center"/>
            </w:pPr>
            <w:r>
              <w:t>N0415</w:t>
            </w:r>
          </w:p>
        </w:tc>
        <w:tc>
          <w:tcPr>
            <w:tcW w:w="2204" w:type="dxa"/>
          </w:tcPr>
          <w:p w:rsidR="008C4ED4" w:rsidP="008C4ED4" w14:paraId="0DF27112" w14:textId="71865706">
            <w:pPr>
              <w:pStyle w:val="BodyText"/>
              <w:spacing w:after="0"/>
              <w:ind w:right="-61"/>
              <w:jc w:val="center"/>
            </w:pPr>
            <w:r>
              <w:t>O0100 to O0110</w:t>
            </w:r>
          </w:p>
        </w:tc>
        <w:tc>
          <w:tcPr>
            <w:tcW w:w="2204" w:type="dxa"/>
          </w:tcPr>
          <w:p w:rsidR="008C4ED4" w:rsidP="008C4ED4" w14:paraId="08B2AEFF" w14:textId="73CAE2B1">
            <w:pPr>
              <w:pStyle w:val="BodyText"/>
              <w:spacing w:after="0"/>
              <w:ind w:right="-61"/>
              <w:jc w:val="center"/>
            </w:pPr>
            <w:r>
              <w:t>Q0300 to Q0310</w:t>
            </w:r>
          </w:p>
        </w:tc>
      </w:tr>
      <w:tr w14:paraId="7FA67EA8" w14:textId="77777777" w:rsidTr="008C4ED4">
        <w:tblPrEx>
          <w:tblW w:w="0" w:type="auto"/>
          <w:tblInd w:w="535" w:type="dxa"/>
          <w:tblLook w:val="04A0"/>
        </w:tblPrEx>
        <w:trPr>
          <w:gridAfter w:val="3"/>
          <w:wAfter w:w="6612" w:type="dxa"/>
        </w:trPr>
        <w:tc>
          <w:tcPr>
            <w:tcW w:w="2203" w:type="dxa"/>
          </w:tcPr>
          <w:p w:rsidR="008C4ED4" w:rsidP="008C4ED4" w14:paraId="133A3195" w14:textId="1A015693">
            <w:pPr>
              <w:pStyle w:val="BodyText"/>
              <w:spacing w:after="0"/>
              <w:ind w:right="-71"/>
              <w:jc w:val="center"/>
            </w:pPr>
            <w:r>
              <w:t>Q0600 to Q0610</w:t>
            </w:r>
          </w:p>
        </w:tc>
      </w:tr>
    </w:tbl>
    <w:p w:rsidR="00E33FF5" w:rsidRPr="008C4ED4" w:rsidP="00E33FF5" w14:paraId="54D8F238" w14:textId="77777777">
      <w:pPr>
        <w:pStyle w:val="BodyText"/>
        <w:spacing w:after="0"/>
        <w:ind w:left="900" w:right="540"/>
        <w:rPr>
          <w:sz w:val="2"/>
        </w:rPr>
      </w:pPr>
    </w:p>
    <w:p w:rsidR="00E33FF5" w:rsidP="00E33FF5" w14:paraId="0783D8F6" w14:textId="4A57AD99">
      <w:pPr>
        <w:pStyle w:val="BodyText"/>
        <w:numPr>
          <w:ilvl w:val="0"/>
          <w:numId w:val="24"/>
        </w:numPr>
        <w:spacing w:after="0"/>
        <w:ind w:right="540"/>
      </w:pPr>
      <w:r>
        <w:t>NEW:  These items are new to the v1.18.11, and were included in the original PRA package approved November 22, 2019.</w:t>
      </w:r>
    </w:p>
    <w:tbl>
      <w:tblPr>
        <w:tblStyle w:val="TableGrid"/>
        <w:tblW w:w="0" w:type="auto"/>
        <w:tblInd w:w="540" w:type="dxa"/>
        <w:tblLook w:val="04A0"/>
      </w:tblPr>
      <w:tblGrid>
        <w:gridCol w:w="1762"/>
        <w:gridCol w:w="1762"/>
        <w:gridCol w:w="1762"/>
        <w:gridCol w:w="1762"/>
        <w:gridCol w:w="1762"/>
      </w:tblGrid>
      <w:tr w14:paraId="0A70E32F" w14:textId="77777777" w:rsidTr="003B258D">
        <w:tblPrEx>
          <w:tblW w:w="0" w:type="auto"/>
          <w:tblInd w:w="540" w:type="dxa"/>
          <w:tblLook w:val="04A0"/>
        </w:tblPrEx>
        <w:tc>
          <w:tcPr>
            <w:tcW w:w="1762" w:type="dxa"/>
          </w:tcPr>
          <w:p w:rsidR="005C11A3" w:rsidP="003B258D" w14:paraId="548FBA49" w14:textId="21A42DBE">
            <w:pPr>
              <w:pStyle w:val="BodyText"/>
              <w:tabs>
                <w:tab w:val="left" w:pos="877"/>
              </w:tabs>
              <w:spacing w:after="0"/>
              <w:jc w:val="center"/>
            </w:pPr>
            <w:r>
              <w:t>A1005</w:t>
            </w:r>
          </w:p>
        </w:tc>
        <w:tc>
          <w:tcPr>
            <w:tcW w:w="1762" w:type="dxa"/>
          </w:tcPr>
          <w:p w:rsidR="005C11A3" w:rsidP="003B258D" w14:paraId="28EA6A72" w14:textId="1DD4D4A5">
            <w:pPr>
              <w:pStyle w:val="BodyText"/>
              <w:tabs>
                <w:tab w:val="left" w:pos="877"/>
              </w:tabs>
              <w:spacing w:after="0"/>
              <w:ind w:right="-82"/>
              <w:jc w:val="center"/>
            </w:pPr>
            <w:r>
              <w:t>A1010</w:t>
            </w:r>
          </w:p>
        </w:tc>
        <w:tc>
          <w:tcPr>
            <w:tcW w:w="1762" w:type="dxa"/>
          </w:tcPr>
          <w:p w:rsidR="005C11A3" w:rsidP="003B258D" w14:paraId="44026EC8" w14:textId="6C0D9F4B">
            <w:pPr>
              <w:pStyle w:val="BodyText"/>
              <w:tabs>
                <w:tab w:val="left" w:pos="877"/>
              </w:tabs>
              <w:spacing w:after="0"/>
              <w:ind w:right="-34"/>
              <w:jc w:val="center"/>
            </w:pPr>
            <w:r>
              <w:t>A1250</w:t>
            </w:r>
          </w:p>
        </w:tc>
        <w:tc>
          <w:tcPr>
            <w:tcW w:w="1762" w:type="dxa"/>
          </w:tcPr>
          <w:p w:rsidR="005C11A3" w:rsidP="003B258D" w14:paraId="2C60C08E" w14:textId="42DAE90A">
            <w:pPr>
              <w:pStyle w:val="BodyText"/>
              <w:tabs>
                <w:tab w:val="left" w:pos="877"/>
              </w:tabs>
              <w:spacing w:after="0"/>
              <w:ind w:right="-76"/>
              <w:jc w:val="center"/>
            </w:pPr>
            <w:r>
              <w:t>A2121</w:t>
            </w:r>
          </w:p>
        </w:tc>
        <w:tc>
          <w:tcPr>
            <w:tcW w:w="1762" w:type="dxa"/>
          </w:tcPr>
          <w:p w:rsidR="005C11A3" w:rsidP="003B258D" w14:paraId="16C7CF85" w14:textId="15D2B432">
            <w:pPr>
              <w:pStyle w:val="BodyText"/>
              <w:tabs>
                <w:tab w:val="left" w:pos="877"/>
              </w:tabs>
              <w:spacing w:after="0"/>
              <w:ind w:right="-26"/>
              <w:jc w:val="center"/>
            </w:pPr>
            <w:r>
              <w:t>A2122</w:t>
            </w:r>
          </w:p>
        </w:tc>
      </w:tr>
      <w:tr w14:paraId="7EC3DDB9" w14:textId="77777777" w:rsidTr="003B258D">
        <w:tblPrEx>
          <w:tblW w:w="0" w:type="auto"/>
          <w:tblInd w:w="540" w:type="dxa"/>
          <w:tblLook w:val="04A0"/>
        </w:tblPrEx>
        <w:tc>
          <w:tcPr>
            <w:tcW w:w="1762" w:type="dxa"/>
          </w:tcPr>
          <w:p w:rsidR="005C11A3" w:rsidP="003B258D" w14:paraId="27C82897" w14:textId="57787BB9">
            <w:pPr>
              <w:pStyle w:val="BodyText"/>
              <w:tabs>
                <w:tab w:val="left" w:pos="877"/>
              </w:tabs>
              <w:spacing w:after="0"/>
              <w:jc w:val="center"/>
            </w:pPr>
            <w:r>
              <w:t>A2123</w:t>
            </w:r>
          </w:p>
        </w:tc>
        <w:tc>
          <w:tcPr>
            <w:tcW w:w="1762" w:type="dxa"/>
          </w:tcPr>
          <w:p w:rsidR="005C11A3" w:rsidP="003B258D" w14:paraId="44C9EA45" w14:textId="4419D853">
            <w:pPr>
              <w:pStyle w:val="BodyText"/>
              <w:tabs>
                <w:tab w:val="left" w:pos="877"/>
              </w:tabs>
              <w:spacing w:after="0"/>
              <w:ind w:right="-82"/>
              <w:jc w:val="center"/>
            </w:pPr>
            <w:r>
              <w:t>A2124</w:t>
            </w:r>
          </w:p>
        </w:tc>
        <w:tc>
          <w:tcPr>
            <w:tcW w:w="1762" w:type="dxa"/>
          </w:tcPr>
          <w:p w:rsidR="005C11A3" w:rsidP="003B258D" w14:paraId="112D2280" w14:textId="3FC172F4">
            <w:pPr>
              <w:pStyle w:val="BodyText"/>
              <w:tabs>
                <w:tab w:val="left" w:pos="877"/>
              </w:tabs>
              <w:spacing w:after="0"/>
              <w:ind w:right="-34"/>
              <w:jc w:val="center"/>
            </w:pPr>
            <w:r>
              <w:t>B1300</w:t>
            </w:r>
          </w:p>
        </w:tc>
        <w:tc>
          <w:tcPr>
            <w:tcW w:w="1762" w:type="dxa"/>
          </w:tcPr>
          <w:p w:rsidR="005C11A3" w:rsidP="003B258D" w14:paraId="0B913C47" w14:textId="2970D72A">
            <w:pPr>
              <w:pStyle w:val="BodyText"/>
              <w:tabs>
                <w:tab w:val="left" w:pos="877"/>
              </w:tabs>
              <w:spacing w:after="0"/>
              <w:ind w:right="-76"/>
              <w:jc w:val="center"/>
            </w:pPr>
            <w:r>
              <w:t>D0150</w:t>
            </w:r>
          </w:p>
        </w:tc>
        <w:tc>
          <w:tcPr>
            <w:tcW w:w="1762" w:type="dxa"/>
          </w:tcPr>
          <w:p w:rsidR="005C11A3" w:rsidP="003B258D" w14:paraId="5DC236F9" w14:textId="1EB7F726">
            <w:pPr>
              <w:pStyle w:val="BodyText"/>
              <w:tabs>
                <w:tab w:val="left" w:pos="877"/>
              </w:tabs>
              <w:spacing w:after="0"/>
              <w:ind w:right="-26"/>
              <w:jc w:val="center"/>
            </w:pPr>
            <w:r>
              <w:t>D0700</w:t>
            </w:r>
          </w:p>
        </w:tc>
      </w:tr>
      <w:tr w14:paraId="405A03D8" w14:textId="77777777" w:rsidTr="003B258D">
        <w:tblPrEx>
          <w:tblW w:w="0" w:type="auto"/>
          <w:tblInd w:w="540" w:type="dxa"/>
          <w:tblLook w:val="04A0"/>
        </w:tblPrEx>
        <w:tc>
          <w:tcPr>
            <w:tcW w:w="1762" w:type="dxa"/>
          </w:tcPr>
          <w:p w:rsidR="005C11A3" w:rsidP="003B258D" w14:paraId="3B1DF84B" w14:textId="234229BE">
            <w:pPr>
              <w:pStyle w:val="BodyText"/>
              <w:tabs>
                <w:tab w:val="left" w:pos="877"/>
              </w:tabs>
              <w:spacing w:after="0"/>
              <w:jc w:val="center"/>
            </w:pPr>
            <w:r>
              <w:t>GG0170FF</w:t>
            </w:r>
          </w:p>
        </w:tc>
        <w:tc>
          <w:tcPr>
            <w:tcW w:w="1762" w:type="dxa"/>
          </w:tcPr>
          <w:p w:rsidR="005C11A3" w:rsidP="003B258D" w14:paraId="07CB3947" w14:textId="039B4753">
            <w:pPr>
              <w:pStyle w:val="BodyText"/>
              <w:tabs>
                <w:tab w:val="left" w:pos="877"/>
              </w:tabs>
              <w:spacing w:after="0"/>
              <w:ind w:right="-82"/>
              <w:jc w:val="center"/>
            </w:pPr>
            <w:r>
              <w:t>J0510</w:t>
            </w:r>
          </w:p>
        </w:tc>
        <w:tc>
          <w:tcPr>
            <w:tcW w:w="1762" w:type="dxa"/>
          </w:tcPr>
          <w:p w:rsidR="005C11A3" w:rsidP="003B258D" w14:paraId="1A611F14" w14:textId="18D12C26">
            <w:pPr>
              <w:pStyle w:val="BodyText"/>
              <w:tabs>
                <w:tab w:val="left" w:pos="877"/>
              </w:tabs>
              <w:spacing w:after="0"/>
              <w:ind w:right="-34"/>
              <w:jc w:val="center"/>
            </w:pPr>
            <w:r>
              <w:t>J0520</w:t>
            </w:r>
          </w:p>
        </w:tc>
        <w:tc>
          <w:tcPr>
            <w:tcW w:w="1762" w:type="dxa"/>
          </w:tcPr>
          <w:p w:rsidR="005C11A3" w:rsidP="003B258D" w14:paraId="1AF20448" w14:textId="6A9A5528">
            <w:pPr>
              <w:pStyle w:val="BodyText"/>
              <w:tabs>
                <w:tab w:val="left" w:pos="877"/>
              </w:tabs>
              <w:spacing w:after="0"/>
              <w:ind w:right="-76"/>
              <w:jc w:val="center"/>
            </w:pPr>
            <w:r>
              <w:t>J0530</w:t>
            </w:r>
          </w:p>
        </w:tc>
        <w:tc>
          <w:tcPr>
            <w:tcW w:w="1762" w:type="dxa"/>
          </w:tcPr>
          <w:p w:rsidR="005C11A3" w:rsidP="003B258D" w14:paraId="519AF29B" w14:textId="23357846">
            <w:pPr>
              <w:pStyle w:val="BodyText"/>
              <w:tabs>
                <w:tab w:val="left" w:pos="877"/>
              </w:tabs>
              <w:spacing w:after="0"/>
              <w:ind w:right="-26"/>
              <w:jc w:val="center"/>
            </w:pPr>
            <w:r>
              <w:t>Q0500C</w:t>
            </w:r>
            <w:r>
              <w:t xml:space="preserve"> </w:t>
            </w:r>
          </w:p>
        </w:tc>
      </w:tr>
      <w:tr w14:paraId="6F02C5B1" w14:textId="77777777" w:rsidTr="003B258D">
        <w:tblPrEx>
          <w:tblW w:w="0" w:type="auto"/>
          <w:tblInd w:w="540" w:type="dxa"/>
          <w:tblLook w:val="04A0"/>
        </w:tblPrEx>
        <w:trPr>
          <w:gridAfter w:val="3"/>
          <w:wAfter w:w="5286" w:type="dxa"/>
        </w:trPr>
        <w:tc>
          <w:tcPr>
            <w:tcW w:w="1762" w:type="dxa"/>
          </w:tcPr>
          <w:p w:rsidR="008C4ED4" w:rsidP="008C4ED4" w14:paraId="58523FA6" w14:textId="5553D904">
            <w:pPr>
              <w:pStyle w:val="BodyText"/>
              <w:tabs>
                <w:tab w:val="left" w:pos="877"/>
              </w:tabs>
              <w:spacing w:after="0"/>
              <w:jc w:val="center"/>
            </w:pPr>
            <w:r>
              <w:t>Q0550C</w:t>
            </w:r>
          </w:p>
        </w:tc>
        <w:tc>
          <w:tcPr>
            <w:tcW w:w="1762" w:type="dxa"/>
          </w:tcPr>
          <w:p w:rsidR="008C4ED4" w:rsidP="008C4ED4" w14:paraId="66609666" w14:textId="0CB94227">
            <w:pPr>
              <w:pStyle w:val="BodyText"/>
              <w:tabs>
                <w:tab w:val="left" w:pos="877"/>
              </w:tabs>
              <w:spacing w:after="0"/>
              <w:ind w:right="-82"/>
              <w:jc w:val="center"/>
            </w:pPr>
            <w:r>
              <w:t>Q0620</w:t>
            </w:r>
          </w:p>
        </w:tc>
      </w:tr>
    </w:tbl>
    <w:p w:rsidR="00390250" w:rsidRPr="00550F57" w:rsidP="00390250" w14:paraId="1FF7CA7C" w14:textId="4A04D55E">
      <w:pPr>
        <w:pStyle w:val="Heading1"/>
        <w:rPr>
          <w:u w:val="none"/>
        </w:rPr>
      </w:pPr>
      <w:bookmarkStart w:id="3" w:name="_Toc125742238"/>
      <w:r w:rsidRPr="00550F57">
        <w:rPr>
          <w:u w:val="none"/>
        </w:rPr>
        <w:t>A.</w:t>
      </w:r>
      <w:r w:rsidRPr="00550F57">
        <w:rPr>
          <w:u w:val="none"/>
        </w:rPr>
        <w:tab/>
        <w:t>Background</w:t>
      </w:r>
      <w:bookmarkEnd w:id="3"/>
      <w:r w:rsidRPr="00550F57">
        <w:rPr>
          <w:u w:val="none"/>
        </w:rPr>
        <w:t xml:space="preserve"> </w:t>
      </w:r>
    </w:p>
    <w:p w:rsidR="0083532B" w:rsidRPr="00550F57" w:rsidP="00486441" w14:paraId="4CD91025" w14:textId="77777777"/>
    <w:p w:rsidR="001F2665" w:rsidRPr="001F2665" w:rsidP="001F2665" w14:paraId="27399FE4" w14:textId="1C9DE4F1">
      <w:pPr>
        <w:pStyle w:val="Heading2"/>
        <w:rPr>
          <w:rFonts w:ascii="Times New Roman" w:hAnsi="Times New Roman" w:cs="Times New Roman"/>
          <w:color w:val="auto"/>
          <w:sz w:val="24"/>
          <w:szCs w:val="24"/>
          <w:u w:val="single"/>
        </w:rPr>
      </w:pPr>
      <w:bookmarkStart w:id="4" w:name="_Toc125742239"/>
      <w:r w:rsidRPr="005E3DEF">
        <w:rPr>
          <w:rFonts w:ascii="Times New Roman" w:hAnsi="Times New Roman" w:cs="Times New Roman"/>
          <w:color w:val="auto"/>
          <w:sz w:val="24"/>
          <w:szCs w:val="24"/>
          <w:u w:val="single"/>
        </w:rPr>
        <w:t>1. Background of the MDS in Nursing Homes (NH)</w:t>
      </w:r>
      <w:bookmarkEnd w:id="4"/>
    </w:p>
    <w:p w:rsidR="00184BA9" w:rsidP="005E3DEF" w14:paraId="78499220" w14:textId="4ECEF3C9">
      <w:pPr>
        <w:pStyle w:val="BodyText"/>
      </w:pPr>
    </w:p>
    <w:p w:rsidR="00184BA9" w:rsidP="005E3DEF" w14:paraId="3977C2A5" w14:textId="6C547D42">
      <w:pPr>
        <w:pStyle w:val="BodyText"/>
      </w:pPr>
      <w:r>
        <w:t>The MDS is a uniform instrument used in every Medicare/Medicaid certified nursing home in the United States to assess resident condition.  It was developed in response to the Landmark Institute of Medicine (IOM) Report on Nursing Home Quality in 1987 where the MDS was seen as a critical component in efforts to improve the quality of care in nursing homes. From its inception, the MDS was intended to serve several purposes:</w:t>
      </w:r>
    </w:p>
    <w:p w:rsidR="00184BA9" w:rsidP="005E3DEF" w14:paraId="427318DF" w14:textId="77777777">
      <w:pPr>
        <w:pStyle w:val="BodyText"/>
        <w:widowControl w:val="0"/>
        <w:numPr>
          <w:ilvl w:val="0"/>
          <w:numId w:val="23"/>
        </w:numPr>
        <w:autoSpaceDE w:val="0"/>
        <w:autoSpaceDN w:val="0"/>
        <w:spacing w:after="0"/>
      </w:pPr>
      <w:r>
        <w:t>Collect data to inform care plans</w:t>
      </w:r>
    </w:p>
    <w:p w:rsidR="00184BA9" w:rsidP="005E3DEF" w14:paraId="548DF030" w14:textId="77777777">
      <w:pPr>
        <w:pStyle w:val="BodyText"/>
        <w:widowControl w:val="0"/>
        <w:numPr>
          <w:ilvl w:val="0"/>
          <w:numId w:val="23"/>
        </w:numPr>
        <w:autoSpaceDE w:val="0"/>
        <w:autoSpaceDN w:val="0"/>
        <w:spacing w:after="0"/>
      </w:pPr>
      <w:r>
        <w:t xml:space="preserve">To generate quality indicators </w:t>
      </w:r>
      <w:r w:rsidRPr="006578A8">
        <w:t>to evaluate</w:t>
      </w:r>
      <w:r>
        <w:t xml:space="preserve"> nursing homes and guide improvement interventions</w:t>
      </w:r>
    </w:p>
    <w:p w:rsidR="00184BA9" w:rsidP="005E3DEF" w14:paraId="64443EB9" w14:textId="77777777">
      <w:pPr>
        <w:pStyle w:val="BodyText"/>
        <w:widowControl w:val="0"/>
        <w:numPr>
          <w:ilvl w:val="0"/>
          <w:numId w:val="23"/>
        </w:numPr>
        <w:autoSpaceDE w:val="0"/>
        <w:autoSpaceDN w:val="0"/>
        <w:spacing w:after="0"/>
      </w:pPr>
      <w:r>
        <w:t>To serve as a data source for nursing home payment systems.</w:t>
      </w:r>
    </w:p>
    <w:p w:rsidR="00752628" w:rsidP="00752628" w14:paraId="3A4B249F" w14:textId="77777777">
      <w:pPr>
        <w:rPr>
          <w:szCs w:val="24"/>
        </w:rPr>
      </w:pPr>
    </w:p>
    <w:p w:rsidR="00184BA9" w:rsidRPr="00FD5F2D" w:rsidP="005E3DEF" w14:paraId="5CCA8997" w14:textId="35312AFE">
      <w:pPr>
        <w:rPr>
          <w:szCs w:val="24"/>
        </w:rPr>
      </w:pPr>
      <w:r w:rsidRPr="00FD5F2D">
        <w:rPr>
          <w:szCs w:val="24"/>
        </w:rPr>
        <w:t xml:space="preserve">Pursuant to sections 4204(b) and 4214(d) of OBRA 1987, the current requirements related to the </w:t>
      </w:r>
    </w:p>
    <w:p w:rsidR="00184BA9" w:rsidRPr="00FD5F2D" w:rsidP="005E3DEF" w14:paraId="610D4550" w14:textId="77777777">
      <w:pPr>
        <w:rPr>
          <w:szCs w:val="24"/>
        </w:rPr>
      </w:pPr>
      <w:r w:rsidRPr="00FD5F2D">
        <w:rPr>
          <w:szCs w:val="24"/>
        </w:rPr>
        <w:t xml:space="preserve">submission and retention of resident assessment data are not subject to the Paperwork Reduction </w:t>
      </w:r>
    </w:p>
    <w:p w:rsidR="00184BA9" w:rsidRPr="00FD5F2D" w:rsidP="005E3DEF" w14:paraId="5528F7A3" w14:textId="77777777">
      <w:pPr>
        <w:rPr>
          <w:szCs w:val="24"/>
        </w:rPr>
      </w:pPr>
      <w:r w:rsidRPr="00FD5F2D">
        <w:rPr>
          <w:szCs w:val="24"/>
        </w:rPr>
        <w:t xml:space="preserve">Act (PRA), but it has been determined that requirements for SNF staff performing, encoding and </w:t>
      </w:r>
    </w:p>
    <w:p w:rsidR="00184BA9" w:rsidRPr="00FD5F2D" w:rsidP="005E3DEF" w14:paraId="1FB0FF6F" w14:textId="77777777">
      <w:pPr>
        <w:rPr>
          <w:szCs w:val="24"/>
        </w:rPr>
      </w:pPr>
      <w:r w:rsidRPr="00FD5F2D">
        <w:rPr>
          <w:szCs w:val="24"/>
        </w:rPr>
        <w:t xml:space="preserve">transmitting patient assessment data necessary to administer the payment rate methodology </w:t>
      </w:r>
    </w:p>
    <w:p w:rsidR="00184BA9" w:rsidRPr="003E223B" w:rsidP="005E3DEF" w14:paraId="64440948" w14:textId="77777777">
      <w:pPr>
        <w:rPr>
          <w:szCs w:val="24"/>
        </w:rPr>
      </w:pPr>
      <w:r w:rsidRPr="00FD5F2D">
        <w:rPr>
          <w:szCs w:val="24"/>
        </w:rPr>
        <w:t>described in 413.337, are subject to the PRA</w:t>
      </w:r>
      <w:r>
        <w:t xml:space="preserve">.  </w:t>
      </w:r>
    </w:p>
    <w:p w:rsidR="00184BA9" w:rsidRPr="003E223B" w14:paraId="212505B2" w14:textId="77777777">
      <w:pPr>
        <w:rPr>
          <w:szCs w:val="24"/>
        </w:rPr>
      </w:pPr>
    </w:p>
    <w:p w:rsidR="00184BA9" w:rsidP="005D1F1A" w14:paraId="216F237B" w14:textId="6D02ED23">
      <w:pPr>
        <w:pStyle w:val="BodyText"/>
        <w:rPr>
          <w:szCs w:val="24"/>
        </w:rPr>
      </w:pPr>
      <w:r>
        <w:t>The SNF QRP was established in CMS-1622-F (August 4, 2015; 80 FR 46390) and began</w:t>
      </w:r>
      <w:r>
        <w:rPr>
          <w:spacing w:val="1"/>
        </w:rPr>
        <w:t xml:space="preserve"> </w:t>
      </w:r>
      <w:r>
        <w:t xml:space="preserve">collecting data from SNFs in FY 2016 using the MDS. </w:t>
      </w:r>
    </w:p>
    <w:p w:rsidR="002D1C0B" w:rsidRPr="00550F57" w:rsidP="00682B7F" w14:paraId="18FA5F08" w14:textId="71493B26">
      <w:pPr>
        <w:pStyle w:val="BodyText1"/>
        <w:rPr>
          <w:sz w:val="24"/>
          <w:szCs w:val="24"/>
        </w:rPr>
      </w:pPr>
      <w:r w:rsidRPr="00550F57">
        <w:rPr>
          <w:sz w:val="24"/>
          <w:szCs w:val="24"/>
        </w:rPr>
        <w:t xml:space="preserve">Regarding the SNF Quality Reporting Program (SNF QRP), </w:t>
      </w:r>
      <w:r w:rsidRPr="00550F57">
        <w:rPr>
          <w:b/>
          <w:sz w:val="24"/>
          <w:szCs w:val="24"/>
        </w:rPr>
        <w:t>Table 1</w:t>
      </w:r>
      <w:r w:rsidRPr="00550F57">
        <w:rPr>
          <w:sz w:val="24"/>
          <w:szCs w:val="24"/>
        </w:rPr>
        <w:t xml:space="preserve"> lists the quality measures, collected via the MDS, currently in use. </w:t>
      </w:r>
    </w:p>
    <w:p w:rsidR="00A32C3C" w:rsidRPr="004D292C" w:rsidP="00A32C3C" w14:paraId="6B1E061D" w14:textId="77777777">
      <w:pPr>
        <w:pStyle w:val="TableCaption"/>
        <w:rPr>
          <w:i/>
          <w:sz w:val="24"/>
        </w:rPr>
      </w:pPr>
      <w:r w:rsidRPr="004D292C">
        <w:t xml:space="preserve">Table 1: </w:t>
      </w:r>
      <w:r w:rsidRPr="004D292C">
        <w:rPr>
          <w:rFonts w:eastAsia="MS Mincho"/>
        </w:rPr>
        <w:t xml:space="preserve">Quality Measures Currently </w:t>
      </w:r>
      <w:r>
        <w:rPr>
          <w:rFonts w:eastAsia="MS Mincho"/>
        </w:rPr>
        <w:t>Collected</w:t>
      </w:r>
      <w:r w:rsidRPr="004D292C">
        <w:rPr>
          <w:rFonts w:eastAsia="MS Mincho"/>
        </w:rPr>
        <w:t xml:space="preserve"> </w:t>
      </w:r>
      <w:r>
        <w:rPr>
          <w:rFonts w:eastAsia="MS Mincho"/>
        </w:rPr>
        <w:t>via the MDS</w:t>
      </w:r>
    </w:p>
    <w:tbl>
      <w:tblPr>
        <w:tblpPr w:leftFromText="180" w:rightFromText="180" w:vertAnchor="text" w:horzAnchor="margin" w:tblpY="1"/>
        <w:tblW w:w="9805" w:type="dxa"/>
        <w:tblLayout w:type="fixed"/>
        <w:tblLook w:val="0000"/>
      </w:tblPr>
      <w:tblGrid>
        <w:gridCol w:w="2695"/>
        <w:gridCol w:w="7110"/>
      </w:tblGrid>
      <w:tr w14:paraId="042B163C" w14:textId="77777777" w:rsidTr="005D1F1A">
        <w:tblPrEx>
          <w:tblW w:w="9805" w:type="dxa"/>
          <w:tblLayout w:type="fixed"/>
          <w:tblLook w:val="0000"/>
        </w:tblPrEx>
        <w:trPr>
          <w:cantSplit/>
          <w:trHeight w:val="832"/>
          <w:tblHeader/>
        </w:trPr>
        <w:tc>
          <w:tcPr>
            <w:tcW w:w="2695" w:type="dxa"/>
            <w:tcBorders>
              <w:top w:val="single" w:sz="4" w:space="0" w:color="auto"/>
              <w:left w:val="single" w:sz="4" w:space="0" w:color="auto"/>
              <w:bottom w:val="single" w:sz="4" w:space="0" w:color="auto"/>
              <w:right w:val="single" w:sz="4" w:space="0" w:color="auto"/>
            </w:tcBorders>
            <w:shd w:val="clear" w:color="auto" w:fill="auto"/>
            <w:vAlign w:val="center"/>
          </w:tcPr>
          <w:p w:rsidR="00A32C3C" w:rsidRPr="00550F57" w:rsidP="005D1F1A" w14:paraId="2CFDB517" w14:textId="3D51862C">
            <w:pPr>
              <w:keepNext/>
              <w:keepLines/>
              <w:widowControl w:val="0"/>
              <w:adjustRightInd w:val="0"/>
              <w:contextualSpacing/>
              <w:jc w:val="center"/>
              <w:rPr>
                <w:rFonts w:eastAsia="MS Mincho"/>
                <w:b/>
                <w:bCs/>
                <w:color w:val="000000"/>
                <w:sz w:val="20"/>
              </w:rPr>
            </w:pPr>
            <w:r w:rsidRPr="00550F57">
              <w:rPr>
                <w:rFonts w:eastAsia="MS Mincho"/>
                <w:b/>
                <w:sz w:val="20"/>
              </w:rPr>
              <w:t>Quality Measures Currently Adopted for the FY 202</w:t>
            </w:r>
            <w:r>
              <w:rPr>
                <w:rFonts w:eastAsia="MS Mincho"/>
                <w:b/>
                <w:sz w:val="20"/>
              </w:rPr>
              <w:t>3</w:t>
            </w:r>
            <w:r w:rsidRPr="00550F57">
              <w:rPr>
                <w:rFonts w:eastAsia="MS Mincho"/>
                <w:b/>
                <w:sz w:val="20"/>
              </w:rPr>
              <w:t xml:space="preserve"> SNF QRP </w:t>
            </w:r>
            <w:r w:rsidRPr="00550F57">
              <w:rPr>
                <w:rFonts w:eastAsia="MS Mincho"/>
                <w:b/>
                <w:bCs/>
                <w:color w:val="000000"/>
                <w:sz w:val="20"/>
              </w:rPr>
              <w:t>Short Name</w:t>
            </w:r>
          </w:p>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rsidR="00A32C3C" w:rsidRPr="00550F57" w:rsidP="002D1674" w14:paraId="1C18F2E6" w14:textId="77777777">
            <w:pPr>
              <w:keepNext/>
              <w:keepLines/>
              <w:widowControl w:val="0"/>
              <w:adjustRightInd w:val="0"/>
              <w:contextualSpacing/>
              <w:jc w:val="center"/>
              <w:rPr>
                <w:rFonts w:eastAsia="MS Mincho"/>
                <w:b/>
                <w:bCs/>
                <w:color w:val="000000"/>
                <w:sz w:val="20"/>
              </w:rPr>
            </w:pPr>
            <w:r w:rsidRPr="00550F57">
              <w:rPr>
                <w:rFonts w:eastAsia="MS Mincho"/>
                <w:b/>
                <w:bCs/>
                <w:color w:val="000000"/>
                <w:sz w:val="20"/>
              </w:rPr>
              <w:t>Measure Name &amp; Data Source</w:t>
            </w:r>
          </w:p>
        </w:tc>
      </w:tr>
      <w:tr w14:paraId="278D9668" w14:textId="77777777" w:rsidTr="005E3DEF">
        <w:tblPrEx>
          <w:tblW w:w="9805" w:type="dxa"/>
          <w:tblLayout w:type="fixed"/>
          <w:tblLook w:val="0000"/>
        </w:tblPrEx>
        <w:trPr>
          <w:cantSplit/>
          <w:trHeight w:val="209"/>
          <w:tblHeader/>
        </w:trPr>
        <w:tc>
          <w:tcPr>
            <w:tcW w:w="9805" w:type="dxa"/>
            <w:gridSpan w:val="2"/>
            <w:tcBorders>
              <w:top w:val="single" w:sz="4" w:space="0" w:color="auto"/>
              <w:left w:val="single" w:sz="4" w:space="0" w:color="auto"/>
              <w:bottom w:val="single" w:sz="4" w:space="0" w:color="auto"/>
              <w:right w:val="single" w:sz="4" w:space="0" w:color="auto"/>
            </w:tcBorders>
          </w:tcPr>
          <w:p w:rsidR="00A32C3C" w:rsidRPr="00550F57" w:rsidP="00A32C3C" w14:paraId="0400A383" w14:textId="77777777">
            <w:pPr>
              <w:keepNext/>
              <w:keepLines/>
              <w:widowControl w:val="0"/>
              <w:adjustRightInd w:val="0"/>
              <w:jc w:val="center"/>
              <w:rPr>
                <w:rFonts w:eastAsia="MS Mincho"/>
                <w:b/>
                <w:color w:val="000000"/>
                <w:sz w:val="20"/>
              </w:rPr>
            </w:pPr>
            <w:r w:rsidRPr="00550F57">
              <w:rPr>
                <w:rFonts w:eastAsia="MS Mincho"/>
                <w:b/>
                <w:bCs/>
                <w:color w:val="000000"/>
                <w:sz w:val="20"/>
              </w:rPr>
              <w:t>Resident Assessment Instrument Minimum Data Set</w:t>
            </w:r>
          </w:p>
        </w:tc>
      </w:tr>
      <w:tr w14:paraId="36847BFD" w14:textId="77777777" w:rsidTr="005E3DEF">
        <w:tblPrEx>
          <w:tblW w:w="9805" w:type="dxa"/>
          <w:tblLayout w:type="fixed"/>
          <w:tblLook w:val="0000"/>
        </w:tblPrEx>
        <w:trPr>
          <w:cantSplit/>
          <w:trHeight w:val="196"/>
        </w:trPr>
        <w:tc>
          <w:tcPr>
            <w:tcW w:w="2695" w:type="dxa"/>
            <w:tcBorders>
              <w:top w:val="single" w:sz="4" w:space="0" w:color="auto"/>
              <w:left w:val="single" w:sz="4" w:space="0" w:color="auto"/>
              <w:bottom w:val="single" w:sz="4" w:space="0" w:color="auto"/>
              <w:right w:val="single" w:sz="4" w:space="0" w:color="auto"/>
            </w:tcBorders>
          </w:tcPr>
          <w:p w:rsidR="00A32C3C" w:rsidRPr="00550F57" w:rsidP="00A32C3C" w14:paraId="7DCFE7FF" w14:textId="77777777">
            <w:pPr>
              <w:keepNext/>
              <w:keepLines/>
              <w:widowControl w:val="0"/>
              <w:adjustRightInd w:val="0"/>
              <w:rPr>
                <w:rFonts w:eastAsia="MS Mincho"/>
                <w:color w:val="000000"/>
                <w:sz w:val="20"/>
              </w:rPr>
            </w:pPr>
            <w:r w:rsidRPr="00550F57">
              <w:rPr>
                <w:rFonts w:eastAsia="MS Mincho"/>
                <w:color w:val="000000"/>
                <w:sz w:val="20"/>
              </w:rPr>
              <w:t>Pressure Ulcer/Injury</w:t>
            </w:r>
          </w:p>
        </w:tc>
        <w:tc>
          <w:tcPr>
            <w:tcW w:w="7110" w:type="dxa"/>
            <w:tcBorders>
              <w:top w:val="single" w:sz="4" w:space="0" w:color="auto"/>
              <w:left w:val="single" w:sz="4" w:space="0" w:color="auto"/>
              <w:bottom w:val="single" w:sz="4" w:space="0" w:color="auto"/>
              <w:right w:val="single" w:sz="4" w:space="0" w:color="auto"/>
            </w:tcBorders>
          </w:tcPr>
          <w:p w:rsidR="00A32C3C" w:rsidRPr="00550F57" w:rsidP="00A32C3C" w14:paraId="2C042822" w14:textId="77777777">
            <w:pPr>
              <w:keepNext/>
              <w:keepLines/>
              <w:widowControl w:val="0"/>
              <w:adjustRightInd w:val="0"/>
              <w:rPr>
                <w:rFonts w:eastAsia="MS Mincho"/>
                <w:color w:val="000000"/>
                <w:sz w:val="20"/>
              </w:rPr>
            </w:pPr>
            <w:r w:rsidRPr="00550F57">
              <w:rPr>
                <w:rFonts w:eastAsia="MS Mincho"/>
                <w:color w:val="000000"/>
                <w:sz w:val="20"/>
              </w:rPr>
              <w:t>Changes in Skin Integrity Post-Acute Care: Pressure Ulcer/Injury.</w:t>
            </w:r>
          </w:p>
        </w:tc>
      </w:tr>
      <w:tr w14:paraId="37C46B6D" w14:textId="77777777" w:rsidTr="005E3DEF">
        <w:tblPrEx>
          <w:tblW w:w="9805" w:type="dxa"/>
          <w:tblLayout w:type="fixed"/>
          <w:tblLook w:val="0000"/>
        </w:tblPrEx>
        <w:trPr>
          <w:cantSplit/>
          <w:trHeight w:val="421"/>
        </w:trPr>
        <w:tc>
          <w:tcPr>
            <w:tcW w:w="2695" w:type="dxa"/>
            <w:tcBorders>
              <w:top w:val="single" w:sz="4" w:space="0" w:color="auto"/>
              <w:left w:val="single" w:sz="4" w:space="0" w:color="auto"/>
              <w:bottom w:val="single" w:sz="4" w:space="0" w:color="auto"/>
              <w:right w:val="single" w:sz="4" w:space="0" w:color="auto"/>
            </w:tcBorders>
          </w:tcPr>
          <w:p w:rsidR="00A32C3C" w:rsidRPr="00550F57" w:rsidP="00A32C3C" w14:paraId="1395785F" w14:textId="77777777">
            <w:pPr>
              <w:keepNext/>
              <w:keepLines/>
              <w:widowControl w:val="0"/>
              <w:adjustRightInd w:val="0"/>
              <w:rPr>
                <w:rFonts w:eastAsia="MS Mincho"/>
                <w:color w:val="000000"/>
                <w:sz w:val="20"/>
              </w:rPr>
            </w:pPr>
            <w:r w:rsidRPr="00550F57">
              <w:rPr>
                <w:rFonts w:eastAsia="MS Mincho"/>
                <w:color w:val="000000"/>
                <w:sz w:val="20"/>
              </w:rPr>
              <w:t xml:space="preserve">Application of Falls </w:t>
            </w:r>
          </w:p>
        </w:tc>
        <w:tc>
          <w:tcPr>
            <w:tcW w:w="7110" w:type="dxa"/>
            <w:tcBorders>
              <w:top w:val="single" w:sz="4" w:space="0" w:color="auto"/>
              <w:left w:val="single" w:sz="4" w:space="0" w:color="auto"/>
              <w:bottom w:val="single" w:sz="4" w:space="0" w:color="auto"/>
              <w:right w:val="single" w:sz="4" w:space="0" w:color="auto"/>
            </w:tcBorders>
          </w:tcPr>
          <w:p w:rsidR="00A32C3C" w:rsidRPr="00550F57" w:rsidP="00A32C3C" w14:paraId="683797B8" w14:textId="77777777">
            <w:pPr>
              <w:keepNext/>
              <w:keepLines/>
              <w:widowControl w:val="0"/>
              <w:adjustRightInd w:val="0"/>
              <w:rPr>
                <w:rFonts w:eastAsia="MS Mincho"/>
                <w:color w:val="000000"/>
                <w:sz w:val="20"/>
              </w:rPr>
            </w:pPr>
            <w:r w:rsidRPr="00550F57">
              <w:rPr>
                <w:rFonts w:eastAsia="MS Mincho"/>
                <w:color w:val="000000"/>
                <w:sz w:val="20"/>
              </w:rPr>
              <w:t xml:space="preserve">Application of Percent of Residents Experiencing One or More Falls with Major Injury (Long Stay) (NQF #0674). </w:t>
            </w:r>
          </w:p>
        </w:tc>
      </w:tr>
      <w:tr w14:paraId="3371CABD" w14:textId="77777777" w:rsidTr="005E3DEF">
        <w:tblPrEx>
          <w:tblW w:w="9805" w:type="dxa"/>
          <w:tblLayout w:type="fixed"/>
          <w:tblLook w:val="0000"/>
        </w:tblPrEx>
        <w:trPr>
          <w:cantSplit/>
          <w:trHeight w:val="539"/>
        </w:trPr>
        <w:tc>
          <w:tcPr>
            <w:tcW w:w="2695" w:type="dxa"/>
            <w:tcBorders>
              <w:top w:val="single" w:sz="4" w:space="0" w:color="auto"/>
              <w:left w:val="single" w:sz="4" w:space="0" w:color="auto"/>
              <w:bottom w:val="single" w:sz="4" w:space="0" w:color="auto"/>
              <w:right w:val="single" w:sz="4" w:space="0" w:color="auto"/>
            </w:tcBorders>
          </w:tcPr>
          <w:p w:rsidR="00A32C3C" w:rsidRPr="00550F57" w:rsidP="00A32C3C" w14:paraId="0559F890" w14:textId="77777777">
            <w:pPr>
              <w:keepNext/>
              <w:keepLines/>
              <w:widowControl w:val="0"/>
              <w:adjustRightInd w:val="0"/>
              <w:rPr>
                <w:rFonts w:eastAsia="MS Mincho"/>
                <w:color w:val="000000"/>
                <w:sz w:val="20"/>
              </w:rPr>
            </w:pPr>
            <w:r w:rsidRPr="00550F57">
              <w:rPr>
                <w:rFonts w:eastAsia="MS Mincho"/>
                <w:color w:val="000000"/>
                <w:sz w:val="20"/>
              </w:rPr>
              <w:t xml:space="preserve">Application of Functional </w:t>
            </w:r>
            <w:r w:rsidRPr="00550F57">
              <w:rPr>
                <w:rFonts w:eastAsia="MS Mincho"/>
                <w:sz w:val="20"/>
              </w:rPr>
              <w:t>Assessment/Care Plan</w:t>
            </w:r>
          </w:p>
        </w:tc>
        <w:tc>
          <w:tcPr>
            <w:tcW w:w="7110" w:type="dxa"/>
            <w:tcBorders>
              <w:top w:val="single" w:sz="4" w:space="0" w:color="auto"/>
              <w:left w:val="single" w:sz="4" w:space="0" w:color="auto"/>
              <w:bottom w:val="single" w:sz="4" w:space="0" w:color="auto"/>
              <w:right w:val="single" w:sz="4" w:space="0" w:color="auto"/>
            </w:tcBorders>
          </w:tcPr>
          <w:p w:rsidR="00A32C3C" w:rsidRPr="00550F57" w:rsidP="00A32C3C" w14:paraId="67A1561F" w14:textId="7B9519E7">
            <w:pPr>
              <w:keepNext/>
              <w:keepLines/>
              <w:widowControl w:val="0"/>
              <w:adjustRightInd w:val="0"/>
              <w:rPr>
                <w:rFonts w:eastAsia="MS Mincho"/>
                <w:color w:val="000000"/>
                <w:sz w:val="20"/>
              </w:rPr>
            </w:pPr>
            <w:r w:rsidRPr="00550F57">
              <w:rPr>
                <w:rFonts w:eastAsia="MS Mincho"/>
                <w:color w:val="000000"/>
                <w:sz w:val="20"/>
              </w:rPr>
              <w:t>Application of Percent of Long-Term Care Hospital (LTCH) Patients with an Admission and Discharge Functional Assessment and a Care Plan That Addresses Function.</w:t>
            </w:r>
          </w:p>
        </w:tc>
      </w:tr>
      <w:tr w14:paraId="1FD14204" w14:textId="77777777" w:rsidTr="005E3DEF">
        <w:tblPrEx>
          <w:tblW w:w="9805" w:type="dxa"/>
          <w:tblLayout w:type="fixed"/>
          <w:tblLook w:val="0000"/>
        </w:tblPrEx>
        <w:trPr>
          <w:cantSplit/>
          <w:trHeight w:val="409"/>
        </w:trPr>
        <w:tc>
          <w:tcPr>
            <w:tcW w:w="2695" w:type="dxa"/>
            <w:tcBorders>
              <w:top w:val="single" w:sz="4" w:space="0" w:color="auto"/>
              <w:left w:val="single" w:sz="4" w:space="0" w:color="auto"/>
              <w:bottom w:val="single" w:sz="4" w:space="0" w:color="auto"/>
              <w:right w:val="single" w:sz="4" w:space="0" w:color="auto"/>
            </w:tcBorders>
          </w:tcPr>
          <w:p w:rsidR="00A32C3C" w:rsidRPr="00550F57" w:rsidP="00A32C3C" w14:paraId="2F7B8895" w14:textId="77777777">
            <w:pPr>
              <w:keepNext/>
              <w:keepLines/>
              <w:widowControl w:val="0"/>
              <w:adjustRightInd w:val="0"/>
              <w:rPr>
                <w:rFonts w:eastAsia="MS Mincho"/>
                <w:color w:val="000000"/>
                <w:sz w:val="20"/>
              </w:rPr>
            </w:pPr>
            <w:r w:rsidRPr="00550F57">
              <w:rPr>
                <w:rFonts w:eastAsia="MS Mincho"/>
                <w:sz w:val="20"/>
              </w:rPr>
              <w:t>Change in Mobility Score</w:t>
            </w:r>
          </w:p>
        </w:tc>
        <w:tc>
          <w:tcPr>
            <w:tcW w:w="7110" w:type="dxa"/>
            <w:tcBorders>
              <w:top w:val="single" w:sz="4" w:space="0" w:color="auto"/>
              <w:left w:val="single" w:sz="4" w:space="0" w:color="auto"/>
              <w:bottom w:val="single" w:sz="4" w:space="0" w:color="auto"/>
              <w:right w:val="single" w:sz="4" w:space="0" w:color="auto"/>
            </w:tcBorders>
          </w:tcPr>
          <w:p w:rsidR="00A32C3C" w:rsidRPr="00550F57" w:rsidP="00A32C3C" w14:paraId="31338064" w14:textId="77777777">
            <w:pPr>
              <w:keepNext/>
              <w:keepLines/>
              <w:widowControl w:val="0"/>
              <w:adjustRightInd w:val="0"/>
              <w:rPr>
                <w:rFonts w:eastAsia="MS Mincho"/>
                <w:color w:val="000000"/>
                <w:sz w:val="20"/>
              </w:rPr>
            </w:pPr>
            <w:r w:rsidRPr="00550F57">
              <w:rPr>
                <w:rFonts w:eastAsia="MS Mincho"/>
                <w:color w:val="000000"/>
                <w:sz w:val="20"/>
              </w:rPr>
              <w:t xml:space="preserve">Application of IRF Functional Outcome Measure: Change in Mobility Score for Medical Rehabilitation Patients (NQF #2634). </w:t>
            </w:r>
          </w:p>
        </w:tc>
      </w:tr>
      <w:tr w14:paraId="12D63BE6" w14:textId="77777777" w:rsidTr="005E3DEF">
        <w:tblPrEx>
          <w:tblW w:w="9805" w:type="dxa"/>
          <w:tblLayout w:type="fixed"/>
          <w:tblLook w:val="0000"/>
        </w:tblPrEx>
        <w:trPr>
          <w:cantSplit/>
          <w:trHeight w:val="421"/>
        </w:trPr>
        <w:tc>
          <w:tcPr>
            <w:tcW w:w="2695" w:type="dxa"/>
            <w:tcBorders>
              <w:top w:val="single" w:sz="4" w:space="0" w:color="auto"/>
              <w:left w:val="single" w:sz="4" w:space="0" w:color="auto"/>
              <w:bottom w:val="single" w:sz="4" w:space="0" w:color="auto"/>
              <w:right w:val="single" w:sz="4" w:space="0" w:color="auto"/>
            </w:tcBorders>
          </w:tcPr>
          <w:p w:rsidR="00A32C3C" w:rsidRPr="00550F57" w:rsidP="00A32C3C" w14:paraId="39DE4415" w14:textId="77777777">
            <w:pPr>
              <w:keepNext/>
              <w:keepLines/>
              <w:widowControl w:val="0"/>
              <w:adjustRightInd w:val="0"/>
              <w:rPr>
                <w:rFonts w:eastAsia="MS Mincho"/>
                <w:color w:val="000000"/>
                <w:sz w:val="20"/>
              </w:rPr>
            </w:pPr>
            <w:r w:rsidRPr="00550F57">
              <w:rPr>
                <w:rFonts w:eastAsia="MS Mincho"/>
                <w:sz w:val="20"/>
              </w:rPr>
              <w:t>Discharge Mobility Score</w:t>
            </w:r>
          </w:p>
        </w:tc>
        <w:tc>
          <w:tcPr>
            <w:tcW w:w="7110" w:type="dxa"/>
            <w:tcBorders>
              <w:top w:val="single" w:sz="4" w:space="0" w:color="auto"/>
              <w:left w:val="single" w:sz="4" w:space="0" w:color="auto"/>
              <w:bottom w:val="single" w:sz="4" w:space="0" w:color="auto"/>
              <w:right w:val="single" w:sz="4" w:space="0" w:color="auto"/>
            </w:tcBorders>
          </w:tcPr>
          <w:p w:rsidR="00A32C3C" w:rsidRPr="00550F57" w:rsidP="00A32C3C" w14:paraId="1EE6AF0D" w14:textId="77777777">
            <w:pPr>
              <w:keepNext/>
              <w:keepLines/>
              <w:widowControl w:val="0"/>
              <w:adjustRightInd w:val="0"/>
              <w:rPr>
                <w:rFonts w:eastAsia="MS Mincho"/>
                <w:color w:val="000000"/>
                <w:sz w:val="20"/>
              </w:rPr>
            </w:pPr>
            <w:r w:rsidRPr="00550F57">
              <w:rPr>
                <w:rFonts w:eastAsia="MS Mincho"/>
                <w:color w:val="000000"/>
                <w:sz w:val="20"/>
              </w:rPr>
              <w:t>Application of IRF Functional Outcome Measure: Discharge Mobility Score for Medical Rehabilitation Patients (NQF #2636).</w:t>
            </w:r>
          </w:p>
        </w:tc>
      </w:tr>
      <w:tr w14:paraId="10D078E6" w14:textId="77777777" w:rsidTr="005E3DEF">
        <w:tblPrEx>
          <w:tblW w:w="9805" w:type="dxa"/>
          <w:tblLayout w:type="fixed"/>
          <w:tblLook w:val="0000"/>
        </w:tblPrEx>
        <w:trPr>
          <w:cantSplit/>
          <w:trHeight w:val="409"/>
        </w:trPr>
        <w:tc>
          <w:tcPr>
            <w:tcW w:w="2695" w:type="dxa"/>
            <w:tcBorders>
              <w:top w:val="single" w:sz="4" w:space="0" w:color="auto"/>
              <w:left w:val="single" w:sz="4" w:space="0" w:color="auto"/>
              <w:bottom w:val="single" w:sz="4" w:space="0" w:color="auto"/>
              <w:right w:val="single" w:sz="4" w:space="0" w:color="auto"/>
            </w:tcBorders>
          </w:tcPr>
          <w:p w:rsidR="00A32C3C" w:rsidRPr="00550F57" w:rsidP="00A32C3C" w14:paraId="3FC4A68B" w14:textId="77777777">
            <w:pPr>
              <w:keepNext/>
              <w:keepLines/>
              <w:widowControl w:val="0"/>
              <w:adjustRightInd w:val="0"/>
              <w:rPr>
                <w:rFonts w:eastAsia="MS Mincho"/>
                <w:color w:val="000000"/>
                <w:sz w:val="20"/>
              </w:rPr>
            </w:pPr>
            <w:r w:rsidRPr="00550F57">
              <w:rPr>
                <w:rFonts w:eastAsia="MS Mincho"/>
                <w:sz w:val="20"/>
              </w:rPr>
              <w:t>Change in Self-Care Score</w:t>
            </w:r>
          </w:p>
        </w:tc>
        <w:tc>
          <w:tcPr>
            <w:tcW w:w="7110" w:type="dxa"/>
            <w:tcBorders>
              <w:top w:val="single" w:sz="4" w:space="0" w:color="auto"/>
              <w:left w:val="single" w:sz="4" w:space="0" w:color="auto"/>
              <w:bottom w:val="single" w:sz="4" w:space="0" w:color="auto"/>
              <w:right w:val="single" w:sz="4" w:space="0" w:color="auto"/>
            </w:tcBorders>
          </w:tcPr>
          <w:p w:rsidR="00A32C3C" w:rsidRPr="00550F57" w:rsidP="00A32C3C" w14:paraId="763600FA" w14:textId="77777777">
            <w:pPr>
              <w:keepNext/>
              <w:keepLines/>
              <w:widowControl w:val="0"/>
              <w:adjustRightInd w:val="0"/>
              <w:rPr>
                <w:rFonts w:eastAsia="MS Mincho"/>
                <w:color w:val="000000"/>
                <w:sz w:val="20"/>
              </w:rPr>
            </w:pPr>
            <w:r w:rsidRPr="00550F57">
              <w:rPr>
                <w:rFonts w:eastAsia="MS Mincho"/>
                <w:color w:val="000000"/>
                <w:sz w:val="20"/>
              </w:rPr>
              <w:t>Application of the IRF Functional Outcome Measure: Change in Self-Care Score for Medical Rehabilitation Patients (NQF #2633).</w:t>
            </w:r>
          </w:p>
        </w:tc>
      </w:tr>
      <w:tr w14:paraId="3BA213C9" w14:textId="77777777" w:rsidTr="005E3DEF">
        <w:tblPrEx>
          <w:tblW w:w="9805" w:type="dxa"/>
          <w:tblLayout w:type="fixed"/>
          <w:tblLook w:val="0000"/>
        </w:tblPrEx>
        <w:trPr>
          <w:cantSplit/>
          <w:trHeight w:val="409"/>
        </w:trPr>
        <w:tc>
          <w:tcPr>
            <w:tcW w:w="2695" w:type="dxa"/>
            <w:tcBorders>
              <w:top w:val="single" w:sz="4" w:space="0" w:color="auto"/>
              <w:left w:val="single" w:sz="4" w:space="0" w:color="auto"/>
              <w:bottom w:val="single" w:sz="4" w:space="0" w:color="auto"/>
              <w:right w:val="single" w:sz="4" w:space="0" w:color="auto"/>
            </w:tcBorders>
          </w:tcPr>
          <w:p w:rsidR="00A32C3C" w:rsidRPr="00550F57" w:rsidP="00A32C3C" w14:paraId="28BACF9F" w14:textId="77777777">
            <w:pPr>
              <w:keepNext/>
              <w:keepLines/>
              <w:widowControl w:val="0"/>
              <w:adjustRightInd w:val="0"/>
              <w:rPr>
                <w:rFonts w:eastAsia="MS Mincho"/>
                <w:color w:val="000000"/>
                <w:sz w:val="20"/>
              </w:rPr>
            </w:pPr>
            <w:r w:rsidRPr="00550F57">
              <w:rPr>
                <w:rFonts w:eastAsia="MS Mincho"/>
                <w:sz w:val="20"/>
              </w:rPr>
              <w:t>Discharge Self-Care Score</w:t>
            </w:r>
          </w:p>
        </w:tc>
        <w:tc>
          <w:tcPr>
            <w:tcW w:w="7110" w:type="dxa"/>
            <w:tcBorders>
              <w:top w:val="single" w:sz="4" w:space="0" w:color="auto"/>
              <w:left w:val="single" w:sz="4" w:space="0" w:color="auto"/>
              <w:bottom w:val="single" w:sz="4" w:space="0" w:color="auto"/>
              <w:right w:val="single" w:sz="4" w:space="0" w:color="auto"/>
            </w:tcBorders>
          </w:tcPr>
          <w:p w:rsidR="00A32C3C" w:rsidRPr="00550F57" w:rsidP="00A32C3C" w14:paraId="21BBC5DB" w14:textId="77777777">
            <w:pPr>
              <w:keepNext/>
              <w:keepLines/>
              <w:widowControl w:val="0"/>
              <w:adjustRightInd w:val="0"/>
              <w:rPr>
                <w:rFonts w:eastAsia="MS Mincho"/>
                <w:color w:val="000000"/>
                <w:sz w:val="20"/>
              </w:rPr>
            </w:pPr>
            <w:r w:rsidRPr="00550F57">
              <w:rPr>
                <w:rFonts w:eastAsia="MS Mincho"/>
                <w:color w:val="000000"/>
                <w:sz w:val="20"/>
              </w:rPr>
              <w:t>Application of IRF Functional Outcome Measure: Discharge Self-Care Score for Medical Rehabilitation Patients (NQF #2635).</w:t>
            </w:r>
          </w:p>
        </w:tc>
      </w:tr>
      <w:tr w14:paraId="54084BB1" w14:textId="77777777" w:rsidTr="005E3DEF">
        <w:tblPrEx>
          <w:tblW w:w="9805" w:type="dxa"/>
          <w:tblLayout w:type="fixed"/>
          <w:tblLook w:val="0000"/>
        </w:tblPrEx>
        <w:trPr>
          <w:cantSplit/>
          <w:trHeight w:val="539"/>
        </w:trPr>
        <w:tc>
          <w:tcPr>
            <w:tcW w:w="2695" w:type="dxa"/>
            <w:tcBorders>
              <w:top w:val="single" w:sz="4" w:space="0" w:color="auto"/>
              <w:left w:val="single" w:sz="4" w:space="0" w:color="auto"/>
              <w:bottom w:val="single" w:sz="4" w:space="0" w:color="auto"/>
              <w:right w:val="single" w:sz="4" w:space="0" w:color="auto"/>
            </w:tcBorders>
          </w:tcPr>
          <w:p w:rsidR="00A32C3C" w:rsidRPr="00550F57" w:rsidP="00A32C3C" w14:paraId="53DDECD2" w14:textId="77777777">
            <w:pPr>
              <w:keepNext/>
              <w:keepLines/>
              <w:widowControl w:val="0"/>
              <w:adjustRightInd w:val="0"/>
              <w:rPr>
                <w:rFonts w:eastAsia="MS Mincho"/>
                <w:color w:val="000000"/>
                <w:sz w:val="20"/>
              </w:rPr>
            </w:pPr>
            <w:r w:rsidRPr="00550F57">
              <w:rPr>
                <w:rFonts w:eastAsia="MS Mincho"/>
                <w:color w:val="000000"/>
                <w:sz w:val="20"/>
              </w:rPr>
              <w:t xml:space="preserve">DRR </w:t>
            </w:r>
          </w:p>
        </w:tc>
        <w:tc>
          <w:tcPr>
            <w:tcW w:w="7110" w:type="dxa"/>
            <w:tcBorders>
              <w:top w:val="single" w:sz="4" w:space="0" w:color="auto"/>
              <w:left w:val="single" w:sz="4" w:space="0" w:color="auto"/>
              <w:bottom w:val="single" w:sz="4" w:space="0" w:color="auto"/>
              <w:right w:val="single" w:sz="4" w:space="0" w:color="auto"/>
            </w:tcBorders>
          </w:tcPr>
          <w:p w:rsidR="00A32C3C" w:rsidRPr="00550F57" w:rsidP="00A32C3C" w14:paraId="03D31639" w14:textId="77777777">
            <w:pPr>
              <w:keepNext/>
              <w:keepLines/>
              <w:widowControl w:val="0"/>
              <w:adjustRightInd w:val="0"/>
              <w:rPr>
                <w:rFonts w:eastAsia="MS Mincho"/>
                <w:color w:val="000000"/>
                <w:sz w:val="20"/>
              </w:rPr>
            </w:pPr>
            <w:r w:rsidRPr="00550F57">
              <w:rPr>
                <w:rFonts w:eastAsia="MS Mincho"/>
                <w:color w:val="000000"/>
                <w:sz w:val="20"/>
              </w:rPr>
              <w:t xml:space="preserve">Drug Regimen Review Conducted </w:t>
            </w:r>
            <w:r w:rsidRPr="00550F57">
              <w:rPr>
                <w:rFonts w:eastAsia="MS Mincho"/>
                <w:color w:val="000000"/>
                <w:sz w:val="20"/>
              </w:rPr>
              <w:t>With</w:t>
            </w:r>
            <w:r w:rsidRPr="00550F57">
              <w:rPr>
                <w:rFonts w:eastAsia="MS Mincho"/>
                <w:color w:val="000000"/>
                <w:sz w:val="20"/>
              </w:rPr>
              <w:t xml:space="preserve"> Follow-Up for Identified Issues- Post Acute Care (PAC) Skilled Nursing Facility (SNF) Quality Reporting Program (QRP).</w:t>
            </w:r>
          </w:p>
        </w:tc>
      </w:tr>
    </w:tbl>
    <w:p w:rsidR="00A26F47" w:rsidRPr="00550F57" w:rsidP="00EB2050" w14:paraId="6EFA777B" w14:textId="77777777"/>
    <w:p w:rsidR="00184BA9" w:rsidP="005E3DEF" w14:paraId="6B4EBDA8" w14:textId="02C7C98E">
      <w:pPr>
        <w:pStyle w:val="BodyText"/>
        <w:spacing w:after="0"/>
      </w:pPr>
      <w:r>
        <w:t>Both the Patient Driven Payment Model (PDPM) in the SNF PPS and the SNF QRP collect data</w:t>
      </w:r>
      <w:r>
        <w:rPr>
          <w:spacing w:val="1"/>
        </w:rPr>
        <w:t xml:space="preserve"> </w:t>
      </w:r>
      <w:r>
        <w:t xml:space="preserve">through the MDS 3.0. The PDPM </w:t>
      </w:r>
      <w:r>
        <w:rPr>
          <w:spacing w:val="-57"/>
        </w:rPr>
        <w:t xml:space="preserve">  </w:t>
      </w:r>
      <w:r>
        <w:t>was described and adopted for SNFs and Swing Beds in CMS-1696-F (August 8, 2018; 83 FR</w:t>
      </w:r>
      <w:r>
        <w:rPr>
          <w:spacing w:val="1"/>
        </w:rPr>
        <w:t xml:space="preserve"> </w:t>
      </w:r>
      <w:r>
        <w:t xml:space="preserve">39162). </w:t>
      </w:r>
    </w:p>
    <w:p w:rsidR="00CA2E79" w:rsidP="005E3DEF" w14:paraId="3EF6720C" w14:textId="77777777">
      <w:pPr>
        <w:pStyle w:val="BodyText"/>
        <w:spacing w:after="0"/>
        <w:ind w:right="1408"/>
        <w:rPr>
          <w:i/>
          <w:u w:val="single"/>
        </w:rPr>
      </w:pPr>
    </w:p>
    <w:p w:rsidR="001F2665" w:rsidRPr="001F2665" w:rsidP="001F2665" w14:paraId="77FF5269" w14:textId="6E324731">
      <w:pPr>
        <w:pStyle w:val="Heading2"/>
        <w:rPr>
          <w:rFonts w:ascii="Times New Roman" w:hAnsi="Times New Roman" w:cs="Times New Roman"/>
          <w:color w:val="auto"/>
          <w:sz w:val="24"/>
          <w:szCs w:val="24"/>
          <w:u w:val="single"/>
        </w:rPr>
      </w:pPr>
      <w:bookmarkStart w:id="5" w:name="_Toc125742240"/>
      <w:r w:rsidRPr="005E3DEF">
        <w:rPr>
          <w:rFonts w:ascii="Times New Roman" w:hAnsi="Times New Roman" w:cs="Times New Roman"/>
          <w:color w:val="auto"/>
          <w:sz w:val="24"/>
          <w:szCs w:val="24"/>
          <w:u w:val="single"/>
        </w:rPr>
        <w:t>2. Background of this PRA Package</w:t>
      </w:r>
      <w:bookmarkEnd w:id="5"/>
    </w:p>
    <w:p w:rsidR="001F2665" w:rsidP="005E3DEF" w14:paraId="10ED3B0E" w14:textId="77777777">
      <w:pPr>
        <w:pStyle w:val="BodyText"/>
        <w:spacing w:after="0"/>
      </w:pPr>
    </w:p>
    <w:p w:rsidR="00537528" w:rsidP="005E3DEF" w14:paraId="75FBBAB8" w14:textId="5C9C3614">
      <w:pPr>
        <w:pStyle w:val="BodyText"/>
        <w:spacing w:after="0"/>
      </w:pPr>
      <w:r>
        <w:t>This package is a request for a revision to the current MDS assessment instrument for the SNF and i</w:t>
      </w:r>
      <w:r w:rsidRPr="005E3DEF" w:rsidR="005A6B2A">
        <w:t>s associated with the August 7, 2019 (84 FR 38728) “Prospective Payment System and Consolidated Billing for Skilled Nursing Facilities; Updates to the Quality Reporting Program and Value-Based Purchasing Program for Federal Fiscal Year 2020” final rule (CMS-1718-F, RIN 0938-AT75)</w:t>
      </w:r>
      <w:r>
        <w:t xml:space="preserve"> that finalized policies for </w:t>
      </w:r>
      <w:r w:rsidRPr="005E3DEF">
        <w:t xml:space="preserve">collection of </w:t>
      </w:r>
      <w:r>
        <w:t>T</w:t>
      </w:r>
      <w:r w:rsidRPr="005E3DEF">
        <w:t>ransfer of Health (TOH) Information measures and certain standardized patient assessment data elements</w:t>
      </w:r>
      <w:r>
        <w:t>.  At the time of the finalized policies, a PRA package was submitted for the item set and approved on 11/22/2019.  However, i</w:t>
      </w:r>
      <w:r w:rsidRPr="00C4532A" w:rsidR="00BD2667">
        <w:t xml:space="preserve">n response to the COVID-19 PHE, </w:t>
      </w:r>
      <w:r>
        <w:t xml:space="preserve">the compliance date for the finalized policies (10/01/2020) was delayed due to the COVID-19 </w:t>
      </w:r>
      <w:r w:rsidRPr="005E3DEF">
        <w:t>PHE</w:t>
      </w:r>
      <w:r>
        <w:t>,</w:t>
      </w:r>
      <w:r>
        <w:rPr>
          <w:rStyle w:val="FootnoteReference"/>
        </w:rPr>
        <w:footnoteReference w:id="4"/>
      </w:r>
      <w:r>
        <w:t xml:space="preserve"> and</w:t>
      </w:r>
      <w:r w:rsidRPr="00C4532A" w:rsidR="00BD2667">
        <w:t xml:space="preserve"> CMS subsequently requested a non-substantive change to extend the use of the MDS 3.0 v1.17.1 instrument on </w:t>
      </w:r>
      <w:r w:rsidR="00CF63AC">
        <w:t>September 25, 2020</w:t>
      </w:r>
      <w:r w:rsidR="00BD2667">
        <w:t xml:space="preserve">.  </w:t>
      </w:r>
      <w:r>
        <w:t xml:space="preserve">Please note, however, the burden approved on 11/22/2019 was never retracted, and the implementation of the instrument was simply delayed.  </w:t>
      </w:r>
    </w:p>
    <w:p w:rsidR="00537528" w:rsidP="005E3DEF" w14:paraId="3FCBACB9" w14:textId="77777777">
      <w:pPr>
        <w:pStyle w:val="BodyText"/>
        <w:spacing w:after="0"/>
      </w:pPr>
    </w:p>
    <w:p w:rsidR="0041796F" w:rsidP="005E3DEF" w14:paraId="23A1CF3A" w14:textId="572BB1EE">
      <w:pPr>
        <w:pStyle w:val="BodyText"/>
        <w:spacing w:after="0"/>
      </w:pPr>
      <w:r w:rsidRPr="005E3DEF">
        <w:t>On August 3, 2022, CMS finalized a proposal to revise the compliance date for the collection of the TOH Information measures and certain standardized patient assessment data elements from two full fiscal years after the end of the COVID-19 PHE</w:t>
      </w:r>
      <w:r>
        <w:rPr>
          <w:rStyle w:val="FootnoteReference"/>
        </w:rPr>
        <w:footnoteReference w:id="5"/>
      </w:r>
      <w:r w:rsidRPr="005E3DEF">
        <w:t xml:space="preserve"> to October 1, 2023</w:t>
      </w:r>
      <w:r w:rsidR="001F2665">
        <w:t xml:space="preserve"> (87 FR 47551)</w:t>
      </w:r>
      <w:r w:rsidRPr="005E3DEF">
        <w:t xml:space="preserve">.  </w:t>
      </w:r>
    </w:p>
    <w:p w:rsidR="0041796F" w:rsidP="005E3DEF" w14:paraId="7FFC8343" w14:textId="77777777">
      <w:pPr>
        <w:pStyle w:val="BodyText"/>
        <w:spacing w:after="0"/>
      </w:pPr>
    </w:p>
    <w:p w:rsidR="00752628" w:rsidP="005E3DEF" w14:paraId="25EF1310" w14:textId="6E15F6FB">
      <w:pPr>
        <w:pStyle w:val="BodyText"/>
        <w:spacing w:after="0"/>
      </w:pPr>
      <w:r>
        <w:t xml:space="preserve">On November 22, 2022, OMB approved MDS 3.0 v1.17.2.  This revision to the MDS was in response to request for </w:t>
      </w:r>
      <w:r>
        <w:t>stae</w:t>
      </w:r>
      <w:r>
        <w:t>\</w:t>
      </w:r>
      <w:r>
        <w:t>te</w:t>
      </w:r>
      <w:r>
        <w:t xml:space="preserve"> agencies to add the PDPM payment items to OBRA assessments so they could collect the data and use it to develop their future payment models.  OBRA assessments are PRA exempt so the burden did not increase from MDS v3.0 v1.17.1 to MDS 3.0 v1.17.2.  </w:t>
      </w:r>
      <w:r w:rsidR="00537528">
        <w:t>While there has been no change in assessment-level burden since the approval of the MDS 3.0 v1.17.2, there has been a change in total burden.  Since the original package was submitted and approved three years ago, there has been a decrease in the number of MDS assessments completed by providers as well as a change in the hourly rate for those clinician types completing the assessment.  Therefore, this package does represent a revision to the previous information collection request</w:t>
      </w:r>
      <w:r w:rsidR="001C6BAE">
        <w:t xml:space="preserve"> (ICR)</w:t>
      </w:r>
      <w:r w:rsidR="00537528">
        <w:t>.</w:t>
      </w:r>
    </w:p>
    <w:p w:rsidR="006B3331" w:rsidP="005E3DEF" w14:paraId="1E37B238" w14:textId="59BCD839">
      <w:pPr>
        <w:pStyle w:val="BodyText"/>
        <w:spacing w:after="0"/>
        <w:rPr>
          <w:u w:val="single"/>
        </w:rPr>
      </w:pPr>
    </w:p>
    <w:p w:rsidR="00232D22" w:rsidRPr="00550F57" w:rsidP="00252CBA" w14:paraId="5601133D" w14:textId="1054DAF2">
      <w:pPr>
        <w:pStyle w:val="Heading1"/>
        <w:rPr>
          <w:u w:val="none"/>
        </w:rPr>
      </w:pPr>
      <w:bookmarkStart w:id="6" w:name="_Toc125742241"/>
      <w:r w:rsidRPr="00550F57">
        <w:rPr>
          <w:u w:val="none"/>
        </w:rPr>
        <w:t>B.</w:t>
      </w:r>
      <w:r w:rsidRPr="00550F57">
        <w:rPr>
          <w:u w:val="none"/>
        </w:rPr>
        <w:tab/>
        <w:t>Justification</w:t>
      </w:r>
      <w:bookmarkEnd w:id="6"/>
      <w:r w:rsidRPr="00550F57" w:rsidR="008D42DD">
        <w:rPr>
          <w:u w:val="none"/>
        </w:rPr>
        <w:t xml:space="preserve"> </w:t>
      </w:r>
    </w:p>
    <w:p w:rsidR="00232D22" w:rsidRPr="00550F57" w:rsidP="00EB2050" w14:paraId="024BE59A" w14:textId="77777777"/>
    <w:p w:rsidR="00232D22" w:rsidRPr="00550F57" w:rsidP="00556124" w14:paraId="34B401A3" w14:textId="77777777">
      <w:pPr>
        <w:pStyle w:val="Heading2"/>
        <w:rPr>
          <w:rFonts w:ascii="Times New Roman" w:hAnsi="Times New Roman" w:cs="Times New Roman"/>
          <w:color w:val="auto"/>
          <w:sz w:val="24"/>
          <w:szCs w:val="24"/>
          <w:u w:val="single"/>
        </w:rPr>
      </w:pPr>
      <w:bookmarkStart w:id="7" w:name="_Toc125742242"/>
      <w:r w:rsidRPr="00550F57">
        <w:rPr>
          <w:rFonts w:ascii="Times New Roman" w:hAnsi="Times New Roman" w:cs="Times New Roman"/>
          <w:color w:val="auto"/>
          <w:sz w:val="24"/>
          <w:szCs w:val="24"/>
        </w:rPr>
        <w:t xml:space="preserve">1.  </w:t>
      </w:r>
      <w:r w:rsidRPr="00550F57">
        <w:rPr>
          <w:rFonts w:ascii="Times New Roman" w:hAnsi="Times New Roman" w:cs="Times New Roman"/>
          <w:color w:val="auto"/>
          <w:sz w:val="24"/>
          <w:szCs w:val="24"/>
          <w:u w:val="single"/>
        </w:rPr>
        <w:t>Need and Legal Basis</w:t>
      </w:r>
      <w:bookmarkEnd w:id="7"/>
    </w:p>
    <w:p w:rsidR="00232D22" w:rsidRPr="00550F57" w:rsidP="00EB2050" w14:paraId="78AFA900" w14:textId="77777777">
      <w:pPr>
        <w:rPr>
          <w:u w:val="single"/>
        </w:rPr>
      </w:pPr>
    </w:p>
    <w:p w:rsidR="00232D22" w:rsidRPr="00550F57" w:rsidP="00EB2050" w14:paraId="05F34D3B" w14:textId="53BB741F">
      <w:r w:rsidRPr="00550F57">
        <w:t>Pursuant to sections 4204(b) and 4214(d) of OBRA 1987, the current requirements related to the submission and retention of resident assessment data are not subject to the Paperwork Reduction Act (PRA), but it has been determined that requirements for SNF staff performing, encoding and transmitting pat</w:t>
      </w:r>
      <w:r w:rsidRPr="00550F57" w:rsidR="00495058">
        <w:t xml:space="preserve">ient assessment data for the </w:t>
      </w:r>
      <w:r w:rsidRPr="00550F57" w:rsidR="00517C3D">
        <w:t xml:space="preserve">PPS 5-day (NP item set) and PPS discharge (NPE </w:t>
      </w:r>
      <w:r w:rsidRPr="00550F57" w:rsidR="00517C3D">
        <w:t>item set) assessments,</w:t>
      </w:r>
      <w:r w:rsidRPr="00550F57">
        <w:t xml:space="preserve"> necessary to administer the payment rate methodology described in 413.337, are subject to the PRA.  </w:t>
      </w:r>
    </w:p>
    <w:p w:rsidR="0044674D" w:rsidRPr="00550F57" w:rsidP="00EB2050" w14:paraId="5F7A5665" w14:textId="10E2C6B1"/>
    <w:p w:rsidR="0044674D" w:rsidRPr="00550F57" w:rsidP="0044674D" w14:paraId="66ED1E09" w14:textId="657E7B12">
      <w:r w:rsidRPr="00550F57">
        <w:t>Section 1888(e)(6)(B)(i)(II) of the Act requires that each SNF submit, for FYs beginning on or after the specified application date (as defined in section 1899B(a)(2)(E) of the Act), data on quality measures specified under section 1899B(c)(1) of the Act and data on resource use and other measures specified under section 1899B(d)(1) of the Act in a manner and within the timeframes specified by the Secretary. In addition, section 1888(e)(6)(B)(i)(III) of the Act requires, for FYs beginning on or after October 1, 2018, that each SNF submit standardized patient assessment data required under section 1899B(b)(1) of the Act in a manner and within the timeframes specified by the Secretary. Section 1888(e)(6)(A)(i) of the Act requires that, for FYs beginning with FY 2018, if a SNF does not submit data, as applicable, on quality and resource use and other measures in accordance with section 1888(e)(6)(B)(i)(II) of the Act and standardized patient assessment in accordance with section 1888(e)(6)(B)(i)(III) of the Act for such FY, the Secretary reduce the market basket percentage described in section 1888(e)(5)(B)(ii) of the Act by 2 percentage points.</w:t>
      </w:r>
    </w:p>
    <w:p w:rsidR="00030876" w:rsidRPr="00550F57" w:rsidP="00EB2050" w14:paraId="7924D1F7" w14:textId="77FCA80A"/>
    <w:p w:rsidR="006C229F" w:rsidRPr="00550F57" w:rsidP="0098164F" w14:paraId="0797F5BD" w14:textId="17907B4D">
      <w:r w:rsidRPr="00550F57">
        <w:t>Section 2(a) of the I</w:t>
      </w:r>
      <w:r w:rsidR="001C6BAE">
        <w:t>mproving Medicare Post-Acute Care Transformation (I</w:t>
      </w:r>
      <w:r w:rsidRPr="00550F57">
        <w:t>MPACT</w:t>
      </w:r>
      <w:r w:rsidR="001C6BAE">
        <w:t>)</w:t>
      </w:r>
      <w:r w:rsidRPr="00550F57">
        <w:t xml:space="preserve"> Act amended the Social Security Act (the Act) by adding section 1899B to the Act, which requires, among other things, SNFs to report standardized patient assessment data, data on quality measures, and data on resource use and other measures. Under section 1899B(m) of the Act, modifications to the SNF assessment instrument, here the MDS, required to achieve standardization of patient assessment data are exempt from PRA requirements. </w:t>
      </w:r>
      <w:r w:rsidRPr="00550F57">
        <w:t>Standardization has been met upon our adoption of the proposed data elements and standardized patient assessment data in CMS-1718-F. For FY 2020 and thereafter, the exemption of the SNF QRP from the PRA is no longer applicable such that the SNF QRP requirements and burden will be submitted to OMB for review and approval. The active ICR serves as the basis for which we now address the previously exempt requirements and burden.</w:t>
      </w:r>
    </w:p>
    <w:p w:rsidR="004F246B" w:rsidRPr="00550F57" w:rsidP="0098164F" w14:paraId="68019083" w14:textId="77777777">
      <w:pPr>
        <w:rPr>
          <w:u w:val="single"/>
        </w:rPr>
      </w:pPr>
    </w:p>
    <w:p w:rsidR="00232D22" w:rsidRPr="00550F57" w:rsidP="00556124" w14:paraId="33E9CC9B" w14:textId="1DC34A2E">
      <w:pPr>
        <w:pStyle w:val="Heading2"/>
        <w:rPr>
          <w:rFonts w:ascii="Times New Roman" w:hAnsi="Times New Roman" w:cs="Times New Roman"/>
          <w:color w:val="auto"/>
          <w:sz w:val="24"/>
          <w:szCs w:val="24"/>
          <w:u w:val="single"/>
        </w:rPr>
      </w:pPr>
      <w:bookmarkStart w:id="8" w:name="_Toc125742243"/>
      <w:r w:rsidRPr="00550F57">
        <w:rPr>
          <w:rFonts w:ascii="Times New Roman" w:hAnsi="Times New Roman" w:cs="Times New Roman"/>
          <w:color w:val="auto"/>
          <w:sz w:val="24"/>
          <w:szCs w:val="24"/>
        </w:rPr>
        <w:t xml:space="preserve">2.  </w:t>
      </w:r>
      <w:r w:rsidRPr="00550F57">
        <w:rPr>
          <w:rFonts w:ascii="Times New Roman" w:hAnsi="Times New Roman" w:cs="Times New Roman"/>
          <w:color w:val="auto"/>
          <w:sz w:val="24"/>
          <w:szCs w:val="24"/>
          <w:u w:val="single"/>
        </w:rPr>
        <w:t>Information Users</w:t>
      </w:r>
      <w:bookmarkEnd w:id="8"/>
    </w:p>
    <w:p w:rsidR="00232D22" w:rsidRPr="00550F57" w:rsidP="0098164F" w14:paraId="2B5B1D91" w14:textId="72B13181"/>
    <w:p w:rsidR="00E00DDD" w:rsidRPr="00550F57" w:rsidP="0098164F" w14:paraId="618A138C" w14:textId="0CF8460E">
      <w:r w:rsidRPr="00550F57">
        <w:t xml:space="preserve">CMS uses </w:t>
      </w:r>
      <w:r w:rsidRPr="00550F57" w:rsidR="007E0D32">
        <w:t xml:space="preserve">the </w:t>
      </w:r>
      <w:r w:rsidRPr="00550F57" w:rsidR="008D744B">
        <w:t xml:space="preserve">MDS 3.0 PPS Item Set </w:t>
      </w:r>
      <w:r w:rsidRPr="00550F57" w:rsidR="00A93D50">
        <w:t xml:space="preserve">to collect the </w:t>
      </w:r>
      <w:r w:rsidRPr="00550F57">
        <w:t xml:space="preserve">data </w:t>
      </w:r>
      <w:r w:rsidRPr="00550F57" w:rsidR="00A93D50">
        <w:t xml:space="preserve">used </w:t>
      </w:r>
      <w:r w:rsidRPr="00550F57">
        <w:t>to reimburse skilled nursing facilities for SNF-level care furnished to Medicare beneficiaries</w:t>
      </w:r>
      <w:r w:rsidRPr="00550F57" w:rsidR="0044674D">
        <w:t xml:space="preserve"> and to collect information for quality measures </w:t>
      </w:r>
      <w:r w:rsidRPr="00550F57" w:rsidR="008D4FB6">
        <w:t xml:space="preserve">and standardized patient assessment data </w:t>
      </w:r>
      <w:r w:rsidRPr="00550F57" w:rsidR="0044674D">
        <w:t>under the SNF QRP</w:t>
      </w:r>
      <w:r w:rsidRPr="00550F57">
        <w:t>.</w:t>
      </w:r>
    </w:p>
    <w:p w:rsidR="00E72E1B" w:rsidRPr="00550F57" w:rsidP="0098164F" w14:paraId="2BA4346B" w14:textId="557BC297"/>
    <w:p w:rsidR="00237DC1" w:rsidRPr="00550F57" w:rsidP="0098164F" w14:paraId="104522A7" w14:textId="66892525">
      <w:pPr>
        <w:rPr>
          <w:bCs/>
        </w:rPr>
      </w:pPr>
      <w:r w:rsidRPr="00550F57">
        <w:rPr>
          <w:bCs/>
        </w:rPr>
        <w:t xml:space="preserve">The public display of quality measure data by CMS imposes no additional burden on SNFs. </w:t>
      </w:r>
    </w:p>
    <w:p w:rsidR="0075545E" w:rsidRPr="00550F57" w:rsidP="00EB2050" w14:paraId="05284B5A" w14:textId="77777777"/>
    <w:p w:rsidR="00232D22" w:rsidRPr="00550F57" w:rsidP="00556124" w14:paraId="31F72A0F" w14:textId="0D73E769">
      <w:pPr>
        <w:pStyle w:val="Heading2"/>
        <w:rPr>
          <w:rFonts w:ascii="Times New Roman" w:hAnsi="Times New Roman" w:cs="Times New Roman"/>
          <w:color w:val="auto"/>
          <w:sz w:val="24"/>
          <w:szCs w:val="24"/>
          <w:u w:val="single"/>
        </w:rPr>
      </w:pPr>
      <w:bookmarkStart w:id="9" w:name="_Toc125742244"/>
      <w:r w:rsidRPr="00550F57">
        <w:rPr>
          <w:rFonts w:ascii="Times New Roman" w:hAnsi="Times New Roman" w:cs="Times New Roman"/>
          <w:color w:val="auto"/>
          <w:sz w:val="24"/>
          <w:szCs w:val="24"/>
        </w:rPr>
        <w:t xml:space="preserve">3.  </w:t>
      </w:r>
      <w:r w:rsidRPr="00550F57">
        <w:rPr>
          <w:rFonts w:ascii="Times New Roman" w:hAnsi="Times New Roman" w:cs="Times New Roman"/>
          <w:color w:val="auto"/>
          <w:sz w:val="24"/>
          <w:szCs w:val="24"/>
          <w:u w:val="single"/>
        </w:rPr>
        <w:t>Improved Information Technology</w:t>
      </w:r>
      <w:bookmarkEnd w:id="9"/>
    </w:p>
    <w:p w:rsidR="00232D22" w:rsidRPr="00550F57" w:rsidP="00EB2050" w14:paraId="72154435" w14:textId="3ACC33B4"/>
    <w:p w:rsidR="00E00DDD" w:rsidRPr="00550F57" w:rsidP="004D292C" w14:paraId="34E69F63" w14:textId="46E84699">
      <w:r w:rsidRPr="00550F57">
        <w:t xml:space="preserve">CMS has developed customized software that allows skilled nursing facilities to encode, store and transmit </w:t>
      </w:r>
      <w:r w:rsidRPr="00550F57" w:rsidR="008D744B">
        <w:t xml:space="preserve">MDS 3.0 </w:t>
      </w:r>
      <w:r w:rsidRPr="00550F57">
        <w:t>data.  The software is available free of charge, and CMS provides customer support for software and transmission problems encountered by the providers.</w:t>
      </w:r>
    </w:p>
    <w:p w:rsidR="00232D22" w:rsidRPr="00550F57" w:rsidP="00EB2050" w14:paraId="0E7D75CE" w14:textId="57E93CFD"/>
    <w:p w:rsidR="00026044" w:rsidRPr="00550F57" w:rsidP="00556124" w14:paraId="7A92AF61" w14:textId="77777777">
      <w:pPr>
        <w:pStyle w:val="Heading2"/>
        <w:rPr>
          <w:rFonts w:ascii="Times New Roman" w:hAnsi="Times New Roman" w:cs="Times New Roman"/>
          <w:color w:val="auto"/>
          <w:sz w:val="24"/>
          <w:szCs w:val="24"/>
        </w:rPr>
      </w:pPr>
      <w:bookmarkStart w:id="10" w:name="_Toc125742245"/>
      <w:r w:rsidRPr="00550F57">
        <w:rPr>
          <w:rFonts w:ascii="Times New Roman" w:hAnsi="Times New Roman" w:cs="Times New Roman"/>
          <w:color w:val="auto"/>
          <w:sz w:val="24"/>
          <w:szCs w:val="24"/>
        </w:rPr>
        <w:t xml:space="preserve">4.  </w:t>
      </w:r>
      <w:r w:rsidRPr="00550F57">
        <w:rPr>
          <w:rFonts w:ascii="Times New Roman" w:hAnsi="Times New Roman" w:cs="Times New Roman"/>
          <w:color w:val="auto"/>
          <w:sz w:val="24"/>
          <w:szCs w:val="24"/>
          <w:u w:val="single"/>
        </w:rPr>
        <w:t>Duplication of Similar Information</w:t>
      </w:r>
      <w:bookmarkEnd w:id="10"/>
      <w:r w:rsidRPr="00550F57" w:rsidR="0098164F">
        <w:rPr>
          <w:rFonts w:ascii="Times New Roman" w:hAnsi="Times New Roman" w:cs="Times New Roman"/>
          <w:color w:val="auto"/>
          <w:sz w:val="24"/>
          <w:szCs w:val="24"/>
        </w:rPr>
        <w:t xml:space="preserve"> </w:t>
      </w:r>
    </w:p>
    <w:p w:rsidR="00026044" w:rsidRPr="00550F57" w:rsidP="00EB2050" w14:paraId="231AF514" w14:textId="77777777"/>
    <w:p w:rsidR="00E00DDD" w:rsidRPr="00550F57" w:rsidP="00EB2050" w14:paraId="6C07F1CF" w14:textId="404453F4">
      <w:r w:rsidRPr="00550F57">
        <w:t xml:space="preserve">The data required for reimbursement </w:t>
      </w:r>
      <w:r w:rsidRPr="00550F57" w:rsidR="003F3129">
        <w:t xml:space="preserve">and for the </w:t>
      </w:r>
      <w:r w:rsidR="001C6BAE">
        <w:t>SNF QRP</w:t>
      </w:r>
      <w:r w:rsidRPr="00550F57" w:rsidR="003F3129">
        <w:t xml:space="preserve"> </w:t>
      </w:r>
      <w:r w:rsidRPr="00550F57">
        <w:t>are not currently available from any other source.</w:t>
      </w:r>
    </w:p>
    <w:p w:rsidR="00232D22" w:rsidRPr="00550F57" w:rsidP="00EB2050" w14:paraId="07D47183" w14:textId="24974B31"/>
    <w:p w:rsidR="00232D22" w:rsidRPr="00550F57" w:rsidP="00556124" w14:paraId="7C1363DC" w14:textId="5B2C5824">
      <w:pPr>
        <w:pStyle w:val="Heading2"/>
        <w:rPr>
          <w:rFonts w:ascii="Times New Roman" w:hAnsi="Times New Roman" w:cs="Times New Roman"/>
          <w:color w:val="auto"/>
          <w:sz w:val="24"/>
          <w:szCs w:val="24"/>
        </w:rPr>
      </w:pPr>
      <w:bookmarkStart w:id="11" w:name="_Toc125742246"/>
      <w:r w:rsidRPr="00550F57">
        <w:rPr>
          <w:rFonts w:ascii="Times New Roman" w:hAnsi="Times New Roman" w:cs="Times New Roman"/>
          <w:color w:val="auto"/>
          <w:sz w:val="24"/>
          <w:szCs w:val="24"/>
        </w:rPr>
        <w:t xml:space="preserve">5.  </w:t>
      </w:r>
      <w:r w:rsidRPr="00550F57">
        <w:rPr>
          <w:rFonts w:ascii="Times New Roman" w:hAnsi="Times New Roman" w:cs="Times New Roman"/>
          <w:color w:val="auto"/>
          <w:sz w:val="24"/>
          <w:szCs w:val="24"/>
          <w:u w:val="single"/>
        </w:rPr>
        <w:t xml:space="preserve">Small </w:t>
      </w:r>
      <w:r w:rsidRPr="00550F57" w:rsidR="00BF51A9">
        <w:rPr>
          <w:rFonts w:ascii="Times New Roman" w:hAnsi="Times New Roman" w:cs="Times New Roman"/>
          <w:color w:val="auto"/>
          <w:sz w:val="24"/>
          <w:szCs w:val="24"/>
          <w:u w:val="single"/>
        </w:rPr>
        <w:t>Entities</w:t>
      </w:r>
      <w:bookmarkEnd w:id="11"/>
    </w:p>
    <w:p w:rsidR="00232D22" w:rsidRPr="00550F57" w:rsidP="00EB2050" w14:paraId="0EEAF4BF" w14:textId="4F3E368B"/>
    <w:p w:rsidR="001C6BAE" w:rsidRPr="00550F57" w:rsidP="00EB2050" w14:paraId="737F7BE6" w14:textId="18559F7E">
      <w:r w:rsidRPr="00550F57">
        <w:t>As part of our PRA analysis for an extension of our existing approval, we considered whether the change impacts a significant number of small entities.  In this filing we utilized the instructions that pertain to the</w:t>
      </w:r>
      <w:r w:rsidRPr="00550F57" w:rsidR="002E101A">
        <w:t xml:space="preserve"> P</w:t>
      </w:r>
      <w:r w:rsidRPr="00550F57" w:rsidR="00426054">
        <w:t>aperwork Reduction Act Submission Worksheet, Part II</w:t>
      </w:r>
      <w:r w:rsidRPr="00550F57">
        <w:t xml:space="preserve"> to determine the number of small entities.  </w:t>
      </w:r>
      <w:r w:rsidRPr="00550F57" w:rsidR="00426054">
        <w:t xml:space="preserve">Specifically, a small entity can be defined as a small organization that is any not-for-profit enterprise that is independently owned and operated and is not dominant in its field. </w:t>
      </w:r>
      <w:r w:rsidRPr="00550F57" w:rsidR="003B402D">
        <w:t>D</w:t>
      </w:r>
      <w:r w:rsidRPr="00550F57" w:rsidR="00426054">
        <w:t xml:space="preserve">ata </w:t>
      </w:r>
      <w:r w:rsidRPr="00550F57" w:rsidR="006770CF">
        <w:t xml:space="preserve">indicate that in </w:t>
      </w:r>
      <w:r w:rsidRPr="00550F57" w:rsidR="00956412">
        <w:t>20</w:t>
      </w:r>
      <w:r w:rsidR="00517C3D">
        <w:t>21</w:t>
      </w:r>
      <w:r w:rsidRPr="00550F57" w:rsidR="00CC3BF6">
        <w:t>,</w:t>
      </w:r>
      <w:r w:rsidRPr="00550F57" w:rsidR="00940367">
        <w:t xml:space="preserve"> </w:t>
      </w:r>
      <w:r w:rsidRPr="00550F57" w:rsidR="006770CF">
        <w:t>2</w:t>
      </w:r>
      <w:r w:rsidRPr="00550F57" w:rsidR="00956412">
        <w:t>3</w:t>
      </w:r>
      <w:r w:rsidRPr="00550F57" w:rsidR="006770CF">
        <w:t xml:space="preserve">% of the total SNF number were non-profit.  This equates to </w:t>
      </w:r>
      <w:r w:rsidRPr="00550F57" w:rsidR="003B402D">
        <w:t>3,</w:t>
      </w:r>
      <w:r w:rsidRPr="00550F57" w:rsidR="003C3547">
        <w:t>55</w:t>
      </w:r>
      <w:r w:rsidR="00517C3D">
        <w:t>8</w:t>
      </w:r>
      <w:r w:rsidRPr="00550F57" w:rsidR="003C3547">
        <w:t xml:space="preserve"> </w:t>
      </w:r>
      <w:r w:rsidRPr="00550F57" w:rsidR="006770CF">
        <w:t>non-profit SNFs.</w:t>
      </w:r>
    </w:p>
    <w:p w:rsidR="005E3DEF" w:rsidRPr="00550F57" w:rsidP="00EB2050" w14:paraId="77127B2E" w14:textId="2E4213EF">
      <w:bookmarkStart w:id="12" w:name="_Hlk121297991"/>
    </w:p>
    <w:p w:rsidR="00232D22" w:rsidRPr="00550F57" w:rsidP="00556124" w14:paraId="16DD3A37" w14:textId="1F9336B0">
      <w:pPr>
        <w:pStyle w:val="Heading2"/>
        <w:rPr>
          <w:rFonts w:ascii="Times New Roman" w:hAnsi="Times New Roman" w:cs="Times New Roman"/>
          <w:color w:val="auto"/>
          <w:sz w:val="24"/>
          <w:szCs w:val="24"/>
        </w:rPr>
      </w:pPr>
      <w:bookmarkStart w:id="13" w:name="_Toc125742247"/>
      <w:r w:rsidRPr="00550F57">
        <w:rPr>
          <w:rFonts w:ascii="Times New Roman" w:hAnsi="Times New Roman" w:cs="Times New Roman"/>
          <w:color w:val="auto"/>
          <w:sz w:val="24"/>
          <w:szCs w:val="24"/>
        </w:rPr>
        <w:t xml:space="preserve">6.  </w:t>
      </w:r>
      <w:r w:rsidRPr="00550F57" w:rsidR="006770CF">
        <w:rPr>
          <w:rFonts w:ascii="Times New Roman" w:hAnsi="Times New Roman" w:cs="Times New Roman"/>
          <w:color w:val="auto"/>
          <w:sz w:val="24"/>
          <w:szCs w:val="24"/>
          <w:u w:val="single"/>
        </w:rPr>
        <w:t>Collection Frequency</w:t>
      </w:r>
      <w:bookmarkEnd w:id="13"/>
    </w:p>
    <w:p w:rsidR="00232D22" w:rsidRPr="00550F57" w:rsidP="00EB2050" w14:paraId="400F20E7" w14:textId="6DA5B169"/>
    <w:p w:rsidR="003A59C9" w:rsidRPr="00550F57" w:rsidP="00EB2050" w14:paraId="050D2110" w14:textId="0B887D2A">
      <w:r w:rsidRPr="00550F57">
        <w:t>U</w:t>
      </w:r>
      <w:r w:rsidRPr="00550F57" w:rsidR="005A13C4">
        <w:t xml:space="preserve">nder the </w:t>
      </w:r>
      <w:r w:rsidRPr="00550F57" w:rsidR="003C3547">
        <w:t>PDPM</w:t>
      </w:r>
      <w:r w:rsidRPr="00550F57" w:rsidR="005A13C4">
        <w:t xml:space="preserve"> payment system </w:t>
      </w:r>
      <w:r w:rsidRPr="00550F57">
        <w:t>w</w:t>
      </w:r>
      <w:r w:rsidRPr="00550F57" w:rsidR="00232D22">
        <w:t xml:space="preserve">e need to collect this information </w:t>
      </w:r>
      <w:r w:rsidRPr="00550F57" w:rsidR="00363798">
        <w:t>at</w:t>
      </w:r>
      <w:r w:rsidRPr="00550F57" w:rsidR="00232D22">
        <w:t xml:space="preserve"> the required frequency</w:t>
      </w:r>
      <w:r w:rsidRPr="00550F57" w:rsidR="00E77614">
        <w:t>,</w:t>
      </w:r>
      <w:r w:rsidRPr="00550F57" w:rsidR="00232D22">
        <w:t xml:space="preserve"> </w:t>
      </w:r>
      <w:r w:rsidRPr="00550F57" w:rsidR="003C3547">
        <w:t xml:space="preserve">that is at the start of a resident’s Part A SNF stay to classify the resident into a payment category, </w:t>
      </w:r>
      <w:r w:rsidRPr="00550F57" w:rsidR="00832BAF">
        <w:t xml:space="preserve">and </w:t>
      </w:r>
      <w:r w:rsidRPr="00550F57" w:rsidR="003C3547">
        <w:t>upon discharge from a SNF stay for monitoring purposes</w:t>
      </w:r>
      <w:r w:rsidRPr="00550F57" w:rsidR="008D4FB6">
        <w:t xml:space="preserve">. </w:t>
      </w:r>
      <w:r w:rsidRPr="00550F57" w:rsidR="003F3129">
        <w:t>For</w:t>
      </w:r>
      <w:r w:rsidRPr="00550F57" w:rsidR="008D4FB6">
        <w:t xml:space="preserve"> the SNF QRP,</w:t>
      </w:r>
      <w:r w:rsidRPr="00550F57" w:rsidR="00150197">
        <w:t xml:space="preserve"> the </w:t>
      </w:r>
      <w:r w:rsidRPr="00550F57" w:rsidR="003F3129">
        <w:t xml:space="preserve">data collection time points and data collection </w:t>
      </w:r>
      <w:r w:rsidRPr="00550F57" w:rsidR="00150197">
        <w:t xml:space="preserve">frequency </w:t>
      </w:r>
      <w:r w:rsidRPr="00550F57" w:rsidR="00A0293A">
        <w:t xml:space="preserve">are </w:t>
      </w:r>
      <w:r w:rsidRPr="00550F57" w:rsidR="003F3129">
        <w:t xml:space="preserve">consistent with the PDPM payment system.  </w:t>
      </w:r>
      <w:r w:rsidRPr="00550F57" w:rsidR="0061365E">
        <w:t xml:space="preserve">Data is collected for the SNF QRP </w:t>
      </w:r>
      <w:r w:rsidRPr="00550F57" w:rsidR="008D4FB6">
        <w:t xml:space="preserve">both at the start of a resident’s Part A SNF stay and upon discharge from a </w:t>
      </w:r>
      <w:r w:rsidRPr="00550F57" w:rsidR="003F3129">
        <w:t xml:space="preserve">resident’s </w:t>
      </w:r>
      <w:r w:rsidRPr="00550F57" w:rsidR="004148F6">
        <w:t xml:space="preserve">Part A </w:t>
      </w:r>
      <w:r w:rsidRPr="00550F57" w:rsidR="008D4FB6">
        <w:t>SNF stay</w:t>
      </w:r>
      <w:r w:rsidRPr="00550F57" w:rsidR="00832BAF">
        <w:t xml:space="preserve"> </w:t>
      </w:r>
      <w:r w:rsidRPr="00550F57" w:rsidR="008D4FB6">
        <w:t xml:space="preserve">in order to calculate </w:t>
      </w:r>
      <w:r w:rsidRPr="00550F57" w:rsidR="0061365E">
        <w:t xml:space="preserve">the </w:t>
      </w:r>
      <w:r w:rsidRPr="00550F57" w:rsidR="008D4FB6">
        <w:t>quality measures</w:t>
      </w:r>
      <w:r w:rsidRPr="00550F57" w:rsidR="0061365E">
        <w:t xml:space="preserve"> adopted under the SNF QRP</w:t>
      </w:r>
      <w:r w:rsidRPr="00550F57" w:rsidR="008D4FB6">
        <w:t xml:space="preserve"> and </w:t>
      </w:r>
      <w:r w:rsidRPr="00550F57" w:rsidR="0061365E">
        <w:t xml:space="preserve">to </w:t>
      </w:r>
      <w:r w:rsidRPr="00550F57" w:rsidR="008D4FB6">
        <w:t xml:space="preserve">obtain standardized patient assessment data. </w:t>
      </w:r>
    </w:p>
    <w:bookmarkEnd w:id="12"/>
    <w:p w:rsidR="004F246B" w:rsidRPr="00550F57" w:rsidP="00EB2050" w14:paraId="0DFA2FFB" w14:textId="77777777"/>
    <w:p w:rsidR="00232D22" w:rsidRPr="00550F57" w:rsidP="00556124" w14:paraId="36C1D493" w14:textId="1F11EE93">
      <w:pPr>
        <w:pStyle w:val="Heading2"/>
        <w:rPr>
          <w:rFonts w:ascii="Times New Roman" w:hAnsi="Times New Roman" w:cs="Times New Roman"/>
          <w:color w:val="auto"/>
          <w:sz w:val="24"/>
          <w:szCs w:val="24"/>
        </w:rPr>
      </w:pPr>
      <w:bookmarkStart w:id="14" w:name="_Toc125742248"/>
      <w:r w:rsidRPr="00550F57">
        <w:rPr>
          <w:rFonts w:ascii="Times New Roman" w:hAnsi="Times New Roman" w:cs="Times New Roman"/>
          <w:color w:val="auto"/>
          <w:sz w:val="24"/>
          <w:szCs w:val="24"/>
        </w:rPr>
        <w:t xml:space="preserve">7.  </w:t>
      </w:r>
      <w:r w:rsidRPr="00550F57">
        <w:rPr>
          <w:rFonts w:ascii="Times New Roman" w:hAnsi="Times New Roman" w:cs="Times New Roman"/>
          <w:color w:val="auto"/>
          <w:sz w:val="24"/>
          <w:szCs w:val="24"/>
          <w:u w:val="single"/>
        </w:rPr>
        <w:t>Special Circumstances</w:t>
      </w:r>
      <w:bookmarkEnd w:id="14"/>
    </w:p>
    <w:p w:rsidR="00232D22" w:rsidRPr="00550F57" w:rsidP="00EB2050" w14:paraId="4504D43C" w14:textId="19AD7BB2"/>
    <w:p w:rsidR="000F55B1" w:rsidRPr="00550F57" w:rsidP="00EB2050" w14:paraId="00641667" w14:textId="3A1849F1">
      <w:r w:rsidRPr="00550F57">
        <w:t>There are no special circumstances that would require the PPS 5-Day and PPS discharge assessments to be conducted more than once during a resident’s stay.</w:t>
      </w:r>
    </w:p>
    <w:p w:rsidR="00D64210" w:rsidRPr="00550F57" w:rsidP="00EB2050" w14:paraId="3C87F7EE" w14:textId="50D96490"/>
    <w:p w:rsidR="00232D22" w:rsidRPr="00550F57" w:rsidP="00556124" w14:paraId="6FCD07C8" w14:textId="549BB31E">
      <w:pPr>
        <w:pStyle w:val="Heading2"/>
        <w:rPr>
          <w:rFonts w:ascii="Times New Roman" w:hAnsi="Times New Roman" w:cs="Times New Roman"/>
          <w:color w:val="auto"/>
          <w:sz w:val="24"/>
          <w:szCs w:val="24"/>
        </w:rPr>
      </w:pPr>
      <w:bookmarkStart w:id="15" w:name="_Toc125742249"/>
      <w:r w:rsidRPr="00550F57">
        <w:rPr>
          <w:rFonts w:ascii="Times New Roman" w:hAnsi="Times New Roman" w:cs="Times New Roman"/>
          <w:color w:val="auto"/>
          <w:sz w:val="24"/>
          <w:szCs w:val="24"/>
        </w:rPr>
        <w:t xml:space="preserve">8.  </w:t>
      </w:r>
      <w:r w:rsidRPr="00550F57">
        <w:rPr>
          <w:rFonts w:ascii="Times New Roman" w:hAnsi="Times New Roman" w:cs="Times New Roman"/>
          <w:color w:val="auto"/>
          <w:sz w:val="24"/>
          <w:szCs w:val="24"/>
          <w:u w:val="single"/>
        </w:rPr>
        <w:t>Federal Register Notice/Outside Consultation</w:t>
      </w:r>
      <w:bookmarkEnd w:id="15"/>
    </w:p>
    <w:p w:rsidR="006137F1" w:rsidRPr="00550F57" w:rsidP="00EB2050" w14:paraId="17885D84" w14:textId="74336701">
      <w:pPr>
        <w:rPr>
          <w:u w:val="single"/>
        </w:rPr>
      </w:pPr>
    </w:p>
    <w:p w:rsidR="00B00233" w:rsidP="00B00233" w14:paraId="590E3BC0" w14:textId="5A8FA6E2">
      <w:pPr>
        <w:keepNext/>
        <w:keepLines/>
      </w:pPr>
      <w:r>
        <w:rPr>
          <w:w w:val="105"/>
        </w:rPr>
        <w:t>T</w:t>
      </w:r>
      <w:r w:rsidR="00334A29">
        <w:t xml:space="preserve">he 60-day Federal Register notice published </w:t>
      </w:r>
      <w:r w:rsidR="007E7DC9">
        <w:t>February 7, 20</w:t>
      </w:r>
      <w:r w:rsidR="007E7DC9">
        <w:t>23 (88 FR 7976</w:t>
      </w:r>
      <w:r w:rsidR="00334A29">
        <w:t>.</w:t>
      </w:r>
      <w:r w:rsidR="007E7DC9">
        <w:t xml:space="preserve">  There were no public comments received.</w:t>
      </w:r>
    </w:p>
    <w:p w:rsidR="00334A29" w:rsidP="00B00233" w14:paraId="64896EA8" w14:textId="1A1E8DB7">
      <w:pPr>
        <w:keepNext/>
        <w:keepLines/>
      </w:pPr>
    </w:p>
    <w:p w:rsidR="00334A29" w:rsidRPr="00C51370" w:rsidP="00B00233" w14:paraId="212F591C" w14:textId="54021E4B">
      <w:pPr>
        <w:keepNext/>
        <w:keepLines/>
      </w:pPr>
      <w:r>
        <w:t xml:space="preserve">The 30-day Federal Register notice published </w:t>
      </w:r>
      <w:r w:rsidR="007E7DC9">
        <w:t>April 18, 2023 (</w:t>
      </w:r>
      <w:r w:rsidR="007E7DC9">
        <w:t>88 FR 23679)</w:t>
      </w:r>
      <w:bookmarkStart w:id="16" w:name="_GoBack"/>
      <w:bookmarkEnd w:id="16"/>
      <w:r>
        <w:t>.</w:t>
      </w:r>
    </w:p>
    <w:p w:rsidR="009A3064" w:rsidRPr="00550F57" w:rsidP="00A1296C" w14:paraId="4BA01894" w14:textId="5A12A52F">
      <w:pPr>
        <w:keepNext/>
        <w:keepLines/>
      </w:pPr>
    </w:p>
    <w:p w:rsidR="00232D22" w:rsidRPr="00550F57" w:rsidP="00556124" w14:paraId="042EC7F4" w14:textId="16241684">
      <w:pPr>
        <w:pStyle w:val="Heading2"/>
        <w:rPr>
          <w:rFonts w:ascii="Times New Roman" w:hAnsi="Times New Roman" w:cs="Times New Roman"/>
          <w:color w:val="auto"/>
          <w:sz w:val="24"/>
          <w:szCs w:val="24"/>
        </w:rPr>
      </w:pPr>
      <w:bookmarkStart w:id="17" w:name="_Toc125742250"/>
      <w:r w:rsidRPr="00550F57">
        <w:rPr>
          <w:rFonts w:ascii="Times New Roman" w:hAnsi="Times New Roman" w:cs="Times New Roman"/>
          <w:color w:val="auto"/>
          <w:sz w:val="24"/>
          <w:szCs w:val="24"/>
        </w:rPr>
        <w:t xml:space="preserve">9.  </w:t>
      </w:r>
      <w:r w:rsidRPr="00550F57">
        <w:rPr>
          <w:rFonts w:ascii="Times New Roman" w:hAnsi="Times New Roman" w:cs="Times New Roman"/>
          <w:color w:val="auto"/>
          <w:sz w:val="24"/>
          <w:szCs w:val="24"/>
          <w:u w:val="single"/>
        </w:rPr>
        <w:t xml:space="preserve">Payment/Gift </w:t>
      </w:r>
      <w:r w:rsidRPr="00550F57" w:rsidR="00F20412">
        <w:rPr>
          <w:rFonts w:ascii="Times New Roman" w:hAnsi="Times New Roman" w:cs="Times New Roman"/>
          <w:color w:val="auto"/>
          <w:sz w:val="24"/>
          <w:szCs w:val="24"/>
          <w:u w:val="single"/>
        </w:rPr>
        <w:t>to</w:t>
      </w:r>
      <w:r w:rsidRPr="00550F57">
        <w:rPr>
          <w:rFonts w:ascii="Times New Roman" w:hAnsi="Times New Roman" w:cs="Times New Roman"/>
          <w:color w:val="auto"/>
          <w:sz w:val="24"/>
          <w:szCs w:val="24"/>
          <w:u w:val="single"/>
        </w:rPr>
        <w:t xml:space="preserve"> Respondent</w:t>
      </w:r>
      <w:bookmarkEnd w:id="17"/>
    </w:p>
    <w:p w:rsidR="00232D22" w:rsidRPr="00550F57" w:rsidP="00EB2050" w14:paraId="11B97C50" w14:textId="0180777C"/>
    <w:p w:rsidR="00232D22" w:rsidRPr="00550F57" w:rsidP="00EB2050" w14:paraId="7D873EDE" w14:textId="24912C37">
      <w:r w:rsidRPr="00550F57">
        <w:t>There were no gifts and no payment to respondents.</w:t>
      </w:r>
      <w:r w:rsidRPr="00550F57" w:rsidR="0098164F">
        <w:t xml:space="preserve"> </w:t>
      </w:r>
    </w:p>
    <w:p w:rsidR="004F246B" w:rsidRPr="00550F57" w:rsidP="00EB2050" w14:paraId="36ED13D9" w14:textId="77777777"/>
    <w:p w:rsidR="00232D22" w:rsidRPr="00550F57" w:rsidP="00556124" w14:paraId="4883D44B" w14:textId="520F7AF6">
      <w:pPr>
        <w:pStyle w:val="Heading2"/>
        <w:rPr>
          <w:rFonts w:ascii="Times New Roman" w:hAnsi="Times New Roman" w:cs="Times New Roman"/>
          <w:color w:val="auto"/>
          <w:sz w:val="24"/>
          <w:szCs w:val="24"/>
        </w:rPr>
      </w:pPr>
      <w:bookmarkStart w:id="18" w:name="_Toc125742251"/>
      <w:r w:rsidRPr="00550F57">
        <w:rPr>
          <w:rFonts w:ascii="Times New Roman" w:hAnsi="Times New Roman" w:cs="Times New Roman"/>
          <w:color w:val="auto"/>
          <w:sz w:val="24"/>
          <w:szCs w:val="24"/>
        </w:rPr>
        <w:t xml:space="preserve">10.  </w:t>
      </w:r>
      <w:r w:rsidRPr="00550F57">
        <w:rPr>
          <w:rFonts w:ascii="Times New Roman" w:hAnsi="Times New Roman" w:cs="Times New Roman"/>
          <w:color w:val="auto"/>
          <w:sz w:val="24"/>
          <w:szCs w:val="24"/>
          <w:u w:val="single"/>
        </w:rPr>
        <w:t>Confidentiality</w:t>
      </w:r>
      <w:bookmarkEnd w:id="18"/>
    </w:p>
    <w:p w:rsidR="00F53D7F" w:rsidRPr="00550F57" w:rsidP="00EB2050" w14:paraId="04740EA7" w14:textId="247770F1"/>
    <w:p w:rsidR="00F53D7F" w:rsidRPr="00550F57" w:rsidP="00EB2050" w14:paraId="7362C221" w14:textId="1534A020">
      <w:r w:rsidRPr="00550F57">
        <w:t xml:space="preserve">To address concerns about confidentiality of resident data, we provide that a facility and a State may not release resident-identifiable information to the public, and may not release the information to an agent or contractor without certain safeguards (42 CFR 483.20(f)(5) and 483.315(j)). </w:t>
      </w:r>
    </w:p>
    <w:p w:rsidR="00232D22" w:rsidRPr="00550F57" w:rsidP="00EB2050" w14:paraId="2EBE654C" w14:textId="1EEFA58C"/>
    <w:p w:rsidR="00232D22" w:rsidRPr="00550F57" w:rsidP="00556124" w14:paraId="5940F172" w14:textId="6AAEAEFE">
      <w:pPr>
        <w:pStyle w:val="Heading2"/>
        <w:rPr>
          <w:rFonts w:ascii="Times New Roman" w:hAnsi="Times New Roman" w:cs="Times New Roman"/>
          <w:color w:val="auto"/>
          <w:sz w:val="24"/>
          <w:szCs w:val="24"/>
        </w:rPr>
      </w:pPr>
      <w:bookmarkStart w:id="19" w:name="_Toc125742252"/>
      <w:r w:rsidRPr="00550F57">
        <w:rPr>
          <w:rFonts w:ascii="Times New Roman" w:hAnsi="Times New Roman" w:cs="Times New Roman"/>
          <w:color w:val="auto"/>
          <w:sz w:val="24"/>
          <w:szCs w:val="24"/>
        </w:rPr>
        <w:t xml:space="preserve">11.  </w:t>
      </w:r>
      <w:r w:rsidRPr="00550F57">
        <w:rPr>
          <w:rFonts w:ascii="Times New Roman" w:hAnsi="Times New Roman" w:cs="Times New Roman"/>
          <w:color w:val="auto"/>
          <w:sz w:val="24"/>
          <w:szCs w:val="24"/>
          <w:u w:val="single"/>
        </w:rPr>
        <w:t>Sensitive Questions</w:t>
      </w:r>
      <w:bookmarkEnd w:id="19"/>
    </w:p>
    <w:p w:rsidR="00232D22" w:rsidRPr="00550F57" w:rsidP="00EB2050" w14:paraId="2B7B7E47" w14:textId="4A7C3CE2"/>
    <w:p w:rsidR="00232D22" w:rsidRPr="00550F57" w:rsidP="00EB2050" w14:paraId="3BA837CB" w14:textId="1B38988C">
      <w:r w:rsidRPr="00550F57">
        <w:t>There are no sensitive questions.</w:t>
      </w:r>
    </w:p>
    <w:p w:rsidR="00232D22" w:rsidRPr="00550F57" w:rsidP="00EB2050" w14:paraId="3F7143F5" w14:textId="654102A8"/>
    <w:p w:rsidR="00232D22" w:rsidRPr="00550F57" w:rsidP="00556124" w14:paraId="7748E657" w14:textId="7C47FE64">
      <w:pPr>
        <w:pStyle w:val="Heading2"/>
        <w:rPr>
          <w:rFonts w:ascii="Times New Roman" w:hAnsi="Times New Roman" w:cs="Times New Roman"/>
          <w:color w:val="auto"/>
          <w:sz w:val="24"/>
          <w:szCs w:val="24"/>
        </w:rPr>
      </w:pPr>
      <w:bookmarkStart w:id="20" w:name="_Toc125742253"/>
      <w:r w:rsidRPr="00550F57">
        <w:rPr>
          <w:rFonts w:ascii="Times New Roman" w:hAnsi="Times New Roman" w:cs="Times New Roman"/>
          <w:color w:val="auto"/>
          <w:sz w:val="24"/>
          <w:szCs w:val="24"/>
        </w:rPr>
        <w:t xml:space="preserve">12.  </w:t>
      </w:r>
      <w:r w:rsidRPr="00550F57">
        <w:rPr>
          <w:rFonts w:ascii="Times New Roman" w:hAnsi="Times New Roman" w:cs="Times New Roman"/>
          <w:color w:val="auto"/>
          <w:sz w:val="24"/>
          <w:szCs w:val="24"/>
          <w:u w:val="single"/>
        </w:rPr>
        <w:t>Burden Estimate (Total Hours &amp; Wages)</w:t>
      </w:r>
      <w:bookmarkEnd w:id="20"/>
    </w:p>
    <w:p w:rsidR="00F6675B" w:rsidRPr="00550F57" w:rsidP="00EB2050" w14:paraId="70F74779" w14:textId="597DE49E">
      <w:pPr>
        <w:rPr>
          <w:u w:val="single"/>
        </w:rPr>
      </w:pPr>
    </w:p>
    <w:p w:rsidR="00B1510B" w:rsidRPr="00550F57" w:rsidP="00B1510B" w14:paraId="21C59C16" w14:textId="6EED71F3">
      <w:r w:rsidRPr="00550F57">
        <w:rPr>
          <w:szCs w:val="24"/>
        </w:rPr>
        <w:t>The active information collection request</w:t>
      </w:r>
      <w:r w:rsidRPr="00550F57" w:rsidR="00FC2B93">
        <w:rPr>
          <w:szCs w:val="24"/>
        </w:rPr>
        <w:t xml:space="preserve"> (approved </w:t>
      </w:r>
      <w:r w:rsidR="001F2665">
        <w:rPr>
          <w:szCs w:val="24"/>
        </w:rPr>
        <w:t>November 22, 2022</w:t>
      </w:r>
      <w:r w:rsidRPr="00550F57" w:rsidR="00FC2B93">
        <w:rPr>
          <w:szCs w:val="24"/>
        </w:rPr>
        <w:t>)</w:t>
      </w:r>
      <w:r w:rsidRPr="00550F57">
        <w:rPr>
          <w:szCs w:val="24"/>
        </w:rPr>
        <w:t xml:space="preserve"> sets out burden estimates for the item sets NP, NPE, and IPA, which are the item sets used for the PDPM. The item sets NOD, NO/SO, NSD, and NS/SS, </w:t>
      </w:r>
      <w:r w:rsidRPr="00550F57">
        <w:t>included in the PRA disclosure statement on page two of the Long-Term Care Facility Resident Assessment Instrument 3.0 User’s Manual (found at:</w:t>
      </w:r>
      <w:r w:rsidR="007C7932">
        <w:t xml:space="preserve"> </w:t>
      </w:r>
      <w:hyperlink r:id="rId6" w:history="1">
        <w:r w:rsidRPr="001D1A4F" w:rsidR="007C7932">
          <w:rPr>
            <w:rStyle w:val="Hyperlink"/>
          </w:rPr>
          <w:t>https://downloads.cms.gov/files/mds-3.0-rai-manual-v1.17.1_october_2019.pdf</w:t>
        </w:r>
      </w:hyperlink>
      <w:r w:rsidRPr="00550F57">
        <w:t xml:space="preserve">), </w:t>
      </w:r>
      <w:r w:rsidRPr="00550F57" w:rsidR="007D1A74">
        <w:rPr>
          <w:szCs w:val="24"/>
        </w:rPr>
        <w:t>were</w:t>
      </w:r>
      <w:r w:rsidRPr="00550F57">
        <w:rPr>
          <w:szCs w:val="24"/>
        </w:rPr>
        <w:t xml:space="preserve"> discontinued for payment purposes as of 10/1/2019, when the PDPM </w:t>
      </w:r>
      <w:r w:rsidRPr="00550F57" w:rsidR="007D1A74">
        <w:rPr>
          <w:szCs w:val="24"/>
        </w:rPr>
        <w:t xml:space="preserve">took </w:t>
      </w:r>
      <w:r w:rsidRPr="00550F57">
        <w:rPr>
          <w:szCs w:val="24"/>
        </w:rPr>
        <w:t xml:space="preserve">effect. However, </w:t>
      </w:r>
      <w:bookmarkStart w:id="21" w:name="_Hlk12360285"/>
      <w:r w:rsidRPr="00550F57">
        <w:rPr>
          <w:szCs w:val="24"/>
        </w:rPr>
        <w:t>we continue to use the</w:t>
      </w:r>
      <w:r w:rsidRPr="00550F57" w:rsidR="00FC2B93">
        <w:rPr>
          <w:szCs w:val="24"/>
        </w:rPr>
        <w:t xml:space="preserve"> number of items (272) on the</w:t>
      </w:r>
      <w:r w:rsidRPr="00550F57">
        <w:rPr>
          <w:szCs w:val="24"/>
        </w:rPr>
        <w:t xml:space="preserve"> </w:t>
      </w:r>
      <w:r w:rsidRPr="00550F57" w:rsidR="00FC2B93">
        <w:rPr>
          <w:szCs w:val="24"/>
        </w:rPr>
        <w:t>OMRA (</w:t>
      </w:r>
      <w:r w:rsidRPr="00550F57">
        <w:rPr>
          <w:szCs w:val="24"/>
        </w:rPr>
        <w:t>NO</w:t>
      </w:r>
      <w:r w:rsidRPr="00550F57" w:rsidR="00D60787">
        <w:rPr>
          <w:szCs w:val="24"/>
        </w:rPr>
        <w:t>/SO</w:t>
      </w:r>
      <w:r w:rsidRPr="00550F57" w:rsidR="00FC2B93">
        <w:rPr>
          <w:szCs w:val="24"/>
        </w:rPr>
        <w:t>)</w:t>
      </w:r>
      <w:r w:rsidRPr="00550F57">
        <w:rPr>
          <w:szCs w:val="24"/>
        </w:rPr>
        <w:t xml:space="preserve"> item set as a proxy for all assessments, consistent with the active information collection request. </w:t>
      </w:r>
    </w:p>
    <w:p w:rsidR="00EF3CBF" w:rsidRPr="00550F57" w:rsidP="00EB2050" w14:paraId="42B99DBA" w14:textId="1BF93F12"/>
    <w:bookmarkEnd w:id="21"/>
    <w:p w:rsidR="007808C3" w:rsidRPr="00550F57" w:rsidP="007808C3" w14:paraId="0A0C61A0" w14:textId="77777777">
      <w:r w:rsidRPr="00550F57">
        <w:t>We have updated the MDS burden estimates on skilled nursing facilities</w:t>
      </w:r>
      <w:r w:rsidRPr="00550F57" w:rsidR="003C624B">
        <w:t xml:space="preserve">. </w:t>
      </w:r>
      <w:r>
        <w:t>T</w:t>
      </w:r>
      <w:r w:rsidRPr="00035EA8">
        <w:t xml:space="preserve">he </w:t>
      </w:r>
      <w:r>
        <w:t xml:space="preserve">assessment-level </w:t>
      </w:r>
      <w:r w:rsidRPr="00035EA8">
        <w:t xml:space="preserve">burden hours approved for </w:t>
      </w:r>
      <w:r>
        <w:t>the previous version MDS 3.0 v</w:t>
      </w:r>
      <w:r w:rsidRPr="00035EA8">
        <w:t>1.17.</w:t>
      </w:r>
      <w:r>
        <w:t>2</w:t>
      </w:r>
      <w:r w:rsidRPr="00035EA8">
        <w:t xml:space="preserve"> </w:t>
      </w:r>
      <w:r>
        <w:t>remain intact in the estimate.</w:t>
      </w:r>
    </w:p>
    <w:p w:rsidR="00403B40" w:rsidP="00EB2050" w14:paraId="6ACBB493" w14:textId="10D64C60">
      <w:r>
        <w:t>However, w</w:t>
      </w:r>
      <w:r w:rsidRPr="00550F57" w:rsidR="00B542C8">
        <w:t>e used FY</w:t>
      </w:r>
      <w:r w:rsidRPr="00550F57" w:rsidR="00D761FB">
        <w:t xml:space="preserve"> </w:t>
      </w:r>
      <w:r w:rsidRPr="00550F57" w:rsidR="00B542C8">
        <w:t>20</w:t>
      </w:r>
      <w:r w:rsidR="007C7932">
        <w:t>21</w:t>
      </w:r>
      <w:r w:rsidRPr="00550F57" w:rsidR="00B542C8">
        <w:t xml:space="preserve"> data to calculate the frequency and number of assessments completed</w:t>
      </w:r>
      <w:r>
        <w:t xml:space="preserve">, and updated the salary estimate </w:t>
      </w:r>
      <w:r w:rsidR="007808C3">
        <w:t>using</w:t>
      </w:r>
      <w:r>
        <w:t xml:space="preserve"> the U.S. Bureau of Labor Statistics (BLS)</w:t>
      </w:r>
      <w:r w:rsidR="007808C3">
        <w:t xml:space="preserve"> from May 2018 to May 2020</w:t>
      </w:r>
      <w:r>
        <w:t xml:space="preserve">.  As a result, the total burden has decreased.  We provide </w:t>
      </w:r>
      <w:r w:rsidR="00A14417">
        <w:t>additional details about the changes</w:t>
      </w:r>
      <w:r>
        <w:t xml:space="preserve"> </w:t>
      </w:r>
      <w:r w:rsidR="007808C3">
        <w:t>in Section 15 of this package</w:t>
      </w:r>
    </w:p>
    <w:p w:rsidR="00D64210" w:rsidRPr="00550F57" w:rsidP="00EB2050" w14:paraId="185D5578" w14:textId="77777777"/>
    <w:p w:rsidR="000171A3" w:rsidRPr="00550F57" w:rsidP="00EB2050" w14:paraId="53538ECB" w14:textId="6C199E85">
      <w:pPr>
        <w:rPr>
          <w:i/>
        </w:rPr>
      </w:pPr>
      <w:r w:rsidRPr="00550F57">
        <w:rPr>
          <w:i/>
        </w:rPr>
        <w:t>Wage Estimates</w:t>
      </w:r>
    </w:p>
    <w:p w:rsidR="000171A3" w:rsidRPr="00550F57" w:rsidP="00EB2050" w14:paraId="60E02FCE" w14:textId="2DE34F5A"/>
    <w:p w:rsidR="007549FB" w:rsidRPr="00550F57" w:rsidP="00EB2050" w14:paraId="4361AD95" w14:textId="10EA1B96">
      <w:r w:rsidRPr="00550F57">
        <w:t xml:space="preserve">To derive average costs, we used data from the U.S. </w:t>
      </w:r>
      <w:r w:rsidR="000F5EE6">
        <w:t>BLS</w:t>
      </w:r>
      <w:r w:rsidRPr="00550F57">
        <w:t xml:space="preserve"> May 20</w:t>
      </w:r>
      <w:r w:rsidR="00A23422">
        <w:t>20</w:t>
      </w:r>
      <w:r w:rsidRPr="00550F57">
        <w:t xml:space="preserve"> National Occupational Employment and Wage Estimates for all salary estimates (</w:t>
      </w:r>
      <w:hyperlink r:id="rId7" w:history="1">
        <w:r w:rsidRPr="00550F57">
          <w:rPr>
            <w:rStyle w:val="Hyperlink"/>
          </w:rPr>
          <w:t>http://www.bls.gov/oes/current/oes_nat.htm</w:t>
        </w:r>
      </w:hyperlink>
      <w:r w:rsidRPr="00550F57">
        <w:t xml:space="preserve">). </w:t>
      </w:r>
      <w:r w:rsidRPr="00550F57" w:rsidR="00C43E85">
        <w:t>The following table presents the mean hourly wage, the cost of fringe benefits (calculated at 100 percent of salary), and the adjusted hourly wage.</w:t>
      </w:r>
    </w:p>
    <w:p w:rsidR="007549FB" w:rsidRPr="00550F57" w:rsidP="00EB2050" w14:paraId="780199C1" w14:textId="0D561F8D">
      <w:pPr>
        <w:rPr>
          <w:snapToGrid w:val="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95"/>
        <w:gridCol w:w="1794"/>
        <w:gridCol w:w="1711"/>
        <w:gridCol w:w="1721"/>
        <w:gridCol w:w="1176"/>
      </w:tblGrid>
      <w:tr w14:paraId="0C81851A" w14:textId="58182FA7" w:rsidTr="005D1F1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jc w:val="center"/>
        </w:trPr>
        <w:tc>
          <w:tcPr>
            <w:tcW w:w="1795" w:type="dxa"/>
            <w:tcMar>
              <w:top w:w="0" w:type="dxa"/>
              <w:left w:w="108" w:type="dxa"/>
              <w:bottom w:w="0" w:type="dxa"/>
              <w:right w:w="108" w:type="dxa"/>
            </w:tcMar>
            <w:vAlign w:val="center"/>
            <w:hideMark/>
          </w:tcPr>
          <w:p w:rsidR="002437BD" w:rsidRPr="00550F57" w:rsidP="005D1F1A" w14:paraId="062E8E89" w14:textId="77777777">
            <w:pPr>
              <w:jc w:val="center"/>
              <w:rPr>
                <w:b/>
                <w:bCs/>
                <w:sz w:val="20"/>
              </w:rPr>
            </w:pPr>
            <w:r w:rsidRPr="00550F57">
              <w:rPr>
                <w:b/>
                <w:bCs/>
                <w:sz w:val="20"/>
              </w:rPr>
              <w:t>Occupation Title</w:t>
            </w:r>
          </w:p>
        </w:tc>
        <w:tc>
          <w:tcPr>
            <w:tcW w:w="1794" w:type="dxa"/>
            <w:tcMar>
              <w:top w:w="0" w:type="dxa"/>
              <w:left w:w="108" w:type="dxa"/>
              <w:bottom w:w="0" w:type="dxa"/>
              <w:right w:w="108" w:type="dxa"/>
            </w:tcMar>
            <w:vAlign w:val="center"/>
            <w:hideMark/>
          </w:tcPr>
          <w:p w:rsidR="002437BD" w:rsidRPr="00550F57" w:rsidP="005D1F1A" w14:paraId="431EE148" w14:textId="77777777">
            <w:pPr>
              <w:jc w:val="center"/>
              <w:rPr>
                <w:b/>
                <w:bCs/>
                <w:sz w:val="20"/>
              </w:rPr>
            </w:pPr>
            <w:r w:rsidRPr="00550F57">
              <w:rPr>
                <w:b/>
                <w:bCs/>
                <w:sz w:val="20"/>
              </w:rPr>
              <w:t>Occupation Code</w:t>
            </w:r>
          </w:p>
        </w:tc>
        <w:tc>
          <w:tcPr>
            <w:tcW w:w="1711" w:type="dxa"/>
            <w:tcMar>
              <w:top w:w="0" w:type="dxa"/>
              <w:left w:w="108" w:type="dxa"/>
              <w:bottom w:w="0" w:type="dxa"/>
              <w:right w:w="108" w:type="dxa"/>
            </w:tcMar>
            <w:vAlign w:val="center"/>
            <w:hideMark/>
          </w:tcPr>
          <w:p w:rsidR="002437BD" w:rsidRPr="00550F57" w:rsidP="005D1F1A" w14:paraId="12B553E3" w14:textId="77777777">
            <w:pPr>
              <w:jc w:val="center"/>
              <w:rPr>
                <w:b/>
                <w:bCs/>
                <w:sz w:val="20"/>
              </w:rPr>
            </w:pPr>
            <w:r w:rsidRPr="00550F57">
              <w:rPr>
                <w:b/>
                <w:bCs/>
                <w:sz w:val="20"/>
              </w:rPr>
              <w:t>Mean Hourly Wage ($/</w:t>
            </w:r>
            <w:r w:rsidRPr="00550F57">
              <w:rPr>
                <w:b/>
                <w:bCs/>
                <w:sz w:val="20"/>
              </w:rPr>
              <w:t>hr</w:t>
            </w:r>
            <w:r w:rsidRPr="00550F57">
              <w:rPr>
                <w:b/>
                <w:bCs/>
                <w:sz w:val="20"/>
              </w:rPr>
              <w:t>)</w:t>
            </w:r>
          </w:p>
        </w:tc>
        <w:tc>
          <w:tcPr>
            <w:tcW w:w="1721" w:type="dxa"/>
            <w:tcMar>
              <w:top w:w="0" w:type="dxa"/>
              <w:left w:w="108" w:type="dxa"/>
              <w:bottom w:w="0" w:type="dxa"/>
              <w:right w:w="108" w:type="dxa"/>
            </w:tcMar>
            <w:vAlign w:val="center"/>
            <w:hideMark/>
          </w:tcPr>
          <w:p w:rsidR="002437BD" w:rsidRPr="00550F57" w:rsidP="005D1F1A" w14:paraId="515FDEF1" w14:textId="77777777">
            <w:pPr>
              <w:jc w:val="center"/>
              <w:rPr>
                <w:b/>
                <w:bCs/>
                <w:sz w:val="20"/>
              </w:rPr>
            </w:pPr>
            <w:r w:rsidRPr="00550F57">
              <w:rPr>
                <w:b/>
                <w:bCs/>
                <w:sz w:val="20"/>
              </w:rPr>
              <w:t>Fringe Benefits and Overhead ($/</w:t>
            </w:r>
            <w:r w:rsidRPr="00550F57">
              <w:rPr>
                <w:b/>
                <w:bCs/>
                <w:sz w:val="20"/>
              </w:rPr>
              <w:t>hr</w:t>
            </w:r>
            <w:r w:rsidRPr="00550F57">
              <w:rPr>
                <w:b/>
                <w:bCs/>
                <w:sz w:val="20"/>
              </w:rPr>
              <w:t>)</w:t>
            </w:r>
          </w:p>
        </w:tc>
        <w:tc>
          <w:tcPr>
            <w:tcW w:w="1176" w:type="dxa"/>
            <w:tcMar>
              <w:top w:w="0" w:type="dxa"/>
              <w:left w:w="108" w:type="dxa"/>
              <w:bottom w:w="0" w:type="dxa"/>
              <w:right w:w="108" w:type="dxa"/>
            </w:tcMar>
            <w:vAlign w:val="center"/>
            <w:hideMark/>
          </w:tcPr>
          <w:p w:rsidR="002437BD" w:rsidRPr="00550F57" w:rsidP="005D1F1A" w14:paraId="65F89538" w14:textId="77777777">
            <w:pPr>
              <w:jc w:val="center"/>
              <w:rPr>
                <w:b/>
                <w:bCs/>
                <w:sz w:val="20"/>
              </w:rPr>
            </w:pPr>
            <w:r w:rsidRPr="00550F57">
              <w:rPr>
                <w:b/>
                <w:bCs/>
                <w:sz w:val="20"/>
              </w:rPr>
              <w:t>Adjusted Hourly Wage ($/</w:t>
            </w:r>
            <w:r w:rsidRPr="00550F57">
              <w:rPr>
                <w:b/>
                <w:bCs/>
                <w:sz w:val="20"/>
              </w:rPr>
              <w:t>hr</w:t>
            </w:r>
            <w:r w:rsidRPr="00550F57">
              <w:rPr>
                <w:b/>
                <w:bCs/>
                <w:sz w:val="20"/>
              </w:rPr>
              <w:t>)</w:t>
            </w:r>
          </w:p>
        </w:tc>
      </w:tr>
      <w:tr w14:paraId="430E8E0B" w14:textId="77777777" w:rsidTr="002437BD">
        <w:tblPrEx>
          <w:tblW w:w="0" w:type="auto"/>
          <w:jc w:val="center"/>
          <w:tblCellMar>
            <w:left w:w="0" w:type="dxa"/>
            <w:right w:w="0" w:type="dxa"/>
          </w:tblCellMar>
          <w:tblLook w:val="04A0"/>
        </w:tblPrEx>
        <w:trPr>
          <w:jc w:val="center"/>
        </w:trPr>
        <w:tc>
          <w:tcPr>
            <w:tcW w:w="1795" w:type="dxa"/>
            <w:tcMar>
              <w:top w:w="0" w:type="dxa"/>
              <w:left w:w="108" w:type="dxa"/>
              <w:bottom w:w="0" w:type="dxa"/>
              <w:right w:w="108" w:type="dxa"/>
            </w:tcMar>
          </w:tcPr>
          <w:p w:rsidR="002437BD" w:rsidRPr="00550F57" w:rsidP="001C3186" w14:paraId="5FDBDE4E" w14:textId="6A7380EA">
            <w:pPr>
              <w:rPr>
                <w:sz w:val="20"/>
              </w:rPr>
            </w:pPr>
            <w:r w:rsidRPr="00550F57">
              <w:rPr>
                <w:sz w:val="20"/>
              </w:rPr>
              <w:t>Health Information Technician</w:t>
            </w:r>
          </w:p>
        </w:tc>
        <w:tc>
          <w:tcPr>
            <w:tcW w:w="1794" w:type="dxa"/>
            <w:tcMar>
              <w:top w:w="0" w:type="dxa"/>
              <w:left w:w="108" w:type="dxa"/>
              <w:bottom w:w="0" w:type="dxa"/>
              <w:right w:w="108" w:type="dxa"/>
            </w:tcMar>
          </w:tcPr>
          <w:p w:rsidR="002437BD" w:rsidRPr="00550F57" w:rsidP="00A23422" w14:paraId="10EC4874" w14:textId="6319CB06">
            <w:pPr>
              <w:rPr>
                <w:sz w:val="20"/>
              </w:rPr>
            </w:pPr>
            <w:r w:rsidRPr="00550F57">
              <w:rPr>
                <w:sz w:val="20"/>
              </w:rPr>
              <w:t>29-</w:t>
            </w:r>
            <w:r w:rsidRPr="00550F57" w:rsidR="00A23422">
              <w:rPr>
                <w:sz w:val="20"/>
              </w:rPr>
              <w:t>20</w:t>
            </w:r>
            <w:r w:rsidR="00A23422">
              <w:rPr>
                <w:sz w:val="20"/>
              </w:rPr>
              <w:t>98</w:t>
            </w:r>
          </w:p>
        </w:tc>
        <w:tc>
          <w:tcPr>
            <w:tcW w:w="1711" w:type="dxa"/>
            <w:tcMar>
              <w:top w:w="0" w:type="dxa"/>
              <w:left w:w="108" w:type="dxa"/>
              <w:bottom w:w="0" w:type="dxa"/>
              <w:right w:w="108" w:type="dxa"/>
            </w:tcMar>
          </w:tcPr>
          <w:p w:rsidR="002437BD" w:rsidRPr="00550F57" w:rsidP="001C3186" w14:paraId="53A4561E" w14:textId="6F8EA24F">
            <w:pPr>
              <w:rPr>
                <w:sz w:val="20"/>
              </w:rPr>
            </w:pPr>
            <w:r>
              <w:rPr>
                <w:sz w:val="20"/>
              </w:rPr>
              <w:t>23.21</w:t>
            </w:r>
          </w:p>
        </w:tc>
        <w:tc>
          <w:tcPr>
            <w:tcW w:w="1721" w:type="dxa"/>
            <w:tcMar>
              <w:top w:w="0" w:type="dxa"/>
              <w:left w:w="108" w:type="dxa"/>
              <w:bottom w:w="0" w:type="dxa"/>
              <w:right w:w="108" w:type="dxa"/>
            </w:tcMar>
          </w:tcPr>
          <w:p w:rsidR="002437BD" w:rsidRPr="00550F57" w:rsidP="001C3186" w14:paraId="62889DC7" w14:textId="4DF5AE94">
            <w:pPr>
              <w:rPr>
                <w:sz w:val="20"/>
              </w:rPr>
            </w:pPr>
            <w:r>
              <w:rPr>
                <w:sz w:val="20"/>
              </w:rPr>
              <w:t>23.21</w:t>
            </w:r>
          </w:p>
        </w:tc>
        <w:tc>
          <w:tcPr>
            <w:tcW w:w="1176" w:type="dxa"/>
            <w:tcMar>
              <w:top w:w="0" w:type="dxa"/>
              <w:left w:w="108" w:type="dxa"/>
              <w:bottom w:w="0" w:type="dxa"/>
              <w:right w:w="108" w:type="dxa"/>
            </w:tcMar>
          </w:tcPr>
          <w:p w:rsidR="002437BD" w:rsidRPr="00550F57" w:rsidP="001C3186" w14:paraId="2E19D62D" w14:textId="65374399">
            <w:pPr>
              <w:rPr>
                <w:sz w:val="20"/>
              </w:rPr>
            </w:pPr>
            <w:r>
              <w:rPr>
                <w:sz w:val="20"/>
              </w:rPr>
              <w:t>46.42</w:t>
            </w:r>
          </w:p>
        </w:tc>
      </w:tr>
      <w:tr w14:paraId="61F54A27" w14:textId="206C1610" w:rsidTr="002437BD">
        <w:tblPrEx>
          <w:tblW w:w="0" w:type="auto"/>
          <w:jc w:val="center"/>
          <w:tblCellMar>
            <w:left w:w="0" w:type="dxa"/>
            <w:right w:w="0" w:type="dxa"/>
          </w:tblCellMar>
          <w:tblLook w:val="04A0"/>
        </w:tblPrEx>
        <w:trPr>
          <w:jc w:val="center"/>
        </w:trPr>
        <w:tc>
          <w:tcPr>
            <w:tcW w:w="1795" w:type="dxa"/>
            <w:tcMar>
              <w:top w:w="0" w:type="dxa"/>
              <w:left w:w="108" w:type="dxa"/>
              <w:bottom w:w="0" w:type="dxa"/>
              <w:right w:w="108" w:type="dxa"/>
            </w:tcMar>
            <w:hideMark/>
          </w:tcPr>
          <w:p w:rsidR="002437BD" w:rsidRPr="00550F57" w:rsidP="001C3186" w14:paraId="4868485A" w14:textId="77777777">
            <w:pPr>
              <w:rPr>
                <w:sz w:val="20"/>
              </w:rPr>
            </w:pPr>
            <w:r w:rsidRPr="00550F57">
              <w:rPr>
                <w:sz w:val="20"/>
              </w:rPr>
              <w:t>Registered Nurse</w:t>
            </w:r>
          </w:p>
        </w:tc>
        <w:tc>
          <w:tcPr>
            <w:tcW w:w="1794" w:type="dxa"/>
            <w:tcMar>
              <w:top w:w="0" w:type="dxa"/>
              <w:left w:w="108" w:type="dxa"/>
              <w:bottom w:w="0" w:type="dxa"/>
              <w:right w:w="108" w:type="dxa"/>
            </w:tcMar>
            <w:hideMark/>
          </w:tcPr>
          <w:p w:rsidR="002437BD" w:rsidRPr="00550F57" w:rsidP="001C3186" w14:paraId="63AC7EAF" w14:textId="77777777">
            <w:pPr>
              <w:rPr>
                <w:sz w:val="20"/>
              </w:rPr>
            </w:pPr>
            <w:r w:rsidRPr="00550F57">
              <w:rPr>
                <w:sz w:val="20"/>
              </w:rPr>
              <w:t>29-1141</w:t>
            </w:r>
          </w:p>
        </w:tc>
        <w:tc>
          <w:tcPr>
            <w:tcW w:w="1711" w:type="dxa"/>
            <w:tcMar>
              <w:top w:w="0" w:type="dxa"/>
              <w:left w:w="108" w:type="dxa"/>
              <w:bottom w:w="0" w:type="dxa"/>
              <w:right w:w="108" w:type="dxa"/>
            </w:tcMar>
            <w:hideMark/>
          </w:tcPr>
          <w:p w:rsidR="002437BD" w:rsidRPr="00550F57" w:rsidP="001C3186" w14:paraId="6B84DF2E" w14:textId="14292AA3">
            <w:pPr>
              <w:rPr>
                <w:sz w:val="20"/>
              </w:rPr>
            </w:pPr>
            <w:r>
              <w:rPr>
                <w:sz w:val="20"/>
              </w:rPr>
              <w:t>38.47</w:t>
            </w:r>
          </w:p>
        </w:tc>
        <w:tc>
          <w:tcPr>
            <w:tcW w:w="1721" w:type="dxa"/>
            <w:tcMar>
              <w:top w:w="0" w:type="dxa"/>
              <w:left w:w="108" w:type="dxa"/>
              <w:bottom w:w="0" w:type="dxa"/>
              <w:right w:w="108" w:type="dxa"/>
            </w:tcMar>
            <w:hideMark/>
          </w:tcPr>
          <w:p w:rsidR="002437BD" w:rsidRPr="00550F57" w:rsidP="001C3186" w14:paraId="6372DF38" w14:textId="0A5571D4">
            <w:pPr>
              <w:rPr>
                <w:sz w:val="20"/>
              </w:rPr>
            </w:pPr>
            <w:r>
              <w:rPr>
                <w:sz w:val="20"/>
              </w:rPr>
              <w:t>38.47</w:t>
            </w:r>
          </w:p>
        </w:tc>
        <w:tc>
          <w:tcPr>
            <w:tcW w:w="1176" w:type="dxa"/>
            <w:tcMar>
              <w:top w:w="0" w:type="dxa"/>
              <w:left w:w="108" w:type="dxa"/>
              <w:bottom w:w="0" w:type="dxa"/>
              <w:right w:w="108" w:type="dxa"/>
            </w:tcMar>
            <w:hideMark/>
          </w:tcPr>
          <w:p w:rsidR="002437BD" w:rsidRPr="00550F57" w:rsidP="001C3186" w14:paraId="48EA5CC2" w14:textId="0AFC97DA">
            <w:pPr>
              <w:rPr>
                <w:sz w:val="20"/>
              </w:rPr>
            </w:pPr>
            <w:r>
              <w:rPr>
                <w:sz w:val="20"/>
              </w:rPr>
              <w:t>76.94</w:t>
            </w:r>
          </w:p>
        </w:tc>
      </w:tr>
    </w:tbl>
    <w:p w:rsidR="00403B40" w:rsidRPr="00550F57" w:rsidP="009900EE" w14:paraId="5FD8B9CA" w14:textId="6E99268D">
      <w:pPr>
        <w:rPr>
          <w:snapToGrid w:val="0"/>
          <w:szCs w:val="24"/>
        </w:rPr>
      </w:pPr>
    </w:p>
    <w:p w:rsidR="007549FB" w:rsidRPr="00550F57" w:rsidP="00EB2050" w14:paraId="4E0D527D" w14:textId="4BC8E432">
      <w:pPr>
        <w:rPr>
          <w:snapToGrid w:val="0"/>
          <w:szCs w:val="24"/>
        </w:rPr>
      </w:pPr>
      <w:r w:rsidRPr="00550F57">
        <w:rPr>
          <w:snapToGrid w:val="0"/>
          <w:szCs w:val="24"/>
        </w:rPr>
        <w:t xml:space="preserve">For </w:t>
      </w:r>
      <w:r w:rsidRPr="00550F57">
        <w:rPr>
          <w:i/>
          <w:snapToGrid w:val="0"/>
          <w:szCs w:val="24"/>
        </w:rPr>
        <w:t>preparation functions</w:t>
      </w:r>
      <w:r w:rsidRPr="00550F57">
        <w:rPr>
          <w:snapToGrid w:val="0"/>
          <w:szCs w:val="24"/>
        </w:rPr>
        <w:t xml:space="preserve">, we used </w:t>
      </w:r>
      <w:r w:rsidRPr="00550F57">
        <w:rPr>
          <w:snapToGrid w:val="0"/>
          <w:szCs w:val="24"/>
        </w:rPr>
        <w:t xml:space="preserve">the adjusted </w:t>
      </w:r>
      <w:r w:rsidRPr="00550F57" w:rsidR="00ED1B4C">
        <w:rPr>
          <w:snapToGrid w:val="0"/>
          <w:szCs w:val="24"/>
        </w:rPr>
        <w:t>r</w:t>
      </w:r>
      <w:r w:rsidRPr="00550F57">
        <w:rPr>
          <w:snapToGrid w:val="0"/>
          <w:szCs w:val="24"/>
        </w:rPr>
        <w:t xml:space="preserve">egistered </w:t>
      </w:r>
      <w:r w:rsidRPr="00550F57" w:rsidR="00ED1B4C">
        <w:rPr>
          <w:snapToGrid w:val="0"/>
          <w:szCs w:val="24"/>
        </w:rPr>
        <w:t>n</w:t>
      </w:r>
      <w:r w:rsidRPr="00550F57">
        <w:rPr>
          <w:snapToGrid w:val="0"/>
          <w:szCs w:val="24"/>
        </w:rPr>
        <w:t>urse wage</w:t>
      </w:r>
      <w:r w:rsidRPr="00550F57">
        <w:rPr>
          <w:snapToGrid w:val="0"/>
          <w:szCs w:val="24"/>
        </w:rPr>
        <w:t xml:space="preserve"> of</w:t>
      </w:r>
      <w:r w:rsidRPr="00550F57">
        <w:rPr>
          <w:snapToGrid w:val="0"/>
          <w:szCs w:val="24"/>
        </w:rPr>
        <w:t xml:space="preserve"> $</w:t>
      </w:r>
      <w:r w:rsidR="00A23422">
        <w:rPr>
          <w:snapToGrid w:val="0"/>
          <w:szCs w:val="24"/>
        </w:rPr>
        <w:t>76.94</w:t>
      </w:r>
      <w:r w:rsidRPr="00550F57">
        <w:rPr>
          <w:snapToGrid w:val="0"/>
          <w:szCs w:val="24"/>
        </w:rPr>
        <w:t>/hr</w:t>
      </w:r>
      <w:r w:rsidR="00A14417">
        <w:rPr>
          <w:snapToGrid w:val="0"/>
          <w:szCs w:val="24"/>
        </w:rPr>
        <w:t>.</w:t>
      </w:r>
      <w:r w:rsidRPr="00550F57">
        <w:rPr>
          <w:snapToGrid w:val="0"/>
          <w:szCs w:val="24"/>
        </w:rPr>
        <w:t xml:space="preserve"> </w:t>
      </w:r>
    </w:p>
    <w:p w:rsidR="007549FB" w:rsidRPr="00550F57" w:rsidP="00EB2050" w14:paraId="701A7E06" w14:textId="5DED2D55">
      <w:pPr>
        <w:rPr>
          <w:snapToGrid w:val="0"/>
          <w:szCs w:val="24"/>
        </w:rPr>
      </w:pPr>
    </w:p>
    <w:p w:rsidR="00ED1B4C" w:rsidRPr="00550F57" w:rsidP="00ED1B4C" w14:paraId="719435C2" w14:textId="4F97DB59">
      <w:r w:rsidRPr="00550F57">
        <w:rPr>
          <w:snapToGrid w:val="0"/>
          <w:szCs w:val="24"/>
        </w:rPr>
        <w:t xml:space="preserve">For </w:t>
      </w:r>
      <w:r w:rsidRPr="00550F57">
        <w:rPr>
          <w:i/>
          <w:snapToGrid w:val="0"/>
          <w:szCs w:val="24"/>
        </w:rPr>
        <w:t>transmission</w:t>
      </w:r>
      <w:r w:rsidRPr="00550F57">
        <w:rPr>
          <w:snapToGrid w:val="0"/>
          <w:szCs w:val="24"/>
        </w:rPr>
        <w:t xml:space="preserve"> personnel, we used the adjusted health information technician wage of $</w:t>
      </w:r>
      <w:r w:rsidR="00A23422">
        <w:rPr>
          <w:snapToGrid w:val="0"/>
          <w:szCs w:val="24"/>
        </w:rPr>
        <w:t>46.42</w:t>
      </w:r>
      <w:r w:rsidRPr="00550F57">
        <w:rPr>
          <w:snapToGrid w:val="0"/>
          <w:szCs w:val="24"/>
        </w:rPr>
        <w:t>/hr.</w:t>
      </w:r>
    </w:p>
    <w:p w:rsidR="00ED1B4C" w:rsidRPr="00550F57" w:rsidP="00EB2050" w14:paraId="67A0B2A4" w14:textId="2D8DA77B">
      <w:pPr>
        <w:rPr>
          <w:snapToGrid w:val="0"/>
          <w:szCs w:val="24"/>
        </w:rPr>
      </w:pPr>
    </w:p>
    <w:p w:rsidR="00B54E5C" w:rsidRPr="00550F57" w:rsidP="00EB2050" w14:paraId="6BE718DC" w14:textId="16D2B7E3">
      <w:pPr>
        <w:rPr>
          <w:snapToGrid w:val="0"/>
          <w:szCs w:val="24"/>
        </w:rPr>
      </w:pPr>
      <w:r w:rsidRPr="00550F57">
        <w:rPr>
          <w:snapToGrid w:val="0"/>
          <w:szCs w:val="24"/>
        </w:rPr>
        <w:t xml:space="preserve">For </w:t>
      </w:r>
      <w:r w:rsidRPr="00550F57">
        <w:rPr>
          <w:i/>
          <w:snapToGrid w:val="0"/>
          <w:szCs w:val="24"/>
        </w:rPr>
        <w:t>coding functions</w:t>
      </w:r>
      <w:r w:rsidRPr="00550F57">
        <w:rPr>
          <w:snapToGrid w:val="0"/>
          <w:szCs w:val="24"/>
        </w:rPr>
        <w:t xml:space="preserve"> we calculated a blended rate of $</w:t>
      </w:r>
      <w:r w:rsidR="00A23422">
        <w:rPr>
          <w:snapToGrid w:val="0"/>
          <w:szCs w:val="24"/>
        </w:rPr>
        <w:t>61.68</w:t>
      </w:r>
      <w:r w:rsidRPr="00550F57">
        <w:rPr>
          <w:snapToGrid w:val="0"/>
          <w:szCs w:val="24"/>
        </w:rPr>
        <w:t>/</w:t>
      </w:r>
      <w:r w:rsidRPr="00550F57">
        <w:rPr>
          <w:snapToGrid w:val="0"/>
          <w:szCs w:val="24"/>
        </w:rPr>
        <w:t>hr</w:t>
      </w:r>
      <w:r w:rsidRPr="00550F57">
        <w:rPr>
          <w:snapToGrid w:val="0"/>
          <w:szCs w:val="24"/>
        </w:rPr>
        <w:t>; this was the average of the adjusted hourly rates for RNs ($</w:t>
      </w:r>
      <w:r w:rsidR="00A23422">
        <w:rPr>
          <w:snapToGrid w:val="0"/>
          <w:szCs w:val="24"/>
        </w:rPr>
        <w:t>76.94</w:t>
      </w:r>
      <w:r w:rsidRPr="00550F57">
        <w:rPr>
          <w:snapToGrid w:val="0"/>
          <w:szCs w:val="24"/>
        </w:rPr>
        <w:t>/</w:t>
      </w:r>
      <w:r w:rsidRPr="00550F57">
        <w:rPr>
          <w:snapToGrid w:val="0"/>
          <w:szCs w:val="24"/>
        </w:rPr>
        <w:t>hr</w:t>
      </w:r>
      <w:r w:rsidRPr="00550F57">
        <w:rPr>
          <w:snapToGrid w:val="0"/>
          <w:szCs w:val="24"/>
        </w:rPr>
        <w:t>) and health information technicians ($</w:t>
      </w:r>
      <w:r w:rsidR="00A23422">
        <w:rPr>
          <w:snapToGrid w:val="0"/>
          <w:szCs w:val="24"/>
        </w:rPr>
        <w:t>46.42</w:t>
      </w:r>
      <w:r w:rsidRPr="00550F57">
        <w:rPr>
          <w:snapToGrid w:val="0"/>
          <w:szCs w:val="24"/>
        </w:rPr>
        <w:t>/</w:t>
      </w:r>
      <w:r w:rsidRPr="00550F57">
        <w:rPr>
          <w:snapToGrid w:val="0"/>
          <w:szCs w:val="24"/>
        </w:rPr>
        <w:t>hr</w:t>
      </w:r>
      <w:r w:rsidRPr="00550F57">
        <w:rPr>
          <w:snapToGrid w:val="0"/>
          <w:szCs w:val="24"/>
        </w:rPr>
        <w:t>).</w:t>
      </w:r>
      <w:r w:rsidRPr="00550F57" w:rsidR="00ED1B4C">
        <w:rPr>
          <w:snapToGrid w:val="0"/>
          <w:szCs w:val="24"/>
        </w:rPr>
        <w:t xml:space="preserve"> </w:t>
      </w:r>
      <w:r w:rsidRPr="00550F57">
        <w:rPr>
          <w:snapToGrid w:val="0"/>
          <w:szCs w:val="24"/>
        </w:rPr>
        <w:t>The blended rate reflects the fact that SNF providers have historically used both RN and support staff for the data entry function.</w:t>
      </w:r>
    </w:p>
    <w:p w:rsidR="00B54E5C" w:rsidRPr="00550F57" w:rsidP="00EB2050" w14:paraId="0A26344E" w14:textId="211F775F">
      <w:pPr>
        <w:rPr>
          <w:snapToGrid w:val="0"/>
          <w:szCs w:val="24"/>
        </w:rPr>
      </w:pPr>
    </w:p>
    <w:p w:rsidR="00C43E85" w:rsidP="00C43E85" w14:paraId="4F333EFE" w14:textId="6F771BA5">
      <w:pPr>
        <w:rPr>
          <w:snapToGrid w:val="0"/>
          <w:szCs w:val="24"/>
        </w:rPr>
      </w:pPr>
      <w:r w:rsidRPr="00550F57">
        <w:rPr>
          <w:snapToGrid w:val="0"/>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00A14417" w:rsidRPr="00550F57" w:rsidP="00C43E85" w14:paraId="476C7DAE" w14:textId="77777777">
      <w:pPr>
        <w:rPr>
          <w:snapToGrid w:val="0"/>
          <w:szCs w:val="24"/>
        </w:rPr>
      </w:pPr>
    </w:p>
    <w:p w:rsidR="00400648" w:rsidRPr="00550F57" w:rsidP="00400648" w14:paraId="2BF1EAF4" w14:textId="77777777">
      <w:pPr>
        <w:rPr>
          <w:i/>
        </w:rPr>
      </w:pPr>
      <w:r w:rsidRPr="00550F57">
        <w:rPr>
          <w:i/>
        </w:rPr>
        <w:t>Assumptions</w:t>
      </w:r>
    </w:p>
    <w:p w:rsidR="00400648" w:rsidRPr="00550F57" w:rsidP="00400648" w14:paraId="7ACF55B3" w14:textId="77777777"/>
    <w:p w:rsidR="00A14417" w:rsidP="00400648" w14:paraId="2ED80265" w14:textId="71026C28">
      <w:pPr>
        <w:rPr>
          <w:szCs w:val="24"/>
        </w:rPr>
      </w:pPr>
      <w:r w:rsidRPr="00550F57">
        <w:rPr>
          <w:szCs w:val="24"/>
        </w:rPr>
        <w:t xml:space="preserve">According to the </w:t>
      </w:r>
      <w:bookmarkStart w:id="22" w:name="_Hlk121214272"/>
      <w:r w:rsidRPr="00550F57">
        <w:rPr>
          <w:szCs w:val="24"/>
        </w:rPr>
        <w:t xml:space="preserve">On-Line Survey and Certification System </w:t>
      </w:r>
      <w:bookmarkEnd w:id="22"/>
      <w:r w:rsidRPr="00550F57">
        <w:rPr>
          <w:szCs w:val="24"/>
        </w:rPr>
        <w:t>(OSCAR), there were approximately 15,47</w:t>
      </w:r>
      <w:r w:rsidR="009F0EC8">
        <w:rPr>
          <w:szCs w:val="24"/>
        </w:rPr>
        <w:t>2</w:t>
      </w:r>
      <w:r w:rsidRPr="00550F57">
        <w:rPr>
          <w:szCs w:val="24"/>
        </w:rPr>
        <w:t xml:space="preserve"> skilled nursing facilities in FY 20</w:t>
      </w:r>
      <w:r w:rsidR="009F0EC8">
        <w:rPr>
          <w:szCs w:val="24"/>
        </w:rPr>
        <w:t>21</w:t>
      </w:r>
      <w:r w:rsidRPr="00550F57">
        <w:rPr>
          <w:szCs w:val="24"/>
        </w:rPr>
        <w:t xml:space="preserve">.  Based on our </w:t>
      </w:r>
      <w:r w:rsidR="000C7350">
        <w:t>SNF monitoring information, there were approximately 1,659,446 5-day scheduled PPS assessments and 1,582,855 discharge assessments completed and submitted by Part A SNFs in 2021.</w:t>
      </w:r>
      <w:r w:rsidRPr="00550F57">
        <w:t xml:space="preserve">  </w:t>
      </w:r>
      <w:r w:rsidRPr="00550F57">
        <w:rPr>
          <w:szCs w:val="24"/>
        </w:rPr>
        <w:t>Based on FY 20</w:t>
      </w:r>
      <w:r w:rsidR="000C7350">
        <w:rPr>
          <w:szCs w:val="24"/>
        </w:rPr>
        <w:t>21</w:t>
      </w:r>
      <w:r w:rsidRPr="00550F57">
        <w:rPr>
          <w:szCs w:val="24"/>
        </w:rPr>
        <w:t xml:space="preserve"> data, </w:t>
      </w:r>
      <w:r w:rsidR="000C7350">
        <w:rPr>
          <w:szCs w:val="24"/>
        </w:rPr>
        <w:t>an Interim Payment Assessment (IPA) was completed for approximately 4% of patients admitted for a Part A PPS stay have, resulting in 129,692</w:t>
      </w:r>
      <w:r w:rsidRPr="00550F57">
        <w:rPr>
          <w:szCs w:val="24"/>
        </w:rPr>
        <w:t xml:space="preserve"> IPAs</w:t>
      </w:r>
      <w:r w:rsidR="000C7350">
        <w:rPr>
          <w:szCs w:val="24"/>
        </w:rPr>
        <w:t xml:space="preserve"> completed</w:t>
      </w:r>
      <w:r w:rsidRPr="00550F57">
        <w:rPr>
          <w:szCs w:val="24"/>
        </w:rPr>
        <w:t xml:space="preserve">.   </w:t>
      </w:r>
    </w:p>
    <w:p w:rsidR="00A14417" w:rsidP="00400648" w14:paraId="5AB611DA" w14:textId="77777777">
      <w:pPr>
        <w:rPr>
          <w:szCs w:val="24"/>
        </w:rPr>
      </w:pPr>
    </w:p>
    <w:p w:rsidR="00400648" w:rsidRPr="00550F57" w:rsidP="00400648" w14:paraId="284F18E2" w14:textId="2FE0B615">
      <w:pPr>
        <w:rPr>
          <w:i/>
        </w:rPr>
      </w:pPr>
      <w:r w:rsidRPr="00550F57">
        <w:rPr>
          <w:szCs w:val="24"/>
        </w:rPr>
        <w:t xml:space="preserve">We estimate that the total number of 5-day scheduled PPS assessments, IPAs, and PPS discharge assessments that would be completed under the PDPM across all facilities is </w:t>
      </w:r>
      <w:r w:rsidR="00C31F6F">
        <w:rPr>
          <w:szCs w:val="24"/>
        </w:rPr>
        <w:t>3,371,993</w:t>
      </w:r>
      <w:r w:rsidRPr="00550F57">
        <w:rPr>
          <w:szCs w:val="24"/>
        </w:rPr>
        <w:t xml:space="preserve"> (</w:t>
      </w:r>
      <w:r w:rsidR="000C7350">
        <w:rPr>
          <w:szCs w:val="24"/>
        </w:rPr>
        <w:t>1,659,446</w:t>
      </w:r>
      <w:r w:rsidRPr="00550F57">
        <w:rPr>
          <w:szCs w:val="24"/>
        </w:rPr>
        <w:t xml:space="preserve"> + </w:t>
      </w:r>
      <w:r w:rsidR="000C7350">
        <w:rPr>
          <w:szCs w:val="24"/>
        </w:rPr>
        <w:t>129,692</w:t>
      </w:r>
      <w:r w:rsidRPr="00550F57">
        <w:rPr>
          <w:szCs w:val="24"/>
        </w:rPr>
        <w:t xml:space="preserve"> + </w:t>
      </w:r>
      <w:r w:rsidR="000C7350">
        <w:rPr>
          <w:szCs w:val="24"/>
        </w:rPr>
        <w:t>1,582,855</w:t>
      </w:r>
      <w:r w:rsidRPr="00550F57">
        <w:rPr>
          <w:szCs w:val="24"/>
        </w:rPr>
        <w:t xml:space="preserve">, respectively). </w:t>
      </w:r>
      <w:r w:rsidRPr="00550F57">
        <w:rPr>
          <w:b/>
          <w:szCs w:val="24"/>
          <w:u w:val="single"/>
        </w:rPr>
        <w:t xml:space="preserve"> </w:t>
      </w:r>
    </w:p>
    <w:p w:rsidR="00400648" w:rsidRPr="00550F57" w:rsidP="00EB2050" w14:paraId="3D24C9BF" w14:textId="77777777">
      <w:pPr>
        <w:rPr>
          <w:i/>
        </w:rPr>
      </w:pPr>
    </w:p>
    <w:p w:rsidR="00DC0334" w:rsidRPr="00550F57" w:rsidP="00EB2050" w14:paraId="4821B7BE" w14:textId="2F752BF9">
      <w:pPr>
        <w:rPr>
          <w:szCs w:val="24"/>
        </w:rPr>
      </w:pPr>
      <w:r w:rsidRPr="00550F57">
        <w:rPr>
          <w:i/>
        </w:rPr>
        <w:t>Collection of Information Requirements and Associated Burden Estimates</w:t>
      </w:r>
    </w:p>
    <w:p w:rsidR="00400648" w:rsidRPr="00550F57" w:rsidP="00EB2050" w14:paraId="63D514EC" w14:textId="77777777">
      <w:pPr>
        <w:rPr>
          <w:szCs w:val="24"/>
        </w:rPr>
      </w:pPr>
    </w:p>
    <w:p w:rsidR="003812E9" w:rsidRPr="00550F57" w:rsidP="00EB2050" w14:paraId="4FCC9B37" w14:textId="1AC330FB">
      <w:pPr>
        <w:rPr>
          <w:szCs w:val="24"/>
        </w:rPr>
      </w:pPr>
      <w:r w:rsidRPr="00550F57">
        <w:t xml:space="preserve">Based on </w:t>
      </w:r>
      <w:r w:rsidRPr="00550F57" w:rsidR="007B46DB">
        <w:t xml:space="preserve">our </w:t>
      </w:r>
      <w:r w:rsidRPr="00550F57">
        <w:t>understanding of the MDS 3.0</w:t>
      </w:r>
      <w:r w:rsidRPr="00550F57">
        <w:rPr>
          <w:szCs w:val="24"/>
        </w:rPr>
        <w:t xml:space="preserve"> and after discussions with clinicians, w</w:t>
      </w:r>
      <w:r w:rsidRPr="00550F57">
        <w:rPr>
          <w:szCs w:val="24"/>
        </w:rPr>
        <w:t xml:space="preserve">e estimate that it will take </w:t>
      </w:r>
      <w:r w:rsidRPr="00550F57" w:rsidR="00F8081C">
        <w:rPr>
          <w:szCs w:val="24"/>
        </w:rPr>
        <w:t xml:space="preserve">51 </w:t>
      </w:r>
      <w:r w:rsidRPr="00550F57">
        <w:rPr>
          <w:szCs w:val="24"/>
        </w:rPr>
        <w:t>minutes</w:t>
      </w:r>
      <w:r w:rsidRPr="00550F57" w:rsidR="00F8081C">
        <w:rPr>
          <w:szCs w:val="24"/>
        </w:rPr>
        <w:t xml:space="preserve"> (.85 hours) </w:t>
      </w:r>
      <w:r w:rsidR="00C31F6F">
        <w:rPr>
          <w:szCs w:val="24"/>
        </w:rPr>
        <w:t xml:space="preserve">to </w:t>
      </w:r>
      <w:r w:rsidRPr="00550F57" w:rsidR="00F8081C">
        <w:rPr>
          <w:szCs w:val="24"/>
        </w:rPr>
        <w:t xml:space="preserve">complete a single PPS Assessment.  This can be broken down in the following way: It takes 40 minutes </w:t>
      </w:r>
      <w:r w:rsidRPr="00550F57">
        <w:rPr>
          <w:szCs w:val="24"/>
        </w:rPr>
        <w:t xml:space="preserve">(0.6667 hours) to collect the information necessary for coding a </w:t>
      </w:r>
      <w:r w:rsidRPr="00550F57" w:rsidR="00960157">
        <w:rPr>
          <w:szCs w:val="24"/>
        </w:rPr>
        <w:t>PPS Assessment</w:t>
      </w:r>
      <w:r w:rsidRPr="00550F57">
        <w:rPr>
          <w:szCs w:val="24"/>
        </w:rPr>
        <w:t>, 10 minutes (0.1667 hours) to code the responses, and 1 minutes (0.0167 hours) to transmit the results</w:t>
      </w:r>
      <w:r w:rsidRPr="00550F57" w:rsidR="00F8081C">
        <w:rPr>
          <w:szCs w:val="24"/>
        </w:rPr>
        <w:t>.</w:t>
      </w:r>
    </w:p>
    <w:p w:rsidR="000171A3" w:rsidRPr="00550F57" w:rsidP="00EB2050" w14:paraId="729A3037" w14:textId="1BEEC422">
      <w:pPr>
        <w:rPr>
          <w:szCs w:val="24"/>
        </w:rPr>
      </w:pPr>
    </w:p>
    <w:p w:rsidR="003A379C" w:rsidRPr="00550F57" w:rsidP="003A379C" w14:paraId="4B97504C" w14:textId="63F50E97">
      <w:pPr>
        <w:rPr>
          <w:szCs w:val="24"/>
        </w:rPr>
      </w:pPr>
      <w:r w:rsidRPr="00550F57">
        <w:rPr>
          <w:szCs w:val="24"/>
        </w:rPr>
        <w:t xml:space="preserve">The total estimated time for MDS 3.0 PPS Assessment preparation and coding across all facilities is </w:t>
      </w:r>
      <w:r w:rsidR="00C31F6F">
        <w:rPr>
          <w:szCs w:val="24"/>
        </w:rPr>
        <w:t>2,866,194</w:t>
      </w:r>
      <w:r w:rsidRPr="00550F57" w:rsidR="008B2971">
        <w:t xml:space="preserve"> </w:t>
      </w:r>
      <w:r w:rsidRPr="00550F57">
        <w:rPr>
          <w:szCs w:val="24"/>
        </w:rPr>
        <w:t>hours per year (</w:t>
      </w:r>
      <w:r w:rsidR="00C31F6F">
        <w:rPr>
          <w:szCs w:val="24"/>
        </w:rPr>
        <w:t>3,371,993</w:t>
      </w:r>
      <w:r w:rsidRPr="00550F57">
        <w:rPr>
          <w:szCs w:val="24"/>
        </w:rPr>
        <w:t xml:space="preserve"> assessments x 0.85 hours).</w:t>
      </w:r>
      <w:r w:rsidRPr="00550F57">
        <w:rPr>
          <w:b/>
          <w:szCs w:val="24"/>
        </w:rPr>
        <w:t xml:space="preserve">   </w:t>
      </w:r>
    </w:p>
    <w:p w:rsidR="00F53D7F" w:rsidRPr="00550F57" w:rsidP="00EB2050" w14:paraId="4A3FC753" w14:textId="0935B40F"/>
    <w:p w:rsidR="00EF3CBF" w:rsidRPr="00550F57" w:rsidP="00404E14" w14:paraId="0BCE9E96" w14:textId="6C494C82">
      <w:bookmarkStart w:id="23" w:name="_Toc93054398"/>
      <w:r w:rsidRPr="00550F57">
        <w:t>MDS 3.0 PPS Item</w:t>
      </w:r>
      <w:r w:rsidRPr="00550F57" w:rsidR="00E00E24">
        <w:t xml:space="preserve"> Set</w:t>
      </w:r>
      <w:r w:rsidRPr="00550F57">
        <w:t xml:space="preserve"> </w:t>
      </w:r>
      <w:r w:rsidRPr="00550F57">
        <w:t>Preparation</w:t>
      </w:r>
      <w:r w:rsidRPr="00550F57" w:rsidR="00F8081C">
        <w:t>, Coding and Transmission</w:t>
      </w:r>
      <w:bookmarkEnd w:id="23"/>
    </w:p>
    <w:tbl>
      <w:tblPr>
        <w:tblStyle w:val="TableGrid"/>
        <w:tblW w:w="0" w:type="auto"/>
        <w:tblLook w:val="04A0"/>
      </w:tblPr>
      <w:tblGrid>
        <w:gridCol w:w="2157"/>
        <w:gridCol w:w="2157"/>
        <w:gridCol w:w="2158"/>
        <w:gridCol w:w="2158"/>
      </w:tblGrid>
      <w:tr w14:paraId="24B09F63" w14:textId="70002FB9" w:rsidTr="00F8081C">
        <w:tblPrEx>
          <w:tblW w:w="0" w:type="auto"/>
          <w:tblLook w:val="04A0"/>
        </w:tblPrEx>
        <w:tc>
          <w:tcPr>
            <w:tcW w:w="2157" w:type="dxa"/>
          </w:tcPr>
          <w:p w:rsidR="00F8081C" w:rsidRPr="00550F57" w:rsidP="00AA1027" w14:paraId="6FC855C4" w14:textId="2B68EAA4">
            <w:bookmarkStart w:id="24" w:name="_Toc93054399"/>
            <w:bookmarkStart w:id="25" w:name="_Toc93054844"/>
            <w:r w:rsidRPr="00550F57">
              <w:t>Total Number of Assessments Reporting</w:t>
            </w:r>
            <w:bookmarkEnd w:id="24"/>
            <w:bookmarkEnd w:id="25"/>
          </w:p>
        </w:tc>
        <w:tc>
          <w:tcPr>
            <w:tcW w:w="2157" w:type="dxa"/>
          </w:tcPr>
          <w:p w:rsidR="00F8081C" w:rsidRPr="00550F57" w:rsidP="00AA1027" w14:paraId="738F280D" w14:textId="239B295A">
            <w:bookmarkStart w:id="26" w:name="_Toc93054400"/>
            <w:bookmarkStart w:id="27" w:name="_Toc93054845"/>
            <w:r w:rsidRPr="00550F57">
              <w:t>Completion time per assessment</w:t>
            </w:r>
            <w:bookmarkEnd w:id="26"/>
            <w:bookmarkEnd w:id="27"/>
          </w:p>
        </w:tc>
        <w:tc>
          <w:tcPr>
            <w:tcW w:w="2158" w:type="dxa"/>
          </w:tcPr>
          <w:p w:rsidR="00F8081C" w:rsidRPr="00550F57" w:rsidP="00AA1027" w14:paraId="560071A2" w14:textId="704D84F7">
            <w:bookmarkStart w:id="28" w:name="_Toc93054401"/>
            <w:bookmarkStart w:id="29" w:name="_Toc93054846"/>
            <w:r w:rsidRPr="00550F57">
              <w:t>Number of Respondents</w:t>
            </w:r>
            <w:bookmarkEnd w:id="28"/>
            <w:bookmarkEnd w:id="29"/>
          </w:p>
        </w:tc>
        <w:tc>
          <w:tcPr>
            <w:tcW w:w="2158" w:type="dxa"/>
          </w:tcPr>
          <w:p w:rsidR="00F8081C" w:rsidRPr="00550F57" w:rsidP="00AA1027" w14:paraId="6A1437E1" w14:textId="47DFCE75">
            <w:bookmarkStart w:id="30" w:name="_Toc93054402"/>
            <w:bookmarkStart w:id="31" w:name="_Toc93054847"/>
            <w:r w:rsidRPr="00550F57">
              <w:t>Total Annual Hour Burden Across Facilities per year</w:t>
            </w:r>
            <w:bookmarkEnd w:id="30"/>
            <w:bookmarkEnd w:id="31"/>
          </w:p>
        </w:tc>
      </w:tr>
      <w:tr w14:paraId="18E6638A" w14:textId="4E8E8F81" w:rsidTr="00437A9B">
        <w:tblPrEx>
          <w:tblW w:w="0" w:type="auto"/>
          <w:tblLook w:val="04A0"/>
        </w:tblPrEx>
        <w:trPr>
          <w:trHeight w:val="413"/>
        </w:trPr>
        <w:tc>
          <w:tcPr>
            <w:tcW w:w="2157" w:type="dxa"/>
          </w:tcPr>
          <w:p w:rsidR="003A379C" w:rsidRPr="00550F57" w:rsidP="00AA1027" w14:paraId="26DF5AFB" w14:textId="1599BAAE">
            <w:pPr>
              <w:rPr>
                <w:b/>
              </w:rPr>
            </w:pPr>
            <w:r w:rsidRPr="00550F57">
              <w:rPr>
                <w:color w:val="000000"/>
                <w:szCs w:val="24"/>
              </w:rPr>
              <w:t xml:space="preserve">  </w:t>
            </w:r>
            <w:r w:rsidR="00C31F6F">
              <w:rPr>
                <w:szCs w:val="24"/>
              </w:rPr>
              <w:t xml:space="preserve">3,371,993 </w:t>
            </w:r>
          </w:p>
        </w:tc>
        <w:tc>
          <w:tcPr>
            <w:tcW w:w="2157" w:type="dxa"/>
          </w:tcPr>
          <w:p w:rsidR="003A379C" w:rsidRPr="00550F57" w:rsidP="00AA1027" w14:paraId="61B203A2" w14:textId="00838ADC">
            <w:pPr>
              <w:rPr>
                <w:b/>
              </w:rPr>
            </w:pPr>
            <w:bookmarkStart w:id="32" w:name="_Toc93054403"/>
            <w:bookmarkStart w:id="33" w:name="_Toc93054848"/>
            <w:r w:rsidRPr="00550F57">
              <w:t>0.85 hours</w:t>
            </w:r>
            <w:bookmarkEnd w:id="32"/>
            <w:bookmarkEnd w:id="33"/>
          </w:p>
        </w:tc>
        <w:tc>
          <w:tcPr>
            <w:tcW w:w="2158" w:type="dxa"/>
          </w:tcPr>
          <w:p w:rsidR="003A379C" w:rsidRPr="00550F57" w:rsidP="00AA1027" w14:paraId="05423D64" w14:textId="459B7203">
            <w:bookmarkStart w:id="34" w:name="_Toc93054404"/>
            <w:bookmarkStart w:id="35" w:name="_Toc93054849"/>
            <w:r w:rsidRPr="00550F57">
              <w:t>15,47</w:t>
            </w:r>
            <w:r w:rsidR="00C31F6F">
              <w:t>2</w:t>
            </w:r>
            <w:bookmarkEnd w:id="34"/>
            <w:bookmarkEnd w:id="35"/>
          </w:p>
        </w:tc>
        <w:tc>
          <w:tcPr>
            <w:tcW w:w="2158" w:type="dxa"/>
          </w:tcPr>
          <w:p w:rsidR="003A379C" w:rsidRPr="00550F57" w:rsidP="00AA1027" w14:paraId="5939C925" w14:textId="4DBB1E18">
            <w:pPr>
              <w:rPr>
                <w:b/>
                <w:szCs w:val="24"/>
              </w:rPr>
            </w:pPr>
            <w:bookmarkStart w:id="36" w:name="_Toc93054405"/>
            <w:bookmarkStart w:id="37" w:name="_Toc93054850"/>
            <w:r>
              <w:t xml:space="preserve">2,866,194 </w:t>
            </w:r>
            <w:bookmarkEnd w:id="36"/>
            <w:bookmarkEnd w:id="37"/>
          </w:p>
        </w:tc>
      </w:tr>
    </w:tbl>
    <w:p w:rsidR="00923702" w:rsidRPr="00550F57" w:rsidP="00EB2050" w14:paraId="1487572F" w14:textId="77777777"/>
    <w:p w:rsidR="00FB4191" w:rsidRPr="00550F57" w:rsidP="00EB2050" w14:paraId="2033A818" w14:textId="669D93B1">
      <w:pPr>
        <w:rPr>
          <w:snapToGrid w:val="0"/>
          <w:szCs w:val="24"/>
        </w:rPr>
        <w:sectPr w:rsidSect="00F615F2">
          <w:footerReference w:type="default" r:id="rId8"/>
          <w:pgSz w:w="12240" w:h="15840"/>
          <w:pgMar w:top="1440" w:right="1440" w:bottom="1440" w:left="1440" w:header="720" w:footer="720" w:gutter="0"/>
          <w:pgNumType w:start="1"/>
          <w:cols w:space="720"/>
          <w:titlePg/>
          <w:docGrid w:linePitch="326"/>
        </w:sectPr>
      </w:pPr>
    </w:p>
    <w:p w:rsidR="00834C56" w:rsidRPr="00550F57" w:rsidP="00EB2050" w14:paraId="2D085116" w14:textId="56D617C3">
      <w:pPr>
        <w:rPr>
          <w:snapToGrid w:val="0"/>
          <w:szCs w:val="24"/>
        </w:rPr>
      </w:pPr>
      <w:r w:rsidRPr="00550F57">
        <w:rPr>
          <w:szCs w:val="24"/>
        </w:rPr>
        <w:t>There were 15,47</w:t>
      </w:r>
      <w:r w:rsidR="00C31F6F">
        <w:rPr>
          <w:szCs w:val="24"/>
        </w:rPr>
        <w:t>2</w:t>
      </w:r>
      <w:r w:rsidRPr="00550F57">
        <w:rPr>
          <w:szCs w:val="24"/>
        </w:rPr>
        <w:t xml:space="preserve"> skilled nursing facilities which sought reimbursement under the year-to-date projected SNF PPS during FY 20</w:t>
      </w:r>
      <w:r w:rsidR="00C31F6F">
        <w:rPr>
          <w:szCs w:val="24"/>
        </w:rPr>
        <w:t>22</w:t>
      </w:r>
      <w:r w:rsidRPr="00550F57">
        <w:rPr>
          <w:szCs w:val="24"/>
        </w:rPr>
        <w:t>.  Under PDPM</w:t>
      </w:r>
      <w:r w:rsidRPr="00550F57" w:rsidR="001F353D">
        <w:rPr>
          <w:szCs w:val="24"/>
        </w:rPr>
        <w:t xml:space="preserve"> and SNF QRP</w:t>
      </w:r>
      <w:r w:rsidRPr="00550F57">
        <w:rPr>
          <w:szCs w:val="24"/>
        </w:rPr>
        <w:t xml:space="preserve">, the cost per facility </w:t>
      </w:r>
      <w:r w:rsidRPr="00550F57" w:rsidR="007A2EFE">
        <w:rPr>
          <w:szCs w:val="24"/>
        </w:rPr>
        <w:t>is</w:t>
      </w:r>
      <w:r w:rsidRPr="00550F57">
        <w:rPr>
          <w:szCs w:val="24"/>
        </w:rPr>
        <w:t xml:space="preserve"> </w:t>
      </w:r>
      <w:r w:rsidRPr="00550F57" w:rsidR="003A379C">
        <w:rPr>
          <w:szCs w:val="24"/>
        </w:rPr>
        <w:t>$</w:t>
      </w:r>
      <w:r w:rsidR="003C0E18">
        <w:rPr>
          <w:szCs w:val="24"/>
        </w:rPr>
        <w:t>13,507</w:t>
      </w:r>
      <w:r w:rsidRPr="00550F57" w:rsidR="003A379C">
        <w:rPr>
          <w:szCs w:val="24"/>
        </w:rPr>
        <w:t xml:space="preserve"> ($2</w:t>
      </w:r>
      <w:r w:rsidR="003C0E18">
        <w:rPr>
          <w:szCs w:val="24"/>
        </w:rPr>
        <w:t>09,974,005</w:t>
      </w:r>
      <w:r w:rsidRPr="00550F57" w:rsidR="003A379C">
        <w:rPr>
          <w:szCs w:val="24"/>
        </w:rPr>
        <w:t>/15,47</w:t>
      </w:r>
      <w:r w:rsidR="003C0E18">
        <w:rPr>
          <w:szCs w:val="24"/>
        </w:rPr>
        <w:t>2</w:t>
      </w:r>
      <w:r w:rsidRPr="00550F57" w:rsidR="003A379C">
        <w:rPr>
          <w:szCs w:val="24"/>
        </w:rPr>
        <w:t xml:space="preserve"> facilities) (see below).</w:t>
      </w:r>
    </w:p>
    <w:p w:rsidR="00834C56" w:rsidRPr="00550F57" w:rsidP="00EB2050" w14:paraId="3B887AD5" w14:textId="4637DD8B">
      <w:pPr>
        <w:rPr>
          <w:snapToGrid w:val="0"/>
          <w:szCs w:val="24"/>
        </w:rPr>
      </w:pPr>
    </w:p>
    <w:tbl>
      <w:tblPr>
        <w:tblStyle w:val="TableGrid"/>
        <w:tblW w:w="9715" w:type="dxa"/>
        <w:tblInd w:w="-366" w:type="dxa"/>
        <w:tblLook w:val="04A0"/>
      </w:tblPr>
      <w:tblGrid>
        <w:gridCol w:w="1801"/>
        <w:gridCol w:w="1350"/>
        <w:gridCol w:w="1800"/>
        <w:gridCol w:w="2520"/>
        <w:gridCol w:w="2244"/>
      </w:tblGrid>
      <w:tr w14:paraId="21A31F37" w14:textId="0CDAF450" w:rsidTr="005D1F1A">
        <w:tblPrEx>
          <w:tblW w:w="9715" w:type="dxa"/>
          <w:tblInd w:w="-366" w:type="dxa"/>
          <w:tblLook w:val="04A0"/>
        </w:tblPrEx>
        <w:tc>
          <w:tcPr>
            <w:tcW w:w="1801" w:type="dxa"/>
          </w:tcPr>
          <w:p w:rsidR="0085318F" w:rsidRPr="00550F57" w:rsidP="00EB2050" w14:paraId="676816A5" w14:textId="2EE353AA">
            <w:pPr>
              <w:jc w:val="center"/>
              <w:rPr>
                <w:szCs w:val="24"/>
              </w:rPr>
            </w:pPr>
            <w:r w:rsidRPr="00550F57">
              <w:rPr>
                <w:szCs w:val="24"/>
              </w:rPr>
              <w:t>MDS Preparation, Coding and Transmission</w:t>
            </w:r>
          </w:p>
        </w:tc>
        <w:tc>
          <w:tcPr>
            <w:tcW w:w="1350" w:type="dxa"/>
          </w:tcPr>
          <w:p w:rsidR="0085318F" w:rsidRPr="00550F57" w:rsidP="00EB2050" w14:paraId="7BDD454E" w14:textId="0A313E3C">
            <w:pPr>
              <w:jc w:val="center"/>
              <w:rPr>
                <w:szCs w:val="24"/>
              </w:rPr>
            </w:pPr>
            <w:r w:rsidRPr="00550F57">
              <w:rPr>
                <w:szCs w:val="24"/>
              </w:rPr>
              <w:t>Total Minutes Per Respondent</w:t>
            </w:r>
          </w:p>
        </w:tc>
        <w:tc>
          <w:tcPr>
            <w:tcW w:w="1800" w:type="dxa"/>
          </w:tcPr>
          <w:p w:rsidR="0085318F" w:rsidRPr="00550F57" w:rsidP="00EB2050" w14:paraId="3B201893" w14:textId="470D5158">
            <w:pPr>
              <w:jc w:val="center"/>
              <w:rPr>
                <w:szCs w:val="24"/>
              </w:rPr>
            </w:pPr>
            <w:r w:rsidRPr="00550F57">
              <w:rPr>
                <w:szCs w:val="24"/>
              </w:rPr>
              <w:t>Estimated Cost Per Respondent per Assessment</w:t>
            </w:r>
          </w:p>
        </w:tc>
        <w:tc>
          <w:tcPr>
            <w:tcW w:w="2520" w:type="dxa"/>
          </w:tcPr>
          <w:p w:rsidR="0085318F" w:rsidRPr="00550F57" w:rsidP="00EB2050" w14:paraId="595B8396" w14:textId="216D3883">
            <w:pPr>
              <w:jc w:val="center"/>
              <w:rPr>
                <w:szCs w:val="24"/>
              </w:rPr>
            </w:pPr>
            <w:r w:rsidRPr="00550F57">
              <w:rPr>
                <w:szCs w:val="24"/>
              </w:rPr>
              <w:t>Annual Cost Burden Across Facilities (</w:t>
            </w:r>
            <w:r w:rsidR="00C31F6F">
              <w:rPr>
                <w:szCs w:val="24"/>
              </w:rPr>
              <w:t>3,371,993</w:t>
            </w:r>
            <w:r w:rsidRPr="00550F57" w:rsidR="009B7264">
              <w:rPr>
                <w:szCs w:val="24"/>
              </w:rPr>
              <w:t xml:space="preserve"> </w:t>
            </w:r>
            <w:r w:rsidRPr="00550F57">
              <w:rPr>
                <w:szCs w:val="24"/>
              </w:rPr>
              <w:t xml:space="preserve">Assessments per year *cost per Assessment) </w:t>
            </w:r>
          </w:p>
        </w:tc>
        <w:tc>
          <w:tcPr>
            <w:tcW w:w="2244" w:type="dxa"/>
          </w:tcPr>
          <w:p w:rsidR="0085318F" w:rsidRPr="00550F57" w:rsidP="00EB2050" w14:paraId="57340CFB" w14:textId="5B78D98D">
            <w:pPr>
              <w:jc w:val="center"/>
              <w:rPr>
                <w:szCs w:val="24"/>
              </w:rPr>
            </w:pPr>
            <w:r w:rsidRPr="00550F57">
              <w:rPr>
                <w:szCs w:val="24"/>
              </w:rPr>
              <w:t>Annual Cost Burden Per Facility</w:t>
            </w:r>
            <w:r w:rsidRPr="00550F57" w:rsidR="0098164F">
              <w:rPr>
                <w:szCs w:val="24"/>
              </w:rPr>
              <w:t xml:space="preserve"> </w:t>
            </w:r>
            <w:r w:rsidRPr="00550F57">
              <w:rPr>
                <w:szCs w:val="24"/>
              </w:rPr>
              <w:t>(</w:t>
            </w:r>
            <w:r w:rsidRPr="00550F57" w:rsidR="004D5F1B">
              <w:rPr>
                <w:szCs w:val="24"/>
              </w:rPr>
              <w:t>annual cost across facilities</w:t>
            </w:r>
            <w:r w:rsidRPr="00550F57">
              <w:rPr>
                <w:szCs w:val="24"/>
              </w:rPr>
              <w:t xml:space="preserve">/# of </w:t>
            </w:r>
            <w:r w:rsidRPr="00550F57">
              <w:rPr>
                <w:szCs w:val="24"/>
              </w:rPr>
              <w:t>facilities)</w:t>
            </w:r>
            <w:r w:rsidR="007C3CF4">
              <w:rPr>
                <w:szCs w:val="24"/>
              </w:rPr>
              <w:t>*</w:t>
            </w:r>
            <w:r w:rsidRPr="00550F57">
              <w:rPr>
                <w:szCs w:val="24"/>
              </w:rPr>
              <w:t xml:space="preserve"> </w:t>
            </w:r>
          </w:p>
        </w:tc>
      </w:tr>
      <w:tr w14:paraId="09DD228F" w14:textId="03DE631C" w:rsidTr="005D1F1A">
        <w:tblPrEx>
          <w:tblW w:w="9715" w:type="dxa"/>
          <w:tblInd w:w="-366" w:type="dxa"/>
          <w:tblLook w:val="04A0"/>
        </w:tblPrEx>
        <w:tc>
          <w:tcPr>
            <w:tcW w:w="1801" w:type="dxa"/>
          </w:tcPr>
          <w:p w:rsidR="007C19F2" w:rsidRPr="00550F57" w:rsidP="007C19F2" w14:paraId="7FC569E0" w14:textId="6929EE13">
            <w:pPr>
              <w:jc w:val="center"/>
              <w:rPr>
                <w:szCs w:val="24"/>
              </w:rPr>
            </w:pPr>
            <w:r w:rsidRPr="00550F57">
              <w:rPr>
                <w:szCs w:val="24"/>
              </w:rPr>
              <w:t>Preparation</w:t>
            </w:r>
          </w:p>
        </w:tc>
        <w:tc>
          <w:tcPr>
            <w:tcW w:w="1350" w:type="dxa"/>
          </w:tcPr>
          <w:p w:rsidR="007C19F2" w:rsidRPr="00550F57" w:rsidP="007C19F2" w14:paraId="3621CEA8" w14:textId="6254545C">
            <w:pPr>
              <w:jc w:val="center"/>
              <w:rPr>
                <w:szCs w:val="24"/>
              </w:rPr>
            </w:pPr>
            <w:r w:rsidRPr="00550F57">
              <w:rPr>
                <w:szCs w:val="24"/>
              </w:rPr>
              <w:t>40</w:t>
            </w:r>
          </w:p>
        </w:tc>
        <w:tc>
          <w:tcPr>
            <w:tcW w:w="1800" w:type="dxa"/>
            <w:vAlign w:val="center"/>
          </w:tcPr>
          <w:p w:rsidR="007C19F2" w:rsidRPr="00550F57" w:rsidP="007C19F2" w14:paraId="0664D372" w14:textId="0B966375">
            <w:pPr>
              <w:jc w:val="center"/>
              <w:rPr>
                <w:szCs w:val="24"/>
              </w:rPr>
            </w:pPr>
            <w:r>
              <w:rPr>
                <w:color w:val="000000"/>
              </w:rPr>
              <w:t xml:space="preserve">$51.20 </w:t>
            </w:r>
          </w:p>
        </w:tc>
        <w:tc>
          <w:tcPr>
            <w:tcW w:w="2520" w:type="dxa"/>
            <w:vAlign w:val="center"/>
          </w:tcPr>
          <w:p w:rsidR="007C19F2" w:rsidRPr="00550F57" w:rsidP="007C19F2" w14:paraId="651072A9" w14:textId="761DAAF7">
            <w:pPr>
              <w:jc w:val="center"/>
              <w:rPr>
                <w:szCs w:val="24"/>
              </w:rPr>
            </w:pPr>
            <w:r>
              <w:rPr>
                <w:color w:val="000000"/>
              </w:rPr>
              <w:t>$</w:t>
            </w:r>
            <w:r w:rsidR="00C31F6F">
              <w:rPr>
                <w:color w:val="000000"/>
              </w:rPr>
              <w:t xml:space="preserve">172,646,042 </w:t>
            </w:r>
            <w:r>
              <w:rPr>
                <w:color w:val="000000"/>
              </w:rPr>
              <w:t xml:space="preserve"> </w:t>
            </w:r>
          </w:p>
        </w:tc>
        <w:tc>
          <w:tcPr>
            <w:tcW w:w="2244" w:type="dxa"/>
            <w:vAlign w:val="center"/>
          </w:tcPr>
          <w:p w:rsidR="007C19F2" w:rsidRPr="00550F57" w:rsidP="007C19F2" w14:paraId="533679CF" w14:textId="6B34BA77">
            <w:pPr>
              <w:jc w:val="center"/>
              <w:rPr>
                <w:szCs w:val="24"/>
              </w:rPr>
            </w:pPr>
            <w:r>
              <w:rPr>
                <w:color w:val="000000"/>
              </w:rPr>
              <w:t>$</w:t>
            </w:r>
            <w:r w:rsidR="00C31F6F">
              <w:rPr>
                <w:color w:val="000000"/>
              </w:rPr>
              <w:t xml:space="preserve">11,159 </w:t>
            </w:r>
            <w:r>
              <w:rPr>
                <w:color w:val="000000"/>
              </w:rPr>
              <w:t xml:space="preserve"> </w:t>
            </w:r>
          </w:p>
        </w:tc>
      </w:tr>
      <w:tr w14:paraId="7624F017" w14:textId="2E413ACC" w:rsidTr="005D1F1A">
        <w:tblPrEx>
          <w:tblW w:w="9715" w:type="dxa"/>
          <w:tblInd w:w="-366" w:type="dxa"/>
          <w:tblLook w:val="04A0"/>
        </w:tblPrEx>
        <w:tc>
          <w:tcPr>
            <w:tcW w:w="1801" w:type="dxa"/>
          </w:tcPr>
          <w:p w:rsidR="007C19F2" w:rsidRPr="00550F57" w:rsidP="007C19F2" w14:paraId="4B09E9AB" w14:textId="05C35775">
            <w:pPr>
              <w:jc w:val="center"/>
              <w:rPr>
                <w:szCs w:val="24"/>
              </w:rPr>
            </w:pPr>
            <w:r w:rsidRPr="00550F57">
              <w:rPr>
                <w:szCs w:val="24"/>
              </w:rPr>
              <w:t>Coding</w:t>
            </w:r>
          </w:p>
        </w:tc>
        <w:tc>
          <w:tcPr>
            <w:tcW w:w="1350" w:type="dxa"/>
          </w:tcPr>
          <w:p w:rsidR="007C19F2" w:rsidRPr="00550F57" w:rsidP="007C19F2" w14:paraId="40CE935D" w14:textId="196782E6">
            <w:pPr>
              <w:jc w:val="center"/>
              <w:rPr>
                <w:szCs w:val="24"/>
              </w:rPr>
            </w:pPr>
            <w:r w:rsidRPr="00550F57">
              <w:rPr>
                <w:szCs w:val="24"/>
              </w:rPr>
              <w:t>10</w:t>
            </w:r>
          </w:p>
        </w:tc>
        <w:tc>
          <w:tcPr>
            <w:tcW w:w="1800" w:type="dxa"/>
            <w:vAlign w:val="center"/>
          </w:tcPr>
          <w:p w:rsidR="007C19F2" w:rsidRPr="00550F57" w:rsidP="007C19F2" w14:paraId="677EA69E" w14:textId="0F562AF8">
            <w:pPr>
              <w:jc w:val="center"/>
              <w:rPr>
                <w:szCs w:val="24"/>
              </w:rPr>
            </w:pPr>
            <w:r>
              <w:rPr>
                <w:color w:val="000000"/>
              </w:rPr>
              <w:t xml:space="preserve">$10.30 </w:t>
            </w:r>
          </w:p>
        </w:tc>
        <w:tc>
          <w:tcPr>
            <w:tcW w:w="2520" w:type="dxa"/>
            <w:vAlign w:val="center"/>
          </w:tcPr>
          <w:p w:rsidR="007C19F2" w:rsidRPr="00550F57" w:rsidP="007C19F2" w14:paraId="00CAFB3B" w14:textId="60E2676E">
            <w:pPr>
              <w:jc w:val="center"/>
              <w:rPr>
                <w:szCs w:val="24"/>
              </w:rPr>
            </w:pPr>
            <w:r>
              <w:rPr>
                <w:color w:val="000000"/>
              </w:rPr>
              <w:t>$</w:t>
            </w:r>
            <w:r w:rsidR="00C31F6F">
              <w:rPr>
                <w:color w:val="000000"/>
              </w:rPr>
              <w:t>34,731,528</w:t>
            </w:r>
            <w:r>
              <w:rPr>
                <w:color w:val="000000"/>
              </w:rPr>
              <w:t xml:space="preserve"> </w:t>
            </w:r>
          </w:p>
        </w:tc>
        <w:tc>
          <w:tcPr>
            <w:tcW w:w="2244" w:type="dxa"/>
            <w:vAlign w:val="center"/>
          </w:tcPr>
          <w:p w:rsidR="007C19F2" w:rsidRPr="00550F57" w:rsidP="007C19F2" w14:paraId="500A59A1" w14:textId="68A6DF12">
            <w:pPr>
              <w:jc w:val="center"/>
              <w:rPr>
                <w:szCs w:val="24"/>
              </w:rPr>
            </w:pPr>
            <w:r>
              <w:rPr>
                <w:color w:val="000000"/>
              </w:rPr>
              <w:t>$</w:t>
            </w:r>
            <w:r w:rsidR="00C31F6F">
              <w:rPr>
                <w:color w:val="000000"/>
              </w:rPr>
              <w:t>2,245</w:t>
            </w:r>
            <w:r>
              <w:rPr>
                <w:color w:val="000000"/>
              </w:rPr>
              <w:t xml:space="preserve"> </w:t>
            </w:r>
          </w:p>
        </w:tc>
      </w:tr>
      <w:tr w14:paraId="2908E76E" w14:textId="55AB0877" w:rsidTr="005D1F1A">
        <w:tblPrEx>
          <w:tblW w:w="9715" w:type="dxa"/>
          <w:tblInd w:w="-366" w:type="dxa"/>
          <w:tblLook w:val="04A0"/>
        </w:tblPrEx>
        <w:trPr>
          <w:trHeight w:val="77"/>
        </w:trPr>
        <w:tc>
          <w:tcPr>
            <w:tcW w:w="1801" w:type="dxa"/>
          </w:tcPr>
          <w:p w:rsidR="007C19F2" w:rsidRPr="00550F57" w:rsidP="007C19F2" w14:paraId="42786352" w14:textId="291E5941">
            <w:pPr>
              <w:jc w:val="center"/>
              <w:rPr>
                <w:szCs w:val="24"/>
              </w:rPr>
            </w:pPr>
            <w:r w:rsidRPr="00550F57">
              <w:rPr>
                <w:szCs w:val="24"/>
              </w:rPr>
              <w:t>Transmission</w:t>
            </w:r>
          </w:p>
        </w:tc>
        <w:tc>
          <w:tcPr>
            <w:tcW w:w="1350" w:type="dxa"/>
          </w:tcPr>
          <w:p w:rsidR="007C19F2" w:rsidRPr="00550F57" w:rsidP="007C19F2" w14:paraId="7C32610A" w14:textId="636E5983">
            <w:pPr>
              <w:jc w:val="center"/>
              <w:rPr>
                <w:szCs w:val="24"/>
              </w:rPr>
            </w:pPr>
            <w:r w:rsidRPr="00550F57">
              <w:rPr>
                <w:szCs w:val="24"/>
              </w:rPr>
              <w:t>1</w:t>
            </w:r>
          </w:p>
        </w:tc>
        <w:tc>
          <w:tcPr>
            <w:tcW w:w="1800" w:type="dxa"/>
            <w:vAlign w:val="center"/>
          </w:tcPr>
          <w:p w:rsidR="007C19F2" w:rsidRPr="00550F57" w:rsidP="007C19F2" w14:paraId="750DA999" w14:textId="43511174">
            <w:pPr>
              <w:jc w:val="center"/>
              <w:rPr>
                <w:szCs w:val="24"/>
              </w:rPr>
            </w:pPr>
            <w:r>
              <w:rPr>
                <w:color w:val="000000"/>
              </w:rPr>
              <w:t xml:space="preserve">$0.77 </w:t>
            </w:r>
          </w:p>
        </w:tc>
        <w:tc>
          <w:tcPr>
            <w:tcW w:w="2520" w:type="dxa"/>
            <w:vAlign w:val="center"/>
          </w:tcPr>
          <w:p w:rsidR="007C19F2" w:rsidRPr="00550F57" w:rsidP="007C19F2" w14:paraId="28304CB8" w14:textId="64C895E5">
            <w:pPr>
              <w:jc w:val="center"/>
              <w:rPr>
                <w:szCs w:val="24"/>
              </w:rPr>
            </w:pPr>
            <w:r>
              <w:rPr>
                <w:color w:val="000000"/>
              </w:rPr>
              <w:t>$</w:t>
            </w:r>
            <w:r w:rsidR="003C0E18">
              <w:rPr>
                <w:color w:val="000000"/>
              </w:rPr>
              <w:t xml:space="preserve">2,596,435 </w:t>
            </w:r>
            <w:r>
              <w:rPr>
                <w:color w:val="000000"/>
              </w:rPr>
              <w:t xml:space="preserve"> </w:t>
            </w:r>
          </w:p>
        </w:tc>
        <w:tc>
          <w:tcPr>
            <w:tcW w:w="2244" w:type="dxa"/>
            <w:vAlign w:val="center"/>
          </w:tcPr>
          <w:p w:rsidR="007C19F2" w:rsidRPr="00550F57" w:rsidP="007C19F2" w14:paraId="5670A716" w14:textId="7E2B62A8">
            <w:pPr>
              <w:jc w:val="center"/>
              <w:rPr>
                <w:szCs w:val="24"/>
              </w:rPr>
            </w:pPr>
            <w:r>
              <w:rPr>
                <w:color w:val="000000"/>
              </w:rPr>
              <w:t>$</w:t>
            </w:r>
            <w:r w:rsidR="003C0E18">
              <w:rPr>
                <w:color w:val="000000"/>
              </w:rPr>
              <w:t>1</w:t>
            </w:r>
            <w:r w:rsidR="0054572A">
              <w:rPr>
                <w:color w:val="000000"/>
              </w:rPr>
              <w:t>68</w:t>
            </w:r>
            <w:r>
              <w:rPr>
                <w:color w:val="000000"/>
              </w:rPr>
              <w:t xml:space="preserve"> </w:t>
            </w:r>
          </w:p>
        </w:tc>
      </w:tr>
      <w:tr w14:paraId="5C79E031" w14:textId="08880C10" w:rsidTr="005D1F1A">
        <w:tblPrEx>
          <w:tblW w:w="9715" w:type="dxa"/>
          <w:tblInd w:w="-366" w:type="dxa"/>
          <w:tblLook w:val="04A0"/>
        </w:tblPrEx>
        <w:tc>
          <w:tcPr>
            <w:tcW w:w="1801" w:type="dxa"/>
            <w:shd w:val="clear" w:color="auto" w:fill="D9D9D9" w:themeFill="background1" w:themeFillShade="D9"/>
          </w:tcPr>
          <w:p w:rsidR="007C19F2" w:rsidRPr="00550F57" w:rsidP="007C19F2" w14:paraId="1EA4F230" w14:textId="0215CE16">
            <w:pPr>
              <w:jc w:val="center"/>
              <w:rPr>
                <w:szCs w:val="24"/>
              </w:rPr>
            </w:pPr>
            <w:r w:rsidRPr="00550F57">
              <w:rPr>
                <w:szCs w:val="24"/>
              </w:rPr>
              <w:t>TOTAL</w:t>
            </w:r>
          </w:p>
        </w:tc>
        <w:tc>
          <w:tcPr>
            <w:tcW w:w="1350" w:type="dxa"/>
            <w:shd w:val="clear" w:color="auto" w:fill="D9D9D9" w:themeFill="background1" w:themeFillShade="D9"/>
          </w:tcPr>
          <w:p w:rsidR="007C19F2" w:rsidRPr="00550F57" w:rsidP="007C19F2" w14:paraId="2A08F468" w14:textId="3FF437A3">
            <w:pPr>
              <w:jc w:val="center"/>
              <w:rPr>
                <w:szCs w:val="24"/>
              </w:rPr>
            </w:pPr>
            <w:r w:rsidRPr="00550F57">
              <w:rPr>
                <w:szCs w:val="24"/>
              </w:rPr>
              <w:t>51</w:t>
            </w:r>
          </w:p>
        </w:tc>
        <w:tc>
          <w:tcPr>
            <w:tcW w:w="1800" w:type="dxa"/>
            <w:shd w:val="clear" w:color="auto" w:fill="D9D9D9" w:themeFill="background1" w:themeFillShade="D9"/>
            <w:vAlign w:val="center"/>
          </w:tcPr>
          <w:p w:rsidR="007C19F2" w:rsidRPr="00550F57" w:rsidP="007C19F2" w14:paraId="6DAA2750" w14:textId="42B77723">
            <w:pPr>
              <w:jc w:val="center"/>
              <w:rPr>
                <w:szCs w:val="24"/>
              </w:rPr>
            </w:pPr>
            <w:r>
              <w:rPr>
                <w:color w:val="000000"/>
              </w:rPr>
              <w:t xml:space="preserve">$62.27 </w:t>
            </w:r>
          </w:p>
        </w:tc>
        <w:tc>
          <w:tcPr>
            <w:tcW w:w="2520" w:type="dxa"/>
            <w:shd w:val="clear" w:color="auto" w:fill="D9D9D9" w:themeFill="background1" w:themeFillShade="D9"/>
            <w:vAlign w:val="center"/>
          </w:tcPr>
          <w:p w:rsidR="007C19F2" w:rsidRPr="00550F57" w:rsidP="007C19F2" w14:paraId="33B3208C" w14:textId="6174B985">
            <w:pPr>
              <w:jc w:val="center"/>
              <w:rPr>
                <w:szCs w:val="24"/>
              </w:rPr>
            </w:pPr>
            <w:r>
              <w:rPr>
                <w:color w:val="000000"/>
              </w:rPr>
              <w:t>$</w:t>
            </w:r>
            <w:r w:rsidR="003C0E18">
              <w:rPr>
                <w:color w:val="000000"/>
              </w:rPr>
              <w:t xml:space="preserve">209,974,005 </w:t>
            </w:r>
            <w:r>
              <w:rPr>
                <w:color w:val="000000"/>
              </w:rPr>
              <w:t xml:space="preserve"> </w:t>
            </w:r>
          </w:p>
        </w:tc>
        <w:tc>
          <w:tcPr>
            <w:tcW w:w="2244" w:type="dxa"/>
            <w:shd w:val="clear" w:color="auto" w:fill="D9D9D9" w:themeFill="background1" w:themeFillShade="D9"/>
            <w:vAlign w:val="center"/>
          </w:tcPr>
          <w:p w:rsidR="007C19F2" w:rsidRPr="00550F57" w:rsidP="007C19F2" w14:paraId="77889595" w14:textId="55FE1222">
            <w:pPr>
              <w:jc w:val="center"/>
              <w:rPr>
                <w:szCs w:val="24"/>
              </w:rPr>
            </w:pPr>
            <w:r>
              <w:rPr>
                <w:color w:val="000000"/>
              </w:rPr>
              <w:t>$</w:t>
            </w:r>
            <w:r w:rsidR="003C0E18">
              <w:rPr>
                <w:color w:val="000000"/>
              </w:rPr>
              <w:t>13,5</w:t>
            </w:r>
            <w:r w:rsidR="0054572A">
              <w:rPr>
                <w:color w:val="000000"/>
              </w:rPr>
              <w:t>72</w:t>
            </w:r>
            <w:r>
              <w:rPr>
                <w:color w:val="000000"/>
              </w:rPr>
              <w:t xml:space="preserve"> </w:t>
            </w:r>
          </w:p>
        </w:tc>
      </w:tr>
    </w:tbl>
    <w:p w:rsidR="00FB4191" w:rsidRPr="00550F57" w:rsidP="00EB2050" w14:paraId="1F015249" w14:textId="66437031">
      <w:pPr>
        <w:pStyle w:val="BodyTextIndent2"/>
        <w:ind w:left="0"/>
        <w:rPr>
          <w:szCs w:val="24"/>
        </w:rPr>
        <w:sectPr w:rsidSect="00FB4191">
          <w:type w:val="continuous"/>
          <w:pgSz w:w="12240" w:h="15840"/>
          <w:pgMar w:top="1440" w:right="1440" w:bottom="1440" w:left="1440" w:header="720" w:footer="720" w:gutter="0"/>
          <w:cols w:space="720"/>
          <w:docGrid w:linePitch="326"/>
        </w:sectPr>
      </w:pPr>
    </w:p>
    <w:p w:rsidR="00EB47B9" w:rsidP="00834C56" w14:paraId="30BFBF4C" w14:textId="7DFA5B77">
      <w:pPr>
        <w:rPr>
          <w:i/>
        </w:rPr>
      </w:pPr>
      <w:r w:rsidRPr="00A1296C">
        <w:t>*</w:t>
      </w:r>
      <w:r w:rsidRPr="00A1296C">
        <w:rPr>
          <w:i/>
        </w:rPr>
        <w:t>Rounding was not done until the last step.</w:t>
      </w:r>
    </w:p>
    <w:p w:rsidR="00EB47B9" w:rsidRPr="00A1296C" w:rsidP="00834C56" w14:paraId="0893E4E3" w14:textId="77777777">
      <w:pPr>
        <w:rPr>
          <w:i/>
        </w:rPr>
      </w:pPr>
    </w:p>
    <w:p w:rsidR="00EF3CBF" w:rsidRPr="00550F57" w:rsidP="00834C56" w14:paraId="1DABEA42" w14:textId="0437859A">
      <w:pPr>
        <w:rPr>
          <w:rFonts w:cs="Tahoma"/>
          <w:szCs w:val="17"/>
        </w:rPr>
      </w:pPr>
      <w:r w:rsidRPr="00550F57">
        <w:rPr>
          <w:u w:val="single"/>
        </w:rPr>
        <w:t xml:space="preserve">Basic Requirements for all </w:t>
      </w:r>
      <w:r w:rsidRPr="00550F57" w:rsidR="004D292C">
        <w:rPr>
          <w:u w:val="single"/>
        </w:rPr>
        <w:t>Claims</w:t>
      </w:r>
      <w:r w:rsidR="005E3DEF">
        <w:rPr>
          <w:u w:val="single"/>
        </w:rPr>
        <w:t>.</w:t>
      </w:r>
      <w:r w:rsidRPr="00550F57" w:rsidR="004D292C">
        <w:t xml:space="preserve"> In</w:t>
      </w:r>
      <w:r w:rsidRPr="00550F57">
        <w:t xml:space="preserve"> evaluating the impact of billing changes in the </w:t>
      </w:r>
      <w:r w:rsidR="00EB47B9">
        <w:t xml:space="preserve">UB-04 </w:t>
      </w:r>
      <w:r w:rsidRPr="00550F57">
        <w:t>common claim form</w:t>
      </w:r>
      <w:r w:rsidRPr="00550F57" w:rsidR="00834C56">
        <w:t xml:space="preserve"> (</w:t>
      </w:r>
      <w:r w:rsidRPr="00550F57">
        <w:t xml:space="preserve">approved </w:t>
      </w:r>
      <w:r w:rsidRPr="00550F57" w:rsidR="00834C56">
        <w:t xml:space="preserve">by </w:t>
      </w:r>
      <w:r w:rsidRPr="00550F57">
        <w:t xml:space="preserve">OMB </w:t>
      </w:r>
      <w:r w:rsidRPr="00550F57" w:rsidR="00834C56">
        <w:t xml:space="preserve">under control </w:t>
      </w:r>
      <w:r w:rsidRPr="00550F57">
        <w:t>number 0938-0</w:t>
      </w:r>
      <w:r w:rsidR="00EB47B9">
        <w:t>997</w:t>
      </w:r>
      <w:r w:rsidRPr="00550F57" w:rsidR="00834C56">
        <w:t>)</w:t>
      </w:r>
      <w:r w:rsidRPr="00550F57">
        <w:t xml:space="preserve"> our long-standing policy is to focus on changes in billing volume.</w:t>
      </w:r>
      <w:r w:rsidR="00A5336D">
        <w:rPr>
          <w:rFonts w:eastAsiaTheme="minorHAnsi"/>
          <w:szCs w:val="24"/>
        </w:rPr>
        <w:t xml:space="preserve">  </w:t>
      </w:r>
    </w:p>
    <w:p w:rsidR="00B300E7" w:rsidRPr="00550F57" w:rsidP="00EB2050" w14:paraId="4126F3C9" w14:textId="38FE0D49">
      <w:pPr>
        <w:autoSpaceDE w:val="0"/>
        <w:autoSpaceDN w:val="0"/>
        <w:adjustRightInd w:val="0"/>
        <w:rPr>
          <w:rFonts w:cs="Tahoma"/>
          <w:szCs w:val="17"/>
        </w:rPr>
      </w:pPr>
    </w:p>
    <w:p w:rsidR="00593713" w:rsidRPr="00550F57" w:rsidP="00EB2050" w14:paraId="6ACA3ED7" w14:textId="05508037">
      <w:pPr>
        <w:rPr>
          <w:i/>
        </w:rPr>
      </w:pPr>
      <w:bookmarkStart w:id="38" w:name="_Hlk117283019"/>
      <w:r w:rsidRPr="00550F57">
        <w:rPr>
          <w:i/>
        </w:rPr>
        <w:t>Summary of Requirements and Annual Burden Estimates</w:t>
      </w:r>
    </w:p>
    <w:bookmarkEnd w:id="38"/>
    <w:p w:rsidR="00593713" w:rsidRPr="00550F57" w:rsidP="00EB2050" w14:paraId="6BD9BB3C" w14:textId="7C537786">
      <w:pPr>
        <w:rPr>
          <w:u w:val="single"/>
        </w:rPr>
      </w:pPr>
    </w:p>
    <w:tbl>
      <w:tblPr>
        <w:tblW w:w="10256" w:type="dxa"/>
        <w:tblInd w:w="-8" w:type="dxa"/>
        <w:tblBorders>
          <w:top w:val="single" w:sz="8"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115" w:type="dxa"/>
          <w:right w:w="115" w:type="dxa"/>
        </w:tblCellMar>
        <w:tblLook w:val="04A0"/>
      </w:tblPr>
      <w:tblGrid>
        <w:gridCol w:w="1756"/>
        <w:gridCol w:w="1201"/>
        <w:gridCol w:w="1386"/>
        <w:gridCol w:w="1147"/>
        <w:gridCol w:w="990"/>
        <w:gridCol w:w="1189"/>
        <w:gridCol w:w="1109"/>
        <w:gridCol w:w="1478"/>
      </w:tblGrid>
      <w:tr w14:paraId="644AB9A5" w14:textId="353CF20F" w:rsidTr="00A1296C">
        <w:tblPrEx>
          <w:tblW w:w="10256" w:type="dxa"/>
          <w:tblInd w:w="-8" w:type="dxa"/>
          <w:tblBorders>
            <w:top w:val="single" w:sz="8"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115" w:type="dxa"/>
            <w:right w:w="115" w:type="dxa"/>
          </w:tblCellMar>
          <w:tblLook w:val="04A0"/>
        </w:tblPrEx>
        <w:trPr>
          <w:cantSplit/>
          <w:trHeight w:val="312"/>
          <w:tblHeader/>
        </w:trPr>
        <w:tc>
          <w:tcPr>
            <w:tcW w:w="1756" w:type="dxa"/>
            <w:tcBorders>
              <w:top w:val="single" w:sz="8" w:space="0" w:color="auto"/>
              <w:left w:val="single" w:sz="6" w:space="0" w:color="auto"/>
              <w:bottom w:val="single" w:sz="6" w:space="0" w:color="auto"/>
              <w:right w:val="single" w:sz="6" w:space="0" w:color="auto"/>
            </w:tcBorders>
            <w:shd w:val="clear" w:color="auto" w:fill="auto"/>
            <w:vAlign w:val="center"/>
            <w:hideMark/>
          </w:tcPr>
          <w:p w:rsidR="00593713" w:rsidRPr="00550F57" w:rsidP="00AA1027" w14:paraId="1AF0D3D3" w14:textId="10EAD297">
            <w:pPr>
              <w:rPr>
                <w:snapToGrid w:val="0"/>
                <w:sz w:val="18"/>
                <w:szCs w:val="18"/>
              </w:rPr>
            </w:pPr>
            <w:bookmarkStart w:id="39" w:name="_Toc93054406"/>
            <w:bookmarkStart w:id="40" w:name="_Toc93054851"/>
            <w:r w:rsidRPr="00550F57">
              <w:rPr>
                <w:snapToGrid w:val="0"/>
                <w:sz w:val="18"/>
                <w:szCs w:val="18"/>
              </w:rPr>
              <w:t>Requirement</w:t>
            </w:r>
            <w:bookmarkEnd w:id="39"/>
            <w:bookmarkEnd w:id="40"/>
          </w:p>
        </w:tc>
        <w:tc>
          <w:tcPr>
            <w:tcW w:w="1201" w:type="dxa"/>
            <w:tcBorders>
              <w:top w:val="single" w:sz="8" w:space="0" w:color="auto"/>
              <w:left w:val="single" w:sz="6" w:space="0" w:color="auto"/>
              <w:bottom w:val="single" w:sz="6" w:space="0" w:color="auto"/>
              <w:right w:val="single" w:sz="6" w:space="0" w:color="auto"/>
            </w:tcBorders>
            <w:shd w:val="clear" w:color="auto" w:fill="auto"/>
            <w:vAlign w:val="center"/>
            <w:hideMark/>
          </w:tcPr>
          <w:p w:rsidR="00593713" w:rsidRPr="00550F57" w:rsidP="00AA1027" w14:paraId="23FB1634" w14:textId="08A1F6A0">
            <w:pPr>
              <w:rPr>
                <w:snapToGrid w:val="0"/>
                <w:sz w:val="18"/>
                <w:szCs w:val="18"/>
              </w:rPr>
            </w:pPr>
            <w:bookmarkStart w:id="41" w:name="_Toc93054407"/>
            <w:bookmarkStart w:id="42" w:name="_Toc93054852"/>
            <w:r w:rsidRPr="00550F57">
              <w:rPr>
                <w:snapToGrid w:val="0"/>
                <w:sz w:val="18"/>
                <w:szCs w:val="18"/>
              </w:rPr>
              <w:t>Respondents</w:t>
            </w:r>
            <w:bookmarkEnd w:id="41"/>
            <w:bookmarkEnd w:id="42"/>
          </w:p>
        </w:tc>
        <w:tc>
          <w:tcPr>
            <w:tcW w:w="1386" w:type="dxa"/>
            <w:tcBorders>
              <w:top w:val="single" w:sz="8" w:space="0" w:color="auto"/>
              <w:left w:val="single" w:sz="6" w:space="0" w:color="auto"/>
              <w:bottom w:val="single" w:sz="6" w:space="0" w:color="auto"/>
              <w:right w:val="single" w:sz="6" w:space="0" w:color="auto"/>
            </w:tcBorders>
            <w:shd w:val="clear" w:color="auto" w:fill="auto"/>
            <w:vAlign w:val="center"/>
            <w:hideMark/>
          </w:tcPr>
          <w:p w:rsidR="00593713" w:rsidRPr="00550F57" w:rsidP="00AA1027" w14:paraId="728F867B" w14:textId="4B3DB804">
            <w:pPr>
              <w:rPr>
                <w:snapToGrid w:val="0"/>
                <w:sz w:val="18"/>
                <w:szCs w:val="18"/>
              </w:rPr>
            </w:pPr>
            <w:bookmarkStart w:id="43" w:name="_Toc93054408"/>
            <w:bookmarkStart w:id="44" w:name="_Toc93054853"/>
            <w:r w:rsidRPr="00550F57">
              <w:rPr>
                <w:snapToGrid w:val="0"/>
                <w:sz w:val="18"/>
                <w:szCs w:val="18"/>
              </w:rPr>
              <w:t>Responses (per respondent)</w:t>
            </w:r>
            <w:bookmarkEnd w:id="43"/>
            <w:bookmarkEnd w:id="44"/>
          </w:p>
        </w:tc>
        <w:tc>
          <w:tcPr>
            <w:tcW w:w="1147" w:type="dxa"/>
            <w:tcBorders>
              <w:top w:val="single" w:sz="8" w:space="0" w:color="auto"/>
              <w:left w:val="single" w:sz="6" w:space="0" w:color="auto"/>
              <w:bottom w:val="single" w:sz="6" w:space="0" w:color="auto"/>
              <w:right w:val="single" w:sz="6" w:space="0" w:color="auto"/>
            </w:tcBorders>
            <w:vAlign w:val="center"/>
          </w:tcPr>
          <w:p w:rsidR="00593713" w:rsidRPr="00550F57" w:rsidP="00AA1027" w14:paraId="0727025D" w14:textId="02B9EAEA">
            <w:pPr>
              <w:rPr>
                <w:snapToGrid w:val="0"/>
                <w:sz w:val="18"/>
                <w:szCs w:val="18"/>
              </w:rPr>
            </w:pPr>
            <w:bookmarkStart w:id="45" w:name="_Toc93054409"/>
            <w:bookmarkStart w:id="46" w:name="_Toc93054854"/>
            <w:r w:rsidRPr="00550F57">
              <w:rPr>
                <w:snapToGrid w:val="0"/>
                <w:sz w:val="18"/>
                <w:szCs w:val="18"/>
              </w:rPr>
              <w:t>Total Responses</w:t>
            </w:r>
            <w:bookmarkEnd w:id="45"/>
            <w:bookmarkEnd w:id="46"/>
            <w:r w:rsidR="001F12DB">
              <w:rPr>
                <w:snapToGrid w:val="0"/>
                <w:sz w:val="18"/>
                <w:szCs w:val="18"/>
              </w:rPr>
              <w:t xml:space="preserve"> </w:t>
            </w:r>
            <w:r w:rsidRPr="00A1296C" w:rsidR="001F12DB">
              <w:rPr>
                <w:snapToGrid w:val="0"/>
                <w:sz w:val="16"/>
                <w:szCs w:val="18"/>
              </w:rPr>
              <w:t>(Respondents*Responses</w:t>
            </w:r>
            <w:r w:rsidR="001F12DB">
              <w:rPr>
                <w:snapToGrid w:val="0"/>
                <w:sz w:val="16"/>
                <w:szCs w:val="18"/>
              </w:rPr>
              <w:t>)</w:t>
            </w:r>
          </w:p>
        </w:tc>
        <w:tc>
          <w:tcPr>
            <w:tcW w:w="990" w:type="dxa"/>
            <w:tcBorders>
              <w:top w:val="single" w:sz="8" w:space="0" w:color="auto"/>
              <w:left w:val="single" w:sz="6" w:space="0" w:color="auto"/>
              <w:bottom w:val="single" w:sz="6" w:space="0" w:color="auto"/>
              <w:right w:val="single" w:sz="6" w:space="0" w:color="auto"/>
            </w:tcBorders>
            <w:shd w:val="clear" w:color="auto" w:fill="auto"/>
            <w:vAlign w:val="center"/>
            <w:hideMark/>
          </w:tcPr>
          <w:p w:rsidR="00593713" w:rsidRPr="00550F57" w:rsidP="00AA1027" w14:paraId="7E926FFD" w14:textId="583F969C">
            <w:pPr>
              <w:rPr>
                <w:snapToGrid w:val="0"/>
                <w:sz w:val="18"/>
                <w:szCs w:val="18"/>
              </w:rPr>
            </w:pPr>
            <w:bookmarkStart w:id="47" w:name="_Toc93054410"/>
            <w:bookmarkStart w:id="48" w:name="_Toc93054855"/>
            <w:r w:rsidRPr="00550F57">
              <w:rPr>
                <w:snapToGrid w:val="0"/>
                <w:sz w:val="18"/>
                <w:szCs w:val="18"/>
              </w:rPr>
              <w:t>Time per Response (</w:t>
            </w:r>
            <w:r w:rsidRPr="00550F57">
              <w:rPr>
                <w:snapToGrid w:val="0"/>
                <w:sz w:val="18"/>
                <w:szCs w:val="18"/>
              </w:rPr>
              <w:t>hr</w:t>
            </w:r>
            <w:r w:rsidRPr="00550F57">
              <w:rPr>
                <w:snapToGrid w:val="0"/>
                <w:sz w:val="18"/>
                <w:szCs w:val="18"/>
              </w:rPr>
              <w:t>)</w:t>
            </w:r>
            <w:bookmarkEnd w:id="47"/>
            <w:bookmarkEnd w:id="48"/>
          </w:p>
        </w:tc>
        <w:tc>
          <w:tcPr>
            <w:tcW w:w="1189" w:type="dxa"/>
            <w:tcBorders>
              <w:top w:val="single" w:sz="8" w:space="0" w:color="auto"/>
              <w:left w:val="single" w:sz="6" w:space="0" w:color="auto"/>
              <w:bottom w:val="single" w:sz="6" w:space="0" w:color="auto"/>
              <w:right w:val="single" w:sz="6" w:space="0" w:color="auto"/>
            </w:tcBorders>
            <w:shd w:val="clear" w:color="auto" w:fill="auto"/>
            <w:vAlign w:val="center"/>
            <w:hideMark/>
          </w:tcPr>
          <w:p w:rsidR="00593713" w:rsidP="00AA1027" w14:paraId="4BB8BD21" w14:textId="77777777">
            <w:pPr>
              <w:rPr>
                <w:snapToGrid w:val="0"/>
                <w:sz w:val="18"/>
                <w:szCs w:val="18"/>
              </w:rPr>
            </w:pPr>
            <w:bookmarkStart w:id="49" w:name="_Toc93054411"/>
            <w:bookmarkStart w:id="50" w:name="_Toc93054856"/>
            <w:r w:rsidRPr="00550F57">
              <w:rPr>
                <w:snapToGrid w:val="0"/>
                <w:sz w:val="18"/>
                <w:szCs w:val="18"/>
              </w:rPr>
              <w:t>Total Time (</w:t>
            </w:r>
            <w:r w:rsidRPr="00550F57">
              <w:rPr>
                <w:snapToGrid w:val="0"/>
                <w:sz w:val="18"/>
                <w:szCs w:val="18"/>
              </w:rPr>
              <w:t>hr</w:t>
            </w:r>
            <w:r w:rsidRPr="00550F57">
              <w:rPr>
                <w:snapToGrid w:val="0"/>
                <w:sz w:val="18"/>
                <w:szCs w:val="18"/>
              </w:rPr>
              <w:t>)</w:t>
            </w:r>
            <w:bookmarkEnd w:id="49"/>
            <w:bookmarkEnd w:id="50"/>
          </w:p>
          <w:p w:rsidR="001F12DB" w:rsidRPr="00550F57" w:rsidP="00AA1027" w14:paraId="52DF44AE" w14:textId="002C3E08">
            <w:pPr>
              <w:rPr>
                <w:snapToGrid w:val="0"/>
                <w:sz w:val="18"/>
                <w:szCs w:val="18"/>
              </w:rPr>
            </w:pPr>
            <w:r>
              <w:rPr>
                <w:snapToGrid w:val="0"/>
                <w:sz w:val="18"/>
                <w:szCs w:val="18"/>
              </w:rPr>
              <w:t>(Total Responses * Time per Response</w:t>
            </w:r>
          </w:p>
        </w:tc>
        <w:tc>
          <w:tcPr>
            <w:tcW w:w="1109" w:type="dxa"/>
            <w:tcBorders>
              <w:top w:val="single" w:sz="8" w:space="0" w:color="auto"/>
              <w:left w:val="single" w:sz="6" w:space="0" w:color="auto"/>
              <w:bottom w:val="single" w:sz="6" w:space="0" w:color="auto"/>
              <w:right w:val="single" w:sz="6" w:space="0" w:color="auto"/>
            </w:tcBorders>
            <w:shd w:val="clear" w:color="auto" w:fill="auto"/>
            <w:vAlign w:val="center"/>
            <w:hideMark/>
          </w:tcPr>
          <w:p w:rsidR="00593713" w:rsidRPr="00550F57" w:rsidP="00AA1027" w14:paraId="5A5AA625" w14:textId="327A8390">
            <w:pPr>
              <w:rPr>
                <w:snapToGrid w:val="0"/>
                <w:sz w:val="18"/>
                <w:szCs w:val="18"/>
              </w:rPr>
            </w:pPr>
            <w:bookmarkStart w:id="51" w:name="_Toc93054412"/>
            <w:bookmarkStart w:id="52" w:name="_Toc93054857"/>
            <w:r w:rsidRPr="00550F57">
              <w:rPr>
                <w:snapToGrid w:val="0"/>
                <w:sz w:val="18"/>
                <w:szCs w:val="18"/>
              </w:rPr>
              <w:t>Cost per Response</w:t>
            </w:r>
            <w:bookmarkEnd w:id="51"/>
            <w:bookmarkEnd w:id="52"/>
          </w:p>
        </w:tc>
        <w:tc>
          <w:tcPr>
            <w:tcW w:w="1478" w:type="dxa"/>
            <w:tcBorders>
              <w:top w:val="single" w:sz="8" w:space="0" w:color="auto"/>
              <w:left w:val="single" w:sz="6" w:space="0" w:color="auto"/>
              <w:bottom w:val="single" w:sz="6" w:space="0" w:color="auto"/>
              <w:right w:val="single" w:sz="6" w:space="0" w:color="auto"/>
            </w:tcBorders>
            <w:shd w:val="clear" w:color="auto" w:fill="auto"/>
            <w:vAlign w:val="center"/>
            <w:hideMark/>
          </w:tcPr>
          <w:p w:rsidR="00593713" w:rsidP="00AA1027" w14:paraId="0ACBA745" w14:textId="77777777">
            <w:pPr>
              <w:rPr>
                <w:snapToGrid w:val="0"/>
                <w:sz w:val="18"/>
                <w:szCs w:val="18"/>
              </w:rPr>
            </w:pPr>
            <w:bookmarkStart w:id="53" w:name="_Toc93054413"/>
            <w:bookmarkStart w:id="54" w:name="_Toc93054858"/>
            <w:r w:rsidRPr="00550F57">
              <w:rPr>
                <w:snapToGrid w:val="0"/>
                <w:sz w:val="18"/>
                <w:szCs w:val="18"/>
              </w:rPr>
              <w:t xml:space="preserve">Total </w:t>
            </w:r>
            <w:r w:rsidRPr="00550F57">
              <w:rPr>
                <w:snapToGrid w:val="0"/>
                <w:sz w:val="18"/>
                <w:szCs w:val="18"/>
              </w:rPr>
              <w:t>Cost ($)</w:t>
            </w:r>
            <w:bookmarkEnd w:id="53"/>
            <w:bookmarkEnd w:id="54"/>
          </w:p>
          <w:p w:rsidR="001F12DB" w:rsidRPr="00550F57" w:rsidP="00AA1027" w14:paraId="62A4B899" w14:textId="3D3DB0F1">
            <w:pPr>
              <w:rPr>
                <w:snapToGrid w:val="0"/>
                <w:sz w:val="18"/>
                <w:szCs w:val="18"/>
              </w:rPr>
            </w:pPr>
            <w:r>
              <w:rPr>
                <w:snapToGrid w:val="0"/>
                <w:sz w:val="18"/>
                <w:szCs w:val="18"/>
              </w:rPr>
              <w:t>(Total Responses *Cost per Response)</w:t>
            </w:r>
          </w:p>
        </w:tc>
      </w:tr>
      <w:tr w14:paraId="0328609F" w14:textId="511CD382" w:rsidTr="00A1296C">
        <w:tblPrEx>
          <w:tblW w:w="10256" w:type="dxa"/>
          <w:tblInd w:w="-8" w:type="dxa"/>
          <w:tblLayout w:type="fixed"/>
          <w:tblCellMar>
            <w:left w:w="115" w:type="dxa"/>
            <w:right w:w="115" w:type="dxa"/>
          </w:tblCellMar>
          <w:tblLook w:val="04A0"/>
        </w:tblPrEx>
        <w:trPr>
          <w:cantSplit/>
          <w:trHeight w:val="312"/>
          <w:tblHeader/>
        </w:trPr>
        <w:tc>
          <w:tcPr>
            <w:tcW w:w="175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F58C5" w:rsidRPr="00550F57" w:rsidP="009F58C5" w14:paraId="21C0D6A5" w14:textId="252A5697">
            <w:pPr>
              <w:rPr>
                <w:snapToGrid w:val="0"/>
                <w:sz w:val="18"/>
                <w:szCs w:val="18"/>
              </w:rPr>
            </w:pPr>
            <w:bookmarkStart w:id="55" w:name="_Toc93054414"/>
            <w:bookmarkStart w:id="56" w:name="_Toc93054859"/>
            <w:r w:rsidRPr="00550F57">
              <w:rPr>
                <w:snapToGrid w:val="0"/>
                <w:sz w:val="18"/>
                <w:szCs w:val="18"/>
              </w:rPr>
              <w:t>5-day scheduled PPS Assessment</w:t>
            </w:r>
            <w:bookmarkEnd w:id="55"/>
            <w:bookmarkEnd w:id="56"/>
          </w:p>
        </w:tc>
        <w:tc>
          <w:tcPr>
            <w:tcW w:w="120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F58C5" w:rsidRPr="00550F57" w:rsidP="009F58C5" w14:paraId="7DF73A66" w14:textId="22AA1266">
            <w:pPr>
              <w:rPr>
                <w:snapToGrid w:val="0"/>
                <w:sz w:val="18"/>
                <w:szCs w:val="18"/>
              </w:rPr>
            </w:pPr>
            <w:bookmarkStart w:id="57" w:name="_Toc93054415"/>
            <w:bookmarkStart w:id="58" w:name="_Toc93054860"/>
            <w:r w:rsidRPr="00550F57">
              <w:rPr>
                <w:snapToGrid w:val="0"/>
                <w:sz w:val="18"/>
                <w:szCs w:val="18"/>
              </w:rPr>
              <w:t>15,47</w:t>
            </w:r>
            <w:r w:rsidR="001C20EE">
              <w:rPr>
                <w:snapToGrid w:val="0"/>
                <w:sz w:val="18"/>
                <w:szCs w:val="18"/>
              </w:rPr>
              <w:t>2</w:t>
            </w:r>
            <w:bookmarkEnd w:id="57"/>
            <w:bookmarkEnd w:id="58"/>
          </w:p>
        </w:tc>
        <w:tc>
          <w:tcPr>
            <w:tcW w:w="138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F58C5" w:rsidRPr="00550F57" w:rsidP="009F58C5" w14:paraId="10885FAE" w14:textId="7190A8FF">
            <w:pPr>
              <w:rPr>
                <w:snapToGrid w:val="0"/>
                <w:sz w:val="18"/>
                <w:szCs w:val="18"/>
              </w:rPr>
            </w:pPr>
            <w:bookmarkStart w:id="59" w:name="_Toc93054416"/>
            <w:bookmarkStart w:id="60" w:name="_Toc93054861"/>
            <w:r>
              <w:rPr>
                <w:snapToGrid w:val="0"/>
                <w:sz w:val="18"/>
                <w:szCs w:val="18"/>
              </w:rPr>
              <w:t>107.2</w:t>
            </w:r>
            <w:r w:rsidR="001D6FF7">
              <w:rPr>
                <w:snapToGrid w:val="0"/>
                <w:sz w:val="18"/>
                <w:szCs w:val="18"/>
              </w:rPr>
              <w:t>6</w:t>
            </w:r>
            <w:r>
              <w:rPr>
                <w:snapToGrid w:val="0"/>
                <w:sz w:val="18"/>
                <w:szCs w:val="18"/>
              </w:rPr>
              <w:t xml:space="preserve"> </w:t>
            </w:r>
            <w:bookmarkEnd w:id="59"/>
            <w:bookmarkEnd w:id="60"/>
          </w:p>
        </w:tc>
        <w:tc>
          <w:tcPr>
            <w:tcW w:w="1147" w:type="dxa"/>
            <w:tcBorders>
              <w:top w:val="single" w:sz="6" w:space="0" w:color="auto"/>
              <w:left w:val="single" w:sz="6" w:space="0" w:color="auto"/>
              <w:bottom w:val="single" w:sz="6" w:space="0" w:color="auto"/>
              <w:right w:val="single" w:sz="6" w:space="0" w:color="auto"/>
            </w:tcBorders>
            <w:vAlign w:val="center"/>
          </w:tcPr>
          <w:p w:rsidR="009F58C5" w:rsidRPr="00550F57" w:rsidP="009F58C5" w14:paraId="5ACB5D2B" w14:textId="55B02596">
            <w:pPr>
              <w:rPr>
                <w:snapToGrid w:val="0"/>
                <w:sz w:val="18"/>
                <w:szCs w:val="18"/>
              </w:rPr>
            </w:pPr>
            <w:bookmarkStart w:id="61" w:name="_Toc93054417"/>
            <w:bookmarkStart w:id="62" w:name="_Toc93054862"/>
            <w:r>
              <w:rPr>
                <w:snapToGrid w:val="0"/>
                <w:sz w:val="18"/>
                <w:szCs w:val="18"/>
              </w:rPr>
              <w:t>1,659,446</w:t>
            </w:r>
            <w:bookmarkEnd w:id="61"/>
            <w:bookmarkEnd w:id="62"/>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F58C5" w:rsidRPr="00550F57" w:rsidP="009F58C5" w14:paraId="46C214FC" w14:textId="1B5C06DB">
            <w:pPr>
              <w:rPr>
                <w:snapToGrid w:val="0"/>
                <w:sz w:val="18"/>
                <w:szCs w:val="18"/>
              </w:rPr>
            </w:pPr>
            <w:bookmarkStart w:id="63" w:name="_Toc93054418"/>
            <w:bookmarkStart w:id="64" w:name="_Toc93054863"/>
            <w:r w:rsidRPr="00550F57">
              <w:rPr>
                <w:snapToGrid w:val="0"/>
                <w:sz w:val="18"/>
                <w:szCs w:val="18"/>
              </w:rPr>
              <w:t>0.85</w:t>
            </w:r>
            <w:bookmarkEnd w:id="63"/>
            <w:bookmarkEnd w:id="64"/>
          </w:p>
        </w:tc>
        <w:tc>
          <w:tcPr>
            <w:tcW w:w="118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F58C5" w:rsidRPr="00550F57" w:rsidP="009F58C5" w14:paraId="1EABE3A3" w14:textId="610D1E1D">
            <w:pPr>
              <w:rPr>
                <w:snapToGrid w:val="0"/>
                <w:sz w:val="18"/>
                <w:szCs w:val="18"/>
              </w:rPr>
            </w:pPr>
            <w:bookmarkStart w:id="65" w:name="_Toc93054419"/>
            <w:bookmarkStart w:id="66" w:name="_Toc93054864"/>
            <w:r>
              <w:rPr>
                <w:snapToGrid w:val="0"/>
                <w:sz w:val="18"/>
                <w:szCs w:val="18"/>
              </w:rPr>
              <w:t xml:space="preserve">1,410,529 </w:t>
            </w:r>
            <w:bookmarkEnd w:id="65"/>
            <w:bookmarkEnd w:id="66"/>
          </w:p>
        </w:tc>
        <w:tc>
          <w:tcPr>
            <w:tcW w:w="110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F58C5" w:rsidRPr="00550F57" w:rsidP="009F58C5" w14:paraId="4348A0C2" w14:textId="18505EB0">
            <w:pPr>
              <w:rPr>
                <w:snapToGrid w:val="0"/>
                <w:sz w:val="18"/>
                <w:szCs w:val="18"/>
              </w:rPr>
            </w:pPr>
            <w:bookmarkStart w:id="67" w:name="RANGE!H22"/>
            <w:bookmarkStart w:id="68" w:name="_Toc93054420"/>
            <w:bookmarkStart w:id="69" w:name="_Toc93054865"/>
            <w:r>
              <w:rPr>
                <w:snapToGrid w:val="0"/>
                <w:color w:val="000000"/>
                <w:sz w:val="18"/>
                <w:szCs w:val="18"/>
              </w:rPr>
              <w:t xml:space="preserve">$62.27 </w:t>
            </w:r>
            <w:bookmarkEnd w:id="67"/>
            <w:bookmarkEnd w:id="68"/>
            <w:bookmarkEnd w:id="69"/>
          </w:p>
        </w:tc>
        <w:tc>
          <w:tcPr>
            <w:tcW w:w="14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F58C5" w:rsidRPr="00550F57" w:rsidP="009F58C5" w14:paraId="544C0353" w14:textId="2657F946">
            <w:pPr>
              <w:rPr>
                <w:snapToGrid w:val="0"/>
                <w:sz w:val="18"/>
                <w:szCs w:val="18"/>
              </w:rPr>
            </w:pPr>
            <w:bookmarkStart w:id="70" w:name="RANGE!I22"/>
            <w:bookmarkStart w:id="71" w:name="_Toc93054421"/>
            <w:bookmarkStart w:id="72" w:name="_Toc93054866"/>
            <w:r>
              <w:rPr>
                <w:color w:val="000000"/>
                <w:sz w:val="18"/>
                <w:szCs w:val="18"/>
              </w:rPr>
              <w:t>103,333,702</w:t>
            </w:r>
            <w:r w:rsidR="000B08CB">
              <w:rPr>
                <w:color w:val="000000"/>
                <w:sz w:val="18"/>
                <w:szCs w:val="18"/>
              </w:rPr>
              <w:t>.42</w:t>
            </w:r>
            <w:r>
              <w:rPr>
                <w:color w:val="000000"/>
                <w:sz w:val="18"/>
                <w:szCs w:val="18"/>
              </w:rPr>
              <w:t xml:space="preserve"> </w:t>
            </w:r>
            <w:bookmarkEnd w:id="70"/>
            <w:bookmarkEnd w:id="71"/>
            <w:bookmarkEnd w:id="72"/>
          </w:p>
        </w:tc>
      </w:tr>
      <w:tr w14:paraId="216537B1" w14:textId="3BF4707A" w:rsidTr="00A1296C">
        <w:tblPrEx>
          <w:tblW w:w="10256" w:type="dxa"/>
          <w:tblInd w:w="-8" w:type="dxa"/>
          <w:tblLayout w:type="fixed"/>
          <w:tblCellMar>
            <w:left w:w="115" w:type="dxa"/>
            <w:right w:w="115" w:type="dxa"/>
          </w:tblCellMar>
          <w:tblLook w:val="04A0"/>
        </w:tblPrEx>
        <w:trPr>
          <w:cantSplit/>
          <w:trHeight w:val="312"/>
          <w:tblHeader/>
        </w:trPr>
        <w:tc>
          <w:tcPr>
            <w:tcW w:w="1756" w:type="dxa"/>
            <w:tcBorders>
              <w:top w:val="single" w:sz="6" w:space="0" w:color="auto"/>
              <w:left w:val="single" w:sz="6" w:space="0" w:color="auto"/>
              <w:bottom w:val="single" w:sz="6" w:space="0" w:color="auto"/>
              <w:right w:val="single" w:sz="6" w:space="0" w:color="auto"/>
            </w:tcBorders>
            <w:shd w:val="clear" w:color="auto" w:fill="auto"/>
            <w:vAlign w:val="center"/>
          </w:tcPr>
          <w:p w:rsidR="009F58C5" w:rsidRPr="00550F57" w:rsidP="009F58C5" w14:paraId="64DFCF60" w14:textId="68A12F2B">
            <w:pPr>
              <w:rPr>
                <w:snapToGrid w:val="0"/>
                <w:sz w:val="18"/>
                <w:szCs w:val="18"/>
              </w:rPr>
            </w:pPr>
            <w:bookmarkStart w:id="73" w:name="_Toc93054422"/>
            <w:bookmarkStart w:id="74" w:name="_Toc93054867"/>
            <w:r w:rsidRPr="00550F57">
              <w:rPr>
                <w:snapToGrid w:val="0"/>
                <w:sz w:val="18"/>
                <w:szCs w:val="18"/>
              </w:rPr>
              <w:t>PPS Discharge</w:t>
            </w:r>
            <w:bookmarkEnd w:id="73"/>
            <w:bookmarkEnd w:id="74"/>
          </w:p>
        </w:tc>
        <w:tc>
          <w:tcPr>
            <w:tcW w:w="1201" w:type="dxa"/>
            <w:tcBorders>
              <w:top w:val="single" w:sz="6" w:space="0" w:color="auto"/>
              <w:left w:val="single" w:sz="6" w:space="0" w:color="auto"/>
              <w:bottom w:val="single" w:sz="6" w:space="0" w:color="auto"/>
              <w:right w:val="single" w:sz="6" w:space="0" w:color="auto"/>
            </w:tcBorders>
            <w:shd w:val="clear" w:color="auto" w:fill="auto"/>
            <w:vAlign w:val="center"/>
          </w:tcPr>
          <w:p w:rsidR="009F58C5" w:rsidRPr="00550F57" w:rsidP="009F58C5" w14:paraId="79238F68" w14:textId="0609FA54">
            <w:pPr>
              <w:rPr>
                <w:snapToGrid w:val="0"/>
                <w:sz w:val="18"/>
                <w:szCs w:val="18"/>
              </w:rPr>
            </w:pPr>
            <w:bookmarkStart w:id="75" w:name="_Toc93054423"/>
            <w:bookmarkStart w:id="76" w:name="_Toc93054868"/>
            <w:r w:rsidRPr="00550F57">
              <w:rPr>
                <w:snapToGrid w:val="0"/>
                <w:sz w:val="18"/>
                <w:szCs w:val="18"/>
              </w:rPr>
              <w:t>15,47</w:t>
            </w:r>
            <w:r w:rsidR="001C20EE">
              <w:rPr>
                <w:snapToGrid w:val="0"/>
                <w:sz w:val="18"/>
                <w:szCs w:val="18"/>
              </w:rPr>
              <w:t>2</w:t>
            </w:r>
            <w:bookmarkEnd w:id="75"/>
            <w:bookmarkEnd w:id="76"/>
          </w:p>
        </w:tc>
        <w:tc>
          <w:tcPr>
            <w:tcW w:w="1386" w:type="dxa"/>
            <w:tcBorders>
              <w:top w:val="single" w:sz="6" w:space="0" w:color="auto"/>
              <w:left w:val="single" w:sz="6" w:space="0" w:color="auto"/>
              <w:bottom w:val="single" w:sz="6" w:space="0" w:color="auto"/>
              <w:right w:val="single" w:sz="6" w:space="0" w:color="auto"/>
            </w:tcBorders>
            <w:shd w:val="clear" w:color="auto" w:fill="auto"/>
            <w:vAlign w:val="center"/>
          </w:tcPr>
          <w:p w:rsidR="009F58C5" w:rsidRPr="00550F57" w:rsidP="009F58C5" w14:paraId="64417A72" w14:textId="47D52821">
            <w:pPr>
              <w:rPr>
                <w:snapToGrid w:val="0"/>
                <w:sz w:val="18"/>
                <w:szCs w:val="18"/>
              </w:rPr>
            </w:pPr>
            <w:bookmarkStart w:id="77" w:name="_Toc93054424"/>
            <w:bookmarkStart w:id="78" w:name="_Toc93054869"/>
            <w:r>
              <w:rPr>
                <w:snapToGrid w:val="0"/>
                <w:sz w:val="18"/>
                <w:szCs w:val="18"/>
              </w:rPr>
              <w:t>102.3</w:t>
            </w:r>
            <w:r w:rsidR="002A231A">
              <w:rPr>
                <w:snapToGrid w:val="0"/>
                <w:sz w:val="18"/>
                <w:szCs w:val="18"/>
              </w:rPr>
              <w:t>0</w:t>
            </w:r>
            <w:r>
              <w:rPr>
                <w:snapToGrid w:val="0"/>
                <w:sz w:val="18"/>
                <w:szCs w:val="18"/>
              </w:rPr>
              <w:t xml:space="preserve"> </w:t>
            </w:r>
            <w:bookmarkEnd w:id="77"/>
            <w:bookmarkEnd w:id="78"/>
          </w:p>
        </w:tc>
        <w:tc>
          <w:tcPr>
            <w:tcW w:w="1147" w:type="dxa"/>
            <w:tcBorders>
              <w:top w:val="single" w:sz="6" w:space="0" w:color="auto"/>
              <w:left w:val="single" w:sz="6" w:space="0" w:color="auto"/>
              <w:bottom w:val="single" w:sz="6" w:space="0" w:color="auto"/>
              <w:right w:val="single" w:sz="6" w:space="0" w:color="auto"/>
            </w:tcBorders>
            <w:vAlign w:val="center"/>
          </w:tcPr>
          <w:p w:rsidR="009F58C5" w:rsidRPr="00550F57" w:rsidP="009F58C5" w14:paraId="3F035662" w14:textId="57715BFE">
            <w:pPr>
              <w:rPr>
                <w:snapToGrid w:val="0"/>
                <w:sz w:val="18"/>
                <w:szCs w:val="18"/>
              </w:rPr>
            </w:pPr>
            <w:bookmarkStart w:id="79" w:name="_Toc93054425"/>
            <w:bookmarkStart w:id="80" w:name="_Toc93054870"/>
            <w:r>
              <w:rPr>
                <w:snapToGrid w:val="0"/>
                <w:sz w:val="18"/>
                <w:szCs w:val="18"/>
              </w:rPr>
              <w:t>1,582,855</w:t>
            </w:r>
            <w:bookmarkEnd w:id="79"/>
            <w:bookmarkEnd w:id="80"/>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9F58C5" w:rsidRPr="00550F57" w:rsidP="009F58C5" w14:paraId="7E15C7D0" w14:textId="7B1DF423">
            <w:pPr>
              <w:rPr>
                <w:snapToGrid w:val="0"/>
                <w:sz w:val="18"/>
                <w:szCs w:val="18"/>
              </w:rPr>
            </w:pPr>
            <w:bookmarkStart w:id="81" w:name="_Toc93054426"/>
            <w:bookmarkStart w:id="82" w:name="_Toc93054871"/>
            <w:r w:rsidRPr="00550F57">
              <w:rPr>
                <w:snapToGrid w:val="0"/>
                <w:sz w:val="18"/>
                <w:szCs w:val="18"/>
              </w:rPr>
              <w:t>0.85</w:t>
            </w:r>
            <w:bookmarkEnd w:id="81"/>
            <w:bookmarkEnd w:id="82"/>
          </w:p>
        </w:tc>
        <w:tc>
          <w:tcPr>
            <w:tcW w:w="1189" w:type="dxa"/>
            <w:tcBorders>
              <w:top w:val="single" w:sz="6" w:space="0" w:color="auto"/>
              <w:left w:val="single" w:sz="6" w:space="0" w:color="auto"/>
              <w:bottom w:val="single" w:sz="6" w:space="0" w:color="auto"/>
              <w:right w:val="single" w:sz="6" w:space="0" w:color="auto"/>
            </w:tcBorders>
            <w:shd w:val="clear" w:color="auto" w:fill="auto"/>
            <w:vAlign w:val="center"/>
          </w:tcPr>
          <w:p w:rsidR="009F58C5" w:rsidRPr="00550F57" w:rsidP="009F58C5" w14:paraId="249F6B14" w14:textId="788F6F90">
            <w:pPr>
              <w:rPr>
                <w:snapToGrid w:val="0"/>
                <w:sz w:val="18"/>
                <w:szCs w:val="18"/>
              </w:rPr>
            </w:pPr>
            <w:bookmarkStart w:id="83" w:name="_Toc93054427"/>
            <w:bookmarkStart w:id="84" w:name="_Toc93054872"/>
            <w:r>
              <w:rPr>
                <w:snapToGrid w:val="0"/>
                <w:sz w:val="18"/>
                <w:szCs w:val="18"/>
              </w:rPr>
              <w:t>1,345,42</w:t>
            </w:r>
            <w:r w:rsidR="000F5EE6">
              <w:rPr>
                <w:snapToGrid w:val="0"/>
                <w:sz w:val="18"/>
                <w:szCs w:val="18"/>
              </w:rPr>
              <w:t>7</w:t>
            </w:r>
            <w:r>
              <w:rPr>
                <w:snapToGrid w:val="0"/>
                <w:sz w:val="18"/>
                <w:szCs w:val="18"/>
              </w:rPr>
              <w:t xml:space="preserve"> </w:t>
            </w:r>
            <w:bookmarkEnd w:id="83"/>
            <w:bookmarkEnd w:id="84"/>
          </w:p>
        </w:tc>
        <w:tc>
          <w:tcPr>
            <w:tcW w:w="1109" w:type="dxa"/>
            <w:tcBorders>
              <w:top w:val="single" w:sz="6" w:space="0" w:color="auto"/>
              <w:left w:val="single" w:sz="6" w:space="0" w:color="auto"/>
              <w:bottom w:val="single" w:sz="6" w:space="0" w:color="auto"/>
              <w:right w:val="single" w:sz="6" w:space="0" w:color="auto"/>
            </w:tcBorders>
            <w:shd w:val="clear" w:color="auto" w:fill="auto"/>
            <w:vAlign w:val="center"/>
          </w:tcPr>
          <w:p w:rsidR="009F58C5" w:rsidRPr="00550F57" w:rsidP="009F58C5" w14:paraId="12DBA321" w14:textId="13DEBC87">
            <w:pPr>
              <w:rPr>
                <w:snapToGrid w:val="0"/>
                <w:sz w:val="18"/>
                <w:szCs w:val="18"/>
              </w:rPr>
            </w:pPr>
            <w:bookmarkStart w:id="85" w:name="RANGE!H23"/>
            <w:bookmarkStart w:id="86" w:name="_Toc93054428"/>
            <w:bookmarkStart w:id="87" w:name="_Toc93054873"/>
            <w:r>
              <w:rPr>
                <w:snapToGrid w:val="0"/>
                <w:color w:val="000000"/>
                <w:sz w:val="18"/>
                <w:szCs w:val="18"/>
              </w:rPr>
              <w:t xml:space="preserve">$62.27 </w:t>
            </w:r>
            <w:bookmarkEnd w:id="85"/>
            <w:bookmarkEnd w:id="86"/>
            <w:bookmarkEnd w:id="87"/>
          </w:p>
        </w:tc>
        <w:tc>
          <w:tcPr>
            <w:tcW w:w="1478" w:type="dxa"/>
            <w:tcBorders>
              <w:top w:val="single" w:sz="6" w:space="0" w:color="auto"/>
              <w:left w:val="single" w:sz="6" w:space="0" w:color="auto"/>
              <w:bottom w:val="single" w:sz="6" w:space="0" w:color="auto"/>
              <w:right w:val="single" w:sz="6" w:space="0" w:color="auto"/>
            </w:tcBorders>
            <w:shd w:val="clear" w:color="auto" w:fill="auto"/>
            <w:vAlign w:val="center"/>
          </w:tcPr>
          <w:p w:rsidR="009F58C5" w:rsidRPr="00550F57" w:rsidP="009F58C5" w14:paraId="0F0DD9B2" w14:textId="4BD9F869">
            <w:pPr>
              <w:rPr>
                <w:snapToGrid w:val="0"/>
                <w:sz w:val="18"/>
                <w:szCs w:val="18"/>
              </w:rPr>
            </w:pPr>
            <w:bookmarkStart w:id="88" w:name="RANGE!I23"/>
            <w:bookmarkStart w:id="89" w:name="_Toc93054429"/>
            <w:bookmarkStart w:id="90" w:name="_Toc93054874"/>
            <w:r>
              <w:rPr>
                <w:color w:val="000000"/>
                <w:sz w:val="18"/>
                <w:szCs w:val="18"/>
              </w:rPr>
              <w:t xml:space="preserve">  </w:t>
            </w:r>
            <w:r w:rsidR="00636D5A">
              <w:rPr>
                <w:color w:val="000000"/>
                <w:sz w:val="18"/>
                <w:szCs w:val="18"/>
              </w:rPr>
              <w:t>98,564,38</w:t>
            </w:r>
            <w:r w:rsidR="000B08CB">
              <w:rPr>
                <w:color w:val="000000"/>
                <w:sz w:val="18"/>
                <w:szCs w:val="18"/>
              </w:rPr>
              <w:t>0.85</w:t>
            </w:r>
            <w:r w:rsidR="00636D5A">
              <w:rPr>
                <w:color w:val="000000"/>
                <w:sz w:val="18"/>
                <w:szCs w:val="18"/>
              </w:rPr>
              <w:t xml:space="preserve"> </w:t>
            </w:r>
            <w:bookmarkEnd w:id="88"/>
            <w:bookmarkEnd w:id="89"/>
            <w:bookmarkEnd w:id="90"/>
          </w:p>
        </w:tc>
      </w:tr>
      <w:tr w14:paraId="60C37132" w14:textId="77777777" w:rsidTr="00A1296C">
        <w:tblPrEx>
          <w:tblW w:w="10256" w:type="dxa"/>
          <w:tblInd w:w="-8" w:type="dxa"/>
          <w:tblLayout w:type="fixed"/>
          <w:tblCellMar>
            <w:left w:w="115" w:type="dxa"/>
            <w:right w:w="115" w:type="dxa"/>
          </w:tblCellMar>
          <w:tblLook w:val="04A0"/>
        </w:tblPrEx>
        <w:trPr>
          <w:cantSplit/>
          <w:trHeight w:val="312"/>
          <w:tblHeader/>
        </w:trPr>
        <w:tc>
          <w:tcPr>
            <w:tcW w:w="1756" w:type="dxa"/>
            <w:tcBorders>
              <w:top w:val="single" w:sz="6" w:space="0" w:color="auto"/>
              <w:left w:val="single" w:sz="6" w:space="0" w:color="auto"/>
              <w:bottom w:val="single" w:sz="6" w:space="0" w:color="auto"/>
              <w:right w:val="single" w:sz="6" w:space="0" w:color="auto"/>
            </w:tcBorders>
            <w:shd w:val="clear" w:color="auto" w:fill="auto"/>
            <w:vAlign w:val="center"/>
          </w:tcPr>
          <w:p w:rsidR="009F58C5" w:rsidRPr="00550F57" w:rsidP="009F58C5" w14:paraId="2062A3DF" w14:textId="0596D851">
            <w:pPr>
              <w:rPr>
                <w:snapToGrid w:val="0"/>
                <w:sz w:val="18"/>
                <w:szCs w:val="18"/>
              </w:rPr>
            </w:pPr>
            <w:bookmarkStart w:id="91" w:name="_Toc93054430"/>
            <w:bookmarkStart w:id="92" w:name="_Toc93054875"/>
            <w:r w:rsidRPr="00550F57">
              <w:rPr>
                <w:snapToGrid w:val="0"/>
                <w:sz w:val="18"/>
                <w:szCs w:val="18"/>
              </w:rPr>
              <w:t>IPA</w:t>
            </w:r>
            <w:bookmarkEnd w:id="91"/>
            <w:bookmarkEnd w:id="92"/>
          </w:p>
        </w:tc>
        <w:tc>
          <w:tcPr>
            <w:tcW w:w="1201" w:type="dxa"/>
            <w:tcBorders>
              <w:top w:val="single" w:sz="6" w:space="0" w:color="auto"/>
              <w:left w:val="single" w:sz="6" w:space="0" w:color="auto"/>
              <w:bottom w:val="single" w:sz="6" w:space="0" w:color="auto"/>
              <w:right w:val="single" w:sz="6" w:space="0" w:color="auto"/>
            </w:tcBorders>
            <w:shd w:val="clear" w:color="auto" w:fill="auto"/>
            <w:vAlign w:val="center"/>
          </w:tcPr>
          <w:p w:rsidR="009F58C5" w:rsidRPr="00550F57" w:rsidP="009F58C5" w14:paraId="033559FD" w14:textId="4FDC61DC">
            <w:pPr>
              <w:rPr>
                <w:snapToGrid w:val="0"/>
                <w:sz w:val="18"/>
                <w:szCs w:val="18"/>
              </w:rPr>
            </w:pPr>
            <w:bookmarkStart w:id="93" w:name="_Toc93054431"/>
            <w:bookmarkStart w:id="94" w:name="_Toc93054876"/>
            <w:r w:rsidRPr="00550F57">
              <w:rPr>
                <w:snapToGrid w:val="0"/>
                <w:sz w:val="18"/>
                <w:szCs w:val="18"/>
              </w:rPr>
              <w:t>15,47</w:t>
            </w:r>
            <w:r w:rsidR="001C20EE">
              <w:rPr>
                <w:snapToGrid w:val="0"/>
                <w:sz w:val="18"/>
                <w:szCs w:val="18"/>
              </w:rPr>
              <w:t>2</w:t>
            </w:r>
            <w:bookmarkEnd w:id="93"/>
            <w:bookmarkEnd w:id="94"/>
          </w:p>
        </w:tc>
        <w:tc>
          <w:tcPr>
            <w:tcW w:w="1386" w:type="dxa"/>
            <w:tcBorders>
              <w:top w:val="single" w:sz="6" w:space="0" w:color="auto"/>
              <w:left w:val="single" w:sz="6" w:space="0" w:color="auto"/>
              <w:bottom w:val="single" w:sz="6" w:space="0" w:color="auto"/>
              <w:right w:val="single" w:sz="6" w:space="0" w:color="auto"/>
            </w:tcBorders>
            <w:shd w:val="clear" w:color="auto" w:fill="auto"/>
            <w:vAlign w:val="center"/>
          </w:tcPr>
          <w:p w:rsidR="009F58C5" w:rsidRPr="00550F57" w:rsidP="009F58C5" w14:paraId="30C9E653" w14:textId="54A308EA">
            <w:pPr>
              <w:rPr>
                <w:snapToGrid w:val="0"/>
                <w:sz w:val="18"/>
                <w:szCs w:val="18"/>
              </w:rPr>
            </w:pPr>
            <w:bookmarkStart w:id="95" w:name="_Toc93054432"/>
            <w:bookmarkStart w:id="96" w:name="_Toc93054877"/>
            <w:r>
              <w:rPr>
                <w:snapToGrid w:val="0"/>
                <w:sz w:val="18"/>
                <w:szCs w:val="18"/>
              </w:rPr>
              <w:t xml:space="preserve">    </w:t>
            </w:r>
            <w:r w:rsidR="001C20EE">
              <w:rPr>
                <w:snapToGrid w:val="0"/>
                <w:sz w:val="18"/>
                <w:szCs w:val="18"/>
              </w:rPr>
              <w:t xml:space="preserve">8.38 </w:t>
            </w:r>
            <w:bookmarkEnd w:id="95"/>
            <w:bookmarkEnd w:id="96"/>
          </w:p>
        </w:tc>
        <w:tc>
          <w:tcPr>
            <w:tcW w:w="1147" w:type="dxa"/>
            <w:tcBorders>
              <w:top w:val="single" w:sz="6" w:space="0" w:color="auto"/>
              <w:left w:val="single" w:sz="6" w:space="0" w:color="auto"/>
              <w:bottom w:val="single" w:sz="6" w:space="0" w:color="auto"/>
              <w:right w:val="single" w:sz="6" w:space="0" w:color="auto"/>
            </w:tcBorders>
            <w:vAlign w:val="center"/>
          </w:tcPr>
          <w:p w:rsidR="009F58C5" w:rsidRPr="00550F57" w:rsidP="009F58C5" w14:paraId="4C95C676" w14:textId="0D99EA9A">
            <w:pPr>
              <w:rPr>
                <w:snapToGrid w:val="0"/>
                <w:sz w:val="18"/>
                <w:szCs w:val="18"/>
              </w:rPr>
            </w:pPr>
            <w:bookmarkStart w:id="97" w:name="_Toc93054433"/>
            <w:bookmarkStart w:id="98" w:name="_Toc93054878"/>
            <w:r>
              <w:rPr>
                <w:snapToGrid w:val="0"/>
                <w:sz w:val="18"/>
                <w:szCs w:val="18"/>
              </w:rPr>
              <w:t xml:space="preserve">    </w:t>
            </w:r>
            <w:r w:rsidR="001C20EE">
              <w:rPr>
                <w:snapToGrid w:val="0"/>
                <w:sz w:val="18"/>
                <w:szCs w:val="18"/>
              </w:rPr>
              <w:t>129,692</w:t>
            </w:r>
            <w:bookmarkEnd w:id="97"/>
            <w:bookmarkEnd w:id="98"/>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rsidR="009F58C5" w:rsidRPr="00550F57" w:rsidP="009F58C5" w14:paraId="28EB7236" w14:textId="6FD72F3F">
            <w:pPr>
              <w:rPr>
                <w:snapToGrid w:val="0"/>
                <w:sz w:val="18"/>
                <w:szCs w:val="18"/>
              </w:rPr>
            </w:pPr>
            <w:bookmarkStart w:id="99" w:name="_Toc93054434"/>
            <w:bookmarkStart w:id="100" w:name="_Toc93054879"/>
            <w:r w:rsidRPr="00550F57">
              <w:rPr>
                <w:snapToGrid w:val="0"/>
                <w:sz w:val="18"/>
                <w:szCs w:val="18"/>
              </w:rPr>
              <w:t>0.85</w:t>
            </w:r>
            <w:bookmarkEnd w:id="99"/>
            <w:bookmarkEnd w:id="100"/>
          </w:p>
        </w:tc>
        <w:tc>
          <w:tcPr>
            <w:tcW w:w="1189" w:type="dxa"/>
            <w:tcBorders>
              <w:top w:val="single" w:sz="6" w:space="0" w:color="auto"/>
              <w:left w:val="single" w:sz="6" w:space="0" w:color="auto"/>
              <w:bottom w:val="single" w:sz="6" w:space="0" w:color="auto"/>
              <w:right w:val="single" w:sz="6" w:space="0" w:color="auto"/>
            </w:tcBorders>
            <w:shd w:val="clear" w:color="auto" w:fill="auto"/>
            <w:vAlign w:val="center"/>
          </w:tcPr>
          <w:p w:rsidR="009F58C5" w:rsidRPr="00550F57" w:rsidP="009F58C5" w14:paraId="6B89572F" w14:textId="15043FD1">
            <w:pPr>
              <w:rPr>
                <w:snapToGrid w:val="0"/>
                <w:sz w:val="18"/>
                <w:szCs w:val="18"/>
              </w:rPr>
            </w:pPr>
            <w:bookmarkStart w:id="101" w:name="_Toc93054435"/>
            <w:bookmarkStart w:id="102" w:name="_Toc93054880"/>
            <w:r>
              <w:rPr>
                <w:snapToGrid w:val="0"/>
                <w:sz w:val="18"/>
                <w:szCs w:val="18"/>
              </w:rPr>
              <w:t xml:space="preserve">   </w:t>
            </w:r>
            <w:r w:rsidR="00636D5A">
              <w:rPr>
                <w:snapToGrid w:val="0"/>
                <w:sz w:val="18"/>
                <w:szCs w:val="18"/>
              </w:rPr>
              <w:t xml:space="preserve">110,238 </w:t>
            </w:r>
            <w:bookmarkEnd w:id="101"/>
            <w:bookmarkEnd w:id="102"/>
          </w:p>
        </w:tc>
        <w:tc>
          <w:tcPr>
            <w:tcW w:w="1109" w:type="dxa"/>
            <w:tcBorders>
              <w:top w:val="single" w:sz="6" w:space="0" w:color="auto"/>
              <w:left w:val="single" w:sz="6" w:space="0" w:color="auto"/>
              <w:bottom w:val="single" w:sz="6" w:space="0" w:color="auto"/>
              <w:right w:val="single" w:sz="6" w:space="0" w:color="auto"/>
            </w:tcBorders>
            <w:shd w:val="clear" w:color="auto" w:fill="auto"/>
            <w:vAlign w:val="center"/>
          </w:tcPr>
          <w:p w:rsidR="009F58C5" w:rsidRPr="00550F57" w:rsidP="009F58C5" w14:paraId="0EE2908D" w14:textId="3500C6DD">
            <w:pPr>
              <w:rPr>
                <w:snapToGrid w:val="0"/>
                <w:sz w:val="18"/>
                <w:szCs w:val="18"/>
              </w:rPr>
            </w:pPr>
            <w:bookmarkStart w:id="103" w:name="RANGE!H24"/>
            <w:bookmarkStart w:id="104" w:name="_Toc93054436"/>
            <w:bookmarkStart w:id="105" w:name="_Toc93054881"/>
            <w:r>
              <w:rPr>
                <w:snapToGrid w:val="0"/>
                <w:color w:val="000000"/>
                <w:sz w:val="18"/>
                <w:szCs w:val="18"/>
              </w:rPr>
              <w:t xml:space="preserve">$62.27 </w:t>
            </w:r>
            <w:bookmarkEnd w:id="103"/>
            <w:bookmarkEnd w:id="104"/>
            <w:bookmarkEnd w:id="105"/>
          </w:p>
        </w:tc>
        <w:tc>
          <w:tcPr>
            <w:tcW w:w="1478" w:type="dxa"/>
            <w:tcBorders>
              <w:top w:val="single" w:sz="6" w:space="0" w:color="auto"/>
              <w:left w:val="single" w:sz="6" w:space="0" w:color="auto"/>
              <w:bottom w:val="single" w:sz="6" w:space="0" w:color="auto"/>
              <w:right w:val="single" w:sz="6" w:space="0" w:color="auto"/>
            </w:tcBorders>
            <w:shd w:val="clear" w:color="auto" w:fill="auto"/>
            <w:vAlign w:val="center"/>
          </w:tcPr>
          <w:p w:rsidR="009F58C5" w:rsidRPr="00550F57" w:rsidP="009F58C5" w14:paraId="24D0290C" w14:textId="2E5D6D98">
            <w:pPr>
              <w:rPr>
                <w:snapToGrid w:val="0"/>
                <w:sz w:val="18"/>
                <w:szCs w:val="18"/>
              </w:rPr>
            </w:pPr>
            <w:bookmarkStart w:id="106" w:name="RANGE!I24"/>
            <w:bookmarkStart w:id="107" w:name="_Toc93054437"/>
            <w:bookmarkStart w:id="108" w:name="_Toc93054882"/>
            <w:r>
              <w:rPr>
                <w:color w:val="000000"/>
                <w:sz w:val="18"/>
                <w:szCs w:val="18"/>
              </w:rPr>
              <w:t xml:space="preserve">    </w:t>
            </w:r>
            <w:r w:rsidR="00636D5A">
              <w:rPr>
                <w:color w:val="000000"/>
                <w:sz w:val="18"/>
                <w:szCs w:val="18"/>
              </w:rPr>
              <w:t>8,075,92</w:t>
            </w:r>
            <w:r w:rsidR="000B08CB">
              <w:rPr>
                <w:color w:val="000000"/>
                <w:sz w:val="18"/>
                <w:szCs w:val="18"/>
              </w:rPr>
              <w:t>0.84</w:t>
            </w:r>
            <w:r w:rsidR="00636D5A">
              <w:rPr>
                <w:color w:val="000000"/>
                <w:sz w:val="18"/>
                <w:szCs w:val="18"/>
              </w:rPr>
              <w:t xml:space="preserve"> </w:t>
            </w:r>
            <w:bookmarkEnd w:id="106"/>
            <w:bookmarkEnd w:id="107"/>
            <w:bookmarkEnd w:id="108"/>
          </w:p>
        </w:tc>
      </w:tr>
      <w:tr w14:paraId="3C3D28D5" w14:textId="032E60D8" w:rsidTr="00A1296C">
        <w:tblPrEx>
          <w:tblW w:w="10256" w:type="dxa"/>
          <w:tblInd w:w="-8" w:type="dxa"/>
          <w:tblLayout w:type="fixed"/>
          <w:tblCellMar>
            <w:left w:w="115" w:type="dxa"/>
            <w:right w:w="115" w:type="dxa"/>
          </w:tblCellMar>
          <w:tblLook w:val="04A0"/>
        </w:tblPrEx>
        <w:trPr>
          <w:cantSplit/>
          <w:trHeight w:val="312"/>
          <w:tblHeader/>
        </w:trPr>
        <w:tc>
          <w:tcPr>
            <w:tcW w:w="175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F58C5" w:rsidRPr="00550F57" w:rsidP="009F58C5" w14:paraId="0594DD8B" w14:textId="0E58D255">
            <w:pPr>
              <w:rPr>
                <w:snapToGrid w:val="0"/>
                <w:sz w:val="18"/>
                <w:szCs w:val="18"/>
              </w:rPr>
            </w:pPr>
            <w:bookmarkStart w:id="109" w:name="_Toc93054438"/>
            <w:bookmarkStart w:id="110" w:name="_Toc93054883"/>
            <w:r w:rsidRPr="00550F57">
              <w:rPr>
                <w:snapToGrid w:val="0"/>
                <w:sz w:val="18"/>
                <w:szCs w:val="18"/>
              </w:rPr>
              <w:t>TOTAL</w:t>
            </w:r>
            <w:bookmarkEnd w:id="109"/>
            <w:bookmarkEnd w:id="110"/>
          </w:p>
        </w:tc>
        <w:tc>
          <w:tcPr>
            <w:tcW w:w="120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F58C5" w:rsidRPr="00550F57" w:rsidP="009F58C5" w14:paraId="3B03D0F9" w14:textId="1A4502F2">
            <w:pPr>
              <w:rPr>
                <w:snapToGrid w:val="0"/>
                <w:sz w:val="18"/>
                <w:szCs w:val="18"/>
              </w:rPr>
            </w:pPr>
            <w:bookmarkStart w:id="111" w:name="_Toc93054439"/>
            <w:bookmarkStart w:id="112" w:name="_Toc93054884"/>
            <w:r w:rsidRPr="00550F57">
              <w:rPr>
                <w:snapToGrid w:val="0"/>
                <w:sz w:val="18"/>
                <w:szCs w:val="18"/>
              </w:rPr>
              <w:t>15,47</w:t>
            </w:r>
            <w:r w:rsidR="001C20EE">
              <w:rPr>
                <w:snapToGrid w:val="0"/>
                <w:sz w:val="18"/>
                <w:szCs w:val="18"/>
              </w:rPr>
              <w:t>2</w:t>
            </w:r>
            <w:bookmarkEnd w:id="111"/>
            <w:bookmarkEnd w:id="112"/>
          </w:p>
        </w:tc>
        <w:tc>
          <w:tcPr>
            <w:tcW w:w="13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F58C5" w:rsidRPr="00550F57" w:rsidP="009F58C5" w14:paraId="1C74B222" w14:textId="648EB788">
            <w:pPr>
              <w:rPr>
                <w:snapToGrid w:val="0"/>
                <w:sz w:val="18"/>
                <w:szCs w:val="18"/>
              </w:rPr>
            </w:pPr>
            <w:bookmarkStart w:id="113" w:name="_Toc93054440"/>
            <w:bookmarkStart w:id="114" w:name="_Toc93054885"/>
            <w:r>
              <w:rPr>
                <w:snapToGrid w:val="0"/>
                <w:sz w:val="18"/>
                <w:szCs w:val="18"/>
              </w:rPr>
              <w:t>217.9</w:t>
            </w:r>
            <w:r w:rsidR="001D6FF7">
              <w:rPr>
                <w:snapToGrid w:val="0"/>
                <w:sz w:val="18"/>
                <w:szCs w:val="18"/>
              </w:rPr>
              <w:t>4</w:t>
            </w:r>
            <w:r>
              <w:rPr>
                <w:snapToGrid w:val="0"/>
                <w:sz w:val="18"/>
                <w:szCs w:val="18"/>
              </w:rPr>
              <w:t xml:space="preserve"> </w:t>
            </w:r>
            <w:bookmarkEnd w:id="113"/>
            <w:bookmarkEnd w:id="114"/>
          </w:p>
        </w:tc>
        <w:tc>
          <w:tcPr>
            <w:tcW w:w="114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F58C5" w:rsidRPr="00550F57" w:rsidP="009F58C5" w14:paraId="43E27561" w14:textId="5223D065">
            <w:pPr>
              <w:rPr>
                <w:snapToGrid w:val="0"/>
                <w:sz w:val="18"/>
                <w:szCs w:val="18"/>
              </w:rPr>
            </w:pPr>
            <w:bookmarkStart w:id="115" w:name="_Toc93054441"/>
            <w:bookmarkStart w:id="116" w:name="_Toc93054886"/>
            <w:r>
              <w:rPr>
                <w:snapToGrid w:val="0"/>
                <w:sz w:val="18"/>
                <w:szCs w:val="18"/>
              </w:rPr>
              <w:t>3,371,993</w:t>
            </w:r>
            <w:bookmarkEnd w:id="115"/>
            <w:bookmarkEnd w:id="116"/>
          </w:p>
        </w:tc>
        <w:tc>
          <w:tcPr>
            <w:tcW w:w="99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F58C5" w:rsidRPr="00550F57" w:rsidP="009F58C5" w14:paraId="61BDD876" w14:textId="340CBE0A">
            <w:pPr>
              <w:rPr>
                <w:snapToGrid w:val="0"/>
                <w:sz w:val="18"/>
                <w:szCs w:val="18"/>
              </w:rPr>
            </w:pPr>
            <w:bookmarkStart w:id="117" w:name="_Toc93054442"/>
            <w:bookmarkStart w:id="118" w:name="_Toc93054887"/>
            <w:r w:rsidRPr="00550F57">
              <w:rPr>
                <w:snapToGrid w:val="0"/>
                <w:sz w:val="18"/>
                <w:szCs w:val="18"/>
              </w:rPr>
              <w:t>0.85</w:t>
            </w:r>
            <w:bookmarkEnd w:id="117"/>
            <w:bookmarkEnd w:id="118"/>
          </w:p>
        </w:tc>
        <w:tc>
          <w:tcPr>
            <w:tcW w:w="118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F58C5" w:rsidRPr="00550F57" w:rsidP="00A1296C" w14:paraId="4B2618FC" w14:textId="192F1EF8">
            <w:pPr>
              <w:jc w:val="center"/>
              <w:rPr>
                <w:snapToGrid w:val="0"/>
                <w:sz w:val="18"/>
                <w:szCs w:val="18"/>
              </w:rPr>
            </w:pPr>
            <w:r>
              <w:rPr>
                <w:snapToGrid w:val="0"/>
                <w:sz w:val="18"/>
                <w:szCs w:val="18"/>
              </w:rPr>
              <w:t>2,866,194</w:t>
            </w:r>
          </w:p>
        </w:tc>
        <w:tc>
          <w:tcPr>
            <w:tcW w:w="110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F58C5" w:rsidRPr="00550F57" w:rsidP="009F58C5" w14:paraId="0F994787" w14:textId="4103600F">
            <w:pPr>
              <w:rPr>
                <w:snapToGrid w:val="0"/>
                <w:sz w:val="18"/>
                <w:szCs w:val="18"/>
              </w:rPr>
            </w:pPr>
            <w:bookmarkStart w:id="119" w:name="RANGE!H25"/>
            <w:bookmarkStart w:id="120" w:name="_Toc93054444"/>
            <w:bookmarkStart w:id="121" w:name="_Toc93054889"/>
            <w:r>
              <w:rPr>
                <w:snapToGrid w:val="0"/>
                <w:color w:val="000000"/>
                <w:sz w:val="18"/>
                <w:szCs w:val="18"/>
              </w:rPr>
              <w:t xml:space="preserve">$62.27 </w:t>
            </w:r>
            <w:bookmarkEnd w:id="119"/>
            <w:bookmarkEnd w:id="120"/>
            <w:bookmarkEnd w:id="121"/>
          </w:p>
        </w:tc>
        <w:tc>
          <w:tcPr>
            <w:tcW w:w="147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F58C5" w:rsidRPr="00550F57" w:rsidP="009F58C5" w14:paraId="0659C091" w14:textId="3B6A832E">
            <w:pPr>
              <w:rPr>
                <w:snapToGrid w:val="0"/>
                <w:sz w:val="18"/>
                <w:szCs w:val="18"/>
              </w:rPr>
            </w:pPr>
            <w:bookmarkStart w:id="122" w:name="RANGE!I25"/>
            <w:bookmarkStart w:id="123" w:name="_Toc93054445"/>
            <w:bookmarkStart w:id="124" w:name="_Toc93054890"/>
            <w:r>
              <w:rPr>
                <w:color w:val="000000"/>
                <w:sz w:val="18"/>
                <w:szCs w:val="18"/>
              </w:rPr>
              <w:t>209,974,004</w:t>
            </w:r>
            <w:r w:rsidR="000B08CB">
              <w:rPr>
                <w:color w:val="000000"/>
                <w:sz w:val="18"/>
                <w:szCs w:val="18"/>
              </w:rPr>
              <w:t>.11</w:t>
            </w:r>
            <w:r>
              <w:rPr>
                <w:color w:val="000000"/>
                <w:sz w:val="18"/>
                <w:szCs w:val="18"/>
              </w:rPr>
              <w:t xml:space="preserve"> </w:t>
            </w:r>
            <w:bookmarkEnd w:id="122"/>
            <w:bookmarkEnd w:id="123"/>
            <w:bookmarkEnd w:id="124"/>
          </w:p>
        </w:tc>
      </w:tr>
    </w:tbl>
    <w:p w:rsidR="00593713" w:rsidRPr="00550F57" w:rsidP="00EB2050" w14:paraId="11544906" w14:textId="2545E429"/>
    <w:p w:rsidR="00593713" w:rsidRPr="00550F57" w:rsidP="00EB2050" w14:paraId="69823641" w14:textId="7EA874D5">
      <w:pPr>
        <w:rPr>
          <w:i/>
        </w:rPr>
      </w:pPr>
      <w:r w:rsidRPr="00550F57">
        <w:rPr>
          <w:i/>
        </w:rPr>
        <w:t>Information Collection/Reporting Instruments and Instruction Guidance Documents</w:t>
      </w:r>
    </w:p>
    <w:p w:rsidR="00B300E7" w:rsidRPr="00550F57" w:rsidP="00EB2050" w14:paraId="0E633C31" w14:textId="61AE83F4">
      <w:pPr>
        <w:rPr>
          <w:i/>
        </w:rPr>
      </w:pPr>
    </w:p>
    <w:p w:rsidR="00903A15" w:rsidRPr="00550F57" w:rsidP="00EB2050" w14:paraId="1D4EF2E7" w14:textId="0037599A">
      <w:r w:rsidRPr="00550F57">
        <w:t xml:space="preserve">The Information Collection/Reporting Instruments </w:t>
      </w:r>
      <w:r w:rsidRPr="00550F57" w:rsidR="008B2971">
        <w:t>for the PDPM and SNF QRP effective 10/1/20</w:t>
      </w:r>
      <w:r w:rsidR="0054572A">
        <w:t>23</w:t>
      </w:r>
      <w:r w:rsidRPr="00550F57" w:rsidR="008B2971">
        <w:t xml:space="preserve"> </w:t>
      </w:r>
      <w:r w:rsidRPr="00550F57">
        <w:t>are the MDS 3.0 forms/Item Sets: NP,</w:t>
      </w:r>
      <w:r w:rsidRPr="00550F57" w:rsidR="0063535B">
        <w:t xml:space="preserve"> </w:t>
      </w:r>
      <w:r w:rsidRPr="00550F57" w:rsidR="00B1510B">
        <w:t>NPE, IPA</w:t>
      </w:r>
      <w:r w:rsidRPr="00550F57">
        <w:t>.</w:t>
      </w:r>
      <w:r w:rsidRPr="00550F57" w:rsidR="008B7F58">
        <w:t xml:space="preserve"> </w:t>
      </w:r>
    </w:p>
    <w:p w:rsidR="00903A15" w:rsidRPr="00550F57" w:rsidP="00EB2050" w14:paraId="5AD3050B" w14:textId="54D8F800"/>
    <w:p w:rsidR="00903A15" w:rsidRPr="00550F57" w:rsidP="00903A15" w14:paraId="2C35DA24" w14:textId="636808B0">
      <w:pPr>
        <w:pStyle w:val="ListParagraph"/>
        <w:numPr>
          <w:ilvl w:val="0"/>
          <w:numId w:val="16"/>
        </w:numPr>
        <w:spacing w:after="160" w:line="259" w:lineRule="auto"/>
      </w:pPr>
      <w:r w:rsidRPr="00550F57">
        <w:t xml:space="preserve">NP </w:t>
      </w:r>
      <w:r w:rsidRPr="00550F57" w:rsidR="008B2971">
        <w:t xml:space="preserve">PPS (NP) </w:t>
      </w:r>
      <w:r w:rsidRPr="00550F57">
        <w:t>Version 1.1</w:t>
      </w:r>
      <w:r w:rsidR="0054572A">
        <w:t>8.11</w:t>
      </w:r>
      <w:r w:rsidRPr="00550F57">
        <w:t xml:space="preserve"> effective 10/1/20</w:t>
      </w:r>
      <w:r w:rsidR="0054572A">
        <w:t>23</w:t>
      </w:r>
      <w:r w:rsidRPr="00550F57" w:rsidR="0069409B">
        <w:t xml:space="preserve"> (Revised</w:t>
      </w:r>
      <w:r w:rsidRPr="00550F57" w:rsidR="00BB471A">
        <w:t xml:space="preserve">, see </w:t>
      </w:r>
      <w:r w:rsidRPr="00550F57" w:rsidR="004244C4">
        <w:t xml:space="preserve">the </w:t>
      </w:r>
      <w:r w:rsidRPr="00550F57" w:rsidR="00BB471A">
        <w:t xml:space="preserve">Crosswalk </w:t>
      </w:r>
      <w:r w:rsidRPr="00550F57" w:rsidR="00615883">
        <w:t xml:space="preserve">and section 15 </w:t>
      </w:r>
      <w:r w:rsidRPr="00550F57" w:rsidR="00BB471A">
        <w:t>for details</w:t>
      </w:r>
      <w:r w:rsidRPr="00550F57" w:rsidR="0069409B">
        <w:t>)</w:t>
      </w:r>
      <w:r w:rsidRPr="00550F57" w:rsidR="008B2971">
        <w:t xml:space="preserve"> </w:t>
      </w:r>
    </w:p>
    <w:p w:rsidR="00903A15" w:rsidRPr="00550F57" w:rsidP="00903A15" w14:paraId="28FE6887" w14:textId="02563139">
      <w:pPr>
        <w:pStyle w:val="ListParagraph"/>
        <w:numPr>
          <w:ilvl w:val="0"/>
          <w:numId w:val="16"/>
        </w:numPr>
        <w:spacing w:after="160" w:line="259" w:lineRule="auto"/>
      </w:pPr>
      <w:bookmarkStart w:id="125" w:name="_Hlk12361204"/>
      <w:r w:rsidRPr="00550F57">
        <w:t xml:space="preserve">NPE </w:t>
      </w:r>
      <w:r w:rsidRPr="00550F57" w:rsidR="008B2971">
        <w:t xml:space="preserve">Part A PPS Discharge </w:t>
      </w:r>
      <w:r w:rsidRPr="00550F57" w:rsidR="006415B6">
        <w:t>(NPE)</w:t>
      </w:r>
      <w:r w:rsidRPr="00550F57" w:rsidR="00BA6BF7">
        <w:t xml:space="preserve"> </w:t>
      </w:r>
      <w:r w:rsidRPr="00550F57">
        <w:t>Version 1.1</w:t>
      </w:r>
      <w:r w:rsidR="0054572A">
        <w:t>8.11</w:t>
      </w:r>
      <w:r w:rsidRPr="00550F57">
        <w:t xml:space="preserve"> effective 10/1/20</w:t>
      </w:r>
      <w:r w:rsidR="0054572A">
        <w:t>23</w:t>
      </w:r>
      <w:r w:rsidRPr="00550F57">
        <w:t xml:space="preserve"> </w:t>
      </w:r>
      <w:r w:rsidRPr="00550F57" w:rsidR="0069409B">
        <w:t>(</w:t>
      </w:r>
      <w:r w:rsidRPr="00550F57" w:rsidR="0054572A">
        <w:t>Revised, see the Crosswalk and</w:t>
      </w:r>
      <w:r w:rsidRPr="00550F57" w:rsidR="00615883">
        <w:t xml:space="preserve"> section 15 for details</w:t>
      </w:r>
      <w:r w:rsidRPr="00550F57" w:rsidR="0069409B">
        <w:t>)</w:t>
      </w:r>
    </w:p>
    <w:bookmarkEnd w:id="125"/>
    <w:p w:rsidR="00903A15" w:rsidRPr="00550F57" w:rsidP="00903A15" w14:paraId="42FCC787" w14:textId="2A56FDF3">
      <w:pPr>
        <w:pStyle w:val="ListParagraph"/>
        <w:numPr>
          <w:ilvl w:val="0"/>
          <w:numId w:val="16"/>
        </w:numPr>
        <w:spacing w:after="160" w:line="259" w:lineRule="auto"/>
      </w:pPr>
      <w:r w:rsidRPr="00550F57">
        <w:t>IPA Version 1.1</w:t>
      </w:r>
      <w:r w:rsidR="0054572A">
        <w:t>8.11</w:t>
      </w:r>
      <w:r w:rsidRPr="00550F57">
        <w:t xml:space="preserve"> effective 10/1/20</w:t>
      </w:r>
      <w:r w:rsidR="0054572A">
        <w:t>23</w:t>
      </w:r>
      <w:r w:rsidRPr="00550F57">
        <w:t xml:space="preserve"> </w:t>
      </w:r>
      <w:r w:rsidRPr="00550F57" w:rsidR="0069409B">
        <w:t>(</w:t>
      </w:r>
      <w:r w:rsidR="0054572A">
        <w:t>Unchanged</w:t>
      </w:r>
      <w:r w:rsidRPr="00550F57" w:rsidR="00615883">
        <w:t>, see section 15 for details</w:t>
      </w:r>
      <w:r w:rsidRPr="00550F57" w:rsidR="0069409B">
        <w:t>)</w:t>
      </w:r>
      <w:r w:rsidRPr="00550F57" w:rsidR="00E67E5F">
        <w:t xml:space="preserve"> </w:t>
      </w:r>
    </w:p>
    <w:p w:rsidR="00FB4213" w:rsidRPr="00550F57" w:rsidP="00903A15" w14:paraId="1B9C1E16" w14:textId="36B5A749">
      <w:pPr>
        <w:pStyle w:val="ListParagraph"/>
        <w:numPr>
          <w:ilvl w:val="0"/>
          <w:numId w:val="16"/>
        </w:numPr>
        <w:spacing w:after="160" w:line="259" w:lineRule="auto"/>
      </w:pPr>
      <w:bookmarkStart w:id="126" w:name="_Hlk12360932"/>
      <w:r w:rsidRPr="00550F57">
        <w:t xml:space="preserve">LTC RAI </w:t>
      </w:r>
      <w:r w:rsidRPr="00550F57" w:rsidR="008E7D12">
        <w:t>User’s Manual</w:t>
      </w:r>
      <w:r w:rsidRPr="00550F57" w:rsidR="00E436B8">
        <w:t xml:space="preserve"> (Cover Only)</w:t>
      </w:r>
      <w:bookmarkEnd w:id="126"/>
      <w:r w:rsidRPr="00550F57" w:rsidR="0069409B">
        <w:t xml:space="preserve"> (Revised</w:t>
      </w:r>
      <w:r w:rsidRPr="00550F57" w:rsidR="00BB471A">
        <w:t xml:space="preserve">, </w:t>
      </w:r>
      <w:r w:rsidRPr="00550F57" w:rsidR="004244C4">
        <w:t>see the Crosswalk and section 15 for details</w:t>
      </w:r>
      <w:r w:rsidRPr="00550F57" w:rsidR="0069409B">
        <w:t>)</w:t>
      </w:r>
      <w:r w:rsidRPr="00550F57" w:rsidR="00BA05EA">
        <w:t xml:space="preserve"> found at: </w:t>
      </w:r>
      <w:hyperlink r:id="rId9" w:history="1">
        <w:r w:rsidRPr="00550F57" w:rsidR="00BA05EA">
          <w:rPr>
            <w:rStyle w:val="Hyperlink"/>
          </w:rPr>
          <w:t>https://downloads.cms.gov/files/1-MDS-30-RAI-Manual-v1-16-October-1-2018.pdf</w:t>
        </w:r>
      </w:hyperlink>
      <w:r w:rsidRPr="00550F57" w:rsidR="00BA05EA">
        <w:t xml:space="preserve">) </w:t>
      </w:r>
    </w:p>
    <w:p w:rsidR="00F86E9C" w:rsidRPr="0012301F" w:rsidP="00F86E9C" w14:paraId="621B503D" w14:textId="2D9F3055">
      <w:pPr>
        <w:spacing w:after="160" w:line="259" w:lineRule="auto"/>
        <w:rPr>
          <w:i/>
          <w:u w:val="single"/>
        </w:rPr>
      </w:pPr>
      <w:r w:rsidRPr="0012301F">
        <w:rPr>
          <w:i/>
          <w:u w:val="single"/>
        </w:rPr>
        <w:t>Additional SNF QRP Programmatic Burden</w:t>
      </w:r>
    </w:p>
    <w:p w:rsidR="00D974E5" w:rsidRPr="0012301F" w:rsidP="00F86E9C" w14:paraId="51A9C548" w14:textId="36A1B057">
      <w:pPr>
        <w:spacing w:after="160" w:line="259" w:lineRule="auto"/>
      </w:pPr>
      <w:r w:rsidRPr="0012301F">
        <w:t>As requested by OMB, CMS acknowledge</w:t>
      </w:r>
      <w:r w:rsidR="00E3668E">
        <w:t>s</w:t>
      </w:r>
      <w:r w:rsidRPr="0012301F">
        <w:t xml:space="preserve"> there is S</w:t>
      </w:r>
      <w:r w:rsidR="0012301F">
        <w:t>N</w:t>
      </w:r>
      <w:r w:rsidRPr="0012301F">
        <w:t>F QRP programmatic burden associated with other data collection methods, including the C</w:t>
      </w:r>
      <w:r w:rsidR="0090644F">
        <w:t>enters for Disease Control’s (CDC) National Healthcare Safety Network (</w:t>
      </w:r>
      <w:r w:rsidRPr="0012301F">
        <w:t>NHSN</w:t>
      </w:r>
      <w:r w:rsidR="0090644F">
        <w:t>).</w:t>
      </w:r>
    </w:p>
    <w:p w:rsidR="00E3668E" w:rsidP="00E3668E" w14:paraId="5B1DD9FD" w14:textId="4F0E0A77">
      <w:pPr>
        <w:spacing w:after="160" w:line="259" w:lineRule="auto"/>
      </w:pPr>
      <w:r>
        <w:t>The</w:t>
      </w:r>
      <w:r w:rsidRPr="0012301F" w:rsidR="00D974E5">
        <w:t xml:space="preserve"> </w:t>
      </w:r>
      <w:r>
        <w:t xml:space="preserve">FY 2022 SNF PPS </w:t>
      </w:r>
      <w:r w:rsidRPr="0012301F" w:rsidR="00D974E5">
        <w:t>final rule (8</w:t>
      </w:r>
      <w:r>
        <w:t>6</w:t>
      </w:r>
      <w:r w:rsidRPr="0012301F" w:rsidR="00D974E5">
        <w:t xml:space="preserve"> FR </w:t>
      </w:r>
      <w:r>
        <w:t>42424</w:t>
      </w:r>
      <w:r w:rsidRPr="0012301F" w:rsidR="00D974E5">
        <w:t xml:space="preserve">) requires that SNFs submit data on the </w:t>
      </w:r>
      <w:r>
        <w:t xml:space="preserve">COVID-19 </w:t>
      </w:r>
      <w:r w:rsidRPr="0012301F" w:rsidR="00D974E5">
        <w:t>Vaccination Coverage among HCP measure beginning with the FY 202</w:t>
      </w:r>
      <w:r>
        <w:t>3</w:t>
      </w:r>
      <w:r w:rsidRPr="0012301F" w:rsidR="00D974E5">
        <w:t xml:space="preserve"> SNF </w:t>
      </w:r>
      <w:r w:rsidRPr="0012301F" w:rsidR="00D974E5">
        <w:t>QRP.  However, this collection of information request does not set out such burden since the burden for collecting and reporting vaccination data is waived from the requirements of the PRA under section 321 of the National Childhood Vaccine Injury Act (NCVIA) (Pub. L. 99-660). Section 321 can be found in a note at 42 U.S.C. 300aa-1.</w:t>
      </w:r>
    </w:p>
    <w:p w:rsidR="00D974E5" w:rsidRPr="0090644F" w:rsidP="005D1F1A" w14:paraId="552C42C4" w14:textId="07E7D697">
      <w:pPr>
        <w:spacing w:after="160" w:line="259" w:lineRule="auto"/>
      </w:pPr>
      <w:r>
        <w:t xml:space="preserve">The FY 2023 SNF PPS final rule </w:t>
      </w:r>
      <w:r w:rsidRPr="0012301F">
        <w:t xml:space="preserve">(87 FR </w:t>
      </w:r>
      <w:r>
        <w:t>47502)</w:t>
      </w:r>
      <w:r w:rsidRPr="0012301F">
        <w:t xml:space="preserve"> requires that SNFs submit data on the </w:t>
      </w:r>
      <w:r w:rsidR="00837B57">
        <w:t xml:space="preserve">Influenza </w:t>
      </w:r>
      <w:r w:rsidRPr="0012301F">
        <w:t>Vaccination Coverage among HCP measure beginning with the FY 202</w:t>
      </w:r>
      <w:r>
        <w:t>4</w:t>
      </w:r>
      <w:r w:rsidRPr="0012301F">
        <w:t xml:space="preserve"> SNF QRP.  However, this collection of information request does not set out such burden since the burden for collecting and reporting vaccination data is waived from the requirements of the PRA under section 321 of the National Childhood Vaccine Injury Act (NCVIA) (Pub. L. 99-660). Section 321 can be found in a note at 42 U.S.C. 300aa-1.</w:t>
      </w:r>
    </w:p>
    <w:p w:rsidR="00232D22" w:rsidRPr="00550F57" w:rsidP="00043183" w14:paraId="1B00E2BD" w14:textId="7049190E">
      <w:pPr>
        <w:pStyle w:val="Heading2"/>
        <w:rPr>
          <w:rFonts w:ascii="Times New Roman" w:hAnsi="Times New Roman" w:cs="Times New Roman"/>
          <w:color w:val="auto"/>
          <w:sz w:val="24"/>
          <w:szCs w:val="24"/>
        </w:rPr>
      </w:pPr>
      <w:bookmarkStart w:id="127" w:name="_Toc125742254"/>
      <w:r w:rsidRPr="00550F57">
        <w:rPr>
          <w:rFonts w:ascii="Times New Roman" w:hAnsi="Times New Roman" w:cs="Times New Roman"/>
          <w:color w:val="auto"/>
          <w:sz w:val="24"/>
          <w:szCs w:val="24"/>
        </w:rPr>
        <w:t xml:space="preserve">13.  </w:t>
      </w:r>
      <w:r w:rsidRPr="00550F57">
        <w:rPr>
          <w:rFonts w:ascii="Times New Roman" w:hAnsi="Times New Roman" w:cs="Times New Roman"/>
          <w:color w:val="auto"/>
          <w:sz w:val="24"/>
          <w:szCs w:val="24"/>
          <w:u w:val="single"/>
        </w:rPr>
        <w:t>Capital Costs (Maintenance of Capital Costs)</w:t>
      </w:r>
      <w:bookmarkEnd w:id="127"/>
    </w:p>
    <w:p w:rsidR="00232D22" w:rsidRPr="00550F57" w:rsidP="00EB2050" w14:paraId="0C071DD1" w14:textId="3F531EA1"/>
    <w:p w:rsidR="00232D22" w:rsidRPr="00550F57" w:rsidP="00EB2050" w14:paraId="080F9466" w14:textId="72CAD9BB">
      <w:r w:rsidRPr="00550F57">
        <w:t>Facilities are currently required to collect, compile, and transmit MDS data.</w:t>
      </w:r>
      <w:r w:rsidRPr="00550F57" w:rsidR="008E300D">
        <w:t xml:space="preserve">  Therefore, </w:t>
      </w:r>
      <w:r w:rsidRPr="00550F57">
        <w:t>there are no capital costs.  Any other cost can be considered a cost of doing business.</w:t>
      </w:r>
    </w:p>
    <w:p w:rsidR="00232D22" w:rsidRPr="00550F57" w:rsidP="00EB2050" w14:paraId="58BCCCBE" w14:textId="6B0FD391"/>
    <w:p w:rsidR="00232D22" w:rsidRPr="00550F57" w:rsidP="00043183" w14:paraId="60798BD5" w14:textId="35D0517B">
      <w:pPr>
        <w:pStyle w:val="Heading2"/>
        <w:rPr>
          <w:rFonts w:ascii="Times New Roman" w:hAnsi="Times New Roman" w:cs="Times New Roman"/>
          <w:color w:val="auto"/>
          <w:sz w:val="24"/>
          <w:szCs w:val="24"/>
        </w:rPr>
      </w:pPr>
      <w:bookmarkStart w:id="128" w:name="_Toc125742255"/>
      <w:r w:rsidRPr="00550F57">
        <w:rPr>
          <w:rFonts w:ascii="Times New Roman" w:hAnsi="Times New Roman" w:cs="Times New Roman"/>
          <w:color w:val="auto"/>
          <w:sz w:val="24"/>
          <w:szCs w:val="24"/>
        </w:rPr>
        <w:t xml:space="preserve">14.  </w:t>
      </w:r>
      <w:r w:rsidRPr="00550F57">
        <w:rPr>
          <w:rFonts w:ascii="Times New Roman" w:hAnsi="Times New Roman" w:cs="Times New Roman"/>
          <w:color w:val="auto"/>
          <w:sz w:val="24"/>
          <w:szCs w:val="24"/>
          <w:u w:val="single"/>
        </w:rPr>
        <w:t>Cost to Federal Government</w:t>
      </w:r>
      <w:bookmarkEnd w:id="128"/>
    </w:p>
    <w:p w:rsidR="00C371EC" w:rsidRPr="00550F57" w:rsidP="00EB2050" w14:paraId="13D2B394" w14:textId="77777777"/>
    <w:p w:rsidR="002D5147" w:rsidP="00C371EC" w14:paraId="300F4261" w14:textId="294AB915">
      <w:pPr>
        <w:spacing w:before="160" w:after="120"/>
        <w:contextualSpacing/>
        <w:rPr>
          <w:szCs w:val="24"/>
        </w:rPr>
      </w:pPr>
      <w:r w:rsidRPr="00550F57">
        <w:rPr>
          <w:szCs w:val="24"/>
        </w:rPr>
        <w:t xml:space="preserve">The </w:t>
      </w:r>
      <w:bookmarkStart w:id="129" w:name="_Hlk121214408"/>
      <w:r w:rsidRPr="00550F57">
        <w:rPr>
          <w:szCs w:val="24"/>
        </w:rPr>
        <w:t xml:space="preserve">Department of Health &amp; Human Services </w:t>
      </w:r>
      <w:bookmarkEnd w:id="129"/>
      <w:r w:rsidRPr="00550F57">
        <w:rPr>
          <w:szCs w:val="24"/>
        </w:rPr>
        <w:t>(DHHS) will incur costs associated with the administration of the</w:t>
      </w:r>
      <w:r w:rsidRPr="00550F57" w:rsidR="00973878">
        <w:rPr>
          <w:szCs w:val="24"/>
        </w:rPr>
        <w:t xml:space="preserve"> SNF</w:t>
      </w:r>
      <w:r w:rsidRPr="00550F57">
        <w:rPr>
          <w:szCs w:val="24"/>
        </w:rPr>
        <w:t xml:space="preserve"> quality reporting program including costs associated with the IT system used to process </w:t>
      </w:r>
      <w:r w:rsidRPr="00550F57" w:rsidR="00973878">
        <w:rPr>
          <w:szCs w:val="24"/>
        </w:rPr>
        <w:t>SNF</w:t>
      </w:r>
      <w:r w:rsidRPr="00550F57">
        <w:rPr>
          <w:szCs w:val="24"/>
        </w:rPr>
        <w:t xml:space="preserve"> submissions to CMS and analysis of the data received.</w:t>
      </w:r>
      <w:r w:rsidRPr="00550F57">
        <w:rPr>
          <w:b/>
          <w:szCs w:val="24"/>
        </w:rPr>
        <w:t xml:space="preserve"> </w:t>
      </w:r>
      <w:r w:rsidRPr="00550F57" w:rsidR="0098164F">
        <w:rPr>
          <w:sz w:val="22"/>
          <w:szCs w:val="24"/>
        </w:rPr>
        <w:t xml:space="preserve"> </w:t>
      </w:r>
      <w:r w:rsidRPr="00550F57">
        <w:rPr>
          <w:szCs w:val="24"/>
        </w:rPr>
        <w:t xml:space="preserve">CMS has engaged the services of an in-house CMS contractor to create and manage an online reporting/IT platform for the </w:t>
      </w:r>
      <w:r w:rsidRPr="00550F57" w:rsidR="00973878">
        <w:rPr>
          <w:szCs w:val="24"/>
        </w:rPr>
        <w:t>MDS</w:t>
      </w:r>
      <w:r w:rsidRPr="00550F57">
        <w:rPr>
          <w:szCs w:val="24"/>
        </w:rPr>
        <w:t xml:space="preserve">. This contractor works with the CMS Center for Clinical Standards and Quality, </w:t>
      </w:r>
      <w:bookmarkStart w:id="130" w:name="_Hlk121214423"/>
      <w:r w:rsidRPr="00550F57">
        <w:rPr>
          <w:szCs w:val="24"/>
        </w:rPr>
        <w:t>Division of Post</w:t>
      </w:r>
      <w:r w:rsidRPr="00550F57" w:rsidR="00D571B5">
        <w:rPr>
          <w:szCs w:val="24"/>
        </w:rPr>
        <w:t>-</w:t>
      </w:r>
      <w:r w:rsidRPr="00550F57">
        <w:rPr>
          <w:szCs w:val="24"/>
        </w:rPr>
        <w:t xml:space="preserve">Acute and Chronic Care </w:t>
      </w:r>
      <w:bookmarkEnd w:id="130"/>
      <w:r w:rsidRPr="00550F57">
        <w:rPr>
          <w:szCs w:val="24"/>
        </w:rPr>
        <w:t xml:space="preserve">(DCPAC) in order to support the IT needs of multiple quality reporting programs. When </w:t>
      </w:r>
      <w:r w:rsidRPr="00550F57" w:rsidR="00973878">
        <w:rPr>
          <w:szCs w:val="24"/>
        </w:rPr>
        <w:t>SNF</w:t>
      </w:r>
      <w:r w:rsidRPr="00550F57">
        <w:rPr>
          <w:szCs w:val="24"/>
        </w:rPr>
        <w:t xml:space="preserve"> providers transmit the data contained within the </w:t>
      </w:r>
      <w:r w:rsidRPr="00550F57" w:rsidR="00973878">
        <w:rPr>
          <w:szCs w:val="24"/>
        </w:rPr>
        <w:t>MDS</w:t>
      </w:r>
      <w:r w:rsidRPr="00550F57">
        <w:rPr>
          <w:szCs w:val="24"/>
        </w:rPr>
        <w:t xml:space="preserve"> to CMS it is received by this contractor. Upon receipt of all data sets for each quarter the contractor performs some basic analysis which helps to determine each provider’s compliance with the reporting requirements of the </w:t>
      </w:r>
      <w:r w:rsidRPr="00550F57" w:rsidR="00973878">
        <w:rPr>
          <w:szCs w:val="24"/>
        </w:rPr>
        <w:t>SNF</w:t>
      </w:r>
      <w:r w:rsidRPr="00550F57">
        <w:rPr>
          <w:szCs w:val="24"/>
        </w:rPr>
        <w:t xml:space="preserve"> QRP. The findings are communicated to the </w:t>
      </w:r>
      <w:r w:rsidRPr="00550F57" w:rsidR="00973878">
        <w:rPr>
          <w:szCs w:val="24"/>
        </w:rPr>
        <w:t>SNF</w:t>
      </w:r>
      <w:r w:rsidRPr="00550F57">
        <w:rPr>
          <w:szCs w:val="24"/>
        </w:rPr>
        <w:t xml:space="preserve"> QRP lead in a report. Contractor costs include the development, testing, roll-out, and maintenance of the </w:t>
      </w:r>
      <w:bookmarkStart w:id="131" w:name="_Hlk121214488"/>
      <w:r w:rsidRPr="00550F57" w:rsidR="00AF0955">
        <w:rPr>
          <w:szCs w:val="24"/>
        </w:rPr>
        <w:t xml:space="preserve">Resident Assessment Validation and Entry System </w:t>
      </w:r>
      <w:bookmarkEnd w:id="131"/>
      <w:r w:rsidRPr="00550F57" w:rsidR="00AF0955">
        <w:rPr>
          <w:szCs w:val="24"/>
        </w:rPr>
        <w:t>(</w:t>
      </w:r>
      <w:r w:rsidRPr="00550F57" w:rsidR="00BE6E37">
        <w:rPr>
          <w:szCs w:val="24"/>
        </w:rPr>
        <w:t>jRAVEN</w:t>
      </w:r>
      <w:r w:rsidRPr="00550F57" w:rsidR="00AF0955">
        <w:rPr>
          <w:szCs w:val="24"/>
        </w:rPr>
        <w:t>)</w:t>
      </w:r>
      <w:r w:rsidRPr="00550F57" w:rsidR="00BE6E37">
        <w:rPr>
          <w:szCs w:val="24"/>
        </w:rPr>
        <w:t xml:space="preserve"> </w:t>
      </w:r>
      <w:r w:rsidRPr="00550F57">
        <w:rPr>
          <w:szCs w:val="24"/>
        </w:rPr>
        <w:t xml:space="preserve">that is made available to </w:t>
      </w:r>
      <w:r w:rsidRPr="00550F57" w:rsidR="00973878">
        <w:rPr>
          <w:szCs w:val="24"/>
        </w:rPr>
        <w:t>SNF</w:t>
      </w:r>
      <w:r w:rsidRPr="00550F57">
        <w:rPr>
          <w:szCs w:val="24"/>
        </w:rPr>
        <w:t xml:space="preserve"> providers free of charge providing a means by which </w:t>
      </w:r>
      <w:r w:rsidRPr="00550F57" w:rsidR="00973878">
        <w:rPr>
          <w:szCs w:val="24"/>
        </w:rPr>
        <w:t>SNF</w:t>
      </w:r>
      <w:r w:rsidRPr="00550F57">
        <w:rPr>
          <w:szCs w:val="24"/>
        </w:rPr>
        <w:t xml:space="preserve">s can submit the required quality measure data to CMS. </w:t>
      </w:r>
      <w:r w:rsidRPr="00550F57" w:rsidR="0098164F">
        <w:rPr>
          <w:szCs w:val="24"/>
        </w:rPr>
        <w:t xml:space="preserve"> </w:t>
      </w:r>
      <w:r w:rsidRPr="00550F57">
        <w:rPr>
          <w:szCs w:val="24"/>
        </w:rPr>
        <w:t xml:space="preserve">DCPAC had also retained the services of a separate contractor for the purpose of performing a more in-depth analysis of the </w:t>
      </w:r>
      <w:r w:rsidRPr="00550F57" w:rsidR="00973878">
        <w:rPr>
          <w:szCs w:val="24"/>
        </w:rPr>
        <w:t>SNF</w:t>
      </w:r>
      <w:r w:rsidRPr="00550F57">
        <w:rPr>
          <w:szCs w:val="24"/>
        </w:rPr>
        <w:t xml:space="preserve"> quality data, as well as the calculation of the quality measures, and future public reporting of the </w:t>
      </w:r>
      <w:r w:rsidRPr="00550F57" w:rsidR="00973878">
        <w:rPr>
          <w:szCs w:val="24"/>
        </w:rPr>
        <w:t>SNF</w:t>
      </w:r>
      <w:r w:rsidRPr="00550F57">
        <w:rPr>
          <w:szCs w:val="24"/>
        </w:rPr>
        <w:t xml:space="preserve"> quality data. Said contractor will be responsible for obtaining the </w:t>
      </w:r>
      <w:r w:rsidRPr="00550F57" w:rsidR="00973878">
        <w:rPr>
          <w:szCs w:val="24"/>
        </w:rPr>
        <w:t>SNF</w:t>
      </w:r>
      <w:r w:rsidRPr="00550F57">
        <w:rPr>
          <w:szCs w:val="24"/>
        </w:rPr>
        <w:t xml:space="preserve"> quality reporting data from the in-house CMS contractor. They will perform statistical analysis on this data and prepare reports of their findings, which will be submitted to the </w:t>
      </w:r>
      <w:r w:rsidRPr="00550F57" w:rsidR="00973878">
        <w:rPr>
          <w:szCs w:val="24"/>
        </w:rPr>
        <w:t>SNF</w:t>
      </w:r>
      <w:r w:rsidRPr="00550F57">
        <w:rPr>
          <w:szCs w:val="24"/>
        </w:rPr>
        <w:t xml:space="preserve"> QRP lead.</w:t>
      </w:r>
      <w:r w:rsidRPr="00550F57" w:rsidR="0098164F">
        <w:rPr>
          <w:szCs w:val="24"/>
        </w:rPr>
        <w:t xml:space="preserve"> </w:t>
      </w:r>
      <w:r w:rsidRPr="00550F57">
        <w:rPr>
          <w:szCs w:val="24"/>
        </w:rPr>
        <w:t xml:space="preserve">DCPAC has retained the services of a third contractor to assist us with provider training and support services related to the </w:t>
      </w:r>
      <w:r w:rsidRPr="00550F57" w:rsidR="00973878">
        <w:rPr>
          <w:szCs w:val="24"/>
        </w:rPr>
        <w:t>SNF</w:t>
      </w:r>
      <w:r w:rsidRPr="00550F57">
        <w:rPr>
          <w:szCs w:val="24"/>
        </w:rPr>
        <w:t xml:space="preserve"> QRP. </w:t>
      </w:r>
      <w:r w:rsidRPr="00550F57" w:rsidR="0098164F">
        <w:rPr>
          <w:szCs w:val="24"/>
        </w:rPr>
        <w:t xml:space="preserve"> </w:t>
      </w:r>
      <w:r w:rsidRPr="00550F57">
        <w:rPr>
          <w:szCs w:val="24"/>
        </w:rPr>
        <w:t xml:space="preserve">In addition to the contractor costs, the total includes the cost of the following Federal </w:t>
      </w:r>
      <w:r w:rsidRPr="00550F57">
        <w:rPr>
          <w:sz w:val="22"/>
          <w:szCs w:val="22"/>
        </w:rPr>
        <w:t>employees:</w:t>
      </w:r>
      <w:r w:rsidRPr="00550F57" w:rsidR="0098164F">
        <w:rPr>
          <w:sz w:val="22"/>
          <w:szCs w:val="22"/>
        </w:rPr>
        <w:t xml:space="preserve"> </w:t>
      </w:r>
      <w:r w:rsidRPr="00550F57">
        <w:rPr>
          <w:szCs w:val="24"/>
        </w:rPr>
        <w:t xml:space="preserve">GS-13 (locality pay area of Washington-Baltimore-Northern Virginia) at 100% effort for 3 years, or </w:t>
      </w:r>
      <w:r w:rsidRPr="00550F57" w:rsidR="00C82F46">
        <w:rPr>
          <w:szCs w:val="24"/>
        </w:rPr>
        <w:t>$</w:t>
      </w:r>
      <w:r w:rsidRPr="00550F57" w:rsidR="00AE530B">
        <w:rPr>
          <w:szCs w:val="24"/>
        </w:rPr>
        <w:t>297,516</w:t>
      </w:r>
      <w:r w:rsidRPr="00550F57">
        <w:rPr>
          <w:szCs w:val="24"/>
        </w:rPr>
        <w:t>.</w:t>
      </w:r>
      <w:r w:rsidRPr="00550F57" w:rsidR="0098164F">
        <w:rPr>
          <w:szCs w:val="24"/>
        </w:rPr>
        <w:t xml:space="preserve"> </w:t>
      </w:r>
      <w:r w:rsidRPr="00550F57">
        <w:rPr>
          <w:szCs w:val="24"/>
        </w:rPr>
        <w:t>GS-14 (locality pay area of Washington-Baltimore-Northern Virginia) at 33</w:t>
      </w:r>
      <w:r w:rsidRPr="00550F57" w:rsidR="001E0A83">
        <w:rPr>
          <w:szCs w:val="24"/>
        </w:rPr>
        <w:t>.33</w:t>
      </w:r>
      <w:r w:rsidRPr="00550F57">
        <w:rPr>
          <w:szCs w:val="24"/>
        </w:rPr>
        <w:t xml:space="preserve">% effort for 3 years, or </w:t>
      </w:r>
      <w:r w:rsidRPr="00550F57" w:rsidR="00C82F46">
        <w:rPr>
          <w:szCs w:val="24"/>
        </w:rPr>
        <w:t>$</w:t>
      </w:r>
      <w:r w:rsidRPr="00550F57" w:rsidR="00AE530B">
        <w:rPr>
          <w:szCs w:val="24"/>
        </w:rPr>
        <w:t>117,191</w:t>
      </w:r>
      <w:r w:rsidRPr="00550F57">
        <w:rPr>
          <w:szCs w:val="24"/>
        </w:rPr>
        <w:t>.</w:t>
      </w:r>
      <w:r w:rsidRPr="00550F57" w:rsidR="0098164F">
        <w:rPr>
          <w:szCs w:val="24"/>
        </w:rPr>
        <w:t xml:space="preserve"> </w:t>
      </w:r>
      <w:r w:rsidRPr="00550F57">
        <w:rPr>
          <w:szCs w:val="24"/>
        </w:rPr>
        <w:t>The estimated cost to the federal government for the contractor is as follows:</w:t>
      </w:r>
    </w:p>
    <w:p w:rsidR="00D61913" w:rsidRPr="00D61913" w:rsidP="00D61913" w14:paraId="32AB3598" w14:textId="77777777">
      <w:pPr>
        <w:spacing w:before="160"/>
        <w:contextualSpacing/>
        <w:rPr>
          <w:sz w:val="10"/>
          <w:szCs w:val="24"/>
        </w:rPr>
      </w:pPr>
    </w:p>
    <w:tbl>
      <w:tblPr>
        <w:tblStyle w:val="TableGrid1"/>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39"/>
        <w:gridCol w:w="1296"/>
      </w:tblGrid>
      <w:tr w14:paraId="5E2B2B9C" w14:textId="77777777" w:rsidTr="00D61913">
        <w:tblPrEx>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cantSplit/>
        </w:trPr>
        <w:tc>
          <w:tcPr>
            <w:tcW w:w="7439" w:type="dxa"/>
            <w:hideMark/>
          </w:tcPr>
          <w:p w:rsidR="002D5147" w:rsidRPr="00550F57" w:rsidP="002D5147" w14:paraId="115D3772" w14:textId="669A85F1">
            <w:pPr>
              <w:ind w:left="435" w:hanging="435"/>
              <w:rPr>
                <w:szCs w:val="24"/>
              </w:rPr>
            </w:pPr>
            <w:r w:rsidRPr="00F615F2">
              <w:rPr>
                <w:szCs w:val="22"/>
              </w:rPr>
              <w:t xml:space="preserve">CMS in-house contractor – Maintenance and support of IT platform that supports the </w:t>
            </w:r>
            <w:r w:rsidRPr="00F615F2" w:rsidR="00C82F46">
              <w:rPr>
                <w:szCs w:val="22"/>
              </w:rPr>
              <w:t>MDS</w:t>
            </w:r>
          </w:p>
        </w:tc>
        <w:tc>
          <w:tcPr>
            <w:tcW w:w="1296" w:type="dxa"/>
            <w:hideMark/>
          </w:tcPr>
          <w:p w:rsidR="002D5147" w:rsidRPr="00550F57" w:rsidP="002D5147" w14:paraId="4024C876" w14:textId="77777777">
            <w:pPr>
              <w:contextualSpacing/>
              <w:jc w:val="right"/>
              <w:rPr>
                <w:szCs w:val="24"/>
              </w:rPr>
            </w:pPr>
            <w:r w:rsidRPr="00550F57">
              <w:rPr>
                <w:szCs w:val="24"/>
              </w:rPr>
              <w:t>$750,000</w:t>
            </w:r>
          </w:p>
        </w:tc>
      </w:tr>
      <w:tr w14:paraId="2BFC4959" w14:textId="77777777" w:rsidTr="00D61913">
        <w:tblPrEx>
          <w:tblW w:w="0" w:type="auto"/>
          <w:tblInd w:w="625" w:type="dxa"/>
          <w:tblLook w:val="04A0"/>
        </w:tblPrEx>
        <w:trPr>
          <w:cantSplit/>
        </w:trPr>
        <w:tc>
          <w:tcPr>
            <w:tcW w:w="7439" w:type="dxa"/>
            <w:hideMark/>
          </w:tcPr>
          <w:p w:rsidR="002D5147" w:rsidRPr="00550F57" w:rsidP="002D5147" w14:paraId="3934EA38" w14:textId="77777777">
            <w:pPr>
              <w:contextualSpacing/>
              <w:rPr>
                <w:szCs w:val="24"/>
              </w:rPr>
            </w:pPr>
            <w:r w:rsidRPr="00550F57">
              <w:rPr>
                <w:szCs w:val="24"/>
              </w:rPr>
              <w:t>Data analysis contractor</w:t>
            </w:r>
            <w:r w:rsidRPr="00550F57">
              <w:rPr>
                <w:szCs w:val="24"/>
              </w:rPr>
              <w:tab/>
            </w:r>
          </w:p>
        </w:tc>
        <w:tc>
          <w:tcPr>
            <w:tcW w:w="1296" w:type="dxa"/>
            <w:hideMark/>
          </w:tcPr>
          <w:p w:rsidR="002D5147" w:rsidRPr="00550F57" w:rsidP="002D5147" w14:paraId="3E0A4B6C" w14:textId="77777777">
            <w:pPr>
              <w:contextualSpacing/>
              <w:jc w:val="right"/>
              <w:rPr>
                <w:szCs w:val="24"/>
              </w:rPr>
            </w:pPr>
            <w:r w:rsidRPr="00550F57">
              <w:rPr>
                <w:szCs w:val="24"/>
              </w:rPr>
              <w:t>$1,000,000</w:t>
            </w:r>
          </w:p>
        </w:tc>
      </w:tr>
      <w:tr w14:paraId="4E23CF6B" w14:textId="77777777" w:rsidTr="00D61913">
        <w:tblPrEx>
          <w:tblW w:w="0" w:type="auto"/>
          <w:tblInd w:w="625" w:type="dxa"/>
          <w:tblLook w:val="04A0"/>
        </w:tblPrEx>
        <w:trPr>
          <w:cantSplit/>
        </w:trPr>
        <w:tc>
          <w:tcPr>
            <w:tcW w:w="7439" w:type="dxa"/>
            <w:hideMark/>
          </w:tcPr>
          <w:p w:rsidR="002D5147" w:rsidRPr="00550F57" w:rsidP="002D5147" w14:paraId="0896B061" w14:textId="77777777">
            <w:pPr>
              <w:contextualSpacing/>
              <w:rPr>
                <w:szCs w:val="24"/>
              </w:rPr>
            </w:pPr>
            <w:r w:rsidRPr="00550F57">
              <w:rPr>
                <w:szCs w:val="24"/>
              </w:rPr>
              <w:t>Provider training &amp; helpdesk contractor</w:t>
            </w:r>
          </w:p>
        </w:tc>
        <w:tc>
          <w:tcPr>
            <w:tcW w:w="1296" w:type="dxa"/>
            <w:hideMark/>
          </w:tcPr>
          <w:p w:rsidR="002D5147" w:rsidRPr="00550F57" w:rsidP="002D5147" w14:paraId="17F932F0" w14:textId="77777777">
            <w:pPr>
              <w:contextualSpacing/>
              <w:jc w:val="right"/>
              <w:rPr>
                <w:szCs w:val="24"/>
              </w:rPr>
            </w:pPr>
            <w:r w:rsidRPr="00550F57">
              <w:rPr>
                <w:szCs w:val="24"/>
              </w:rPr>
              <w:t>$1,000,000</w:t>
            </w:r>
          </w:p>
        </w:tc>
      </w:tr>
      <w:tr w14:paraId="344544BA" w14:textId="77777777" w:rsidTr="00D61913">
        <w:tblPrEx>
          <w:tblW w:w="0" w:type="auto"/>
          <w:tblInd w:w="625" w:type="dxa"/>
          <w:tblLook w:val="04A0"/>
        </w:tblPrEx>
        <w:trPr>
          <w:cantSplit/>
        </w:trPr>
        <w:tc>
          <w:tcPr>
            <w:tcW w:w="7439" w:type="dxa"/>
            <w:hideMark/>
          </w:tcPr>
          <w:p w:rsidR="002D5147" w:rsidRPr="00550F57" w:rsidP="002D5147" w14:paraId="4ED9187B" w14:textId="0C249539">
            <w:pPr>
              <w:contextualSpacing/>
              <w:rPr>
                <w:szCs w:val="24"/>
              </w:rPr>
            </w:pPr>
            <w:r w:rsidRPr="00550F57">
              <w:rPr>
                <w:szCs w:val="24"/>
              </w:rPr>
              <w:t>GS-13</w:t>
            </w:r>
            <w:r w:rsidRPr="00550F57" w:rsidR="001E0A83">
              <w:rPr>
                <w:szCs w:val="24"/>
              </w:rPr>
              <w:t xml:space="preserve"> Step 1</w:t>
            </w:r>
            <w:r w:rsidRPr="00550F57">
              <w:rPr>
                <w:szCs w:val="24"/>
              </w:rPr>
              <w:t xml:space="preserve"> Federal Employee (100% X 3 years</w:t>
            </w:r>
            <w:r w:rsidRPr="00550F57" w:rsidR="001E0A83">
              <w:rPr>
                <w:szCs w:val="24"/>
              </w:rPr>
              <w:t xml:space="preserve"> at $99,172 annually)</w:t>
            </w:r>
          </w:p>
        </w:tc>
        <w:tc>
          <w:tcPr>
            <w:tcW w:w="1296" w:type="dxa"/>
            <w:hideMark/>
          </w:tcPr>
          <w:p w:rsidR="002D5147" w:rsidRPr="00550F57" w:rsidP="002D5147" w14:paraId="798D1400" w14:textId="727D50CB">
            <w:pPr>
              <w:contextualSpacing/>
              <w:jc w:val="right"/>
              <w:rPr>
                <w:szCs w:val="24"/>
              </w:rPr>
            </w:pPr>
            <w:r w:rsidRPr="00550F57">
              <w:rPr>
                <w:szCs w:val="24"/>
              </w:rPr>
              <w:t>$2</w:t>
            </w:r>
            <w:r w:rsidRPr="00550F57" w:rsidR="00C82F46">
              <w:rPr>
                <w:szCs w:val="24"/>
              </w:rPr>
              <w:t>9</w:t>
            </w:r>
            <w:r w:rsidRPr="00550F57" w:rsidR="001E0A83">
              <w:rPr>
                <w:szCs w:val="24"/>
              </w:rPr>
              <w:t>7,516</w:t>
            </w:r>
          </w:p>
        </w:tc>
      </w:tr>
      <w:tr w14:paraId="134F35D2" w14:textId="77777777" w:rsidTr="00D61913">
        <w:tblPrEx>
          <w:tblW w:w="0" w:type="auto"/>
          <w:tblInd w:w="625" w:type="dxa"/>
          <w:tblLook w:val="04A0"/>
        </w:tblPrEx>
        <w:trPr>
          <w:cantSplit/>
        </w:trPr>
        <w:tc>
          <w:tcPr>
            <w:tcW w:w="7439" w:type="dxa"/>
            <w:tcBorders>
              <w:top w:val="nil"/>
              <w:left w:val="nil"/>
              <w:bottom w:val="single" w:sz="4" w:space="0" w:color="auto"/>
              <w:right w:val="nil"/>
            </w:tcBorders>
            <w:hideMark/>
          </w:tcPr>
          <w:p w:rsidR="002D5147" w:rsidRPr="00550F57" w:rsidP="002D5147" w14:paraId="606A6FCE" w14:textId="5735F49A">
            <w:pPr>
              <w:contextualSpacing/>
              <w:rPr>
                <w:szCs w:val="24"/>
              </w:rPr>
            </w:pPr>
            <w:r w:rsidRPr="00550F57">
              <w:rPr>
                <w:szCs w:val="24"/>
              </w:rPr>
              <w:t xml:space="preserve">GS-14 </w:t>
            </w:r>
            <w:r w:rsidRPr="00550F57" w:rsidR="001E0A83">
              <w:rPr>
                <w:szCs w:val="24"/>
              </w:rPr>
              <w:t xml:space="preserve">Step 1 </w:t>
            </w:r>
            <w:r w:rsidRPr="00550F57">
              <w:rPr>
                <w:szCs w:val="24"/>
              </w:rPr>
              <w:t>Federal Employee (33</w:t>
            </w:r>
            <w:r w:rsidRPr="00550F57" w:rsidR="001E0A83">
              <w:rPr>
                <w:szCs w:val="24"/>
              </w:rPr>
              <w:t>.33</w:t>
            </w:r>
            <w:r w:rsidRPr="00550F57">
              <w:rPr>
                <w:szCs w:val="24"/>
              </w:rPr>
              <w:t>% X 3 years</w:t>
            </w:r>
            <w:r w:rsidRPr="00550F57" w:rsidR="001E0A83">
              <w:rPr>
                <w:szCs w:val="24"/>
              </w:rPr>
              <w:t xml:space="preserve"> at $117,191 annually</w:t>
            </w:r>
            <w:r w:rsidRPr="00550F57">
              <w:rPr>
                <w:szCs w:val="24"/>
              </w:rPr>
              <w:t>)</w:t>
            </w:r>
          </w:p>
        </w:tc>
        <w:tc>
          <w:tcPr>
            <w:tcW w:w="1296" w:type="dxa"/>
            <w:tcBorders>
              <w:top w:val="nil"/>
              <w:left w:val="nil"/>
              <w:bottom w:val="single" w:sz="4" w:space="0" w:color="auto"/>
              <w:right w:val="nil"/>
            </w:tcBorders>
            <w:hideMark/>
          </w:tcPr>
          <w:p w:rsidR="002D5147" w:rsidRPr="00550F57" w:rsidP="002D5147" w14:paraId="6E5022AD" w14:textId="4C917894">
            <w:pPr>
              <w:contextualSpacing/>
              <w:jc w:val="right"/>
              <w:rPr>
                <w:szCs w:val="24"/>
              </w:rPr>
            </w:pPr>
            <w:r w:rsidRPr="00550F57">
              <w:rPr>
                <w:szCs w:val="24"/>
              </w:rPr>
              <w:t>$</w:t>
            </w:r>
            <w:r w:rsidRPr="00550F57" w:rsidR="001E0A83">
              <w:rPr>
                <w:szCs w:val="24"/>
              </w:rPr>
              <w:t>117,191</w:t>
            </w:r>
          </w:p>
        </w:tc>
      </w:tr>
      <w:tr w14:paraId="49A9221C" w14:textId="77777777" w:rsidTr="00D61913">
        <w:tblPrEx>
          <w:tblW w:w="0" w:type="auto"/>
          <w:tblInd w:w="625" w:type="dxa"/>
          <w:tblLook w:val="04A0"/>
        </w:tblPrEx>
        <w:trPr>
          <w:cantSplit/>
        </w:trPr>
        <w:tc>
          <w:tcPr>
            <w:tcW w:w="7439" w:type="dxa"/>
            <w:tcBorders>
              <w:top w:val="single" w:sz="4" w:space="0" w:color="auto"/>
              <w:left w:val="nil"/>
              <w:bottom w:val="nil"/>
              <w:right w:val="nil"/>
            </w:tcBorders>
            <w:hideMark/>
          </w:tcPr>
          <w:p w:rsidR="002D5147" w:rsidRPr="00550F57" w:rsidP="002D5147" w14:paraId="60D06D36" w14:textId="77777777">
            <w:pPr>
              <w:contextualSpacing/>
              <w:rPr>
                <w:szCs w:val="24"/>
              </w:rPr>
            </w:pPr>
            <w:r w:rsidRPr="00550F57">
              <w:rPr>
                <w:b/>
                <w:szCs w:val="24"/>
              </w:rPr>
              <w:t>Total cost to Federal Government:</w:t>
            </w:r>
          </w:p>
        </w:tc>
        <w:tc>
          <w:tcPr>
            <w:tcW w:w="1296" w:type="dxa"/>
            <w:tcBorders>
              <w:top w:val="single" w:sz="4" w:space="0" w:color="auto"/>
              <w:left w:val="nil"/>
              <w:bottom w:val="nil"/>
              <w:right w:val="nil"/>
            </w:tcBorders>
            <w:hideMark/>
          </w:tcPr>
          <w:p w:rsidR="002D5147" w:rsidRPr="00550F57" w:rsidP="002D5147" w14:paraId="36FAAC1A" w14:textId="7EE4E07C">
            <w:pPr>
              <w:contextualSpacing/>
              <w:jc w:val="right"/>
              <w:rPr>
                <w:szCs w:val="24"/>
              </w:rPr>
            </w:pPr>
            <w:r w:rsidRPr="00550F57">
              <w:rPr>
                <w:b/>
                <w:szCs w:val="24"/>
              </w:rPr>
              <w:t>$3,</w:t>
            </w:r>
            <w:r w:rsidRPr="00550F57" w:rsidR="001E0A83">
              <w:rPr>
                <w:b/>
                <w:szCs w:val="24"/>
              </w:rPr>
              <w:t>164,707</w:t>
            </w:r>
          </w:p>
        </w:tc>
      </w:tr>
    </w:tbl>
    <w:p w:rsidR="004A0405" w:rsidRPr="00550F57" w:rsidP="004A0405" w14:paraId="75385E6C" w14:textId="54C45C8D">
      <w:pPr>
        <w:pStyle w:val="Heading2"/>
        <w:rPr>
          <w:rFonts w:ascii="Times New Roman" w:hAnsi="Times New Roman" w:cs="Times New Roman"/>
          <w:color w:val="auto"/>
          <w:sz w:val="24"/>
          <w:szCs w:val="24"/>
        </w:rPr>
      </w:pPr>
      <w:bookmarkStart w:id="132" w:name="_Toc125742256"/>
      <w:r>
        <w:rPr>
          <w:rFonts w:ascii="Times New Roman" w:hAnsi="Times New Roman" w:cs="Times New Roman"/>
          <w:color w:val="auto"/>
          <w:sz w:val="24"/>
          <w:szCs w:val="24"/>
        </w:rPr>
        <w:t>15</w:t>
      </w:r>
      <w:r w:rsidRPr="00550F57">
        <w:rPr>
          <w:rFonts w:ascii="Times New Roman" w:hAnsi="Times New Roman" w:cs="Times New Roman"/>
          <w:color w:val="auto"/>
          <w:sz w:val="24"/>
          <w:szCs w:val="24"/>
        </w:rPr>
        <w:t xml:space="preserve">.  </w:t>
      </w:r>
      <w:r w:rsidRPr="004A0405">
        <w:rPr>
          <w:rFonts w:ascii="Times New Roman" w:hAnsi="Times New Roman" w:cs="Times New Roman"/>
          <w:color w:val="auto"/>
          <w:sz w:val="24"/>
          <w:szCs w:val="24"/>
          <w:u w:val="single"/>
        </w:rPr>
        <w:t>Program Changes</w:t>
      </w:r>
      <w:bookmarkEnd w:id="132"/>
    </w:p>
    <w:p w:rsidR="00E47B45" w:rsidRPr="00550F57" w:rsidP="00216F5C" w14:paraId="03502428" w14:textId="24C645E8">
      <w:pPr>
        <w:widowControl w:val="0"/>
      </w:pPr>
    </w:p>
    <w:p w:rsidR="007808C3" w:rsidRPr="009577EE" w:rsidP="007808C3" w14:paraId="39709D40" w14:textId="5FD6B579">
      <w:pPr>
        <w:rPr>
          <w:rFonts w:eastAsiaTheme="minorHAnsi"/>
          <w:szCs w:val="24"/>
        </w:rPr>
      </w:pPr>
      <w:r>
        <w:t>In the last 3 years, the number of SNFs has remained relatively stable.  However, u</w:t>
      </w:r>
      <w:r w:rsidRPr="001C6BAE">
        <w:t xml:space="preserve">nder the SNF PPS, there has been a reduction in billing volume in </w:t>
      </w:r>
      <w:r>
        <w:t xml:space="preserve">those same </w:t>
      </w:r>
      <w:r w:rsidRPr="001C6BAE">
        <w:t>3 years. In 2019, SNF care was the most common type of PAC, used after 18.7 percent of inpatient discharges.  In March 2020, at the onset of the COVID-19 public health emergency, the share of inpatient hospital discharges referred to SNFs declined to 16.6 percent and by October 2020 had reached 14.9 percent.</w:t>
      </w:r>
      <w:r>
        <w:rPr>
          <w:rStyle w:val="FootnoteReference"/>
        </w:rPr>
        <w:footnoteReference w:id="6"/>
      </w:r>
      <w:r w:rsidRPr="001C6BAE">
        <w:t xml:space="preserve">  Additionally, the number of Medicare beneficiaries </w:t>
      </w:r>
      <w:r w:rsidRPr="001C6BAE">
        <w:rPr>
          <w:rFonts w:eastAsiaTheme="minorHAnsi"/>
          <w:szCs w:val="24"/>
        </w:rPr>
        <w:t>enrolled in Medicare Advantage plans has increased from 21.9 million in 2019 (37%) to 26.4 million (45%) in 2021. These patients frequently have shorter lengths of stay and may not trigger the completion of an MDS assessment.</w:t>
      </w:r>
      <w:r>
        <w:rPr>
          <w:rFonts w:eastAsiaTheme="minorHAnsi"/>
          <w:szCs w:val="24"/>
        </w:rPr>
        <w:t xml:space="preserve">  As a result, the total number of assessments reported in this ICR reflects a decrease from the previous ICR.  </w:t>
      </w:r>
      <w:r>
        <w:t xml:space="preserve">In this supporting statement, we also updated the salary estimate using the U.S. BLS from May 2018 to May 2020, and reflected such wage updates in burden estimates. </w:t>
      </w:r>
    </w:p>
    <w:p w:rsidR="007808C3" w:rsidP="007808C3" w14:paraId="278B1371" w14:textId="77777777"/>
    <w:p w:rsidR="007808C3" w:rsidP="007808C3" w14:paraId="24EDA6BC" w14:textId="21FB66FD">
      <w:pPr>
        <w:rPr>
          <w:rFonts w:eastAsiaTheme="minorHAnsi"/>
          <w:szCs w:val="24"/>
        </w:rPr>
      </w:pPr>
      <w:r>
        <w:rPr>
          <w:rFonts w:eastAsiaTheme="minorHAnsi"/>
          <w:szCs w:val="24"/>
        </w:rPr>
        <w:t>These updates resulted in the following changes to</w:t>
      </w:r>
      <w:r w:rsidR="00A14417">
        <w:rPr>
          <w:rFonts w:eastAsiaTheme="minorHAnsi"/>
          <w:szCs w:val="24"/>
        </w:rPr>
        <w:t xml:space="preserve"> the current</w:t>
      </w:r>
      <w:r>
        <w:rPr>
          <w:rFonts w:eastAsiaTheme="minorHAnsi"/>
          <w:szCs w:val="24"/>
        </w:rPr>
        <w:t xml:space="preserve"> burden estimate:</w:t>
      </w:r>
    </w:p>
    <w:p w:rsidR="007808C3" w:rsidP="007808C3" w14:paraId="6973EC14" w14:textId="332F5002">
      <w:pPr>
        <w:pStyle w:val="ListParagraph"/>
        <w:numPr>
          <w:ilvl w:val="0"/>
          <w:numId w:val="16"/>
        </w:numPr>
        <w:rPr>
          <w:rFonts w:eastAsiaTheme="minorHAnsi"/>
          <w:szCs w:val="24"/>
        </w:rPr>
      </w:pPr>
      <w:r w:rsidRPr="007808C3">
        <w:rPr>
          <w:rFonts w:eastAsiaTheme="minorHAnsi"/>
          <w:szCs w:val="24"/>
        </w:rPr>
        <w:t xml:space="preserve">The last approved package </w:t>
      </w:r>
      <w:r>
        <w:rPr>
          <w:rFonts w:eastAsiaTheme="minorHAnsi"/>
          <w:szCs w:val="24"/>
        </w:rPr>
        <w:t>estimated</w:t>
      </w:r>
      <w:r w:rsidRPr="007808C3">
        <w:rPr>
          <w:rFonts w:eastAsiaTheme="minorHAnsi"/>
          <w:szCs w:val="24"/>
        </w:rPr>
        <w:t xml:space="preserve"> 4,905,042 assessments </w:t>
      </w:r>
      <w:r>
        <w:rPr>
          <w:rFonts w:eastAsiaTheme="minorHAnsi"/>
          <w:szCs w:val="24"/>
        </w:rPr>
        <w:t>from 15,471 SNFs</w:t>
      </w:r>
      <w:r w:rsidRPr="007808C3">
        <w:rPr>
          <w:rFonts w:eastAsiaTheme="minorHAnsi"/>
          <w:szCs w:val="24"/>
        </w:rPr>
        <w:t>.</w:t>
      </w:r>
    </w:p>
    <w:p w:rsidR="009577EE" w:rsidRPr="00650691" w:rsidP="005D1F1A" w14:paraId="5515FA3C" w14:textId="0425157D">
      <w:pPr>
        <w:pStyle w:val="ListParagraph"/>
        <w:numPr>
          <w:ilvl w:val="0"/>
          <w:numId w:val="16"/>
        </w:numPr>
        <w:rPr>
          <w:rFonts w:eastAsiaTheme="minorHAnsi"/>
          <w:szCs w:val="24"/>
        </w:rPr>
      </w:pPr>
      <w:r w:rsidRPr="00650691">
        <w:rPr>
          <w:rFonts w:eastAsiaTheme="minorHAnsi"/>
          <w:szCs w:val="24"/>
        </w:rPr>
        <w:t>This ICR estimates</w:t>
      </w:r>
      <w:r w:rsidRPr="00650691">
        <w:rPr>
          <w:color w:val="000000"/>
          <w:szCs w:val="24"/>
        </w:rPr>
        <w:t xml:space="preserve"> </w:t>
      </w:r>
      <w:r w:rsidRPr="00650691">
        <w:rPr>
          <w:szCs w:val="24"/>
        </w:rPr>
        <w:t>3,371,993 assessments from 15,472 SNFs</w:t>
      </w:r>
      <w:r w:rsidRPr="00650691">
        <w:rPr>
          <w:szCs w:val="24"/>
        </w:rPr>
        <w:t>, a decrease of 1,533,049 assessments.</w:t>
      </w:r>
    </w:p>
    <w:p w:rsidR="007808C3" w:rsidRPr="009577EE" w:rsidP="009577EE" w14:paraId="442D1CD2" w14:textId="0B01D218">
      <w:pPr>
        <w:pStyle w:val="ListParagraph"/>
        <w:numPr>
          <w:ilvl w:val="0"/>
          <w:numId w:val="16"/>
        </w:numPr>
        <w:rPr>
          <w:rFonts w:eastAsiaTheme="minorHAnsi"/>
          <w:szCs w:val="24"/>
        </w:rPr>
      </w:pPr>
      <w:r>
        <w:t>The last approved package used U.S. BLS data from May 2018 for Health Information Technicians and Registered Nurses at an adjusted hourly wage of $43.32 and $72.60, respectively.</w:t>
      </w:r>
    </w:p>
    <w:p w:rsidR="009577EE" w:rsidRPr="009577EE" w:rsidP="009577EE" w14:paraId="4B1BEFDC" w14:textId="617FD073">
      <w:pPr>
        <w:pStyle w:val="ListParagraph"/>
        <w:numPr>
          <w:ilvl w:val="0"/>
          <w:numId w:val="16"/>
        </w:numPr>
        <w:rPr>
          <w:rFonts w:eastAsiaTheme="minorHAnsi"/>
          <w:szCs w:val="24"/>
        </w:rPr>
      </w:pPr>
      <w:r>
        <w:rPr>
          <w:rFonts w:eastAsiaTheme="minorHAnsi"/>
          <w:szCs w:val="24"/>
        </w:rPr>
        <w:t xml:space="preserve">This ICR used U.S. BLS data from May 2020 </w:t>
      </w:r>
      <w:r>
        <w:t>Health Information Technicians and Registered Nurses at an adjusted hourly wage of $46.42 and $76.94 respectively, an increase of $3.10 and $4.34 respectively.</w:t>
      </w:r>
    </w:p>
    <w:p w:rsidR="009577EE" w:rsidRPr="009577EE" w:rsidP="009577EE" w14:paraId="7F6CB38D" w14:textId="77777777">
      <w:pPr>
        <w:pStyle w:val="ListParagraph"/>
        <w:rPr>
          <w:rFonts w:eastAsiaTheme="minorHAnsi"/>
          <w:szCs w:val="24"/>
        </w:rPr>
      </w:pPr>
    </w:p>
    <w:p w:rsidR="009577EE" w:rsidRPr="009577EE" w:rsidP="009577EE" w14:paraId="3A399231" w14:textId="43A0059F">
      <w:pPr>
        <w:rPr>
          <w:rFonts w:eastAsiaTheme="minorHAnsi"/>
          <w:szCs w:val="24"/>
        </w:rPr>
      </w:pPr>
      <w:r w:rsidRPr="009577EE">
        <w:rPr>
          <w:rFonts w:eastAsiaTheme="minorHAnsi"/>
          <w:szCs w:val="24"/>
        </w:rPr>
        <w:t>As a result of these changes</w:t>
      </w:r>
      <w:r>
        <w:rPr>
          <w:rFonts w:eastAsiaTheme="minorHAnsi"/>
          <w:szCs w:val="24"/>
        </w:rPr>
        <w:t>,</w:t>
      </w:r>
      <w:r w:rsidRPr="009577EE">
        <w:rPr>
          <w:rFonts w:eastAsiaTheme="minorHAnsi"/>
          <w:szCs w:val="24"/>
        </w:rPr>
        <w:t xml:space="preserve"> the </w:t>
      </w:r>
      <w:r>
        <w:rPr>
          <w:rFonts w:eastAsiaTheme="minorHAnsi"/>
          <w:szCs w:val="24"/>
        </w:rPr>
        <w:t>total annual hour burden across facilities has declined by 1</w:t>
      </w:r>
      <w:r w:rsidR="003B258D">
        <w:rPr>
          <w:rFonts w:eastAsiaTheme="minorHAnsi"/>
          <w:szCs w:val="24"/>
        </w:rPr>
        <w:t>,</w:t>
      </w:r>
      <w:r>
        <w:rPr>
          <w:rFonts w:eastAsiaTheme="minorHAnsi"/>
          <w:szCs w:val="24"/>
        </w:rPr>
        <w:t>303</w:t>
      </w:r>
      <w:r w:rsidR="003B258D">
        <w:rPr>
          <w:rFonts w:eastAsiaTheme="minorHAnsi"/>
          <w:szCs w:val="24"/>
        </w:rPr>
        <w:t>,</w:t>
      </w:r>
      <w:r>
        <w:rPr>
          <w:rFonts w:eastAsiaTheme="minorHAnsi"/>
          <w:szCs w:val="24"/>
        </w:rPr>
        <w:t xml:space="preserve">092 hours (4,169,286 minus </w:t>
      </w:r>
      <w:r>
        <w:t>2,866,194), and the annual cost burden across facilities has declined by $</w:t>
      </w:r>
      <w:r w:rsidR="003B258D">
        <w:t>77,902,910</w:t>
      </w:r>
      <w:r>
        <w:t xml:space="preserve"> ($287,876,915 minus </w:t>
      </w:r>
      <w:r>
        <w:rPr>
          <w:color w:val="000000"/>
        </w:rPr>
        <w:t>$209,974,005</w:t>
      </w:r>
      <w:r w:rsidR="003B258D">
        <w:rPr>
          <w:color w:val="000000"/>
        </w:rPr>
        <w:t>).</w:t>
      </w:r>
    </w:p>
    <w:p w:rsidR="007808C3" w:rsidP="007808C3" w14:paraId="4612B94F" w14:textId="77777777">
      <w:pPr>
        <w:tabs>
          <w:tab w:val="left" w:pos="-2160"/>
          <w:tab w:val="left" w:pos="-1440"/>
          <w:tab w:val="left" w:pos="-720"/>
          <w:tab w:val="left" w:pos="0"/>
          <w:tab w:val="left" w:pos="720"/>
          <w:tab w:val="left" w:pos="1440"/>
          <w:tab w:val="left" w:pos="2160"/>
          <w:tab w:val="left" w:pos="2880"/>
        </w:tabs>
      </w:pPr>
    </w:p>
    <w:p w:rsidR="00C12471" w:rsidRPr="00550F57" w:rsidP="007808C3" w14:paraId="7F75860A" w14:textId="16955510">
      <w:pPr>
        <w:tabs>
          <w:tab w:val="left" w:pos="-2160"/>
          <w:tab w:val="left" w:pos="-1440"/>
          <w:tab w:val="left" w:pos="-720"/>
          <w:tab w:val="left" w:pos="0"/>
          <w:tab w:val="left" w:pos="720"/>
          <w:tab w:val="left" w:pos="1440"/>
          <w:tab w:val="left" w:pos="2160"/>
          <w:tab w:val="left" w:pos="2880"/>
        </w:tabs>
      </w:pPr>
      <w:r w:rsidRPr="00550F57">
        <w:t xml:space="preserve">We </w:t>
      </w:r>
      <w:r w:rsidRPr="00550F57" w:rsidR="00AE530B">
        <w:t xml:space="preserve">will </w:t>
      </w:r>
      <w:r w:rsidR="009577EE">
        <w:t xml:space="preserve">also </w:t>
      </w:r>
      <w:r w:rsidRPr="00550F57" w:rsidR="00AE530B">
        <w:t>be</w:t>
      </w:r>
      <w:r w:rsidRPr="00550F57">
        <w:t xml:space="preserve"> updat</w:t>
      </w:r>
      <w:r w:rsidRPr="00550F57" w:rsidR="00AE530B">
        <w:t>ing</w:t>
      </w:r>
      <w:r w:rsidRPr="00550F57">
        <w:t xml:space="preserve"> the data submission system to the </w:t>
      </w:r>
      <w:r w:rsidRPr="00550F57">
        <w:t>iQIES</w:t>
      </w:r>
      <w:r w:rsidRPr="00550F57">
        <w:t xml:space="preserve"> for the SNF QRP once it becomes available. This designation is a replacement of the existing QIES ASAP data submission system and imposes no additional requirements or burden on the part of SNFs.</w:t>
      </w:r>
    </w:p>
    <w:p w:rsidR="007A305A" w:rsidRPr="00550F57" w:rsidP="00EB2050" w14:paraId="5739D30D" w14:textId="04BB2833">
      <w:pPr>
        <w:widowControl w:val="0"/>
        <w:ind w:left="144"/>
        <w:rPr>
          <w:u w:val="single"/>
        </w:rPr>
      </w:pPr>
    </w:p>
    <w:p w:rsidR="00232D22" w:rsidRPr="00550F57" w:rsidP="00043183" w14:paraId="3BF415ED" w14:textId="0929B403">
      <w:pPr>
        <w:pStyle w:val="Heading2"/>
        <w:rPr>
          <w:rFonts w:ascii="Times New Roman" w:hAnsi="Times New Roman" w:cs="Times New Roman"/>
          <w:color w:val="auto"/>
          <w:sz w:val="24"/>
          <w:szCs w:val="24"/>
        </w:rPr>
      </w:pPr>
      <w:bookmarkStart w:id="133" w:name="_Toc125742257"/>
      <w:r w:rsidRPr="00550F57">
        <w:rPr>
          <w:rFonts w:ascii="Times New Roman" w:hAnsi="Times New Roman" w:cs="Times New Roman"/>
          <w:color w:val="auto"/>
          <w:sz w:val="24"/>
          <w:szCs w:val="24"/>
        </w:rPr>
        <w:t xml:space="preserve">16.  </w:t>
      </w:r>
      <w:r w:rsidRPr="00550F57">
        <w:rPr>
          <w:rFonts w:ascii="Times New Roman" w:hAnsi="Times New Roman" w:cs="Times New Roman"/>
          <w:color w:val="auto"/>
          <w:sz w:val="24"/>
          <w:szCs w:val="24"/>
          <w:u w:val="single"/>
        </w:rPr>
        <w:t>Publication and Tabulation Dates</w:t>
      </w:r>
      <w:bookmarkEnd w:id="133"/>
    </w:p>
    <w:p w:rsidR="0030455F" w:rsidRPr="00550F57" w:rsidP="00EB2050" w14:paraId="01DB925E" w14:textId="77777777"/>
    <w:p w:rsidR="00A5470F" w:rsidRPr="00550F57" w:rsidP="00EB2050" w14:paraId="1DF9F1C0" w14:textId="48FF3686">
      <w:r w:rsidRPr="00550F57">
        <w:t>Not applicable.</w:t>
      </w:r>
    </w:p>
    <w:p w:rsidR="00F37FDE" w:rsidRPr="00550F57" w:rsidP="00EB2050" w14:paraId="7FB23C54" w14:textId="132F8F1D"/>
    <w:p w:rsidR="00EB6DAB" w:rsidRPr="00550F57" w:rsidP="00043183" w14:paraId="3CAB8222" w14:textId="1AAC1B69">
      <w:pPr>
        <w:pStyle w:val="Heading2"/>
        <w:rPr>
          <w:rFonts w:ascii="Times New Roman" w:hAnsi="Times New Roman" w:cs="Times New Roman"/>
          <w:color w:val="auto"/>
          <w:sz w:val="24"/>
          <w:szCs w:val="24"/>
        </w:rPr>
      </w:pPr>
      <w:bookmarkStart w:id="134" w:name="_Toc125742258"/>
      <w:r w:rsidRPr="00550F57">
        <w:rPr>
          <w:rFonts w:ascii="Times New Roman" w:hAnsi="Times New Roman" w:cs="Times New Roman"/>
          <w:color w:val="auto"/>
          <w:sz w:val="24"/>
          <w:szCs w:val="24"/>
        </w:rPr>
        <w:t xml:space="preserve">17.  </w:t>
      </w:r>
      <w:r w:rsidRPr="00550F57" w:rsidR="00232D22">
        <w:rPr>
          <w:rFonts w:ascii="Times New Roman" w:hAnsi="Times New Roman" w:cs="Times New Roman"/>
          <w:color w:val="auto"/>
          <w:sz w:val="24"/>
          <w:szCs w:val="24"/>
          <w:u w:val="single"/>
        </w:rPr>
        <w:t>Expiration Date</w:t>
      </w:r>
      <w:bookmarkEnd w:id="134"/>
      <w:r w:rsidRPr="00550F57" w:rsidR="0098164F">
        <w:rPr>
          <w:rFonts w:ascii="Times New Roman" w:hAnsi="Times New Roman" w:cs="Times New Roman"/>
          <w:color w:val="auto"/>
          <w:sz w:val="24"/>
          <w:szCs w:val="24"/>
        </w:rPr>
        <w:t xml:space="preserve"> </w:t>
      </w:r>
    </w:p>
    <w:p w:rsidR="00EB6DAB" w:rsidRPr="00550F57" w:rsidP="00EB2050" w14:paraId="5395C4D6" w14:textId="77777777"/>
    <w:p w:rsidR="004D27CC" w:rsidP="004D27CC" w14:paraId="54185744" w14:textId="6F18CBC7">
      <w:r w:rsidRPr="00550F57">
        <w:t xml:space="preserve">The PRA Disclosure statement can be found </w:t>
      </w:r>
      <w:r w:rsidR="0065491B">
        <w:t xml:space="preserve">in the Downloads section </w:t>
      </w:r>
      <w:r w:rsidR="003B258D">
        <w:t xml:space="preserve">on the CMS Minimum Data Set (MDS) 3.0 Resident Assessment Instrument (RAI) Manual webpage </w:t>
      </w:r>
      <w:r w:rsidRPr="00550F57">
        <w:t xml:space="preserve">at: </w:t>
      </w:r>
      <w:r w:rsidRPr="003B258D" w:rsidR="003B258D">
        <w:t xml:space="preserve"> </w:t>
      </w:r>
      <w:hyperlink r:id="rId10" w:history="1">
        <w:r w:rsidRPr="002D74A1" w:rsidR="003B258D">
          <w:rPr>
            <w:rStyle w:val="Hyperlink"/>
          </w:rPr>
          <w:t>https://www.cms.gov/Medicare/Quality-Initiatives-Patient-Assessment-Instruments/NursingHomeQualityInits/MDS30RAIManual</w:t>
        </w:r>
      </w:hyperlink>
      <w:r w:rsidR="003B258D">
        <w:t xml:space="preserve"> </w:t>
      </w:r>
      <w:r w:rsidR="0062398B">
        <w:t xml:space="preserve"> </w:t>
      </w:r>
    </w:p>
    <w:p w:rsidR="0062398B" w:rsidRPr="00550F57" w:rsidP="004D27CC" w14:paraId="399747D8" w14:textId="4FE90110"/>
    <w:p w:rsidR="00685B79" w:rsidRPr="00550F57" w14:paraId="0D8C3C12" w14:textId="77777777">
      <w:pPr>
        <w:rPr>
          <w:rFonts w:ascii="Arial" w:hAnsi="Arial" w:cs="Arial"/>
          <w:sz w:val="22"/>
        </w:rPr>
      </w:pPr>
    </w:p>
    <w:p w:rsidR="00A5470F" w:rsidRPr="00550F57" w:rsidP="00043183" w14:paraId="057D70BB" w14:textId="4B5DEC21">
      <w:pPr>
        <w:pStyle w:val="Heading2"/>
        <w:rPr>
          <w:rFonts w:ascii="Times New Roman" w:hAnsi="Times New Roman" w:cs="Times New Roman"/>
          <w:color w:val="auto"/>
          <w:sz w:val="24"/>
          <w:szCs w:val="24"/>
        </w:rPr>
      </w:pPr>
      <w:bookmarkStart w:id="135" w:name="_Toc125742259"/>
      <w:r w:rsidRPr="00550F57">
        <w:rPr>
          <w:rFonts w:ascii="Times New Roman" w:hAnsi="Times New Roman" w:cs="Times New Roman"/>
          <w:color w:val="auto"/>
          <w:sz w:val="24"/>
          <w:szCs w:val="24"/>
        </w:rPr>
        <w:t xml:space="preserve">18.  </w:t>
      </w:r>
      <w:r w:rsidRPr="00550F57">
        <w:rPr>
          <w:rFonts w:ascii="Times New Roman" w:hAnsi="Times New Roman" w:cs="Times New Roman"/>
          <w:color w:val="auto"/>
          <w:sz w:val="24"/>
          <w:szCs w:val="24"/>
          <w:u w:val="single"/>
        </w:rPr>
        <w:t>Certification Statement</w:t>
      </w:r>
      <w:bookmarkEnd w:id="135"/>
    </w:p>
    <w:p w:rsidR="004B4443" w:rsidRPr="00550F57" w:rsidP="00EB2050" w14:paraId="0EE16355" w14:textId="77777777"/>
    <w:p w:rsidR="00232D22" w:rsidRPr="00550F57" w:rsidP="00EB2050" w14:paraId="385A5C99" w14:textId="613D7C96">
      <w:r w:rsidRPr="00550F57">
        <w:t>There are no exceptions.</w:t>
      </w:r>
    </w:p>
    <w:p w:rsidR="00232D22" w:rsidRPr="00550F57" w:rsidP="00EB2050" w14:paraId="7D9F28ED" w14:textId="2BD10C6C"/>
    <w:p w:rsidR="00232D22" w:rsidRPr="005E3DEF" w:rsidP="005E3DEF" w14:paraId="5DF21A03" w14:textId="699D32FF">
      <w:pPr>
        <w:pStyle w:val="Heading1"/>
        <w:rPr>
          <w:u w:val="none"/>
        </w:rPr>
      </w:pPr>
      <w:bookmarkStart w:id="136" w:name="_Toc125742260"/>
      <w:r>
        <w:rPr>
          <w:u w:val="none"/>
        </w:rPr>
        <w:t>C</w:t>
      </w:r>
      <w:r w:rsidRPr="00550F57">
        <w:rPr>
          <w:u w:val="none"/>
        </w:rPr>
        <w:t>.</w:t>
      </w:r>
      <w:r w:rsidRPr="00550F57">
        <w:rPr>
          <w:u w:val="none"/>
        </w:rPr>
        <w:tab/>
      </w:r>
      <w:r w:rsidRPr="00550F57">
        <w:t>Collection of Information Employing Statistical Methods</w:t>
      </w:r>
      <w:bookmarkEnd w:id="136"/>
    </w:p>
    <w:p w:rsidR="00407236" w:rsidRPr="00550F57" w:rsidP="00EB2050" w14:paraId="4B96F8DA" w14:textId="746661C7"/>
    <w:p w:rsidR="00E47B45" w:rsidRPr="00550F57" w:rsidP="00EB2050" w14:paraId="1B0D5E9D" w14:textId="3B1B5298">
      <w:r w:rsidRPr="00550F57">
        <w:t>In collecting the data for payment</w:t>
      </w:r>
      <w:r w:rsidRPr="00550F57" w:rsidR="009E2F0A">
        <w:t xml:space="preserve"> and quality</w:t>
      </w:r>
      <w:r w:rsidRPr="00550F57">
        <w:t xml:space="preserve"> purposes, we do not employ any statistical </w:t>
      </w:r>
      <w:r w:rsidRPr="00550F57" w:rsidR="009E2F0A">
        <w:t xml:space="preserve">sampling </w:t>
      </w:r>
      <w:r w:rsidRPr="00550F57">
        <w:t>methods</w:t>
      </w:r>
      <w:r w:rsidRPr="00550F57" w:rsidR="009E2F0A">
        <w:t xml:space="preserve">.  </w:t>
      </w:r>
    </w:p>
    <w:p w:rsidR="004616B7" w:rsidRPr="00550F57" w:rsidP="00EB2050" w14:paraId="3D14C9FE" w14:textId="16906F11"/>
    <w:p w:rsidR="004616B7" w:rsidRPr="00550F57" w14:paraId="3E019978" w14:textId="77777777">
      <w:r w:rsidRPr="00550F57">
        <w:br w:type="page"/>
      </w:r>
    </w:p>
    <w:p w:rsidR="004616B7" w:rsidRPr="00AC4009" w:rsidP="00AC4009" w14:paraId="0DE7B693" w14:textId="1ACAFF4E">
      <w:pPr>
        <w:pStyle w:val="AppHeading1"/>
        <w:rPr>
          <w:color w:val="000000" w:themeColor="text1"/>
        </w:rPr>
      </w:pPr>
      <w:bookmarkStart w:id="137" w:name="_Toc513035647"/>
      <w:bookmarkStart w:id="138" w:name="_Toc298168200"/>
      <w:bookmarkStart w:id="139" w:name="_Toc87269651"/>
      <w:bookmarkStart w:id="140" w:name="_Toc125742261"/>
      <w:r w:rsidRPr="00550F57">
        <w:rPr>
          <w:color w:val="000000" w:themeColor="text1"/>
        </w:rPr>
        <w:t>APPENDIX A</w:t>
      </w:r>
      <w:bookmarkEnd w:id="137"/>
      <w:r w:rsidRPr="00550F57">
        <w:rPr>
          <w:color w:val="000000" w:themeColor="text1"/>
        </w:rPr>
        <w:t>:</w:t>
      </w:r>
      <w:r w:rsidRPr="00550F57">
        <w:rPr>
          <w:color w:val="000000" w:themeColor="text1"/>
        </w:rPr>
        <w:br/>
      </w:r>
      <w:bookmarkEnd w:id="138"/>
      <w:bookmarkEnd w:id="139"/>
      <w:r w:rsidRPr="00550F57">
        <w:rPr>
          <w:color w:val="000000" w:themeColor="text1"/>
        </w:rPr>
        <w:t>MDS</w:t>
      </w:r>
      <w:r w:rsidR="000D4312">
        <w:rPr>
          <w:color w:val="000000" w:themeColor="text1"/>
        </w:rPr>
        <w:t xml:space="preserve"> </w:t>
      </w:r>
      <w:r w:rsidRPr="00550F57">
        <w:rPr>
          <w:color w:val="000000" w:themeColor="text1"/>
        </w:rPr>
        <w:t>3.0 Item Set v1.1</w:t>
      </w:r>
      <w:r w:rsidR="00B435DC">
        <w:rPr>
          <w:color w:val="000000" w:themeColor="text1"/>
        </w:rPr>
        <w:t>8.11</w:t>
      </w:r>
      <w:r w:rsidRPr="00550F57">
        <w:rPr>
          <w:color w:val="000000" w:themeColor="text1"/>
        </w:rPr>
        <w:t xml:space="preserve"> Associated Change Table</w:t>
      </w:r>
      <w:bookmarkEnd w:id="140"/>
      <w:r w:rsidRPr="00550F57">
        <w:rPr>
          <w:color w:val="000000" w:themeColor="text1"/>
        </w:rPr>
        <w:t xml:space="preserve"> </w:t>
      </w:r>
    </w:p>
    <w:p w:rsidR="004616B7" w:rsidRPr="00F615F2" w:rsidP="004616B7" w14:paraId="0D53DE20" w14:textId="3CBEEB37">
      <w:pPr>
        <w:spacing w:line="276" w:lineRule="auto"/>
        <w:rPr>
          <w:color w:val="000000" w:themeColor="text1"/>
          <w:szCs w:val="22"/>
        </w:rPr>
      </w:pPr>
      <w:r w:rsidRPr="00F615F2">
        <w:rPr>
          <w:color w:val="000000" w:themeColor="text1"/>
          <w:szCs w:val="22"/>
        </w:rPr>
        <w:t xml:space="preserve">See attached </w:t>
      </w:r>
      <w:r w:rsidRPr="00F615F2" w:rsidR="00947A99">
        <w:rPr>
          <w:color w:val="000000" w:themeColor="text1"/>
          <w:szCs w:val="22"/>
        </w:rPr>
        <w:t>MDS</w:t>
      </w:r>
      <w:r w:rsidR="000B4C12">
        <w:rPr>
          <w:color w:val="000000" w:themeColor="text1"/>
          <w:szCs w:val="22"/>
        </w:rPr>
        <w:t xml:space="preserve"> </w:t>
      </w:r>
      <w:r w:rsidRPr="00F615F2" w:rsidR="00947A99">
        <w:rPr>
          <w:color w:val="000000" w:themeColor="text1"/>
          <w:szCs w:val="22"/>
        </w:rPr>
        <w:t>3.0_Item</w:t>
      </w:r>
      <w:r w:rsidR="007E2F70">
        <w:rPr>
          <w:color w:val="000000" w:themeColor="text1"/>
          <w:szCs w:val="22"/>
        </w:rPr>
        <w:t xml:space="preserve"> Set Change History</w:t>
      </w:r>
      <w:r w:rsidRPr="00F615F2" w:rsidR="00947A99">
        <w:rPr>
          <w:color w:val="000000" w:themeColor="text1"/>
          <w:szCs w:val="22"/>
        </w:rPr>
        <w:t>_v1.1</w:t>
      </w:r>
      <w:r w:rsidR="00B435DC">
        <w:rPr>
          <w:color w:val="000000" w:themeColor="text1"/>
          <w:szCs w:val="22"/>
        </w:rPr>
        <w:t>8.11</w:t>
      </w:r>
      <w:r w:rsidR="007E2F70">
        <w:rPr>
          <w:color w:val="000000" w:themeColor="text1"/>
          <w:szCs w:val="22"/>
        </w:rPr>
        <w:t xml:space="preserve"> October 2023</w:t>
      </w:r>
      <w:r w:rsidRPr="00F615F2" w:rsidR="00947A99">
        <w:rPr>
          <w:color w:val="000000" w:themeColor="text1"/>
          <w:szCs w:val="22"/>
        </w:rPr>
        <w:t xml:space="preserve">.pdf, </w:t>
      </w:r>
      <w:r w:rsidRPr="00F615F2" w:rsidR="00216F5C">
        <w:rPr>
          <w:color w:val="000000" w:themeColor="text1"/>
          <w:szCs w:val="22"/>
        </w:rPr>
        <w:t>titled</w:t>
      </w:r>
      <w:r w:rsidRPr="00F615F2">
        <w:rPr>
          <w:color w:val="000000" w:themeColor="text1"/>
          <w:szCs w:val="22"/>
        </w:rPr>
        <w:t xml:space="preserve"> </w:t>
      </w:r>
      <w:r w:rsidRPr="00F615F2" w:rsidR="00216F5C">
        <w:rPr>
          <w:i/>
          <w:color w:val="000000" w:themeColor="text1"/>
          <w:szCs w:val="22"/>
        </w:rPr>
        <w:t>MDS 3.0 Item Set Change History for October 202</w:t>
      </w:r>
      <w:r w:rsidR="00B435DC">
        <w:rPr>
          <w:i/>
          <w:color w:val="000000" w:themeColor="text1"/>
          <w:szCs w:val="22"/>
        </w:rPr>
        <w:t>3</w:t>
      </w:r>
      <w:r w:rsidRPr="00F615F2" w:rsidR="00216F5C">
        <w:rPr>
          <w:i/>
          <w:color w:val="000000" w:themeColor="text1"/>
          <w:szCs w:val="22"/>
        </w:rPr>
        <w:t xml:space="preserve"> Version 1.1</w:t>
      </w:r>
      <w:r w:rsidR="00B435DC">
        <w:rPr>
          <w:i/>
          <w:color w:val="000000" w:themeColor="text1"/>
          <w:szCs w:val="22"/>
        </w:rPr>
        <w:t>8.11</w:t>
      </w:r>
      <w:r w:rsidRPr="00F615F2" w:rsidR="00216F5C">
        <w:rPr>
          <w:color w:val="000000" w:themeColor="text1"/>
          <w:szCs w:val="22"/>
        </w:rPr>
        <w:t>.</w:t>
      </w:r>
    </w:p>
    <w:p w:rsidR="00FD18D9" w:rsidP="00EB2050" w14:paraId="679D3F40" w14:textId="6BE6427E"/>
    <w:p w:rsidR="00D974E5" w:rsidRPr="00AC4009" w:rsidP="00D974E5" w14:paraId="22891BFC" w14:textId="0A5E5366">
      <w:pPr>
        <w:pStyle w:val="AppHeading1"/>
        <w:rPr>
          <w:color w:val="000000" w:themeColor="text1"/>
        </w:rPr>
      </w:pPr>
      <w:bookmarkStart w:id="141" w:name="_Toc125742262"/>
      <w:r w:rsidRPr="00550F57">
        <w:rPr>
          <w:color w:val="000000" w:themeColor="text1"/>
        </w:rPr>
        <w:t xml:space="preserve">APPENDIX </w:t>
      </w:r>
      <w:r>
        <w:rPr>
          <w:color w:val="000000" w:themeColor="text1"/>
        </w:rPr>
        <w:t>B</w:t>
      </w:r>
      <w:r w:rsidRPr="00550F57">
        <w:rPr>
          <w:color w:val="000000" w:themeColor="text1"/>
        </w:rPr>
        <w:t>:</w:t>
      </w:r>
      <w:r w:rsidRPr="00550F57">
        <w:rPr>
          <w:color w:val="000000" w:themeColor="text1"/>
        </w:rPr>
        <w:br/>
      </w:r>
      <w:r>
        <w:rPr>
          <w:color w:val="000000" w:themeColor="text1"/>
        </w:rPr>
        <w:t>Glossary</w:t>
      </w:r>
      <w:bookmarkEnd w:id="141"/>
    </w:p>
    <w:p w:rsidR="008A766C" w:rsidP="005D1F1A" w14:paraId="79BF7FA1" w14:textId="77777777">
      <w:pPr>
        <w:ind w:right="-630"/>
        <w:rPr>
          <w:b/>
        </w:rPr>
      </w:pPr>
      <w:r>
        <w:rPr>
          <w:b/>
        </w:rPr>
        <w:t xml:space="preserve">ASAP:  </w:t>
      </w:r>
      <w:r w:rsidRPr="000A2AB3">
        <w:t>Assessment Submission and Processing</w:t>
      </w:r>
    </w:p>
    <w:p w:rsidR="008A766C" w14:paraId="42902E69" w14:textId="77777777">
      <w:pPr>
        <w:rPr>
          <w:b/>
        </w:rPr>
      </w:pPr>
      <w:r>
        <w:rPr>
          <w:b/>
        </w:rPr>
        <w:t xml:space="preserve">CDC:  </w:t>
      </w:r>
      <w:r w:rsidRPr="009E5CA9">
        <w:t>Centers for Disease Control &amp; Prevention</w:t>
      </w:r>
    </w:p>
    <w:p w:rsidR="008A766C" w:rsidRPr="000A2AB3" w14:paraId="305153C7" w14:textId="77777777">
      <w:r>
        <w:rPr>
          <w:b/>
        </w:rPr>
        <w:t>CMS:</w:t>
      </w:r>
      <w:r>
        <w:t xml:space="preserve">  Centers for Medicare &amp; Medicaid Services </w:t>
      </w:r>
    </w:p>
    <w:p w:rsidR="008A766C" w14:paraId="3B07C6C5" w14:textId="77777777">
      <w:pPr>
        <w:rPr>
          <w:b/>
        </w:rPr>
      </w:pPr>
      <w:r>
        <w:rPr>
          <w:b/>
        </w:rPr>
        <w:t xml:space="preserve">DCPAC:  </w:t>
      </w:r>
      <w:r w:rsidRPr="00550F57">
        <w:rPr>
          <w:szCs w:val="24"/>
        </w:rPr>
        <w:t>Division of Post-Acute and Chronic Care</w:t>
      </w:r>
    </w:p>
    <w:p w:rsidR="008A766C" w14:paraId="3461465D" w14:textId="77777777">
      <w:pPr>
        <w:rPr>
          <w:b/>
        </w:rPr>
      </w:pPr>
      <w:r>
        <w:rPr>
          <w:b/>
        </w:rPr>
        <w:t xml:space="preserve">DHHS: </w:t>
      </w:r>
      <w:r w:rsidRPr="00550F57">
        <w:rPr>
          <w:szCs w:val="24"/>
        </w:rPr>
        <w:t>Department of Health &amp; Human Services</w:t>
      </w:r>
    </w:p>
    <w:p w:rsidR="008A766C" w:rsidRPr="00A97475" w14:paraId="12D52C9D" w14:textId="77777777">
      <w:r>
        <w:rPr>
          <w:b/>
        </w:rPr>
        <w:t xml:space="preserve">FY: </w:t>
      </w:r>
      <w:r>
        <w:t>Fiscal Year</w:t>
      </w:r>
    </w:p>
    <w:p w:rsidR="008A766C" w14:paraId="171D39D0" w14:textId="77777777">
      <w:r>
        <w:rPr>
          <w:b/>
        </w:rPr>
        <w:t>IOM:</w:t>
      </w:r>
      <w:r>
        <w:t xml:space="preserve">  Institute of Medicine </w:t>
      </w:r>
    </w:p>
    <w:p w:rsidR="008A766C" w:rsidRPr="00A97475" w:rsidP="008A766C" w14:paraId="573F8B92" w14:textId="77777777">
      <w:r>
        <w:rPr>
          <w:b/>
        </w:rPr>
        <w:t>IPA item set:</w:t>
      </w:r>
      <w:r>
        <w:t xml:space="preserve">  Interim Payment Assessment item set</w:t>
      </w:r>
    </w:p>
    <w:p w:rsidR="008A766C" w:rsidRPr="000A2AB3" w:rsidP="008A766C" w14:paraId="3BDA43EB" w14:textId="77777777">
      <w:r>
        <w:rPr>
          <w:b/>
        </w:rPr>
        <w:t>iQIES</w:t>
      </w:r>
      <w:r>
        <w:rPr>
          <w:b/>
        </w:rPr>
        <w:t xml:space="preserve">:  </w:t>
      </w:r>
      <w:r>
        <w:t>Internet Quality Improvement and Evaluation System</w:t>
      </w:r>
    </w:p>
    <w:p w:rsidR="008A766C" w:rsidRPr="000A2AB3" w:rsidP="008A766C" w14:paraId="3F6C6D15" w14:textId="77777777">
      <w:r>
        <w:rPr>
          <w:b/>
        </w:rPr>
        <w:t>IT:</w:t>
      </w:r>
      <w:r>
        <w:t xml:space="preserve">  Information Technology</w:t>
      </w:r>
    </w:p>
    <w:p w:rsidR="008A766C" w:rsidP="008A766C" w14:paraId="3DA188E2" w14:textId="77777777">
      <w:pPr>
        <w:rPr>
          <w:b/>
        </w:rPr>
      </w:pPr>
      <w:r>
        <w:rPr>
          <w:b/>
        </w:rPr>
        <w:t>jRAVEN</w:t>
      </w:r>
      <w:r>
        <w:rPr>
          <w:b/>
        </w:rPr>
        <w:t xml:space="preserve">:  </w:t>
      </w:r>
      <w:r w:rsidRPr="00550F57">
        <w:rPr>
          <w:szCs w:val="24"/>
        </w:rPr>
        <w:t>Resident Assessment Validation and Entry System</w:t>
      </w:r>
    </w:p>
    <w:p w:rsidR="008A766C" w:rsidRPr="000A2AB3" w:rsidP="008A766C" w14:paraId="790D202A" w14:textId="77777777">
      <w:r>
        <w:rPr>
          <w:b/>
        </w:rPr>
        <w:t>LTC:</w:t>
      </w:r>
      <w:r>
        <w:t xml:space="preserve">  Long-Term Care</w:t>
      </w:r>
    </w:p>
    <w:p w:rsidR="008A766C" w:rsidP="008A766C" w14:paraId="0797D1D7" w14:textId="77777777">
      <w:r>
        <w:rPr>
          <w:b/>
        </w:rPr>
        <w:t xml:space="preserve">MDS:  </w:t>
      </w:r>
      <w:r>
        <w:t>Minimum Data Set</w:t>
      </w:r>
    </w:p>
    <w:p w:rsidR="008A766C" w:rsidRPr="00A97475" w:rsidP="008A766C" w14:paraId="6659CBD7" w14:textId="77777777">
      <w:r>
        <w:rPr>
          <w:b/>
        </w:rPr>
        <w:t xml:space="preserve">NC item set:  </w:t>
      </w:r>
      <w:r>
        <w:t>Nursing Home Comprehensive assessment item set</w:t>
      </w:r>
    </w:p>
    <w:p w:rsidR="008A766C" w:rsidP="008A766C" w14:paraId="1DEDF3CA" w14:textId="77777777">
      <w:pPr>
        <w:rPr>
          <w:b/>
        </w:rPr>
      </w:pPr>
      <w:r>
        <w:rPr>
          <w:b/>
        </w:rPr>
        <w:t xml:space="preserve">ND item set:  </w:t>
      </w:r>
      <w:r w:rsidRPr="00A97475">
        <w:t xml:space="preserve">Nursing Home PPS Discharge </w:t>
      </w:r>
      <w:r>
        <w:t>i</w:t>
      </w:r>
      <w:r w:rsidRPr="00A97475">
        <w:t>tem Set</w:t>
      </w:r>
    </w:p>
    <w:p w:rsidR="008A766C" w:rsidP="008A766C" w14:paraId="4CAE4973" w14:textId="77777777">
      <w:r>
        <w:rPr>
          <w:b/>
        </w:rPr>
        <w:t>NH:</w:t>
      </w:r>
      <w:r>
        <w:t xml:space="preserve">  Nursing Home</w:t>
      </w:r>
    </w:p>
    <w:p w:rsidR="008A766C" w:rsidRPr="009E5CA9" w:rsidP="008A766C" w14:paraId="55449C0A" w14:textId="77777777">
      <w:r>
        <w:rPr>
          <w:b/>
        </w:rPr>
        <w:t xml:space="preserve">NHSN:  </w:t>
      </w:r>
      <w:r>
        <w:t>National Healthcare Safety Network</w:t>
      </w:r>
    </w:p>
    <w:p w:rsidR="008A766C" w:rsidP="008A766C" w14:paraId="44230E9D" w14:textId="77777777">
      <w:pPr>
        <w:rPr>
          <w:b/>
        </w:rPr>
      </w:pPr>
      <w:r>
        <w:rPr>
          <w:b/>
        </w:rPr>
        <w:t xml:space="preserve">NO item set:  </w:t>
      </w:r>
      <w:r w:rsidRPr="00A97475">
        <w:t>Nursing Home OMRA item set</w:t>
      </w:r>
    </w:p>
    <w:p w:rsidR="008A766C" w:rsidP="005D1F1A" w14:paraId="0FF474DB" w14:textId="77777777">
      <w:pPr>
        <w:ind w:right="-630"/>
        <w:rPr>
          <w:b/>
        </w:rPr>
      </w:pPr>
      <w:r>
        <w:rPr>
          <w:b/>
        </w:rPr>
        <w:t xml:space="preserve">NOD item set:  </w:t>
      </w:r>
      <w:r w:rsidRPr="00A97475">
        <w:t>Nursing Home</w:t>
      </w:r>
      <w:r>
        <w:t xml:space="preserve"> End of Therapy</w:t>
      </w:r>
      <w:r w:rsidRPr="00A97475">
        <w:t xml:space="preserve"> OMRA </w:t>
      </w:r>
      <w:r>
        <w:t xml:space="preserve">combined with Discharge assessment </w:t>
      </w:r>
      <w:r w:rsidRPr="00A97475">
        <w:t>item set</w:t>
      </w:r>
    </w:p>
    <w:p w:rsidR="008A766C" w:rsidRPr="00A97475" w:rsidP="008A766C" w14:paraId="3033A48A" w14:textId="77777777">
      <w:r>
        <w:rPr>
          <w:b/>
        </w:rPr>
        <w:t>NP item set:</w:t>
      </w:r>
      <w:r>
        <w:t xml:space="preserve">  Nursing Home PPS 5-day item set</w:t>
      </w:r>
    </w:p>
    <w:p w:rsidR="008A766C" w:rsidRPr="00A97475" w:rsidP="008A766C" w14:paraId="483C17B3" w14:textId="77777777">
      <w:r>
        <w:rPr>
          <w:b/>
        </w:rPr>
        <w:t xml:space="preserve">NPE item set:  </w:t>
      </w:r>
      <w:r>
        <w:t>Nursing Home PPS Discharge item set</w:t>
      </w:r>
    </w:p>
    <w:p w:rsidR="008A766C" w:rsidRPr="00A97475" w:rsidP="008A766C" w14:paraId="44661880" w14:textId="77777777">
      <w:r>
        <w:rPr>
          <w:b/>
        </w:rPr>
        <w:t>NQ item set:</w:t>
      </w:r>
      <w:r>
        <w:t xml:space="preserve">  Nursing Home Quarterly item set</w:t>
      </w:r>
    </w:p>
    <w:p w:rsidR="008A766C" w:rsidP="008A766C" w14:paraId="1BC6C49D" w14:textId="77777777">
      <w:r>
        <w:rPr>
          <w:b/>
        </w:rPr>
        <w:t>NQF:</w:t>
      </w:r>
      <w:r>
        <w:t xml:space="preserve">  National Quality Forum</w:t>
      </w:r>
    </w:p>
    <w:p w:rsidR="008A766C" w:rsidRPr="00A97475" w:rsidP="008A766C" w14:paraId="337173E8" w14:textId="77777777">
      <w:r>
        <w:rPr>
          <w:b/>
        </w:rPr>
        <w:t xml:space="preserve">NS item set:  </w:t>
      </w:r>
      <w:r>
        <w:t>Nursing Home Start of Therapy OMRA item set</w:t>
      </w:r>
    </w:p>
    <w:p w:rsidR="008A766C" w:rsidRPr="00A97475" w:rsidP="005D1F1A" w14:paraId="22785FF4" w14:textId="77777777">
      <w:pPr>
        <w:ind w:right="-630"/>
        <w:rPr>
          <w:b/>
        </w:rPr>
      </w:pPr>
      <w:r w:rsidRPr="00A97475">
        <w:rPr>
          <w:b/>
        </w:rPr>
        <w:t>NSD</w:t>
      </w:r>
      <w:r>
        <w:rPr>
          <w:b/>
        </w:rPr>
        <w:t xml:space="preserve"> item set</w:t>
      </w:r>
      <w:r w:rsidRPr="00A97475">
        <w:rPr>
          <w:b/>
        </w:rPr>
        <w:t xml:space="preserve">:  </w:t>
      </w:r>
      <w:r>
        <w:t>Nursing Home Start of Therapy OMRA combined with Discharge assessment item set</w:t>
      </w:r>
    </w:p>
    <w:p w:rsidR="008A766C" w:rsidRPr="00A97475" w:rsidP="008A766C" w14:paraId="7F05D0DB" w14:textId="77777777">
      <w:r w:rsidRPr="00A97475">
        <w:rPr>
          <w:b/>
        </w:rPr>
        <w:t>N</w:t>
      </w:r>
      <w:r>
        <w:rPr>
          <w:b/>
        </w:rPr>
        <w:t>T item set</w:t>
      </w:r>
      <w:r w:rsidRPr="00A97475">
        <w:rPr>
          <w:b/>
        </w:rPr>
        <w:t xml:space="preserve">:  </w:t>
      </w:r>
      <w:r>
        <w:t>Nursing Home Tracking item set</w:t>
      </w:r>
    </w:p>
    <w:p w:rsidR="008A766C" w:rsidP="008A766C" w14:paraId="1D2A4AC3" w14:textId="77777777">
      <w:r>
        <w:rPr>
          <w:b/>
        </w:rPr>
        <w:t xml:space="preserve">OBRA:  </w:t>
      </w:r>
      <w:r>
        <w:t>Omnibus Reconciliation Act of 1987</w:t>
      </w:r>
    </w:p>
    <w:p w:rsidR="008A766C" w:rsidRPr="000A2AB3" w:rsidP="008A766C" w14:paraId="7A82CF36" w14:textId="77777777">
      <w:r>
        <w:rPr>
          <w:b/>
        </w:rPr>
        <w:t>OMB:</w:t>
      </w:r>
      <w:r>
        <w:t xml:space="preserve">  Office of Management and Budget</w:t>
      </w:r>
    </w:p>
    <w:p w:rsidR="008A766C" w:rsidRPr="00A97475" w:rsidP="008A766C" w14:paraId="0754498D" w14:textId="77777777">
      <w:r>
        <w:rPr>
          <w:b/>
        </w:rPr>
        <w:t xml:space="preserve">OMRA:  </w:t>
      </w:r>
      <w:r>
        <w:t>Other Medicare Required Assessment</w:t>
      </w:r>
    </w:p>
    <w:p w:rsidR="008A766C" w:rsidP="008A766C" w14:paraId="47964E4F" w14:textId="77777777">
      <w:pPr>
        <w:rPr>
          <w:b/>
        </w:rPr>
      </w:pPr>
      <w:r>
        <w:rPr>
          <w:b/>
        </w:rPr>
        <w:t xml:space="preserve">OSCAR:  </w:t>
      </w:r>
      <w:r w:rsidRPr="00550F57">
        <w:rPr>
          <w:szCs w:val="24"/>
        </w:rPr>
        <w:t>On-Line Survey and Certification System</w:t>
      </w:r>
    </w:p>
    <w:p w:rsidR="008A766C" w:rsidP="008A766C" w14:paraId="6C470D5B" w14:textId="77777777">
      <w:r>
        <w:rPr>
          <w:b/>
        </w:rPr>
        <w:t xml:space="preserve">PDPM:  </w:t>
      </w:r>
      <w:r>
        <w:t>Patient Driven Payment Model</w:t>
      </w:r>
    </w:p>
    <w:p w:rsidR="008A766C" w:rsidRPr="00A97475" w:rsidP="008A766C" w14:paraId="7CD84208" w14:textId="77777777">
      <w:r>
        <w:rPr>
          <w:b/>
        </w:rPr>
        <w:t xml:space="preserve">PHE:  </w:t>
      </w:r>
      <w:r>
        <w:t>Public Health Emergency</w:t>
      </w:r>
    </w:p>
    <w:p w:rsidR="008A766C" w:rsidP="008A766C" w14:paraId="0F6A355B" w14:textId="77777777">
      <w:r>
        <w:rPr>
          <w:b/>
        </w:rPr>
        <w:t>PPS:</w:t>
      </w:r>
      <w:r>
        <w:t xml:space="preserve">  Prospective Payment System</w:t>
      </w:r>
    </w:p>
    <w:p w:rsidR="008A766C" w:rsidRPr="00A97475" w:rsidP="008A766C" w14:paraId="788D8EB1" w14:textId="77777777">
      <w:r>
        <w:rPr>
          <w:b/>
        </w:rPr>
        <w:t>PRA:</w:t>
      </w:r>
      <w:r>
        <w:t xml:space="preserve">  Paperwork Reduction Act</w:t>
      </w:r>
    </w:p>
    <w:p w:rsidR="008A766C" w:rsidRPr="000A2AB3" w:rsidP="008A766C" w14:paraId="69A803B3" w14:textId="77777777">
      <w:r>
        <w:rPr>
          <w:b/>
        </w:rPr>
        <w:t xml:space="preserve">QIES:  </w:t>
      </w:r>
      <w:r>
        <w:t>Quality Improvement and Evaluation System</w:t>
      </w:r>
    </w:p>
    <w:p w:rsidR="008A766C" w:rsidP="008A766C" w14:paraId="6DA2DD57" w14:textId="77777777">
      <w:r>
        <w:rPr>
          <w:b/>
        </w:rPr>
        <w:t>QRP:</w:t>
      </w:r>
      <w:r>
        <w:t xml:space="preserve">  Quality Reporting Program</w:t>
      </w:r>
    </w:p>
    <w:p w:rsidR="008A766C" w:rsidRPr="000A2AB3" w:rsidP="008A766C" w14:paraId="1C12415A" w14:textId="77777777">
      <w:r>
        <w:rPr>
          <w:b/>
        </w:rPr>
        <w:t>RAI:</w:t>
      </w:r>
      <w:r>
        <w:t xml:space="preserve">  Resident Assessment Instrument</w:t>
      </w:r>
    </w:p>
    <w:p w:rsidR="008A766C" w:rsidRPr="00A97475" w:rsidP="008A766C" w14:paraId="0361DF28" w14:textId="77777777">
      <w:r>
        <w:rPr>
          <w:b/>
        </w:rPr>
        <w:t>RN:</w:t>
      </w:r>
      <w:r>
        <w:t xml:space="preserve"> Registered Nurse</w:t>
      </w:r>
    </w:p>
    <w:p w:rsidR="008A766C" w:rsidRPr="00A97475" w:rsidP="008A766C" w14:paraId="5CBAC39E" w14:textId="77777777">
      <w:r>
        <w:rPr>
          <w:b/>
        </w:rPr>
        <w:t>SD item set:</w:t>
      </w:r>
      <w:r>
        <w:t xml:space="preserve">  Swing Bed PPS Discharge item set</w:t>
      </w:r>
    </w:p>
    <w:p w:rsidR="008A766C" w:rsidP="008A766C" w14:paraId="03EF662F" w14:textId="77777777">
      <w:r>
        <w:rPr>
          <w:b/>
        </w:rPr>
        <w:t>SNF:</w:t>
      </w:r>
      <w:r>
        <w:t xml:space="preserve">  Skilled Nursing Facility </w:t>
      </w:r>
    </w:p>
    <w:p w:rsidR="008A766C" w:rsidP="008A766C" w14:paraId="122FCE20" w14:textId="77777777">
      <w:r>
        <w:rPr>
          <w:b/>
        </w:rPr>
        <w:t xml:space="preserve">SO item set:  </w:t>
      </w:r>
      <w:r>
        <w:t>Swing Bed</w:t>
      </w:r>
      <w:r w:rsidRPr="00A97475">
        <w:t xml:space="preserve"> OMRA item set</w:t>
      </w:r>
    </w:p>
    <w:p w:rsidR="008A766C" w:rsidRPr="00A97475" w:rsidP="005D1F1A" w14:paraId="4F036C2E" w14:textId="77777777">
      <w:pPr>
        <w:ind w:right="-630"/>
      </w:pPr>
      <w:r w:rsidRPr="00A97475">
        <w:rPr>
          <w:b/>
        </w:rPr>
        <w:t>SOD item set:</w:t>
      </w:r>
      <w:r>
        <w:t xml:space="preserve">  Swing Bed End of Therapy</w:t>
      </w:r>
      <w:r w:rsidRPr="00A97475">
        <w:t xml:space="preserve"> OMRA </w:t>
      </w:r>
      <w:r>
        <w:t xml:space="preserve">combined with Discharge assessment </w:t>
      </w:r>
      <w:r w:rsidRPr="00A97475">
        <w:t>item set</w:t>
      </w:r>
    </w:p>
    <w:p w:rsidR="008A766C" w:rsidRPr="00A97475" w:rsidP="008A766C" w14:paraId="5159F049" w14:textId="77777777">
      <w:r>
        <w:rPr>
          <w:b/>
        </w:rPr>
        <w:t>SP item set:</w:t>
      </w:r>
      <w:r>
        <w:t xml:space="preserve">  Swing Bed PPS 5-day item set</w:t>
      </w:r>
    </w:p>
    <w:p w:rsidR="008A766C" w:rsidP="008A766C" w14:paraId="0263F69E" w14:textId="77777777">
      <w:pPr>
        <w:rPr>
          <w:b/>
        </w:rPr>
      </w:pPr>
      <w:r>
        <w:rPr>
          <w:b/>
        </w:rPr>
        <w:t xml:space="preserve">SS item set:  </w:t>
      </w:r>
      <w:r>
        <w:t>Swing Bed Start of Therapy OMRA item set</w:t>
      </w:r>
    </w:p>
    <w:p w:rsidR="008A766C" w:rsidRPr="00A97475" w:rsidP="005D1F1A" w14:paraId="4FF8B38F" w14:textId="77777777">
      <w:pPr>
        <w:ind w:right="-630"/>
        <w:rPr>
          <w:b/>
        </w:rPr>
      </w:pPr>
      <w:r>
        <w:rPr>
          <w:b/>
        </w:rPr>
        <w:t>S</w:t>
      </w:r>
      <w:r w:rsidRPr="00A97475">
        <w:rPr>
          <w:b/>
        </w:rPr>
        <w:t>SD</w:t>
      </w:r>
      <w:r>
        <w:rPr>
          <w:b/>
        </w:rPr>
        <w:t xml:space="preserve"> item set</w:t>
      </w:r>
      <w:r w:rsidRPr="00A97475">
        <w:rPr>
          <w:b/>
        </w:rPr>
        <w:t xml:space="preserve">:  </w:t>
      </w:r>
      <w:r>
        <w:t>Swing Bed Start of Therapy OMRA combined with Discharge assessment item set</w:t>
      </w:r>
    </w:p>
    <w:p w:rsidR="008A766C" w:rsidP="008A766C" w14:paraId="130D5C95" w14:textId="77777777">
      <w:r>
        <w:rPr>
          <w:b/>
        </w:rPr>
        <w:t>ST item set</w:t>
      </w:r>
      <w:r w:rsidRPr="00A97475">
        <w:rPr>
          <w:b/>
        </w:rPr>
        <w:t xml:space="preserve">:  </w:t>
      </w:r>
      <w:r>
        <w:t>Swing Bed Tracking item set</w:t>
      </w:r>
    </w:p>
    <w:p w:rsidR="008A766C" w:rsidP="008A766C" w14:paraId="02A56C44" w14:textId="77777777">
      <w:r>
        <w:rPr>
          <w:b/>
        </w:rPr>
        <w:t xml:space="preserve">TOH Information:  </w:t>
      </w:r>
      <w:r>
        <w:t>Transfer of Health Information</w:t>
      </w:r>
    </w:p>
    <w:p w:rsidR="00D974E5" w:rsidRPr="003C624B" w:rsidP="00EB2050" w14:paraId="7B91C6EB" w14:textId="20C6374B">
      <w:r w:rsidRPr="000A2AB3">
        <w:rPr>
          <w:b/>
        </w:rPr>
        <w:t>UB-04:</w:t>
      </w:r>
      <w:r>
        <w:t xml:space="preserve">  Universal Bill Form 04</w:t>
      </w:r>
    </w:p>
    <w:sectPr w:rsidSect="00FB4191">
      <w:type w:val="continuous"/>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63650107"/>
      <w:docPartObj>
        <w:docPartGallery w:val="Page Numbers (Bottom of Page)"/>
        <w:docPartUnique/>
      </w:docPartObj>
    </w:sdtPr>
    <w:sdtEndPr>
      <w:rPr>
        <w:noProof/>
      </w:rPr>
    </w:sdtEndPr>
    <w:sdtContent>
      <w:p w:rsidR="007E7DC9" w14:paraId="7226B5D4" w14:textId="3273A716">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rsidR="007E7DC9" w14:paraId="32567469"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E7DC9" w14:paraId="6A6397F8" w14:textId="77777777">
      <w:r>
        <w:separator/>
      </w:r>
    </w:p>
  </w:footnote>
  <w:footnote w:type="continuationSeparator" w:id="1">
    <w:p w:rsidR="007E7DC9" w14:paraId="267C234F" w14:textId="77777777">
      <w:r>
        <w:continuationSeparator/>
      </w:r>
    </w:p>
  </w:footnote>
  <w:footnote w:type="continuationNotice" w:id="2">
    <w:p w:rsidR="007E7DC9" w14:paraId="14C1EAC0" w14:textId="77777777"/>
  </w:footnote>
  <w:footnote w:id="3">
    <w:p w:rsidR="007E7DC9" w:rsidP="0012301F" w14:paraId="4ADA8E2D" w14:textId="77777777">
      <w:pPr>
        <w:pStyle w:val="FootnoteText"/>
      </w:pPr>
      <w:r>
        <w:rPr>
          <w:rStyle w:val="FootnoteReference"/>
        </w:rPr>
        <w:footnoteRef/>
      </w:r>
      <w:r>
        <w:t xml:space="preserve"> The interim final rule with comment period that appeared in the May 9, 2020 Federal Register (85 FR 27550) delayed the compliance date for certain reporting requirements under the SNF QRP (85 FR 27596 through 27597).</w:t>
      </w:r>
    </w:p>
  </w:footnote>
  <w:footnote w:id="4">
    <w:p w:rsidR="007E7DC9" w:rsidP="00537528" w14:paraId="0AEE34FC" w14:textId="77777777">
      <w:pPr>
        <w:pStyle w:val="FootnoteText"/>
      </w:pPr>
      <w:r>
        <w:rPr>
          <w:rStyle w:val="FootnoteReference"/>
        </w:rPr>
        <w:footnoteRef/>
      </w:r>
      <w:r>
        <w:t xml:space="preserve"> The interim final rule with comment period that appeared in the May 9, 2020 Federal Register (85 FR 27550) delayed the compliance date for certain reporting requirements under the SNF QRP (85 FR 27596 through 27597).</w:t>
      </w:r>
    </w:p>
  </w:footnote>
  <w:footnote w:id="5">
    <w:p w:rsidR="007E7DC9" w:rsidP="00752628" w14:paraId="34D6989B" w14:textId="77777777">
      <w:pPr>
        <w:pStyle w:val="FootnoteText"/>
      </w:pPr>
      <w:r>
        <w:rPr>
          <w:rStyle w:val="FootnoteReference"/>
        </w:rPr>
        <w:footnoteRef/>
      </w:r>
      <w:r>
        <w:t xml:space="preserve"> The interim final rule with comment period that appeared in the May 9, 2020 Federal Register (85 FR 27550) delayed the compliance date for certain reporting requirements under the SNF QRP (85 FR 27596 through 27597).</w:t>
      </w:r>
    </w:p>
  </w:footnote>
  <w:footnote w:id="6">
    <w:p w:rsidR="007E7DC9" w:rsidP="007808C3" w14:paraId="48B056D5" w14:textId="77777777">
      <w:pPr>
        <w:pStyle w:val="FootnoteText"/>
      </w:pPr>
      <w:r>
        <w:rPr>
          <w:rStyle w:val="FootnoteReference"/>
        </w:rPr>
        <w:footnoteRef/>
      </w:r>
      <w:r>
        <w:t xml:space="preserve"> Health care spending and the Medicare program: A Data Book. Chapter 8: Post-Acute Care Services. MedPAC. July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8"/>
    <w:multiLevelType w:val="singleLevel"/>
    <w:tmpl w:val="1EEEE5B0"/>
    <w:lvl w:ilvl="0">
      <w:start w:val="1"/>
      <w:numFmt w:val="decimal"/>
      <w:lvlText w:val="%1."/>
      <w:lvlJc w:val="left"/>
      <w:pPr>
        <w:tabs>
          <w:tab w:val="num" w:pos="360"/>
        </w:tabs>
        <w:ind w:left="360" w:hanging="360"/>
      </w:pPr>
    </w:lvl>
  </w:abstractNum>
  <w:abstractNum w:abstractNumId="1">
    <w:nsid w:val="013928B4"/>
    <w:multiLevelType w:val="hybridMultilevel"/>
    <w:tmpl w:val="A6C6976A"/>
    <w:lvl w:ilvl="0">
      <w:start w:val="15"/>
      <w:numFmt w:val="decimal"/>
      <w:lvlText w:val="%1."/>
      <w:lvlJc w:val="left"/>
      <w:pPr>
        <w:tabs>
          <w:tab w:val="num" w:pos="1140"/>
        </w:tabs>
        <w:ind w:left="1140" w:hanging="42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65D558C"/>
    <w:multiLevelType w:val="hybridMultilevel"/>
    <w:tmpl w:val="52224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BDF0F53"/>
    <w:multiLevelType w:val="hybridMultilevel"/>
    <w:tmpl w:val="CA0E296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EB60C8A"/>
    <w:multiLevelType w:val="hybridMultilevel"/>
    <w:tmpl w:val="43F8D1AC"/>
    <w:lvl w:ilvl="0">
      <w:start w:val="1"/>
      <w:numFmt w:val="upperLetter"/>
      <w:lvlText w:val="%1."/>
      <w:lvlJc w:val="left"/>
      <w:pPr>
        <w:ind w:left="1080" w:hanging="72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C513B0"/>
    <w:multiLevelType w:val="singleLevel"/>
    <w:tmpl w:val="08480BF4"/>
    <w:lvl w:ilvl="0">
      <w:start w:val="1"/>
      <w:numFmt w:val="lowerLetter"/>
      <w:lvlText w:val="%1."/>
      <w:lvlJc w:val="left"/>
      <w:pPr>
        <w:tabs>
          <w:tab w:val="num" w:pos="1080"/>
        </w:tabs>
        <w:ind w:left="1080" w:hanging="360"/>
      </w:pPr>
      <w:rPr>
        <w:rFonts w:hint="default"/>
        <w:u w:val="none"/>
      </w:rPr>
    </w:lvl>
  </w:abstractNum>
  <w:abstractNum w:abstractNumId="6">
    <w:nsid w:val="11BE6131"/>
    <w:multiLevelType w:val="hybridMultilevel"/>
    <w:tmpl w:val="2E6677F2"/>
    <w:lvl w:ilvl="0">
      <w:start w:val="1"/>
      <w:numFmt w:val="decimal"/>
      <w:lvlText w:val="(%1)"/>
      <w:lvlJc w:val="left"/>
      <w:pPr>
        <w:ind w:left="840" w:hanging="36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7">
    <w:nsid w:val="12F502B6"/>
    <w:multiLevelType w:val="hybridMultilevel"/>
    <w:tmpl w:val="410E32EC"/>
    <w:lvl w:ilvl="0">
      <w:start w:val="1"/>
      <w:numFmt w:val="upperLetter"/>
      <w:lvlText w:val="%1."/>
      <w:lvlJc w:val="left"/>
      <w:pPr>
        <w:ind w:left="1200" w:hanging="720"/>
      </w:pPr>
      <w:rPr>
        <w:rFonts w:ascii="Times New Roman" w:eastAsia="Times New Roman" w:hAnsi="Times New Roman" w:cs="Times New Roman" w:hint="default"/>
        <w:b/>
        <w:bCs/>
        <w:i w:val="0"/>
        <w:iCs w:val="0"/>
        <w:spacing w:val="-1"/>
        <w:w w:val="100"/>
        <w:sz w:val="24"/>
        <w:szCs w:val="24"/>
        <w:lang w:val="en-US" w:eastAsia="en-US" w:bidi="ar-SA"/>
      </w:rPr>
    </w:lvl>
    <w:lvl w:ilvl="1">
      <w:start w:val="0"/>
      <w:numFmt w:val="bullet"/>
      <w:lvlText w:val=""/>
      <w:lvlJc w:val="left"/>
      <w:pPr>
        <w:ind w:left="1200" w:hanging="360"/>
      </w:pPr>
      <w:rPr>
        <w:rFonts w:ascii="Symbol" w:eastAsia="Symbol" w:hAnsi="Symbol" w:cs="Symbol" w:hint="default"/>
        <w:b w:val="0"/>
        <w:bCs w:val="0"/>
        <w:i w:val="0"/>
        <w:iCs w:val="0"/>
        <w:w w:val="100"/>
        <w:sz w:val="24"/>
        <w:szCs w:val="24"/>
        <w:lang w:val="en-US" w:eastAsia="en-US" w:bidi="ar-SA"/>
      </w:rPr>
    </w:lvl>
    <w:lvl w:ilvl="2">
      <w:start w:val="0"/>
      <w:numFmt w:val="bullet"/>
      <w:lvlText w:val="•"/>
      <w:lvlJc w:val="left"/>
      <w:pPr>
        <w:ind w:left="3180" w:hanging="360"/>
      </w:pPr>
      <w:rPr>
        <w:rFonts w:hint="default"/>
        <w:lang w:val="en-US" w:eastAsia="en-US" w:bidi="ar-SA"/>
      </w:rPr>
    </w:lvl>
    <w:lvl w:ilvl="3">
      <w:start w:val="0"/>
      <w:numFmt w:val="bullet"/>
      <w:lvlText w:val="•"/>
      <w:lvlJc w:val="left"/>
      <w:pPr>
        <w:ind w:left="4170" w:hanging="360"/>
      </w:pPr>
      <w:rPr>
        <w:rFonts w:hint="default"/>
        <w:lang w:val="en-US" w:eastAsia="en-US" w:bidi="ar-SA"/>
      </w:rPr>
    </w:lvl>
    <w:lvl w:ilvl="4">
      <w:start w:val="0"/>
      <w:numFmt w:val="bullet"/>
      <w:lvlText w:val="•"/>
      <w:lvlJc w:val="left"/>
      <w:pPr>
        <w:ind w:left="5160" w:hanging="360"/>
      </w:pPr>
      <w:rPr>
        <w:rFonts w:hint="default"/>
        <w:lang w:val="en-US" w:eastAsia="en-US" w:bidi="ar-SA"/>
      </w:rPr>
    </w:lvl>
    <w:lvl w:ilvl="5">
      <w:start w:val="0"/>
      <w:numFmt w:val="bullet"/>
      <w:lvlText w:val="•"/>
      <w:lvlJc w:val="left"/>
      <w:pPr>
        <w:ind w:left="6150" w:hanging="360"/>
      </w:pPr>
      <w:rPr>
        <w:rFonts w:hint="default"/>
        <w:lang w:val="en-US" w:eastAsia="en-US" w:bidi="ar-SA"/>
      </w:rPr>
    </w:lvl>
    <w:lvl w:ilvl="6">
      <w:start w:val="0"/>
      <w:numFmt w:val="bullet"/>
      <w:lvlText w:val="•"/>
      <w:lvlJc w:val="left"/>
      <w:pPr>
        <w:ind w:left="7140" w:hanging="360"/>
      </w:pPr>
      <w:rPr>
        <w:rFonts w:hint="default"/>
        <w:lang w:val="en-US" w:eastAsia="en-US" w:bidi="ar-SA"/>
      </w:rPr>
    </w:lvl>
    <w:lvl w:ilvl="7">
      <w:start w:val="0"/>
      <w:numFmt w:val="bullet"/>
      <w:lvlText w:val="•"/>
      <w:lvlJc w:val="left"/>
      <w:pPr>
        <w:ind w:left="8130" w:hanging="360"/>
      </w:pPr>
      <w:rPr>
        <w:rFonts w:hint="default"/>
        <w:lang w:val="en-US" w:eastAsia="en-US" w:bidi="ar-SA"/>
      </w:rPr>
    </w:lvl>
    <w:lvl w:ilvl="8">
      <w:start w:val="0"/>
      <w:numFmt w:val="bullet"/>
      <w:lvlText w:val="•"/>
      <w:lvlJc w:val="left"/>
      <w:pPr>
        <w:ind w:left="9120" w:hanging="360"/>
      </w:pPr>
      <w:rPr>
        <w:rFonts w:hint="default"/>
        <w:lang w:val="en-US" w:eastAsia="en-US" w:bidi="ar-SA"/>
      </w:rPr>
    </w:lvl>
  </w:abstractNum>
  <w:abstractNum w:abstractNumId="8">
    <w:nsid w:val="138872CB"/>
    <w:multiLevelType w:val="hybridMultilevel"/>
    <w:tmpl w:val="175EDC4A"/>
    <w:lvl w:ilvl="0">
      <w:start w:val="0"/>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4646E46"/>
    <w:multiLevelType w:val="hybridMultilevel"/>
    <w:tmpl w:val="715C6E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7A3468"/>
    <w:multiLevelType w:val="hybridMultilevel"/>
    <w:tmpl w:val="8A94C574"/>
    <w:lvl w:ilvl="0">
      <w:start w:val="0"/>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CA205B4"/>
    <w:multiLevelType w:val="hybridMultilevel"/>
    <w:tmpl w:val="6764089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2130DF1"/>
    <w:multiLevelType w:val="hybridMultilevel"/>
    <w:tmpl w:val="B9B4DA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AA85F8A"/>
    <w:multiLevelType w:val="hybridMultilevel"/>
    <w:tmpl w:val="FCF6353C"/>
    <w:lvl w:ilvl="0">
      <w:start w:val="1"/>
      <w:numFmt w:val="decimal"/>
      <w:lvlText w:val="%1."/>
      <w:lvlJc w:val="left"/>
      <w:pPr>
        <w:ind w:left="714" w:hanging="57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14">
    <w:nsid w:val="4C0772A7"/>
    <w:multiLevelType w:val="hybridMultilevel"/>
    <w:tmpl w:val="E7EAB7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E7637DB"/>
    <w:multiLevelType w:val="hybridMultilevel"/>
    <w:tmpl w:val="5448C91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EBB2171"/>
    <w:multiLevelType w:val="hybridMultilevel"/>
    <w:tmpl w:val="B866C540"/>
    <w:lvl w:ilvl="0">
      <w:start w:val="17"/>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56A7001D"/>
    <w:multiLevelType w:val="hybridMultilevel"/>
    <w:tmpl w:val="57548DA2"/>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23F5C3A"/>
    <w:multiLevelType w:val="hybridMultilevel"/>
    <w:tmpl w:val="4EF68A7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AD121B0"/>
    <w:multiLevelType w:val="hybridMultilevel"/>
    <w:tmpl w:val="78D2B452"/>
    <w:lvl w:ilvl="0">
      <w:start w:val="0"/>
      <w:numFmt w:val="bullet"/>
      <w:lvlText w:val=""/>
      <w:lvlJc w:val="left"/>
      <w:pPr>
        <w:ind w:left="900" w:hanging="360"/>
      </w:pPr>
      <w:rPr>
        <w:rFonts w:ascii="Symbol" w:eastAsia="Times New Roman" w:hAnsi="Symbol" w:cs="Times New Roman"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0">
    <w:nsid w:val="6FA25E07"/>
    <w:multiLevelType w:val="singleLevel"/>
    <w:tmpl w:val="D50E0906"/>
    <w:lvl w:ilvl="0">
      <w:start w:val="13"/>
      <w:numFmt w:val="decimal"/>
      <w:lvlText w:val="%1."/>
      <w:lvlJc w:val="left"/>
      <w:pPr>
        <w:tabs>
          <w:tab w:val="num" w:pos="1080"/>
        </w:tabs>
        <w:ind w:left="1080" w:hanging="360"/>
      </w:pPr>
      <w:rPr>
        <w:rFonts w:hint="default"/>
        <w:u w:val="none"/>
      </w:rPr>
    </w:lvl>
  </w:abstractNum>
  <w:abstractNum w:abstractNumId="21">
    <w:nsid w:val="763646EB"/>
    <w:multiLevelType w:val="hybridMultilevel"/>
    <w:tmpl w:val="E33E4F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8AD6192"/>
    <w:multiLevelType w:val="hybridMultilevel"/>
    <w:tmpl w:val="E90061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E111A6E"/>
    <w:multiLevelType w:val="hybridMultilevel"/>
    <w:tmpl w:val="2580F8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5"/>
  </w:num>
  <w:num w:numId="4">
    <w:abstractNumId w:val="20"/>
  </w:num>
  <w:num w:numId="5">
    <w:abstractNumId w:val="21"/>
  </w:num>
  <w:num w:numId="6">
    <w:abstractNumId w:val="4"/>
  </w:num>
  <w:num w:numId="7">
    <w:abstractNumId w:val="15"/>
  </w:num>
  <w:num w:numId="8">
    <w:abstractNumId w:val="10"/>
  </w:num>
  <w:num w:numId="9">
    <w:abstractNumId w:val="8"/>
  </w:num>
  <w:num w:numId="10">
    <w:abstractNumId w:val="17"/>
  </w:num>
  <w:num w:numId="11">
    <w:abstractNumId w:val="18"/>
  </w:num>
  <w:num w:numId="12">
    <w:abstractNumId w:val="23"/>
  </w:num>
  <w:num w:numId="13">
    <w:abstractNumId w:val="3"/>
  </w:num>
  <w:num w:numId="14">
    <w:abstractNumId w:val="22"/>
  </w:num>
  <w:num w:numId="15">
    <w:abstractNumId w:val="2"/>
  </w:num>
  <w:num w:numId="16">
    <w:abstractNumId w:val="14"/>
  </w:num>
  <w:num w:numId="17">
    <w:abstractNumId w:val="12"/>
  </w:num>
  <w:num w:numId="18">
    <w:abstractNumId w:val="9"/>
  </w:num>
  <w:num w:numId="19">
    <w:abstractNumId w:val="0"/>
  </w:num>
  <w:num w:numId="20">
    <w:abstractNumId w:val="11"/>
  </w:num>
  <w:num w:numId="21">
    <w:abstractNumId w:val="13"/>
  </w:num>
  <w:num w:numId="22">
    <w:abstractNumId w:val="7"/>
  </w:num>
  <w:num w:numId="23">
    <w:abstractNumId w:val="6"/>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7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1"/>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058"/>
    <w:rsid w:val="00006F86"/>
    <w:rsid w:val="0000723D"/>
    <w:rsid w:val="00007E21"/>
    <w:rsid w:val="000124BD"/>
    <w:rsid w:val="00013F54"/>
    <w:rsid w:val="000156CE"/>
    <w:rsid w:val="000171A3"/>
    <w:rsid w:val="00020F9E"/>
    <w:rsid w:val="00026044"/>
    <w:rsid w:val="00027487"/>
    <w:rsid w:val="00030876"/>
    <w:rsid w:val="00030FBF"/>
    <w:rsid w:val="00031247"/>
    <w:rsid w:val="00033DDD"/>
    <w:rsid w:val="000342BE"/>
    <w:rsid w:val="00034480"/>
    <w:rsid w:val="000349EB"/>
    <w:rsid w:val="00035E91"/>
    <w:rsid w:val="00035EA8"/>
    <w:rsid w:val="00043183"/>
    <w:rsid w:val="00043817"/>
    <w:rsid w:val="00044235"/>
    <w:rsid w:val="00050102"/>
    <w:rsid w:val="00050EAB"/>
    <w:rsid w:val="00055AAD"/>
    <w:rsid w:val="000564FB"/>
    <w:rsid w:val="00062360"/>
    <w:rsid w:val="000636D7"/>
    <w:rsid w:val="0006562F"/>
    <w:rsid w:val="0006652A"/>
    <w:rsid w:val="000672C9"/>
    <w:rsid w:val="00072E7A"/>
    <w:rsid w:val="000774D7"/>
    <w:rsid w:val="00077535"/>
    <w:rsid w:val="000779D6"/>
    <w:rsid w:val="00077FBC"/>
    <w:rsid w:val="00081B87"/>
    <w:rsid w:val="00086794"/>
    <w:rsid w:val="000873E6"/>
    <w:rsid w:val="000909BB"/>
    <w:rsid w:val="000959DA"/>
    <w:rsid w:val="0009767B"/>
    <w:rsid w:val="000A2AB3"/>
    <w:rsid w:val="000A2D60"/>
    <w:rsid w:val="000A3BC4"/>
    <w:rsid w:val="000B08CB"/>
    <w:rsid w:val="000B2C38"/>
    <w:rsid w:val="000B3541"/>
    <w:rsid w:val="000B4C12"/>
    <w:rsid w:val="000B6F21"/>
    <w:rsid w:val="000C1E34"/>
    <w:rsid w:val="000C2373"/>
    <w:rsid w:val="000C7350"/>
    <w:rsid w:val="000D4312"/>
    <w:rsid w:val="000D5290"/>
    <w:rsid w:val="000D6A07"/>
    <w:rsid w:val="000E17CA"/>
    <w:rsid w:val="000E21AE"/>
    <w:rsid w:val="000E23F0"/>
    <w:rsid w:val="000E608A"/>
    <w:rsid w:val="000E62F7"/>
    <w:rsid w:val="000F427A"/>
    <w:rsid w:val="000F4392"/>
    <w:rsid w:val="000F55B1"/>
    <w:rsid w:val="000F5EE6"/>
    <w:rsid w:val="00100866"/>
    <w:rsid w:val="00103D20"/>
    <w:rsid w:val="00103DA7"/>
    <w:rsid w:val="00106ABE"/>
    <w:rsid w:val="0011039B"/>
    <w:rsid w:val="00111355"/>
    <w:rsid w:val="001130ED"/>
    <w:rsid w:val="001137F0"/>
    <w:rsid w:val="001144EE"/>
    <w:rsid w:val="0011587C"/>
    <w:rsid w:val="0011765E"/>
    <w:rsid w:val="00120638"/>
    <w:rsid w:val="00122E97"/>
    <w:rsid w:val="0012301F"/>
    <w:rsid w:val="00124FCA"/>
    <w:rsid w:val="00137DCD"/>
    <w:rsid w:val="00143E41"/>
    <w:rsid w:val="00144849"/>
    <w:rsid w:val="00145B55"/>
    <w:rsid w:val="001462B8"/>
    <w:rsid w:val="00146327"/>
    <w:rsid w:val="00150197"/>
    <w:rsid w:val="00150793"/>
    <w:rsid w:val="00151FCD"/>
    <w:rsid w:val="00155246"/>
    <w:rsid w:val="00156506"/>
    <w:rsid w:val="0015768E"/>
    <w:rsid w:val="001579C7"/>
    <w:rsid w:val="00162598"/>
    <w:rsid w:val="001647C0"/>
    <w:rsid w:val="00167919"/>
    <w:rsid w:val="00176926"/>
    <w:rsid w:val="0018008E"/>
    <w:rsid w:val="00180914"/>
    <w:rsid w:val="00184BA9"/>
    <w:rsid w:val="00193CD0"/>
    <w:rsid w:val="00193D4A"/>
    <w:rsid w:val="001A0EF5"/>
    <w:rsid w:val="001A3EA5"/>
    <w:rsid w:val="001A495C"/>
    <w:rsid w:val="001A5F4F"/>
    <w:rsid w:val="001A61C6"/>
    <w:rsid w:val="001A7FCF"/>
    <w:rsid w:val="001B29F1"/>
    <w:rsid w:val="001B3839"/>
    <w:rsid w:val="001B54F6"/>
    <w:rsid w:val="001B5C63"/>
    <w:rsid w:val="001B7F34"/>
    <w:rsid w:val="001C20EE"/>
    <w:rsid w:val="001C2761"/>
    <w:rsid w:val="001C3186"/>
    <w:rsid w:val="001C576E"/>
    <w:rsid w:val="001C6BAE"/>
    <w:rsid w:val="001C7254"/>
    <w:rsid w:val="001C72C0"/>
    <w:rsid w:val="001D0A6F"/>
    <w:rsid w:val="001D1A4F"/>
    <w:rsid w:val="001D2D97"/>
    <w:rsid w:val="001D6CB9"/>
    <w:rsid w:val="001D6FF7"/>
    <w:rsid w:val="001E0A83"/>
    <w:rsid w:val="001E13DF"/>
    <w:rsid w:val="001E22BC"/>
    <w:rsid w:val="001E4F95"/>
    <w:rsid w:val="001E58FA"/>
    <w:rsid w:val="001E617E"/>
    <w:rsid w:val="001E7153"/>
    <w:rsid w:val="001E7256"/>
    <w:rsid w:val="001E7A7B"/>
    <w:rsid w:val="001E7D2E"/>
    <w:rsid w:val="001F12DB"/>
    <w:rsid w:val="001F2665"/>
    <w:rsid w:val="001F353D"/>
    <w:rsid w:val="001F7FFE"/>
    <w:rsid w:val="0020110E"/>
    <w:rsid w:val="00201A6B"/>
    <w:rsid w:val="00210656"/>
    <w:rsid w:val="00211687"/>
    <w:rsid w:val="00212A11"/>
    <w:rsid w:val="00213CE1"/>
    <w:rsid w:val="00213EE1"/>
    <w:rsid w:val="00216F5C"/>
    <w:rsid w:val="00217FC8"/>
    <w:rsid w:val="00220DE1"/>
    <w:rsid w:val="002224BF"/>
    <w:rsid w:val="00222D22"/>
    <w:rsid w:val="00224EF7"/>
    <w:rsid w:val="00225611"/>
    <w:rsid w:val="00230548"/>
    <w:rsid w:val="002305D0"/>
    <w:rsid w:val="00232D22"/>
    <w:rsid w:val="002339AC"/>
    <w:rsid w:val="00234427"/>
    <w:rsid w:val="0023527E"/>
    <w:rsid w:val="002356E2"/>
    <w:rsid w:val="00237869"/>
    <w:rsid w:val="00237DC1"/>
    <w:rsid w:val="002437BD"/>
    <w:rsid w:val="00243CEF"/>
    <w:rsid w:val="0024582B"/>
    <w:rsid w:val="00245A35"/>
    <w:rsid w:val="00250496"/>
    <w:rsid w:val="00251AE6"/>
    <w:rsid w:val="00251B9D"/>
    <w:rsid w:val="00252874"/>
    <w:rsid w:val="00252CBA"/>
    <w:rsid w:val="0025329F"/>
    <w:rsid w:val="002554BD"/>
    <w:rsid w:val="00255BAC"/>
    <w:rsid w:val="00255E55"/>
    <w:rsid w:val="00257DCB"/>
    <w:rsid w:val="00260C7A"/>
    <w:rsid w:val="0026171B"/>
    <w:rsid w:val="00262A4B"/>
    <w:rsid w:val="002668DC"/>
    <w:rsid w:val="002673CA"/>
    <w:rsid w:val="002673E2"/>
    <w:rsid w:val="002725BC"/>
    <w:rsid w:val="002727A4"/>
    <w:rsid w:val="00281BFC"/>
    <w:rsid w:val="00285402"/>
    <w:rsid w:val="002906E0"/>
    <w:rsid w:val="002A0FEF"/>
    <w:rsid w:val="002A231A"/>
    <w:rsid w:val="002A307D"/>
    <w:rsid w:val="002A65A1"/>
    <w:rsid w:val="002B2E42"/>
    <w:rsid w:val="002B6E4E"/>
    <w:rsid w:val="002B7007"/>
    <w:rsid w:val="002B7DE2"/>
    <w:rsid w:val="002C3EB1"/>
    <w:rsid w:val="002C5014"/>
    <w:rsid w:val="002C5606"/>
    <w:rsid w:val="002C5FD9"/>
    <w:rsid w:val="002C6988"/>
    <w:rsid w:val="002C7F07"/>
    <w:rsid w:val="002D0C32"/>
    <w:rsid w:val="002D1674"/>
    <w:rsid w:val="002D1C0B"/>
    <w:rsid w:val="002D1D06"/>
    <w:rsid w:val="002D5147"/>
    <w:rsid w:val="002D74A1"/>
    <w:rsid w:val="002E101A"/>
    <w:rsid w:val="002E18BB"/>
    <w:rsid w:val="002E1C19"/>
    <w:rsid w:val="002E2621"/>
    <w:rsid w:val="002F209D"/>
    <w:rsid w:val="002F239A"/>
    <w:rsid w:val="002F3EEA"/>
    <w:rsid w:val="002F619F"/>
    <w:rsid w:val="0030455F"/>
    <w:rsid w:val="003108CE"/>
    <w:rsid w:val="0031137C"/>
    <w:rsid w:val="0031162D"/>
    <w:rsid w:val="003121ED"/>
    <w:rsid w:val="00312402"/>
    <w:rsid w:val="003151F2"/>
    <w:rsid w:val="003153F7"/>
    <w:rsid w:val="003157E1"/>
    <w:rsid w:val="00320699"/>
    <w:rsid w:val="0032748F"/>
    <w:rsid w:val="00334A29"/>
    <w:rsid w:val="0034108E"/>
    <w:rsid w:val="003424F2"/>
    <w:rsid w:val="00343819"/>
    <w:rsid w:val="00344FAB"/>
    <w:rsid w:val="003454D9"/>
    <w:rsid w:val="00345C45"/>
    <w:rsid w:val="00347ABA"/>
    <w:rsid w:val="00347AFC"/>
    <w:rsid w:val="00350AF0"/>
    <w:rsid w:val="00350D25"/>
    <w:rsid w:val="00352908"/>
    <w:rsid w:val="003561F0"/>
    <w:rsid w:val="00357585"/>
    <w:rsid w:val="00363798"/>
    <w:rsid w:val="003652AB"/>
    <w:rsid w:val="00366594"/>
    <w:rsid w:val="00370797"/>
    <w:rsid w:val="00371556"/>
    <w:rsid w:val="003778DE"/>
    <w:rsid w:val="0038106F"/>
    <w:rsid w:val="003812E9"/>
    <w:rsid w:val="00381DF6"/>
    <w:rsid w:val="00383997"/>
    <w:rsid w:val="00386AD7"/>
    <w:rsid w:val="00390250"/>
    <w:rsid w:val="003913E2"/>
    <w:rsid w:val="00394688"/>
    <w:rsid w:val="00396103"/>
    <w:rsid w:val="003A249E"/>
    <w:rsid w:val="003A28D0"/>
    <w:rsid w:val="003A379C"/>
    <w:rsid w:val="003A3A5C"/>
    <w:rsid w:val="003A59C9"/>
    <w:rsid w:val="003B258D"/>
    <w:rsid w:val="003B402D"/>
    <w:rsid w:val="003C0E18"/>
    <w:rsid w:val="003C116A"/>
    <w:rsid w:val="003C1DC4"/>
    <w:rsid w:val="003C2668"/>
    <w:rsid w:val="003C2DBF"/>
    <w:rsid w:val="003C301B"/>
    <w:rsid w:val="003C3411"/>
    <w:rsid w:val="003C3547"/>
    <w:rsid w:val="003C624B"/>
    <w:rsid w:val="003C7489"/>
    <w:rsid w:val="003D01E3"/>
    <w:rsid w:val="003D62C2"/>
    <w:rsid w:val="003D6607"/>
    <w:rsid w:val="003D7B46"/>
    <w:rsid w:val="003E223B"/>
    <w:rsid w:val="003E69D8"/>
    <w:rsid w:val="003F178D"/>
    <w:rsid w:val="003F26FB"/>
    <w:rsid w:val="003F3129"/>
    <w:rsid w:val="003F5664"/>
    <w:rsid w:val="003F5CFF"/>
    <w:rsid w:val="003F676C"/>
    <w:rsid w:val="003F7C3C"/>
    <w:rsid w:val="00400648"/>
    <w:rsid w:val="00403B40"/>
    <w:rsid w:val="004044E9"/>
    <w:rsid w:val="00404E14"/>
    <w:rsid w:val="00407236"/>
    <w:rsid w:val="0041087D"/>
    <w:rsid w:val="00413390"/>
    <w:rsid w:val="00414664"/>
    <w:rsid w:val="004148F6"/>
    <w:rsid w:val="0041796F"/>
    <w:rsid w:val="00420FCF"/>
    <w:rsid w:val="004213A9"/>
    <w:rsid w:val="004244C4"/>
    <w:rsid w:val="004257EC"/>
    <w:rsid w:val="00426054"/>
    <w:rsid w:val="00431104"/>
    <w:rsid w:val="004336FF"/>
    <w:rsid w:val="0043481E"/>
    <w:rsid w:val="00435CF8"/>
    <w:rsid w:val="00437A93"/>
    <w:rsid w:val="00437A9B"/>
    <w:rsid w:val="004453C9"/>
    <w:rsid w:val="00446178"/>
    <w:rsid w:val="0044674D"/>
    <w:rsid w:val="00452EAC"/>
    <w:rsid w:val="00454F24"/>
    <w:rsid w:val="004574FF"/>
    <w:rsid w:val="004616B7"/>
    <w:rsid w:val="00463CE4"/>
    <w:rsid w:val="00465EEA"/>
    <w:rsid w:val="00475AEC"/>
    <w:rsid w:val="00480018"/>
    <w:rsid w:val="004811AA"/>
    <w:rsid w:val="004813A2"/>
    <w:rsid w:val="00486441"/>
    <w:rsid w:val="004877D8"/>
    <w:rsid w:val="004907EE"/>
    <w:rsid w:val="00495058"/>
    <w:rsid w:val="0049529F"/>
    <w:rsid w:val="00495E65"/>
    <w:rsid w:val="00496641"/>
    <w:rsid w:val="004970D5"/>
    <w:rsid w:val="004A0405"/>
    <w:rsid w:val="004A3C6B"/>
    <w:rsid w:val="004A3EC2"/>
    <w:rsid w:val="004A4F1C"/>
    <w:rsid w:val="004A64E8"/>
    <w:rsid w:val="004A6568"/>
    <w:rsid w:val="004B0DAF"/>
    <w:rsid w:val="004B1056"/>
    <w:rsid w:val="004B14B3"/>
    <w:rsid w:val="004B1B2B"/>
    <w:rsid w:val="004B2143"/>
    <w:rsid w:val="004B3C6A"/>
    <w:rsid w:val="004B3F68"/>
    <w:rsid w:val="004B4308"/>
    <w:rsid w:val="004B4443"/>
    <w:rsid w:val="004C2217"/>
    <w:rsid w:val="004C3B14"/>
    <w:rsid w:val="004C5FF3"/>
    <w:rsid w:val="004D27CC"/>
    <w:rsid w:val="004D292C"/>
    <w:rsid w:val="004D2ECF"/>
    <w:rsid w:val="004D5F1B"/>
    <w:rsid w:val="004E06D4"/>
    <w:rsid w:val="004E3401"/>
    <w:rsid w:val="004E3EC1"/>
    <w:rsid w:val="004E52B2"/>
    <w:rsid w:val="004E67C7"/>
    <w:rsid w:val="004E7753"/>
    <w:rsid w:val="004E7E07"/>
    <w:rsid w:val="004F16FB"/>
    <w:rsid w:val="004F246B"/>
    <w:rsid w:val="004F26CD"/>
    <w:rsid w:val="004F26E7"/>
    <w:rsid w:val="004F2FB7"/>
    <w:rsid w:val="004F4F25"/>
    <w:rsid w:val="0050349A"/>
    <w:rsid w:val="00504D4B"/>
    <w:rsid w:val="00511E6B"/>
    <w:rsid w:val="005129AB"/>
    <w:rsid w:val="00513C8C"/>
    <w:rsid w:val="00513E20"/>
    <w:rsid w:val="00515929"/>
    <w:rsid w:val="00517C3D"/>
    <w:rsid w:val="00523E01"/>
    <w:rsid w:val="00524AAD"/>
    <w:rsid w:val="00532A84"/>
    <w:rsid w:val="00537528"/>
    <w:rsid w:val="00544EA1"/>
    <w:rsid w:val="0054572A"/>
    <w:rsid w:val="00545C17"/>
    <w:rsid w:val="00545E8B"/>
    <w:rsid w:val="00550181"/>
    <w:rsid w:val="00550F37"/>
    <w:rsid w:val="00550F57"/>
    <w:rsid w:val="00550F6C"/>
    <w:rsid w:val="00551725"/>
    <w:rsid w:val="005517FC"/>
    <w:rsid w:val="005535B5"/>
    <w:rsid w:val="00556124"/>
    <w:rsid w:val="00557594"/>
    <w:rsid w:val="005609EA"/>
    <w:rsid w:val="005615C2"/>
    <w:rsid w:val="00565519"/>
    <w:rsid w:val="0056576D"/>
    <w:rsid w:val="0056579E"/>
    <w:rsid w:val="005666BD"/>
    <w:rsid w:val="00566979"/>
    <w:rsid w:val="00580434"/>
    <w:rsid w:val="005806EE"/>
    <w:rsid w:val="00582878"/>
    <w:rsid w:val="00584149"/>
    <w:rsid w:val="0058628E"/>
    <w:rsid w:val="00593713"/>
    <w:rsid w:val="005950F5"/>
    <w:rsid w:val="00595C9B"/>
    <w:rsid w:val="005972C5"/>
    <w:rsid w:val="005A13C4"/>
    <w:rsid w:val="005A5839"/>
    <w:rsid w:val="005A6B2A"/>
    <w:rsid w:val="005A6CCE"/>
    <w:rsid w:val="005C11A3"/>
    <w:rsid w:val="005C2B21"/>
    <w:rsid w:val="005C3BF2"/>
    <w:rsid w:val="005C566D"/>
    <w:rsid w:val="005D035F"/>
    <w:rsid w:val="005D0D24"/>
    <w:rsid w:val="005D11A7"/>
    <w:rsid w:val="005D1912"/>
    <w:rsid w:val="005D1BC5"/>
    <w:rsid w:val="005D1F1A"/>
    <w:rsid w:val="005D390D"/>
    <w:rsid w:val="005D52FE"/>
    <w:rsid w:val="005E05A4"/>
    <w:rsid w:val="005E0DBB"/>
    <w:rsid w:val="005E0FDD"/>
    <w:rsid w:val="005E1349"/>
    <w:rsid w:val="005E2B7E"/>
    <w:rsid w:val="005E2C17"/>
    <w:rsid w:val="005E328D"/>
    <w:rsid w:val="005E39A6"/>
    <w:rsid w:val="005E3DEF"/>
    <w:rsid w:val="005E53FE"/>
    <w:rsid w:val="005E7437"/>
    <w:rsid w:val="005F3419"/>
    <w:rsid w:val="005F5C99"/>
    <w:rsid w:val="005F70EE"/>
    <w:rsid w:val="0060094B"/>
    <w:rsid w:val="006027C4"/>
    <w:rsid w:val="00605761"/>
    <w:rsid w:val="00605F93"/>
    <w:rsid w:val="006062D5"/>
    <w:rsid w:val="00606A76"/>
    <w:rsid w:val="00606F57"/>
    <w:rsid w:val="0061188D"/>
    <w:rsid w:val="00612014"/>
    <w:rsid w:val="0061365E"/>
    <w:rsid w:val="006137F1"/>
    <w:rsid w:val="00613847"/>
    <w:rsid w:val="00615883"/>
    <w:rsid w:val="00616E52"/>
    <w:rsid w:val="00617739"/>
    <w:rsid w:val="00621E9A"/>
    <w:rsid w:val="0062398B"/>
    <w:rsid w:val="00626B46"/>
    <w:rsid w:val="00633075"/>
    <w:rsid w:val="0063535B"/>
    <w:rsid w:val="00636D5A"/>
    <w:rsid w:val="006404AD"/>
    <w:rsid w:val="006415B6"/>
    <w:rsid w:val="006417D6"/>
    <w:rsid w:val="00641867"/>
    <w:rsid w:val="006418D0"/>
    <w:rsid w:val="00641CDC"/>
    <w:rsid w:val="00641D73"/>
    <w:rsid w:val="00641F69"/>
    <w:rsid w:val="00642309"/>
    <w:rsid w:val="00642CBF"/>
    <w:rsid w:val="00650691"/>
    <w:rsid w:val="00653D7C"/>
    <w:rsid w:val="0065491B"/>
    <w:rsid w:val="00656413"/>
    <w:rsid w:val="006578A8"/>
    <w:rsid w:val="0066103A"/>
    <w:rsid w:val="00661B9A"/>
    <w:rsid w:val="006668F5"/>
    <w:rsid w:val="006705C2"/>
    <w:rsid w:val="006709BF"/>
    <w:rsid w:val="006719C2"/>
    <w:rsid w:val="00672A0D"/>
    <w:rsid w:val="0067439F"/>
    <w:rsid w:val="006770CF"/>
    <w:rsid w:val="00682B7F"/>
    <w:rsid w:val="00683BE1"/>
    <w:rsid w:val="00683C7E"/>
    <w:rsid w:val="00684EFE"/>
    <w:rsid w:val="00685052"/>
    <w:rsid w:val="00685B79"/>
    <w:rsid w:val="00686D28"/>
    <w:rsid w:val="00692C08"/>
    <w:rsid w:val="0069409B"/>
    <w:rsid w:val="00694770"/>
    <w:rsid w:val="00697E0C"/>
    <w:rsid w:val="006A0867"/>
    <w:rsid w:val="006A1257"/>
    <w:rsid w:val="006A4DA0"/>
    <w:rsid w:val="006A6D20"/>
    <w:rsid w:val="006A7C4C"/>
    <w:rsid w:val="006B198D"/>
    <w:rsid w:val="006B3331"/>
    <w:rsid w:val="006B406B"/>
    <w:rsid w:val="006B525F"/>
    <w:rsid w:val="006B6169"/>
    <w:rsid w:val="006B61AD"/>
    <w:rsid w:val="006C0C44"/>
    <w:rsid w:val="006C13CA"/>
    <w:rsid w:val="006C1FB2"/>
    <w:rsid w:val="006C229F"/>
    <w:rsid w:val="006C68A9"/>
    <w:rsid w:val="006C7D50"/>
    <w:rsid w:val="006D1424"/>
    <w:rsid w:val="006D1695"/>
    <w:rsid w:val="006D18FD"/>
    <w:rsid w:val="006D3098"/>
    <w:rsid w:val="006D61A4"/>
    <w:rsid w:val="006E0686"/>
    <w:rsid w:val="006E13A9"/>
    <w:rsid w:val="006E5F6C"/>
    <w:rsid w:val="006F2891"/>
    <w:rsid w:val="006F4AC4"/>
    <w:rsid w:val="006F63CF"/>
    <w:rsid w:val="00700332"/>
    <w:rsid w:val="0070147D"/>
    <w:rsid w:val="00701599"/>
    <w:rsid w:val="0070491A"/>
    <w:rsid w:val="00706861"/>
    <w:rsid w:val="0071020B"/>
    <w:rsid w:val="00711080"/>
    <w:rsid w:val="00714611"/>
    <w:rsid w:val="00721144"/>
    <w:rsid w:val="0072173E"/>
    <w:rsid w:val="00723EFC"/>
    <w:rsid w:val="007254C7"/>
    <w:rsid w:val="00725B4E"/>
    <w:rsid w:val="00730244"/>
    <w:rsid w:val="00732117"/>
    <w:rsid w:val="0073278C"/>
    <w:rsid w:val="00732EB7"/>
    <w:rsid w:val="007332F9"/>
    <w:rsid w:val="00735548"/>
    <w:rsid w:val="00735B66"/>
    <w:rsid w:val="007364F8"/>
    <w:rsid w:val="00736C25"/>
    <w:rsid w:val="0074059B"/>
    <w:rsid w:val="00740650"/>
    <w:rsid w:val="0074076E"/>
    <w:rsid w:val="00740CA8"/>
    <w:rsid w:val="00741257"/>
    <w:rsid w:val="00741A62"/>
    <w:rsid w:val="0074399A"/>
    <w:rsid w:val="00745082"/>
    <w:rsid w:val="0074560B"/>
    <w:rsid w:val="00745A0E"/>
    <w:rsid w:val="00747E37"/>
    <w:rsid w:val="00752628"/>
    <w:rsid w:val="00754192"/>
    <w:rsid w:val="007549FB"/>
    <w:rsid w:val="0075545E"/>
    <w:rsid w:val="007607F4"/>
    <w:rsid w:val="00763D56"/>
    <w:rsid w:val="007647C3"/>
    <w:rsid w:val="0077334D"/>
    <w:rsid w:val="00775E5F"/>
    <w:rsid w:val="007773D0"/>
    <w:rsid w:val="0077768C"/>
    <w:rsid w:val="00780127"/>
    <w:rsid w:val="007808C3"/>
    <w:rsid w:val="00780D3D"/>
    <w:rsid w:val="00781423"/>
    <w:rsid w:val="00787231"/>
    <w:rsid w:val="00787394"/>
    <w:rsid w:val="00787CCD"/>
    <w:rsid w:val="00790AD0"/>
    <w:rsid w:val="007946F7"/>
    <w:rsid w:val="00796DE8"/>
    <w:rsid w:val="007A2EFE"/>
    <w:rsid w:val="007A305A"/>
    <w:rsid w:val="007A30B5"/>
    <w:rsid w:val="007A420B"/>
    <w:rsid w:val="007A4AD1"/>
    <w:rsid w:val="007B025A"/>
    <w:rsid w:val="007B1822"/>
    <w:rsid w:val="007B1C23"/>
    <w:rsid w:val="007B2B63"/>
    <w:rsid w:val="007B3A96"/>
    <w:rsid w:val="007B46DB"/>
    <w:rsid w:val="007B56D5"/>
    <w:rsid w:val="007B6683"/>
    <w:rsid w:val="007B6BB1"/>
    <w:rsid w:val="007B76C7"/>
    <w:rsid w:val="007C19F2"/>
    <w:rsid w:val="007C1C0B"/>
    <w:rsid w:val="007C3848"/>
    <w:rsid w:val="007C3CF4"/>
    <w:rsid w:val="007C45AE"/>
    <w:rsid w:val="007C53D5"/>
    <w:rsid w:val="007C5FE7"/>
    <w:rsid w:val="007C6EEB"/>
    <w:rsid w:val="007C72D7"/>
    <w:rsid w:val="007C7932"/>
    <w:rsid w:val="007D12E8"/>
    <w:rsid w:val="007D1A74"/>
    <w:rsid w:val="007D250B"/>
    <w:rsid w:val="007D2BF0"/>
    <w:rsid w:val="007D44AC"/>
    <w:rsid w:val="007D4B4B"/>
    <w:rsid w:val="007D610C"/>
    <w:rsid w:val="007D6CE5"/>
    <w:rsid w:val="007D77B4"/>
    <w:rsid w:val="007E0D32"/>
    <w:rsid w:val="007E2F70"/>
    <w:rsid w:val="007E30C7"/>
    <w:rsid w:val="007E3787"/>
    <w:rsid w:val="007E6FC3"/>
    <w:rsid w:val="007E7DC9"/>
    <w:rsid w:val="007F0F19"/>
    <w:rsid w:val="007F144A"/>
    <w:rsid w:val="007F7474"/>
    <w:rsid w:val="00801D03"/>
    <w:rsid w:val="008051E7"/>
    <w:rsid w:val="00805A60"/>
    <w:rsid w:val="00806C2C"/>
    <w:rsid w:val="008110EE"/>
    <w:rsid w:val="008117A2"/>
    <w:rsid w:val="00812B53"/>
    <w:rsid w:val="00814C84"/>
    <w:rsid w:val="00816119"/>
    <w:rsid w:val="008171F5"/>
    <w:rsid w:val="008179F9"/>
    <w:rsid w:val="00821C24"/>
    <w:rsid w:val="00824258"/>
    <w:rsid w:val="00830E21"/>
    <w:rsid w:val="0083148D"/>
    <w:rsid w:val="0083278F"/>
    <w:rsid w:val="00832BAF"/>
    <w:rsid w:val="00834C56"/>
    <w:rsid w:val="0083532B"/>
    <w:rsid w:val="00837B57"/>
    <w:rsid w:val="00840542"/>
    <w:rsid w:val="00842BED"/>
    <w:rsid w:val="0085318F"/>
    <w:rsid w:val="008533DE"/>
    <w:rsid w:val="00853AA2"/>
    <w:rsid w:val="00856396"/>
    <w:rsid w:val="00862A2A"/>
    <w:rsid w:val="00864CFB"/>
    <w:rsid w:val="00865CBA"/>
    <w:rsid w:val="00866E57"/>
    <w:rsid w:val="0087068B"/>
    <w:rsid w:val="00871689"/>
    <w:rsid w:val="00871D46"/>
    <w:rsid w:val="0087728F"/>
    <w:rsid w:val="00882B06"/>
    <w:rsid w:val="0088556B"/>
    <w:rsid w:val="00886BF6"/>
    <w:rsid w:val="008922AC"/>
    <w:rsid w:val="008939B7"/>
    <w:rsid w:val="00894FC3"/>
    <w:rsid w:val="00895B75"/>
    <w:rsid w:val="008961DB"/>
    <w:rsid w:val="00897DC5"/>
    <w:rsid w:val="00897E8B"/>
    <w:rsid w:val="008A2B3E"/>
    <w:rsid w:val="008A3FBE"/>
    <w:rsid w:val="008A4D78"/>
    <w:rsid w:val="008A558F"/>
    <w:rsid w:val="008A70BB"/>
    <w:rsid w:val="008A753B"/>
    <w:rsid w:val="008A766C"/>
    <w:rsid w:val="008B1207"/>
    <w:rsid w:val="008B2971"/>
    <w:rsid w:val="008B60E5"/>
    <w:rsid w:val="008B7F58"/>
    <w:rsid w:val="008C139D"/>
    <w:rsid w:val="008C182D"/>
    <w:rsid w:val="008C2F12"/>
    <w:rsid w:val="008C44DC"/>
    <w:rsid w:val="008C4ED4"/>
    <w:rsid w:val="008D0D43"/>
    <w:rsid w:val="008D1968"/>
    <w:rsid w:val="008D1BBA"/>
    <w:rsid w:val="008D42DD"/>
    <w:rsid w:val="008D4FB6"/>
    <w:rsid w:val="008D744B"/>
    <w:rsid w:val="008E1690"/>
    <w:rsid w:val="008E2E33"/>
    <w:rsid w:val="008E300D"/>
    <w:rsid w:val="008E3DDF"/>
    <w:rsid w:val="008E6389"/>
    <w:rsid w:val="008E6A3F"/>
    <w:rsid w:val="008E7362"/>
    <w:rsid w:val="008E7D12"/>
    <w:rsid w:val="008F06C9"/>
    <w:rsid w:val="008F1010"/>
    <w:rsid w:val="008F1612"/>
    <w:rsid w:val="009022B3"/>
    <w:rsid w:val="00903A15"/>
    <w:rsid w:val="00904403"/>
    <w:rsid w:val="0090441B"/>
    <w:rsid w:val="00904DDD"/>
    <w:rsid w:val="0090644F"/>
    <w:rsid w:val="0090741D"/>
    <w:rsid w:val="0091366C"/>
    <w:rsid w:val="00915EB8"/>
    <w:rsid w:val="00916539"/>
    <w:rsid w:val="0092172C"/>
    <w:rsid w:val="00922461"/>
    <w:rsid w:val="00922F39"/>
    <w:rsid w:val="00923702"/>
    <w:rsid w:val="00923885"/>
    <w:rsid w:val="00924869"/>
    <w:rsid w:val="00926BEF"/>
    <w:rsid w:val="009272C7"/>
    <w:rsid w:val="00930117"/>
    <w:rsid w:val="0093492B"/>
    <w:rsid w:val="00940367"/>
    <w:rsid w:val="009419F5"/>
    <w:rsid w:val="00943F15"/>
    <w:rsid w:val="009475D8"/>
    <w:rsid w:val="00947A99"/>
    <w:rsid w:val="009506C3"/>
    <w:rsid w:val="00955F0C"/>
    <w:rsid w:val="00956412"/>
    <w:rsid w:val="00956CF0"/>
    <w:rsid w:val="009577EE"/>
    <w:rsid w:val="00960157"/>
    <w:rsid w:val="009608D3"/>
    <w:rsid w:val="009625C0"/>
    <w:rsid w:val="00962ED0"/>
    <w:rsid w:val="00963F50"/>
    <w:rsid w:val="00964572"/>
    <w:rsid w:val="00973878"/>
    <w:rsid w:val="00975C9E"/>
    <w:rsid w:val="00975D83"/>
    <w:rsid w:val="0098164F"/>
    <w:rsid w:val="00984256"/>
    <w:rsid w:val="00985992"/>
    <w:rsid w:val="009900EE"/>
    <w:rsid w:val="0099152E"/>
    <w:rsid w:val="00991B67"/>
    <w:rsid w:val="00991F6B"/>
    <w:rsid w:val="00992CF2"/>
    <w:rsid w:val="009937D0"/>
    <w:rsid w:val="0099451A"/>
    <w:rsid w:val="00995393"/>
    <w:rsid w:val="00996525"/>
    <w:rsid w:val="00996F95"/>
    <w:rsid w:val="009A301D"/>
    <w:rsid w:val="009A3064"/>
    <w:rsid w:val="009A7804"/>
    <w:rsid w:val="009B5FE2"/>
    <w:rsid w:val="009B7264"/>
    <w:rsid w:val="009B73FA"/>
    <w:rsid w:val="009B7566"/>
    <w:rsid w:val="009C3DF5"/>
    <w:rsid w:val="009D22F9"/>
    <w:rsid w:val="009D6B89"/>
    <w:rsid w:val="009E2F0A"/>
    <w:rsid w:val="009E5CA9"/>
    <w:rsid w:val="009F0EC8"/>
    <w:rsid w:val="009F0FC7"/>
    <w:rsid w:val="009F58C5"/>
    <w:rsid w:val="009F6599"/>
    <w:rsid w:val="009F65CF"/>
    <w:rsid w:val="009F6A16"/>
    <w:rsid w:val="009F76CE"/>
    <w:rsid w:val="009F7B54"/>
    <w:rsid w:val="00A01D6E"/>
    <w:rsid w:val="00A0293A"/>
    <w:rsid w:val="00A0345C"/>
    <w:rsid w:val="00A039CB"/>
    <w:rsid w:val="00A0667B"/>
    <w:rsid w:val="00A06902"/>
    <w:rsid w:val="00A10E45"/>
    <w:rsid w:val="00A10FAA"/>
    <w:rsid w:val="00A11837"/>
    <w:rsid w:val="00A11E32"/>
    <w:rsid w:val="00A1296C"/>
    <w:rsid w:val="00A1330F"/>
    <w:rsid w:val="00A14417"/>
    <w:rsid w:val="00A14771"/>
    <w:rsid w:val="00A1559B"/>
    <w:rsid w:val="00A16082"/>
    <w:rsid w:val="00A23422"/>
    <w:rsid w:val="00A24B82"/>
    <w:rsid w:val="00A26506"/>
    <w:rsid w:val="00A26E2E"/>
    <w:rsid w:val="00A26F47"/>
    <w:rsid w:val="00A27295"/>
    <w:rsid w:val="00A274C4"/>
    <w:rsid w:val="00A32C3C"/>
    <w:rsid w:val="00A33297"/>
    <w:rsid w:val="00A3672A"/>
    <w:rsid w:val="00A4073F"/>
    <w:rsid w:val="00A42202"/>
    <w:rsid w:val="00A4517F"/>
    <w:rsid w:val="00A46842"/>
    <w:rsid w:val="00A46B12"/>
    <w:rsid w:val="00A510E4"/>
    <w:rsid w:val="00A51E25"/>
    <w:rsid w:val="00A5336D"/>
    <w:rsid w:val="00A534F6"/>
    <w:rsid w:val="00A53EAF"/>
    <w:rsid w:val="00A5470F"/>
    <w:rsid w:val="00A54A48"/>
    <w:rsid w:val="00A55CCF"/>
    <w:rsid w:val="00A608DE"/>
    <w:rsid w:val="00A6116C"/>
    <w:rsid w:val="00A61DCB"/>
    <w:rsid w:val="00A65372"/>
    <w:rsid w:val="00A71B76"/>
    <w:rsid w:val="00A72DA4"/>
    <w:rsid w:val="00A74B59"/>
    <w:rsid w:val="00A86E63"/>
    <w:rsid w:val="00A87883"/>
    <w:rsid w:val="00A912FB"/>
    <w:rsid w:val="00A93D50"/>
    <w:rsid w:val="00A953AF"/>
    <w:rsid w:val="00A97475"/>
    <w:rsid w:val="00AA1027"/>
    <w:rsid w:val="00AA155C"/>
    <w:rsid w:val="00AA2344"/>
    <w:rsid w:val="00AA6774"/>
    <w:rsid w:val="00AB0A70"/>
    <w:rsid w:val="00AB0CBA"/>
    <w:rsid w:val="00AB0F78"/>
    <w:rsid w:val="00AB5D13"/>
    <w:rsid w:val="00AC2860"/>
    <w:rsid w:val="00AC4009"/>
    <w:rsid w:val="00AC4B77"/>
    <w:rsid w:val="00AC6242"/>
    <w:rsid w:val="00AC6B24"/>
    <w:rsid w:val="00AC7397"/>
    <w:rsid w:val="00AC7941"/>
    <w:rsid w:val="00AD3415"/>
    <w:rsid w:val="00AD562C"/>
    <w:rsid w:val="00AE0689"/>
    <w:rsid w:val="00AE27CA"/>
    <w:rsid w:val="00AE4D56"/>
    <w:rsid w:val="00AE530B"/>
    <w:rsid w:val="00AE5ED3"/>
    <w:rsid w:val="00AE6048"/>
    <w:rsid w:val="00AE6398"/>
    <w:rsid w:val="00AF01F9"/>
    <w:rsid w:val="00AF0955"/>
    <w:rsid w:val="00AF23DF"/>
    <w:rsid w:val="00AF65E8"/>
    <w:rsid w:val="00B00233"/>
    <w:rsid w:val="00B01FC5"/>
    <w:rsid w:val="00B048D1"/>
    <w:rsid w:val="00B053FC"/>
    <w:rsid w:val="00B06132"/>
    <w:rsid w:val="00B06DE1"/>
    <w:rsid w:val="00B07A16"/>
    <w:rsid w:val="00B119A4"/>
    <w:rsid w:val="00B11F47"/>
    <w:rsid w:val="00B1349D"/>
    <w:rsid w:val="00B1510B"/>
    <w:rsid w:val="00B221F8"/>
    <w:rsid w:val="00B24471"/>
    <w:rsid w:val="00B26364"/>
    <w:rsid w:val="00B300E7"/>
    <w:rsid w:val="00B30883"/>
    <w:rsid w:val="00B33919"/>
    <w:rsid w:val="00B435DC"/>
    <w:rsid w:val="00B44324"/>
    <w:rsid w:val="00B46382"/>
    <w:rsid w:val="00B471B2"/>
    <w:rsid w:val="00B52460"/>
    <w:rsid w:val="00B542C8"/>
    <w:rsid w:val="00B54E5C"/>
    <w:rsid w:val="00B54FA6"/>
    <w:rsid w:val="00B56564"/>
    <w:rsid w:val="00B618F3"/>
    <w:rsid w:val="00B62F0E"/>
    <w:rsid w:val="00B64161"/>
    <w:rsid w:val="00B703A5"/>
    <w:rsid w:val="00B72B8F"/>
    <w:rsid w:val="00B733F1"/>
    <w:rsid w:val="00B76F5B"/>
    <w:rsid w:val="00B85149"/>
    <w:rsid w:val="00B85A68"/>
    <w:rsid w:val="00B85E9E"/>
    <w:rsid w:val="00B872CA"/>
    <w:rsid w:val="00B90DF8"/>
    <w:rsid w:val="00B912D1"/>
    <w:rsid w:val="00B93375"/>
    <w:rsid w:val="00BA05EA"/>
    <w:rsid w:val="00BA18AC"/>
    <w:rsid w:val="00BA5E30"/>
    <w:rsid w:val="00BA5FDA"/>
    <w:rsid w:val="00BA6BF7"/>
    <w:rsid w:val="00BA6C5C"/>
    <w:rsid w:val="00BB173F"/>
    <w:rsid w:val="00BB4486"/>
    <w:rsid w:val="00BB471A"/>
    <w:rsid w:val="00BB7436"/>
    <w:rsid w:val="00BC25B6"/>
    <w:rsid w:val="00BC2D95"/>
    <w:rsid w:val="00BC51AF"/>
    <w:rsid w:val="00BC51B6"/>
    <w:rsid w:val="00BC548A"/>
    <w:rsid w:val="00BC74E3"/>
    <w:rsid w:val="00BC7896"/>
    <w:rsid w:val="00BD2667"/>
    <w:rsid w:val="00BD58D6"/>
    <w:rsid w:val="00BD5BA8"/>
    <w:rsid w:val="00BD663A"/>
    <w:rsid w:val="00BE5D1A"/>
    <w:rsid w:val="00BE69FF"/>
    <w:rsid w:val="00BE6BFE"/>
    <w:rsid w:val="00BE6E37"/>
    <w:rsid w:val="00BF21E2"/>
    <w:rsid w:val="00BF3AD4"/>
    <w:rsid w:val="00BF51A9"/>
    <w:rsid w:val="00BF78D2"/>
    <w:rsid w:val="00C00E05"/>
    <w:rsid w:val="00C00EEA"/>
    <w:rsid w:val="00C03440"/>
    <w:rsid w:val="00C03A0F"/>
    <w:rsid w:val="00C04F51"/>
    <w:rsid w:val="00C061D9"/>
    <w:rsid w:val="00C0785D"/>
    <w:rsid w:val="00C12471"/>
    <w:rsid w:val="00C1314B"/>
    <w:rsid w:val="00C139B4"/>
    <w:rsid w:val="00C21A98"/>
    <w:rsid w:val="00C2234E"/>
    <w:rsid w:val="00C233C9"/>
    <w:rsid w:val="00C25E08"/>
    <w:rsid w:val="00C26B52"/>
    <w:rsid w:val="00C26B97"/>
    <w:rsid w:val="00C27C9F"/>
    <w:rsid w:val="00C31F6F"/>
    <w:rsid w:val="00C33B81"/>
    <w:rsid w:val="00C36D8B"/>
    <w:rsid w:val="00C371EC"/>
    <w:rsid w:val="00C373C4"/>
    <w:rsid w:val="00C3775C"/>
    <w:rsid w:val="00C41A4C"/>
    <w:rsid w:val="00C43E85"/>
    <w:rsid w:val="00C4532A"/>
    <w:rsid w:val="00C50746"/>
    <w:rsid w:val="00C51370"/>
    <w:rsid w:val="00C52F57"/>
    <w:rsid w:val="00C563A8"/>
    <w:rsid w:val="00C56D74"/>
    <w:rsid w:val="00C60E2D"/>
    <w:rsid w:val="00C666DF"/>
    <w:rsid w:val="00C66952"/>
    <w:rsid w:val="00C67AF4"/>
    <w:rsid w:val="00C803CF"/>
    <w:rsid w:val="00C80D41"/>
    <w:rsid w:val="00C82F46"/>
    <w:rsid w:val="00C832E2"/>
    <w:rsid w:val="00C83A08"/>
    <w:rsid w:val="00C83A8E"/>
    <w:rsid w:val="00C864AC"/>
    <w:rsid w:val="00C865A8"/>
    <w:rsid w:val="00C86B54"/>
    <w:rsid w:val="00C87A0C"/>
    <w:rsid w:val="00C91FCA"/>
    <w:rsid w:val="00C92600"/>
    <w:rsid w:val="00C93971"/>
    <w:rsid w:val="00C9414A"/>
    <w:rsid w:val="00C95146"/>
    <w:rsid w:val="00C95C78"/>
    <w:rsid w:val="00CA09CA"/>
    <w:rsid w:val="00CA2A9F"/>
    <w:rsid w:val="00CA2E79"/>
    <w:rsid w:val="00CA4783"/>
    <w:rsid w:val="00CA56CF"/>
    <w:rsid w:val="00CA72B1"/>
    <w:rsid w:val="00CB18A8"/>
    <w:rsid w:val="00CB3195"/>
    <w:rsid w:val="00CB6EFC"/>
    <w:rsid w:val="00CB716E"/>
    <w:rsid w:val="00CB7B20"/>
    <w:rsid w:val="00CC20A4"/>
    <w:rsid w:val="00CC3BF6"/>
    <w:rsid w:val="00CC3E6C"/>
    <w:rsid w:val="00CC3F8C"/>
    <w:rsid w:val="00CC6F91"/>
    <w:rsid w:val="00CC709B"/>
    <w:rsid w:val="00CD1290"/>
    <w:rsid w:val="00CD2C77"/>
    <w:rsid w:val="00CD7BEE"/>
    <w:rsid w:val="00CE15FB"/>
    <w:rsid w:val="00CE1FD2"/>
    <w:rsid w:val="00CE3AE9"/>
    <w:rsid w:val="00CE3C7E"/>
    <w:rsid w:val="00CE3D65"/>
    <w:rsid w:val="00CE4C5C"/>
    <w:rsid w:val="00CF1EA7"/>
    <w:rsid w:val="00CF227D"/>
    <w:rsid w:val="00CF2533"/>
    <w:rsid w:val="00CF63AC"/>
    <w:rsid w:val="00CF647A"/>
    <w:rsid w:val="00CF6940"/>
    <w:rsid w:val="00CF6983"/>
    <w:rsid w:val="00D03397"/>
    <w:rsid w:val="00D03C20"/>
    <w:rsid w:val="00D06E82"/>
    <w:rsid w:val="00D1347C"/>
    <w:rsid w:val="00D14106"/>
    <w:rsid w:val="00D15DB3"/>
    <w:rsid w:val="00D16FA5"/>
    <w:rsid w:val="00D21C94"/>
    <w:rsid w:val="00D24C3D"/>
    <w:rsid w:val="00D24FA1"/>
    <w:rsid w:val="00D27B55"/>
    <w:rsid w:val="00D3010A"/>
    <w:rsid w:val="00D33052"/>
    <w:rsid w:val="00D3354F"/>
    <w:rsid w:val="00D37EB3"/>
    <w:rsid w:val="00D40302"/>
    <w:rsid w:val="00D46C82"/>
    <w:rsid w:val="00D55040"/>
    <w:rsid w:val="00D552CD"/>
    <w:rsid w:val="00D566E3"/>
    <w:rsid w:val="00D56AC2"/>
    <w:rsid w:val="00D571B5"/>
    <w:rsid w:val="00D60787"/>
    <w:rsid w:val="00D61913"/>
    <w:rsid w:val="00D623C4"/>
    <w:rsid w:val="00D63EAB"/>
    <w:rsid w:val="00D64210"/>
    <w:rsid w:val="00D64FF8"/>
    <w:rsid w:val="00D70871"/>
    <w:rsid w:val="00D719EF"/>
    <w:rsid w:val="00D72710"/>
    <w:rsid w:val="00D72ADD"/>
    <w:rsid w:val="00D746F8"/>
    <w:rsid w:val="00D75665"/>
    <w:rsid w:val="00D761FB"/>
    <w:rsid w:val="00D80D0A"/>
    <w:rsid w:val="00D818E9"/>
    <w:rsid w:val="00D81E22"/>
    <w:rsid w:val="00D83055"/>
    <w:rsid w:val="00D8474C"/>
    <w:rsid w:val="00D9563B"/>
    <w:rsid w:val="00D956F2"/>
    <w:rsid w:val="00D95F59"/>
    <w:rsid w:val="00D974E5"/>
    <w:rsid w:val="00DA3648"/>
    <w:rsid w:val="00DA4313"/>
    <w:rsid w:val="00DA47AE"/>
    <w:rsid w:val="00DA4A63"/>
    <w:rsid w:val="00DA5CF7"/>
    <w:rsid w:val="00DB0E41"/>
    <w:rsid w:val="00DB733A"/>
    <w:rsid w:val="00DC0334"/>
    <w:rsid w:val="00DC371F"/>
    <w:rsid w:val="00DC530E"/>
    <w:rsid w:val="00DC6294"/>
    <w:rsid w:val="00DD0717"/>
    <w:rsid w:val="00DD1AE6"/>
    <w:rsid w:val="00DD63F4"/>
    <w:rsid w:val="00DD737F"/>
    <w:rsid w:val="00DD7747"/>
    <w:rsid w:val="00DE2298"/>
    <w:rsid w:val="00DE2F76"/>
    <w:rsid w:val="00DE32D9"/>
    <w:rsid w:val="00DE3A25"/>
    <w:rsid w:val="00DE416A"/>
    <w:rsid w:val="00DF2CE9"/>
    <w:rsid w:val="00E003ED"/>
    <w:rsid w:val="00E00DDD"/>
    <w:rsid w:val="00E00E24"/>
    <w:rsid w:val="00E03435"/>
    <w:rsid w:val="00E03C2D"/>
    <w:rsid w:val="00E04C95"/>
    <w:rsid w:val="00E066E2"/>
    <w:rsid w:val="00E107B3"/>
    <w:rsid w:val="00E10ADC"/>
    <w:rsid w:val="00E10DC0"/>
    <w:rsid w:val="00E128A4"/>
    <w:rsid w:val="00E13F82"/>
    <w:rsid w:val="00E21820"/>
    <w:rsid w:val="00E2256E"/>
    <w:rsid w:val="00E241E7"/>
    <w:rsid w:val="00E3075E"/>
    <w:rsid w:val="00E33FF5"/>
    <w:rsid w:val="00E3668E"/>
    <w:rsid w:val="00E40778"/>
    <w:rsid w:val="00E41051"/>
    <w:rsid w:val="00E432D3"/>
    <w:rsid w:val="00E436B8"/>
    <w:rsid w:val="00E43DC8"/>
    <w:rsid w:val="00E4475D"/>
    <w:rsid w:val="00E44A1F"/>
    <w:rsid w:val="00E47B45"/>
    <w:rsid w:val="00E50FFB"/>
    <w:rsid w:val="00E51EEF"/>
    <w:rsid w:val="00E51FA8"/>
    <w:rsid w:val="00E54FA7"/>
    <w:rsid w:val="00E56C8C"/>
    <w:rsid w:val="00E576E0"/>
    <w:rsid w:val="00E622DD"/>
    <w:rsid w:val="00E64DEB"/>
    <w:rsid w:val="00E65956"/>
    <w:rsid w:val="00E6639F"/>
    <w:rsid w:val="00E67E5F"/>
    <w:rsid w:val="00E72E1B"/>
    <w:rsid w:val="00E74064"/>
    <w:rsid w:val="00E74943"/>
    <w:rsid w:val="00E75AA6"/>
    <w:rsid w:val="00E75D6D"/>
    <w:rsid w:val="00E76100"/>
    <w:rsid w:val="00E76AF2"/>
    <w:rsid w:val="00E77614"/>
    <w:rsid w:val="00E81D06"/>
    <w:rsid w:val="00E837DE"/>
    <w:rsid w:val="00E838DB"/>
    <w:rsid w:val="00E84F98"/>
    <w:rsid w:val="00E910AD"/>
    <w:rsid w:val="00E910B2"/>
    <w:rsid w:val="00E91188"/>
    <w:rsid w:val="00E916FF"/>
    <w:rsid w:val="00E93676"/>
    <w:rsid w:val="00E93698"/>
    <w:rsid w:val="00E95811"/>
    <w:rsid w:val="00E95CC1"/>
    <w:rsid w:val="00E965C5"/>
    <w:rsid w:val="00EA13E2"/>
    <w:rsid w:val="00EA1467"/>
    <w:rsid w:val="00EA48B9"/>
    <w:rsid w:val="00EA4A79"/>
    <w:rsid w:val="00EA6951"/>
    <w:rsid w:val="00EA6C60"/>
    <w:rsid w:val="00EB05C6"/>
    <w:rsid w:val="00EB2050"/>
    <w:rsid w:val="00EB353C"/>
    <w:rsid w:val="00EB47B9"/>
    <w:rsid w:val="00EB5AE8"/>
    <w:rsid w:val="00EB6183"/>
    <w:rsid w:val="00EB6DAB"/>
    <w:rsid w:val="00EC0D49"/>
    <w:rsid w:val="00EC26FF"/>
    <w:rsid w:val="00EC2AE7"/>
    <w:rsid w:val="00EC6A2D"/>
    <w:rsid w:val="00ED1B4C"/>
    <w:rsid w:val="00ED35E6"/>
    <w:rsid w:val="00ED6E62"/>
    <w:rsid w:val="00ED74F0"/>
    <w:rsid w:val="00EE0FF2"/>
    <w:rsid w:val="00EE650A"/>
    <w:rsid w:val="00EF00C4"/>
    <w:rsid w:val="00EF1187"/>
    <w:rsid w:val="00EF3CBF"/>
    <w:rsid w:val="00F002F3"/>
    <w:rsid w:val="00F03771"/>
    <w:rsid w:val="00F04D86"/>
    <w:rsid w:val="00F06E7F"/>
    <w:rsid w:val="00F1266A"/>
    <w:rsid w:val="00F172A5"/>
    <w:rsid w:val="00F177CA"/>
    <w:rsid w:val="00F20412"/>
    <w:rsid w:val="00F20B1C"/>
    <w:rsid w:val="00F231C2"/>
    <w:rsid w:val="00F33561"/>
    <w:rsid w:val="00F37428"/>
    <w:rsid w:val="00F37F02"/>
    <w:rsid w:val="00F37FDE"/>
    <w:rsid w:val="00F408FA"/>
    <w:rsid w:val="00F42D3B"/>
    <w:rsid w:val="00F43985"/>
    <w:rsid w:val="00F4621D"/>
    <w:rsid w:val="00F47A15"/>
    <w:rsid w:val="00F51356"/>
    <w:rsid w:val="00F52FED"/>
    <w:rsid w:val="00F53336"/>
    <w:rsid w:val="00F53B56"/>
    <w:rsid w:val="00F53D7F"/>
    <w:rsid w:val="00F5424B"/>
    <w:rsid w:val="00F55CD9"/>
    <w:rsid w:val="00F615F2"/>
    <w:rsid w:val="00F66435"/>
    <w:rsid w:val="00F6675B"/>
    <w:rsid w:val="00F66766"/>
    <w:rsid w:val="00F70E41"/>
    <w:rsid w:val="00F740B4"/>
    <w:rsid w:val="00F76A50"/>
    <w:rsid w:val="00F77237"/>
    <w:rsid w:val="00F773DB"/>
    <w:rsid w:val="00F8081C"/>
    <w:rsid w:val="00F84538"/>
    <w:rsid w:val="00F86E9C"/>
    <w:rsid w:val="00F94AC9"/>
    <w:rsid w:val="00F97661"/>
    <w:rsid w:val="00FA1D08"/>
    <w:rsid w:val="00FA4E36"/>
    <w:rsid w:val="00FA5AD9"/>
    <w:rsid w:val="00FB01C5"/>
    <w:rsid w:val="00FB4191"/>
    <w:rsid w:val="00FB4213"/>
    <w:rsid w:val="00FB7701"/>
    <w:rsid w:val="00FC2B93"/>
    <w:rsid w:val="00FC2C41"/>
    <w:rsid w:val="00FC4C76"/>
    <w:rsid w:val="00FD18D9"/>
    <w:rsid w:val="00FD5C08"/>
    <w:rsid w:val="00FD5F2D"/>
    <w:rsid w:val="00FD736C"/>
    <w:rsid w:val="00FE1037"/>
    <w:rsid w:val="00FE1043"/>
    <w:rsid w:val="00FE109E"/>
    <w:rsid w:val="00FE459F"/>
    <w:rsid w:val="00FF2419"/>
    <w:rsid w:val="00FF2AD8"/>
    <w:rsid w:val="00FF637D"/>
    <w:rsid w:val="00FF6BE8"/>
    <w:rsid w:val="00FF729B"/>
    <w:rsid w:val="00FF749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750686B"/>
  <w15:docId w15:val="{CACA9EA3-9726-4C62-A5F3-EDF03C3BA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B3331"/>
    <w:rPr>
      <w:sz w:val="24"/>
    </w:rPr>
  </w:style>
  <w:style w:type="paragraph" w:styleId="Heading1">
    <w:name w:val="heading 1"/>
    <w:basedOn w:val="Normal"/>
    <w:next w:val="Normal"/>
    <w:link w:val="Heading1Char"/>
    <w:qFormat/>
    <w:pPr>
      <w:keepNext/>
      <w:tabs>
        <w:tab w:val="left" w:pos="-1440"/>
      </w:tabs>
      <w:outlineLvl w:val="0"/>
    </w:pPr>
    <w:rPr>
      <w:b/>
      <w:bCs/>
      <w:u w:val="single"/>
    </w:rPr>
  </w:style>
  <w:style w:type="paragraph" w:styleId="Heading2">
    <w:name w:val="heading 2"/>
    <w:basedOn w:val="Normal"/>
    <w:next w:val="Normal"/>
    <w:link w:val="Heading2Char"/>
    <w:qFormat/>
    <w:rsid w:val="0055612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i/>
      <w:iCs/>
    </w:rPr>
  </w:style>
  <w:style w:type="paragraph" w:styleId="BodyTextIndent2">
    <w:name w:val="Body Text Indent 2"/>
    <w:basedOn w:val="Normal"/>
    <w:pPr>
      <w:ind w:left="720"/>
    </w:pPr>
  </w:style>
  <w:style w:type="paragraph" w:styleId="BodyTextIndent3">
    <w:name w:val="Body Text Indent 3"/>
    <w:basedOn w:val="Normal"/>
    <w:pPr>
      <w:ind w:firstLine="720"/>
    </w:pPr>
  </w:style>
  <w:style w:type="paragraph" w:styleId="DocumentMap">
    <w:name w:val="Document Map"/>
    <w:basedOn w:val="Normal"/>
    <w:semiHidden/>
    <w:rsid w:val="00BD58D6"/>
    <w:pPr>
      <w:shd w:val="clear" w:color="auto" w:fill="000080"/>
    </w:pPr>
    <w:rPr>
      <w:rFonts w:ascii="Tahoma" w:hAnsi="Tahoma" w:cs="Tahoma"/>
      <w:sz w:val="20"/>
    </w:rPr>
  </w:style>
  <w:style w:type="character" w:styleId="CommentReference">
    <w:name w:val="annotation reference"/>
    <w:uiPriority w:val="99"/>
    <w:rsid w:val="005E1349"/>
    <w:rPr>
      <w:sz w:val="16"/>
      <w:szCs w:val="16"/>
    </w:rPr>
  </w:style>
  <w:style w:type="paragraph" w:styleId="CommentText">
    <w:name w:val="annotation text"/>
    <w:aliases w:val="t"/>
    <w:basedOn w:val="Normal"/>
    <w:link w:val="CommentTextChar"/>
    <w:uiPriority w:val="99"/>
    <w:rsid w:val="005E1349"/>
    <w:rPr>
      <w:sz w:val="20"/>
    </w:rPr>
  </w:style>
  <w:style w:type="character" w:customStyle="1" w:styleId="CommentTextChar">
    <w:name w:val="Comment Text Char"/>
    <w:aliases w:val="t Char"/>
    <w:basedOn w:val="DefaultParagraphFont"/>
    <w:link w:val="CommentText"/>
    <w:uiPriority w:val="99"/>
    <w:rsid w:val="005E1349"/>
  </w:style>
  <w:style w:type="paragraph" w:styleId="CommentSubject">
    <w:name w:val="annotation subject"/>
    <w:basedOn w:val="CommentText"/>
    <w:next w:val="CommentText"/>
    <w:link w:val="CommentSubjectChar"/>
    <w:rsid w:val="005E1349"/>
    <w:rPr>
      <w:b/>
      <w:bCs/>
    </w:rPr>
  </w:style>
  <w:style w:type="character" w:customStyle="1" w:styleId="CommentSubjectChar">
    <w:name w:val="Comment Subject Char"/>
    <w:link w:val="CommentSubject"/>
    <w:rsid w:val="005E1349"/>
    <w:rPr>
      <w:b/>
      <w:bCs/>
    </w:rPr>
  </w:style>
  <w:style w:type="paragraph" w:styleId="BalloonText">
    <w:name w:val="Balloon Text"/>
    <w:basedOn w:val="Normal"/>
    <w:link w:val="BalloonTextChar"/>
    <w:rsid w:val="005E1349"/>
    <w:rPr>
      <w:rFonts w:ascii="Tahoma" w:hAnsi="Tahoma" w:cs="Tahoma"/>
      <w:sz w:val="16"/>
      <w:szCs w:val="16"/>
    </w:rPr>
  </w:style>
  <w:style w:type="character" w:customStyle="1" w:styleId="BalloonTextChar">
    <w:name w:val="Balloon Text Char"/>
    <w:link w:val="BalloonText"/>
    <w:rsid w:val="005E1349"/>
    <w:rPr>
      <w:rFonts w:ascii="Tahoma" w:hAnsi="Tahoma" w:cs="Tahoma"/>
      <w:sz w:val="16"/>
      <w:szCs w:val="16"/>
    </w:rPr>
  </w:style>
  <w:style w:type="paragraph" w:styleId="Revision">
    <w:name w:val="Revision"/>
    <w:hidden/>
    <w:uiPriority w:val="99"/>
    <w:semiHidden/>
    <w:rsid w:val="007C6EEB"/>
    <w:rPr>
      <w:sz w:val="24"/>
    </w:rPr>
  </w:style>
  <w:style w:type="table" w:styleId="TableGrid">
    <w:name w:val="Table Grid"/>
    <w:basedOn w:val="TableNormal"/>
    <w:uiPriority w:val="39"/>
    <w:rsid w:val="002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3151F2"/>
    <w:pPr>
      <w:ind w:left="720"/>
      <w:contextualSpacing/>
    </w:pPr>
  </w:style>
  <w:style w:type="character" w:styleId="Hyperlink">
    <w:name w:val="Hyperlink"/>
    <w:uiPriority w:val="99"/>
    <w:unhideWhenUsed/>
    <w:rsid w:val="00D46C82"/>
    <w:rPr>
      <w:color w:val="0563C1"/>
      <w:u w:val="single"/>
    </w:rPr>
  </w:style>
  <w:style w:type="paragraph" w:styleId="Header">
    <w:name w:val="header"/>
    <w:basedOn w:val="Normal"/>
    <w:link w:val="HeaderChar"/>
    <w:unhideWhenUsed/>
    <w:rsid w:val="007B3A96"/>
    <w:pPr>
      <w:tabs>
        <w:tab w:val="center" w:pos="4680"/>
        <w:tab w:val="right" w:pos="9360"/>
      </w:tabs>
    </w:pPr>
  </w:style>
  <w:style w:type="character" w:customStyle="1" w:styleId="HeaderChar">
    <w:name w:val="Header Char"/>
    <w:basedOn w:val="DefaultParagraphFont"/>
    <w:link w:val="Header"/>
    <w:rsid w:val="007B3A96"/>
    <w:rPr>
      <w:sz w:val="24"/>
    </w:rPr>
  </w:style>
  <w:style w:type="paragraph" w:styleId="Footer">
    <w:name w:val="footer"/>
    <w:basedOn w:val="Normal"/>
    <w:link w:val="FooterChar"/>
    <w:uiPriority w:val="99"/>
    <w:unhideWhenUsed/>
    <w:rsid w:val="007B3A96"/>
    <w:pPr>
      <w:tabs>
        <w:tab w:val="center" w:pos="4680"/>
        <w:tab w:val="right" w:pos="9360"/>
      </w:tabs>
    </w:pPr>
  </w:style>
  <w:style w:type="character" w:customStyle="1" w:styleId="FooterChar">
    <w:name w:val="Footer Char"/>
    <w:basedOn w:val="DefaultParagraphFont"/>
    <w:link w:val="Footer"/>
    <w:uiPriority w:val="99"/>
    <w:rsid w:val="007B3A96"/>
    <w:rPr>
      <w:sz w:val="24"/>
    </w:rPr>
  </w:style>
  <w:style w:type="paragraph" w:customStyle="1" w:styleId="BodyText1">
    <w:name w:val="Body Text1"/>
    <w:basedOn w:val="Normal"/>
    <w:link w:val="bodytextChar"/>
    <w:rsid w:val="005E2B7E"/>
    <w:pPr>
      <w:spacing w:after="240"/>
    </w:pPr>
    <w:rPr>
      <w:sz w:val="22"/>
      <w:szCs w:val="22"/>
    </w:rPr>
  </w:style>
  <w:style w:type="character" w:customStyle="1" w:styleId="bodytextChar">
    <w:name w:val="body text Char"/>
    <w:basedOn w:val="DefaultParagraphFont"/>
    <w:link w:val="BodyText1"/>
    <w:rsid w:val="005E2B7E"/>
    <w:rPr>
      <w:sz w:val="22"/>
      <w:szCs w:val="22"/>
    </w:rPr>
  </w:style>
  <w:style w:type="character" w:styleId="FollowedHyperlink">
    <w:name w:val="FollowedHyperlink"/>
    <w:basedOn w:val="DefaultParagraphFont"/>
    <w:semiHidden/>
    <w:unhideWhenUsed/>
    <w:rsid w:val="00923702"/>
    <w:rPr>
      <w:color w:val="800080" w:themeColor="followedHyperlink"/>
      <w:u w:val="single"/>
    </w:rPr>
  </w:style>
  <w:style w:type="table" w:customStyle="1" w:styleId="TableGrid1">
    <w:name w:val="Table Grid1"/>
    <w:basedOn w:val="TableNormal"/>
    <w:next w:val="TableGrid"/>
    <w:uiPriority w:val="59"/>
    <w:rsid w:val="002D5147"/>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18"/>
    <w:basedOn w:val="Normal"/>
    <w:link w:val="FootnoteTextChar"/>
    <w:unhideWhenUsed/>
    <w:qFormat/>
    <w:rsid w:val="009900EE"/>
    <w:rPr>
      <w:sz w:val="20"/>
    </w:rPr>
  </w:style>
  <w:style w:type="character" w:customStyle="1" w:styleId="FootnoteTextChar">
    <w:name w:val="Footnote Text Char"/>
    <w:aliases w:val="Char18 Char"/>
    <w:basedOn w:val="DefaultParagraphFont"/>
    <w:link w:val="FootnoteText"/>
    <w:rsid w:val="009900EE"/>
  </w:style>
  <w:style w:type="character" w:styleId="FootnoteReference">
    <w:name w:val="footnote reference"/>
    <w:basedOn w:val="DefaultParagraphFont"/>
    <w:semiHidden/>
    <w:unhideWhenUsed/>
    <w:rsid w:val="009900EE"/>
    <w:rPr>
      <w:vertAlign w:val="superscript"/>
    </w:rPr>
  </w:style>
  <w:style w:type="paragraph" w:styleId="BodyText">
    <w:name w:val="Body Text"/>
    <w:basedOn w:val="Normal"/>
    <w:link w:val="BodyTextChar0"/>
    <w:unhideWhenUsed/>
    <w:rsid w:val="008C139D"/>
    <w:pPr>
      <w:spacing w:after="120"/>
    </w:pPr>
  </w:style>
  <w:style w:type="character" w:customStyle="1" w:styleId="BodyTextChar0">
    <w:name w:val="Body Text Char"/>
    <w:basedOn w:val="DefaultParagraphFont"/>
    <w:link w:val="BodyText"/>
    <w:rsid w:val="008C139D"/>
    <w:rPr>
      <w:sz w:val="24"/>
    </w:rPr>
  </w:style>
  <w:style w:type="character" w:customStyle="1" w:styleId="UnresolvedMention1">
    <w:name w:val="Unresolved Mention1"/>
    <w:basedOn w:val="DefaultParagraphFont"/>
    <w:uiPriority w:val="99"/>
    <w:semiHidden/>
    <w:unhideWhenUsed/>
    <w:rsid w:val="00633075"/>
    <w:rPr>
      <w:color w:val="605E5C"/>
      <w:shd w:val="clear" w:color="auto" w:fill="E1DFDD"/>
    </w:rPr>
  </w:style>
  <w:style w:type="character" w:customStyle="1" w:styleId="UnresolvedMention2">
    <w:name w:val="Unresolved Mention2"/>
    <w:basedOn w:val="DefaultParagraphFont"/>
    <w:uiPriority w:val="99"/>
    <w:semiHidden/>
    <w:unhideWhenUsed/>
    <w:rsid w:val="006062D5"/>
    <w:rPr>
      <w:color w:val="605E5C"/>
      <w:shd w:val="clear" w:color="auto" w:fill="E1DFDD"/>
    </w:rPr>
  </w:style>
  <w:style w:type="character" w:customStyle="1" w:styleId="UnresolvedMention3">
    <w:name w:val="Unresolved Mention3"/>
    <w:basedOn w:val="DefaultParagraphFont"/>
    <w:uiPriority w:val="99"/>
    <w:semiHidden/>
    <w:unhideWhenUsed/>
    <w:rsid w:val="00BA05EA"/>
    <w:rPr>
      <w:color w:val="605E5C"/>
      <w:shd w:val="clear" w:color="auto" w:fill="E1DFDD"/>
    </w:rPr>
  </w:style>
  <w:style w:type="paragraph" w:styleId="ListContinue">
    <w:name w:val="List Continue"/>
    <w:basedOn w:val="Normal"/>
    <w:unhideWhenUsed/>
    <w:rsid w:val="00DB0E41"/>
    <w:pPr>
      <w:spacing w:after="120"/>
      <w:ind w:left="1080"/>
    </w:pPr>
    <w:rPr>
      <w:sz w:val="22"/>
      <w:szCs w:val="22"/>
    </w:rPr>
  </w:style>
  <w:style w:type="paragraph" w:styleId="NormalWeb">
    <w:name w:val="Normal (Web)"/>
    <w:basedOn w:val="Normal"/>
    <w:uiPriority w:val="99"/>
    <w:semiHidden/>
    <w:unhideWhenUsed/>
    <w:rsid w:val="00DB0E41"/>
    <w:pPr>
      <w:spacing w:before="100" w:beforeAutospacing="1" w:after="100" w:afterAutospacing="1"/>
    </w:pPr>
    <w:rPr>
      <w:szCs w:val="24"/>
    </w:rPr>
  </w:style>
  <w:style w:type="paragraph" w:styleId="NoSpacing">
    <w:name w:val="No Spacing"/>
    <w:uiPriority w:val="1"/>
    <w:qFormat/>
    <w:rsid w:val="0006652A"/>
    <w:rPr>
      <w:rFonts w:ascii="Calibri" w:eastAsia="Calibri" w:hAnsi="Calibri"/>
      <w:sz w:val="22"/>
      <w:szCs w:val="22"/>
    </w:rPr>
  </w:style>
  <w:style w:type="paragraph" w:customStyle="1" w:styleId="AppHeading1">
    <w:name w:val="App Heading 1"/>
    <w:basedOn w:val="Heading1"/>
    <w:rsid w:val="004616B7"/>
    <w:pPr>
      <w:keepNext w:val="0"/>
      <w:tabs>
        <w:tab w:val="clear" w:pos="-1440"/>
      </w:tabs>
      <w:spacing w:before="240" w:after="180"/>
      <w:jc w:val="center"/>
    </w:pPr>
    <w:rPr>
      <w:bCs w:val="0"/>
      <w:caps/>
      <w:szCs w:val="24"/>
      <w:u w:val="none"/>
    </w:rPr>
  </w:style>
  <w:style w:type="paragraph" w:styleId="Title">
    <w:name w:val="Title"/>
    <w:basedOn w:val="Normal"/>
    <w:link w:val="TitleChar"/>
    <w:qFormat/>
    <w:rsid w:val="00C83A08"/>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83A08"/>
    <w:rPr>
      <w:rFonts w:ascii="Arial" w:hAnsi="Arial" w:cs="Arial"/>
      <w:b/>
      <w:bCs/>
      <w:kern w:val="28"/>
      <w:sz w:val="32"/>
      <w:szCs w:val="32"/>
    </w:rPr>
  </w:style>
  <w:style w:type="paragraph" w:styleId="TOCHeading">
    <w:name w:val="TOC Heading"/>
    <w:basedOn w:val="Heading1"/>
    <w:next w:val="Normal"/>
    <w:uiPriority w:val="39"/>
    <w:unhideWhenUsed/>
    <w:qFormat/>
    <w:rsid w:val="00252CBA"/>
    <w:pPr>
      <w:keepLines/>
      <w:tabs>
        <w:tab w:val="clear" w:pos="-1440"/>
      </w:tabs>
      <w:spacing w:before="240" w:line="259" w:lineRule="auto"/>
      <w:outlineLvl w:val="9"/>
    </w:pPr>
    <w:rPr>
      <w:rFonts w:asciiTheme="majorHAnsi" w:eastAsiaTheme="majorEastAsia" w:hAnsiTheme="majorHAnsi" w:cstheme="majorBidi"/>
      <w:b w:val="0"/>
      <w:bCs w:val="0"/>
      <w:color w:val="365F91" w:themeColor="accent1" w:themeShade="BF"/>
      <w:sz w:val="32"/>
      <w:szCs w:val="32"/>
      <w:u w:val="none"/>
    </w:rPr>
  </w:style>
  <w:style w:type="paragraph" w:styleId="TOC1">
    <w:name w:val="toc 1"/>
    <w:basedOn w:val="Normal"/>
    <w:next w:val="Normal"/>
    <w:autoRedefine/>
    <w:uiPriority w:val="39"/>
    <w:unhideWhenUsed/>
    <w:rsid w:val="00252CBA"/>
    <w:pPr>
      <w:spacing w:after="100"/>
    </w:pPr>
  </w:style>
  <w:style w:type="character" w:customStyle="1" w:styleId="Heading2Char">
    <w:name w:val="Heading 2 Char"/>
    <w:basedOn w:val="DefaultParagraphFont"/>
    <w:link w:val="Heading2"/>
    <w:rsid w:val="00556124"/>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255BAC"/>
    <w:pPr>
      <w:tabs>
        <w:tab w:val="right" w:leader="dot" w:pos="9350"/>
      </w:tabs>
      <w:spacing w:after="100" w:line="276" w:lineRule="auto"/>
      <w:ind w:left="720"/>
    </w:pPr>
  </w:style>
  <w:style w:type="paragraph" w:customStyle="1" w:styleId="TOC0">
    <w:name w:val="TOC 0"/>
    <w:basedOn w:val="Normal"/>
    <w:rsid w:val="00043183"/>
    <w:pPr>
      <w:spacing w:before="240" w:after="240"/>
      <w:jc w:val="center"/>
    </w:pPr>
    <w:rPr>
      <w:b/>
      <w:caps/>
      <w:szCs w:val="24"/>
    </w:rPr>
  </w:style>
  <w:style w:type="paragraph" w:customStyle="1" w:styleId="Default">
    <w:name w:val="Default"/>
    <w:rsid w:val="005615C2"/>
    <w:pPr>
      <w:autoSpaceDE w:val="0"/>
      <w:autoSpaceDN w:val="0"/>
      <w:adjustRightInd w:val="0"/>
    </w:pPr>
    <w:rPr>
      <w:rFonts w:ascii="Arial" w:hAnsi="Arial" w:cs="Arial"/>
      <w:color w:val="000000"/>
      <w:sz w:val="24"/>
      <w:szCs w:val="24"/>
    </w:rPr>
  </w:style>
  <w:style w:type="paragraph" w:customStyle="1" w:styleId="TableCaption">
    <w:name w:val="Table Caption"/>
    <w:basedOn w:val="Caption"/>
    <w:link w:val="TableCaptionChar"/>
    <w:qFormat/>
    <w:rsid w:val="004D292C"/>
    <w:pPr>
      <w:contextualSpacing/>
      <w:jc w:val="center"/>
    </w:pPr>
    <w:rPr>
      <w:b/>
      <w:i w:val="0"/>
      <w:color w:val="auto"/>
      <w:sz w:val="22"/>
      <w:szCs w:val="24"/>
    </w:rPr>
  </w:style>
  <w:style w:type="character" w:customStyle="1" w:styleId="TableCaptionChar">
    <w:name w:val="Table Caption Char"/>
    <w:basedOn w:val="bodytextChar"/>
    <w:link w:val="TableCaption"/>
    <w:rsid w:val="004D292C"/>
    <w:rPr>
      <w:b/>
      <w:iCs/>
      <w:sz w:val="22"/>
      <w:szCs w:val="24"/>
    </w:rPr>
  </w:style>
  <w:style w:type="paragraph" w:styleId="Caption">
    <w:name w:val="caption"/>
    <w:basedOn w:val="Normal"/>
    <w:next w:val="Normal"/>
    <w:semiHidden/>
    <w:unhideWhenUsed/>
    <w:qFormat/>
    <w:rsid w:val="004D292C"/>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A32C3C"/>
    <w:rPr>
      <w:color w:val="605E5C"/>
      <w:shd w:val="clear" w:color="auto" w:fill="E1DFDD"/>
    </w:rPr>
  </w:style>
  <w:style w:type="character" w:customStyle="1" w:styleId="Heading1Char">
    <w:name w:val="Heading 1 Char"/>
    <w:basedOn w:val="DefaultParagraphFont"/>
    <w:link w:val="Heading1"/>
    <w:rsid w:val="003F178D"/>
    <w:rPr>
      <w:b/>
      <w:bC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ms.gov/Medicare/Quality-Initiatives-Patient-Assessment-Instruments/NursingHomeQualityInits/MDS30RAIManual"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downloads.cms.gov/files/mds-3.0-rai-manual-v1.17.1_october_2019.pdf" TargetMode="External" /><Relationship Id="rId7" Type="http://schemas.openxmlformats.org/officeDocument/2006/relationships/hyperlink" Target="http://www.bls.gov/oes/current/oes_nat.htm" TargetMode="External" /><Relationship Id="rId8" Type="http://schemas.openxmlformats.org/officeDocument/2006/relationships/footer" Target="footer1.xml" /><Relationship Id="rId9" Type="http://schemas.openxmlformats.org/officeDocument/2006/relationships/hyperlink" Target="https://downloads.cms.gov/files/1-MDS-30-RAI-Manual-v1-16-October-1-2018.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C3882-46D7-4E31-BC4A-B2A43A9E3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4741</Words>
  <Characters>28277</Characters>
  <Application>Microsoft Office Word</Application>
  <DocSecurity>0</DocSecurity>
  <Lines>235</Lines>
  <Paragraphs>65</Paragraphs>
  <ScaleCrop>false</ScaleCrop>
  <HeadingPairs>
    <vt:vector size="2" baseType="variant">
      <vt:variant>
        <vt:lpstr>Title</vt:lpstr>
      </vt:variant>
      <vt:variant>
        <vt:i4>1</vt:i4>
      </vt:variant>
    </vt:vector>
  </HeadingPairs>
  <TitlesOfParts>
    <vt:vector size="1" baseType="lpstr">
      <vt:lpstr>Supporting Statement for Skilled Nursing Facility (SNF)</vt:lpstr>
    </vt:vector>
  </TitlesOfParts>
  <Company/>
  <LinksUpToDate>false</LinksUpToDate>
  <CharactersWithSpaces>32953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Skilled Nursing Facility (SNF)</dc:title>
  <dc:subject>Supporting Statement-Part A</dc:subject>
  <dc:creator>Centers for Medicare &amp; Medicaid Services (CMS)</dc:creator>
  <cp:keywords>Supporting Statement Part A, MDS, SNF</cp:keywords>
  <cp:lastModifiedBy>Denise King</cp:lastModifiedBy>
  <cp:revision>2</cp:revision>
  <cp:lastPrinted>2019-05-02T13:33:00Z</cp:lastPrinted>
  <dcterms:created xsi:type="dcterms:W3CDTF">2023-04-19T12:49:00Z</dcterms:created>
  <dcterms:modified xsi:type="dcterms:W3CDTF">2023-04-19T12:49:00Z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_NewReviewCycle">
    <vt:lpwstr/>
  </property>
</Properties>
</file>