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72DC" w:rsidP="007E72DC" w14:paraId="0462CCF0" w14:textId="04C79B69">
      <w:pPr>
        <w:pStyle w:val="xxxmsonormal"/>
        <w:ind w:left="720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institutional trust, </w:t>
      </w:r>
      <w:r w:rsidR="00AE59FE">
        <w:t xml:space="preserve">the end of the public health emergency, and </w:t>
      </w:r>
      <w:r>
        <w:t xml:space="preserve">parents’ vaccination attitudes. New or modified questions include those on reasons for waiting on getting the vaccine, parents’ vaccination attitudes, and testing new messages. </w:t>
      </w:r>
    </w:p>
    <w:p w:rsidR="00AE59FE" w:rsidP="007E72DC" w14:paraId="37541A36" w14:textId="43577B66">
      <w:pPr>
        <w:pStyle w:val="xxxmsonormal"/>
        <w:ind w:left="720"/>
      </w:pPr>
    </w:p>
    <w:p w:rsidR="00AE59FE" w:rsidP="00AE59FE" w14:paraId="6CD95DB1" w14:textId="77777777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  <w:b/>
          <w:bCs/>
        </w:rPr>
        <w:t>HHS &amp; CDC trust (Q1-2, refield):</w:t>
      </w:r>
      <w:r>
        <w:rPr>
          <w:rFonts w:ascii="Franklin Gothic Book" w:eastAsia="Times New Roman" w:hAnsi="Franklin Gothic Book"/>
        </w:rPr>
        <w:t xml:space="preserve"> Rotating in our regular questions about trusting HHS and CDC for information about COVID.</w:t>
      </w:r>
    </w:p>
    <w:p w:rsidR="00AE59FE" w:rsidP="00AE59FE" w14:paraId="69EC538C" w14:textId="77777777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  <w:b/>
          <w:bCs/>
        </w:rPr>
        <w:t>Public health emergency (Q11-12, refield):</w:t>
      </w:r>
      <w:r>
        <w:rPr>
          <w:rFonts w:ascii="Franklin Gothic Book" w:eastAsia="Times New Roman" w:hAnsi="Franklin Gothic Book"/>
        </w:rPr>
        <w:t xml:space="preserve"> Adding questions on awareness of the end of the public health emergency and associated changes in COVID-related costs.</w:t>
      </w:r>
    </w:p>
    <w:p w:rsidR="00AE59FE" w:rsidP="00AE59FE" w14:paraId="2A4E12A1" w14:textId="77777777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  <w:b/>
          <w:bCs/>
        </w:rPr>
        <w:t>Parents’ vaccination attitudes (Q13-16, 18, refield):</w:t>
      </w:r>
      <w:r>
        <w:rPr>
          <w:rFonts w:ascii="Franklin Gothic Book" w:eastAsia="Times New Roman" w:hAnsi="Franklin Gothic Book"/>
        </w:rPr>
        <w:t xml:space="preserve"> Identifying parents of children ages 6 months-17 years and asking them about their child’s COVID vaccination status, intentions to vaccinate, and concerns about vaccination.</w:t>
      </w:r>
    </w:p>
    <w:p w:rsidR="00AE59FE" w:rsidP="00AE59FE" w14:paraId="102D6C21" w14:textId="77777777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  <w:b/>
          <w:bCs/>
        </w:rPr>
        <w:t>Reasons for vaccinating/waiting for kids (Q17, new):</w:t>
      </w:r>
      <w:r>
        <w:rPr>
          <w:rFonts w:ascii="Franklin Gothic Book" w:eastAsia="Times New Roman" w:hAnsi="Franklin Gothic Book"/>
        </w:rPr>
        <w:t xml:space="preserve"> Asking parents why they chose to vaccinate, or not vaccinate, their child(ren).</w:t>
      </w:r>
    </w:p>
    <w:p w:rsidR="00AE59FE" w:rsidP="00AE59FE" w14:paraId="3999E5F6" w14:textId="09CAAF26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  <w:b/>
          <w:bCs/>
        </w:rPr>
        <w:t>Adherence to COVID guidelines and safety procedures (Q19-20</w:t>
      </w:r>
      <w:r w:rsidR="00EF17E7">
        <w:rPr>
          <w:rFonts w:ascii="Franklin Gothic Book" w:eastAsia="Times New Roman" w:hAnsi="Franklin Gothic Book"/>
          <w:b/>
          <w:bCs/>
        </w:rPr>
        <w:t>, new</w:t>
      </w:r>
      <w:r>
        <w:rPr>
          <w:rFonts w:ascii="Franklin Gothic Book" w:eastAsia="Times New Roman" w:hAnsi="Franklin Gothic Book"/>
          <w:b/>
          <w:bCs/>
        </w:rPr>
        <w:t>):</w:t>
      </w:r>
      <w:r>
        <w:rPr>
          <w:rFonts w:ascii="Franklin Gothic Book" w:eastAsia="Times New Roman" w:hAnsi="Franklin Gothic Book"/>
        </w:rPr>
        <w:t xml:space="preserve"> Assessing adherence to COVID rules, for both respondents and their children.</w:t>
      </w:r>
    </w:p>
    <w:p w:rsidR="00AE59FE" w:rsidP="00AE59FE" w14:paraId="6017DC24" w14:textId="77777777">
      <w:pPr>
        <w:pStyle w:val="ListParagraph"/>
        <w:numPr>
          <w:ilvl w:val="0"/>
          <w:numId w:val="2"/>
        </w:numPr>
        <w:rPr>
          <w:rFonts w:ascii="Franklin Gothic Book" w:eastAsia="Times New Roman" w:hAnsi="Franklin Gothic Book"/>
          <w:b/>
          <w:bCs/>
        </w:rPr>
      </w:pPr>
      <w:r>
        <w:rPr>
          <w:rFonts w:ascii="Franklin Gothic Book" w:eastAsia="Times New Roman" w:hAnsi="Franklin Gothic Book"/>
          <w:b/>
          <w:bCs/>
        </w:rPr>
        <w:t>PTN messages (Q21-25, same question format, new messages):</w:t>
      </w:r>
    </w:p>
    <w:p w:rsidR="00AE59FE" w:rsidP="00AE59FE" w14:paraId="0E653FC0" w14:textId="77777777">
      <w:pPr>
        <w:pStyle w:val="ListParagraph"/>
        <w:numPr>
          <w:ilvl w:val="1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</w:rPr>
        <w:t xml:space="preserve">The COVID virus changes, but protective measures, including being up to date on COVID vaccines, reduce your risk of serious COVID illness.  </w:t>
      </w:r>
    </w:p>
    <w:p w:rsidR="00AE59FE" w:rsidP="00AE59FE" w14:paraId="5D4B6717" w14:textId="77777777">
      <w:pPr>
        <w:pStyle w:val="ListParagraph"/>
        <w:numPr>
          <w:ilvl w:val="1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</w:rPr>
        <w:t>COVID is still a major health issue in the United States. In early 2023, More than 20,000 patients were hospitalized each week because of COVID.</w:t>
      </w:r>
    </w:p>
    <w:p w:rsidR="00AE59FE" w:rsidP="00AE59FE" w14:paraId="30BEBBFE" w14:textId="77777777">
      <w:pPr>
        <w:pStyle w:val="ListParagraph"/>
        <w:numPr>
          <w:ilvl w:val="1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</w:rPr>
        <w:t>We know that serious health problems following a COVID vaccine are extremely rare based on safety data from millions of people.</w:t>
      </w:r>
    </w:p>
    <w:p w:rsidR="00AE59FE" w:rsidP="00AE59FE" w14:paraId="203EC290" w14:textId="77777777">
      <w:pPr>
        <w:pStyle w:val="ListParagraph"/>
        <w:numPr>
          <w:ilvl w:val="1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</w:rPr>
        <w:t>COVID can cause serious long-term health effects or serious illness that leads to hospitalization. Getting vaccinated is the safer way to build your immunity against COVID.</w:t>
      </w:r>
    </w:p>
    <w:p w:rsidR="00AE59FE" w:rsidRPr="00AE59FE" w:rsidP="00AE59FE" w14:paraId="0E25CDB3" w14:textId="01778518">
      <w:pPr>
        <w:pStyle w:val="ListParagraph"/>
        <w:numPr>
          <w:ilvl w:val="1"/>
          <w:numId w:val="1"/>
        </w:numPr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</w:rPr>
        <w:t>While you can get temporary immunity from having COVID, infection has risks that vaccination doesn’t, like severe illness, long COVID, or spreading illness to others. Vaccination is a much safer way to increase your protection.</w:t>
      </w:r>
    </w:p>
    <w:p w:rsidR="0096164A" w14:paraId="608566C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4955C5"/>
    <w:multiLevelType w:val="hybridMultilevel"/>
    <w:tmpl w:val="142C2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65AD0"/>
    <w:multiLevelType w:val="hybridMultilevel"/>
    <w:tmpl w:val="706A0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87781">
    <w:abstractNumId w:val="0"/>
  </w:num>
  <w:num w:numId="2" w16cid:durableId="101877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4A"/>
    <w:rsid w:val="004A1F3D"/>
    <w:rsid w:val="0062783B"/>
    <w:rsid w:val="007E72DC"/>
    <w:rsid w:val="0096164A"/>
    <w:rsid w:val="00AE59FE"/>
    <w:rsid w:val="00AE706C"/>
    <w:rsid w:val="00E22862"/>
    <w:rsid w:val="00EF17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8A7252"/>
  <w15:chartTrackingRefBased/>
  <w15:docId w15:val="{46A40D87-E1E2-43A7-ABD0-B6DC4257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96164A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E59FE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E7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0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0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12" ma:contentTypeDescription="Create a new document." ma:contentTypeScope="" ma:versionID="380e396f1a667807a3daa27c843c1ac8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dc3f4dcb99a7ede31e47cc14f17e7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4cd8b4-6f02-45b2-b248-c2905e88e224}" ma:internalName="TaxCatchAll" ma:showField="CatchAllData" ma:web="96b404de-dd00-4e0e-8f9a-c98a6f6f3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b404de-dd00-4e0e-8f9a-c98a6f6f34ab" xsi:nil="true"/>
    <lcf76f155ced4ddcb4097134ff3c332f xmlns="b7301327-2847-4130-b68a-667228db60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71A8B-A0EE-4E79-845C-4D8F75D8257B}">
  <ds:schemaRefs/>
</ds:datastoreItem>
</file>

<file path=customXml/itemProps2.xml><?xml version="1.0" encoding="utf-8"?>
<ds:datastoreItem xmlns:ds="http://schemas.openxmlformats.org/officeDocument/2006/customXml" ds:itemID="{6557D4FF-448F-4DAA-88EB-6528512FCE90}">
  <ds:schemaRefs/>
</ds:datastoreItem>
</file>

<file path=customXml/itemProps3.xml><?xml version="1.0" encoding="utf-8"?>
<ds:datastoreItem xmlns:ds="http://schemas.openxmlformats.org/officeDocument/2006/customXml" ds:itemID="{98E44AB8-0BC2-4C3D-A7A5-8EDE1904E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Krista (HHS/ASPA)</dc:creator>
  <cp:lastModifiedBy>Yu, Kathleen (HHS/ASPA)</cp:lastModifiedBy>
  <cp:revision>5</cp:revision>
  <dcterms:created xsi:type="dcterms:W3CDTF">2023-04-03T17:19:00Z</dcterms:created>
  <dcterms:modified xsi:type="dcterms:W3CDTF">2023-04-03T21:09:00Z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0x010100F475877D3550984792DA04D1B56BDC44</vt:lpwstr>
  </property>
</Properties>
</file>