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116CD5" w:rsidRPr="00871CA6" w:rsidP="00E674A9" w14:paraId="2523DF68" w14:textId="6C105611">
      <w:pPr>
        <w:widowControl/>
        <w:jc w:val="center"/>
        <w:rPr>
          <w:rFonts w:ascii="Times New Roman" w:hAnsi="Times New Roman"/>
          <w:b/>
          <w:bCs/>
        </w:rPr>
      </w:pPr>
      <w:r w:rsidRPr="00192711">
        <w:rPr>
          <w:rFonts w:ascii="Times New Roman" w:hAnsi="Times New Roman"/>
          <w:b/>
          <w:bCs/>
        </w:rPr>
        <w:t>ELIGIBILITY QUESTIONNAIRE FOR HAVANA ACT PAYMENTS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RPr="00D802D6" w:rsidP="00D802D6" w14:paraId="386CE7D5" w14:textId="2FD34380">
      <w:pPr>
        <w:pStyle w:val="paragraph"/>
        <w:textAlignment w:val="baseline"/>
        <w:rPr>
          <w:color w:val="000000"/>
        </w:rPr>
      </w:pPr>
      <w:r w:rsidRPr="007C2A5A">
        <w:t>The Controlled Substances Act (CSA) (21 U.S.C. 801-971) requires all persons that manufacture, distribute, dispense, conduct research with, import, or export any controlled substance to obtain a registration issued by the Attorney General.  21 U.S.C. 822, 823, and 957.</w:t>
      </w:r>
      <w:r w:rsidRPr="007C2A5A">
        <w:rPr>
          <w:color w:val="000000"/>
        </w:rPr>
        <w:t xml:space="preserve">  </w:t>
      </w:r>
      <w:r w:rsidRPr="007C2A5A">
        <w:rPr>
          <w:rStyle w:val="normaltextrun"/>
          <w:color w:val="000000"/>
        </w:rPr>
        <w:t xml:space="preserve">Once registered, the person becomes a DEA registrant and has the means to </w:t>
      </w:r>
      <w:r>
        <w:rPr>
          <w:rStyle w:val="normaltextrun"/>
          <w:color w:val="000000"/>
        </w:rPr>
        <w:t>use DEA applications available by way of the DEA Diversion Control Division’s website. The Diversion Technology Section strives to keep the Diversion Control Division’s applications modern and website up to date, effective and efficient.</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33578D" w:rsidRPr="0033578D" w:rsidP="0033578D" w14:paraId="48D7B7F6" w14:textId="77777777">
      <w:pPr>
        <w:widowControl/>
        <w:rPr>
          <w:rFonts w:ascii="Times New Roman" w:hAnsi="Times New Roman"/>
        </w:rPr>
      </w:pPr>
      <w:r w:rsidRPr="0033578D">
        <w:rPr>
          <w:rFonts w:ascii="Times New Roman" w:hAnsi="Times New Roman"/>
        </w:rPr>
        <w:t>This proposed survey is needed to help improve the applications created by the Diversion Control Division’s for DEA registrants.  Registrants would rate the applications based on ease of use and other user experience factors.  The survey would also ask registrants to evaluate and rank proposed changes to the applications.  Last, DEA registrants would have the opportunity to provide open feedback to the Diversion Control Division.</w:t>
      </w:r>
    </w:p>
    <w:p w:rsidR="0033578D" w:rsidP="0033578D" w14:paraId="109CCA2B" w14:textId="77777777">
      <w:pPr>
        <w:widowControl/>
        <w:rPr>
          <w:rFonts w:ascii="Times New Roman" w:hAnsi="Times New Roman"/>
        </w:rPr>
      </w:pPr>
    </w:p>
    <w:p w:rsidR="00690F56" w:rsidRPr="00802A30" w:rsidP="0033578D" w14:paraId="6EBE63D5" w14:textId="70A8A3B2">
      <w:pPr>
        <w:widowControl/>
        <w:rPr>
          <w:rFonts w:ascii="Times New Roman" w:hAnsi="Times New Roman"/>
        </w:rPr>
      </w:pPr>
      <w:r w:rsidRPr="0033578D">
        <w:rPr>
          <w:rFonts w:ascii="Times New Roman" w:hAnsi="Times New Roman"/>
        </w:rPr>
        <w:t>The proposed survey would also ask questions about the Diversion Control Division’s website.  They would be able to state how they use the website and then rank the ease, efficiency, speed, and use of the various interactions that they have with the website.  This proposed collection would also allow registrants to have the chance to rank the usefulness, effectiveness, and efficiency of the Support Center.  Again, registrants would be able to provide additional comments for the website and the support center in two separate open fields</w:t>
      </w:r>
      <w:r w:rsidRPr="00B67A3F" w:rsidR="00B67A3F">
        <w:rPr>
          <w:rFonts w:ascii="Times New Roman" w:hAnsi="Times New Roman"/>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5AF056F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2A5A">
        <w:rPr>
          <w:rFonts w:ascii="Times New Roman" w:hAnsi="Times New Roman"/>
        </w:rPr>
        <w:t xml:space="preserve">The submissions would be 100% electronic.  </w:t>
      </w:r>
      <w:r>
        <w:rPr>
          <w:rFonts w:ascii="Times New Roman" w:hAnsi="Times New Roman"/>
        </w:rPr>
        <w:t>A link to th</w:t>
      </w:r>
      <w:r w:rsidRPr="007C2A5A">
        <w:rPr>
          <w:rFonts w:ascii="Times New Roman" w:hAnsi="Times New Roman"/>
        </w:rPr>
        <w:t xml:space="preserve">e </w:t>
      </w:r>
      <w:r>
        <w:rPr>
          <w:rFonts w:ascii="Times New Roman" w:hAnsi="Times New Roman"/>
        </w:rPr>
        <w:t>survey would be distributed to the registrant population.</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12D154E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6AE7">
        <w:rPr>
          <w:rFonts w:ascii="Times New Roman" w:hAnsi="Times New Roman"/>
        </w:rPr>
        <w:t>There is no duplication of information requested as a part of this collection.  DEA has no other collection that gathers this information from non-registrants</w:t>
      </w:r>
      <w:r>
        <w:rPr>
          <w:rFonts w:ascii="Times New Roman" w:hAnsi="Times New Roman"/>
        </w:rPr>
        <w:t>.</w:t>
      </w:r>
    </w:p>
    <w:p w:rsidR="003A6AE7" w:rsidRPr="00A973AA" w:rsidP="00690F56" w14:paraId="03B31D8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476FE08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04F71">
        <w:rPr>
          <w:rFonts w:ascii="Times New Roman" w:hAnsi="Times New Roman"/>
        </w:rPr>
        <w:t>The DEA expects this collection will not have a significant economic impact on a substantial number of small entities within the meaning and intent of the Regulatory Flexibility Act, 5 U.S.C. 601–612</w:t>
      </w:r>
      <w:r w:rsidRPr="005622FE" w:rsidR="005622FE">
        <w:rPr>
          <w:rFonts w:ascii="Times New Roman" w:hAnsi="Times New Roman"/>
        </w:rPr>
        <w:t>.</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417B3" w:rsidRPr="00065B16" w:rsidP="00690F56" w14:paraId="21DD2D8C" w14:textId="12D85BD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065B16" w:rsidRPr="007C2A5A" w:rsidP="00065B16" w14:paraId="5B0E87D7" w14:textId="77777777">
      <w:pPr>
        <w:contextualSpacing/>
        <w:rPr>
          <w:rFonts w:ascii="Times New Roman" w:hAnsi="Times New Roman"/>
        </w:rPr>
      </w:pPr>
    </w:p>
    <w:p w:rsidR="00B417B3" w:rsidRPr="00B96E43" w:rsidP="00065B16" w14:paraId="09732D5C" w14:textId="528E4806">
      <w:pPr>
        <w:contextualSpacing/>
        <w:rPr>
          <w:rFonts w:ascii="Times New Roman" w:hAnsi="Times New Roman"/>
        </w:rPr>
      </w:pPr>
      <w:r>
        <w:rPr>
          <w:rFonts w:ascii="Times New Roman" w:hAnsi="Times New Roman"/>
        </w:rPr>
        <w:t>This will be a one-time survey that will be open for about 10 days</w:t>
      </w:r>
      <w:r w:rsidRPr="00B96E43">
        <w:rPr>
          <w:rFonts w:ascii="Times New Roman" w:hAnsi="Times New Roman"/>
        </w:rPr>
        <w:t>.</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727E99" w14:paraId="4498B60F" w14:textId="137A6538">
      <w:pPr>
        <w:contextualSpacing/>
        <w:jc w:val="both"/>
        <w:rPr>
          <w:rFonts w:ascii="Times New Roman" w:hAnsi="Times New Roman"/>
        </w:rPr>
      </w:pPr>
      <w:r w:rsidRPr="007C2A5A">
        <w:rPr>
          <w:rFonts w:ascii="Times New Roman" w:hAnsi="Times New Roman"/>
        </w:rPr>
        <w:t>There are no special circumstances applicable to this information collection</w:t>
      </w:r>
      <w:r w:rsidRPr="00DA7DC9" w:rsidR="00DA7DC9">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65A71E77">
      <w:pPr>
        <w:widowControl/>
        <w:autoSpaceDE/>
        <w:autoSpaceDN/>
        <w:adjustRightInd/>
        <w:rPr>
          <w:rFonts w:ascii="Times New Roman" w:hAnsi="Times New Roman"/>
        </w:rPr>
      </w:pPr>
      <w:r w:rsidRPr="00A2391E">
        <w:rPr>
          <w:rFonts w:ascii="Times New Roman" w:hAnsi="Times New Roman"/>
        </w:rPr>
        <w:t>The 60-Day Notice was published in the Federal Register</w:t>
      </w:r>
      <w:r w:rsidR="00D018E0">
        <w:rPr>
          <w:rFonts w:ascii="Times New Roman" w:hAnsi="Times New Roman"/>
        </w:rPr>
        <w:t xml:space="preserve"> on January 4, 2023</w:t>
      </w:r>
      <w:r w:rsidRPr="00A2391E">
        <w:rPr>
          <w:rFonts w:ascii="Times New Roman" w:hAnsi="Times New Roman"/>
        </w:rPr>
        <w:t xml:space="preserve"> (</w:t>
      </w:r>
      <w:r w:rsidRPr="007C2A5A" w:rsidR="00F72D70">
        <w:rPr>
          <w:rFonts w:ascii="Times New Roman" w:hAnsi="Times New Roman"/>
        </w:rPr>
        <w:t>8</w:t>
      </w:r>
      <w:r w:rsidR="00F72D70">
        <w:rPr>
          <w:rFonts w:ascii="Times New Roman" w:hAnsi="Times New Roman"/>
        </w:rPr>
        <w:t>8</w:t>
      </w:r>
      <w:r w:rsidRPr="007C2A5A" w:rsidR="00F72D70">
        <w:rPr>
          <w:rFonts w:ascii="Times New Roman" w:hAnsi="Times New Roman"/>
        </w:rPr>
        <w:t xml:space="preserve"> FR </w:t>
      </w:r>
      <w:r w:rsidR="00F72D70">
        <w:rPr>
          <w:rFonts w:ascii="Times New Roman" w:hAnsi="Times New Roman"/>
        </w:rPr>
        <w:t>372</w:t>
      </w:r>
      <w:r w:rsidRPr="00A2391E">
        <w:rPr>
          <w:rFonts w:ascii="Times New Roman" w:hAnsi="Times New Roman"/>
        </w:rPr>
        <w:t xml:space="preserve">). The comment period ended </w:t>
      </w:r>
      <w:r w:rsidRPr="00A2391E" w:rsidR="001E2950">
        <w:rPr>
          <w:rFonts w:ascii="Times New Roman" w:hAnsi="Times New Roman"/>
        </w:rPr>
        <w:t xml:space="preserve">on </w:t>
      </w:r>
      <w:r w:rsidR="001000AD">
        <w:rPr>
          <w:rFonts w:ascii="Times New Roman" w:hAnsi="Times New Roman"/>
        </w:rPr>
        <w:t>March</w:t>
      </w:r>
      <w:r w:rsidR="001E2950">
        <w:rPr>
          <w:rFonts w:ascii="Times New Roman" w:hAnsi="Times New Roman"/>
        </w:rPr>
        <w:t xml:space="preserve"> </w:t>
      </w:r>
      <w:r w:rsidR="001000AD">
        <w:rPr>
          <w:rFonts w:ascii="Times New Roman" w:hAnsi="Times New Roman"/>
        </w:rPr>
        <w:t>3</w:t>
      </w:r>
      <w:r w:rsidRPr="007C2A5A" w:rsidR="001E2950">
        <w:rPr>
          <w:rFonts w:ascii="Times New Roman" w:hAnsi="Times New Roman"/>
        </w:rPr>
        <w:t>, 202</w:t>
      </w:r>
      <w:r w:rsidR="001E2950">
        <w:rPr>
          <w:rFonts w:ascii="Times New Roman" w:hAnsi="Times New Roman"/>
        </w:rPr>
        <w:t>3</w:t>
      </w:r>
      <w:r w:rsidR="002517E4">
        <w:rPr>
          <w:rFonts w:ascii="Times New Roman" w:hAnsi="Times New Roman"/>
        </w:rPr>
        <w:t>.</w:t>
      </w:r>
      <w:r w:rsidRPr="00A2391E">
        <w:rPr>
          <w:rFonts w:ascii="Times New Roman" w:hAnsi="Times New Roman"/>
        </w:rPr>
        <w:t xml:space="preserve"> No comments were received.</w:t>
      </w:r>
    </w:p>
    <w:p w:rsidR="00F72D70" w:rsidRPr="007C2A5A" w:rsidP="00F72D70" w14:paraId="339FFAA5" w14:textId="77777777">
      <w:pPr>
        <w:contextualSpacing/>
        <w:rPr>
          <w:rFonts w:ascii="Times New Roman" w:hAnsi="Times New Roman"/>
        </w:rPr>
      </w:pPr>
    </w:p>
    <w:p w:rsidR="00F72D70" w:rsidP="00F72D70" w14:paraId="5CDB0022" w14:textId="2DAEB80C">
      <w:pPr>
        <w:widowControl/>
        <w:autoSpaceDE/>
        <w:autoSpaceDN/>
        <w:adjustRightInd/>
        <w:rPr>
          <w:rFonts w:ascii="Times New Roman" w:hAnsi="Times New Roman"/>
        </w:rPr>
      </w:pPr>
      <w:r w:rsidRPr="007C2A5A">
        <w:rPr>
          <w:rFonts w:ascii="Times New Roman" w:hAnsi="Times New Roman"/>
        </w:rPr>
        <w:t>DEA meets regularly with the affected industry to discuss policies, programs, and regulations.  These meetings provide an open forum to discuss matters of mutual concern with representatives of those entities from whom the information is obtained</w:t>
      </w:r>
      <w:r w:rsidR="001E2950">
        <w:rPr>
          <w:rFonts w:ascii="Times New Roman" w:hAnsi="Times New Roman"/>
        </w:rPr>
        <w:t>.</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23E3C8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2A5A">
        <w:rPr>
          <w:rFonts w:ascii="Times New Roman" w:hAnsi="Times New Roman"/>
        </w:rPr>
        <w:t>This collection of information does not propose to provide any payment or gift to respondents</w:t>
      </w:r>
      <w:r>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216DC2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2A5A">
        <w:rPr>
          <w:rFonts w:ascii="Times New Roman" w:hAnsi="Times New Roman"/>
        </w:rP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w:t>
      </w:r>
      <w:r w:rsidRPr="007C2A5A">
        <w:rPr>
          <w:rFonts w:ascii="Times New Roman" w:hAnsi="Times New Roman"/>
        </w:rPr>
        <w:t>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DEA</w:t>
      </w:r>
      <w:r w:rsidRPr="00BD21CA">
        <w:rPr>
          <w:rFonts w:ascii="Times New Roman" w:hAnsi="Times New Roman"/>
        </w:rPr>
        <w:t>.</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75B36" w:rsidP="00690F56" w14:paraId="3BE98BD1" w14:textId="276E92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575B36" w:rsidRPr="00575B36" w:rsidP="00690F56" w14:paraId="57EC6F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75B36" w:rsidRPr="007C2A5A" w:rsidP="00575B36" w14:paraId="25D3892E" w14:textId="77777777">
      <w:pPr>
        <w:tabs>
          <w:tab w:val="left" w:pos="720"/>
          <w:tab w:val="left" w:pos="1440"/>
          <w:tab w:val="left" w:pos="2160"/>
        </w:tabs>
        <w:contextualSpacing/>
        <w:rPr>
          <w:rFonts w:ascii="Times New Roman" w:hAnsi="Times New Roman"/>
        </w:rPr>
      </w:pPr>
      <w:r w:rsidRPr="007C2A5A">
        <w:rPr>
          <w:rFonts w:ascii="Times New Roman" w:hAnsi="Times New Roman"/>
        </w:rPr>
        <w:t>This collection of information does not ask any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26C2C3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E504B" w:rsidP="00C9364B" w14:paraId="18C68E82" w14:textId="70EAF2D8">
      <w:pPr>
        <w:pStyle w:val="BodyText2"/>
        <w:spacing w:line="240" w:lineRule="auto"/>
        <w:contextualSpacing/>
        <w:rPr>
          <w:szCs w:val="24"/>
        </w:rPr>
      </w:pPr>
      <w:r>
        <w:rPr>
          <w:szCs w:val="24"/>
        </w:rPr>
        <w:t>It will be a one-time survey over the course of 10 days given through an electronic link e-mailed to registrants. There are 2,017,980 registrants affected by this information request as of November 11, 2022. The potential number of respondents is estimated to be 1,800,000, since some registrants have the same e-mail address. It is estimated that 6% of potential respondents will respond or 108,000 (1,800,000 * .06 = 108,000).</w:t>
      </w:r>
    </w:p>
    <w:p w:rsidR="00C9364B" w:rsidP="00C9364B" w14:paraId="00733B57" w14:textId="5FB81740">
      <w:pPr>
        <w:pStyle w:val="BodyText2"/>
        <w:spacing w:line="240" w:lineRule="auto"/>
        <w:contextualSpacing/>
        <w:rPr>
          <w:szCs w:val="24"/>
        </w:rPr>
      </w:pPr>
    </w:p>
    <w:p w:rsidR="00C9364B" w:rsidP="00C9364B" w14:paraId="3460D741" w14:textId="022EB83A">
      <w:pPr>
        <w:pStyle w:val="BodyText2"/>
        <w:spacing w:line="240" w:lineRule="auto"/>
        <w:contextualSpacing/>
        <w:rPr>
          <w:szCs w:val="24"/>
        </w:rPr>
      </w:pPr>
    </w:p>
    <w:p w:rsidR="00C9364B" w:rsidRPr="00C9364B" w:rsidP="00C9364B" w14:paraId="555E33DA" w14:textId="77777777">
      <w:pPr>
        <w:pStyle w:val="BodyText2"/>
        <w:spacing w:line="240" w:lineRule="auto"/>
        <w:contextualSpacing/>
        <w:rPr>
          <w:szCs w:val="24"/>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931"/>
        <w:gridCol w:w="1392"/>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1E1E1DF6">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r>
              <w:rPr>
                <w:rStyle w:val="FootnoteReference"/>
                <w:rFonts w:ascii="Times New Roman" w:hAnsi="Times New Roman"/>
                <w:b/>
                <w:sz w:val="22"/>
                <w:szCs w:val="22"/>
              </w:rPr>
              <w:footnoteReference w:id="2"/>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588CB40C">
            <w:pPr>
              <w:jc w:val="right"/>
              <w:rPr>
                <w:rFonts w:ascii="Times New Roman" w:hAnsi="Times New Roman"/>
                <w:sz w:val="22"/>
                <w:szCs w:val="22"/>
              </w:rPr>
            </w:pPr>
            <w:r>
              <w:rPr>
                <w:rFonts w:ascii="Times New Roman" w:hAnsi="Times New Roman"/>
                <w:sz w:val="22"/>
                <w:szCs w:val="22"/>
              </w:rPr>
              <w:t>Survey</w:t>
            </w:r>
          </w:p>
        </w:tc>
        <w:tc>
          <w:tcPr>
            <w:tcW w:w="1415" w:type="dxa"/>
            <w:vAlign w:val="bottom"/>
          </w:tcPr>
          <w:p w:rsidR="003908B9" w:rsidRPr="008F47CB" w:rsidP="008C6A87" w14:paraId="23BB2474" w14:textId="319E54AE">
            <w:pPr>
              <w:jc w:val="right"/>
              <w:rPr>
                <w:rFonts w:ascii="Times New Roman" w:hAnsi="Times New Roman"/>
                <w:sz w:val="22"/>
                <w:szCs w:val="22"/>
              </w:rPr>
            </w:pPr>
            <w:r>
              <w:rPr>
                <w:rFonts w:ascii="Times New Roman" w:hAnsi="Times New Roman"/>
                <w:sz w:val="22"/>
                <w:szCs w:val="22"/>
              </w:rPr>
              <w:t>108,000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7626B18C">
            <w:pPr>
              <w:jc w:val="right"/>
              <w:rPr>
                <w:rFonts w:ascii="Times New Roman" w:hAnsi="Times New Roman"/>
                <w:sz w:val="22"/>
                <w:szCs w:val="22"/>
              </w:rPr>
            </w:pPr>
            <w:r>
              <w:rPr>
                <w:rFonts w:ascii="Times New Roman" w:hAnsi="Times New Roman"/>
                <w:sz w:val="22"/>
                <w:szCs w:val="22"/>
              </w:rPr>
              <w:t>108,000</w:t>
            </w:r>
          </w:p>
        </w:tc>
        <w:tc>
          <w:tcPr>
            <w:tcW w:w="1097" w:type="dxa"/>
            <w:vAlign w:val="bottom"/>
          </w:tcPr>
          <w:p w:rsidR="003908B9" w:rsidRPr="008F47CB" w:rsidP="008C6A87" w14:paraId="3704ADCE" w14:textId="2024911B">
            <w:pPr>
              <w:jc w:val="right"/>
              <w:rPr>
                <w:rFonts w:ascii="Times New Roman" w:hAnsi="Times New Roman"/>
                <w:sz w:val="22"/>
                <w:szCs w:val="22"/>
              </w:rPr>
            </w:pPr>
            <w:r>
              <w:rPr>
                <w:rFonts w:ascii="Times New Roman" w:hAnsi="Times New Roman"/>
                <w:sz w:val="22"/>
                <w:szCs w:val="22"/>
              </w:rPr>
              <w:t>14min</w:t>
            </w:r>
          </w:p>
        </w:tc>
        <w:tc>
          <w:tcPr>
            <w:tcW w:w="950" w:type="dxa"/>
            <w:vAlign w:val="bottom"/>
          </w:tcPr>
          <w:p w:rsidR="003908B9" w:rsidRPr="008F47CB" w:rsidP="008C6A87" w14:paraId="498C761A" w14:textId="67839D92">
            <w:pPr>
              <w:jc w:val="right"/>
              <w:rPr>
                <w:rFonts w:ascii="Times New Roman" w:hAnsi="Times New Roman"/>
                <w:sz w:val="22"/>
                <w:szCs w:val="22"/>
              </w:rPr>
            </w:pPr>
            <w:r>
              <w:rPr>
                <w:rFonts w:ascii="Times New Roman" w:hAnsi="Times New Roman"/>
                <w:sz w:val="22"/>
                <w:szCs w:val="22"/>
              </w:rPr>
              <w:t>25,200</w:t>
            </w:r>
          </w:p>
        </w:tc>
        <w:tc>
          <w:tcPr>
            <w:tcW w:w="889" w:type="dxa"/>
            <w:vAlign w:val="bottom"/>
          </w:tcPr>
          <w:p w:rsidR="003908B9" w:rsidRPr="008F47CB" w:rsidP="008C6A87" w14:paraId="2C9B9B1D" w14:textId="3D2937D3">
            <w:pPr>
              <w:jc w:val="right"/>
              <w:rPr>
                <w:rFonts w:ascii="Times New Roman" w:hAnsi="Times New Roman"/>
                <w:sz w:val="22"/>
                <w:szCs w:val="22"/>
              </w:rPr>
            </w:pPr>
            <w:r>
              <w:rPr>
                <w:rFonts w:ascii="Times New Roman" w:hAnsi="Times New Roman"/>
                <w:sz w:val="22"/>
                <w:szCs w:val="22"/>
              </w:rPr>
              <w:t>$133.56</w:t>
            </w:r>
          </w:p>
        </w:tc>
        <w:tc>
          <w:tcPr>
            <w:tcW w:w="1434" w:type="dxa"/>
            <w:vAlign w:val="bottom"/>
          </w:tcPr>
          <w:p w:rsidR="003908B9" w:rsidRPr="008F47CB" w:rsidP="008C6A87" w14:paraId="689A6EF1" w14:textId="269ADBF8">
            <w:pPr>
              <w:jc w:val="right"/>
              <w:rPr>
                <w:rFonts w:ascii="Times New Roman" w:hAnsi="Times New Roman"/>
                <w:sz w:val="22"/>
                <w:szCs w:val="22"/>
              </w:rPr>
            </w:pPr>
            <w:r>
              <w:rPr>
                <w:rFonts w:ascii="Times New Roman" w:hAnsi="Times New Roman"/>
                <w:sz w:val="22"/>
                <w:szCs w:val="22"/>
              </w:rPr>
              <w:t>$</w:t>
            </w:r>
            <w:r w:rsidRPr="00843216" w:rsidR="00843216">
              <w:rPr>
                <w:rFonts w:ascii="Times New Roman" w:hAnsi="Times New Roman"/>
                <w:sz w:val="22"/>
                <w:szCs w:val="22"/>
              </w:rPr>
              <w:t>3,365,7</w:t>
            </w:r>
            <w:r w:rsidR="005453CA">
              <w:rPr>
                <w:rFonts w:ascii="Times New Roman" w:hAnsi="Times New Roman"/>
                <w:sz w:val="22"/>
                <w:szCs w:val="22"/>
              </w:rPr>
              <w:t>12</w:t>
            </w: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77777777">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6B95D5F2">
            <w:pPr>
              <w:jc w:val="right"/>
              <w:rPr>
                <w:rFonts w:ascii="Times New Roman" w:hAnsi="Times New Roman"/>
                <w:b/>
                <w:i/>
                <w:sz w:val="22"/>
                <w:szCs w:val="22"/>
              </w:rPr>
            </w:pPr>
            <w:r>
              <w:rPr>
                <w:rFonts w:ascii="Times New Roman" w:hAnsi="Times New Roman"/>
                <w:b/>
                <w:i/>
                <w:sz w:val="22"/>
                <w:szCs w:val="22"/>
              </w:rPr>
              <w:t>108,000</w:t>
            </w:r>
          </w:p>
        </w:tc>
        <w:tc>
          <w:tcPr>
            <w:tcW w:w="1219" w:type="dxa"/>
            <w:vAlign w:val="bottom"/>
          </w:tcPr>
          <w:p w:rsidR="00501A15" w:rsidRPr="008F47CB" w:rsidP="00501A15" w14:paraId="75495CB4" w14:textId="7C6FC44B">
            <w:pPr>
              <w:jc w:val="right"/>
              <w:rPr>
                <w:rFonts w:ascii="Times New Roman" w:hAnsi="Times New Roman"/>
                <w:b/>
                <w:i/>
                <w:sz w:val="22"/>
                <w:szCs w:val="22"/>
              </w:rPr>
            </w:pPr>
          </w:p>
        </w:tc>
        <w:tc>
          <w:tcPr>
            <w:tcW w:w="1182" w:type="dxa"/>
            <w:vAlign w:val="bottom"/>
          </w:tcPr>
          <w:p w:rsidR="00501A15" w:rsidRPr="008F47CB" w:rsidP="00501A15" w14:paraId="1A7661D9" w14:textId="30C861A8">
            <w:pPr>
              <w:jc w:val="right"/>
              <w:rPr>
                <w:rFonts w:ascii="Times New Roman" w:hAnsi="Times New Roman"/>
                <w:b/>
                <w:i/>
                <w:sz w:val="22"/>
                <w:szCs w:val="22"/>
              </w:rPr>
            </w:pPr>
            <w:r>
              <w:rPr>
                <w:rFonts w:ascii="Times New Roman" w:hAnsi="Times New Roman"/>
                <w:sz w:val="22"/>
                <w:szCs w:val="22"/>
              </w:rPr>
              <w:t>108,000</w:t>
            </w: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0E8696EB">
            <w:pPr>
              <w:jc w:val="right"/>
              <w:rPr>
                <w:rFonts w:ascii="Times New Roman" w:hAnsi="Times New Roman"/>
                <w:b/>
                <w:i/>
                <w:sz w:val="22"/>
                <w:szCs w:val="22"/>
              </w:rPr>
            </w:pPr>
            <w:r>
              <w:rPr>
                <w:rFonts w:ascii="Times New Roman" w:hAnsi="Times New Roman"/>
                <w:sz w:val="22"/>
                <w:szCs w:val="22"/>
              </w:rPr>
              <w:t>25,200</w:t>
            </w:r>
          </w:p>
        </w:tc>
        <w:tc>
          <w:tcPr>
            <w:tcW w:w="889" w:type="dxa"/>
            <w:vAlign w:val="bottom"/>
          </w:tcPr>
          <w:p w:rsidR="00501A15" w:rsidRPr="008F47CB" w:rsidP="00501A15" w14:paraId="7F82B751" w14:textId="5C585EA8">
            <w:pPr>
              <w:jc w:val="right"/>
              <w:rPr>
                <w:rFonts w:ascii="Times New Roman" w:hAnsi="Times New Roman"/>
                <w:b/>
                <w:i/>
                <w:sz w:val="22"/>
                <w:szCs w:val="22"/>
              </w:rPr>
            </w:pPr>
          </w:p>
        </w:tc>
        <w:tc>
          <w:tcPr>
            <w:tcW w:w="1434" w:type="dxa"/>
            <w:vAlign w:val="bottom"/>
          </w:tcPr>
          <w:p w:rsidR="00501A15" w:rsidRPr="008F47CB" w:rsidP="00501A15" w14:paraId="54BFA78B" w14:textId="7DE060CA">
            <w:pPr>
              <w:jc w:val="right"/>
              <w:rPr>
                <w:rFonts w:ascii="Times New Roman" w:hAnsi="Times New Roman"/>
                <w:b/>
                <w:i/>
                <w:sz w:val="22"/>
                <w:szCs w:val="22"/>
              </w:rPr>
            </w:pPr>
            <w:r>
              <w:rPr>
                <w:rFonts w:ascii="Times New Roman" w:hAnsi="Times New Roman"/>
                <w:b/>
                <w:i/>
                <w:sz w:val="22"/>
                <w:szCs w:val="22"/>
              </w:rPr>
              <w:t>$3,365712</w:t>
            </w:r>
          </w:p>
        </w:tc>
      </w:tr>
    </w:tbl>
    <w:p w:rsidR="00D472BE" w:rsidRPr="00F72D66" w:rsidP="00E60FB0" w14:paraId="1758C1F3"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D53DEB">
        <w:rPr>
          <w:rFonts w:ascii="Times New Roman" w:hAnsi="Times New Roman"/>
          <w:b/>
        </w:rPr>
        <w:t xml:space="preserve">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B4BB9" w:rsidP="001B4BB9" w14:paraId="666980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F648FC" w14:paraId="0AAEE3FF" w14:textId="3A506857">
      <w:pPr>
        <w:contextualSpacing/>
        <w:rPr>
          <w:rFonts w:ascii="Times New Roman" w:hAnsi="Times New Roman"/>
        </w:rPr>
      </w:pPr>
      <w:r w:rsidRPr="007C2A5A">
        <w:rPr>
          <w:rFonts w:ascii="Times New Roman" w:hAnsi="Times New Roman"/>
        </w:rPr>
        <w:t xml:space="preserve">The estimated annual cost burden is zero.  Respondents are not estimated to incur any a) additional start-up cost or capital expenditure, or b) additional operation and maintenance costs or purchase services </w:t>
      </w:r>
      <w:r w:rsidRPr="007C2A5A">
        <w:rPr>
          <w:rFonts w:ascii="Times New Roman" w:hAnsi="Times New Roman"/>
        </w:rPr>
        <w:t>as a result of</w:t>
      </w:r>
      <w:r w:rsidRPr="007C2A5A">
        <w:rPr>
          <w:rFonts w:ascii="Times New Roman" w:hAnsi="Times New Roman"/>
        </w:rPr>
        <w:t xml:space="preserve"> this information collection</w:t>
      </w:r>
      <w:r w:rsidRPr="00262716" w:rsidR="001B4BB9">
        <w:rPr>
          <w:rFonts w:ascii="Times New Roman" w:hAnsi="Times New Roman"/>
        </w:rPr>
        <w:t xml:space="preserve">.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E289A" w:rsidP="008E289A" w14:paraId="72F15601" w14:textId="77777777">
      <w:pPr>
        <w:contextualSpacing/>
        <w:rPr>
          <w:rFonts w:ascii="Times New Roman" w:hAnsi="Times New Roman"/>
        </w:rPr>
      </w:pPr>
      <w:bookmarkStart w:id="2" w:name="OLE_LINK3"/>
      <w:bookmarkStart w:id="3" w:name="OLE_LINK5"/>
      <w:bookmarkStart w:id="4" w:name="OLE_LINK6"/>
      <w:r>
        <w:rPr>
          <w:rFonts w:ascii="Times New Roman" w:hAnsi="Times New Roman"/>
        </w:rPr>
        <w:t>Estimated Labor cost to Government:</w:t>
      </w:r>
    </w:p>
    <w:bookmarkEnd w:id="2"/>
    <w:tbl>
      <w:tblPr>
        <w:tblW w:w="9223" w:type="dxa"/>
        <w:tblLook w:val="04A0"/>
      </w:tblPr>
      <w:tblGrid>
        <w:gridCol w:w="2556"/>
        <w:gridCol w:w="1485"/>
        <w:gridCol w:w="1046"/>
        <w:gridCol w:w="313"/>
        <w:gridCol w:w="1266"/>
        <w:gridCol w:w="1077"/>
        <w:gridCol w:w="1140"/>
        <w:gridCol w:w="340"/>
      </w:tblGrid>
      <w:tr w14:paraId="6B1C4FF7" w14:textId="77777777" w:rsidTr="008C6A87">
        <w:tblPrEx>
          <w:tblW w:w="9223" w:type="dxa"/>
          <w:tblLook w:val="04A0"/>
        </w:tblPrEx>
        <w:trPr>
          <w:gridAfter w:val="1"/>
          <w:wAfter w:w="340" w:type="dxa"/>
          <w:trHeight w:val="288"/>
        </w:trPr>
        <w:tc>
          <w:tcPr>
            <w:tcW w:w="2556" w:type="dxa"/>
            <w:tcBorders>
              <w:top w:val="nil"/>
              <w:left w:val="nil"/>
              <w:bottom w:val="nil"/>
              <w:right w:val="nil"/>
            </w:tcBorders>
            <w:shd w:val="clear" w:color="auto" w:fill="auto"/>
            <w:noWrap/>
            <w:vAlign w:val="bottom"/>
          </w:tcPr>
          <w:p w:rsidR="008E289A" w:rsidRPr="00081ECA" w:rsidP="008C6A87" w14:paraId="2F7D5655" w14:textId="77777777">
            <w:pPr>
              <w:rPr>
                <w:rFonts w:ascii="Calibri" w:hAnsi="Calibri" w:cs="Calibri"/>
                <w:b/>
                <w:bCs/>
                <w:color w:val="000000"/>
                <w:sz w:val="22"/>
                <w:szCs w:val="22"/>
                <w:u w:val="single"/>
              </w:rPr>
            </w:pPr>
          </w:p>
        </w:tc>
        <w:tc>
          <w:tcPr>
            <w:tcW w:w="1485" w:type="dxa"/>
            <w:tcBorders>
              <w:top w:val="nil"/>
              <w:left w:val="nil"/>
              <w:bottom w:val="nil"/>
              <w:right w:val="nil"/>
            </w:tcBorders>
            <w:shd w:val="clear" w:color="auto" w:fill="auto"/>
            <w:noWrap/>
            <w:vAlign w:val="bottom"/>
            <w:hideMark/>
          </w:tcPr>
          <w:p w:rsidR="008E289A" w:rsidRPr="00081ECA" w:rsidP="008C6A87" w14:paraId="7665B8FE" w14:textId="77777777">
            <w:pPr>
              <w:rPr>
                <w:rFonts w:ascii="Calibri" w:hAnsi="Calibri" w:cs="Calibri"/>
                <w:b/>
                <w:bCs/>
                <w:color w:val="000000"/>
                <w:sz w:val="22"/>
                <w:szCs w:val="22"/>
                <w:u w:val="single"/>
              </w:rPr>
            </w:pPr>
          </w:p>
        </w:tc>
        <w:tc>
          <w:tcPr>
            <w:tcW w:w="1046" w:type="dxa"/>
            <w:tcBorders>
              <w:top w:val="nil"/>
              <w:left w:val="nil"/>
              <w:bottom w:val="nil"/>
              <w:right w:val="nil"/>
            </w:tcBorders>
            <w:shd w:val="clear" w:color="auto" w:fill="auto"/>
            <w:noWrap/>
            <w:vAlign w:val="bottom"/>
            <w:hideMark/>
          </w:tcPr>
          <w:p w:rsidR="008E289A" w:rsidRPr="00081ECA" w:rsidP="008C6A87" w14:paraId="3776D85E" w14:textId="77777777">
            <w:pPr>
              <w:rPr>
                <w:rFonts w:ascii="Times New Roman" w:hAnsi="Times New Roman"/>
              </w:rPr>
            </w:pPr>
          </w:p>
        </w:tc>
        <w:tc>
          <w:tcPr>
            <w:tcW w:w="1579" w:type="dxa"/>
            <w:gridSpan w:val="2"/>
            <w:tcBorders>
              <w:top w:val="nil"/>
              <w:left w:val="nil"/>
              <w:bottom w:val="nil"/>
              <w:right w:val="nil"/>
            </w:tcBorders>
            <w:shd w:val="clear" w:color="auto" w:fill="auto"/>
            <w:noWrap/>
            <w:vAlign w:val="bottom"/>
            <w:hideMark/>
          </w:tcPr>
          <w:p w:rsidR="008E289A" w:rsidRPr="00081ECA" w:rsidP="008C6A87" w14:paraId="65575DCC" w14:textId="77777777">
            <w:pPr>
              <w:rPr>
                <w:rFonts w:ascii="Times New Roman" w:hAnsi="Times New Roman"/>
              </w:rPr>
            </w:pPr>
          </w:p>
        </w:tc>
        <w:tc>
          <w:tcPr>
            <w:tcW w:w="1077" w:type="dxa"/>
            <w:tcBorders>
              <w:top w:val="nil"/>
              <w:left w:val="nil"/>
              <w:bottom w:val="nil"/>
              <w:right w:val="nil"/>
            </w:tcBorders>
            <w:shd w:val="clear" w:color="auto" w:fill="auto"/>
            <w:noWrap/>
            <w:vAlign w:val="bottom"/>
            <w:hideMark/>
          </w:tcPr>
          <w:p w:rsidR="008E289A" w:rsidRPr="00081ECA" w:rsidP="008C6A87" w14:paraId="63B6382B" w14:textId="77777777">
            <w:pPr>
              <w:rPr>
                <w:rFonts w:ascii="Times New Roman" w:hAnsi="Times New Roman"/>
              </w:rPr>
            </w:pPr>
          </w:p>
        </w:tc>
        <w:tc>
          <w:tcPr>
            <w:tcW w:w="1140" w:type="dxa"/>
            <w:tcBorders>
              <w:top w:val="nil"/>
              <w:left w:val="nil"/>
              <w:bottom w:val="nil"/>
              <w:right w:val="nil"/>
            </w:tcBorders>
            <w:shd w:val="clear" w:color="auto" w:fill="auto"/>
            <w:noWrap/>
            <w:vAlign w:val="bottom"/>
            <w:hideMark/>
          </w:tcPr>
          <w:p w:rsidR="008E289A" w:rsidRPr="00081ECA" w:rsidP="008C6A87" w14:paraId="6095BA63" w14:textId="77777777">
            <w:pPr>
              <w:rPr>
                <w:rFonts w:ascii="Times New Roman" w:hAnsi="Times New Roman"/>
              </w:rPr>
            </w:pPr>
          </w:p>
        </w:tc>
      </w:tr>
      <w:tr w14:paraId="738912AD" w14:textId="77777777" w:rsidTr="008C6A87">
        <w:tblPrEx>
          <w:tblW w:w="9223" w:type="dxa"/>
          <w:tblLook w:val="04A0"/>
        </w:tblPrEx>
        <w:trPr>
          <w:trHeight w:val="288"/>
        </w:trPr>
        <w:tc>
          <w:tcPr>
            <w:tcW w:w="2556"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E289A" w:rsidRPr="00081ECA" w:rsidP="008C6A87" w14:paraId="38349511" w14:textId="77777777">
            <w:pPr>
              <w:rPr>
                <w:rFonts w:ascii="Times New Roman" w:hAnsi="Times New Roman"/>
                <w:b/>
                <w:bCs/>
                <w:color w:val="000000"/>
              </w:rPr>
            </w:pPr>
            <w:r w:rsidRPr="00081ECA">
              <w:rPr>
                <w:rFonts w:ascii="Times New Roman" w:hAnsi="Times New Roman"/>
                <w:b/>
                <w:bCs/>
                <w:color w:val="000000"/>
              </w:rPr>
              <w:t>Labor Category</w:t>
            </w:r>
          </w:p>
        </w:tc>
        <w:tc>
          <w:tcPr>
            <w:tcW w:w="1485" w:type="dxa"/>
            <w:tcBorders>
              <w:top w:val="single" w:sz="4" w:space="0" w:color="auto"/>
              <w:left w:val="nil"/>
              <w:bottom w:val="single" w:sz="4" w:space="0" w:color="auto"/>
              <w:right w:val="single" w:sz="4" w:space="0" w:color="auto"/>
            </w:tcBorders>
            <w:shd w:val="clear" w:color="000000" w:fill="C5D9F1"/>
            <w:noWrap/>
            <w:vAlign w:val="bottom"/>
            <w:hideMark/>
          </w:tcPr>
          <w:p w:rsidR="008E289A" w:rsidRPr="00081ECA" w:rsidP="008C6A87" w14:paraId="54477B06" w14:textId="77777777">
            <w:pPr>
              <w:jc w:val="center"/>
              <w:rPr>
                <w:rFonts w:ascii="Times New Roman" w:hAnsi="Times New Roman"/>
                <w:b/>
                <w:bCs/>
                <w:color w:val="000000"/>
              </w:rPr>
            </w:pPr>
            <w:r w:rsidRPr="00081ECA">
              <w:rPr>
                <w:rFonts w:ascii="Times New Roman" w:hAnsi="Times New Roman"/>
                <w:b/>
                <w:bCs/>
                <w:color w:val="000000"/>
              </w:rPr>
              <w:t>Number</w:t>
            </w:r>
          </w:p>
        </w:tc>
        <w:tc>
          <w:tcPr>
            <w:tcW w:w="1359" w:type="dxa"/>
            <w:gridSpan w:val="2"/>
            <w:tcBorders>
              <w:top w:val="single" w:sz="4" w:space="0" w:color="auto"/>
              <w:left w:val="nil"/>
              <w:bottom w:val="single" w:sz="4" w:space="0" w:color="auto"/>
              <w:right w:val="single" w:sz="4" w:space="0" w:color="auto"/>
            </w:tcBorders>
            <w:shd w:val="clear" w:color="000000" w:fill="C5D9F1"/>
            <w:noWrap/>
            <w:vAlign w:val="bottom"/>
            <w:hideMark/>
          </w:tcPr>
          <w:p w:rsidR="008E289A" w:rsidRPr="00081ECA" w:rsidP="008C6A87" w14:paraId="55478AD1" w14:textId="77777777">
            <w:pPr>
              <w:jc w:val="center"/>
              <w:rPr>
                <w:rFonts w:ascii="Times New Roman" w:hAnsi="Times New Roman"/>
                <w:b/>
                <w:bCs/>
                <w:color w:val="000000"/>
              </w:rPr>
            </w:pPr>
            <w:r w:rsidRPr="00081ECA">
              <w:rPr>
                <w:rFonts w:ascii="Times New Roman" w:hAnsi="Times New Roman"/>
                <w:b/>
                <w:bCs/>
                <w:color w:val="000000"/>
              </w:rPr>
              <w:t>Hourly Rate</w:t>
            </w:r>
            <w:r>
              <w:rPr>
                <w:rStyle w:val="FootnoteReference"/>
                <w:rFonts w:ascii="Times New Roman" w:hAnsi="Times New Roman"/>
                <w:color w:val="000000"/>
              </w:rPr>
              <w:footnoteReference w:id="3"/>
            </w:r>
          </w:p>
        </w:tc>
        <w:tc>
          <w:tcPr>
            <w:tcW w:w="1266" w:type="dxa"/>
            <w:tcBorders>
              <w:top w:val="single" w:sz="4" w:space="0" w:color="auto"/>
              <w:left w:val="nil"/>
              <w:bottom w:val="single" w:sz="4" w:space="0" w:color="auto"/>
              <w:right w:val="single" w:sz="4" w:space="0" w:color="auto"/>
            </w:tcBorders>
            <w:shd w:val="clear" w:color="000000" w:fill="C5D9F1"/>
            <w:noWrap/>
            <w:vAlign w:val="bottom"/>
            <w:hideMark/>
          </w:tcPr>
          <w:p w:rsidR="008E289A" w:rsidRPr="003C3E40" w:rsidP="008C6A87" w14:paraId="34A55482" w14:textId="77777777">
            <w:pPr>
              <w:jc w:val="center"/>
              <w:rPr>
                <w:rFonts w:ascii="Times New Roman" w:hAnsi="Times New Roman"/>
              </w:rPr>
            </w:pPr>
            <w:r w:rsidRPr="00081ECA">
              <w:rPr>
                <w:rFonts w:ascii="Times New Roman" w:hAnsi="Times New Roman"/>
                <w:b/>
                <w:bCs/>
                <w:color w:val="000000"/>
              </w:rPr>
              <w:t>Load</w:t>
            </w:r>
            <w:r>
              <w:rPr>
                <w:rStyle w:val="FootnoteReference"/>
                <w:color w:val="000000"/>
              </w:rPr>
              <w:footnoteReference w:id="4"/>
            </w:r>
          </w:p>
        </w:tc>
        <w:tc>
          <w:tcPr>
            <w:tcW w:w="1077" w:type="dxa"/>
            <w:tcBorders>
              <w:top w:val="single" w:sz="4" w:space="0" w:color="auto"/>
              <w:left w:val="nil"/>
              <w:bottom w:val="single" w:sz="4" w:space="0" w:color="auto"/>
              <w:right w:val="single" w:sz="4" w:space="0" w:color="auto"/>
            </w:tcBorders>
            <w:shd w:val="clear" w:color="000000" w:fill="C5D9F1"/>
            <w:noWrap/>
            <w:vAlign w:val="bottom"/>
            <w:hideMark/>
          </w:tcPr>
          <w:p w:rsidR="008E289A" w:rsidRPr="00081ECA" w:rsidP="008C6A87" w14:paraId="45A7DE3C" w14:textId="77777777">
            <w:pPr>
              <w:jc w:val="center"/>
              <w:rPr>
                <w:rFonts w:ascii="Times New Roman" w:hAnsi="Times New Roman"/>
                <w:b/>
                <w:bCs/>
                <w:color w:val="000000"/>
              </w:rPr>
            </w:pPr>
            <w:r w:rsidRPr="00081ECA">
              <w:rPr>
                <w:rFonts w:ascii="Times New Roman" w:hAnsi="Times New Roman"/>
                <w:b/>
                <w:bCs/>
                <w:color w:val="000000"/>
              </w:rPr>
              <w:t>Hours</w:t>
            </w:r>
          </w:p>
        </w:tc>
        <w:tc>
          <w:tcPr>
            <w:tcW w:w="1480" w:type="dxa"/>
            <w:gridSpan w:val="2"/>
            <w:tcBorders>
              <w:top w:val="single" w:sz="4" w:space="0" w:color="auto"/>
              <w:left w:val="nil"/>
              <w:bottom w:val="single" w:sz="4" w:space="0" w:color="auto"/>
              <w:right w:val="single" w:sz="4" w:space="0" w:color="auto"/>
            </w:tcBorders>
            <w:shd w:val="clear" w:color="000000" w:fill="C5D9F1"/>
            <w:noWrap/>
            <w:vAlign w:val="bottom"/>
            <w:hideMark/>
          </w:tcPr>
          <w:p w:rsidR="008E289A" w:rsidRPr="00081ECA" w:rsidP="008C6A87" w14:paraId="540589EC" w14:textId="77777777">
            <w:pPr>
              <w:jc w:val="center"/>
              <w:rPr>
                <w:rFonts w:ascii="Times New Roman" w:hAnsi="Times New Roman"/>
                <w:b/>
                <w:bCs/>
                <w:color w:val="000000"/>
              </w:rPr>
            </w:pPr>
            <w:r w:rsidRPr="00081ECA">
              <w:rPr>
                <w:rFonts w:ascii="Times New Roman" w:hAnsi="Times New Roman"/>
                <w:b/>
                <w:bCs/>
                <w:color w:val="000000"/>
              </w:rPr>
              <w:t>Cost</w:t>
            </w:r>
          </w:p>
        </w:tc>
      </w:tr>
      <w:tr w14:paraId="3CB5A10E" w14:textId="77777777" w:rsidTr="008C6A87">
        <w:tblPrEx>
          <w:tblW w:w="9223" w:type="dxa"/>
          <w:tblLook w:val="04A0"/>
        </w:tblPrEx>
        <w:trPr>
          <w:trHeight w:val="288"/>
        </w:trPr>
        <w:tc>
          <w:tcPr>
            <w:tcW w:w="2556" w:type="dxa"/>
            <w:tcBorders>
              <w:top w:val="nil"/>
              <w:left w:val="single" w:sz="4" w:space="0" w:color="auto"/>
              <w:bottom w:val="single" w:sz="4" w:space="0" w:color="auto"/>
              <w:right w:val="single" w:sz="4" w:space="0" w:color="auto"/>
            </w:tcBorders>
            <w:shd w:val="clear" w:color="auto" w:fill="auto"/>
            <w:noWrap/>
            <w:vAlign w:val="bottom"/>
            <w:hideMark/>
          </w:tcPr>
          <w:p w:rsidR="008E289A" w:rsidRPr="00081ECA" w:rsidP="008C6A87" w14:paraId="6C9E5EEC" w14:textId="77777777">
            <w:pPr>
              <w:rPr>
                <w:rFonts w:ascii="Times New Roman" w:hAnsi="Times New Roman"/>
                <w:color w:val="000000"/>
              </w:rPr>
            </w:pPr>
            <w:r w:rsidRPr="00081ECA">
              <w:rPr>
                <w:rFonts w:ascii="Times New Roman" w:hAnsi="Times New Roman"/>
                <w:color w:val="000000"/>
              </w:rPr>
              <w:t>Information Technology Specialist – GS-14/5</w:t>
            </w:r>
          </w:p>
        </w:tc>
        <w:tc>
          <w:tcPr>
            <w:tcW w:w="1485" w:type="dxa"/>
            <w:tcBorders>
              <w:top w:val="nil"/>
              <w:left w:val="nil"/>
              <w:bottom w:val="single" w:sz="4" w:space="0" w:color="auto"/>
              <w:right w:val="single" w:sz="4" w:space="0" w:color="auto"/>
            </w:tcBorders>
            <w:shd w:val="clear" w:color="auto" w:fill="auto"/>
            <w:noWrap/>
            <w:vAlign w:val="bottom"/>
            <w:hideMark/>
          </w:tcPr>
          <w:p w:rsidR="008E289A" w:rsidRPr="00081ECA" w:rsidP="008C6A87" w14:paraId="12AC691E" w14:textId="77777777">
            <w:pPr>
              <w:jc w:val="right"/>
              <w:rPr>
                <w:rFonts w:ascii="Times New Roman" w:hAnsi="Times New Roman"/>
                <w:color w:val="000000"/>
              </w:rPr>
            </w:pPr>
            <w:r w:rsidRPr="00081ECA">
              <w:rPr>
                <w:rFonts w:ascii="Times New Roman" w:hAnsi="Times New Roman"/>
                <w:color w:val="000000"/>
              </w:rPr>
              <w:t>1</w:t>
            </w:r>
          </w:p>
        </w:tc>
        <w:tc>
          <w:tcPr>
            <w:tcW w:w="1359" w:type="dxa"/>
            <w:gridSpan w:val="2"/>
            <w:tcBorders>
              <w:top w:val="nil"/>
              <w:left w:val="nil"/>
              <w:bottom w:val="single" w:sz="4" w:space="0" w:color="auto"/>
              <w:right w:val="single" w:sz="4" w:space="0" w:color="auto"/>
            </w:tcBorders>
            <w:shd w:val="clear" w:color="auto" w:fill="auto"/>
            <w:noWrap/>
            <w:vAlign w:val="bottom"/>
            <w:hideMark/>
          </w:tcPr>
          <w:p w:rsidR="008E289A" w:rsidRPr="00081ECA" w:rsidP="008C6A87" w14:paraId="7B494E3B" w14:textId="77777777">
            <w:pPr>
              <w:jc w:val="right"/>
              <w:rPr>
                <w:rFonts w:ascii="Times New Roman" w:hAnsi="Times New Roman"/>
                <w:color w:val="000000"/>
              </w:rPr>
            </w:pPr>
            <w:r w:rsidRPr="00081ECA">
              <w:rPr>
                <w:rFonts w:ascii="Times New Roman" w:hAnsi="Times New Roman"/>
                <w:color w:val="000000"/>
              </w:rPr>
              <w:t xml:space="preserve"> $68.</w:t>
            </w:r>
            <w:r>
              <w:rPr>
                <w:rFonts w:ascii="Times New Roman" w:hAnsi="Times New Roman"/>
                <w:color w:val="000000"/>
              </w:rPr>
              <w:t>55</w:t>
            </w:r>
          </w:p>
        </w:tc>
        <w:tc>
          <w:tcPr>
            <w:tcW w:w="1266" w:type="dxa"/>
            <w:tcBorders>
              <w:top w:val="nil"/>
              <w:left w:val="nil"/>
              <w:bottom w:val="single" w:sz="4" w:space="0" w:color="auto"/>
              <w:right w:val="single" w:sz="4" w:space="0" w:color="auto"/>
            </w:tcBorders>
            <w:shd w:val="clear" w:color="auto" w:fill="auto"/>
            <w:noWrap/>
            <w:vAlign w:val="bottom"/>
            <w:hideMark/>
          </w:tcPr>
          <w:p w:rsidR="008E289A" w:rsidRPr="00081ECA" w:rsidP="008C6A87" w14:paraId="464B1F53" w14:textId="77777777">
            <w:pPr>
              <w:jc w:val="right"/>
              <w:rPr>
                <w:rFonts w:ascii="Times New Roman" w:hAnsi="Times New Roman"/>
                <w:color w:val="000000"/>
              </w:rPr>
            </w:pPr>
            <w:r w:rsidRPr="00081ECA">
              <w:rPr>
                <w:rFonts w:ascii="Times New Roman" w:hAnsi="Times New Roman"/>
                <w:color w:val="000000"/>
              </w:rPr>
              <w:t>1.62</w:t>
            </w:r>
            <w:r>
              <w:rPr>
                <w:rFonts w:ascii="Times New Roman" w:hAnsi="Times New Roman"/>
                <w:color w:val="000000"/>
              </w:rPr>
              <w:t>1</w:t>
            </w:r>
          </w:p>
        </w:tc>
        <w:tc>
          <w:tcPr>
            <w:tcW w:w="1077" w:type="dxa"/>
            <w:tcBorders>
              <w:top w:val="nil"/>
              <w:left w:val="nil"/>
              <w:bottom w:val="single" w:sz="4" w:space="0" w:color="auto"/>
              <w:right w:val="single" w:sz="4" w:space="0" w:color="auto"/>
            </w:tcBorders>
            <w:shd w:val="clear" w:color="auto" w:fill="auto"/>
            <w:noWrap/>
            <w:vAlign w:val="bottom"/>
            <w:hideMark/>
          </w:tcPr>
          <w:p w:rsidR="008E289A" w:rsidRPr="00EA70C6" w:rsidP="008C6A87" w14:paraId="4AFD9096" w14:textId="77777777">
            <w:pPr>
              <w:jc w:val="right"/>
              <w:rPr>
                <w:rFonts w:ascii="Times New Roman" w:hAnsi="Times New Roman"/>
                <w:color w:val="000000"/>
              </w:rPr>
            </w:pPr>
            <w:r w:rsidRPr="00EA70C6">
              <w:rPr>
                <w:rFonts w:ascii="Times New Roman" w:hAnsi="Times New Roman"/>
                <w:color w:val="000000"/>
              </w:rPr>
              <w:t xml:space="preserve">                              30 </w:t>
            </w:r>
          </w:p>
        </w:tc>
        <w:tc>
          <w:tcPr>
            <w:tcW w:w="1480" w:type="dxa"/>
            <w:gridSpan w:val="2"/>
            <w:tcBorders>
              <w:top w:val="nil"/>
              <w:left w:val="nil"/>
              <w:bottom w:val="single" w:sz="4" w:space="0" w:color="auto"/>
              <w:right w:val="single" w:sz="4" w:space="0" w:color="auto"/>
            </w:tcBorders>
            <w:shd w:val="clear" w:color="auto" w:fill="auto"/>
            <w:noWrap/>
            <w:vAlign w:val="bottom"/>
            <w:hideMark/>
          </w:tcPr>
          <w:p w:rsidR="008E289A" w:rsidRPr="00081ECA" w:rsidP="008C6A87" w14:paraId="7CA0B7BC" w14:textId="77777777">
            <w:pPr>
              <w:jc w:val="right"/>
              <w:rPr>
                <w:rFonts w:ascii="Times New Roman" w:hAnsi="Times New Roman"/>
                <w:color w:val="000000"/>
              </w:rPr>
            </w:pPr>
            <w:r w:rsidRPr="00081ECA">
              <w:rPr>
                <w:rFonts w:ascii="Times New Roman" w:hAnsi="Times New Roman"/>
                <w:color w:val="000000"/>
              </w:rPr>
              <w:t xml:space="preserve"> $3,3</w:t>
            </w:r>
            <w:r>
              <w:rPr>
                <w:rFonts w:ascii="Times New Roman" w:hAnsi="Times New Roman"/>
                <w:color w:val="000000"/>
              </w:rPr>
              <w:t>33</w:t>
            </w:r>
          </w:p>
        </w:tc>
      </w:tr>
      <w:tr w14:paraId="675813AC" w14:textId="77777777" w:rsidTr="008C6A87">
        <w:tblPrEx>
          <w:tblW w:w="9223" w:type="dxa"/>
          <w:tblLook w:val="04A0"/>
        </w:tblPrEx>
        <w:trPr>
          <w:trHeight w:val="528"/>
        </w:trPr>
        <w:tc>
          <w:tcPr>
            <w:tcW w:w="2556" w:type="dxa"/>
            <w:tcBorders>
              <w:top w:val="nil"/>
              <w:left w:val="single" w:sz="4" w:space="0" w:color="auto"/>
              <w:bottom w:val="single" w:sz="4" w:space="0" w:color="auto"/>
              <w:right w:val="single" w:sz="4" w:space="0" w:color="auto"/>
            </w:tcBorders>
            <w:shd w:val="clear" w:color="auto" w:fill="auto"/>
            <w:noWrap/>
            <w:vAlign w:val="bottom"/>
            <w:hideMark/>
          </w:tcPr>
          <w:p w:rsidR="008E289A" w:rsidRPr="00081ECA" w:rsidP="008C6A87" w14:paraId="1EF0765F" w14:textId="77777777">
            <w:pPr>
              <w:rPr>
                <w:rFonts w:ascii="Times New Roman" w:hAnsi="Times New Roman"/>
                <w:color w:val="000000"/>
              </w:rPr>
            </w:pPr>
            <w:r w:rsidRPr="00081ECA">
              <w:rPr>
                <w:rFonts w:ascii="Times New Roman" w:hAnsi="Times New Roman"/>
                <w:color w:val="000000"/>
              </w:rPr>
              <w:t>Technical Clerical - GS 7/5</w:t>
            </w:r>
          </w:p>
        </w:tc>
        <w:tc>
          <w:tcPr>
            <w:tcW w:w="1485" w:type="dxa"/>
            <w:tcBorders>
              <w:top w:val="nil"/>
              <w:left w:val="nil"/>
              <w:bottom w:val="single" w:sz="4" w:space="0" w:color="auto"/>
              <w:right w:val="single" w:sz="4" w:space="0" w:color="auto"/>
            </w:tcBorders>
            <w:shd w:val="clear" w:color="auto" w:fill="auto"/>
            <w:noWrap/>
            <w:vAlign w:val="bottom"/>
            <w:hideMark/>
          </w:tcPr>
          <w:p w:rsidR="008E289A" w:rsidRPr="00081ECA" w:rsidP="008C6A87" w14:paraId="09F9DDA7" w14:textId="77777777">
            <w:pPr>
              <w:jc w:val="right"/>
              <w:rPr>
                <w:rFonts w:ascii="Times New Roman" w:hAnsi="Times New Roman"/>
                <w:color w:val="000000"/>
              </w:rPr>
            </w:pPr>
            <w:r w:rsidRPr="00081ECA">
              <w:rPr>
                <w:rFonts w:ascii="Times New Roman" w:hAnsi="Times New Roman"/>
                <w:color w:val="000000"/>
              </w:rPr>
              <w:t>1</w:t>
            </w:r>
          </w:p>
        </w:tc>
        <w:tc>
          <w:tcPr>
            <w:tcW w:w="1359" w:type="dxa"/>
            <w:gridSpan w:val="2"/>
            <w:tcBorders>
              <w:top w:val="nil"/>
              <w:left w:val="nil"/>
              <w:bottom w:val="single" w:sz="4" w:space="0" w:color="auto"/>
              <w:right w:val="single" w:sz="4" w:space="0" w:color="auto"/>
            </w:tcBorders>
            <w:shd w:val="clear" w:color="auto" w:fill="auto"/>
            <w:noWrap/>
            <w:vAlign w:val="bottom"/>
            <w:hideMark/>
          </w:tcPr>
          <w:p w:rsidR="008E289A" w:rsidRPr="00081ECA" w:rsidP="008C6A87" w14:paraId="51B8F98D" w14:textId="77777777">
            <w:pPr>
              <w:jc w:val="right"/>
              <w:rPr>
                <w:rFonts w:ascii="Times New Roman" w:hAnsi="Times New Roman"/>
                <w:color w:val="000000"/>
              </w:rPr>
            </w:pPr>
            <w:r>
              <w:rPr>
                <w:rFonts w:ascii="Times New Roman" w:hAnsi="Times New Roman"/>
                <w:color w:val="000000"/>
              </w:rPr>
              <w:t xml:space="preserve"> </w:t>
            </w:r>
            <w:r w:rsidRPr="00081ECA">
              <w:rPr>
                <w:rFonts w:ascii="Times New Roman" w:hAnsi="Times New Roman"/>
                <w:color w:val="000000"/>
              </w:rPr>
              <w:t>$27.5</w:t>
            </w:r>
            <w:r>
              <w:rPr>
                <w:rFonts w:ascii="Times New Roman" w:hAnsi="Times New Roman"/>
                <w:color w:val="000000"/>
              </w:rPr>
              <w:t>0</w:t>
            </w:r>
            <w:r w:rsidRPr="00081ECA">
              <w:rPr>
                <w:rFonts w:ascii="Times New Roman" w:hAnsi="Times New Roman"/>
                <w:color w:val="000000"/>
              </w:rPr>
              <w:t xml:space="preserve"> </w:t>
            </w:r>
          </w:p>
        </w:tc>
        <w:tc>
          <w:tcPr>
            <w:tcW w:w="1266" w:type="dxa"/>
            <w:tcBorders>
              <w:top w:val="nil"/>
              <w:left w:val="nil"/>
              <w:bottom w:val="single" w:sz="4" w:space="0" w:color="auto"/>
              <w:right w:val="single" w:sz="4" w:space="0" w:color="auto"/>
            </w:tcBorders>
            <w:shd w:val="clear" w:color="auto" w:fill="auto"/>
            <w:noWrap/>
            <w:vAlign w:val="bottom"/>
            <w:hideMark/>
          </w:tcPr>
          <w:p w:rsidR="008E289A" w:rsidRPr="00081ECA" w:rsidP="008C6A87" w14:paraId="404A84AB" w14:textId="77777777">
            <w:pPr>
              <w:jc w:val="right"/>
              <w:rPr>
                <w:rFonts w:ascii="Times New Roman" w:hAnsi="Times New Roman"/>
                <w:color w:val="000000"/>
              </w:rPr>
            </w:pPr>
            <w:r w:rsidRPr="00081ECA">
              <w:rPr>
                <w:rFonts w:ascii="Times New Roman" w:hAnsi="Times New Roman"/>
                <w:color w:val="000000"/>
              </w:rPr>
              <w:t>1.62</w:t>
            </w:r>
            <w:r>
              <w:rPr>
                <w:rFonts w:ascii="Times New Roman" w:hAnsi="Times New Roman"/>
                <w:color w:val="000000"/>
              </w:rPr>
              <w:t>1</w:t>
            </w:r>
          </w:p>
        </w:tc>
        <w:tc>
          <w:tcPr>
            <w:tcW w:w="1077" w:type="dxa"/>
            <w:tcBorders>
              <w:top w:val="nil"/>
              <w:left w:val="nil"/>
              <w:bottom w:val="single" w:sz="4" w:space="0" w:color="auto"/>
              <w:right w:val="single" w:sz="4" w:space="0" w:color="auto"/>
            </w:tcBorders>
            <w:shd w:val="clear" w:color="auto" w:fill="auto"/>
            <w:noWrap/>
            <w:vAlign w:val="bottom"/>
            <w:hideMark/>
          </w:tcPr>
          <w:p w:rsidR="008E289A" w:rsidRPr="00EA70C6" w:rsidP="008C6A87" w14:paraId="05D063EC" w14:textId="77777777">
            <w:pPr>
              <w:jc w:val="right"/>
              <w:rPr>
                <w:rFonts w:ascii="Times New Roman" w:hAnsi="Times New Roman"/>
                <w:color w:val="000000"/>
              </w:rPr>
            </w:pPr>
            <w:r w:rsidRPr="00EA70C6">
              <w:rPr>
                <w:rFonts w:ascii="Times New Roman" w:hAnsi="Times New Roman"/>
                <w:color w:val="000000"/>
              </w:rPr>
              <w:t xml:space="preserve">                                5 </w:t>
            </w:r>
          </w:p>
        </w:tc>
        <w:tc>
          <w:tcPr>
            <w:tcW w:w="1480" w:type="dxa"/>
            <w:gridSpan w:val="2"/>
            <w:tcBorders>
              <w:top w:val="nil"/>
              <w:left w:val="nil"/>
              <w:bottom w:val="single" w:sz="4" w:space="0" w:color="auto"/>
              <w:right w:val="single" w:sz="4" w:space="0" w:color="auto"/>
            </w:tcBorders>
            <w:shd w:val="clear" w:color="auto" w:fill="auto"/>
            <w:noWrap/>
            <w:vAlign w:val="bottom"/>
            <w:hideMark/>
          </w:tcPr>
          <w:p w:rsidR="008E289A" w:rsidRPr="00081ECA" w:rsidP="008C6A87" w14:paraId="2696195F" w14:textId="77777777">
            <w:pPr>
              <w:jc w:val="right"/>
              <w:rPr>
                <w:rFonts w:ascii="Times New Roman" w:hAnsi="Times New Roman"/>
                <w:color w:val="000000"/>
              </w:rPr>
            </w:pPr>
            <w:r w:rsidRPr="00081ECA">
              <w:rPr>
                <w:rFonts w:ascii="Times New Roman" w:hAnsi="Times New Roman"/>
                <w:color w:val="000000"/>
              </w:rPr>
              <w:t xml:space="preserve"> $</w:t>
            </w:r>
            <w:r>
              <w:rPr>
                <w:rFonts w:ascii="Times New Roman" w:hAnsi="Times New Roman"/>
                <w:color w:val="000000"/>
              </w:rPr>
              <w:t xml:space="preserve">   </w:t>
            </w:r>
            <w:r w:rsidRPr="00081ECA">
              <w:rPr>
                <w:rFonts w:ascii="Times New Roman" w:hAnsi="Times New Roman"/>
                <w:color w:val="000000"/>
              </w:rPr>
              <w:t>22</w:t>
            </w:r>
            <w:r>
              <w:rPr>
                <w:rFonts w:ascii="Times New Roman" w:hAnsi="Times New Roman"/>
                <w:color w:val="000000"/>
              </w:rPr>
              <w:t>3</w:t>
            </w:r>
          </w:p>
        </w:tc>
      </w:tr>
      <w:tr w14:paraId="79330E16" w14:textId="77777777" w:rsidTr="008C6A87">
        <w:tblPrEx>
          <w:tblW w:w="9223" w:type="dxa"/>
          <w:tblLook w:val="04A0"/>
        </w:tblPrEx>
        <w:trPr>
          <w:trHeight w:val="288"/>
        </w:trPr>
        <w:tc>
          <w:tcPr>
            <w:tcW w:w="2556" w:type="dxa"/>
            <w:tcBorders>
              <w:top w:val="nil"/>
              <w:left w:val="single" w:sz="4" w:space="0" w:color="auto"/>
              <w:bottom w:val="single" w:sz="4" w:space="0" w:color="auto"/>
              <w:right w:val="single" w:sz="4" w:space="0" w:color="auto"/>
            </w:tcBorders>
            <w:shd w:val="clear" w:color="000000" w:fill="C5D9F1"/>
            <w:noWrap/>
            <w:vAlign w:val="bottom"/>
            <w:hideMark/>
          </w:tcPr>
          <w:p w:rsidR="008E289A" w:rsidRPr="00081ECA" w:rsidP="008C6A87" w14:paraId="38F7963C" w14:textId="77777777">
            <w:pPr>
              <w:rPr>
                <w:rFonts w:ascii="Times New Roman" w:hAnsi="Times New Roman"/>
                <w:color w:val="000000"/>
              </w:rPr>
            </w:pPr>
            <w:r w:rsidRPr="00081ECA">
              <w:rPr>
                <w:rFonts w:ascii="Times New Roman" w:hAnsi="Times New Roman"/>
                <w:color w:val="000000"/>
              </w:rPr>
              <w:t>Total</w:t>
            </w:r>
          </w:p>
        </w:tc>
        <w:tc>
          <w:tcPr>
            <w:tcW w:w="1485" w:type="dxa"/>
            <w:tcBorders>
              <w:top w:val="nil"/>
              <w:left w:val="nil"/>
              <w:bottom w:val="single" w:sz="4" w:space="0" w:color="auto"/>
              <w:right w:val="single" w:sz="4" w:space="0" w:color="auto"/>
            </w:tcBorders>
            <w:shd w:val="clear" w:color="000000" w:fill="C5D9F1"/>
            <w:noWrap/>
            <w:vAlign w:val="bottom"/>
            <w:hideMark/>
          </w:tcPr>
          <w:p w:rsidR="008E289A" w:rsidRPr="00081ECA" w:rsidP="008C6A87" w14:paraId="0D4B5317" w14:textId="77777777">
            <w:pPr>
              <w:rPr>
                <w:rFonts w:ascii="Times New Roman" w:hAnsi="Times New Roman"/>
                <w:color w:val="000000"/>
              </w:rPr>
            </w:pPr>
            <w:r w:rsidRPr="00081ECA">
              <w:rPr>
                <w:rFonts w:ascii="Times New Roman" w:hAnsi="Times New Roman"/>
                <w:color w:val="000000"/>
              </w:rPr>
              <w:t> </w:t>
            </w:r>
          </w:p>
        </w:tc>
        <w:tc>
          <w:tcPr>
            <w:tcW w:w="1359" w:type="dxa"/>
            <w:gridSpan w:val="2"/>
            <w:tcBorders>
              <w:top w:val="nil"/>
              <w:left w:val="nil"/>
              <w:bottom w:val="single" w:sz="4" w:space="0" w:color="auto"/>
              <w:right w:val="single" w:sz="4" w:space="0" w:color="auto"/>
            </w:tcBorders>
            <w:shd w:val="clear" w:color="000000" w:fill="C5D9F1"/>
            <w:noWrap/>
            <w:vAlign w:val="bottom"/>
            <w:hideMark/>
          </w:tcPr>
          <w:p w:rsidR="008E289A" w:rsidRPr="00081ECA" w:rsidP="008C6A87" w14:paraId="1DBF6449" w14:textId="77777777">
            <w:pPr>
              <w:rPr>
                <w:rFonts w:ascii="Times New Roman" w:hAnsi="Times New Roman"/>
                <w:color w:val="000000"/>
              </w:rPr>
            </w:pPr>
            <w:r w:rsidRPr="00081ECA">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000000" w:fill="C5D9F1"/>
            <w:noWrap/>
            <w:vAlign w:val="bottom"/>
            <w:hideMark/>
          </w:tcPr>
          <w:p w:rsidR="008E289A" w:rsidRPr="00081ECA" w:rsidP="008C6A87" w14:paraId="52771092" w14:textId="77777777">
            <w:pPr>
              <w:rPr>
                <w:rFonts w:ascii="Times New Roman" w:hAnsi="Times New Roman"/>
                <w:color w:val="000000"/>
              </w:rPr>
            </w:pPr>
            <w:r w:rsidRPr="00081ECA">
              <w:rPr>
                <w:rFonts w:ascii="Times New Roman" w:hAnsi="Times New Roman"/>
                <w:color w:val="000000"/>
              </w:rPr>
              <w:t> </w:t>
            </w:r>
          </w:p>
        </w:tc>
        <w:tc>
          <w:tcPr>
            <w:tcW w:w="1077" w:type="dxa"/>
            <w:tcBorders>
              <w:top w:val="nil"/>
              <w:left w:val="nil"/>
              <w:bottom w:val="single" w:sz="4" w:space="0" w:color="auto"/>
              <w:right w:val="single" w:sz="4" w:space="0" w:color="auto"/>
            </w:tcBorders>
            <w:shd w:val="clear" w:color="000000" w:fill="C5D9F1"/>
            <w:noWrap/>
            <w:vAlign w:val="bottom"/>
            <w:hideMark/>
          </w:tcPr>
          <w:p w:rsidR="008E289A" w:rsidRPr="00081ECA" w:rsidP="008C6A87" w14:paraId="3CC398E4" w14:textId="77777777">
            <w:pPr>
              <w:rPr>
                <w:rFonts w:ascii="Times New Roman" w:hAnsi="Times New Roman"/>
                <w:color w:val="000000"/>
              </w:rPr>
            </w:pPr>
            <w:r w:rsidRPr="00081ECA">
              <w:rPr>
                <w:rFonts w:ascii="Times New Roman" w:hAnsi="Times New Roman"/>
                <w:color w:val="000000"/>
              </w:rPr>
              <w:t> </w:t>
            </w:r>
          </w:p>
        </w:tc>
        <w:tc>
          <w:tcPr>
            <w:tcW w:w="1480" w:type="dxa"/>
            <w:gridSpan w:val="2"/>
            <w:tcBorders>
              <w:top w:val="nil"/>
              <w:left w:val="nil"/>
              <w:bottom w:val="single" w:sz="4" w:space="0" w:color="auto"/>
              <w:right w:val="single" w:sz="4" w:space="0" w:color="auto"/>
            </w:tcBorders>
            <w:shd w:val="clear" w:color="000000" w:fill="C5D9F1"/>
            <w:noWrap/>
            <w:vAlign w:val="bottom"/>
            <w:hideMark/>
          </w:tcPr>
          <w:p w:rsidR="008E289A" w:rsidRPr="00081ECA" w:rsidP="008C6A87" w14:paraId="36CD333A" w14:textId="77777777">
            <w:pPr>
              <w:jc w:val="right"/>
              <w:rPr>
                <w:rFonts w:ascii="Times New Roman" w:hAnsi="Times New Roman"/>
                <w:color w:val="000000"/>
              </w:rPr>
            </w:pPr>
            <w:r w:rsidRPr="00081ECA">
              <w:rPr>
                <w:rFonts w:ascii="Times New Roman" w:hAnsi="Times New Roman"/>
                <w:color w:val="000000"/>
              </w:rPr>
              <w:t xml:space="preserve"> $3,</w:t>
            </w:r>
            <w:r>
              <w:rPr>
                <w:rFonts w:ascii="Times New Roman" w:hAnsi="Times New Roman"/>
                <w:color w:val="000000"/>
              </w:rPr>
              <w:t>556</w:t>
            </w:r>
            <w:r w:rsidRPr="00081ECA">
              <w:rPr>
                <w:rFonts w:ascii="Times New Roman" w:hAnsi="Times New Roman"/>
                <w:color w:val="000000"/>
              </w:rPr>
              <w:t xml:space="preserve"> </w:t>
            </w:r>
          </w:p>
        </w:tc>
      </w:tr>
    </w:tbl>
    <w:p w:rsidR="008E289A" w:rsidRPr="0025066C" w:rsidP="008E289A" w14:paraId="36B04FEA" w14:textId="77777777">
      <w:pPr>
        <w:rPr>
          <w:rFonts w:ascii="Times New Roman" w:hAnsi="Times New Roman"/>
        </w:rPr>
      </w:pPr>
      <w:r>
        <w:rPr>
          <w:rFonts w:ascii="Times New Roman" w:hAnsi="Times New Roman"/>
        </w:rPr>
        <w:t>*Figures are rounded.</w:t>
      </w:r>
    </w:p>
    <w:p w:rsidR="008E289A" w:rsidP="008E289A" w14:paraId="24F68978" w14:textId="77777777">
      <w:pPr>
        <w:rPr>
          <w:rFonts w:ascii="Times New Roman" w:hAnsi="Times New Roman"/>
        </w:rPr>
      </w:pPr>
    </w:p>
    <w:p w:rsidR="008E289A" w:rsidP="008E289A" w14:paraId="210482AF" w14:textId="77777777">
      <w:pPr>
        <w:rPr>
          <w:rFonts w:ascii="Times New Roman" w:hAnsi="Times New Roman"/>
        </w:rPr>
      </w:pPr>
      <w:r>
        <w:rPr>
          <w:rFonts w:ascii="Times New Roman" w:hAnsi="Times New Roman"/>
        </w:rPr>
        <w:t>Estimated Service cost to Government:</w:t>
      </w:r>
    </w:p>
    <w:bookmarkEnd w:id="3"/>
    <w:bookmarkEnd w:id="4"/>
    <w:tbl>
      <w:tblPr>
        <w:tblW w:w="8550" w:type="dxa"/>
        <w:tblLook w:val="04A0"/>
      </w:tblPr>
      <w:tblGrid>
        <w:gridCol w:w="1710"/>
        <w:gridCol w:w="1116"/>
        <w:gridCol w:w="315"/>
        <w:gridCol w:w="1305"/>
        <w:gridCol w:w="123"/>
        <w:gridCol w:w="946"/>
        <w:gridCol w:w="551"/>
        <w:gridCol w:w="689"/>
        <w:gridCol w:w="940"/>
        <w:gridCol w:w="1116"/>
      </w:tblGrid>
      <w:tr w14:paraId="78A2B2FA" w14:textId="77777777" w:rsidTr="008C6A87">
        <w:tblPrEx>
          <w:tblW w:w="8550" w:type="dxa"/>
          <w:tblLook w:val="04A0"/>
        </w:tblPrEx>
        <w:trPr>
          <w:trHeight w:val="277"/>
        </w:trPr>
        <w:tc>
          <w:tcPr>
            <w:tcW w:w="3015" w:type="dxa"/>
            <w:gridSpan w:val="3"/>
            <w:tcBorders>
              <w:top w:val="nil"/>
              <w:left w:val="nil"/>
              <w:bottom w:val="nil"/>
              <w:right w:val="nil"/>
            </w:tcBorders>
            <w:shd w:val="clear" w:color="auto" w:fill="auto"/>
            <w:noWrap/>
            <w:vAlign w:val="bottom"/>
          </w:tcPr>
          <w:p w:rsidR="008E289A" w:rsidRPr="00081ECA" w:rsidP="008C6A87" w14:paraId="45162EFE" w14:textId="77777777">
            <w:pPr>
              <w:rPr>
                <w:rFonts w:ascii="Calibri" w:hAnsi="Calibri" w:cs="Calibri"/>
                <w:b/>
                <w:bCs/>
                <w:color w:val="000000"/>
                <w:sz w:val="22"/>
                <w:szCs w:val="22"/>
                <w:u w:val="single"/>
              </w:rPr>
            </w:pPr>
          </w:p>
        </w:tc>
        <w:tc>
          <w:tcPr>
            <w:tcW w:w="1428" w:type="dxa"/>
            <w:gridSpan w:val="2"/>
            <w:tcBorders>
              <w:top w:val="nil"/>
              <w:left w:val="nil"/>
              <w:bottom w:val="nil"/>
              <w:right w:val="nil"/>
            </w:tcBorders>
            <w:shd w:val="clear" w:color="auto" w:fill="auto"/>
            <w:noWrap/>
            <w:vAlign w:val="bottom"/>
            <w:hideMark/>
          </w:tcPr>
          <w:p w:rsidR="008E289A" w:rsidRPr="00081ECA" w:rsidP="008C6A87" w14:paraId="7F15A1AF" w14:textId="77777777">
            <w:pPr>
              <w:rPr>
                <w:rFonts w:ascii="Calibri" w:hAnsi="Calibri" w:cs="Calibri"/>
                <w:b/>
                <w:bCs/>
                <w:color w:val="000000"/>
                <w:sz w:val="22"/>
                <w:szCs w:val="22"/>
                <w:u w:val="single"/>
              </w:rPr>
            </w:pPr>
          </w:p>
        </w:tc>
        <w:tc>
          <w:tcPr>
            <w:tcW w:w="946" w:type="dxa"/>
            <w:tcBorders>
              <w:top w:val="nil"/>
              <w:left w:val="nil"/>
              <w:bottom w:val="nil"/>
              <w:right w:val="nil"/>
            </w:tcBorders>
            <w:shd w:val="clear" w:color="auto" w:fill="auto"/>
            <w:noWrap/>
            <w:vAlign w:val="bottom"/>
            <w:hideMark/>
          </w:tcPr>
          <w:p w:rsidR="008E289A" w:rsidRPr="00081ECA" w:rsidP="008C6A87" w14:paraId="7BE8A77D" w14:textId="77777777">
            <w:pPr>
              <w:rPr>
                <w:rFonts w:ascii="Times New Roman" w:hAnsi="Times New Roman"/>
              </w:rPr>
            </w:pPr>
          </w:p>
        </w:tc>
        <w:tc>
          <w:tcPr>
            <w:tcW w:w="1240" w:type="dxa"/>
            <w:gridSpan w:val="2"/>
            <w:tcBorders>
              <w:top w:val="nil"/>
              <w:left w:val="nil"/>
              <w:bottom w:val="nil"/>
              <w:right w:val="nil"/>
            </w:tcBorders>
            <w:shd w:val="clear" w:color="auto" w:fill="auto"/>
            <w:noWrap/>
            <w:vAlign w:val="bottom"/>
            <w:hideMark/>
          </w:tcPr>
          <w:p w:rsidR="008E289A" w:rsidRPr="00081ECA" w:rsidP="008C6A87" w14:paraId="276E5C6D" w14:textId="77777777">
            <w:pPr>
              <w:rPr>
                <w:rFonts w:ascii="Times New Roman" w:hAnsi="Times New Roman"/>
              </w:rPr>
            </w:pPr>
          </w:p>
        </w:tc>
        <w:tc>
          <w:tcPr>
            <w:tcW w:w="940" w:type="dxa"/>
            <w:tcBorders>
              <w:top w:val="nil"/>
              <w:left w:val="nil"/>
              <w:bottom w:val="nil"/>
              <w:right w:val="nil"/>
            </w:tcBorders>
            <w:shd w:val="clear" w:color="auto" w:fill="auto"/>
            <w:noWrap/>
            <w:vAlign w:val="bottom"/>
            <w:hideMark/>
          </w:tcPr>
          <w:p w:rsidR="008E289A" w:rsidRPr="00081ECA" w:rsidP="008C6A87" w14:paraId="4FDC785F" w14:textId="77777777">
            <w:pPr>
              <w:rPr>
                <w:rFonts w:ascii="Times New Roman" w:hAnsi="Times New Roman"/>
              </w:rPr>
            </w:pPr>
          </w:p>
        </w:tc>
        <w:tc>
          <w:tcPr>
            <w:tcW w:w="981" w:type="dxa"/>
            <w:tcBorders>
              <w:top w:val="nil"/>
              <w:left w:val="nil"/>
              <w:bottom w:val="nil"/>
              <w:right w:val="nil"/>
            </w:tcBorders>
            <w:shd w:val="clear" w:color="auto" w:fill="auto"/>
            <w:noWrap/>
            <w:vAlign w:val="bottom"/>
            <w:hideMark/>
          </w:tcPr>
          <w:p w:rsidR="008E289A" w:rsidRPr="00081ECA" w:rsidP="008C6A87" w14:paraId="5802A5E2" w14:textId="77777777">
            <w:pPr>
              <w:rPr>
                <w:rFonts w:ascii="Times New Roman" w:hAnsi="Times New Roman"/>
              </w:rPr>
            </w:pPr>
          </w:p>
        </w:tc>
      </w:tr>
      <w:tr w14:paraId="4D1EEBDF" w14:textId="77777777" w:rsidTr="008C6A87">
        <w:tblPrEx>
          <w:tblW w:w="8550" w:type="dxa"/>
          <w:tblLook w:val="04A0"/>
        </w:tblPrEx>
        <w:trPr>
          <w:trHeight w:val="277"/>
        </w:trPr>
        <w:tc>
          <w:tcPr>
            <w:tcW w:w="171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E289A" w:rsidRPr="00081ECA" w:rsidP="008C6A87" w14:paraId="14B925E5" w14:textId="77777777">
            <w:pPr>
              <w:rPr>
                <w:rFonts w:ascii="Times New Roman" w:hAnsi="Times New Roman"/>
                <w:b/>
                <w:bCs/>
                <w:color w:val="000000"/>
              </w:rPr>
            </w:pPr>
            <w:r w:rsidRPr="00081ECA">
              <w:rPr>
                <w:rFonts w:ascii="Times New Roman" w:hAnsi="Times New Roman"/>
                <w:b/>
                <w:bCs/>
                <w:color w:val="000000"/>
              </w:rPr>
              <w:t> </w:t>
            </w:r>
            <w:r>
              <w:rPr>
                <w:rFonts w:ascii="Times New Roman" w:hAnsi="Times New Roman"/>
                <w:b/>
                <w:bCs/>
                <w:color w:val="000000"/>
              </w:rPr>
              <w:t>Service Contract</w:t>
            </w:r>
          </w:p>
        </w:tc>
        <w:tc>
          <w:tcPr>
            <w:tcW w:w="990" w:type="dxa"/>
            <w:tcBorders>
              <w:top w:val="single" w:sz="4" w:space="0" w:color="auto"/>
              <w:left w:val="nil"/>
              <w:bottom w:val="single" w:sz="4" w:space="0" w:color="auto"/>
              <w:right w:val="single" w:sz="4" w:space="0" w:color="auto"/>
            </w:tcBorders>
            <w:shd w:val="clear" w:color="000000" w:fill="C5D9F1"/>
            <w:noWrap/>
            <w:vAlign w:val="bottom"/>
            <w:hideMark/>
          </w:tcPr>
          <w:p w:rsidR="008E289A" w:rsidRPr="00081ECA" w:rsidP="008C6A87" w14:paraId="1DEF8C73" w14:textId="77777777">
            <w:pPr>
              <w:jc w:val="center"/>
              <w:rPr>
                <w:rFonts w:ascii="Times New Roman" w:hAnsi="Times New Roman"/>
                <w:b/>
                <w:bCs/>
                <w:color w:val="000000"/>
              </w:rPr>
            </w:pPr>
            <w:r w:rsidRPr="00081ECA">
              <w:rPr>
                <w:rFonts w:ascii="Times New Roman" w:hAnsi="Times New Roman"/>
                <w:b/>
                <w:bCs/>
                <w:color w:val="000000"/>
              </w:rPr>
              <w:t>Cost</w:t>
            </w:r>
          </w:p>
        </w:tc>
        <w:tc>
          <w:tcPr>
            <w:tcW w:w="1620" w:type="dxa"/>
            <w:gridSpan w:val="2"/>
            <w:tcBorders>
              <w:top w:val="single" w:sz="4" w:space="0" w:color="auto"/>
              <w:left w:val="nil"/>
              <w:bottom w:val="single" w:sz="4" w:space="0" w:color="auto"/>
              <w:right w:val="single" w:sz="4" w:space="0" w:color="auto"/>
            </w:tcBorders>
            <w:shd w:val="clear" w:color="000000" w:fill="C5D9F1"/>
            <w:noWrap/>
            <w:vAlign w:val="bottom"/>
            <w:hideMark/>
          </w:tcPr>
          <w:p w:rsidR="008E289A" w:rsidRPr="00081ECA" w:rsidP="008C6A87" w14:paraId="09EBCB7B" w14:textId="77777777">
            <w:pPr>
              <w:jc w:val="center"/>
              <w:rPr>
                <w:rFonts w:ascii="Times New Roman" w:hAnsi="Times New Roman"/>
                <w:b/>
                <w:bCs/>
                <w:color w:val="000000"/>
              </w:rPr>
            </w:pPr>
            <w:r w:rsidRPr="00081ECA">
              <w:rPr>
                <w:rFonts w:ascii="Times New Roman" w:hAnsi="Times New Roman"/>
                <w:b/>
                <w:bCs/>
                <w:color w:val="000000"/>
              </w:rPr>
              <w:t>Total duration</w:t>
            </w:r>
            <w:r>
              <w:rPr>
                <w:rFonts w:ascii="Times New Roman" w:hAnsi="Times New Roman"/>
                <w:b/>
                <w:bCs/>
                <w:color w:val="000000"/>
              </w:rPr>
              <w:t xml:space="preserve"> (weeks)</w:t>
            </w:r>
          </w:p>
        </w:tc>
        <w:tc>
          <w:tcPr>
            <w:tcW w:w="1620" w:type="dxa"/>
            <w:gridSpan w:val="3"/>
            <w:tcBorders>
              <w:top w:val="single" w:sz="4" w:space="0" w:color="auto"/>
              <w:left w:val="nil"/>
              <w:bottom w:val="single" w:sz="4" w:space="0" w:color="auto"/>
              <w:right w:val="single" w:sz="4" w:space="0" w:color="auto"/>
            </w:tcBorders>
            <w:shd w:val="clear" w:color="000000" w:fill="C5D9F1"/>
            <w:noWrap/>
            <w:vAlign w:val="bottom"/>
            <w:hideMark/>
          </w:tcPr>
          <w:p w:rsidR="008E289A" w:rsidRPr="00081ECA" w:rsidP="008C6A87" w14:paraId="35E9EDE6" w14:textId="77777777">
            <w:pPr>
              <w:jc w:val="center"/>
              <w:rPr>
                <w:rFonts w:ascii="Times New Roman" w:hAnsi="Times New Roman"/>
                <w:b/>
                <w:bCs/>
                <w:color w:val="000000"/>
              </w:rPr>
            </w:pPr>
            <w:r w:rsidRPr="00081ECA">
              <w:rPr>
                <w:rFonts w:ascii="Times New Roman" w:hAnsi="Times New Roman"/>
                <w:b/>
                <w:bCs/>
                <w:color w:val="000000"/>
              </w:rPr>
              <w:t>Remaining</w:t>
            </w:r>
            <w:r>
              <w:rPr>
                <w:rFonts w:ascii="Times New Roman" w:hAnsi="Times New Roman"/>
                <w:b/>
                <w:bCs/>
                <w:color w:val="000000"/>
              </w:rPr>
              <w:t xml:space="preserve"> (weeks)</w:t>
            </w:r>
          </w:p>
        </w:tc>
        <w:tc>
          <w:tcPr>
            <w:tcW w:w="1629" w:type="dxa"/>
            <w:gridSpan w:val="2"/>
            <w:tcBorders>
              <w:top w:val="single" w:sz="4" w:space="0" w:color="auto"/>
              <w:left w:val="nil"/>
              <w:bottom w:val="single" w:sz="4" w:space="0" w:color="auto"/>
              <w:right w:val="single" w:sz="4" w:space="0" w:color="auto"/>
            </w:tcBorders>
            <w:shd w:val="clear" w:color="000000" w:fill="C5D9F1"/>
            <w:noWrap/>
            <w:vAlign w:val="bottom"/>
            <w:hideMark/>
          </w:tcPr>
          <w:p w:rsidR="008E289A" w:rsidRPr="00081ECA" w:rsidP="008C6A87" w14:paraId="6A585D94" w14:textId="77777777">
            <w:pPr>
              <w:jc w:val="center"/>
              <w:rPr>
                <w:rFonts w:ascii="Times New Roman" w:hAnsi="Times New Roman"/>
                <w:b/>
                <w:bCs/>
                <w:color w:val="000000"/>
              </w:rPr>
            </w:pPr>
            <w:r w:rsidRPr="00081ECA">
              <w:rPr>
                <w:rFonts w:ascii="Times New Roman" w:hAnsi="Times New Roman"/>
                <w:b/>
                <w:bCs/>
                <w:color w:val="000000"/>
              </w:rPr>
              <w:t>Weekly Rate</w:t>
            </w:r>
          </w:p>
        </w:tc>
        <w:tc>
          <w:tcPr>
            <w:tcW w:w="981" w:type="dxa"/>
            <w:tcBorders>
              <w:top w:val="single" w:sz="4" w:space="0" w:color="auto"/>
              <w:left w:val="nil"/>
              <w:bottom w:val="single" w:sz="4" w:space="0" w:color="auto"/>
              <w:right w:val="single" w:sz="4" w:space="0" w:color="auto"/>
            </w:tcBorders>
            <w:shd w:val="clear" w:color="000000" w:fill="C5D9F1"/>
            <w:noWrap/>
            <w:vAlign w:val="bottom"/>
            <w:hideMark/>
          </w:tcPr>
          <w:p w:rsidR="008E289A" w:rsidRPr="00081ECA" w:rsidP="008C6A87" w14:paraId="5B0AEC7A" w14:textId="77777777">
            <w:pPr>
              <w:jc w:val="center"/>
              <w:rPr>
                <w:rFonts w:ascii="Times New Roman" w:hAnsi="Times New Roman"/>
                <w:b/>
                <w:bCs/>
                <w:color w:val="000000"/>
              </w:rPr>
            </w:pPr>
            <w:r w:rsidRPr="00081ECA">
              <w:rPr>
                <w:rFonts w:ascii="Times New Roman" w:hAnsi="Times New Roman"/>
                <w:b/>
                <w:bCs/>
                <w:color w:val="000000"/>
              </w:rPr>
              <w:t>Cost</w:t>
            </w:r>
          </w:p>
        </w:tc>
      </w:tr>
      <w:tr w14:paraId="01BE8A92" w14:textId="77777777" w:rsidTr="008C6A87">
        <w:tblPrEx>
          <w:tblW w:w="8550" w:type="dxa"/>
          <w:tblLook w:val="04A0"/>
        </w:tblPrEx>
        <w:trPr>
          <w:trHeight w:val="277"/>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E289A" w:rsidRPr="00081ECA" w:rsidP="008C6A87" w14:paraId="364BA4E7" w14:textId="77777777">
            <w:pPr>
              <w:rPr>
                <w:rFonts w:ascii="Times New Roman" w:hAnsi="Times New Roman"/>
                <w:color w:val="000000"/>
              </w:rPr>
            </w:pPr>
            <w:r w:rsidRPr="00081ECA">
              <w:rPr>
                <w:rFonts w:ascii="Times New Roman" w:hAnsi="Times New Roman"/>
                <w:color w:val="000000"/>
              </w:rPr>
              <w:t>Gartner</w:t>
            </w:r>
          </w:p>
        </w:tc>
        <w:tc>
          <w:tcPr>
            <w:tcW w:w="990" w:type="dxa"/>
            <w:tcBorders>
              <w:top w:val="nil"/>
              <w:left w:val="nil"/>
              <w:bottom w:val="single" w:sz="4" w:space="0" w:color="auto"/>
              <w:right w:val="single" w:sz="4" w:space="0" w:color="auto"/>
            </w:tcBorders>
            <w:shd w:val="clear" w:color="auto" w:fill="auto"/>
            <w:noWrap/>
            <w:vAlign w:val="bottom"/>
            <w:hideMark/>
          </w:tcPr>
          <w:p w:rsidR="008E289A" w:rsidRPr="00081ECA" w:rsidP="008C6A87" w14:paraId="0F01F20F" w14:textId="77777777">
            <w:pPr>
              <w:jc w:val="right"/>
              <w:rPr>
                <w:rFonts w:ascii="Times New Roman" w:hAnsi="Times New Roman"/>
                <w:color w:val="000000"/>
              </w:rPr>
            </w:pPr>
            <w:r w:rsidRPr="00081ECA">
              <w:rPr>
                <w:rFonts w:ascii="Times New Roman" w:hAnsi="Times New Roman"/>
                <w:color w:val="000000"/>
              </w:rPr>
              <w:t xml:space="preserve">$174,885 </w:t>
            </w: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8E289A" w:rsidRPr="00081ECA" w:rsidP="008C6A87" w14:paraId="58AFEF82" w14:textId="77777777">
            <w:pPr>
              <w:jc w:val="right"/>
              <w:rPr>
                <w:rFonts w:ascii="Times New Roman" w:hAnsi="Times New Roman"/>
                <w:color w:val="000000"/>
              </w:rPr>
            </w:pPr>
            <w:r w:rsidRPr="00081ECA">
              <w:rPr>
                <w:rFonts w:ascii="Times New Roman" w:hAnsi="Times New Roman"/>
                <w:color w:val="000000"/>
              </w:rPr>
              <w:t>14</w:t>
            </w:r>
          </w:p>
        </w:tc>
        <w:tc>
          <w:tcPr>
            <w:tcW w:w="1620" w:type="dxa"/>
            <w:gridSpan w:val="3"/>
            <w:tcBorders>
              <w:top w:val="nil"/>
              <w:left w:val="nil"/>
              <w:bottom w:val="single" w:sz="4" w:space="0" w:color="auto"/>
              <w:right w:val="single" w:sz="4" w:space="0" w:color="auto"/>
            </w:tcBorders>
            <w:shd w:val="clear" w:color="auto" w:fill="auto"/>
            <w:noWrap/>
            <w:vAlign w:val="bottom"/>
            <w:hideMark/>
          </w:tcPr>
          <w:p w:rsidR="008E289A" w:rsidRPr="00081ECA" w:rsidP="008C6A87" w14:paraId="708421B2" w14:textId="77777777">
            <w:pPr>
              <w:jc w:val="right"/>
              <w:rPr>
                <w:rFonts w:ascii="Times New Roman" w:hAnsi="Times New Roman"/>
                <w:color w:val="000000"/>
              </w:rPr>
            </w:pPr>
            <w:r w:rsidRPr="00081ECA">
              <w:rPr>
                <w:rFonts w:ascii="Times New Roman" w:hAnsi="Times New Roman"/>
                <w:color w:val="000000"/>
              </w:rPr>
              <w:t>9</w:t>
            </w:r>
          </w:p>
        </w:tc>
        <w:tc>
          <w:tcPr>
            <w:tcW w:w="1629" w:type="dxa"/>
            <w:gridSpan w:val="2"/>
            <w:tcBorders>
              <w:top w:val="nil"/>
              <w:left w:val="nil"/>
              <w:bottom w:val="single" w:sz="4" w:space="0" w:color="auto"/>
              <w:right w:val="single" w:sz="4" w:space="0" w:color="auto"/>
            </w:tcBorders>
            <w:shd w:val="clear" w:color="auto" w:fill="auto"/>
            <w:noWrap/>
            <w:vAlign w:val="bottom"/>
            <w:hideMark/>
          </w:tcPr>
          <w:p w:rsidR="008E289A" w:rsidRPr="00081ECA" w:rsidP="008C6A87" w14:paraId="180D90D8" w14:textId="77777777">
            <w:pPr>
              <w:jc w:val="right"/>
              <w:rPr>
                <w:rFonts w:ascii="Times New Roman" w:hAnsi="Times New Roman"/>
                <w:color w:val="000000"/>
              </w:rPr>
            </w:pPr>
            <w:r w:rsidRPr="00081ECA">
              <w:rPr>
                <w:rFonts w:ascii="Times New Roman" w:hAnsi="Times New Roman"/>
                <w:color w:val="000000"/>
              </w:rPr>
              <w:t xml:space="preserve">$12,492 </w:t>
            </w:r>
          </w:p>
        </w:tc>
        <w:tc>
          <w:tcPr>
            <w:tcW w:w="981" w:type="dxa"/>
            <w:tcBorders>
              <w:top w:val="nil"/>
              <w:left w:val="nil"/>
              <w:bottom w:val="single" w:sz="4" w:space="0" w:color="auto"/>
              <w:right w:val="single" w:sz="4" w:space="0" w:color="auto"/>
            </w:tcBorders>
            <w:shd w:val="clear" w:color="auto" w:fill="auto"/>
            <w:noWrap/>
            <w:vAlign w:val="bottom"/>
            <w:hideMark/>
          </w:tcPr>
          <w:p w:rsidR="008E289A" w:rsidRPr="00081ECA" w:rsidP="008C6A87" w14:paraId="5B7A6697" w14:textId="77777777">
            <w:pPr>
              <w:jc w:val="right"/>
              <w:rPr>
                <w:rFonts w:ascii="Times New Roman" w:hAnsi="Times New Roman"/>
                <w:color w:val="000000"/>
              </w:rPr>
            </w:pPr>
            <w:r w:rsidRPr="00081ECA">
              <w:rPr>
                <w:rFonts w:ascii="Times New Roman" w:hAnsi="Times New Roman"/>
                <w:color w:val="000000"/>
              </w:rPr>
              <w:t xml:space="preserve">$112,426 </w:t>
            </w:r>
          </w:p>
        </w:tc>
      </w:tr>
    </w:tbl>
    <w:p w:rsidR="008E289A" w:rsidRPr="007C2A5A" w:rsidP="008E289A" w14:paraId="05D6C31B" w14:textId="77777777">
      <w:pPr>
        <w:contextualSpacing/>
        <w:rPr>
          <w:rFonts w:ascii="Times New Roman" w:hAnsi="Times New Roman"/>
        </w:rPr>
      </w:pPr>
    </w:p>
    <w:p w:rsidR="008E289A" w:rsidP="008E289A" w14:paraId="1B07A1E7" w14:textId="77777777">
      <w:pPr>
        <w:tabs>
          <w:tab w:val="left" w:pos="720"/>
          <w:tab w:val="left" w:pos="1440"/>
          <w:tab w:val="left" w:pos="2160"/>
        </w:tabs>
        <w:contextualSpacing/>
        <w:jc w:val="both"/>
        <w:rPr>
          <w:rFonts w:ascii="Times New Roman" w:hAnsi="Times New Roman"/>
        </w:rPr>
      </w:pPr>
      <w:r>
        <w:rPr>
          <w:rFonts w:ascii="Times New Roman" w:hAnsi="Times New Roman"/>
        </w:rPr>
        <w:t>Total cost to Government:</w:t>
      </w:r>
    </w:p>
    <w:tbl>
      <w:tblPr>
        <w:tblW w:w="7800" w:type="dxa"/>
        <w:tblLook w:val="04A0"/>
      </w:tblPr>
      <w:tblGrid>
        <w:gridCol w:w="4415"/>
        <w:gridCol w:w="3385"/>
      </w:tblGrid>
      <w:tr w14:paraId="44C44DA3" w14:textId="77777777" w:rsidTr="008C6A87">
        <w:tblPrEx>
          <w:tblW w:w="7800" w:type="dxa"/>
          <w:tblLook w:val="04A0"/>
        </w:tblPrEx>
        <w:trPr>
          <w:trHeight w:val="285"/>
        </w:trPr>
        <w:tc>
          <w:tcPr>
            <w:tcW w:w="4415" w:type="dxa"/>
            <w:tcBorders>
              <w:top w:val="nil"/>
              <w:left w:val="nil"/>
              <w:bottom w:val="nil"/>
              <w:right w:val="nil"/>
            </w:tcBorders>
            <w:shd w:val="clear" w:color="auto" w:fill="auto"/>
            <w:noWrap/>
            <w:vAlign w:val="bottom"/>
          </w:tcPr>
          <w:p w:rsidR="008E289A" w:rsidRPr="00CD3542" w:rsidP="008C6A87" w14:paraId="0EDAE325" w14:textId="77777777">
            <w:pPr>
              <w:rPr>
                <w:rFonts w:ascii="Calibri" w:hAnsi="Calibri" w:cs="Calibri"/>
                <w:b/>
                <w:bCs/>
                <w:color w:val="000000"/>
                <w:sz w:val="22"/>
                <w:szCs w:val="22"/>
                <w:u w:val="single"/>
              </w:rPr>
            </w:pPr>
          </w:p>
        </w:tc>
        <w:tc>
          <w:tcPr>
            <w:tcW w:w="3385" w:type="dxa"/>
            <w:tcBorders>
              <w:top w:val="nil"/>
              <w:left w:val="nil"/>
              <w:bottom w:val="nil"/>
              <w:right w:val="nil"/>
            </w:tcBorders>
            <w:shd w:val="clear" w:color="auto" w:fill="auto"/>
            <w:noWrap/>
            <w:vAlign w:val="bottom"/>
            <w:hideMark/>
          </w:tcPr>
          <w:p w:rsidR="008E289A" w:rsidRPr="00CD3542" w:rsidP="008C6A87" w14:paraId="7E48AA90" w14:textId="77777777">
            <w:pPr>
              <w:rPr>
                <w:rFonts w:ascii="Calibri" w:hAnsi="Calibri" w:cs="Calibri"/>
                <w:b/>
                <w:bCs/>
                <w:color w:val="000000"/>
                <w:sz w:val="22"/>
                <w:szCs w:val="22"/>
                <w:u w:val="single"/>
              </w:rPr>
            </w:pPr>
          </w:p>
        </w:tc>
      </w:tr>
      <w:tr w14:paraId="6EFC8AFC" w14:textId="77777777" w:rsidTr="008C6A87">
        <w:tblPrEx>
          <w:tblW w:w="7800" w:type="dxa"/>
          <w:tblLook w:val="04A0"/>
        </w:tblPrEx>
        <w:trPr>
          <w:trHeight w:val="285"/>
        </w:trPr>
        <w:tc>
          <w:tcPr>
            <w:tcW w:w="441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E289A" w:rsidRPr="00CD3542" w:rsidP="008C6A87" w14:paraId="39E33710" w14:textId="77777777">
            <w:pPr>
              <w:rPr>
                <w:rFonts w:ascii="Times New Roman" w:hAnsi="Times New Roman"/>
                <w:b/>
                <w:bCs/>
                <w:color w:val="000000"/>
              </w:rPr>
            </w:pPr>
            <w:r w:rsidRPr="00CD3542">
              <w:rPr>
                <w:rFonts w:ascii="Times New Roman" w:hAnsi="Times New Roman"/>
                <w:b/>
                <w:bCs/>
                <w:color w:val="000000"/>
              </w:rPr>
              <w:t> </w:t>
            </w:r>
            <w:r>
              <w:rPr>
                <w:rFonts w:ascii="Times New Roman" w:hAnsi="Times New Roman"/>
                <w:b/>
                <w:bCs/>
                <w:color w:val="000000"/>
              </w:rPr>
              <w:t>Cost Category</w:t>
            </w:r>
          </w:p>
        </w:tc>
        <w:tc>
          <w:tcPr>
            <w:tcW w:w="3385" w:type="dxa"/>
            <w:tcBorders>
              <w:top w:val="single" w:sz="4" w:space="0" w:color="auto"/>
              <w:left w:val="nil"/>
              <w:bottom w:val="single" w:sz="4" w:space="0" w:color="auto"/>
              <w:right w:val="single" w:sz="4" w:space="0" w:color="auto"/>
            </w:tcBorders>
            <w:shd w:val="clear" w:color="000000" w:fill="C5D9F1"/>
            <w:noWrap/>
            <w:vAlign w:val="bottom"/>
            <w:hideMark/>
          </w:tcPr>
          <w:p w:rsidR="008E289A" w:rsidRPr="00CD3542" w:rsidP="008C6A87" w14:paraId="5CC43A47" w14:textId="77777777">
            <w:pPr>
              <w:jc w:val="center"/>
              <w:rPr>
                <w:rFonts w:ascii="Times New Roman" w:hAnsi="Times New Roman"/>
                <w:b/>
                <w:bCs/>
                <w:color w:val="000000"/>
              </w:rPr>
            </w:pPr>
            <w:r w:rsidRPr="00CD3542">
              <w:rPr>
                <w:rFonts w:ascii="Times New Roman" w:hAnsi="Times New Roman"/>
                <w:b/>
                <w:bCs/>
                <w:color w:val="000000"/>
              </w:rPr>
              <w:t>Cost</w:t>
            </w:r>
          </w:p>
        </w:tc>
      </w:tr>
      <w:tr w14:paraId="7F5D2D30" w14:textId="77777777" w:rsidTr="008C6A87">
        <w:tblPrEx>
          <w:tblW w:w="7800" w:type="dxa"/>
          <w:tblLook w:val="04A0"/>
        </w:tblPrEx>
        <w:trPr>
          <w:trHeight w:val="285"/>
        </w:trPr>
        <w:tc>
          <w:tcPr>
            <w:tcW w:w="4415" w:type="dxa"/>
            <w:tcBorders>
              <w:top w:val="nil"/>
              <w:left w:val="single" w:sz="4" w:space="0" w:color="auto"/>
              <w:bottom w:val="single" w:sz="4" w:space="0" w:color="auto"/>
              <w:right w:val="single" w:sz="4" w:space="0" w:color="auto"/>
            </w:tcBorders>
            <w:shd w:val="clear" w:color="auto" w:fill="auto"/>
            <w:noWrap/>
            <w:vAlign w:val="bottom"/>
            <w:hideMark/>
          </w:tcPr>
          <w:p w:rsidR="008E289A" w:rsidRPr="00CD3542" w:rsidP="008C6A87" w14:paraId="696CD38A" w14:textId="77777777">
            <w:pPr>
              <w:rPr>
                <w:rFonts w:ascii="Times New Roman" w:hAnsi="Times New Roman"/>
                <w:color w:val="000000"/>
              </w:rPr>
            </w:pPr>
            <w:r w:rsidRPr="00CD3542">
              <w:rPr>
                <w:rFonts w:ascii="Times New Roman" w:hAnsi="Times New Roman"/>
                <w:color w:val="000000"/>
              </w:rPr>
              <w:t>Government Labor Cost</w:t>
            </w:r>
          </w:p>
        </w:tc>
        <w:tc>
          <w:tcPr>
            <w:tcW w:w="3385" w:type="dxa"/>
            <w:tcBorders>
              <w:top w:val="nil"/>
              <w:left w:val="nil"/>
              <w:bottom w:val="single" w:sz="4" w:space="0" w:color="auto"/>
              <w:right w:val="single" w:sz="4" w:space="0" w:color="auto"/>
            </w:tcBorders>
            <w:shd w:val="clear" w:color="auto" w:fill="auto"/>
            <w:noWrap/>
            <w:vAlign w:val="bottom"/>
            <w:hideMark/>
          </w:tcPr>
          <w:p w:rsidR="008E289A" w:rsidRPr="00CD3542" w:rsidP="008C6A87" w14:paraId="0EFC47DA" w14:textId="77777777">
            <w:pPr>
              <w:jc w:val="right"/>
              <w:rPr>
                <w:rFonts w:ascii="Times New Roman" w:hAnsi="Times New Roman"/>
                <w:color w:val="000000"/>
              </w:rPr>
            </w:pPr>
            <w:r w:rsidRPr="00CD3542">
              <w:rPr>
                <w:rFonts w:ascii="Times New Roman" w:hAnsi="Times New Roman"/>
                <w:color w:val="000000"/>
              </w:rPr>
              <w:t xml:space="preserve"> $</w:t>
            </w:r>
            <w:r>
              <w:rPr>
                <w:rFonts w:ascii="Times New Roman" w:hAnsi="Times New Roman"/>
                <w:color w:val="000000"/>
              </w:rPr>
              <w:t xml:space="preserve">    </w:t>
            </w:r>
            <w:r w:rsidRPr="00CD3542">
              <w:rPr>
                <w:rFonts w:ascii="Times New Roman" w:hAnsi="Times New Roman"/>
                <w:color w:val="000000"/>
              </w:rPr>
              <w:t>3,</w:t>
            </w:r>
            <w:r>
              <w:rPr>
                <w:rFonts w:ascii="Times New Roman" w:hAnsi="Times New Roman"/>
                <w:color w:val="000000"/>
              </w:rPr>
              <w:t>556</w:t>
            </w:r>
            <w:r w:rsidRPr="00CD3542">
              <w:rPr>
                <w:rFonts w:ascii="Times New Roman" w:hAnsi="Times New Roman"/>
                <w:color w:val="000000"/>
              </w:rPr>
              <w:t xml:space="preserve"> </w:t>
            </w:r>
          </w:p>
        </w:tc>
      </w:tr>
      <w:tr w14:paraId="1F57055D" w14:textId="77777777" w:rsidTr="008C6A87">
        <w:tblPrEx>
          <w:tblW w:w="7800" w:type="dxa"/>
          <w:tblLook w:val="04A0"/>
        </w:tblPrEx>
        <w:trPr>
          <w:trHeight w:val="285"/>
        </w:trPr>
        <w:tc>
          <w:tcPr>
            <w:tcW w:w="4415" w:type="dxa"/>
            <w:tcBorders>
              <w:top w:val="nil"/>
              <w:left w:val="single" w:sz="4" w:space="0" w:color="auto"/>
              <w:bottom w:val="single" w:sz="4" w:space="0" w:color="auto"/>
              <w:right w:val="single" w:sz="4" w:space="0" w:color="auto"/>
            </w:tcBorders>
            <w:shd w:val="clear" w:color="auto" w:fill="auto"/>
            <w:noWrap/>
            <w:vAlign w:val="bottom"/>
            <w:hideMark/>
          </w:tcPr>
          <w:p w:rsidR="008E289A" w:rsidRPr="00CD3542" w:rsidP="008C6A87" w14:paraId="349B9714" w14:textId="77777777">
            <w:pPr>
              <w:rPr>
                <w:rFonts w:ascii="Times New Roman" w:hAnsi="Times New Roman"/>
                <w:color w:val="000000"/>
              </w:rPr>
            </w:pPr>
            <w:r w:rsidRPr="00CD3542">
              <w:rPr>
                <w:rFonts w:ascii="Times New Roman" w:hAnsi="Times New Roman"/>
                <w:color w:val="000000"/>
              </w:rPr>
              <w:t>Government Service Contract</w:t>
            </w:r>
          </w:p>
        </w:tc>
        <w:tc>
          <w:tcPr>
            <w:tcW w:w="3385" w:type="dxa"/>
            <w:tcBorders>
              <w:top w:val="nil"/>
              <w:left w:val="nil"/>
              <w:bottom w:val="single" w:sz="4" w:space="0" w:color="auto"/>
              <w:right w:val="single" w:sz="4" w:space="0" w:color="auto"/>
            </w:tcBorders>
            <w:shd w:val="clear" w:color="auto" w:fill="auto"/>
            <w:noWrap/>
            <w:vAlign w:val="bottom"/>
            <w:hideMark/>
          </w:tcPr>
          <w:p w:rsidR="008E289A" w:rsidRPr="00CD3542" w:rsidP="008C6A87" w14:paraId="4FFFB1DB" w14:textId="77777777">
            <w:pPr>
              <w:jc w:val="right"/>
              <w:rPr>
                <w:rFonts w:ascii="Times New Roman" w:hAnsi="Times New Roman"/>
                <w:color w:val="000000"/>
              </w:rPr>
            </w:pPr>
            <w:r w:rsidRPr="00CD3542">
              <w:rPr>
                <w:rFonts w:ascii="Times New Roman" w:hAnsi="Times New Roman"/>
                <w:color w:val="000000"/>
              </w:rPr>
              <w:t xml:space="preserve">$112,426 </w:t>
            </w:r>
          </w:p>
        </w:tc>
      </w:tr>
      <w:tr w14:paraId="2393F8AC" w14:textId="77777777" w:rsidTr="008C6A87">
        <w:tblPrEx>
          <w:tblW w:w="7800" w:type="dxa"/>
          <w:tblLook w:val="04A0"/>
        </w:tblPrEx>
        <w:trPr>
          <w:trHeight w:val="285"/>
        </w:trPr>
        <w:tc>
          <w:tcPr>
            <w:tcW w:w="4415" w:type="dxa"/>
            <w:tcBorders>
              <w:top w:val="nil"/>
              <w:left w:val="single" w:sz="4" w:space="0" w:color="auto"/>
              <w:bottom w:val="single" w:sz="4" w:space="0" w:color="auto"/>
              <w:right w:val="single" w:sz="4" w:space="0" w:color="auto"/>
            </w:tcBorders>
            <w:shd w:val="clear" w:color="000000" w:fill="C5D9F1"/>
            <w:noWrap/>
            <w:vAlign w:val="bottom"/>
            <w:hideMark/>
          </w:tcPr>
          <w:p w:rsidR="008E289A" w:rsidRPr="00CD3542" w:rsidP="008C6A87" w14:paraId="68757C5A" w14:textId="77777777">
            <w:pPr>
              <w:rPr>
                <w:rFonts w:ascii="Times New Roman" w:hAnsi="Times New Roman"/>
                <w:color w:val="000000"/>
              </w:rPr>
            </w:pPr>
            <w:r w:rsidRPr="00CD3542">
              <w:rPr>
                <w:rFonts w:ascii="Times New Roman" w:hAnsi="Times New Roman"/>
                <w:color w:val="000000"/>
              </w:rPr>
              <w:t>Total</w:t>
            </w:r>
          </w:p>
        </w:tc>
        <w:tc>
          <w:tcPr>
            <w:tcW w:w="3385" w:type="dxa"/>
            <w:tcBorders>
              <w:top w:val="nil"/>
              <w:left w:val="nil"/>
              <w:bottom w:val="single" w:sz="4" w:space="0" w:color="auto"/>
              <w:right w:val="single" w:sz="4" w:space="0" w:color="auto"/>
            </w:tcBorders>
            <w:shd w:val="clear" w:color="000000" w:fill="C5D9F1"/>
            <w:noWrap/>
            <w:vAlign w:val="bottom"/>
            <w:hideMark/>
          </w:tcPr>
          <w:p w:rsidR="008E289A" w:rsidRPr="00CD3542" w:rsidP="008C6A87" w14:paraId="7E30720B" w14:textId="77777777">
            <w:pPr>
              <w:jc w:val="right"/>
              <w:rPr>
                <w:rFonts w:ascii="Times New Roman" w:hAnsi="Times New Roman"/>
                <w:color w:val="000000"/>
              </w:rPr>
            </w:pPr>
            <w:r w:rsidRPr="00CD3542">
              <w:rPr>
                <w:rFonts w:ascii="Times New Roman" w:hAnsi="Times New Roman"/>
                <w:color w:val="000000"/>
              </w:rPr>
              <w:t xml:space="preserve"> $115,</w:t>
            </w:r>
            <w:r>
              <w:rPr>
                <w:rFonts w:ascii="Times New Roman" w:hAnsi="Times New Roman"/>
                <w:color w:val="000000"/>
              </w:rPr>
              <w:t>982</w:t>
            </w:r>
            <w:r w:rsidRPr="00CD3542">
              <w:rPr>
                <w:rFonts w:ascii="Times New Roman" w:hAnsi="Times New Roman"/>
                <w:color w:val="000000"/>
              </w:rPr>
              <w:t xml:space="preserve"> </w:t>
            </w:r>
          </w:p>
        </w:tc>
      </w:tr>
    </w:tbl>
    <w:p w:rsidR="00690F56" w:rsidP="00690F56" w14:paraId="3F8C7E1B" w14:textId="4F61B8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C45DA" w:rsidP="006C45DA" w14:paraId="68E3499C" w14:textId="77777777">
      <w:pPr>
        <w:rPr>
          <w:rFonts w:ascii="Times New Roman" w:hAnsi="Times New Roman"/>
        </w:rPr>
      </w:pPr>
      <w:r w:rsidRPr="004C3401">
        <w:rPr>
          <w:rFonts w:ascii="Times New Roman" w:hAnsi="Times New Roman"/>
        </w:rPr>
        <w:t>Total costs to Government:  $</w:t>
      </w:r>
      <w:r>
        <w:rPr>
          <w:rFonts w:ascii="Times New Roman" w:hAnsi="Times New Roman"/>
        </w:rPr>
        <w:t>115,982</w:t>
      </w:r>
    </w:p>
    <w:p w:rsidR="006C45DA" w:rsidP="006C45DA" w14:paraId="728BE57F" w14:textId="77777777">
      <w:pPr>
        <w:rPr>
          <w:rFonts w:ascii="Times New Roman" w:hAnsi="Times New Roman"/>
        </w:rPr>
      </w:pPr>
    </w:p>
    <w:p w:rsidR="006C45DA" w:rsidRPr="004C3401" w:rsidP="006C45DA" w14:paraId="7BF034B1" w14:textId="77777777">
      <w:pPr>
        <w:rPr>
          <w:rFonts w:ascii="Times New Roman" w:hAnsi="Times New Roman"/>
        </w:rPr>
      </w:pPr>
      <w:r w:rsidRPr="00B92F83">
        <w:rPr>
          <w:rFonts w:ascii="Times New Roman" w:hAnsi="Times New Roman"/>
        </w:rPr>
        <w:t>All costs are recovered from registrants through registration fees, as required by the CSA.  21 U.S.C. 886a.</w:t>
      </w:r>
    </w:p>
    <w:p w:rsidR="00B9439C" w:rsidRPr="00871CA6" w:rsidP="00690F56" w14:paraId="63AA6C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13EF01B8" w14:textId="777447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7746" w:rsidRPr="00F4518C" w:rsidP="004E1E90" w14:paraId="42F0106C" w14:textId="495974B9">
      <w:pPr>
        <w:contextualSpacing/>
        <w:rPr>
          <w:rFonts w:ascii="Times New Roman" w:hAnsi="Times New Roman"/>
        </w:rPr>
      </w:pPr>
      <w:r w:rsidRPr="007C2A5A">
        <w:rPr>
          <w:rFonts w:ascii="Times New Roman" w:hAnsi="Times New Roman"/>
        </w:rPr>
        <w:t>This is a new information collection.  Therefore, there is no change in burden</w:t>
      </w:r>
      <w:r w:rsidR="00E13DE5">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5B4B" w:rsidRPr="00A47DA7" w:rsidP="00C05B4B" w14:paraId="534EFCB6" w14:textId="6FC805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2A5A">
        <w:rPr>
          <w:rFonts w:ascii="Times New Roman" w:hAnsi="Times New Roman"/>
        </w:rPr>
        <w:t>DEA will not publish the results of the information collected</w:t>
      </w:r>
      <w:r w:rsidRPr="006E4433" w:rsidR="006E4433">
        <w:rPr>
          <w:rFonts w:ascii="Times New Roman" w:hAnsi="Times New Roman"/>
        </w:rPr>
        <w:t xml:space="preserve">.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F27BDC" w:rsidP="0014601E" w14:paraId="01E7C4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5DB7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2A5A">
        <w:rPr>
          <w:rFonts w:ascii="Times New Roman" w:hAnsi="Times New Roman"/>
        </w:rPr>
        <w:t>DEA is not seeking approval not to display the expiration date for OMB approval of this information collection</w:t>
      </w:r>
      <w:r w:rsidRPr="001C39F6" w:rsidR="001C39F6">
        <w:rPr>
          <w:rFonts w:ascii="Times New Roman" w:hAnsi="Times New Roman"/>
        </w:rPr>
        <w:t>.</w:t>
      </w:r>
      <w:r w:rsidR="001C39F6">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772980" w:rsidP="00772980" w14:paraId="5DDA6EEA" w14:textId="1977EA11">
      <w:pPr>
        <w:contextualSpacing/>
        <w:rPr>
          <w:rFonts w:ascii="Times New Roman" w:hAnsi="Times New Roman"/>
          <w:b/>
        </w:rPr>
      </w:pPr>
      <w:r w:rsidRPr="007C2A5A">
        <w:rPr>
          <w:rFonts w:ascii="Times New Roman" w:hAnsi="Times New Roman"/>
        </w:rPr>
        <w:t>DEA is not seeking an exception to the certification statement “Certification for Paperwork Reduction Act Submissions” for this collection of information</w:t>
      </w:r>
      <w:r w:rsidRPr="0049001D">
        <w:rPr>
          <w:rFonts w:ascii="Times New Roman" w:hAnsi="Times New Roman"/>
        </w:rPr>
        <w: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477476A">
      <w:pPr>
        <w:rPr>
          <w:rFonts w:ascii="Times New Roman" w:hAnsi="Times New Roman"/>
        </w:rPr>
      </w:pPr>
      <w:r>
        <w:rPr>
          <w:rFonts w:ascii="Times New Roman" w:hAnsi="Times New Roman"/>
        </w:rPr>
        <w:t>This collection does not contain statistical data.</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6FBB" w14:paraId="16B0BE90" w14:textId="77777777">
      <w:r>
        <w:separator/>
      </w:r>
    </w:p>
  </w:footnote>
  <w:footnote w:type="continuationSeparator" w:id="1">
    <w:p w:rsidR="004F6FBB" w14:paraId="1D7041D5" w14:textId="77777777">
      <w:r>
        <w:continuationSeparator/>
      </w:r>
    </w:p>
  </w:footnote>
  <w:footnote w:id="2">
    <w:p w:rsidR="00BD3087" w:rsidRPr="00570273" w:rsidP="00BD3087" w14:paraId="3C5556ED" w14:textId="77777777">
      <w:pPr>
        <w:rPr>
          <w:rFonts w:ascii="Times New Roman" w:hAnsi="Times New Roman"/>
        </w:rPr>
      </w:pPr>
      <w:r>
        <w:rPr>
          <w:rStyle w:val="FootnoteReference"/>
        </w:rPr>
        <w:footnoteRef/>
      </w:r>
      <w:r>
        <w:t xml:space="preserve"> </w:t>
      </w:r>
      <w:bookmarkStart w:id="0" w:name="OLE_LINK11"/>
      <w:bookmarkStart w:id="1" w:name="OLE_LINK12"/>
      <w:r>
        <w:rPr>
          <w:rFonts w:ascii="Times New Roman" w:hAnsi="Times New Roman"/>
        </w:rPr>
        <w:t>Mean h</w:t>
      </w:r>
      <w:r w:rsidRPr="00791DD9">
        <w:rPr>
          <w:rFonts w:ascii="Times New Roman" w:hAnsi="Times New Roman"/>
        </w:rPr>
        <w:t xml:space="preserve">ourly wage, </w:t>
      </w:r>
      <w:r>
        <w:rPr>
          <w:rFonts w:ascii="Times New Roman" w:hAnsi="Times New Roman"/>
        </w:rPr>
        <w:t>29</w:t>
      </w:r>
      <w:r w:rsidRPr="00791DD9">
        <w:rPr>
          <w:rFonts w:ascii="Times New Roman" w:hAnsi="Times New Roman"/>
        </w:rPr>
        <w:t>-</w:t>
      </w:r>
      <w:r>
        <w:rPr>
          <w:rFonts w:ascii="Times New Roman" w:hAnsi="Times New Roman"/>
        </w:rPr>
        <w:t>1229</w:t>
      </w:r>
      <w:r w:rsidRPr="00791DD9">
        <w:rPr>
          <w:rFonts w:ascii="Times New Roman" w:hAnsi="Times New Roman"/>
        </w:rPr>
        <w:t xml:space="preserve"> </w:t>
      </w:r>
      <w:r>
        <w:rPr>
          <w:rFonts w:ascii="Times New Roman" w:hAnsi="Times New Roman"/>
        </w:rPr>
        <w:t>Physicians</w:t>
      </w:r>
      <w:r w:rsidRPr="00791DD9">
        <w:rPr>
          <w:rFonts w:ascii="Times New Roman" w:hAnsi="Times New Roman"/>
        </w:rPr>
        <w:t xml:space="preserve">.  Bureau of Labor Statistics, Occupational Employment and Wages, May </w:t>
      </w:r>
      <w:r w:rsidRPr="00570273">
        <w:rPr>
          <w:rFonts w:ascii="Times New Roman" w:hAnsi="Times New Roman"/>
        </w:rPr>
        <w:t xml:space="preserve">2021, </w:t>
      </w:r>
      <w:hyperlink r:id="rId1" w:history="1">
        <w:r w:rsidRPr="00D616CE">
          <w:rPr>
            <w:rFonts w:ascii="Times New Roman" w:hAnsi="Times New Roman"/>
            <w:color w:val="0000FF"/>
            <w:u w:val="single"/>
          </w:rPr>
          <w:t>https://www.bls.gov/oes/current/oes291229.htm</w:t>
        </w:r>
      </w:hyperlink>
      <w:r w:rsidRPr="00570273">
        <w:rPr>
          <w:rFonts w:ascii="Times New Roman" w:hAnsi="Times New Roman"/>
        </w:rPr>
        <w:t>.</w:t>
      </w:r>
      <w:bookmarkEnd w:id="0"/>
      <w:bookmarkEnd w:id="1"/>
    </w:p>
    <w:p w:rsidR="00BD3087" w:rsidRPr="0025066C" w:rsidP="00BD3087" w14:paraId="30F489F5" w14:textId="77777777">
      <w:pPr>
        <w:rPr>
          <w:rFonts w:ascii="Times New Roman" w:hAnsi="Times New Roman"/>
          <w:color w:val="000000"/>
        </w:rPr>
      </w:pPr>
      <w:r>
        <w:rPr>
          <w:rStyle w:val="FootnoteReference"/>
        </w:rPr>
        <w:footnoteRef/>
      </w:r>
      <w:r>
        <w:rPr>
          <w:rFonts w:ascii="Times New Roman" w:hAnsi="Times New Roman"/>
        </w:rPr>
        <w:t xml:space="preserve"> Mean hourly wage, 29-1171 Nurse Practitioners.  Bureau of Labor Statistics, Occupational Employment and Wages, May 2021, </w:t>
      </w:r>
      <w:r w:rsidRPr="00D616CE">
        <w:rPr>
          <w:rFonts w:ascii="Times New Roman" w:hAnsi="Times New Roman"/>
          <w:color w:val="000000"/>
        </w:rPr>
        <w:t>https://www.bls.gov/oes/current/oes291171.htm</w:t>
      </w:r>
      <w:r>
        <w:rPr>
          <w:rFonts w:ascii="Times New Roman" w:hAnsi="Times New Roman"/>
        </w:rPr>
        <w:t>.</w:t>
      </w:r>
    </w:p>
    <w:p w:rsidR="00BD3087" w:rsidRPr="00D616CE" w:rsidP="00BD3087" w14:paraId="305D4DE7" w14:textId="77777777">
      <w:pPr>
        <w:rPr>
          <w:rFonts w:ascii="Calibri" w:hAnsi="Calibri" w:cs="Calibri"/>
          <w:color w:val="000000"/>
          <w:sz w:val="22"/>
          <w:szCs w:val="22"/>
        </w:rPr>
      </w:pPr>
      <w:r>
        <w:rPr>
          <w:rStyle w:val="FootnoteReference"/>
        </w:rPr>
        <w:footnoteRef/>
      </w:r>
      <w:r>
        <w:rPr>
          <w:rFonts w:ascii="Times New Roman" w:hAnsi="Times New Roman"/>
        </w:rPr>
        <w:t xml:space="preserve"> Mean hourly wage, 11-1021 General and Operations Managers.  Bureau of Labor Statistics, Occupational Employment and Wages, May 2021, </w:t>
      </w:r>
      <w:r w:rsidRPr="00D616CE">
        <w:rPr>
          <w:rFonts w:ascii="Times New Roman" w:hAnsi="Times New Roman"/>
          <w:color w:val="000000"/>
        </w:rPr>
        <w:t>https://www.bls.gov/oes/current/oes111021.htm</w:t>
      </w:r>
      <w:r>
        <w:rPr>
          <w:rFonts w:ascii="Times New Roman" w:hAnsi="Times New Roman"/>
        </w:rPr>
        <w:t xml:space="preserve">. </w:t>
      </w:r>
    </w:p>
    <w:p w:rsidR="00BD3087" w:rsidP="00BD3087" w14:paraId="06825EDA" w14:textId="77777777">
      <w:pPr>
        <w:rPr>
          <w:rFonts w:ascii="Calibri" w:hAnsi="Calibri" w:cs="Calibri"/>
          <w:color w:val="0000FF"/>
          <w:sz w:val="22"/>
          <w:szCs w:val="22"/>
          <w:u w:val="single"/>
        </w:rPr>
      </w:pPr>
      <w:r>
        <w:rPr>
          <w:rStyle w:val="FootnoteReference"/>
        </w:rPr>
        <w:footnoteRef/>
      </w:r>
      <w:r>
        <w:rPr>
          <w:rFonts w:ascii="Times New Roman" w:hAnsi="Times New Roman"/>
        </w:rPr>
        <w:t xml:space="preserve"> Physicians are 68.71% of DEA registrants. MLP are 25.97% of DEA registrants. Other registrants are 5.32%. The weighted average mean hourly wage for DEA registrants is then $94.16 (.6871*$111.30+.2597*$56.75+.0532*$55.41 = $94.16), where Nurse Practioners represent MLPs and General and Operations Managers represent Others.</w:t>
      </w:r>
    </w:p>
    <w:p w:rsidR="00BD3087" w:rsidRPr="00791DD9" w:rsidP="00BD3087" w14:paraId="527D930E" w14:textId="77777777">
      <w:pPr>
        <w:pStyle w:val="FootnoteText"/>
        <w:rPr>
          <w:rFonts w:ascii="Times New Roman" w:hAnsi="Times New Roman"/>
        </w:rPr>
      </w:pPr>
      <w:r w:rsidRPr="00791DD9">
        <w:rPr>
          <w:rStyle w:val="FootnoteReference"/>
          <w:rFonts w:ascii="Times New Roman" w:hAnsi="Times New Roman"/>
        </w:rPr>
        <w:footnoteRef/>
      </w:r>
      <w:r w:rsidRPr="00791DD9">
        <w:rPr>
          <w:rFonts w:ascii="Times New Roman" w:hAnsi="Times New Roman"/>
        </w:rPr>
        <w:t xml:space="preserve"> Average benefits for private industry are </w:t>
      </w:r>
      <w:r>
        <w:rPr>
          <w:rFonts w:ascii="Times New Roman" w:hAnsi="Times New Roman"/>
        </w:rPr>
        <w:t>29.5</w:t>
      </w:r>
      <w:r w:rsidRPr="00791DD9">
        <w:rPr>
          <w:rFonts w:ascii="Times New Roman" w:hAnsi="Times New Roman"/>
        </w:rPr>
        <w:t xml:space="preserve">% of total compensation.  Bureau of Labor Statistics, Employer Costs for Employee Compensation – </w:t>
      </w:r>
      <w:r>
        <w:rPr>
          <w:rFonts w:ascii="Times New Roman" w:hAnsi="Times New Roman"/>
        </w:rPr>
        <w:t>June</w:t>
      </w:r>
      <w:r w:rsidRPr="00791DD9">
        <w:rPr>
          <w:rFonts w:ascii="Times New Roman" w:hAnsi="Times New Roman"/>
        </w:rPr>
        <w:t xml:space="preserve"> 202</w:t>
      </w:r>
      <w:r>
        <w:rPr>
          <w:rFonts w:ascii="Times New Roman" w:hAnsi="Times New Roman"/>
        </w:rPr>
        <w:t>2</w:t>
      </w:r>
      <w:r w:rsidRPr="00791DD9">
        <w:rPr>
          <w:rFonts w:ascii="Times New Roman" w:hAnsi="Times New Roman"/>
        </w:rPr>
        <w:t xml:space="preserve"> (ECEC), https://www.bls.gov/news.release/archives/ecec_09</w:t>
      </w:r>
      <w:r>
        <w:rPr>
          <w:rFonts w:ascii="Times New Roman" w:hAnsi="Times New Roman"/>
        </w:rPr>
        <w:t>20</w:t>
      </w:r>
      <w:r w:rsidRPr="00791DD9">
        <w:rPr>
          <w:rFonts w:ascii="Times New Roman" w:hAnsi="Times New Roman"/>
        </w:rPr>
        <w:t>20</w:t>
      </w:r>
      <w:r>
        <w:rPr>
          <w:rFonts w:ascii="Times New Roman" w:hAnsi="Times New Roman"/>
        </w:rPr>
        <w:t>22</w:t>
      </w:r>
      <w:r w:rsidRPr="00791DD9">
        <w:rPr>
          <w:rFonts w:ascii="Times New Roman" w:hAnsi="Times New Roman"/>
        </w:rPr>
        <w:t xml:space="preserve">.pdf.  The </w:t>
      </w:r>
      <w:r>
        <w:rPr>
          <w:rFonts w:ascii="Times New Roman" w:hAnsi="Times New Roman"/>
        </w:rPr>
        <w:t>29.5</w:t>
      </w:r>
      <w:r w:rsidRPr="00791DD9">
        <w:rPr>
          <w:rFonts w:ascii="Times New Roman" w:hAnsi="Times New Roman"/>
        </w:rPr>
        <w:t>% of total compensation equates to 4</w:t>
      </w:r>
      <w:r>
        <w:rPr>
          <w:rFonts w:ascii="Times New Roman" w:hAnsi="Times New Roman"/>
        </w:rPr>
        <w:t>1</w:t>
      </w:r>
      <w:r w:rsidRPr="00791DD9">
        <w:rPr>
          <w:rFonts w:ascii="Times New Roman" w:hAnsi="Times New Roman"/>
        </w:rPr>
        <w:t>.8</w:t>
      </w:r>
      <w:r>
        <w:rPr>
          <w:rFonts w:ascii="Times New Roman" w:hAnsi="Times New Roman"/>
        </w:rPr>
        <w:t>0</w:t>
      </w:r>
      <w:r w:rsidRPr="00791DD9">
        <w:rPr>
          <w:rFonts w:ascii="Times New Roman" w:hAnsi="Times New Roman"/>
        </w:rPr>
        <w:t>% (</w:t>
      </w:r>
      <w:r>
        <w:rPr>
          <w:rFonts w:ascii="Times New Roman" w:hAnsi="Times New Roman"/>
        </w:rPr>
        <w:t>29.5</w:t>
      </w:r>
      <w:r w:rsidRPr="00791DD9">
        <w:rPr>
          <w:rFonts w:ascii="Times New Roman" w:hAnsi="Times New Roman"/>
        </w:rPr>
        <w:t>% / 70</w:t>
      </w:r>
      <w:r>
        <w:rPr>
          <w:rFonts w:ascii="Times New Roman" w:hAnsi="Times New Roman"/>
        </w:rPr>
        <w:t>.5</w:t>
      </w:r>
      <w:r w:rsidRPr="00791DD9">
        <w:rPr>
          <w:rFonts w:ascii="Times New Roman" w:hAnsi="Times New Roman"/>
        </w:rPr>
        <w:t>%) load on wages and salaries.</w:t>
      </w:r>
    </w:p>
    <w:p w:rsidR="00095081" w:rsidP="00BD3087" w14:paraId="047023E3" w14:textId="367F7354">
      <w:pPr>
        <w:pStyle w:val="FootnoteText"/>
      </w:pPr>
      <w:r w:rsidRPr="00791DD9">
        <w:rPr>
          <w:rStyle w:val="FootnoteReference"/>
          <w:rFonts w:ascii="Times New Roman" w:hAnsi="Times New Roman"/>
        </w:rPr>
        <w:footnoteRef/>
      </w:r>
      <w:r w:rsidRPr="00791DD9">
        <w:rPr>
          <w:rFonts w:ascii="Times New Roman" w:hAnsi="Times New Roman"/>
        </w:rPr>
        <w:t xml:space="preserve"> $</w:t>
      </w:r>
      <w:r>
        <w:rPr>
          <w:rFonts w:ascii="Times New Roman" w:hAnsi="Times New Roman"/>
        </w:rPr>
        <w:t>94.16</w:t>
      </w:r>
      <w:r w:rsidRPr="00791DD9">
        <w:rPr>
          <w:rFonts w:ascii="Times New Roman" w:hAnsi="Times New Roman"/>
        </w:rPr>
        <w:t xml:space="preserve"> x (1 + 0.4</w:t>
      </w:r>
      <w:r>
        <w:rPr>
          <w:rFonts w:ascii="Times New Roman" w:hAnsi="Times New Roman"/>
        </w:rPr>
        <w:t>180</w:t>
      </w:r>
      <w:r w:rsidRPr="00791DD9">
        <w:rPr>
          <w:rFonts w:ascii="Times New Roman" w:hAnsi="Times New Roman"/>
        </w:rPr>
        <w:t>) = $</w:t>
      </w:r>
      <w:r>
        <w:rPr>
          <w:rFonts w:ascii="Times New Roman" w:hAnsi="Times New Roman"/>
        </w:rPr>
        <w:t>133.56</w:t>
      </w:r>
      <w:r w:rsidRPr="00791DD9">
        <w:rPr>
          <w:rFonts w:ascii="Times New Roman" w:hAnsi="Times New Roman"/>
        </w:rPr>
        <w:t>.</w:t>
      </w:r>
    </w:p>
  </w:footnote>
  <w:footnote w:id="3">
    <w:p w:rsidR="008E289A" w:rsidRPr="005D6543" w:rsidP="008E289A" w14:paraId="67BCEA1E" w14:textId="77777777">
      <w:pPr>
        <w:pStyle w:val="FootnoteText"/>
        <w:rPr>
          <w:rFonts w:ascii="Times New Roman" w:hAnsi="Times New Roman"/>
        </w:rPr>
      </w:pPr>
      <w:r w:rsidRPr="00791DD9">
        <w:rPr>
          <w:rStyle w:val="FootnoteReference"/>
          <w:rFonts w:ascii="Times New Roman" w:hAnsi="Times New Roman"/>
        </w:rPr>
        <w:footnoteRef/>
      </w:r>
      <w:r w:rsidRPr="00791DD9">
        <w:rPr>
          <w:rFonts w:ascii="Times New Roman" w:hAnsi="Times New Roman"/>
        </w:rPr>
        <w:t xml:space="preserve"> </w:t>
      </w:r>
      <w:r w:rsidRPr="005D6543">
        <w:rPr>
          <w:rFonts w:ascii="Times New Roman" w:hAnsi="Times New Roman"/>
        </w:rPr>
        <w:t>Costs are based on the Office of Personnel Management’s 20</w:t>
      </w:r>
      <w:r>
        <w:rPr>
          <w:rFonts w:ascii="Times New Roman" w:hAnsi="Times New Roman"/>
        </w:rPr>
        <w:t>22</w:t>
      </w:r>
      <w:r w:rsidRPr="005D6543">
        <w:rPr>
          <w:rFonts w:ascii="Times New Roman" w:hAnsi="Times New Roman"/>
        </w:rPr>
        <w:t xml:space="preserve"> general schedule locality </w:t>
      </w:r>
      <w:r>
        <w:rPr>
          <w:rFonts w:ascii="Times New Roman" w:hAnsi="Times New Roman"/>
        </w:rPr>
        <w:t xml:space="preserve">hourly </w:t>
      </w:r>
      <w:r w:rsidRPr="005D6543">
        <w:rPr>
          <w:rFonts w:ascii="Times New Roman" w:hAnsi="Times New Roman"/>
        </w:rPr>
        <w:t>pay tables for the Washington-Baltimore-Arlington area (https://www.opm.gov/policy-data-oversight/pay-leave/salaries-wages/salary-tables/pdf/20</w:t>
      </w:r>
      <w:r>
        <w:rPr>
          <w:rFonts w:ascii="Times New Roman" w:hAnsi="Times New Roman"/>
        </w:rPr>
        <w:t>22</w:t>
      </w:r>
      <w:r w:rsidRPr="005D6543">
        <w:rPr>
          <w:rFonts w:ascii="Times New Roman" w:hAnsi="Times New Roman"/>
        </w:rPr>
        <w:t>/DCB</w:t>
      </w:r>
      <w:r>
        <w:rPr>
          <w:rFonts w:ascii="Times New Roman" w:hAnsi="Times New Roman"/>
        </w:rPr>
        <w:t>_h</w:t>
      </w:r>
      <w:r w:rsidRPr="005D6543">
        <w:rPr>
          <w:rFonts w:ascii="Times New Roman" w:hAnsi="Times New Roman"/>
        </w:rPr>
        <w:t>.pdf) for the grade</w:t>
      </w:r>
      <w:r>
        <w:rPr>
          <w:rFonts w:ascii="Times New Roman" w:hAnsi="Times New Roman"/>
        </w:rPr>
        <w:t xml:space="preserve"> and step</w:t>
      </w:r>
      <w:r w:rsidRPr="005D6543">
        <w:rPr>
          <w:rFonts w:ascii="Times New Roman" w:hAnsi="Times New Roman"/>
        </w:rPr>
        <w:t xml:space="preserve"> listed.</w:t>
      </w:r>
    </w:p>
  </w:footnote>
  <w:footnote w:id="4">
    <w:p w:rsidR="008E289A" w:rsidP="008E289A" w14:paraId="556E6ED1" w14:textId="77777777">
      <w:pPr>
        <w:pStyle w:val="FootnoteText"/>
        <w:rPr>
          <w:rFonts w:ascii="Times New Roman" w:hAnsi="Times New Roman"/>
        </w:rPr>
      </w:pPr>
      <w:r>
        <w:rPr>
          <w:rStyle w:val="FootnoteReference"/>
        </w:rPr>
        <w:footnoteRef/>
      </w:r>
      <w:r>
        <w:rPr>
          <w:rFonts w:ascii="Times New Roman" w:hAnsi="Times New Roman"/>
        </w:rPr>
        <w:t xml:space="preserve"> </w:t>
      </w:r>
      <w:r w:rsidRPr="005D6543">
        <w:rPr>
          <w:rFonts w:ascii="Times New Roman" w:hAnsi="Times New Roman"/>
        </w:rPr>
        <w:t>Government salary figures include 6</w:t>
      </w:r>
      <w:r>
        <w:rPr>
          <w:rFonts w:ascii="Times New Roman" w:hAnsi="Times New Roman"/>
        </w:rPr>
        <w:t>2.1</w:t>
      </w:r>
      <w:r w:rsidRPr="005D6543">
        <w:rPr>
          <w:rFonts w:ascii="Times New Roman" w:hAnsi="Times New Roman"/>
        </w:rPr>
        <w:t>% (3</w:t>
      </w:r>
      <w:r>
        <w:rPr>
          <w:rFonts w:ascii="Times New Roman" w:hAnsi="Times New Roman"/>
        </w:rPr>
        <w:t>8</w:t>
      </w:r>
      <w:r w:rsidRPr="005D6543">
        <w:rPr>
          <w:rFonts w:ascii="Times New Roman" w:hAnsi="Times New Roman"/>
        </w:rPr>
        <w:t>.</w:t>
      </w:r>
      <w:r>
        <w:rPr>
          <w:rFonts w:ascii="Times New Roman" w:hAnsi="Times New Roman"/>
        </w:rPr>
        <w:t>3</w:t>
      </w:r>
      <w:r w:rsidRPr="005D6543">
        <w:rPr>
          <w:rFonts w:ascii="Times New Roman" w:hAnsi="Times New Roman"/>
        </w:rPr>
        <w:t>% / 6</w:t>
      </w:r>
      <w:r>
        <w:rPr>
          <w:rFonts w:ascii="Times New Roman" w:hAnsi="Times New Roman"/>
        </w:rPr>
        <w:t>1.7</w:t>
      </w:r>
      <w:r w:rsidRPr="005D6543">
        <w:rPr>
          <w:rFonts w:ascii="Times New Roman" w:hAnsi="Times New Roman"/>
        </w:rPr>
        <w:t>%) load for benefits based on the ECEC data for State and local government.  The ECEC data does not include figures for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FF0" w14:paraId="46319C14" w14:textId="77777777">
    <w:pPr>
      <w:pStyle w:val="Header"/>
      <w:rPr>
        <w:rFonts w:ascii="Times New Roman" w:hAnsi="Times New Roman"/>
        <w:bCs/>
        <w:sz w:val="20"/>
        <w:szCs w:val="20"/>
      </w:rPr>
    </w:pPr>
    <w:r w:rsidRPr="00CD7FF0">
      <w:rPr>
        <w:rFonts w:ascii="Times New Roman" w:hAnsi="Times New Roman"/>
        <w:bCs/>
        <w:sz w:val="20"/>
        <w:szCs w:val="20"/>
      </w:rPr>
      <w:t>Diversion Control Division Information Technology Modernization Effort</w:t>
    </w:r>
  </w:p>
  <w:p w:rsidR="00EC0B43" w14:paraId="52F50703" w14:textId="7BBE1679">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3844">
      <w:rPr>
        <w:rFonts w:ascii="Times New Roman" w:hAnsi="Times New Roman"/>
        <w:sz w:val="20"/>
        <w:szCs w:val="20"/>
      </w:rPr>
      <w:t>11</w:t>
    </w:r>
    <w:r w:rsidR="00CD7FF0">
      <w:rPr>
        <w:rFonts w:ascii="Times New Roman" w:hAnsi="Times New Roman"/>
        <w:sz w:val="20"/>
        <w:szCs w:val="20"/>
      </w:rPr>
      <w:t>17-0NEW</w:t>
    </w:r>
  </w:p>
  <w:p w:rsidR="00E60FB0" w:rsidRPr="00F8164B" w14:paraId="1D1AD862" w14:textId="5996EE79">
    <w:pPr>
      <w:pStyle w:val="Header"/>
      <w:rPr>
        <w:rFonts w:ascii="Times New Roman" w:hAnsi="Times New Roman"/>
        <w:sz w:val="20"/>
        <w:szCs w:val="20"/>
      </w:rPr>
    </w:pPr>
    <w:r>
      <w:rPr>
        <w:rFonts w:ascii="Times New Roman" w:hAnsi="Times New Roman"/>
        <w:sz w:val="20"/>
        <w:szCs w:val="20"/>
      </w:rPr>
      <w:t xml:space="preserve">OMB Expiration Date: </w:t>
    </w:r>
    <w:r w:rsidR="00CD7FF0">
      <w:rPr>
        <w:rFonts w:ascii="Times New Roman" w:hAnsi="Times New Roman"/>
        <w:sz w:val="20"/>
        <w:szCs w:val="20"/>
      </w:rPr>
      <w:t>XX-XX-XXXX</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33FD"/>
    <w:rsid w:val="00014158"/>
    <w:rsid w:val="00020F69"/>
    <w:rsid w:val="00022303"/>
    <w:rsid w:val="0003073D"/>
    <w:rsid w:val="0004107F"/>
    <w:rsid w:val="00042CBD"/>
    <w:rsid w:val="00052174"/>
    <w:rsid w:val="00061F6C"/>
    <w:rsid w:val="00064E28"/>
    <w:rsid w:val="000655CC"/>
    <w:rsid w:val="00065B16"/>
    <w:rsid w:val="0007383F"/>
    <w:rsid w:val="00081ECA"/>
    <w:rsid w:val="00094A5E"/>
    <w:rsid w:val="00095081"/>
    <w:rsid w:val="00095C30"/>
    <w:rsid w:val="000A7853"/>
    <w:rsid w:val="000B0391"/>
    <w:rsid w:val="000B4875"/>
    <w:rsid w:val="000B6FB6"/>
    <w:rsid w:val="000C257C"/>
    <w:rsid w:val="000C3A92"/>
    <w:rsid w:val="000C74FB"/>
    <w:rsid w:val="000D7F95"/>
    <w:rsid w:val="000E1C64"/>
    <w:rsid w:val="000F6836"/>
    <w:rsid w:val="001000AD"/>
    <w:rsid w:val="001040D4"/>
    <w:rsid w:val="001078BB"/>
    <w:rsid w:val="00112B9C"/>
    <w:rsid w:val="00116CD5"/>
    <w:rsid w:val="00126DA1"/>
    <w:rsid w:val="00133C47"/>
    <w:rsid w:val="00133E3D"/>
    <w:rsid w:val="0014556E"/>
    <w:rsid w:val="0014601E"/>
    <w:rsid w:val="0015322B"/>
    <w:rsid w:val="0015365E"/>
    <w:rsid w:val="00157A90"/>
    <w:rsid w:val="00157C1E"/>
    <w:rsid w:val="00167AD4"/>
    <w:rsid w:val="00180E5A"/>
    <w:rsid w:val="00192711"/>
    <w:rsid w:val="001A47D9"/>
    <w:rsid w:val="001B4BB9"/>
    <w:rsid w:val="001C39F6"/>
    <w:rsid w:val="001D10ED"/>
    <w:rsid w:val="001D2D09"/>
    <w:rsid w:val="001D67BB"/>
    <w:rsid w:val="001E0E7F"/>
    <w:rsid w:val="001E2932"/>
    <w:rsid w:val="001E2950"/>
    <w:rsid w:val="001E3596"/>
    <w:rsid w:val="001E5213"/>
    <w:rsid w:val="001F2E8E"/>
    <w:rsid w:val="001F552E"/>
    <w:rsid w:val="002036A1"/>
    <w:rsid w:val="00210A61"/>
    <w:rsid w:val="002134B4"/>
    <w:rsid w:val="002203C9"/>
    <w:rsid w:val="00234341"/>
    <w:rsid w:val="00237691"/>
    <w:rsid w:val="00242CA0"/>
    <w:rsid w:val="00243432"/>
    <w:rsid w:val="0024438F"/>
    <w:rsid w:val="00247146"/>
    <w:rsid w:val="0025066C"/>
    <w:rsid w:val="002517E4"/>
    <w:rsid w:val="00262716"/>
    <w:rsid w:val="00273D58"/>
    <w:rsid w:val="00277C1F"/>
    <w:rsid w:val="002866AD"/>
    <w:rsid w:val="00286BE3"/>
    <w:rsid w:val="00287ACB"/>
    <w:rsid w:val="0029135D"/>
    <w:rsid w:val="00292951"/>
    <w:rsid w:val="00293CD1"/>
    <w:rsid w:val="002A3962"/>
    <w:rsid w:val="002A5972"/>
    <w:rsid w:val="002A6FB5"/>
    <w:rsid w:val="002C5AE9"/>
    <w:rsid w:val="002E238B"/>
    <w:rsid w:val="002E4200"/>
    <w:rsid w:val="002E6DF9"/>
    <w:rsid w:val="00304132"/>
    <w:rsid w:val="00312124"/>
    <w:rsid w:val="00313820"/>
    <w:rsid w:val="00322C1B"/>
    <w:rsid w:val="0032649A"/>
    <w:rsid w:val="00332F98"/>
    <w:rsid w:val="0033578D"/>
    <w:rsid w:val="003430A6"/>
    <w:rsid w:val="003448FC"/>
    <w:rsid w:val="003548D8"/>
    <w:rsid w:val="00363CC2"/>
    <w:rsid w:val="00371EEC"/>
    <w:rsid w:val="003876F3"/>
    <w:rsid w:val="00390426"/>
    <w:rsid w:val="003908B9"/>
    <w:rsid w:val="00394AEB"/>
    <w:rsid w:val="003A4476"/>
    <w:rsid w:val="003A6353"/>
    <w:rsid w:val="003A6AE7"/>
    <w:rsid w:val="003B2F28"/>
    <w:rsid w:val="003C13C6"/>
    <w:rsid w:val="003C3E40"/>
    <w:rsid w:val="003D5958"/>
    <w:rsid w:val="003D6AC7"/>
    <w:rsid w:val="003E49A6"/>
    <w:rsid w:val="003E5E34"/>
    <w:rsid w:val="003E6021"/>
    <w:rsid w:val="003F53FB"/>
    <w:rsid w:val="00400B4D"/>
    <w:rsid w:val="00401F18"/>
    <w:rsid w:val="004056B7"/>
    <w:rsid w:val="00410AC8"/>
    <w:rsid w:val="00414664"/>
    <w:rsid w:val="004172C1"/>
    <w:rsid w:val="00423E3A"/>
    <w:rsid w:val="004328D9"/>
    <w:rsid w:val="00435E05"/>
    <w:rsid w:val="0043771F"/>
    <w:rsid w:val="00442410"/>
    <w:rsid w:val="00443460"/>
    <w:rsid w:val="0044773C"/>
    <w:rsid w:val="004672B5"/>
    <w:rsid w:val="004844D1"/>
    <w:rsid w:val="0048559D"/>
    <w:rsid w:val="0049001D"/>
    <w:rsid w:val="00494A93"/>
    <w:rsid w:val="00494D75"/>
    <w:rsid w:val="004A1763"/>
    <w:rsid w:val="004B1E83"/>
    <w:rsid w:val="004C3401"/>
    <w:rsid w:val="004D1C78"/>
    <w:rsid w:val="004D441E"/>
    <w:rsid w:val="004D46D1"/>
    <w:rsid w:val="004E1D9E"/>
    <w:rsid w:val="004E1E90"/>
    <w:rsid w:val="004E5B39"/>
    <w:rsid w:val="004F6FBB"/>
    <w:rsid w:val="00501A15"/>
    <w:rsid w:val="005164DC"/>
    <w:rsid w:val="00522B8D"/>
    <w:rsid w:val="0052585C"/>
    <w:rsid w:val="00530EBD"/>
    <w:rsid w:val="005453CA"/>
    <w:rsid w:val="005622FE"/>
    <w:rsid w:val="00567912"/>
    <w:rsid w:val="00570098"/>
    <w:rsid w:val="00570273"/>
    <w:rsid w:val="00575B36"/>
    <w:rsid w:val="005805E7"/>
    <w:rsid w:val="00583F5D"/>
    <w:rsid w:val="0058424C"/>
    <w:rsid w:val="00584F8D"/>
    <w:rsid w:val="005A0350"/>
    <w:rsid w:val="005B2697"/>
    <w:rsid w:val="005B5990"/>
    <w:rsid w:val="005C6147"/>
    <w:rsid w:val="005D5F8C"/>
    <w:rsid w:val="005D6543"/>
    <w:rsid w:val="005E5148"/>
    <w:rsid w:val="0060114B"/>
    <w:rsid w:val="00611DE2"/>
    <w:rsid w:val="00614A1C"/>
    <w:rsid w:val="006227B3"/>
    <w:rsid w:val="00642220"/>
    <w:rsid w:val="0065148D"/>
    <w:rsid w:val="00652ED1"/>
    <w:rsid w:val="006626FF"/>
    <w:rsid w:val="006650A8"/>
    <w:rsid w:val="0067772C"/>
    <w:rsid w:val="00683A96"/>
    <w:rsid w:val="00685435"/>
    <w:rsid w:val="00687746"/>
    <w:rsid w:val="00690F56"/>
    <w:rsid w:val="006A4637"/>
    <w:rsid w:val="006C39F8"/>
    <w:rsid w:val="006C3A96"/>
    <w:rsid w:val="006C45DA"/>
    <w:rsid w:val="006E1A08"/>
    <w:rsid w:val="006E4433"/>
    <w:rsid w:val="006E54FE"/>
    <w:rsid w:val="006E604F"/>
    <w:rsid w:val="006E63C6"/>
    <w:rsid w:val="006F66F9"/>
    <w:rsid w:val="006F6E13"/>
    <w:rsid w:val="007010C5"/>
    <w:rsid w:val="007011F1"/>
    <w:rsid w:val="007127A1"/>
    <w:rsid w:val="00713ACE"/>
    <w:rsid w:val="00715F82"/>
    <w:rsid w:val="0071749C"/>
    <w:rsid w:val="00721E05"/>
    <w:rsid w:val="00727E99"/>
    <w:rsid w:val="007412B6"/>
    <w:rsid w:val="00753389"/>
    <w:rsid w:val="00755761"/>
    <w:rsid w:val="007636EC"/>
    <w:rsid w:val="00767B90"/>
    <w:rsid w:val="00767D37"/>
    <w:rsid w:val="00772980"/>
    <w:rsid w:val="00774503"/>
    <w:rsid w:val="00777CD2"/>
    <w:rsid w:val="00780272"/>
    <w:rsid w:val="0078038F"/>
    <w:rsid w:val="00785FE9"/>
    <w:rsid w:val="00786E04"/>
    <w:rsid w:val="00791DD9"/>
    <w:rsid w:val="007A7F79"/>
    <w:rsid w:val="007C124D"/>
    <w:rsid w:val="007C2A5A"/>
    <w:rsid w:val="007D46C2"/>
    <w:rsid w:val="007F3B38"/>
    <w:rsid w:val="007F3C02"/>
    <w:rsid w:val="00802A30"/>
    <w:rsid w:val="008043E5"/>
    <w:rsid w:val="00804A1A"/>
    <w:rsid w:val="0081073D"/>
    <w:rsid w:val="00813CC0"/>
    <w:rsid w:val="008323ED"/>
    <w:rsid w:val="00835955"/>
    <w:rsid w:val="00843216"/>
    <w:rsid w:val="00846701"/>
    <w:rsid w:val="00853802"/>
    <w:rsid w:val="008624D5"/>
    <w:rsid w:val="00871CA6"/>
    <w:rsid w:val="00882AB5"/>
    <w:rsid w:val="00882B1D"/>
    <w:rsid w:val="0088672C"/>
    <w:rsid w:val="008A1F0C"/>
    <w:rsid w:val="008A40D1"/>
    <w:rsid w:val="008B541B"/>
    <w:rsid w:val="008C6A87"/>
    <w:rsid w:val="008E289A"/>
    <w:rsid w:val="008E504B"/>
    <w:rsid w:val="008F47CB"/>
    <w:rsid w:val="00901003"/>
    <w:rsid w:val="0090158E"/>
    <w:rsid w:val="00901EF6"/>
    <w:rsid w:val="0090413E"/>
    <w:rsid w:val="00923B37"/>
    <w:rsid w:val="009271B1"/>
    <w:rsid w:val="0093485F"/>
    <w:rsid w:val="009407FC"/>
    <w:rsid w:val="009441E2"/>
    <w:rsid w:val="00963680"/>
    <w:rsid w:val="00964D3F"/>
    <w:rsid w:val="009700D9"/>
    <w:rsid w:val="00985369"/>
    <w:rsid w:val="00985C15"/>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41C21"/>
    <w:rsid w:val="00A47DA7"/>
    <w:rsid w:val="00A52DE7"/>
    <w:rsid w:val="00A55023"/>
    <w:rsid w:val="00A56B86"/>
    <w:rsid w:val="00A632EF"/>
    <w:rsid w:val="00A677E9"/>
    <w:rsid w:val="00A740AB"/>
    <w:rsid w:val="00A834BF"/>
    <w:rsid w:val="00A90769"/>
    <w:rsid w:val="00A973AA"/>
    <w:rsid w:val="00AA177A"/>
    <w:rsid w:val="00AB0E51"/>
    <w:rsid w:val="00AB4DC3"/>
    <w:rsid w:val="00AC775D"/>
    <w:rsid w:val="00AD022F"/>
    <w:rsid w:val="00AD113F"/>
    <w:rsid w:val="00AD75AC"/>
    <w:rsid w:val="00AF2C11"/>
    <w:rsid w:val="00AF3788"/>
    <w:rsid w:val="00AF5262"/>
    <w:rsid w:val="00AF7928"/>
    <w:rsid w:val="00B13844"/>
    <w:rsid w:val="00B1607C"/>
    <w:rsid w:val="00B26E3E"/>
    <w:rsid w:val="00B35DAD"/>
    <w:rsid w:val="00B417B3"/>
    <w:rsid w:val="00B47443"/>
    <w:rsid w:val="00B5043F"/>
    <w:rsid w:val="00B5377A"/>
    <w:rsid w:val="00B6181C"/>
    <w:rsid w:val="00B64496"/>
    <w:rsid w:val="00B66231"/>
    <w:rsid w:val="00B674DE"/>
    <w:rsid w:val="00B67A3F"/>
    <w:rsid w:val="00B92F83"/>
    <w:rsid w:val="00B9439C"/>
    <w:rsid w:val="00B96E43"/>
    <w:rsid w:val="00BA4A5C"/>
    <w:rsid w:val="00BA6A42"/>
    <w:rsid w:val="00BA6C9C"/>
    <w:rsid w:val="00BB3BEF"/>
    <w:rsid w:val="00BC5F22"/>
    <w:rsid w:val="00BD21CA"/>
    <w:rsid w:val="00BD3087"/>
    <w:rsid w:val="00BD34F2"/>
    <w:rsid w:val="00C02E4A"/>
    <w:rsid w:val="00C05B4B"/>
    <w:rsid w:val="00C05B88"/>
    <w:rsid w:val="00C07F7F"/>
    <w:rsid w:val="00C12530"/>
    <w:rsid w:val="00C14429"/>
    <w:rsid w:val="00C247D8"/>
    <w:rsid w:val="00C25486"/>
    <w:rsid w:val="00C25E66"/>
    <w:rsid w:val="00C34009"/>
    <w:rsid w:val="00C4763A"/>
    <w:rsid w:val="00C63D1E"/>
    <w:rsid w:val="00C667F3"/>
    <w:rsid w:val="00C712D2"/>
    <w:rsid w:val="00C77B5C"/>
    <w:rsid w:val="00C824C6"/>
    <w:rsid w:val="00C8275F"/>
    <w:rsid w:val="00C87068"/>
    <w:rsid w:val="00C9162F"/>
    <w:rsid w:val="00C9364B"/>
    <w:rsid w:val="00CA2F0A"/>
    <w:rsid w:val="00CB1ECE"/>
    <w:rsid w:val="00CB3579"/>
    <w:rsid w:val="00CB5C31"/>
    <w:rsid w:val="00CC0731"/>
    <w:rsid w:val="00CC770C"/>
    <w:rsid w:val="00CD215D"/>
    <w:rsid w:val="00CD3542"/>
    <w:rsid w:val="00CD4F92"/>
    <w:rsid w:val="00CD6628"/>
    <w:rsid w:val="00CD7FF0"/>
    <w:rsid w:val="00D00B48"/>
    <w:rsid w:val="00D018E0"/>
    <w:rsid w:val="00D2331B"/>
    <w:rsid w:val="00D36BB6"/>
    <w:rsid w:val="00D4451A"/>
    <w:rsid w:val="00D472BE"/>
    <w:rsid w:val="00D53DEB"/>
    <w:rsid w:val="00D57DE8"/>
    <w:rsid w:val="00D616CE"/>
    <w:rsid w:val="00D735B0"/>
    <w:rsid w:val="00D73AAD"/>
    <w:rsid w:val="00D75842"/>
    <w:rsid w:val="00D802D6"/>
    <w:rsid w:val="00D86FF7"/>
    <w:rsid w:val="00DA7DC9"/>
    <w:rsid w:val="00DB7B7C"/>
    <w:rsid w:val="00DD6DF0"/>
    <w:rsid w:val="00E0031C"/>
    <w:rsid w:val="00E0138A"/>
    <w:rsid w:val="00E06430"/>
    <w:rsid w:val="00E13DE5"/>
    <w:rsid w:val="00E163CF"/>
    <w:rsid w:val="00E22463"/>
    <w:rsid w:val="00E23871"/>
    <w:rsid w:val="00E322E9"/>
    <w:rsid w:val="00E400EA"/>
    <w:rsid w:val="00E46EE5"/>
    <w:rsid w:val="00E57F5E"/>
    <w:rsid w:val="00E60FB0"/>
    <w:rsid w:val="00E614A1"/>
    <w:rsid w:val="00E674A9"/>
    <w:rsid w:val="00E700AD"/>
    <w:rsid w:val="00E74ABD"/>
    <w:rsid w:val="00E829F2"/>
    <w:rsid w:val="00E83023"/>
    <w:rsid w:val="00E833E4"/>
    <w:rsid w:val="00E92EED"/>
    <w:rsid w:val="00E93A0F"/>
    <w:rsid w:val="00EA3E66"/>
    <w:rsid w:val="00EA70C6"/>
    <w:rsid w:val="00EC0B43"/>
    <w:rsid w:val="00EC4383"/>
    <w:rsid w:val="00EC5D7E"/>
    <w:rsid w:val="00EF39A9"/>
    <w:rsid w:val="00F04F71"/>
    <w:rsid w:val="00F11AA8"/>
    <w:rsid w:val="00F12F81"/>
    <w:rsid w:val="00F24787"/>
    <w:rsid w:val="00F27223"/>
    <w:rsid w:val="00F27BDC"/>
    <w:rsid w:val="00F3623C"/>
    <w:rsid w:val="00F41116"/>
    <w:rsid w:val="00F44D20"/>
    <w:rsid w:val="00F4518C"/>
    <w:rsid w:val="00F4529D"/>
    <w:rsid w:val="00F53F09"/>
    <w:rsid w:val="00F56B20"/>
    <w:rsid w:val="00F6219B"/>
    <w:rsid w:val="00F648FC"/>
    <w:rsid w:val="00F64E0B"/>
    <w:rsid w:val="00F72D66"/>
    <w:rsid w:val="00F72D70"/>
    <w:rsid w:val="00F8164B"/>
    <w:rsid w:val="00F935EE"/>
    <w:rsid w:val="00FA3D8C"/>
    <w:rsid w:val="00FB026D"/>
    <w:rsid w:val="00FB587F"/>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link w:val="BodyText2Char"/>
    <w:rsid w:val="008E504B"/>
    <w:pPr>
      <w:widowControl/>
      <w:autoSpaceDE/>
      <w:autoSpaceDN/>
      <w:adjustRightInd/>
      <w:spacing w:line="480" w:lineRule="auto"/>
      <w:ind w:right="-354"/>
    </w:pPr>
    <w:rPr>
      <w:rFonts w:ascii="Times New Roman" w:hAnsi="Times New Roman"/>
      <w:szCs w:val="20"/>
    </w:rPr>
  </w:style>
  <w:style w:type="character" w:customStyle="1" w:styleId="BodyText2Char">
    <w:name w:val="Body Text 2 Char"/>
    <w:basedOn w:val="DefaultParagraphFont"/>
    <w:link w:val="BodyText2"/>
    <w:rsid w:val="008E50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9122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32</cp:revision>
  <cp:lastPrinted>2020-02-19T15:46:00Z</cp:lastPrinted>
  <dcterms:created xsi:type="dcterms:W3CDTF">2023-04-24T00:39:00Z</dcterms:created>
  <dcterms:modified xsi:type="dcterms:W3CDTF">2023-04-25T14:42:00Z</dcterms:modified>
</cp:coreProperties>
</file>