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96A98" w:rsidP="00996A98" w14:paraId="3F746035" w14:textId="77777777">
      <w:pPr>
        <w:jc w:val="center"/>
        <w:rPr>
          <w:b/>
          <w:bCs/>
          <w:smallCaps/>
        </w:rPr>
      </w:pPr>
      <w:r w:rsidRPr="00C8258F">
        <w:rPr>
          <w:b/>
          <w:bCs/>
          <w:smallCaps/>
        </w:rPr>
        <w:t>SUPPORTING STATEMENT</w:t>
      </w:r>
    </w:p>
    <w:p w:rsidR="00C8258F" w:rsidP="00C75B3B" w14:paraId="6E9B9DFA" w14:textId="1E0AD3E3">
      <w:pPr>
        <w:jc w:val="center"/>
        <w:rPr>
          <w:b/>
        </w:rPr>
      </w:pPr>
      <w:r>
        <w:rPr>
          <w:b/>
          <w:bCs/>
          <w:smallCaps/>
        </w:rPr>
        <w:t>QU</w:t>
      </w:r>
      <w:r w:rsidR="00EB2759">
        <w:rPr>
          <w:b/>
          <w:bCs/>
          <w:smallCaps/>
        </w:rPr>
        <w:t>ICK-TURNAROUND SURVEYS</w:t>
      </w:r>
      <w:r w:rsidR="00EB6B67">
        <w:rPr>
          <w:b/>
          <w:bCs/>
          <w:smallCaps/>
        </w:rPr>
        <w:t xml:space="preserve"> AND SITE VISITS</w:t>
      </w:r>
      <w:r w:rsidR="006B6412">
        <w:rPr>
          <w:b/>
          <w:bCs/>
          <w:smallCaps/>
        </w:rPr>
        <w:t>, Part A</w:t>
      </w:r>
      <w:r w:rsidRPr="00C8258F">
        <w:rPr>
          <w:b/>
        </w:rPr>
        <w:t xml:space="preserve"> </w:t>
      </w:r>
    </w:p>
    <w:p w:rsidR="00C8258F" w:rsidP="00C75B3B" w14:paraId="63088005" w14:textId="77777777">
      <w:pPr>
        <w:jc w:val="center"/>
        <w:rPr>
          <w:b/>
          <w:bCs/>
          <w:smallCaps/>
        </w:rPr>
      </w:pPr>
      <w:r>
        <w:rPr>
          <w:b/>
          <w:bCs/>
          <w:smallCaps/>
        </w:rPr>
        <w:t>OMB Control No</w:t>
      </w:r>
      <w:r w:rsidRPr="00C8258F">
        <w:rPr>
          <w:b/>
          <w:bCs/>
          <w:smallCaps/>
        </w:rPr>
        <w:t>. 1205-0436</w:t>
      </w:r>
    </w:p>
    <w:p w:rsidR="00C75B3B" w:rsidP="00C8258F" w14:paraId="582437ED" w14:textId="77777777">
      <w:pPr>
        <w:rPr>
          <w:b/>
          <w:bCs/>
          <w:smallCaps/>
        </w:rPr>
      </w:pPr>
      <w:r>
        <w:rPr>
          <w:b/>
          <w:bCs/>
          <w:smallCaps/>
        </w:rPr>
        <w:t xml:space="preserve"> </w:t>
      </w:r>
    </w:p>
    <w:p w:rsidR="005121DC" w:rsidP="00C8258F" w14:paraId="2AC0290F" w14:textId="27B9DFF1">
      <w:r>
        <w:t xml:space="preserve">The Employment and Training Administration (ETA) of the U.S. Department of Labor (DOL) </w:t>
      </w:r>
      <w:r w:rsidRPr="00987F57" w:rsidR="00D12F93">
        <w:t xml:space="preserve">seeks </w:t>
      </w:r>
      <w:r w:rsidR="00B961B8">
        <w:t>a</w:t>
      </w:r>
      <w:r>
        <w:t xml:space="preserve"> revision</w:t>
      </w:r>
      <w:r w:rsidR="007401FC">
        <w:t xml:space="preserve"> </w:t>
      </w:r>
      <w:r w:rsidR="007911AD">
        <w:t xml:space="preserve">of a currently approved </w:t>
      </w:r>
      <w:r w:rsidR="00C44C1D">
        <w:t xml:space="preserve">Generic </w:t>
      </w:r>
      <w:r w:rsidR="00E24AE5">
        <w:t xml:space="preserve">information </w:t>
      </w:r>
      <w:r w:rsidR="007911AD">
        <w:t xml:space="preserve">collection </w:t>
      </w:r>
      <w:r w:rsidR="003C688D">
        <w:t xml:space="preserve">request (ICR) </w:t>
      </w:r>
      <w:r w:rsidR="00CF2BF4">
        <w:t>that</w:t>
      </w:r>
      <w:r w:rsidR="00DE5802">
        <w:t xml:space="preserve"> </w:t>
      </w:r>
      <w:r w:rsidR="00CF2BF4">
        <w:t>allows for</w:t>
      </w:r>
      <w:r w:rsidR="007911AD">
        <w:t xml:space="preserve"> </w:t>
      </w:r>
      <w:r w:rsidR="00AD4964">
        <w:t>expedited review (</w:t>
      </w:r>
      <w:r w:rsidR="00CF2BF4">
        <w:t xml:space="preserve">on a </w:t>
      </w:r>
      <w:r w:rsidR="00AD4964">
        <w:t>“quick turnaround”</w:t>
      </w:r>
      <w:r w:rsidR="00CF2BF4">
        <w:t xml:space="preserve"> basis</w:t>
      </w:r>
      <w:r w:rsidR="00AD4964">
        <w:t>)</w:t>
      </w:r>
      <w:r w:rsidR="007911AD">
        <w:t xml:space="preserve"> </w:t>
      </w:r>
      <w:r w:rsidR="00AD4964">
        <w:t xml:space="preserve">of </w:t>
      </w:r>
      <w:r w:rsidRPr="00987F57" w:rsidR="00D12F93">
        <w:t xml:space="preserve">a series of </w:t>
      </w:r>
      <w:r w:rsidR="005C30E6">
        <w:t>short</w:t>
      </w:r>
      <w:r w:rsidRPr="00987F57" w:rsidR="00D12F93">
        <w:t xml:space="preserve"> surveys</w:t>
      </w:r>
      <w:r w:rsidR="00812E34">
        <w:t xml:space="preserve"> </w:t>
      </w:r>
      <w:r w:rsidR="00981CBC">
        <w:t xml:space="preserve">to </w:t>
      </w:r>
      <w:r w:rsidRPr="00987F57" w:rsidR="00D12F93">
        <w:t>collect</w:t>
      </w:r>
      <w:r w:rsidR="00812E34">
        <w:t xml:space="preserve"> </w:t>
      </w:r>
      <w:r w:rsidR="00016371">
        <w:t xml:space="preserve">information </w:t>
      </w:r>
      <w:r w:rsidR="00DE5802">
        <w:t xml:space="preserve">on </w:t>
      </w:r>
      <w:r w:rsidRPr="00987F57" w:rsidR="00D12F93">
        <w:t>employment</w:t>
      </w:r>
      <w:r w:rsidR="00DE5802">
        <w:t xml:space="preserve"> and</w:t>
      </w:r>
      <w:r w:rsidR="00812E34">
        <w:t xml:space="preserve"> </w:t>
      </w:r>
      <w:r w:rsidRPr="00987F57" w:rsidR="00D12F93">
        <w:t xml:space="preserve">training </w:t>
      </w:r>
      <w:r w:rsidRPr="00987F57" w:rsidR="00D9765B">
        <w:t>programs</w:t>
      </w:r>
      <w:r w:rsidR="00D9765B">
        <w:t xml:space="preserve"> and</w:t>
      </w:r>
      <w:r w:rsidR="005C063C">
        <w:t xml:space="preserve"> </w:t>
      </w:r>
      <w:r w:rsidR="00AD6881">
        <w:t>adds site visit</w:t>
      </w:r>
      <w:r w:rsidR="003C688D">
        <w:t xml:space="preserve"> protocol</w:t>
      </w:r>
      <w:r w:rsidR="00981CBC">
        <w:t>s</w:t>
      </w:r>
      <w:r w:rsidR="00AD6881">
        <w:t xml:space="preserve"> </w:t>
      </w:r>
      <w:r w:rsidR="003E1525">
        <w:t xml:space="preserve">to the </w:t>
      </w:r>
      <w:r w:rsidR="00AD6881">
        <w:t xml:space="preserve">expedited </w:t>
      </w:r>
      <w:r w:rsidR="00ED716A">
        <w:t xml:space="preserve">OMB </w:t>
      </w:r>
      <w:r w:rsidR="00AD6881">
        <w:t>review process</w:t>
      </w:r>
      <w:r w:rsidR="00ED716A">
        <w:t>.</w:t>
      </w:r>
      <w:r w:rsidR="00AD6881">
        <w:t xml:space="preserve">  </w:t>
      </w:r>
      <w:r w:rsidR="003E1525">
        <w:t>Both t</w:t>
      </w:r>
      <w:r w:rsidRPr="00987F57" w:rsidR="00D12F93">
        <w:t xml:space="preserve">he surveys </w:t>
      </w:r>
      <w:r w:rsidR="00007DAA">
        <w:t xml:space="preserve">and site visits </w:t>
      </w:r>
      <w:r w:rsidRPr="00987F57" w:rsidR="00D12F93">
        <w:t>will focus</w:t>
      </w:r>
      <w:r w:rsidR="003E1525">
        <w:t>, as before,</w:t>
      </w:r>
      <w:r w:rsidRPr="00987F57" w:rsidR="00D12F93">
        <w:t xml:space="preserve"> on a variety of issues concerning </w:t>
      </w:r>
      <w:r w:rsidR="000F4B33">
        <w:t xml:space="preserve">governance, administration, funding, </w:t>
      </w:r>
      <w:r w:rsidR="00DA0D05">
        <w:t xml:space="preserve">and </w:t>
      </w:r>
      <w:r w:rsidR="000F4B33">
        <w:t xml:space="preserve">service </w:t>
      </w:r>
      <w:r w:rsidR="00DA0D05">
        <w:t>d</w:t>
      </w:r>
      <w:r w:rsidR="000F4B33">
        <w:t xml:space="preserve">elivery for </w:t>
      </w:r>
      <w:r w:rsidRPr="00987F57" w:rsidR="00D12F93">
        <w:t>the broad spectrum of programs administered by ETA including</w:t>
      </w:r>
      <w:r w:rsidR="005C30E6">
        <w:t>,</w:t>
      </w:r>
      <w:r w:rsidRPr="00987F57" w:rsidR="00D12F93">
        <w:t xml:space="preserve"> but not limited to</w:t>
      </w:r>
      <w:r w:rsidR="000F4B33">
        <w:t xml:space="preserve">, those </w:t>
      </w:r>
      <w:r w:rsidRPr="00987F57" w:rsidR="00D12F93">
        <w:t xml:space="preserve">authorized by the Workforce Innovation </w:t>
      </w:r>
      <w:r w:rsidR="00A7680F">
        <w:t xml:space="preserve">and </w:t>
      </w:r>
      <w:r w:rsidRPr="00987F57" w:rsidR="00D12F93">
        <w:t>Opportunit</w:t>
      </w:r>
      <w:r w:rsidR="00A7680F">
        <w:t xml:space="preserve">y </w:t>
      </w:r>
      <w:r w:rsidRPr="00987F57" w:rsidR="00D12F93">
        <w:t xml:space="preserve">Act </w:t>
      </w:r>
      <w:r w:rsidRPr="00987F57" w:rsidR="00A7680F">
        <w:t xml:space="preserve">of 2014 </w:t>
      </w:r>
      <w:r w:rsidRPr="00987F57" w:rsidR="00D12F93">
        <w:t>and other statutes.</w:t>
      </w:r>
      <w:r>
        <w:t xml:space="preserve">  </w:t>
      </w:r>
    </w:p>
    <w:p w:rsidR="005121DC" w:rsidP="00C8258F" w14:paraId="35B7EFBC" w14:textId="77777777"/>
    <w:p w:rsidR="00EB2759" w14:paraId="7CD38DCC" w14:textId="77777777">
      <w:pPr>
        <w:spacing w:after="206"/>
      </w:pPr>
      <w:r>
        <w:rPr>
          <w:b/>
          <w:bCs/>
        </w:rPr>
        <w:t>A.       </w:t>
      </w:r>
      <w:r w:rsidRPr="00695609">
        <w:rPr>
          <w:b/>
          <w:bCs/>
          <w:u w:val="single"/>
        </w:rPr>
        <w:t>JUSTIFICATION</w:t>
      </w:r>
      <w:r w:rsidR="00695609">
        <w:rPr>
          <w:b/>
          <w:bCs/>
          <w:u w:val="single"/>
        </w:rPr>
        <w:t>.</w:t>
      </w:r>
    </w:p>
    <w:p w:rsidR="00EB2759" w:rsidRPr="00F05002" w14:paraId="5AF3C56E" w14:textId="77777777">
      <w:pPr>
        <w:spacing w:after="206"/>
        <w:rPr>
          <w:b/>
          <w:iCs/>
        </w:rPr>
      </w:pPr>
      <w:r w:rsidRPr="00F05002">
        <w:rPr>
          <w:b/>
          <w:iCs/>
        </w:rPr>
        <w:t xml:space="preserve">1.  </w:t>
      </w:r>
      <w:r w:rsidRPr="00F05002" w:rsidR="00EF2622">
        <w:rPr>
          <w:b/>
          <w:iCs/>
        </w:rPr>
        <w:t xml:space="preserve">     </w:t>
      </w:r>
      <w:r w:rsidRPr="00F05002">
        <w:rPr>
          <w:b/>
          <w:iCs/>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8A4D1E" w:rsidRPr="008A4D1E" w:rsidP="003A3EB5" w14:paraId="5342B92C" w14:textId="391720DD">
      <w:pPr>
        <w:pStyle w:val="BodyText"/>
      </w:pPr>
      <w:r w:rsidRPr="004A3667">
        <w:t>This request</w:t>
      </w:r>
      <w:r w:rsidR="00B23500">
        <w:t xml:space="preserve"> is for</w:t>
      </w:r>
      <w:r w:rsidR="00782F1E">
        <w:t xml:space="preserve"> a</w:t>
      </w:r>
      <w:r w:rsidR="007401FC">
        <w:t xml:space="preserve"> </w:t>
      </w:r>
      <w:r w:rsidR="00A94A3A">
        <w:t>re</w:t>
      </w:r>
      <w:r w:rsidR="005F0AD4">
        <w:t xml:space="preserve">vision </w:t>
      </w:r>
      <w:r w:rsidRPr="004A3667">
        <w:t xml:space="preserve">of </w:t>
      </w:r>
      <w:r w:rsidR="00114F05">
        <w:t xml:space="preserve">an </w:t>
      </w:r>
      <w:r w:rsidRPr="004A3667">
        <w:t>approv</w:t>
      </w:r>
      <w:r w:rsidR="00B23500">
        <w:t xml:space="preserve">ed </w:t>
      </w:r>
      <w:r w:rsidR="00080D09">
        <w:t>Generic ICR</w:t>
      </w:r>
      <w:r w:rsidR="00B23500">
        <w:t xml:space="preserve"> that allows </w:t>
      </w:r>
      <w:r w:rsidR="00812E34">
        <w:t xml:space="preserve">submission to </w:t>
      </w:r>
      <w:r w:rsidR="00A94A3A">
        <w:t>OMB</w:t>
      </w:r>
      <w:r w:rsidR="007013A8">
        <w:t xml:space="preserve">, </w:t>
      </w:r>
      <w:r w:rsidR="00A94A3A">
        <w:t xml:space="preserve">for </w:t>
      </w:r>
      <w:r w:rsidR="00812E34">
        <w:t xml:space="preserve">a </w:t>
      </w:r>
      <w:r w:rsidR="00A94A3A">
        <w:t>“quick turnaround” review</w:t>
      </w:r>
      <w:r w:rsidR="00812E34">
        <w:t xml:space="preserve"> of 15 </w:t>
      </w:r>
      <w:r w:rsidR="00830457">
        <w:t xml:space="preserve">days </w:t>
      </w:r>
      <w:r w:rsidR="00272252">
        <w:t>of eight</w:t>
      </w:r>
      <w:r w:rsidR="00016846">
        <w:t xml:space="preserve"> (8) to twenty (20) </w:t>
      </w:r>
      <w:r w:rsidR="00FB624C">
        <w:t xml:space="preserve">short </w:t>
      </w:r>
      <w:r w:rsidRPr="004A3667" w:rsidR="00A94A3A">
        <w:t>surveys</w:t>
      </w:r>
      <w:r w:rsidR="00FB624C">
        <w:t xml:space="preserve"> or site visit protocols over three years.</w:t>
      </w:r>
      <w:r w:rsidRPr="004A3667" w:rsidR="00FB624C">
        <w:t xml:space="preserve"> </w:t>
      </w:r>
      <w:r w:rsidR="00027336">
        <w:t xml:space="preserve"> </w:t>
      </w:r>
      <w:r w:rsidRPr="008A4D1E">
        <w:t>Authority for the collection of information under this request can be found in Sections 168 and</w:t>
      </w:r>
      <w:r w:rsidR="00BE1535">
        <w:t xml:space="preserve"> </w:t>
      </w:r>
      <w:r w:rsidRPr="008A4D1E">
        <w:t xml:space="preserve">169 of the Workforce Innovation and Opportunity Act </w:t>
      </w:r>
      <w:r w:rsidRPr="008A4D1E" w:rsidR="00016371">
        <w:t xml:space="preserve">of 2014 </w:t>
      </w:r>
      <w:r w:rsidRPr="008A4D1E">
        <w:t xml:space="preserve">(WIOA) </w:t>
      </w:r>
      <w:r w:rsidRPr="008A4D1E" w:rsidR="00A7680F">
        <w:t xml:space="preserve">(PL 113-128) </w:t>
      </w:r>
      <w:r w:rsidRPr="008A4D1E">
        <w:t xml:space="preserve">concerning </w:t>
      </w:r>
      <w:r>
        <w:t>the requirement to “</w:t>
      </w:r>
      <w:r w:rsidRPr="003A3EB5">
        <w:t>evaluate and disseminate information regarding</w:t>
      </w:r>
      <w:r>
        <w:t>…</w:t>
      </w:r>
      <w:r w:rsidRPr="003A3EB5">
        <w:t>promising and proven practices and identify knowledge gaps</w:t>
      </w:r>
      <w:r>
        <w:t>, a</w:t>
      </w:r>
      <w:r w:rsidRPr="003A3EB5">
        <w:t>nd commission research</w:t>
      </w:r>
      <w:r>
        <w:t>…</w:t>
      </w:r>
      <w:r w:rsidRPr="003A3EB5">
        <w:t>to address knowledge gaps</w:t>
      </w:r>
      <w:r>
        <w:t xml:space="preserve">” regarding </w:t>
      </w:r>
      <w:r w:rsidRPr="008A4D1E">
        <w:t>WIOA</w:t>
      </w:r>
      <w:r w:rsidRPr="008A4D1E" w:rsidR="00557735">
        <w:t xml:space="preserve"> </w:t>
      </w:r>
      <w:r w:rsidRPr="008A4D1E" w:rsidR="00114F05">
        <w:t xml:space="preserve">programs </w:t>
      </w:r>
      <w:r w:rsidRPr="008A4D1E" w:rsidR="00557735">
        <w:t>an</w:t>
      </w:r>
      <w:r w:rsidRPr="008A4D1E">
        <w:t xml:space="preserve">d “other employment-related programs and activities under other provisions of law.”  </w:t>
      </w:r>
      <w:r w:rsidR="00407047">
        <w:t>Additional authority is found under O</w:t>
      </w:r>
      <w:r w:rsidRPr="00A6607B" w:rsidR="00407047">
        <w:t>MB Circular A-11, Section 280</w:t>
      </w:r>
      <w:r w:rsidRPr="00612084" w:rsidR="00407047">
        <w:t>, which requires the collection of customer feedback to improve both efficiency and mission delivery</w:t>
      </w:r>
      <w:r w:rsidR="00407047">
        <w:t>, under E</w:t>
      </w:r>
      <w:r w:rsidRPr="00A6607B" w:rsidR="00A6607B">
        <w:t>xecutive Order 12862</w:t>
      </w:r>
      <w:r w:rsidR="00407047">
        <w:t>, which</w:t>
      </w:r>
      <w:r w:rsidRPr="003A3EB5" w:rsidR="00A6607B">
        <w:t xml:space="preserve"> requires government agencies to </w:t>
      </w:r>
      <w:r w:rsidR="00407047">
        <w:t>s</w:t>
      </w:r>
      <w:r w:rsidRPr="003A3EB5" w:rsidR="00A6607B">
        <w:t xml:space="preserve">urvey customers </w:t>
      </w:r>
      <w:r w:rsidR="00407047">
        <w:t>and</w:t>
      </w:r>
      <w:r w:rsidRPr="003A3EB5" w:rsidR="00A6607B">
        <w:t xml:space="preserve"> front-line employees</w:t>
      </w:r>
      <w:r w:rsidR="00407047">
        <w:t xml:space="preserve"> regarding service quality and id</w:t>
      </w:r>
      <w:r w:rsidRPr="003A3EB5" w:rsidR="00A6607B">
        <w:t>eas for</w:t>
      </w:r>
      <w:r w:rsidR="00407047">
        <w:t xml:space="preserve"> improving it</w:t>
      </w:r>
      <w:r w:rsidR="005F4694">
        <w:t xml:space="preserve">, </w:t>
      </w:r>
      <w:bookmarkStart w:id="0" w:name="_Hlk134454180"/>
      <w:r w:rsidR="005F4694">
        <w:t xml:space="preserve">and </w:t>
      </w:r>
      <w:r w:rsidR="0071242B">
        <w:t xml:space="preserve">under </w:t>
      </w:r>
      <w:r w:rsidRPr="007171A5" w:rsidR="0071242B">
        <w:t>OMB Memorandum M-22-</w:t>
      </w:r>
      <w:r w:rsidRPr="0071242B" w:rsidR="0071242B">
        <w:t>10</w:t>
      </w:r>
      <w:r w:rsidR="0071242B">
        <w:t xml:space="preserve">, </w:t>
      </w:r>
      <w:r w:rsidRPr="00A24E6A" w:rsidR="0071242B">
        <w:t xml:space="preserve">which implements </w:t>
      </w:r>
      <w:r w:rsidRPr="0071242B" w:rsidR="0071242B">
        <w:t>Executive Order 14058</w:t>
      </w:r>
      <w:r w:rsidR="0071242B">
        <w:t>,</w:t>
      </w:r>
      <w:r w:rsidRPr="00A24E6A" w:rsidR="0071242B">
        <w:t xml:space="preserve"> and provides guidance for collecting information related to public benefits programs, with a particular focus on members of underserved and marginalized communities and allows for “generic clearances” to obtain timely feedback in “customer service surveys, focus groups, semi-structured interviews…”</w:t>
      </w:r>
      <w:bookmarkEnd w:id="0"/>
    </w:p>
    <w:p w:rsidR="00114F05" w:rsidP="00114F05" w14:paraId="2C761614" w14:textId="1B250A93">
      <w:pPr>
        <w:spacing w:after="206"/>
      </w:pPr>
      <w:r>
        <w:t xml:space="preserve">These “quick turnaround” surveys and site visits will fill critical gaps in ETA’s need for accurate, timely information </w:t>
      </w:r>
      <w:r w:rsidR="00983EAA">
        <w:t xml:space="preserve">to improve the ability of these programs to </w:t>
      </w:r>
      <w:r w:rsidR="004F054E">
        <w:t>serve current and potential jobseekers as well as employers effectively and efficiently</w:t>
      </w:r>
      <w:r w:rsidR="00983EAA">
        <w:t xml:space="preserve">. The information from the surveys and site visits </w:t>
      </w:r>
      <w:r w:rsidR="004F054E">
        <w:t>has</w:t>
      </w:r>
      <w:r>
        <w:t xml:space="preserve"> the potential to rapidly inform or refine development of regulations, guidance, policy, and technical assistance. </w:t>
      </w:r>
      <w:r w:rsidR="00B23300">
        <w:t xml:space="preserve">Having a short clearance process </w:t>
      </w:r>
      <w:r>
        <w:t xml:space="preserve">is </w:t>
      </w:r>
      <w:r w:rsidR="00B23300">
        <w:t xml:space="preserve">of particular importance </w:t>
      </w:r>
      <w:r w:rsidR="00016371">
        <w:t>in light of n</w:t>
      </w:r>
      <w:r w:rsidR="00B23300">
        <w:t>ational priorities and emergencie</w:t>
      </w:r>
      <w:r w:rsidR="00B81EB4">
        <w:t xml:space="preserve">s, </w:t>
      </w:r>
      <w:r w:rsidR="00B23300">
        <w:t xml:space="preserve">such as those related to critical health issues, natural disasters, or economic challenges that are ongoing or rapidly emerging.  </w:t>
      </w:r>
    </w:p>
    <w:p w:rsidR="00A53176" w:rsidP="00D86FA7" w14:paraId="7685B712" w14:textId="2041D2CD">
      <w:r>
        <w:t xml:space="preserve">Other sources of </w:t>
      </w:r>
      <w:r w:rsidR="00A7680F">
        <w:t>infor</w:t>
      </w:r>
      <w:r w:rsidR="00C55680">
        <w:t xml:space="preserve">mation available to ETA </w:t>
      </w:r>
      <w:r w:rsidR="00FB624C">
        <w:t xml:space="preserve">are </w:t>
      </w:r>
      <w:r w:rsidR="00A7680F">
        <w:t xml:space="preserve">limited as to </w:t>
      </w:r>
      <w:r w:rsidR="00C55680">
        <w:t>scope or detail</w:t>
      </w:r>
      <w:r w:rsidR="00AF37EE">
        <w:t xml:space="preserve"> or not </w:t>
      </w:r>
      <w:r w:rsidR="00017C21">
        <w:t>accessible on</w:t>
      </w:r>
      <w:r w:rsidR="00AF37EE">
        <w:t xml:space="preserve"> a timely basis</w:t>
      </w:r>
      <w:r w:rsidR="00C55680">
        <w:t>.  F</w:t>
      </w:r>
      <w:r w:rsidR="00406033">
        <w:t xml:space="preserve">or </w:t>
      </w:r>
      <w:r w:rsidR="00C55680">
        <w:t xml:space="preserve">example, </w:t>
      </w:r>
      <w:r w:rsidR="001A5F04">
        <w:t>quanti</w:t>
      </w:r>
      <w:r w:rsidR="00406033">
        <w:t xml:space="preserve">tative </w:t>
      </w:r>
      <w:r w:rsidR="00A92219">
        <w:t>administrative data</w:t>
      </w:r>
      <w:r w:rsidR="00C55680">
        <w:t xml:space="preserve"> lack critical details, </w:t>
      </w:r>
      <w:r w:rsidR="00406033">
        <w:t xml:space="preserve">while </w:t>
      </w:r>
      <w:r w:rsidR="00044487">
        <w:t xml:space="preserve">qualitative </w:t>
      </w:r>
      <w:r w:rsidR="00406033">
        <w:t>data from progress reports</w:t>
      </w:r>
      <w:r w:rsidR="00F13CE0">
        <w:t xml:space="preserve">, </w:t>
      </w:r>
      <w:r w:rsidR="00406033">
        <w:t xml:space="preserve">monitoring </w:t>
      </w:r>
      <w:r w:rsidR="0060611E">
        <w:t xml:space="preserve">reports by federal project officers, </w:t>
      </w:r>
      <w:r w:rsidR="00F13CE0">
        <w:t xml:space="preserve">and </w:t>
      </w:r>
      <w:r w:rsidR="00396126">
        <w:t xml:space="preserve">informal discussions </w:t>
      </w:r>
      <w:r w:rsidR="000736EE">
        <w:t>with st</w:t>
      </w:r>
      <w:r w:rsidR="00F13CE0">
        <w:t>ates are</w:t>
      </w:r>
      <w:r w:rsidR="00406033">
        <w:t xml:space="preserve"> </w:t>
      </w:r>
      <w:r w:rsidR="000A3D1B">
        <w:t xml:space="preserve">typically </w:t>
      </w:r>
      <w:r w:rsidR="00406033">
        <w:t>focused on complianc</w:t>
      </w:r>
      <w:r w:rsidR="0060611E">
        <w:t>e</w:t>
      </w:r>
      <w:r w:rsidR="005336C9">
        <w:t xml:space="preserve"> and </w:t>
      </w:r>
      <w:r w:rsidR="00027336">
        <w:t>do not address a wide variety of issues or concerns</w:t>
      </w:r>
      <w:r w:rsidR="00EC543F">
        <w:t>.</w:t>
      </w:r>
      <w:r w:rsidR="00822E5B">
        <w:t xml:space="preserve">  </w:t>
      </w:r>
      <w:r w:rsidR="009E7E73">
        <w:t>L</w:t>
      </w:r>
      <w:r>
        <w:t xml:space="preserve">ong-term in-depth evaluations </w:t>
      </w:r>
      <w:r w:rsidR="00C55680">
        <w:t>typically are not designed to elicit information quickly on emerging issues.</w:t>
      </w:r>
      <w:r w:rsidR="009E7E73">
        <w:t xml:space="preserve">  </w:t>
      </w:r>
      <w:r w:rsidR="00105D96">
        <w:t>Proposed p</w:t>
      </w:r>
      <w:r w:rsidR="009E7E73">
        <w:t xml:space="preserve">romising practices </w:t>
      </w:r>
      <w:r w:rsidR="00105D96">
        <w:t xml:space="preserve">or new interventions </w:t>
      </w:r>
      <w:r w:rsidR="009E7E73">
        <w:t xml:space="preserve">are often not subject to independent review or verification, </w:t>
      </w:r>
      <w:r w:rsidR="00105D96">
        <w:t xml:space="preserve">in part because to </w:t>
      </w:r>
      <w:r w:rsidR="009E7E73">
        <w:t xml:space="preserve">collect relevant information </w:t>
      </w:r>
      <w:r w:rsidR="00105D96">
        <w:t xml:space="preserve">on them </w:t>
      </w:r>
      <w:r w:rsidR="009E7E73">
        <w:t xml:space="preserve">would require a clearance process of 8 to 12 months.  </w:t>
      </w:r>
    </w:p>
    <w:p w:rsidR="00016371" w:rsidP="00D86FA7" w14:paraId="2FA29340" w14:textId="511039C9">
      <w:r>
        <w:t xml:space="preserve">  </w:t>
      </w:r>
    </w:p>
    <w:p w:rsidR="009D4D9C" w:rsidP="00F05002" w14:paraId="02F0BC62" w14:textId="2A695562">
      <w:pPr>
        <w:spacing w:after="206"/>
      </w:pPr>
      <w:r>
        <w:t xml:space="preserve">Each survey </w:t>
      </w:r>
      <w:r w:rsidR="00D13A37">
        <w:t>and</w:t>
      </w:r>
      <w:r w:rsidR="00C7038D">
        <w:t xml:space="preserve"> </w:t>
      </w:r>
      <w:r w:rsidR="00D13A37">
        <w:t>site visit</w:t>
      </w:r>
      <w:r w:rsidR="00C7038D">
        <w:t xml:space="preserve"> protocol</w:t>
      </w:r>
      <w:r w:rsidR="008C633A">
        <w:t xml:space="preserve"> </w:t>
      </w:r>
      <w:r w:rsidR="00105D96">
        <w:t xml:space="preserve">under the ICR </w:t>
      </w:r>
      <w:r>
        <w:t>w</w:t>
      </w:r>
      <w:r w:rsidR="00985245">
        <w:t>ould</w:t>
      </w:r>
      <w:r>
        <w:t xml:space="preserve"> be designed on an ad hoc basis over the three-year </w:t>
      </w:r>
      <w:r w:rsidR="0099507E">
        <w:t>period and</w:t>
      </w:r>
      <w:r>
        <w:t xml:space="preserve"> </w:t>
      </w:r>
      <w:r w:rsidR="00A7680F">
        <w:t xml:space="preserve">would </w:t>
      </w:r>
      <w:r>
        <w:t xml:space="preserve">focus on topics of pressing policy </w:t>
      </w:r>
      <w:r w:rsidR="00A7680F">
        <w:t xml:space="preserve">or administrative </w:t>
      </w:r>
      <w:r>
        <w:t xml:space="preserve">interest.  </w:t>
      </w:r>
      <w:r w:rsidR="00851AA7">
        <w:t>Topics and q</w:t>
      </w:r>
      <w:r>
        <w:t>uestions would</w:t>
      </w:r>
      <w:r w:rsidR="00A7680F">
        <w:t>, for example,</w:t>
      </w:r>
      <w:r>
        <w:t xml:space="preserve"> </w:t>
      </w:r>
      <w:r w:rsidR="00851AA7">
        <w:t xml:space="preserve">address </w:t>
      </w:r>
      <w:r w:rsidR="00A92219">
        <w:t xml:space="preserve">issues </w:t>
      </w:r>
      <w:r>
        <w:t>raised by ETA</w:t>
      </w:r>
      <w:r w:rsidR="00A92219">
        <w:t>’s</w:t>
      </w:r>
      <w:r>
        <w:t xml:space="preserve"> National Office and Regional Staff, OMB itself</w:t>
      </w:r>
      <w:r w:rsidR="00A92219">
        <w:t>,</w:t>
      </w:r>
      <w:r>
        <w:t xml:space="preserve"> Congress</w:t>
      </w:r>
      <w:r w:rsidR="00A92219">
        <w:t>, or by States and localities</w:t>
      </w:r>
      <w:r>
        <w:t>. </w:t>
      </w:r>
      <w:r w:rsidR="00851AA7">
        <w:t xml:space="preserve"> </w:t>
      </w:r>
      <w:r w:rsidR="00855406">
        <w:t>Examples of topic areas include</w:t>
      </w:r>
      <w:r w:rsidR="00D6523D">
        <w:t xml:space="preserve"> but are not limited to the following</w:t>
      </w:r>
      <w:r w:rsidR="00855406">
        <w:t>:</w:t>
      </w:r>
    </w:p>
    <w:p w:rsidR="00855406" w:rsidP="00D86FA7" w14:paraId="6BD9EDBB" w14:textId="25FD4EF2">
      <w:pPr>
        <w:ind w:left="720" w:hanging="360"/>
      </w:pPr>
      <w:r>
        <w:rPr>
          <w:rFonts w:ascii="Symbol" w:hAnsi="Symbol"/>
        </w:rPr>
        <w:sym w:font="Symbol" w:char="F0B7"/>
      </w:r>
      <w:r>
        <w:rPr>
          <w:sz w:val="14"/>
          <w:szCs w:val="14"/>
        </w:rPr>
        <w:t xml:space="preserve">        </w:t>
      </w:r>
      <w:r w:rsidR="00AD0BB6">
        <w:t>State and l</w:t>
      </w:r>
      <w:r>
        <w:t xml:space="preserve">ocal </w:t>
      </w:r>
      <w:r w:rsidR="00A7680F">
        <w:t>m</w:t>
      </w:r>
      <w:r>
        <w:t xml:space="preserve">anagement </w:t>
      </w:r>
      <w:r w:rsidR="00A7680F">
        <w:t>i</w:t>
      </w:r>
      <w:r>
        <w:t xml:space="preserve">nformation </w:t>
      </w:r>
      <w:r w:rsidR="00A7680F">
        <w:t>s</w:t>
      </w:r>
      <w:r>
        <w:t>ystem</w:t>
      </w:r>
      <w:r w:rsidR="00A7680F">
        <w:t>s</w:t>
      </w:r>
      <w:r w:rsidR="005C30E6">
        <w:t>;</w:t>
      </w:r>
    </w:p>
    <w:p w:rsidR="00855406" w:rsidP="00D86FA7" w14:paraId="2282140C" w14:textId="49BFBEB9">
      <w:pPr>
        <w:ind w:left="720" w:hanging="360"/>
      </w:pPr>
      <w:r>
        <w:rPr>
          <w:rFonts w:ascii="Symbol" w:hAnsi="Symbol"/>
        </w:rPr>
        <w:sym w:font="Symbol" w:char="F0B7"/>
      </w:r>
      <w:r>
        <w:rPr>
          <w:sz w:val="14"/>
          <w:szCs w:val="14"/>
        </w:rPr>
        <w:t xml:space="preserve">        </w:t>
      </w:r>
      <w:r>
        <w:t>New processes</w:t>
      </w:r>
      <w:r w:rsidR="00B34405">
        <w:t xml:space="preserve">, </w:t>
      </w:r>
      <w:r>
        <w:t>procedures</w:t>
      </w:r>
      <w:r w:rsidR="00B34405">
        <w:t>, and methods</w:t>
      </w:r>
      <w:r w:rsidR="00D6523D">
        <w:t xml:space="preserve"> for providing training, case management</w:t>
      </w:r>
      <w:r w:rsidR="00111114">
        <w:t>,</w:t>
      </w:r>
      <w:r w:rsidR="00D6523D">
        <w:t xml:space="preserve"> or o</w:t>
      </w:r>
      <w:r w:rsidR="00111114">
        <w:t>utreach to employers</w:t>
      </w:r>
      <w:r w:rsidR="00386F0A">
        <w:t xml:space="preserve"> or underserved populations</w:t>
      </w:r>
      <w:r w:rsidR="005C30E6">
        <w:t>;</w:t>
      </w:r>
      <w:r>
        <w:t xml:space="preserve"> </w:t>
      </w:r>
    </w:p>
    <w:p w:rsidR="00855406" w:rsidP="00D86FA7" w14:paraId="7347E699" w14:textId="5C049D65">
      <w:pPr>
        <w:ind w:left="720" w:hanging="360"/>
      </w:pPr>
      <w:r>
        <w:rPr>
          <w:rFonts w:ascii="Symbol" w:hAnsi="Symbol"/>
        </w:rPr>
        <w:sym w:font="Symbol" w:char="F0B7"/>
      </w:r>
      <w:r>
        <w:rPr>
          <w:sz w:val="14"/>
          <w:szCs w:val="14"/>
        </w:rPr>
        <w:t xml:space="preserve">        </w:t>
      </w:r>
      <w:r>
        <w:t>Services to</w:t>
      </w:r>
      <w:r w:rsidR="0037432D">
        <w:t xml:space="preserve"> </w:t>
      </w:r>
      <w:r>
        <w:t>different target groups</w:t>
      </w:r>
      <w:r w:rsidR="0037432D">
        <w:t xml:space="preserve">, including the views of </w:t>
      </w:r>
      <w:r w:rsidR="00111114">
        <w:t>providers</w:t>
      </w:r>
      <w:r w:rsidR="00017C21">
        <w:t xml:space="preserve">, </w:t>
      </w:r>
      <w:r w:rsidR="0037432D">
        <w:t xml:space="preserve">participants </w:t>
      </w:r>
      <w:r w:rsidR="00017C21">
        <w:t xml:space="preserve">or employers </w:t>
      </w:r>
      <w:r w:rsidR="0037432D">
        <w:t>on their experiences</w:t>
      </w:r>
      <w:r w:rsidR="00111114">
        <w:t xml:space="preserve"> and concerns</w:t>
      </w:r>
      <w:r w:rsidR="005C30E6">
        <w:t>;</w:t>
      </w:r>
      <w:r>
        <w:t xml:space="preserve"> </w:t>
      </w:r>
    </w:p>
    <w:p w:rsidR="00855406" w:rsidP="00D86FA7" w14:paraId="28667E69" w14:textId="77777777">
      <w:pPr>
        <w:ind w:left="720" w:hanging="360"/>
      </w:pPr>
      <w:r>
        <w:rPr>
          <w:rFonts w:ascii="Symbol" w:hAnsi="Symbol"/>
        </w:rPr>
        <w:sym w:font="Symbol" w:char="F0B7"/>
      </w:r>
      <w:r>
        <w:rPr>
          <w:sz w:val="14"/>
          <w:szCs w:val="14"/>
        </w:rPr>
        <w:t xml:space="preserve">        </w:t>
      </w:r>
      <w:r>
        <w:t>Integration and coordination with other programs</w:t>
      </w:r>
      <w:r w:rsidR="005C30E6">
        <w:t>; and</w:t>
      </w:r>
    </w:p>
    <w:p w:rsidR="00855406" w:rsidP="00D86FA7" w14:paraId="7F0C3B50" w14:textId="1B5392E4">
      <w:pPr>
        <w:ind w:left="720" w:hanging="360"/>
      </w:pPr>
      <w:r>
        <w:rPr>
          <w:rFonts w:ascii="Symbol" w:hAnsi="Symbol"/>
        </w:rPr>
        <w:sym w:font="Symbol" w:char="F0B7"/>
      </w:r>
      <w:r>
        <w:rPr>
          <w:sz w:val="14"/>
          <w:szCs w:val="14"/>
        </w:rPr>
        <w:t xml:space="preserve">        </w:t>
      </w:r>
      <w:r w:rsidR="00B34405">
        <w:t>Governance issues, such a State o</w:t>
      </w:r>
      <w:r w:rsidR="00D6523D">
        <w:t>r</w:t>
      </w:r>
      <w:r w:rsidR="00B34405">
        <w:t xml:space="preserve"> Local W</w:t>
      </w:r>
      <w:r>
        <w:t>orkforce Investment Board membership and training</w:t>
      </w:r>
      <w:r w:rsidR="00AD0BB6">
        <w:t>.</w:t>
      </w:r>
    </w:p>
    <w:p w:rsidR="00855406" w:rsidP="00D86FA7" w14:paraId="134C5C9C" w14:textId="77777777"/>
    <w:p w:rsidR="00EB2759" w:rsidP="00855406" w14:paraId="7389798D" w14:textId="5215059A">
      <w:r>
        <w:t>Consistent with the existing process under OMB Control # 1205-0436,</w:t>
      </w:r>
      <w:r w:rsidR="00AD4964">
        <w:t xml:space="preserve"> the following </w:t>
      </w:r>
      <w:r>
        <w:t xml:space="preserve">process </w:t>
      </w:r>
      <w:r w:rsidR="00AD4964">
        <w:t>w</w:t>
      </w:r>
      <w:r w:rsidR="00D6523D">
        <w:t>ould</w:t>
      </w:r>
      <w:r w:rsidR="00AD4964">
        <w:t xml:space="preserve"> be followed </w:t>
      </w:r>
      <w:r>
        <w:t xml:space="preserve">for </w:t>
      </w:r>
      <w:r w:rsidR="00D86FA7">
        <w:t xml:space="preserve">review and clearance </w:t>
      </w:r>
      <w:r>
        <w:t>of e</w:t>
      </w:r>
      <w:r w:rsidR="0048231E">
        <w:t xml:space="preserve">ach individual </w:t>
      </w:r>
      <w:r>
        <w:t>survey</w:t>
      </w:r>
      <w:r w:rsidR="00AD0BB6">
        <w:t xml:space="preserve"> and site visit protocol</w:t>
      </w:r>
      <w:r>
        <w:t>:</w:t>
      </w:r>
    </w:p>
    <w:p w:rsidR="00855406" w:rsidP="00855406" w14:paraId="7C090EDB" w14:textId="77777777"/>
    <w:p w:rsidR="00EB2759" w:rsidP="00F05002" w14:paraId="028BD27C" w14:textId="77777777">
      <w:pPr>
        <w:spacing w:after="206"/>
        <w:ind w:left="720"/>
      </w:pPr>
      <w:r>
        <w:t xml:space="preserve">(1) </w:t>
      </w:r>
      <w:r w:rsidR="00AD4964">
        <w:t xml:space="preserve"> </w:t>
      </w:r>
      <w:r w:rsidR="00B34BFE">
        <w:t>DOL would s</w:t>
      </w:r>
      <w:r w:rsidR="0048231E">
        <w:t>ubmi</w:t>
      </w:r>
      <w:r w:rsidR="00B34BFE">
        <w:t xml:space="preserve">t </w:t>
      </w:r>
      <w:r w:rsidR="0048231E">
        <w:t>t</w:t>
      </w:r>
      <w:r>
        <w:t>he following to OMB</w:t>
      </w:r>
      <w:r w:rsidR="0048231E">
        <w:t xml:space="preserve"> for review</w:t>
      </w:r>
      <w:r>
        <w:t>:</w:t>
      </w:r>
    </w:p>
    <w:p w:rsidR="00AD4964" w:rsidP="00F05002" w14:paraId="49169A51" w14:textId="77777777">
      <w:pPr>
        <w:spacing w:after="206"/>
        <w:ind w:left="1440" w:hanging="360"/>
      </w:pPr>
      <w:r>
        <w:rPr>
          <w:rFonts w:ascii="Symbol" w:hAnsi="Symbol"/>
        </w:rPr>
        <w:sym w:font="Symbol" w:char="F0B7"/>
      </w:r>
      <w:r>
        <w:rPr>
          <w:sz w:val="14"/>
          <w:szCs w:val="14"/>
        </w:rPr>
        <w:t xml:space="preserve">       </w:t>
      </w:r>
      <w:r>
        <w:t> An abbreviated supporting statement</w:t>
      </w:r>
      <w:r w:rsidR="002C41A5">
        <w:t>, of 1 – 2 pages,</w:t>
      </w:r>
      <w:r>
        <w:t xml:space="preserve"> that provides information</w:t>
      </w:r>
      <w:r w:rsidR="00D63018">
        <w:t xml:space="preserve"> on the following</w:t>
      </w:r>
      <w:r>
        <w:t>:</w:t>
      </w:r>
    </w:p>
    <w:p w:rsidR="00B34405" w:rsidP="00AD4964" w14:paraId="032AE2E8" w14:textId="5751C2D4">
      <w:pPr>
        <w:pStyle w:val="ListParagraph"/>
        <w:numPr>
          <w:ilvl w:val="0"/>
          <w:numId w:val="4"/>
        </w:numPr>
        <w:spacing w:after="206"/>
      </w:pPr>
      <w:r>
        <w:t xml:space="preserve">The purpose </w:t>
      </w:r>
      <w:r w:rsidR="002C41A5">
        <w:t xml:space="preserve">of </w:t>
      </w:r>
      <w:r>
        <w:t xml:space="preserve">and topics </w:t>
      </w:r>
      <w:r w:rsidR="002C41A5">
        <w:t xml:space="preserve">to be covered in </w:t>
      </w:r>
      <w:r>
        <w:t>the s</w:t>
      </w:r>
      <w:r w:rsidR="00AD4964">
        <w:t>urvey</w:t>
      </w:r>
      <w:r w:rsidR="003C787D">
        <w:t xml:space="preserve"> and site visits</w:t>
      </w:r>
      <w:r w:rsidR="00AD4964">
        <w:t xml:space="preserve">, </w:t>
      </w:r>
    </w:p>
    <w:p w:rsidR="00B34405" w:rsidP="00BF3273" w14:paraId="1F4FA1B8" w14:textId="157E5B66">
      <w:pPr>
        <w:pStyle w:val="ListParagraph"/>
        <w:numPr>
          <w:ilvl w:val="0"/>
          <w:numId w:val="4"/>
        </w:numPr>
        <w:spacing w:after="206"/>
      </w:pPr>
      <w:r>
        <w:t xml:space="preserve">A description of the expected respondents; </w:t>
      </w:r>
    </w:p>
    <w:p w:rsidR="00EB2759" w:rsidP="00BF3273" w14:paraId="4CFBD59B" w14:textId="77777777">
      <w:pPr>
        <w:pStyle w:val="ListParagraph"/>
        <w:numPr>
          <w:ilvl w:val="0"/>
          <w:numId w:val="4"/>
        </w:numPr>
        <w:spacing w:after="206"/>
      </w:pPr>
      <w:r>
        <w:t>Estimates of the burden and federal costs;</w:t>
      </w:r>
    </w:p>
    <w:p w:rsidR="00D63018" w:rsidP="00BF3273" w14:paraId="743E69E8" w14:textId="38170289">
      <w:pPr>
        <w:pStyle w:val="ListParagraph"/>
        <w:numPr>
          <w:ilvl w:val="0"/>
          <w:numId w:val="4"/>
        </w:numPr>
        <w:spacing w:after="206"/>
      </w:pPr>
      <w:r>
        <w:t xml:space="preserve">Data </w:t>
      </w:r>
      <w:r w:rsidR="00AD4964">
        <w:t>collection method</w:t>
      </w:r>
      <w:r>
        <w:t>s and the likely response rat</w:t>
      </w:r>
      <w:r w:rsidR="004C5706">
        <w:t>es (for surveys)</w:t>
      </w:r>
      <w:r>
        <w:t>;</w:t>
      </w:r>
      <w:r w:rsidR="00AD4964">
        <w:t xml:space="preserve"> </w:t>
      </w:r>
    </w:p>
    <w:p w:rsidR="002C41A5" w:rsidP="00BF3273" w14:paraId="1971D7E1" w14:textId="77777777">
      <w:pPr>
        <w:pStyle w:val="ListParagraph"/>
        <w:numPr>
          <w:ilvl w:val="0"/>
          <w:numId w:val="4"/>
        </w:numPr>
        <w:spacing w:after="206"/>
      </w:pPr>
      <w:r>
        <w:t>Privacy</w:t>
      </w:r>
      <w:r w:rsidR="00AD4964">
        <w:t xml:space="preserve"> </w:t>
      </w:r>
      <w:r>
        <w:t>protections for respondents;</w:t>
      </w:r>
    </w:p>
    <w:p w:rsidR="00AD4964" w:rsidP="00BF3273" w14:paraId="3F738A1C" w14:textId="4203E497">
      <w:pPr>
        <w:pStyle w:val="ListParagraph"/>
        <w:numPr>
          <w:ilvl w:val="0"/>
          <w:numId w:val="4"/>
        </w:numPr>
        <w:spacing w:after="206"/>
      </w:pPr>
      <w:r>
        <w:t xml:space="preserve">The intended use of the resulting </w:t>
      </w:r>
      <w:r w:rsidR="00C7038D">
        <w:t xml:space="preserve">information and </w:t>
      </w:r>
      <w:r>
        <w:t>data;</w:t>
      </w:r>
    </w:p>
    <w:p w:rsidR="00D63018" w:rsidRPr="002C41A5" w:rsidP="002C41A5" w14:paraId="4E8636ED" w14:textId="7994FA1F">
      <w:pPr>
        <w:pStyle w:val="ListParagraph"/>
        <w:numPr>
          <w:ilvl w:val="0"/>
          <w:numId w:val="4"/>
        </w:numPr>
        <w:spacing w:after="206"/>
      </w:pPr>
      <w:r w:rsidRPr="00AD4964">
        <w:rPr>
          <w:rFonts w:ascii="Symbol" w:hAnsi="Symbol"/>
        </w:rPr>
        <w:sym w:font="Symbol" w:char="F041"/>
      </w:r>
      <w:r w:rsidRPr="00AD4964">
        <w:rPr>
          <w:rFonts w:ascii="Symbol" w:hAnsi="Symbol"/>
        </w:rPr>
        <w:sym w:font="Symbol" w:char="F020"/>
      </w:r>
      <w:r>
        <w:t xml:space="preserve">description of the </w:t>
      </w:r>
      <w:r w:rsidR="00B46FFD">
        <w:t xml:space="preserve">universe, sampling, and </w:t>
      </w:r>
      <w:r>
        <w:t>s</w:t>
      </w:r>
      <w:r w:rsidR="00EB2759">
        <w:t>tatistical methodology</w:t>
      </w:r>
      <w:r w:rsidR="00B34BFE">
        <w:t>, i</w:t>
      </w:r>
      <w:r w:rsidR="00EB070D">
        <w:t>f any</w:t>
      </w:r>
      <w:r>
        <w:t xml:space="preserve">; and </w:t>
      </w:r>
    </w:p>
    <w:p w:rsidR="00D63018" w:rsidRPr="00D63018" w:rsidP="00D63018" w14:paraId="0DF60B60" w14:textId="561E0F25">
      <w:pPr>
        <w:pStyle w:val="ListParagraph"/>
        <w:numPr>
          <w:ilvl w:val="0"/>
          <w:numId w:val="4"/>
        </w:numPr>
        <w:spacing w:after="206"/>
        <w:rPr>
          <w:rFonts w:ascii="Symbol" w:hAnsi="Symbol"/>
        </w:rPr>
      </w:pPr>
      <w:r>
        <w:t>A</w:t>
      </w:r>
      <w:r w:rsidR="004C5706">
        <w:t xml:space="preserve"> list of </w:t>
      </w:r>
      <w:r>
        <w:t xml:space="preserve">surveys </w:t>
      </w:r>
      <w:r w:rsidR="00670FBC">
        <w:t xml:space="preserve">and site visit protocols </w:t>
      </w:r>
      <w:r>
        <w:t xml:space="preserve">approved under the </w:t>
      </w:r>
      <w:r w:rsidR="004C5706">
        <w:t xml:space="preserve">current parent ICR, under </w:t>
      </w:r>
      <w:r w:rsidR="00C7038D">
        <w:t xml:space="preserve">the </w:t>
      </w:r>
      <w:r>
        <w:t xml:space="preserve">OMB control number assigned to this </w:t>
      </w:r>
      <w:r w:rsidR="002C41A5">
        <w:t>ICR</w:t>
      </w:r>
      <w:r>
        <w:t xml:space="preserve">; </w:t>
      </w:r>
      <w:r w:rsidRPr="00D63018">
        <w:rPr>
          <w:rFonts w:ascii="Symbol" w:hAnsi="Symbol"/>
        </w:rPr>
        <w:sym w:font="Symbol" w:char="F020"/>
      </w:r>
    </w:p>
    <w:p w:rsidR="002C41A5" w:rsidP="00F05002" w14:paraId="331F1D38" w14:textId="77777777">
      <w:pPr>
        <w:spacing w:after="206"/>
        <w:ind w:left="1440" w:hanging="360"/>
        <w:rPr>
          <w:sz w:val="14"/>
          <w:szCs w:val="14"/>
        </w:rPr>
      </w:pPr>
      <w:r>
        <w:rPr>
          <w:rFonts w:ascii="Symbol" w:hAnsi="Symbol"/>
        </w:rPr>
        <w:sym w:font="Symbol" w:char="F0B7"/>
      </w:r>
      <w:r>
        <w:rPr>
          <w:sz w:val="14"/>
          <w:szCs w:val="14"/>
        </w:rPr>
        <w:t>      </w:t>
      </w:r>
      <w:r w:rsidRPr="00A94A3A" w:rsidR="00A94A3A">
        <w:t xml:space="preserve"> </w:t>
      </w:r>
      <w:r w:rsidR="00B34BFE">
        <w:t xml:space="preserve">A </w:t>
      </w:r>
      <w:r w:rsidRPr="00A94A3A">
        <w:t>signed</w:t>
      </w:r>
      <w:r w:rsidR="00B34BFE">
        <w:t xml:space="preserve"> clearance form from DOL’s </w:t>
      </w:r>
      <w:r>
        <w:t>C</w:t>
      </w:r>
      <w:r w:rsidR="00A7680F">
        <w:t xml:space="preserve">hief Evaluation Office </w:t>
      </w:r>
      <w:r w:rsidR="00B34BFE">
        <w:t>a</w:t>
      </w:r>
      <w:r>
        <w:t>pproving the statistical methodology</w:t>
      </w:r>
      <w:r w:rsidR="00197EF9">
        <w:t>, if any is proposed</w:t>
      </w:r>
      <w:r>
        <w:t>;</w:t>
      </w:r>
      <w:r w:rsidR="00197EF9">
        <w:t xml:space="preserve"> and</w:t>
      </w:r>
    </w:p>
    <w:p w:rsidR="00EB2759" w:rsidP="00F05002" w14:paraId="4BB0C1CA" w14:textId="2D317FA8">
      <w:pPr>
        <w:pStyle w:val="ListParagraph"/>
        <w:numPr>
          <w:ilvl w:val="0"/>
          <w:numId w:val="8"/>
        </w:numPr>
        <w:spacing w:after="206"/>
        <w:ind w:left="1440"/>
      </w:pPr>
      <w:r>
        <w:t>The survey instrument</w:t>
      </w:r>
      <w:r w:rsidR="003C787D">
        <w:t xml:space="preserve"> or site visit protocol</w:t>
      </w:r>
      <w:r w:rsidR="002C41A5">
        <w:t>,</w:t>
      </w:r>
      <w:r w:rsidR="008310DF">
        <w:t xml:space="preserve"> which will </w:t>
      </w:r>
      <w:r w:rsidR="002C41A5">
        <w:t>includ</w:t>
      </w:r>
      <w:r w:rsidR="008310DF">
        <w:t>e</w:t>
      </w:r>
      <w:r w:rsidR="002C41A5">
        <w:t xml:space="preserve"> </w:t>
      </w:r>
      <w:r w:rsidR="00197EF9">
        <w:t xml:space="preserve">assurances regarding privacy and </w:t>
      </w:r>
      <w:r w:rsidR="002C41A5">
        <w:t xml:space="preserve">instructions </w:t>
      </w:r>
      <w:r w:rsidR="00197EF9">
        <w:t>f</w:t>
      </w:r>
      <w:r w:rsidR="002C41A5">
        <w:t xml:space="preserve">or </w:t>
      </w:r>
      <w:r w:rsidR="00197EF9">
        <w:t>completing and submitting the responses.</w:t>
      </w:r>
    </w:p>
    <w:p w:rsidR="00EB2759" w:rsidP="00F05002" w14:paraId="5707310E" w14:textId="77777777">
      <w:pPr>
        <w:spacing w:after="206"/>
        <w:ind w:left="720"/>
      </w:pPr>
      <w:r>
        <w:t>(</w:t>
      </w:r>
      <w:r>
        <w:rPr>
          <w:color w:val="000000"/>
        </w:rPr>
        <w:t>2</w:t>
      </w:r>
      <w:r>
        <w:t xml:space="preserve">) OMB will </w:t>
      </w:r>
      <w:r w:rsidR="0048231E">
        <w:t xml:space="preserve">review the materials and submit any questions or comments to </w:t>
      </w:r>
      <w:r w:rsidR="008010E3">
        <w:t>ETA</w:t>
      </w:r>
      <w:r w:rsidR="0048231E">
        <w:t xml:space="preserve"> </w:t>
      </w:r>
      <w:r>
        <w:t xml:space="preserve">within </w:t>
      </w:r>
      <w:r>
        <w:rPr>
          <w:color w:val="000000"/>
        </w:rPr>
        <w:t>15</w:t>
      </w:r>
      <w:r>
        <w:t xml:space="preserve"> workin</w:t>
      </w:r>
      <w:r w:rsidR="0048231E">
        <w:t>g days of the submission to OMB</w:t>
      </w:r>
      <w:r w:rsidR="00985245">
        <w:t xml:space="preserve">; and </w:t>
      </w:r>
      <w:r>
        <w:t xml:space="preserve">  </w:t>
      </w:r>
    </w:p>
    <w:p w:rsidR="00CF4798" w:rsidP="00674418" w14:paraId="2755CB26" w14:textId="0D4E4ECA">
      <w:pPr>
        <w:spacing w:after="206"/>
        <w:ind w:left="720"/>
      </w:pPr>
      <w:r>
        <w:t>(</w:t>
      </w:r>
      <w:r>
        <w:rPr>
          <w:color w:val="000000"/>
        </w:rPr>
        <w:t>3</w:t>
      </w:r>
      <w:r>
        <w:t xml:space="preserve">) </w:t>
      </w:r>
      <w:r w:rsidR="0048231E">
        <w:t xml:space="preserve">OMB and </w:t>
      </w:r>
      <w:r w:rsidR="008010E3">
        <w:t>ETA</w:t>
      </w:r>
      <w:r w:rsidR="0048231E">
        <w:t xml:space="preserve"> will then work collaboratively to resolve any outstanding issues.</w:t>
      </w:r>
      <w:r>
        <w:t> </w:t>
      </w:r>
    </w:p>
    <w:p w:rsidR="009E7E73" w:rsidP="00CF4798" w14:paraId="1BFCACE9" w14:textId="23B8EA8F">
      <w:pPr>
        <w:spacing w:after="206"/>
      </w:pPr>
      <w:r w:rsidRPr="00F05002">
        <w:rPr>
          <w:b/>
          <w:iCs/>
        </w:rPr>
        <w:t>2.       Indicate how, by whom, and for what purpose the information is to be used.  Except for a new collection, indicate the actual use the agency has made of the information received from the current collection.</w:t>
      </w:r>
    </w:p>
    <w:p w:rsidR="00E50495" w:rsidP="009E7E73" w14:paraId="352D9326" w14:textId="2FA66143">
      <w:pPr>
        <w:spacing w:after="206"/>
      </w:pPr>
      <w:r>
        <w:t xml:space="preserve">This request </w:t>
      </w:r>
      <w:r w:rsidR="00016846">
        <w:t xml:space="preserve">of eight (8) to </w:t>
      </w:r>
      <w:r>
        <w:t xml:space="preserve">twenty (20) surveys or sets of site </w:t>
      </w:r>
      <w:r w:rsidR="00105D96">
        <w:t xml:space="preserve">visits over three years </w:t>
      </w:r>
      <w:r>
        <w:t>would</w:t>
      </w:r>
      <w:r w:rsidR="00105D96">
        <w:t xml:space="preserve"> involve collecting information at the state or local level</w:t>
      </w:r>
      <w:r w:rsidR="005D3473">
        <w:t>,</w:t>
      </w:r>
      <w:r w:rsidR="00105D96">
        <w:t xml:space="preserve"> or some combination of both, such as state or local workforce agencies or boards, state or local partner programs or services providers businesses, or other relevant entities.  </w:t>
      </w:r>
    </w:p>
    <w:p w:rsidR="007D7B25" w:rsidP="009E7E73" w14:paraId="5D7EDB0F" w14:textId="45559847">
      <w:pPr>
        <w:spacing w:after="206"/>
      </w:pPr>
      <w:r>
        <w:t>The surveys</w:t>
      </w:r>
      <w:r w:rsidR="003A6FB3">
        <w:t>, which</w:t>
      </w:r>
      <w:r>
        <w:t xml:space="preserve"> would </w:t>
      </w:r>
      <w:r w:rsidR="009E7E73">
        <w:t>be relatively short (10-30 questions</w:t>
      </w:r>
      <w:r w:rsidR="003A6FB3">
        <w:t>), would generally involve either a universe of state workforce agencies or boards, or representative samples of local boards and agencies</w:t>
      </w:r>
      <w:r w:rsidR="001A3E32">
        <w:t xml:space="preserve">.  The surveys would collect information from </w:t>
      </w:r>
      <w:r w:rsidR="003A6FB3">
        <w:t xml:space="preserve">staff in different roles </w:t>
      </w:r>
      <w:r w:rsidR="001A3E32">
        <w:t xml:space="preserve">at the state or local levels, and </w:t>
      </w:r>
      <w:r w:rsidR="003A6FB3">
        <w:t xml:space="preserve">in such agencies.  If feasible, there might also be surveys of service providers or businesses.  The </w:t>
      </w:r>
      <w:r w:rsidR="001A3E32">
        <w:t xml:space="preserve">resulting information from the </w:t>
      </w:r>
      <w:r w:rsidR="003A6FB3">
        <w:t xml:space="preserve">surveys would </w:t>
      </w:r>
      <w:r w:rsidR="009E7E73">
        <w:t>allow for</w:t>
      </w:r>
      <w:r w:rsidR="004F054E">
        <w:t xml:space="preserve"> statistical</w:t>
      </w:r>
      <w:r w:rsidR="009E7E73">
        <w:t xml:space="preserve"> analyses leading to generalizable findings</w:t>
      </w:r>
      <w:r w:rsidR="001A3E32">
        <w:t xml:space="preserve">, which in turn </w:t>
      </w:r>
      <w:r>
        <w:t xml:space="preserve">could be used in refining regulations, guidance, technical assistance, or </w:t>
      </w:r>
      <w:r w:rsidR="001A3E32">
        <w:t xml:space="preserve">grant </w:t>
      </w:r>
      <w:r>
        <w:t>program development</w:t>
      </w:r>
      <w:r w:rsidR="009E7E73">
        <w:t xml:space="preserve">. </w:t>
      </w:r>
    </w:p>
    <w:p w:rsidR="005D3473" w:rsidP="005D3473" w14:paraId="132C1D36" w14:textId="37F87F29">
      <w:pPr>
        <w:rPr>
          <w:u w:val="single"/>
        </w:rPr>
      </w:pPr>
      <w:bookmarkStart w:id="1" w:name="_Hlk130387971"/>
      <w:r>
        <w:t>Site visits, involving semi-structured discussions, focus groups, on-site observations, document reviews</w:t>
      </w:r>
      <w:r w:rsidR="00272252">
        <w:t>, and questionnaires</w:t>
      </w:r>
      <w:bookmarkEnd w:id="1"/>
      <w:r>
        <w:t>, would cover topics and questions that vary in focus and number, geared to different types of respondents (such as managers, front-line staff, employers, or participants).  The information collected from site visits</w:t>
      </w:r>
      <w:r w:rsidR="001A3E32">
        <w:t>, in contra</w:t>
      </w:r>
      <w:r w:rsidR="00E50495">
        <w:t>s</w:t>
      </w:r>
      <w:r w:rsidR="001A3E32">
        <w:t>t to th</w:t>
      </w:r>
      <w:r>
        <w:t xml:space="preserve">at from surveys, </w:t>
      </w:r>
      <w:r w:rsidR="003A6FB3">
        <w:t xml:space="preserve">would not lead to </w:t>
      </w:r>
      <w:r>
        <w:t>generalizable findings</w:t>
      </w:r>
      <w:r w:rsidR="003A6FB3">
        <w:t xml:space="preserve">, but rather </w:t>
      </w:r>
      <w:r w:rsidR="001A3E32">
        <w:t xml:space="preserve">would provide key details and nuances that could </w:t>
      </w:r>
      <w:r w:rsidR="00E50495">
        <w:t>a</w:t>
      </w:r>
      <w:r w:rsidR="001A3E32">
        <w:t>lso be used in refining regulations, guidance, technical assistance products, program development</w:t>
      </w:r>
      <w:r w:rsidR="00E50495">
        <w:t xml:space="preserve"> or even in survey instruments (should more broad-based information be needed).</w:t>
      </w:r>
      <w:r w:rsidR="001A3E32">
        <w:t xml:space="preserve">  </w:t>
      </w:r>
      <w:r w:rsidR="00E50495">
        <w:t xml:space="preserve">Some </w:t>
      </w:r>
      <w:r w:rsidR="001A3E32">
        <w:t xml:space="preserve">site visits could also be </w:t>
      </w:r>
      <w:r w:rsidR="00E50495">
        <w:t xml:space="preserve">designed to identify or </w:t>
      </w:r>
      <w:r w:rsidR="00032914">
        <w:t xml:space="preserve">collect information on </w:t>
      </w:r>
      <w:r>
        <w:t xml:space="preserve">promising or innovative approaches, </w:t>
      </w:r>
      <w:r w:rsidR="00E50495">
        <w:t>and,</w:t>
      </w:r>
      <w:r>
        <w:t xml:space="preserve"> in regard to short-term grants (typically of two years duration</w:t>
      </w:r>
      <w:r w:rsidR="00E50495">
        <w:t xml:space="preserve">) could be used to collect </w:t>
      </w:r>
      <w:r>
        <w:t xml:space="preserve">information while key grant personnel are still available.  </w:t>
      </w:r>
    </w:p>
    <w:p w:rsidR="001A3E32" w:rsidP="00EF2622" w14:paraId="557EBF44" w14:textId="77777777"/>
    <w:p w:rsidR="00042D70" w:rsidP="00EF2622" w14:paraId="13EE4281" w14:textId="18078E30">
      <w:pPr>
        <w:rPr>
          <w:bCs/>
        </w:rPr>
      </w:pPr>
      <w:r w:rsidRPr="00462A8B">
        <w:t>T</w:t>
      </w:r>
      <w:r w:rsidRPr="00462A8B" w:rsidR="00AF7C72">
        <w:t xml:space="preserve">he availability of </w:t>
      </w:r>
      <w:r w:rsidR="00F22975">
        <w:t xml:space="preserve">a </w:t>
      </w:r>
      <w:r w:rsidRPr="00462A8B" w:rsidR="00AF7C72">
        <w:t xml:space="preserve">quick turnaround </w:t>
      </w:r>
      <w:r w:rsidR="00670FBC">
        <w:t xml:space="preserve">review </w:t>
      </w:r>
      <w:r w:rsidR="00D13A37">
        <w:t>for</w:t>
      </w:r>
      <w:r w:rsidR="00AA0BA8">
        <w:t xml:space="preserve"> short</w:t>
      </w:r>
      <w:r w:rsidR="00D13A37">
        <w:t xml:space="preserve"> surveys </w:t>
      </w:r>
      <w:r w:rsidRPr="00462A8B" w:rsidR="0077210B">
        <w:t>has</w:t>
      </w:r>
      <w:r w:rsidR="005D3473">
        <w:t xml:space="preserve"> in the past</w:t>
      </w:r>
      <w:r w:rsidRPr="00462A8B" w:rsidR="0077210B">
        <w:t xml:space="preserve"> </w:t>
      </w:r>
      <w:r w:rsidR="00E84BAA">
        <w:t xml:space="preserve">proved to be a valuable method for </w:t>
      </w:r>
      <w:r w:rsidR="007760AF">
        <w:t xml:space="preserve">gathering information </w:t>
      </w:r>
      <w:r w:rsidR="00E50495">
        <w:t xml:space="preserve">for a variety </w:t>
      </w:r>
      <w:r w:rsidR="00E50495">
        <w:t>or</w:t>
      </w:r>
      <w:r w:rsidR="00E50495">
        <w:t xml:space="preserve"> programs and purposes, </w:t>
      </w:r>
      <w:r w:rsidR="00F22975">
        <w:t xml:space="preserve">as demonstrated in </w:t>
      </w:r>
      <w:r w:rsidR="00D86FA7">
        <w:t xml:space="preserve">topics </w:t>
      </w:r>
      <w:r w:rsidR="00F22975">
        <w:t xml:space="preserve">explored in </w:t>
      </w:r>
      <w:r w:rsidR="00D86FA7">
        <w:t xml:space="preserve">surveys </w:t>
      </w:r>
      <w:r w:rsidR="00E84BAA">
        <w:rPr>
          <w:bCs/>
        </w:rPr>
        <w:t>conducted under th</w:t>
      </w:r>
      <w:r w:rsidR="00952378">
        <w:rPr>
          <w:bCs/>
        </w:rPr>
        <w:t>e</w:t>
      </w:r>
      <w:r w:rsidR="00E84BAA">
        <w:rPr>
          <w:bCs/>
        </w:rPr>
        <w:t xml:space="preserve"> </w:t>
      </w:r>
      <w:r w:rsidR="00952378">
        <w:rPr>
          <w:bCs/>
        </w:rPr>
        <w:t xml:space="preserve">current </w:t>
      </w:r>
      <w:r w:rsidRPr="00504441">
        <w:rPr>
          <w:bCs/>
        </w:rPr>
        <w:t>generic clearance</w:t>
      </w:r>
      <w:r w:rsidR="00A149A4">
        <w:rPr>
          <w:bCs/>
        </w:rPr>
        <w:t xml:space="preserve">:  </w:t>
      </w:r>
    </w:p>
    <w:p w:rsidR="00A7680F" w:rsidP="00EF2622" w14:paraId="367A0E41" w14:textId="77777777">
      <w:pPr>
        <w:rPr>
          <w:bCs/>
        </w:rPr>
      </w:pPr>
    </w:p>
    <w:p w:rsidR="00E84BAA" w:rsidRPr="00851D20" w:rsidP="00F05002" w14:paraId="0381A0B8" w14:textId="494571D6">
      <w:pPr>
        <w:pStyle w:val="ListParagraph"/>
        <w:numPr>
          <w:ilvl w:val="0"/>
          <w:numId w:val="10"/>
        </w:numPr>
        <w:ind w:left="1080"/>
        <w:rPr>
          <w:bCs/>
        </w:rPr>
      </w:pPr>
      <w:r w:rsidRPr="00851D20">
        <w:rPr>
          <w:bCs/>
        </w:rPr>
        <w:t xml:space="preserve">Views of state </w:t>
      </w:r>
      <w:r w:rsidRPr="00851D20" w:rsidR="0099507E">
        <w:rPr>
          <w:bCs/>
        </w:rPr>
        <w:t xml:space="preserve">Unemployment Insurance </w:t>
      </w:r>
      <w:r w:rsidR="00E47AB9">
        <w:rPr>
          <w:bCs/>
        </w:rPr>
        <w:t xml:space="preserve">(UI) </w:t>
      </w:r>
      <w:r w:rsidRPr="00851D20">
        <w:rPr>
          <w:bCs/>
        </w:rPr>
        <w:t xml:space="preserve">agencies regarding an ETA website providing critical reference information, </w:t>
      </w:r>
    </w:p>
    <w:p w:rsidR="0090019C" w:rsidRPr="00851D20" w:rsidP="00F05002" w14:paraId="529D04A5" w14:textId="77777777">
      <w:pPr>
        <w:pStyle w:val="ListParagraph"/>
        <w:numPr>
          <w:ilvl w:val="0"/>
          <w:numId w:val="10"/>
        </w:numPr>
        <w:ind w:left="1080"/>
        <w:rPr>
          <w:bCs/>
        </w:rPr>
      </w:pPr>
      <w:r w:rsidRPr="00851D20">
        <w:rPr>
          <w:bCs/>
        </w:rPr>
        <w:t>Employer awareness of Registered Apprenticeship,</w:t>
      </w:r>
    </w:p>
    <w:p w:rsidR="00893B39" w14:paraId="0213D6D5" w14:textId="082CEA33">
      <w:pPr>
        <w:pStyle w:val="ListParagraph"/>
        <w:numPr>
          <w:ilvl w:val="0"/>
          <w:numId w:val="10"/>
        </w:numPr>
        <w:ind w:left="1080"/>
        <w:rPr>
          <w:bCs/>
        </w:rPr>
      </w:pPr>
      <w:r w:rsidRPr="00851D20">
        <w:rPr>
          <w:bCs/>
        </w:rPr>
        <w:t xml:space="preserve">Community </w:t>
      </w:r>
      <w:r w:rsidRPr="00851D20" w:rsidR="0090019C">
        <w:rPr>
          <w:bCs/>
        </w:rPr>
        <w:t>c</w:t>
      </w:r>
      <w:r w:rsidRPr="00851D20">
        <w:rPr>
          <w:bCs/>
        </w:rPr>
        <w:t xml:space="preserve">ollege </w:t>
      </w:r>
      <w:r w:rsidRPr="00851D20" w:rsidR="0090019C">
        <w:rPr>
          <w:bCs/>
        </w:rPr>
        <w:t>e</w:t>
      </w:r>
      <w:r w:rsidRPr="00851D20">
        <w:rPr>
          <w:bCs/>
        </w:rPr>
        <w:t xml:space="preserve">ngagement in Registered Apprenticeship programs, </w:t>
      </w:r>
    </w:p>
    <w:p w:rsidR="0099507E" w:rsidRPr="00851D20" w:rsidP="00F05002" w14:paraId="3ED6FEA7" w14:textId="4583F190">
      <w:pPr>
        <w:pStyle w:val="ListParagraph"/>
        <w:numPr>
          <w:ilvl w:val="0"/>
          <w:numId w:val="10"/>
        </w:numPr>
        <w:ind w:left="1080"/>
        <w:rPr>
          <w:bCs/>
        </w:rPr>
      </w:pPr>
      <w:r w:rsidRPr="00F05002">
        <w:rPr>
          <w:bCs/>
        </w:rPr>
        <w:t xml:space="preserve">Technical and </w:t>
      </w:r>
      <w:r>
        <w:rPr>
          <w:bCs/>
        </w:rPr>
        <w:t>pr</w:t>
      </w:r>
      <w:r w:rsidRPr="00F05002">
        <w:rPr>
          <w:bCs/>
        </w:rPr>
        <w:t xml:space="preserve">ogrammatic </w:t>
      </w:r>
      <w:r>
        <w:rPr>
          <w:bCs/>
        </w:rPr>
        <w:t xml:space="preserve">features of </w:t>
      </w:r>
      <w:r w:rsidRPr="00F05002">
        <w:rPr>
          <w:bCs/>
        </w:rPr>
        <w:t xml:space="preserve">UI </w:t>
      </w:r>
      <w:r w:rsidRPr="00893B39">
        <w:rPr>
          <w:bCs/>
        </w:rPr>
        <w:t>Systems</w:t>
      </w:r>
      <w:r>
        <w:rPr>
          <w:bCs/>
        </w:rPr>
        <w:t>,</w:t>
      </w:r>
      <w:r>
        <w:rPr>
          <w:b/>
        </w:rPr>
        <w:t xml:space="preserve"> </w:t>
      </w:r>
      <w:r w:rsidRPr="00F05002">
        <w:rPr>
          <w:bCs/>
        </w:rPr>
        <w:t>and</w:t>
      </w:r>
    </w:p>
    <w:p w:rsidR="00ED1C8F" w:rsidRPr="00ED1C8F" w:rsidP="00F05002" w14:paraId="467E0F8A" w14:textId="14094125">
      <w:pPr>
        <w:pStyle w:val="ListParagraph"/>
        <w:numPr>
          <w:ilvl w:val="0"/>
          <w:numId w:val="10"/>
        </w:numPr>
        <w:ind w:left="1080"/>
      </w:pPr>
      <w:r w:rsidRPr="00851D20">
        <w:rPr>
          <w:bCs/>
        </w:rPr>
        <w:t>Participant view</w:t>
      </w:r>
      <w:r w:rsidRPr="00851D20" w:rsidR="0090019C">
        <w:rPr>
          <w:bCs/>
        </w:rPr>
        <w:t>s</w:t>
      </w:r>
      <w:r w:rsidRPr="00851D20">
        <w:rPr>
          <w:bCs/>
        </w:rPr>
        <w:t xml:space="preserve"> of evaluation technical assistance provided by ETA to state</w:t>
      </w:r>
      <w:r w:rsidR="00893B39">
        <w:rPr>
          <w:bCs/>
        </w:rPr>
        <w:t xml:space="preserve"> team</w:t>
      </w:r>
      <w:r w:rsidRPr="00851D20">
        <w:rPr>
          <w:bCs/>
        </w:rPr>
        <w:t>s</w:t>
      </w:r>
      <w:r w:rsidR="00A7680F">
        <w:t>.</w:t>
      </w:r>
    </w:p>
    <w:p w:rsidR="0090019C" w:rsidP="00F05002" w14:paraId="029FAF8A" w14:textId="77777777">
      <w:pPr>
        <w:ind w:left="720"/>
      </w:pPr>
    </w:p>
    <w:p w:rsidR="00A54FA6" w:rsidP="00C97FD5" w14:paraId="01326195" w14:textId="550427C2">
      <w:r>
        <w:t>The</w:t>
      </w:r>
      <w:r w:rsidR="00D86FA7">
        <w:t xml:space="preserve">se surveys have been useful in </w:t>
      </w:r>
      <w:r w:rsidR="007760AF">
        <w:t>planning for various policy initiatives and for more extensive data collections, and r</w:t>
      </w:r>
      <w:r w:rsidR="00952378">
        <w:t>efinements in guidance and technical assistance to States and local areas</w:t>
      </w:r>
      <w:r w:rsidR="007760AF">
        <w:t xml:space="preserve">.  </w:t>
      </w:r>
      <w:r w:rsidR="007760AF">
        <w:t xml:space="preserve">These continuing needs </w:t>
      </w:r>
      <w:r w:rsidR="00952378">
        <w:t xml:space="preserve">warrant the </w:t>
      </w:r>
      <w:r w:rsidR="007760AF">
        <w:t xml:space="preserve">continued possibility of </w:t>
      </w:r>
      <w:r w:rsidRPr="00267217">
        <w:t>rapid</w:t>
      </w:r>
      <w:r w:rsidR="007760AF">
        <w:t>ly obtaining</w:t>
      </w:r>
      <w:r w:rsidRPr="00267217">
        <w:t xml:space="preserve"> information </w:t>
      </w:r>
      <w:r w:rsidR="007760AF">
        <w:t xml:space="preserve">through </w:t>
      </w:r>
      <w:r w:rsidRPr="00267217">
        <w:t>surveys</w:t>
      </w:r>
      <w:r w:rsidR="00917865">
        <w:t>.</w:t>
      </w:r>
      <w:r w:rsidR="00293B87">
        <w:t xml:space="preserve"> </w:t>
      </w:r>
    </w:p>
    <w:p w:rsidR="00CF4798" w:rsidP="00C97FD5" w14:paraId="1B7633B7" w14:textId="00518364"/>
    <w:p w:rsidR="005C063C" w:rsidP="008310DF" w14:paraId="14EB3DC9" w14:textId="3CCD84F6">
      <w:r w:rsidRPr="00F05002">
        <w:rPr>
          <w:b/>
          <w:iCs/>
        </w:rPr>
        <w:t>3.       Describe whether, and to what extent, the collection of information involves</w:t>
      </w:r>
      <w:r w:rsidRPr="00F05002" w:rsidR="003521C5">
        <w:rPr>
          <w:b/>
          <w:iCs/>
        </w:rPr>
        <w:t> use</w:t>
      </w:r>
      <w:r w:rsidRPr="00F05002">
        <w:rPr>
          <w:b/>
          <w:iCs/>
        </w:rPr>
        <w:t xml:space="preserv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5C063C" w:rsidP="008310DF" w14:paraId="0AC1AF77" w14:textId="77777777"/>
    <w:p w:rsidR="005C063C" w:rsidP="008310DF" w14:paraId="4254382F" w14:textId="701E04A7">
      <w:r>
        <w:t xml:space="preserve">Consistent with the quick-turnaround basis underlying this </w:t>
      </w:r>
      <w:r w:rsidR="007760AF">
        <w:t>information c</w:t>
      </w:r>
      <w:r>
        <w:t>ollection</w:t>
      </w:r>
      <w:r w:rsidR="007760AF">
        <w:t xml:space="preserve"> request</w:t>
      </w:r>
      <w:r>
        <w:t xml:space="preserve">, surveys will be administered </w:t>
      </w:r>
      <w:r w:rsidR="00C62D59">
        <w:t xml:space="preserve">primarily through </w:t>
      </w:r>
      <w:r>
        <w:t>the Internet</w:t>
      </w:r>
      <w:r w:rsidR="007760AF">
        <w:t xml:space="preserve">, with back-up use of </w:t>
      </w:r>
      <w:r w:rsidR="007F3A5D">
        <w:t xml:space="preserve">email, </w:t>
      </w:r>
      <w:r w:rsidR="007760AF">
        <w:t xml:space="preserve">the </w:t>
      </w:r>
      <w:r>
        <w:t>telephone</w:t>
      </w:r>
      <w:r w:rsidR="007F3A5D">
        <w:t>,</w:t>
      </w:r>
      <w:r w:rsidR="007760AF">
        <w:t xml:space="preserve"> </w:t>
      </w:r>
      <w:r w:rsidR="00C62D59">
        <w:t xml:space="preserve">and mail </w:t>
      </w:r>
      <w:r w:rsidR="007760AF">
        <w:t>for increasing response rates</w:t>
      </w:r>
      <w:r w:rsidR="00C62D59">
        <w:t xml:space="preserve"> </w:t>
      </w:r>
      <w:r w:rsidR="00052E67">
        <w:t>to</w:t>
      </w:r>
      <w:r w:rsidR="007760AF">
        <w:t xml:space="preserve"> r</w:t>
      </w:r>
      <w:r>
        <w:t>educ</w:t>
      </w:r>
      <w:r w:rsidR="007760AF">
        <w:t>e</w:t>
      </w:r>
      <w:r>
        <w:t xml:space="preserve"> respondent burden and increas</w:t>
      </w:r>
      <w:r w:rsidR="007F3A5D">
        <w:t xml:space="preserve">e </w:t>
      </w:r>
      <w:r w:rsidR="00CA154C">
        <w:t>t</w:t>
      </w:r>
      <w:r>
        <w:t>he efficiency of dat</w:t>
      </w:r>
      <w:r w:rsidR="004A3667">
        <w:t>a collection and processing.  </w:t>
      </w:r>
    </w:p>
    <w:p w:rsidR="005C063C" w:rsidP="008310DF" w14:paraId="5487F943" w14:textId="77777777"/>
    <w:p w:rsidR="002717E3" w:rsidP="008310DF" w14:paraId="04128535" w14:textId="2830004B">
      <w:pPr>
        <w:rPr>
          <w:color w:val="000000"/>
        </w:rPr>
      </w:pPr>
      <w:r>
        <w:t>Collection of information via site visits</w:t>
      </w:r>
      <w:r w:rsidR="00B01C2C">
        <w:t xml:space="preserve"> will be conducted either in person or virtually</w:t>
      </w:r>
      <w:r w:rsidR="00E64582">
        <w:t xml:space="preserve"> (</w:t>
      </w:r>
      <w:r w:rsidR="007F3A5D">
        <w:t>through computer-based meetings or phone contacts</w:t>
      </w:r>
      <w:r w:rsidR="00E64582">
        <w:t>)</w:t>
      </w:r>
      <w:r w:rsidR="007F3A5D">
        <w:t xml:space="preserve"> </w:t>
      </w:r>
      <w:r w:rsidR="004B1513">
        <w:t xml:space="preserve">tempered by considerations as to the </w:t>
      </w:r>
      <w:r w:rsidR="00B01C2C">
        <w:t xml:space="preserve">quality of information that can be obtained </w:t>
      </w:r>
      <w:r w:rsidR="004B1513">
        <w:t xml:space="preserve">using </w:t>
      </w:r>
      <w:r>
        <w:t xml:space="preserve">technological </w:t>
      </w:r>
      <w:r w:rsidR="00B01C2C">
        <w:t>approaches</w:t>
      </w:r>
      <w:r>
        <w:t xml:space="preserve"> and by any health or safety </w:t>
      </w:r>
      <w:r w:rsidR="00E64582">
        <w:t>concerns</w:t>
      </w:r>
      <w:r w:rsidR="00B01C2C">
        <w:t>.</w:t>
      </w:r>
      <w:r w:rsidR="00CA154C">
        <w:t xml:space="preserve">  </w:t>
      </w:r>
      <w:r w:rsidR="0034205F">
        <w:t>D</w:t>
      </w:r>
      <w:r w:rsidRPr="00F05002" w:rsidR="00CA154C">
        <w:rPr>
          <w:color w:val="000000"/>
        </w:rPr>
        <w:t xml:space="preserve">ifferent modes for </w:t>
      </w:r>
      <w:r w:rsidR="004B1513">
        <w:rPr>
          <w:color w:val="000000"/>
        </w:rPr>
        <w:t xml:space="preserve">recording </w:t>
      </w:r>
      <w:r w:rsidR="0034205F">
        <w:rPr>
          <w:color w:val="000000"/>
        </w:rPr>
        <w:t xml:space="preserve">responses and </w:t>
      </w:r>
      <w:r w:rsidR="00E64582">
        <w:rPr>
          <w:color w:val="000000"/>
        </w:rPr>
        <w:t xml:space="preserve">other </w:t>
      </w:r>
      <w:r w:rsidR="0034205F">
        <w:rPr>
          <w:color w:val="000000"/>
        </w:rPr>
        <w:t>information</w:t>
      </w:r>
      <w:r w:rsidRPr="00F05002" w:rsidR="00CA154C">
        <w:rPr>
          <w:color w:val="000000"/>
        </w:rPr>
        <w:t xml:space="preserve">, such as </w:t>
      </w:r>
      <w:r>
        <w:rPr>
          <w:color w:val="000000"/>
        </w:rPr>
        <w:t xml:space="preserve">audio or video </w:t>
      </w:r>
      <w:r w:rsidRPr="00F05002" w:rsidR="00CA154C">
        <w:rPr>
          <w:color w:val="000000"/>
        </w:rPr>
        <w:t>recording</w:t>
      </w:r>
      <w:r w:rsidR="004B1513">
        <w:rPr>
          <w:color w:val="000000"/>
        </w:rPr>
        <w:t xml:space="preserve"> </w:t>
      </w:r>
      <w:r>
        <w:rPr>
          <w:color w:val="000000"/>
        </w:rPr>
        <w:t xml:space="preserve">of interviews, whether virtually or in-person, as well as use of </w:t>
      </w:r>
      <w:r w:rsidR="00C42774">
        <w:rPr>
          <w:color w:val="000000"/>
        </w:rPr>
        <w:t>notetaking</w:t>
      </w:r>
      <w:r>
        <w:rPr>
          <w:color w:val="000000"/>
        </w:rPr>
        <w:t xml:space="preserve"> on pre-inputted question lists (on a table or </w:t>
      </w:r>
      <w:r w:rsidRPr="00936E7E">
        <w:rPr>
          <w:color w:val="000000"/>
        </w:rPr>
        <w:t>laptop computer</w:t>
      </w:r>
      <w:r>
        <w:rPr>
          <w:color w:val="000000"/>
        </w:rPr>
        <w:t>),</w:t>
      </w:r>
      <w:r w:rsidR="0034205F">
        <w:rPr>
          <w:color w:val="000000"/>
        </w:rPr>
        <w:t xml:space="preserve"> will be used in order to order to reduce burden</w:t>
      </w:r>
      <w:r w:rsidR="00C42774">
        <w:rPr>
          <w:color w:val="000000"/>
        </w:rPr>
        <w:t xml:space="preserve">, increase </w:t>
      </w:r>
      <w:r w:rsidR="0034205F">
        <w:rPr>
          <w:color w:val="000000"/>
        </w:rPr>
        <w:t>accuracy</w:t>
      </w:r>
      <w:r w:rsidR="00C42774">
        <w:rPr>
          <w:color w:val="000000"/>
        </w:rPr>
        <w:t>,</w:t>
      </w:r>
      <w:r>
        <w:rPr>
          <w:color w:val="000000"/>
        </w:rPr>
        <w:t xml:space="preserve"> and improve efficiency</w:t>
      </w:r>
      <w:r w:rsidRPr="00F05002" w:rsidR="00CA154C">
        <w:rPr>
          <w:color w:val="000000"/>
        </w:rPr>
        <w:t xml:space="preserve">.  </w:t>
      </w:r>
    </w:p>
    <w:p w:rsidR="008310DF" w:rsidP="00F05002" w14:paraId="24A25307" w14:textId="77777777">
      <w:pPr>
        <w:rPr>
          <w:color w:val="000000"/>
        </w:rPr>
      </w:pPr>
    </w:p>
    <w:p w:rsidR="00CA154C" w:rsidRPr="00CA154C" w:rsidP="00CA154C" w14:paraId="7604B333" w14:textId="4CB9843A">
      <w:pPr>
        <w:spacing w:after="412"/>
        <w:rPr>
          <w:u w:val="single"/>
        </w:rPr>
      </w:pPr>
      <w:r>
        <w:rPr>
          <w:color w:val="000000"/>
        </w:rPr>
        <w:t>E</w:t>
      </w:r>
      <w:r w:rsidRPr="00F05002">
        <w:rPr>
          <w:color w:val="000000"/>
        </w:rPr>
        <w:t xml:space="preserve">ach </w:t>
      </w:r>
      <w:r w:rsidR="00052E67">
        <w:rPr>
          <w:color w:val="000000"/>
        </w:rPr>
        <w:t xml:space="preserve">individual </w:t>
      </w:r>
      <w:r w:rsidRPr="00F05002">
        <w:rPr>
          <w:color w:val="000000"/>
        </w:rPr>
        <w:t xml:space="preserve">submission </w:t>
      </w:r>
      <w:r w:rsidR="00052E67">
        <w:rPr>
          <w:color w:val="000000"/>
        </w:rPr>
        <w:t>for rapid review under this ICR w</w:t>
      </w:r>
      <w:r w:rsidRPr="00F05002">
        <w:rPr>
          <w:color w:val="000000"/>
        </w:rPr>
        <w:t xml:space="preserve">ill contain a description of </w:t>
      </w:r>
      <w:r w:rsidR="00052E67">
        <w:rPr>
          <w:color w:val="000000"/>
        </w:rPr>
        <w:t>the</w:t>
      </w:r>
      <w:r w:rsidR="00C42774">
        <w:rPr>
          <w:color w:val="000000"/>
        </w:rPr>
        <w:t xml:space="preserve"> </w:t>
      </w:r>
      <w:r w:rsidRPr="00F05002">
        <w:rPr>
          <w:color w:val="000000"/>
        </w:rPr>
        <w:t xml:space="preserve">data collection </w:t>
      </w:r>
      <w:r w:rsidR="00C42774">
        <w:rPr>
          <w:color w:val="000000"/>
        </w:rPr>
        <w:t xml:space="preserve">methods, including </w:t>
      </w:r>
      <w:r w:rsidRPr="00F05002">
        <w:rPr>
          <w:color w:val="000000"/>
        </w:rPr>
        <w:t>use of automated, electronic, mechanical, or other electronic collection techniques, used to reduce burden on respondents</w:t>
      </w:r>
      <w:r w:rsidR="00052E67">
        <w:rPr>
          <w:color w:val="000000"/>
        </w:rPr>
        <w:t xml:space="preserve"> or increase efficiency</w:t>
      </w:r>
      <w:r w:rsidRPr="00F05002">
        <w:rPr>
          <w:color w:val="000000"/>
        </w:rPr>
        <w:t>.</w:t>
      </w:r>
      <w:r w:rsidRPr="00CA154C">
        <w:rPr>
          <w:u w:val="single"/>
        </w:rPr>
        <w:t xml:space="preserve">                                </w:t>
      </w:r>
    </w:p>
    <w:p w:rsidR="00EB2759" w:rsidRPr="00F05002" w:rsidP="00F05002" w14:paraId="0BF7C8E3" w14:textId="77777777">
      <w:pPr>
        <w:rPr>
          <w:b/>
          <w:iCs/>
        </w:rPr>
      </w:pPr>
      <w:r w:rsidRPr="00F05002">
        <w:rPr>
          <w:b/>
          <w:iCs/>
        </w:rPr>
        <w:t>4.       Describe efforts to identify duplication.  Show specifically why any similar information already available cannot be used or modified for use for the purposes described in item 2 above.</w:t>
      </w:r>
    </w:p>
    <w:p w:rsidR="00935564" w:rsidP="00F05002" w14:paraId="0BB92C54" w14:textId="77777777"/>
    <w:p w:rsidR="00EB2759" w:rsidP="00732999" w14:paraId="7913F4DD" w14:textId="48D88314">
      <w:r>
        <w:t xml:space="preserve">The proposed </w:t>
      </w:r>
      <w:r w:rsidR="005653FA">
        <w:t>“</w:t>
      </w:r>
      <w:r>
        <w:t>quick turnaround</w:t>
      </w:r>
      <w:r w:rsidR="005653FA">
        <w:t>”</w:t>
      </w:r>
      <w:r>
        <w:t xml:space="preserve"> surveys </w:t>
      </w:r>
      <w:r w:rsidR="005653FA">
        <w:t xml:space="preserve">and site visits </w:t>
      </w:r>
      <w:r w:rsidR="00732999">
        <w:t xml:space="preserve">are intended to </w:t>
      </w:r>
      <w:r>
        <w:t>provide information that responds to specific issues that arise and will supplement and complement</w:t>
      </w:r>
      <w:r w:rsidR="00732999">
        <w:t>,</w:t>
      </w:r>
      <w:r>
        <w:t xml:space="preserve"> but not duplicate</w:t>
      </w:r>
      <w:r w:rsidR="00732999">
        <w:t>,</w:t>
      </w:r>
      <w:r>
        <w:t xml:space="preserve"> other </w:t>
      </w:r>
      <w:r w:rsidR="00732999">
        <w:t xml:space="preserve">DOL information sources, such as administrative data from programs, </w:t>
      </w:r>
      <w:r w:rsidR="00A34272">
        <w:t xml:space="preserve">grantees’ </w:t>
      </w:r>
      <w:r w:rsidR="00732999">
        <w:t>progress reports, monitoring reports by federal project offices, informal feedback provided to ETA’s regional offices by State agencies, and</w:t>
      </w:r>
      <w:r w:rsidR="008A64AD">
        <w:t xml:space="preserve"> </w:t>
      </w:r>
      <w:r w:rsidR="00732999">
        <w:t>research and evaluation projects</w:t>
      </w:r>
      <w:r w:rsidR="00A34272">
        <w:t xml:space="preserve">.  </w:t>
      </w:r>
      <w:r w:rsidR="00732999">
        <w:t xml:space="preserve">ETA will make every effort to coordinate the development of future quick-turnaround surveys and site visits with other offices within DOL </w:t>
      </w:r>
      <w:r w:rsidR="00F75061">
        <w:t>in order</w:t>
      </w:r>
      <w:r w:rsidR="00A34272">
        <w:t xml:space="preserve"> to avoid any possible duplication</w:t>
      </w:r>
      <w:r w:rsidR="00732999">
        <w:t xml:space="preserve">.  </w:t>
      </w:r>
    </w:p>
    <w:p w:rsidR="00855406" w:rsidP="00855406" w14:paraId="0DA5B348" w14:textId="77777777"/>
    <w:p w:rsidR="00EB2759" w:rsidRPr="00F05002" w14:paraId="28DB8156" w14:textId="77777777">
      <w:pPr>
        <w:spacing w:after="206"/>
        <w:rPr>
          <w:b/>
          <w:iCs/>
        </w:rPr>
      </w:pPr>
      <w:r w:rsidRPr="00F05002">
        <w:rPr>
          <w:b/>
          <w:iCs/>
        </w:rPr>
        <w:t xml:space="preserve">5.       If the collection of information </w:t>
      </w:r>
      <w:r w:rsidRPr="00F05002" w:rsidR="00C8258F">
        <w:rPr>
          <w:b/>
          <w:iCs/>
        </w:rPr>
        <w:t>impacts small businesses or other small entities, describe any methods used to minimize burden.</w:t>
      </w:r>
    </w:p>
    <w:p w:rsidR="00523B70" w:rsidP="00523B70" w14:paraId="2854A851" w14:textId="21439FAB">
      <w:pPr>
        <w:spacing w:after="412"/>
        <w:rPr>
          <w:bCs/>
          <w:i/>
        </w:rPr>
      </w:pPr>
      <w:r>
        <w:t xml:space="preserve">The collection of information </w:t>
      </w:r>
      <w:r w:rsidR="002B465E">
        <w:t>via surveys or site visit</w:t>
      </w:r>
      <w:r w:rsidR="008A64AD">
        <w:t xml:space="preserve">s </w:t>
      </w:r>
      <w:r w:rsidR="002B465E">
        <w:t xml:space="preserve">might concern </w:t>
      </w:r>
      <w:r>
        <w:t>small businesses or other small entities</w:t>
      </w:r>
      <w:r w:rsidR="002B465E">
        <w:t xml:space="preserve">, </w:t>
      </w:r>
      <w:r w:rsidR="008A64AD">
        <w:t xml:space="preserve">particularly </w:t>
      </w:r>
      <w:r w:rsidR="00A34272">
        <w:t>in regard to outreach or services and</w:t>
      </w:r>
      <w:r w:rsidR="008A64AD">
        <w:t xml:space="preserve"> </w:t>
      </w:r>
      <w:r w:rsidR="00A34272">
        <w:t xml:space="preserve">perceptions as to quality or effectiveness. </w:t>
      </w:r>
      <w:r w:rsidR="0034205F">
        <w:t xml:space="preserve">However, </w:t>
      </w:r>
      <w:r w:rsidR="002B465E">
        <w:t xml:space="preserve">ETA will minimize burden </w:t>
      </w:r>
      <w:r>
        <w:t>under a</w:t>
      </w:r>
      <w:r w:rsidR="002B465E">
        <w:t xml:space="preserve">ny </w:t>
      </w:r>
      <w:r w:rsidR="00BA62C5">
        <w:t xml:space="preserve">future </w:t>
      </w:r>
      <w:r w:rsidR="002B465E">
        <w:t>information collection</w:t>
      </w:r>
      <w:r w:rsidR="00BA62C5">
        <w:t>s</w:t>
      </w:r>
      <w:r w:rsidR="002B465E">
        <w:t xml:space="preserve"> approved </w:t>
      </w:r>
      <w:r w:rsidR="00BA62C5">
        <w:t xml:space="preserve">under </w:t>
      </w:r>
      <w:r w:rsidR="002B465E">
        <w:t>this</w:t>
      </w:r>
      <w:r w:rsidR="00BA62C5">
        <w:t xml:space="preserve"> request </w:t>
      </w:r>
      <w:r w:rsidR="0034205F">
        <w:t xml:space="preserve">through </w:t>
      </w:r>
      <w:r>
        <w:t xml:space="preserve">multiple </w:t>
      </w:r>
      <w:r w:rsidR="0034205F">
        <w:t xml:space="preserve">means.  </w:t>
      </w:r>
      <w:r>
        <w:t xml:space="preserve">These </w:t>
      </w:r>
      <w:r w:rsidR="00BA62C5">
        <w:t xml:space="preserve">will </w:t>
      </w:r>
      <w:r>
        <w:t xml:space="preserve">include use of electronic </w:t>
      </w:r>
      <w:r w:rsidR="0034205F">
        <w:t xml:space="preserve">methods </w:t>
      </w:r>
      <w:r>
        <w:t xml:space="preserve">where possible (such as via online surveys or by virtual meetings via various online </w:t>
      </w:r>
      <w:r>
        <w:t>platforms)</w:t>
      </w:r>
      <w:r w:rsidR="0034205F">
        <w:t xml:space="preserve"> and limiting the number of questions</w:t>
      </w:r>
      <w:r w:rsidR="002B465E">
        <w:t xml:space="preserve">, assuring they </w:t>
      </w:r>
      <w:r>
        <w:t xml:space="preserve">concern only readily available information, and </w:t>
      </w:r>
      <w:r w:rsidR="002B465E">
        <w:t xml:space="preserve">are </w:t>
      </w:r>
      <w:r>
        <w:t>easily understandable and clear</w:t>
      </w:r>
      <w:r w:rsidR="002B465E">
        <w:t xml:space="preserve">. </w:t>
      </w:r>
    </w:p>
    <w:p w:rsidR="00EB2759" w:rsidP="008310DF" w14:paraId="25DF16E2" w14:textId="73AE1FE6">
      <w:pPr>
        <w:rPr>
          <w:bCs/>
          <w:i/>
        </w:rPr>
      </w:pPr>
      <w:r w:rsidRPr="00F05002">
        <w:rPr>
          <w:b/>
          <w:iCs/>
        </w:rPr>
        <w:t>6.      Describe the consequences to Federal program or policy activities if the collection is not conducted or is conducted less frequently, as well as any technical or legal obstacles in reducing burden</w:t>
      </w:r>
      <w:r w:rsidRPr="00C8258F">
        <w:rPr>
          <w:bCs/>
          <w:i/>
        </w:rPr>
        <w:t>.</w:t>
      </w:r>
    </w:p>
    <w:p w:rsidR="008310DF" w:rsidRPr="004A3667" w:rsidP="00F05002" w14:paraId="7A0AC146" w14:textId="77777777">
      <w:pPr>
        <w:rPr>
          <w:i/>
        </w:rPr>
      </w:pPr>
    </w:p>
    <w:p w:rsidR="00BA62C5" w:rsidP="00BA62C5" w14:paraId="2DD4A7E4" w14:textId="44E77FEA">
      <w:r>
        <w:t xml:space="preserve">Without the information it will collect through </w:t>
      </w:r>
      <w:r w:rsidR="00956F1B">
        <w:t xml:space="preserve">the proposed </w:t>
      </w:r>
      <w:r w:rsidR="00732999">
        <w:t xml:space="preserve">short </w:t>
      </w:r>
      <w:r>
        <w:t>surveys</w:t>
      </w:r>
      <w:r w:rsidR="00CA023B">
        <w:t xml:space="preserve"> and site visit</w:t>
      </w:r>
      <w:r w:rsidR="00524426">
        <w:t>s</w:t>
      </w:r>
      <w:r w:rsidR="00732999">
        <w:t xml:space="preserve">, </w:t>
      </w:r>
      <w:r w:rsidR="00E866EF">
        <w:t>(</w:t>
      </w:r>
      <w:r w:rsidR="00732999">
        <w:t xml:space="preserve">reviewed though </w:t>
      </w:r>
      <w:r w:rsidR="000E6D73">
        <w:t>an expedited clearance process</w:t>
      </w:r>
      <w:r w:rsidR="00E866EF">
        <w:t>)</w:t>
      </w:r>
      <w:r w:rsidR="00524426">
        <w:t xml:space="preserve">, </w:t>
      </w:r>
      <w:r>
        <w:t xml:space="preserve">ETA will be less effective </w:t>
      </w:r>
      <w:r w:rsidR="00956F1B">
        <w:t xml:space="preserve">and responsive </w:t>
      </w:r>
      <w:r>
        <w:t xml:space="preserve">in carrying out its </w:t>
      </w:r>
      <w:r w:rsidR="00732999">
        <w:t xml:space="preserve">role in </w:t>
      </w:r>
      <w:r w:rsidR="00956F1B">
        <w:t xml:space="preserve">developing or refining </w:t>
      </w:r>
      <w:r>
        <w:t xml:space="preserve">technical assistance, guidance, </w:t>
      </w:r>
      <w:r w:rsidR="00524426">
        <w:t>or p</w:t>
      </w:r>
      <w:r>
        <w:t>olicy development</w:t>
      </w:r>
      <w:r w:rsidR="00956F1B">
        <w:t>.</w:t>
      </w:r>
      <w:r>
        <w:t xml:space="preserve">  </w:t>
      </w:r>
      <w:r w:rsidR="00524426">
        <w:t xml:space="preserve">ETA will be less able to </w:t>
      </w:r>
      <w:r>
        <w:t>stay abreast of emerging challenges</w:t>
      </w:r>
      <w:r w:rsidR="00523B70">
        <w:t>,</w:t>
      </w:r>
      <w:r w:rsidR="00956F1B">
        <w:t xml:space="preserve"> </w:t>
      </w:r>
      <w:r>
        <w:t>impediments</w:t>
      </w:r>
      <w:r w:rsidR="00523B70">
        <w:t xml:space="preserve">, </w:t>
      </w:r>
      <w:r w:rsidR="00E866EF">
        <w:t xml:space="preserve">and the viewpoints of administrators, providers, partner programs, participants, and employers.  It will be less able to identify (as well as to verify) </w:t>
      </w:r>
      <w:r w:rsidR="00524426">
        <w:t>promising practices and innovations</w:t>
      </w:r>
      <w:r w:rsidR="00E866EF">
        <w:t xml:space="preserve">, and to </w:t>
      </w:r>
      <w:r w:rsidR="00524426">
        <w:t xml:space="preserve">collect high-quality information in </w:t>
      </w:r>
      <w:r>
        <w:t xml:space="preserve">regard to </w:t>
      </w:r>
      <w:r w:rsidR="00E866EF">
        <w:t xml:space="preserve">activities under </w:t>
      </w:r>
      <w:r>
        <w:t xml:space="preserve">short-term grants (typically of two years duration while key grant personnel are still available.  </w:t>
      </w:r>
    </w:p>
    <w:p w:rsidR="00BA62C5" w:rsidP="00F05002" w14:paraId="197FA3CA" w14:textId="77777777"/>
    <w:p w:rsidR="00EB2759" w:rsidP="00A9538D" w14:paraId="3F83C0B8" w14:textId="32BDB59E">
      <w:pPr>
        <w:rPr>
          <w:b/>
          <w:iCs/>
        </w:rPr>
      </w:pPr>
      <w:r w:rsidRPr="00F05002">
        <w:rPr>
          <w:b/>
          <w:iCs/>
        </w:rPr>
        <w:t xml:space="preserve">7.       Explain any special circumstances </w:t>
      </w:r>
      <w:r w:rsidRPr="00F05002" w:rsidR="00C8258F">
        <w:rPr>
          <w:b/>
          <w:iCs/>
        </w:rPr>
        <w:t>that would cause an information collection to be conducted in a manner that requires further explanation pursu</w:t>
      </w:r>
      <w:r w:rsidRPr="00F05002" w:rsidR="002431AC">
        <w:rPr>
          <w:b/>
          <w:iCs/>
        </w:rPr>
        <w:t>ant to regulations 5 CFR 1320.5</w:t>
      </w:r>
      <w:r w:rsidR="00644183">
        <w:rPr>
          <w:b/>
          <w:iCs/>
        </w:rPr>
        <w:t xml:space="preserve">: </w:t>
      </w:r>
    </w:p>
    <w:p w:rsidR="00A9538D" w:rsidRPr="00F05002" w:rsidP="00A9538D" w14:paraId="32ED3342" w14:textId="77777777">
      <w:pPr>
        <w:rPr>
          <w:b/>
          <w:iCs/>
        </w:rPr>
      </w:pPr>
    </w:p>
    <w:p w:rsidR="00A958AE" w:rsidRPr="00F05002" w:rsidP="00A958AE" w14:paraId="3C85372C" w14:textId="77777777">
      <w:pPr>
        <w:rPr>
          <w:b/>
          <w:iCs/>
        </w:rPr>
      </w:pPr>
      <w:r w:rsidRPr="00F05002">
        <w:rPr>
          <w:b/>
          <w:iCs/>
        </w:rPr>
        <w:t xml:space="preserve">* Requiring respondents to report information to the agency more often than quarterly; </w:t>
      </w:r>
    </w:p>
    <w:p w:rsidR="00A958AE" w:rsidRPr="00F05002" w:rsidP="00A958AE" w14:paraId="5DA27524" w14:textId="77777777">
      <w:pPr>
        <w:rPr>
          <w:b/>
          <w:iCs/>
        </w:rPr>
      </w:pPr>
      <w:r w:rsidRPr="00F05002">
        <w:rPr>
          <w:b/>
          <w:iCs/>
        </w:rPr>
        <w:t xml:space="preserve">* Requiring respondents to prepare a written response to a collection of information in fewer than 30 days after receipt of it; </w:t>
      </w:r>
    </w:p>
    <w:p w:rsidR="00A958AE" w:rsidRPr="00F05002" w:rsidP="00A958AE" w14:paraId="3C74BDF8" w14:textId="77777777">
      <w:pPr>
        <w:rPr>
          <w:b/>
          <w:iCs/>
        </w:rPr>
      </w:pPr>
      <w:r w:rsidRPr="00F05002">
        <w:rPr>
          <w:b/>
          <w:iCs/>
        </w:rPr>
        <w:t xml:space="preserve">* Requiring respondents to submit more than an original and two copies of any document; </w:t>
      </w:r>
    </w:p>
    <w:p w:rsidR="00A958AE" w:rsidRPr="00F05002" w:rsidP="00A958AE" w14:paraId="65A8AF67" w14:textId="77777777">
      <w:pPr>
        <w:rPr>
          <w:b/>
          <w:iCs/>
        </w:rPr>
      </w:pPr>
      <w:r w:rsidRPr="00F05002">
        <w:rPr>
          <w:b/>
          <w:iCs/>
        </w:rPr>
        <w:t xml:space="preserve">* Requiring respondents to retain records, other than health, medical, government contract, grant-in-aid, or tax records, for more than three years; </w:t>
      </w:r>
    </w:p>
    <w:p w:rsidR="00A958AE" w:rsidRPr="00F05002" w:rsidP="00A958AE" w14:paraId="135DFA3B" w14:textId="77777777">
      <w:pPr>
        <w:rPr>
          <w:b/>
          <w:iCs/>
        </w:rPr>
      </w:pPr>
      <w:r w:rsidRPr="00F05002">
        <w:rPr>
          <w:b/>
          <w:iCs/>
        </w:rPr>
        <w:t xml:space="preserve">* In connection with a statistical survey, that is not designed to produce valid and reliable results that can be generalized to the universe of study; </w:t>
      </w:r>
    </w:p>
    <w:p w:rsidR="00A958AE" w:rsidRPr="00F05002" w:rsidP="00A958AE" w14:paraId="17556DEC" w14:textId="77777777">
      <w:pPr>
        <w:rPr>
          <w:b/>
          <w:iCs/>
        </w:rPr>
      </w:pPr>
      <w:r w:rsidRPr="00F05002">
        <w:rPr>
          <w:b/>
          <w:iCs/>
        </w:rPr>
        <w:t xml:space="preserve">* Requiring the use of a statistical data classification that has not been reviewed and approved by OMB; </w:t>
      </w:r>
    </w:p>
    <w:p w:rsidR="00A958AE" w:rsidRPr="00F05002" w:rsidP="00A958AE" w14:paraId="4366AAF6" w14:textId="77777777">
      <w:pPr>
        <w:rPr>
          <w:b/>
          <w:iCs/>
        </w:rPr>
      </w:pPr>
      <w:r w:rsidRPr="00F05002">
        <w:rPr>
          <w:b/>
          <w:iCs/>
        </w:rPr>
        <w:t xml:space="preserve">*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A958AE" w:rsidRPr="00F05002" w:rsidP="00A958AE" w14:paraId="54B969FF" w14:textId="77777777">
      <w:pPr>
        <w:rPr>
          <w:b/>
          <w:iCs/>
        </w:rPr>
      </w:pPr>
      <w:r w:rsidRPr="00F05002">
        <w:rPr>
          <w:b/>
          <w:iCs/>
        </w:rPr>
        <w:t>* Requiring respondents to submit proprietary trade secrets, or other confidential information unless the agency can demonstrate that it has instituted procedures to protect the information's confidentiality to the extent permitted by law.</w:t>
      </w:r>
    </w:p>
    <w:p w:rsidR="006356A1" w:rsidRPr="00C8258F" w:rsidP="00A958AE" w14:paraId="6824322D" w14:textId="77777777">
      <w:pPr>
        <w:rPr>
          <w:i/>
        </w:rPr>
      </w:pPr>
    </w:p>
    <w:p w:rsidR="00EB2759" w14:paraId="4FA5E0AF" w14:textId="50D4420B">
      <w:pPr>
        <w:spacing w:after="412"/>
      </w:pPr>
      <w:r>
        <w:t xml:space="preserve">There </w:t>
      </w:r>
      <w:r w:rsidR="00644183">
        <w:t xml:space="preserve">will be </w:t>
      </w:r>
      <w:r>
        <w:t xml:space="preserve">no special circumstances that would cause information collection to be conducted in any manner </w:t>
      </w:r>
      <w:r w:rsidR="00644183">
        <w:t xml:space="preserve">such as those </w:t>
      </w:r>
      <w:r>
        <w:t>listed above</w:t>
      </w:r>
      <w:r w:rsidR="00A9538D">
        <w:t>.</w:t>
      </w:r>
    </w:p>
    <w:p w:rsidR="00EB2759" w:rsidRPr="00F05002" w14:paraId="29A9687A" w14:textId="77777777">
      <w:pPr>
        <w:spacing w:after="206"/>
        <w:rPr>
          <w:b/>
          <w:iCs/>
        </w:rPr>
      </w:pPr>
      <w:r w:rsidRPr="00F05002">
        <w:rPr>
          <w:b/>
          <w:iCs/>
        </w:rPr>
        <w:t xml:space="preserve">8.       If applicable, provide a copy and identify the date and page number of </w:t>
      </w:r>
      <w:r w:rsidRPr="00F05002">
        <w:rPr>
          <w:b/>
          <w:iCs/>
        </w:rPr>
        <w:t>publication</w:t>
      </w:r>
      <w:r w:rsidRPr="00F05002">
        <w:rPr>
          <w:b/>
          <w:iCs/>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w:t>
      </w:r>
      <w:r w:rsidRPr="00F05002">
        <w:rPr>
          <w:b/>
          <w:iCs/>
        </w:rPr>
        <w:t>response to these comments.  Specifically address comments received on cost and hour burden.</w:t>
      </w:r>
    </w:p>
    <w:p w:rsidR="00EB2759" w:rsidRPr="00F05002" w14:paraId="6319CE0F" w14:textId="77777777">
      <w:pPr>
        <w:spacing w:after="206"/>
        <w:rPr>
          <w:b/>
          <w:iCs/>
        </w:rPr>
      </w:pPr>
      <w:r w:rsidRPr="00F05002">
        <w:rPr>
          <w:b/>
          <w:i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EB2759" w:rsidRPr="00F05002" w14:paraId="70030910" w14:textId="77777777">
      <w:pPr>
        <w:spacing w:after="206"/>
        <w:rPr>
          <w:b/>
          <w:iCs/>
        </w:rPr>
      </w:pPr>
      <w:r w:rsidRPr="00F05002">
        <w:rPr>
          <w:b/>
          <w:iCs/>
        </w:rPr>
        <w:t xml:space="preserve">Consultation with representatives of those from whom information is to be obtained or those who must compile records should occur at least once every 3 years </w:t>
      </w:r>
      <w:r w:rsidRPr="00F05002" w:rsidR="00E4712A">
        <w:rPr>
          <w:rFonts w:ascii="WP TypographicSymbols" w:hAnsi="WP TypographicSymbols"/>
          <w:b/>
          <w:iCs/>
        </w:rPr>
        <w:t>--</w:t>
      </w:r>
      <w:r w:rsidRPr="00F05002">
        <w:rPr>
          <w:b/>
          <w:iCs/>
        </w:rPr>
        <w:t xml:space="preserve"> even if the collection of information activity is the same as in prior periods.  There may be circumstances that may preclude consultation in a specific situation.  These circumstances should be explained.</w:t>
      </w:r>
    </w:p>
    <w:p w:rsidR="00524426" w:rsidRPr="00F05002" w14:paraId="79B851BD" w14:textId="3F4BB01E">
      <w:pPr>
        <w:spacing w:after="412"/>
        <w:rPr>
          <w:b/>
          <w:iCs/>
        </w:rPr>
      </w:pPr>
      <w:r>
        <w:t>The public was given sixty days</w:t>
      </w:r>
      <w:r w:rsidR="00BF53E9">
        <w:t xml:space="preserve"> to comment on this information collection request by way of a </w:t>
      </w:r>
      <w:r w:rsidRPr="00E4256F" w:rsidR="00BF53E9">
        <w:rPr>
          <w:i/>
        </w:rPr>
        <w:t>Federal Register</w:t>
      </w:r>
      <w:r w:rsidR="00BF53E9">
        <w:t xml:space="preserve"> Notice</w:t>
      </w:r>
      <w:r w:rsidR="00E922F2">
        <w:t xml:space="preserve">, </w:t>
      </w:r>
      <w:r w:rsidR="00E354AC">
        <w:t>(</w:t>
      </w:r>
      <w:r w:rsidR="00706115">
        <w:t>87 FR 53010</w:t>
      </w:r>
      <w:r w:rsidR="00E354AC">
        <w:t>)</w:t>
      </w:r>
      <w:r w:rsidR="0022554B">
        <w:t>,</w:t>
      </w:r>
      <w:r w:rsidR="00E922F2">
        <w:t xml:space="preserve"> </w:t>
      </w:r>
      <w:r w:rsidR="00BF53E9">
        <w:t xml:space="preserve">published </w:t>
      </w:r>
      <w:r w:rsidR="00772CF2">
        <w:t>on</w:t>
      </w:r>
      <w:r>
        <w:t xml:space="preserve"> </w:t>
      </w:r>
      <w:r w:rsidR="00AA76E0">
        <w:t>August</w:t>
      </w:r>
      <w:r w:rsidR="0077390E">
        <w:t xml:space="preserve"> 30</w:t>
      </w:r>
      <w:r w:rsidRPr="00F05002" w:rsidR="0077390E">
        <w:rPr>
          <w:vertAlign w:val="superscript"/>
        </w:rPr>
        <w:t>th</w:t>
      </w:r>
      <w:r w:rsidR="0077390E">
        <w:t>,</w:t>
      </w:r>
      <w:r w:rsidR="007862E8">
        <w:t xml:space="preserve"> </w:t>
      </w:r>
      <w:r w:rsidR="00AA76E0">
        <w:t>2022</w:t>
      </w:r>
      <w:r w:rsidR="0022554B">
        <w:t>.</w:t>
      </w:r>
      <w:r w:rsidR="00E922F2">
        <w:t xml:space="preserve">  </w:t>
      </w:r>
      <w:r w:rsidR="00BE5316">
        <w:t xml:space="preserve">One </w:t>
      </w:r>
      <w:r w:rsidR="00346FEF">
        <w:t>comment</w:t>
      </w:r>
      <w:r w:rsidR="00BE5316">
        <w:t xml:space="preserve"> </w:t>
      </w:r>
      <w:r w:rsidR="00A9538D">
        <w:t>was received</w:t>
      </w:r>
      <w:r w:rsidR="000646EF">
        <w:t xml:space="preserve"> but it </w:t>
      </w:r>
      <w:r w:rsidR="0064733A">
        <w:t>was not responsive to the substance of the</w:t>
      </w:r>
      <w:r w:rsidR="007862E8">
        <w:t xml:space="preserve"> Notice</w:t>
      </w:r>
      <w:r>
        <w:t xml:space="preserve"> regarding </w:t>
      </w:r>
      <w:r w:rsidR="00A9538D">
        <w:t xml:space="preserve">the </w:t>
      </w:r>
      <w:r>
        <w:t>ICR</w:t>
      </w:r>
      <w:r w:rsidR="0064733A">
        <w:t>.</w:t>
      </w:r>
      <w:r w:rsidR="00E922F2">
        <w:t xml:space="preserve">  </w:t>
      </w:r>
      <w:r w:rsidR="007C5511">
        <w:br/>
      </w:r>
      <w:r w:rsidR="007C5511">
        <w:br/>
      </w:r>
      <w:r w:rsidRPr="00F05002" w:rsidR="00EB2759">
        <w:rPr>
          <w:b/>
          <w:iCs/>
        </w:rPr>
        <w:t>9.       Explain any decision to provide any payment or gift to respondents, other than remuneration of contractors or grantees.</w:t>
      </w:r>
    </w:p>
    <w:p w:rsidR="00C24057" w:rsidP="00C24057" w14:paraId="31FE6790" w14:textId="4FAF36AE">
      <w:r>
        <w:t xml:space="preserve">For </w:t>
      </w:r>
      <w:r w:rsidR="000348D4">
        <w:t xml:space="preserve">the </w:t>
      </w:r>
      <w:r w:rsidR="002816A3">
        <w:t xml:space="preserve">surveys </w:t>
      </w:r>
      <w:r>
        <w:t xml:space="preserve">conducted </w:t>
      </w:r>
      <w:r w:rsidR="002816A3">
        <w:t xml:space="preserve">under this </w:t>
      </w:r>
      <w:r>
        <w:t xml:space="preserve">clearance, </w:t>
      </w:r>
      <w:r w:rsidR="00F05002">
        <w:t>no payments</w:t>
      </w:r>
      <w:r w:rsidR="00EB2759">
        <w:t xml:space="preserve"> or gift</w:t>
      </w:r>
      <w:r w:rsidR="000D42EE">
        <w:t>s</w:t>
      </w:r>
      <w:r w:rsidR="00EB2759">
        <w:t xml:space="preserve"> to respondents</w:t>
      </w:r>
      <w:r w:rsidR="00E56532">
        <w:t xml:space="preserve"> will be made.  T</w:t>
      </w:r>
      <w:r w:rsidR="002816A3">
        <w:t>here may</w:t>
      </w:r>
      <w:r>
        <w:t>, however,</w:t>
      </w:r>
      <w:r w:rsidR="002816A3">
        <w:t xml:space="preserve"> be incentives offered </w:t>
      </w:r>
      <w:r w:rsidR="00685FED">
        <w:t xml:space="preserve">to </w:t>
      </w:r>
      <w:r w:rsidR="00644183">
        <w:t xml:space="preserve">program </w:t>
      </w:r>
      <w:r w:rsidR="00685FED">
        <w:t>participants in</w:t>
      </w:r>
      <w:r w:rsidR="00644183">
        <w:t xml:space="preserve"> structured discussions </w:t>
      </w:r>
      <w:r w:rsidR="00685FED">
        <w:t>or focus groups during some site visits</w:t>
      </w:r>
      <w:r w:rsidR="002816A3">
        <w:t xml:space="preserve">.  </w:t>
      </w:r>
      <w:r w:rsidR="00685FED">
        <w:t xml:space="preserve">Should an incentive be planned, a </w:t>
      </w:r>
      <w:r w:rsidRPr="00F97C94" w:rsidR="002816A3">
        <w:t>justification based on the type</w:t>
      </w:r>
      <w:r w:rsidR="00644183">
        <w:t>s</w:t>
      </w:r>
      <w:r w:rsidRPr="00F97C94" w:rsidR="002816A3">
        <w:t xml:space="preserve"> </w:t>
      </w:r>
      <w:r w:rsidR="00685FED">
        <w:t xml:space="preserve">of </w:t>
      </w:r>
      <w:r w:rsidRPr="00F97C94" w:rsidR="002816A3">
        <w:t>respondents</w:t>
      </w:r>
      <w:r w:rsidR="00685FED">
        <w:t xml:space="preserve"> or various </w:t>
      </w:r>
      <w:r w:rsidRPr="00F97C94" w:rsidR="00685FED">
        <w:t>circumstances</w:t>
      </w:r>
      <w:r w:rsidRPr="00F97C94" w:rsidR="002816A3">
        <w:t xml:space="preserve"> will be provided in the </w:t>
      </w:r>
      <w:r w:rsidR="000348D4">
        <w:t xml:space="preserve">abbreviated supporting statement for </w:t>
      </w:r>
      <w:r w:rsidRPr="00F97C94" w:rsidR="002816A3">
        <w:t xml:space="preserve">individual information collection </w:t>
      </w:r>
      <w:r w:rsidR="00E56532">
        <w:t>and</w:t>
      </w:r>
      <w:r w:rsidR="00685FED">
        <w:t xml:space="preserve"> will follow OMB guidance in</w:t>
      </w:r>
      <w:r w:rsidRPr="00F97C94" w:rsidR="002816A3">
        <w:t xml:space="preserve"> </w:t>
      </w:r>
      <w:r w:rsidRPr="00F97C94" w:rsidR="002816A3">
        <w:rPr>
          <w:i/>
        </w:rPr>
        <w:t xml:space="preserve">Questions and Answers when Designing Surveys for Information Collections </w:t>
      </w:r>
      <w:r w:rsidRPr="00F97C94" w:rsidR="002816A3">
        <w:t>(Updated Oct</w:t>
      </w:r>
      <w:r w:rsidR="002816A3">
        <w:t>.</w:t>
      </w:r>
      <w:r w:rsidRPr="00F97C94" w:rsidR="002816A3">
        <w:t xml:space="preserve"> 2016)</w:t>
      </w:r>
      <w:r>
        <w:rPr>
          <w:rStyle w:val="FootnoteReference"/>
        </w:rPr>
        <w:footnoteReference w:id="3"/>
      </w:r>
      <w:r w:rsidR="00685FED">
        <w:t xml:space="preserve"> </w:t>
      </w:r>
      <w:r>
        <w:t>and any subsequent updates.</w:t>
      </w:r>
      <w:r w:rsidR="00685FED">
        <w:t xml:space="preserve"> </w:t>
      </w:r>
    </w:p>
    <w:p w:rsidR="00C24057" w:rsidP="00C24057" w14:paraId="0FD1888B" w14:textId="77777777"/>
    <w:p w:rsidR="00506DCC" w:rsidP="00C24057" w14:paraId="1484067A" w14:textId="03DEEB08">
      <w:r>
        <w:t xml:space="preserve">The </w:t>
      </w:r>
      <w:r w:rsidRPr="00F97C94" w:rsidR="002816A3">
        <w:t>justification will focus on data quality, burden on the respondent, past experience,</w:t>
      </w:r>
      <w:r w:rsidR="00E56532">
        <w:t xml:space="preserve"> and</w:t>
      </w:r>
      <w:r w:rsidRPr="00F97C94" w:rsidR="002816A3">
        <w:t xml:space="preserve"> improved coverage of specialized respondents, rare groups, or minority populations; and/or equity. </w:t>
      </w:r>
      <w:r>
        <w:t xml:space="preserve"> </w:t>
      </w:r>
      <w:r w:rsidRPr="00F97C94" w:rsidR="002816A3">
        <w:t xml:space="preserve">Each justification will cite </w:t>
      </w:r>
      <w:r w:rsidR="00005C24">
        <w:t xml:space="preserve">research, if it exists, </w:t>
      </w:r>
      <w:r w:rsidRPr="00F97C94" w:rsidR="002816A3">
        <w:t xml:space="preserve">that demonstrates significant improvements in </w:t>
      </w:r>
      <w:r w:rsidR="00005C24">
        <w:t>participant recruitment</w:t>
      </w:r>
      <w:r w:rsidR="00E56532">
        <w:t xml:space="preserve"> or responses</w:t>
      </w:r>
      <w:r w:rsidR="00005C24">
        <w:t xml:space="preserve">.  </w:t>
      </w:r>
      <w:r w:rsidRPr="00F97C94" w:rsidR="002816A3">
        <w:t xml:space="preserve">Where no evidence is available, </w:t>
      </w:r>
      <w:r w:rsidR="00644183">
        <w:t>ETA</w:t>
      </w:r>
      <w:r w:rsidRPr="00F97C94" w:rsidR="002816A3">
        <w:t xml:space="preserve"> may propose a </w:t>
      </w:r>
      <w:r w:rsidR="00005C24">
        <w:t xml:space="preserve">limited </w:t>
      </w:r>
      <w:r w:rsidRPr="00F97C94" w:rsidR="002816A3">
        <w:t>field test to e</w:t>
      </w:r>
      <w:r w:rsidR="00005C24">
        <w:t>v</w:t>
      </w:r>
      <w:r w:rsidRPr="00F97C94" w:rsidR="002816A3">
        <w:t>aluate the effects of the incentive.</w:t>
      </w:r>
      <w:r w:rsidR="00005C24">
        <w:t xml:space="preserve">  Incentive</w:t>
      </w:r>
      <w:r w:rsidR="00E56532">
        <w:t xml:space="preserve"> amounts </w:t>
      </w:r>
      <w:r w:rsidR="00005C24">
        <w:t xml:space="preserve">will </w:t>
      </w:r>
      <w:r w:rsidR="00005C24">
        <w:t>take into account</w:t>
      </w:r>
      <w:r w:rsidR="00005C24">
        <w:t xml:space="preserve"> the time for </w:t>
      </w:r>
      <w:r w:rsidRPr="00F97C94" w:rsidR="002816A3">
        <w:t xml:space="preserve">collection </w:t>
      </w:r>
      <w:r w:rsidR="00005C24">
        <w:t xml:space="preserve">of the information </w:t>
      </w:r>
      <w:r w:rsidR="00E56532">
        <w:t xml:space="preserve">and may provide funds </w:t>
      </w:r>
      <w:r w:rsidRPr="00F97C94" w:rsidR="002816A3">
        <w:t>for incidental expenses</w:t>
      </w:r>
      <w:r w:rsidR="00005C24">
        <w:t xml:space="preserve"> </w:t>
      </w:r>
      <w:r w:rsidR="00644183">
        <w:t xml:space="preserve">related to the costs of </w:t>
      </w:r>
      <w:r w:rsidR="00005C24">
        <w:t>t</w:t>
      </w:r>
      <w:r w:rsidRPr="00F97C94" w:rsidR="002816A3">
        <w:t xml:space="preserve">ransportation, </w:t>
      </w:r>
      <w:r w:rsidRPr="00F97C94" w:rsidR="00A9793D">
        <w:t>childcare</w:t>
      </w:r>
      <w:r w:rsidRPr="00F97C94" w:rsidR="002816A3">
        <w:t xml:space="preserve">, </w:t>
      </w:r>
      <w:r w:rsidR="00005C24">
        <w:t>or lost wages.</w:t>
      </w:r>
    </w:p>
    <w:p w:rsidR="00C24057" w:rsidP="00C24057" w14:paraId="19EB4E60" w14:textId="77777777"/>
    <w:p w:rsidR="0006401A" w:rsidRPr="004E59DA" w:rsidP="0006401A" w14:paraId="45462C34" w14:textId="3A51646A">
      <w:pPr>
        <w:spacing w:after="206"/>
        <w:rPr>
          <w:b/>
          <w:iCs/>
        </w:rPr>
      </w:pPr>
      <w:r w:rsidRPr="004E59DA">
        <w:rPr>
          <w:b/>
          <w:iCs/>
        </w:rPr>
        <w:t>10.    Describe any assurance of confidentiality provided to respondents and the basis for the assurance in statute, regulation, or agency policy.</w:t>
      </w:r>
    </w:p>
    <w:p w:rsidR="00285A7E" w:rsidRPr="00AF09A3" w:rsidP="00855406" w14:paraId="6E391ACD" w14:textId="4645D7B5">
      <w:r>
        <w:t xml:space="preserve">Persons to whom the questionnaires are distributed </w:t>
      </w:r>
      <w:r w:rsidR="00AA76E0">
        <w:t xml:space="preserve">and individuals who will participate in individual </w:t>
      </w:r>
      <w:r>
        <w:t xml:space="preserve">discussions </w:t>
      </w:r>
      <w:r w:rsidR="00AA76E0">
        <w:t xml:space="preserve">or focus groups </w:t>
      </w:r>
      <w:r w:rsidR="00EB2759">
        <w:t>will be assured that their cooperation is entirely voluntary and that their responses</w:t>
      </w:r>
      <w:r w:rsidR="006B1336">
        <w:t xml:space="preserve"> </w:t>
      </w:r>
      <w:r w:rsidR="00EB2759">
        <w:t xml:space="preserve">will be </w:t>
      </w:r>
      <w:r w:rsidR="006B1336">
        <w:t>kept private</w:t>
      </w:r>
      <w:r>
        <w:t xml:space="preserve"> </w:t>
      </w:r>
      <w:r w:rsidR="001D5888">
        <w:t xml:space="preserve">as well as </w:t>
      </w:r>
      <w:r>
        <w:rPr>
          <w:rFonts w:cs="Arial"/>
          <w:szCs w:val="26"/>
        </w:rPr>
        <w:t xml:space="preserve">protected to </w:t>
      </w:r>
      <w:r w:rsidRPr="00AF09A3">
        <w:rPr>
          <w:rFonts w:cs="Arial"/>
          <w:szCs w:val="26"/>
        </w:rPr>
        <w:t>the extent permitted by law and in compliance with all Federal and Departmental regulations</w:t>
      </w:r>
      <w:r w:rsidRPr="00AF09A3" w:rsidR="006B1336">
        <w:t xml:space="preserve">.  </w:t>
      </w:r>
    </w:p>
    <w:p w:rsidR="00285A7E" w:rsidRPr="00AF09A3" w:rsidP="00855406" w14:paraId="0382C61F" w14:textId="77777777"/>
    <w:p w:rsidR="00855406" w:rsidRPr="00AF09A3" w14:paraId="39214A37" w14:textId="30D7656F">
      <w:r w:rsidRPr="00AF09A3">
        <w:t>In keeping with the Confidential Information Protection and Statistical Efficiency Act of 20</w:t>
      </w:r>
      <w:r w:rsidRPr="00AF09A3" w:rsidR="00817329">
        <w:t>18</w:t>
      </w:r>
      <w:r w:rsidRPr="00AF09A3">
        <w:t xml:space="preserve">, the following statement will be displayed on each </w:t>
      </w:r>
      <w:r w:rsidRPr="00AF09A3" w:rsidR="00285A7E">
        <w:t xml:space="preserve">survey </w:t>
      </w:r>
      <w:r w:rsidRPr="00AF09A3">
        <w:t>questionnaire</w:t>
      </w:r>
      <w:r w:rsidRPr="00AF09A3" w:rsidR="00A32A84">
        <w:t>, when applicable</w:t>
      </w:r>
      <w:r w:rsidRPr="00AF09A3">
        <w:t>:</w:t>
      </w:r>
    </w:p>
    <w:p w:rsidR="00855406" w:rsidRPr="00AF09A3" w14:paraId="4D28F1BA" w14:textId="77777777"/>
    <w:p w:rsidR="00EB2759" w:rsidRPr="00AF09A3" w14:paraId="36CE4CEE" w14:textId="56729211">
      <w:r w:rsidRPr="00AF09A3">
        <w:t>“</w:t>
      </w:r>
      <w:r w:rsidRPr="00AF09A3" w:rsidR="00855406">
        <w:t xml:space="preserve">The </w:t>
      </w:r>
      <w:r w:rsidRPr="00AF09A3" w:rsidR="006B1336">
        <w:t xml:space="preserve">Department Labor, </w:t>
      </w:r>
      <w:r w:rsidRPr="00AF09A3" w:rsidR="00855406">
        <w:t xml:space="preserve">its employees and agents, will use the information you provide for statistical purposes only and </w:t>
      </w:r>
      <w:r w:rsidRPr="00AF09A3" w:rsidR="00261059">
        <w:t xml:space="preserve">your response will not be disclosed in identifiable form without your informed consent, </w:t>
      </w:r>
      <w:r w:rsidRPr="00AF09A3" w:rsidR="00855406">
        <w:t>to the full extent permitted by law</w:t>
      </w:r>
      <w:r w:rsidRPr="00AF09A3" w:rsidR="00075678">
        <w:t>, i</w:t>
      </w:r>
      <w:r w:rsidRPr="00AF09A3" w:rsidR="00855406">
        <w:t xml:space="preserve">n accordance with the </w:t>
      </w:r>
      <w:r w:rsidRPr="00AF09A3" w:rsidR="00817329">
        <w:t>Confidential Information Protection and Statistical Efficiency Act of 2018 (Title III</w:t>
      </w:r>
      <w:r w:rsidRPr="00AF09A3">
        <w:t xml:space="preserve"> of Public Law </w:t>
      </w:r>
      <w:r w:rsidRPr="00AF09A3" w:rsidR="00817329">
        <w:t>115–435</w:t>
      </w:r>
      <w:r w:rsidRPr="00AF09A3">
        <w:t>) and other applicable Federal laws</w:t>
      </w:r>
      <w:r w:rsidRPr="00AF09A3" w:rsidR="00075678">
        <w:t>.</w:t>
      </w:r>
      <w:r w:rsidRPr="00AF09A3">
        <w:t>”</w:t>
      </w:r>
    </w:p>
    <w:p w:rsidR="00285A7E" w:rsidRPr="00AF09A3" w14:paraId="045A73C4" w14:textId="08B45257"/>
    <w:p w:rsidR="00285A7E" w:rsidP="00285A7E" w14:paraId="3CE24321" w14:textId="674F06B7">
      <w:r w:rsidRPr="00AF09A3">
        <w:t xml:space="preserve">Data collection will </w:t>
      </w:r>
      <w:r w:rsidRPr="00AF09A3" w:rsidR="000F6CD5">
        <w:t xml:space="preserve">generally </w:t>
      </w:r>
      <w:r w:rsidRPr="00AF09A3">
        <w:t>be carried out by ETA contractors and</w:t>
      </w:r>
      <w:r>
        <w:t xml:space="preserve"> if any information is released to the public, it will be in aggregated form only, so that no specific state or local area agency, or individual, will be identified.  ETA or its contractors will follow rigorous procedures for assuring and keeping data private consistent with current protocols</w:t>
      </w:r>
      <w:r w:rsidR="001D5888">
        <w:t>, and Federal and Departmental regulations</w:t>
      </w:r>
      <w:r>
        <w:t xml:space="preserve">.  In keeping with this, access to any data with identifying information will be limited only to ETA and contractor staff directly working on a survey or </w:t>
      </w:r>
      <w:r w:rsidR="0006401A">
        <w:t xml:space="preserve">a set of </w:t>
      </w:r>
      <w:r>
        <w:t>site visits.</w:t>
      </w:r>
    </w:p>
    <w:p w:rsidR="00285A7E" w:rsidP="00285A7E" w14:paraId="4F361D5B" w14:textId="77777777"/>
    <w:p w:rsidR="00285A7E" w:rsidP="00285A7E" w14:paraId="42F98ACD" w14:textId="7FC6AC4E">
      <w:pPr>
        <w:widowControl w:val="0"/>
        <w:autoSpaceDE w:val="0"/>
        <w:autoSpaceDN w:val="0"/>
        <w:adjustRightInd w:val="0"/>
        <w:rPr>
          <w:rFonts w:cs="Arial"/>
          <w:szCs w:val="26"/>
        </w:rPr>
      </w:pPr>
      <w:r>
        <w:rPr>
          <w:rFonts w:cs="Arial"/>
          <w:szCs w:val="26"/>
        </w:rPr>
        <w:t>Contractors will be required to ensure that all of its employees</w:t>
      </w:r>
      <w:r w:rsidR="000F6CD5">
        <w:rPr>
          <w:rFonts w:cs="Arial"/>
          <w:szCs w:val="26"/>
        </w:rPr>
        <w:t xml:space="preserve"> and its </w:t>
      </w:r>
      <w:r>
        <w:rPr>
          <w:rFonts w:cs="Arial"/>
          <w:szCs w:val="26"/>
        </w:rPr>
        <w:t xml:space="preserve">subcontractors (at all tiers), and </w:t>
      </w:r>
      <w:r w:rsidR="000F6CD5">
        <w:rPr>
          <w:rFonts w:cs="Arial"/>
          <w:szCs w:val="26"/>
        </w:rPr>
        <w:t xml:space="preserve">their </w:t>
      </w:r>
      <w:r>
        <w:rPr>
          <w:rFonts w:cs="Arial"/>
          <w:szCs w:val="26"/>
        </w:rPr>
        <w:t>employees</w:t>
      </w:r>
      <w:r w:rsidR="000F6CD5">
        <w:rPr>
          <w:rFonts w:cs="Arial"/>
          <w:szCs w:val="26"/>
        </w:rPr>
        <w:t xml:space="preserve">, who </w:t>
      </w:r>
      <w:r>
        <w:rPr>
          <w:rFonts w:cs="Arial"/>
          <w:szCs w:val="26"/>
        </w:rPr>
        <w:t xml:space="preserve">conduct any surveys or site visits </w:t>
      </w:r>
      <w:r w:rsidR="000F6CD5">
        <w:rPr>
          <w:rFonts w:cs="Arial"/>
          <w:szCs w:val="26"/>
        </w:rPr>
        <w:t xml:space="preserve">and manage data storage, utilization, and destruction, </w:t>
      </w:r>
      <w:r>
        <w:rPr>
          <w:rFonts w:cs="Arial"/>
          <w:szCs w:val="26"/>
        </w:rPr>
        <w:t xml:space="preserve">are trained on data privacy </w:t>
      </w:r>
      <w:r>
        <w:rPr>
          <w:rFonts w:cs="Arial"/>
          <w:szCs w:val="26"/>
        </w:rPr>
        <w:t>issues</w:t>
      </w:r>
      <w:r>
        <w:rPr>
          <w:rFonts w:cs="Arial"/>
          <w:szCs w:val="26"/>
        </w:rPr>
        <w:t xml:space="preserve"> and comply with </w:t>
      </w:r>
      <w:r w:rsidR="001D5888">
        <w:rPr>
          <w:rFonts w:cs="Arial"/>
          <w:szCs w:val="26"/>
        </w:rPr>
        <w:t xml:space="preserve">all </w:t>
      </w:r>
      <w:r>
        <w:rPr>
          <w:rFonts w:cs="Arial"/>
          <w:szCs w:val="26"/>
        </w:rPr>
        <w:t>requirements</w:t>
      </w:r>
      <w:r w:rsidR="001D5888">
        <w:rPr>
          <w:rFonts w:cs="Arial"/>
          <w:szCs w:val="26"/>
        </w:rPr>
        <w:t xml:space="preserve">.  </w:t>
      </w:r>
      <w:r>
        <w:rPr>
          <w:rFonts w:cs="Arial"/>
          <w:szCs w:val="26"/>
        </w:rPr>
        <w:t xml:space="preserve">Any specific pledges </w:t>
      </w:r>
      <w:r w:rsidR="000F6CD5">
        <w:rPr>
          <w:rFonts w:cs="Arial"/>
          <w:szCs w:val="26"/>
        </w:rPr>
        <w:t>which contractor or subcontractor staff are</w:t>
      </w:r>
      <w:r>
        <w:rPr>
          <w:rFonts w:cs="Arial"/>
          <w:szCs w:val="26"/>
        </w:rPr>
        <w:t xml:space="preserve"> required </w:t>
      </w:r>
      <w:r w:rsidR="000F6CD5">
        <w:rPr>
          <w:rFonts w:cs="Arial"/>
          <w:szCs w:val="26"/>
        </w:rPr>
        <w:t>to sign (</w:t>
      </w:r>
      <w:r>
        <w:rPr>
          <w:rFonts w:cs="Arial"/>
          <w:szCs w:val="26"/>
        </w:rPr>
        <w:t>by the contractor</w:t>
      </w:r>
      <w:r w:rsidR="000F6CD5">
        <w:rPr>
          <w:rFonts w:cs="Arial"/>
          <w:szCs w:val="26"/>
        </w:rPr>
        <w:t>)</w:t>
      </w:r>
      <w:r>
        <w:rPr>
          <w:rFonts w:cs="Arial"/>
          <w:szCs w:val="26"/>
        </w:rPr>
        <w:t xml:space="preserve"> will be described in </w:t>
      </w:r>
      <w:r w:rsidR="001D5888">
        <w:rPr>
          <w:rFonts w:cs="Arial"/>
          <w:szCs w:val="26"/>
        </w:rPr>
        <w:t xml:space="preserve">each information </w:t>
      </w:r>
      <w:r>
        <w:rPr>
          <w:rFonts w:cs="Arial"/>
          <w:szCs w:val="26"/>
        </w:rPr>
        <w:t xml:space="preserve">request. </w:t>
      </w:r>
    </w:p>
    <w:p w:rsidR="00F55C9E" w:rsidP="00285A7E" w14:paraId="193A781B" w14:textId="5C9F4074">
      <w:pPr>
        <w:widowControl w:val="0"/>
        <w:autoSpaceDE w:val="0"/>
        <w:autoSpaceDN w:val="0"/>
        <w:adjustRightInd w:val="0"/>
        <w:rPr>
          <w:rFonts w:cs="Arial"/>
          <w:szCs w:val="26"/>
        </w:rPr>
      </w:pPr>
    </w:p>
    <w:p w:rsidR="00F55C9E" w:rsidP="00F55C9E" w14:paraId="0E436252" w14:textId="71C3FD3D">
      <w:pPr>
        <w:widowControl w:val="0"/>
        <w:autoSpaceDE w:val="0"/>
        <w:autoSpaceDN w:val="0"/>
        <w:adjustRightInd w:val="0"/>
        <w:rPr>
          <w:rFonts w:cs="Arial"/>
          <w:szCs w:val="26"/>
        </w:rPr>
      </w:pPr>
      <w:r w:rsidRPr="00F97C94">
        <w:rPr>
          <w:rFonts w:cs="Arial"/>
          <w:szCs w:val="26"/>
        </w:rPr>
        <w:t xml:space="preserve">As necessary, </w:t>
      </w:r>
      <w:r>
        <w:rPr>
          <w:rFonts w:cs="Arial"/>
          <w:szCs w:val="26"/>
        </w:rPr>
        <w:t>c</w:t>
      </w:r>
      <w:r w:rsidRPr="00F97C94">
        <w:rPr>
          <w:rFonts w:cs="Arial"/>
          <w:szCs w:val="26"/>
        </w:rPr>
        <w:t>ontractor</w:t>
      </w:r>
      <w:r>
        <w:rPr>
          <w:rFonts w:cs="Arial"/>
          <w:szCs w:val="26"/>
        </w:rPr>
        <w:t>s</w:t>
      </w:r>
      <w:r w:rsidRPr="00F97C94">
        <w:rPr>
          <w:rFonts w:cs="Arial"/>
          <w:szCs w:val="26"/>
        </w:rPr>
        <w:t xml:space="preserve"> shall use Federal Information Processing Standard (currently, FIPS 140-2) compliant encryption (Security Requirements for Cryptographic Module, as amended) to protect all instances of sensitive information during storage and transmission. The </w:t>
      </w:r>
      <w:r>
        <w:rPr>
          <w:rFonts w:cs="Arial"/>
          <w:szCs w:val="26"/>
        </w:rPr>
        <w:t>c</w:t>
      </w:r>
      <w:r w:rsidRPr="00F97C94">
        <w:rPr>
          <w:rFonts w:cs="Arial"/>
          <w:szCs w:val="26"/>
        </w:rPr>
        <w:t xml:space="preserve">ontractor shall securely generate and manage encryption keys to prevent unauthorized decryption of information, in accordance with the Federal Processing Standard. The </w:t>
      </w:r>
      <w:r>
        <w:rPr>
          <w:rFonts w:cs="Arial"/>
          <w:szCs w:val="26"/>
        </w:rPr>
        <w:t>c</w:t>
      </w:r>
      <w:r w:rsidRPr="00F97C94">
        <w:rPr>
          <w:rFonts w:cs="Arial"/>
          <w:szCs w:val="26"/>
        </w:rPr>
        <w:t xml:space="preserve">ontractor shall: ensure that this standard is incorporated into the </w:t>
      </w:r>
      <w:r>
        <w:rPr>
          <w:rFonts w:cs="Arial"/>
          <w:szCs w:val="26"/>
        </w:rPr>
        <w:t>c</w:t>
      </w:r>
      <w:r w:rsidRPr="00F97C94">
        <w:rPr>
          <w:rFonts w:cs="Arial"/>
          <w:szCs w:val="26"/>
        </w:rPr>
        <w:t xml:space="preserve">ontractor’s property management/control system; establish a procedure to account for all laptop computers, desktop computers, and other mobile devices and portable media that store or process sensitive information. Any data stored electronically will be secured in accordance with the most current National Institute of Standards and Technology requirements and other applicable Federal and Departmental regulations. In addition, the </w:t>
      </w:r>
      <w:r>
        <w:rPr>
          <w:rFonts w:cs="Arial"/>
          <w:szCs w:val="26"/>
        </w:rPr>
        <w:t>c</w:t>
      </w:r>
      <w:r w:rsidRPr="00F97C94">
        <w:rPr>
          <w:rFonts w:cs="Arial"/>
          <w:szCs w:val="26"/>
        </w:rPr>
        <w:t xml:space="preserve">ontractor must submit a plan for minimizing to the extent possible the inclusion of sensitive information on paper records and for the protection of any paper records, field notes, or other documents that contain sensitive or personally identifiable information that ensures secure storage and limits on access. </w:t>
      </w:r>
      <w:r>
        <w:rPr>
          <w:rFonts w:cs="Arial"/>
          <w:szCs w:val="26"/>
        </w:rPr>
        <w:br/>
      </w:r>
    </w:p>
    <w:p w:rsidR="00F55C9E" w:rsidP="00775CD4" w14:paraId="647888CA" w14:textId="4AA55BED">
      <w:pPr>
        <w:rPr>
          <w:rFonts w:cs="Arial"/>
          <w:szCs w:val="26"/>
        </w:rPr>
      </w:pPr>
      <w:r w:rsidRPr="00F97C94">
        <w:rPr>
          <w:bdr w:val="none" w:sz="0" w:space="0" w:color="auto" w:frame="1"/>
        </w:rPr>
        <w:t>Information will not be maintained in a paper or electronic system from which they are actually or directly retrieved by an individuals’ personal identifier.</w:t>
      </w:r>
    </w:p>
    <w:p w:rsidR="001D5888" w:rsidP="00F05002" w14:paraId="456DFF22" w14:textId="77777777">
      <w:pPr>
        <w:widowControl w:val="0"/>
        <w:autoSpaceDE w:val="0"/>
        <w:autoSpaceDN w:val="0"/>
        <w:adjustRightInd w:val="0"/>
      </w:pPr>
    </w:p>
    <w:p w:rsidR="00D57C7E" w14:paraId="75E5938A" w14:textId="77777777">
      <w:pPr>
        <w:rPr>
          <w:b/>
          <w:iCs/>
        </w:rPr>
      </w:pPr>
      <w:r>
        <w:rPr>
          <w:b/>
          <w:iCs/>
        </w:rPr>
        <w:br w:type="page"/>
      </w:r>
    </w:p>
    <w:p w:rsidR="00EB2759" w:rsidRPr="00F05002" w14:paraId="370A56CE" w14:textId="4F5E761A">
      <w:pPr>
        <w:spacing w:after="206"/>
        <w:rPr>
          <w:b/>
          <w:iCs/>
        </w:rPr>
      </w:pPr>
      <w:r w:rsidRPr="00F05002">
        <w:rPr>
          <w:b/>
          <w:iCs/>
        </w:rPr>
        <w:t>11.   </w:t>
      </w:r>
      <w:r w:rsidRPr="00F05002" w:rsidR="00DF1815">
        <w:rPr>
          <w:b/>
          <w:iCs/>
        </w:rPr>
        <w:t xml:space="preserve"> </w:t>
      </w:r>
      <w:r w:rsidRPr="00F05002">
        <w:rPr>
          <w:b/>
          <w:iCs/>
        </w:rPr>
        <w:t>Provide additional justification for any questions of a sensitive nature, such as sexual behavior and attitudes, religious beliefs, and other matters that are commonly considered private.  This justification should include the reasons why the agency considers these questions necessary, the specific uses to be made of the information, the explanation to be given to persons from whom the information is requested, and any steps to be taken to obtain their consent.</w:t>
      </w:r>
    </w:p>
    <w:p w:rsidR="001D5888" w:rsidP="00F05002" w14:paraId="5064F224" w14:textId="523B8A91">
      <w:pPr>
        <w:spacing w:after="412"/>
        <w:rPr>
          <w:bCs/>
          <w:i/>
        </w:rPr>
      </w:pPr>
      <w:r>
        <w:t xml:space="preserve">None of the questionnaire items will involve sensitive </w:t>
      </w:r>
      <w:r w:rsidR="009613D3">
        <w:t>content or</w:t>
      </w:r>
      <w:r w:rsidR="00016846">
        <w:t xml:space="preserve"> cover </w:t>
      </w:r>
      <w:r>
        <w:t>the topics referenced in this question.</w:t>
      </w:r>
    </w:p>
    <w:p w:rsidR="00A958AE" w:rsidRPr="00F05002" w:rsidP="00E5357C" w14:paraId="77593A85" w14:textId="78437ED0">
      <w:pPr>
        <w:spacing w:after="206"/>
        <w:rPr>
          <w:b/>
          <w:iCs/>
        </w:rPr>
      </w:pPr>
      <w:r w:rsidRPr="00F05002">
        <w:rPr>
          <w:b/>
          <w:iCs/>
        </w:rPr>
        <w:t xml:space="preserve">12.     </w:t>
      </w:r>
      <w:r w:rsidRPr="00F05002" w:rsidR="00AE6AA9">
        <w:rPr>
          <w:b/>
          <w:iCs/>
        </w:rPr>
        <w:t xml:space="preserve">  </w:t>
      </w:r>
      <w:r w:rsidRPr="00F05002">
        <w:rPr>
          <w:b/>
          <w:iCs/>
        </w:rPr>
        <w:t>Provide estimates of the hour burden of the collection of inf</w:t>
      </w:r>
      <w:r w:rsidRPr="00F05002" w:rsidR="00C8258F">
        <w:rPr>
          <w:b/>
          <w:iCs/>
        </w:rPr>
        <w:t>ormation. </w:t>
      </w:r>
    </w:p>
    <w:p w:rsidR="00E5357C" w:rsidRPr="00F05002" w:rsidP="00E5357C" w14:paraId="3526FD13" w14:textId="77777777">
      <w:pPr>
        <w:spacing w:after="206"/>
        <w:rPr>
          <w:b/>
          <w:iCs/>
        </w:rPr>
      </w:pPr>
      <w:r w:rsidRPr="00F05002">
        <w:rPr>
          <w:b/>
          <w:iCs/>
        </w:rPr>
        <w:t xml:space="preserve"> *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E5357C" w:rsidRPr="00F05002" w:rsidP="00E5357C" w14:paraId="33C78603" w14:textId="77777777">
      <w:pPr>
        <w:spacing w:after="206"/>
        <w:rPr>
          <w:b/>
          <w:iCs/>
        </w:rPr>
      </w:pPr>
      <w:r w:rsidRPr="00F05002">
        <w:rPr>
          <w:b/>
          <w:iCs/>
        </w:rPr>
        <w:t xml:space="preserve">* If this request for approval covers more than one form, provide separate hour burden estimates for each form and aggregate the hour burdens. </w:t>
      </w:r>
    </w:p>
    <w:p w:rsidR="00EB2759" w:rsidRPr="00F05002" w:rsidP="00E5357C" w14:paraId="086CFF34" w14:textId="77777777">
      <w:pPr>
        <w:spacing w:after="206"/>
        <w:rPr>
          <w:b/>
          <w:iCs/>
        </w:rPr>
      </w:pPr>
      <w:r w:rsidRPr="00F05002">
        <w:rPr>
          <w:b/>
          <w:iCs/>
        </w:rPr>
        <w:t>*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rsidR="007B372B" w:rsidRPr="00923C94" w:rsidP="007B372B" w14:paraId="287FE856" w14:textId="159417AC">
      <w:pPr>
        <w:spacing w:after="206"/>
      </w:pPr>
      <w:r w:rsidRPr="00674418">
        <w:t xml:space="preserve">This </w:t>
      </w:r>
      <w:r w:rsidRPr="00674418" w:rsidR="008A3BD7">
        <w:t>clearance package represents a</w:t>
      </w:r>
      <w:r w:rsidRPr="00674418" w:rsidR="00E37A6E">
        <w:t xml:space="preserve"> “generic</w:t>
      </w:r>
      <w:r w:rsidRPr="00674418" w:rsidR="00674418">
        <w:t xml:space="preserve">” </w:t>
      </w:r>
      <w:r w:rsidRPr="00674418" w:rsidR="008A3BD7">
        <w:t xml:space="preserve">clearance </w:t>
      </w:r>
      <w:r w:rsidRPr="00674418" w:rsidR="0092734F">
        <w:t xml:space="preserve">for </w:t>
      </w:r>
      <w:r w:rsidRPr="00674418" w:rsidR="007B6C38">
        <w:t>a maximum of twenty (20)</w:t>
      </w:r>
      <w:r w:rsidRPr="00674418">
        <w:t xml:space="preserve"> separate surveys </w:t>
      </w:r>
      <w:r w:rsidRPr="00674418" w:rsidR="004F0BF1">
        <w:t xml:space="preserve">or site visits </w:t>
      </w:r>
      <w:r w:rsidRPr="00674418">
        <w:t>to be conducted over a three-year</w:t>
      </w:r>
      <w:r w:rsidRPr="00F07569">
        <w:t xml:space="preserve"> period</w:t>
      </w:r>
      <w:r w:rsidR="00781CA7">
        <w:t>,</w:t>
      </w:r>
      <w:r w:rsidRPr="00F07569">
        <w:t xml:space="preserve"> </w:t>
      </w:r>
      <w:r w:rsidR="0092734F">
        <w:t xml:space="preserve">with a </w:t>
      </w:r>
      <w:r w:rsidRPr="00F07569">
        <w:t xml:space="preserve">range of </w:t>
      </w:r>
      <w:r w:rsidR="00E27A49">
        <w:t xml:space="preserve">different </w:t>
      </w:r>
      <w:r w:rsidRPr="00F07569">
        <w:t>potential respondents</w:t>
      </w:r>
      <w:r w:rsidR="00E94B3D">
        <w:t>,</w:t>
      </w:r>
      <w:r w:rsidR="008310DF">
        <w:t xml:space="preserve"> at the </w:t>
      </w:r>
      <w:r w:rsidRPr="00F07569">
        <w:t xml:space="preserve">state </w:t>
      </w:r>
      <w:r w:rsidR="008310DF">
        <w:t>or local level</w:t>
      </w:r>
      <w:r w:rsidR="0092734F">
        <w:t xml:space="preserve"> in </w:t>
      </w:r>
      <w:r w:rsidRPr="00F07569">
        <w:t xml:space="preserve">workforce agencies, </w:t>
      </w:r>
      <w:r w:rsidR="00E27A49">
        <w:t>b</w:t>
      </w:r>
      <w:r w:rsidRPr="00F07569">
        <w:t>oards, American Job Center</w:t>
      </w:r>
      <w:r w:rsidR="008310DF">
        <w:t>s, partner programs</w:t>
      </w:r>
      <w:r w:rsidRPr="00F07569">
        <w:t>, and</w:t>
      </w:r>
      <w:r w:rsidR="008310DF">
        <w:t xml:space="preserve"> others</w:t>
      </w:r>
      <w:r w:rsidRPr="00F07569">
        <w:t xml:space="preserve">.  </w:t>
      </w:r>
      <w:r w:rsidRPr="00923C94">
        <w:t xml:space="preserve">Previous versions of this ICR presented </w:t>
      </w:r>
      <w:r w:rsidR="000413F3">
        <w:t>burdens</w:t>
      </w:r>
      <w:r w:rsidRPr="00923C94">
        <w:t xml:space="preserve"> regarding surveys only</w:t>
      </w:r>
      <w:r>
        <w:t xml:space="preserve">. </w:t>
      </w:r>
      <w:r w:rsidRPr="00923C94">
        <w:t xml:space="preserve">Since this ICR proposes </w:t>
      </w:r>
      <w:r>
        <w:t xml:space="preserve">to </w:t>
      </w:r>
      <w:r w:rsidRPr="00923C94">
        <w:t xml:space="preserve">add site visits to be reviewed under the quick turnaround clearance, new estimates are presented below, based on the assumption that </w:t>
      </w:r>
      <w:r>
        <w:t xml:space="preserve">there would be a maximum of </w:t>
      </w:r>
      <w:r w:rsidRPr="00923C94">
        <w:t xml:space="preserve">ten (10) future information requests for surveys </w:t>
      </w:r>
      <w:r w:rsidR="006A34AB">
        <w:t xml:space="preserve">and a maximum of </w:t>
      </w:r>
      <w:r w:rsidRPr="00923C94">
        <w:t xml:space="preserve">ten (10) requests for site visits.     </w:t>
      </w:r>
    </w:p>
    <w:p w:rsidR="007B372B" w:rsidP="007B372B" w14:paraId="4E00FA71" w14:textId="5B84C54B">
      <w:pPr>
        <w:spacing w:after="206"/>
      </w:pPr>
      <w:r w:rsidRPr="00923C94">
        <w:t xml:space="preserve">Under the estimate, each survey would have a maximum of 30 questions, </w:t>
      </w:r>
      <w:r w:rsidR="00BD6186">
        <w:t xml:space="preserve">each of </w:t>
      </w:r>
      <w:r w:rsidRPr="00923C94">
        <w:t xml:space="preserve">which could be answered on average in </w:t>
      </w:r>
      <w:r>
        <w:t>2</w:t>
      </w:r>
      <w:r w:rsidRPr="00923C94">
        <w:t xml:space="preserve"> minute</w:t>
      </w:r>
      <w:r>
        <w:t>s</w:t>
      </w:r>
      <w:r w:rsidRPr="00923C94">
        <w:t xml:space="preserve"> (</w:t>
      </w:r>
      <w:r>
        <w:t>for a total of</w:t>
      </w:r>
      <w:r w:rsidRPr="00923C94">
        <w:t xml:space="preserve"> </w:t>
      </w:r>
      <w:r>
        <w:t>6</w:t>
      </w:r>
      <w:r w:rsidRPr="00923C94">
        <w:t xml:space="preserve">0 minutes or </w:t>
      </w:r>
      <w:r>
        <w:t>1</w:t>
      </w:r>
      <w:r w:rsidRPr="00923C94">
        <w:t xml:space="preserve"> hour per respondent)</w:t>
      </w:r>
      <w:r>
        <w:t xml:space="preserve">. With an </w:t>
      </w:r>
      <w:r w:rsidRPr="00923C94">
        <w:t>average sample size of 250 respondents (though it is expected that an occasional survey may exceed that upper limit)</w:t>
      </w:r>
      <w:r>
        <w:t xml:space="preserve"> </w:t>
      </w:r>
      <w:r w:rsidRPr="00923C94">
        <w:t xml:space="preserve">each survey would entail </w:t>
      </w:r>
      <w:r>
        <w:t>250</w:t>
      </w:r>
      <w:r w:rsidRPr="00923C94">
        <w:t xml:space="preserve"> burden hours, and 10 surveys would result in a burden of </w:t>
      </w:r>
      <w:r>
        <w:t>2,500</w:t>
      </w:r>
      <w:r w:rsidRPr="00923C94">
        <w:t xml:space="preserve"> hours</w:t>
      </w:r>
      <w:r w:rsidR="00345031">
        <w:t>, as shown in the table below</w:t>
      </w:r>
      <w:r w:rsidRPr="00923C94">
        <w:t>.</w:t>
      </w:r>
      <w:r w:rsidR="00086E81">
        <w:t xml:space="preserve"> </w:t>
      </w:r>
      <w:r w:rsidR="00B86F33">
        <w:t>R</w:t>
      </w:r>
      <w:r w:rsidR="00086E81">
        <w:t>espondent costs for completing surveys</w:t>
      </w:r>
      <w:r w:rsidR="006A596C">
        <w:t xml:space="preserve">, </w:t>
      </w:r>
      <w:r w:rsidR="00086E81">
        <w:t xml:space="preserve">based on the median hourly wage of </w:t>
      </w:r>
      <w:r w:rsidRPr="00D12F93" w:rsidR="00086E81">
        <w:rPr>
          <w:color w:val="000000"/>
        </w:rPr>
        <w:t>$3</w:t>
      </w:r>
      <w:r w:rsidR="00086E81">
        <w:rPr>
          <w:color w:val="000000"/>
        </w:rPr>
        <w:t>5.58</w:t>
      </w:r>
      <w:r w:rsidRPr="00D12F93" w:rsidR="00086E81">
        <w:rPr>
          <w:color w:val="000000"/>
        </w:rPr>
        <w:t xml:space="preserve"> </w:t>
      </w:r>
      <w:r w:rsidR="00086E81">
        <w:rPr>
          <w:color w:val="000000"/>
        </w:rPr>
        <w:t xml:space="preserve">as found in </w:t>
      </w:r>
      <w:r w:rsidRPr="00D12F93" w:rsidR="00086E81">
        <w:rPr>
          <w:color w:val="000000"/>
        </w:rPr>
        <w:t xml:space="preserve">Bureau of Labor Statistics </w:t>
      </w:r>
      <w:r w:rsidR="00086E81">
        <w:rPr>
          <w:color w:val="000000"/>
        </w:rPr>
        <w:t xml:space="preserve">(BLS) estimates for </w:t>
      </w:r>
      <w:r w:rsidRPr="00D12F93" w:rsidR="00086E81">
        <w:rPr>
          <w:color w:val="000000"/>
        </w:rPr>
        <w:t>“Community and Social Services Manager Occupations</w:t>
      </w:r>
      <w:r w:rsidR="006A596C">
        <w:rPr>
          <w:color w:val="000000"/>
        </w:rPr>
        <w:t>,</w:t>
      </w:r>
      <w:r w:rsidRPr="00D12F93" w:rsidR="00086E81">
        <w:rPr>
          <w:color w:val="000000"/>
        </w:rPr>
        <w:t>”</w:t>
      </w:r>
      <w:r>
        <w:rPr>
          <w:rStyle w:val="FootnoteReference"/>
          <w:color w:val="000000"/>
        </w:rPr>
        <w:footnoteReference w:id="4"/>
      </w:r>
      <w:r w:rsidRPr="00D12F93" w:rsidR="00086E81">
        <w:rPr>
          <w:color w:val="000000"/>
        </w:rPr>
        <w:t xml:space="preserve"> </w:t>
      </w:r>
      <w:r w:rsidR="00086E81">
        <w:rPr>
          <w:color w:val="000000"/>
        </w:rPr>
        <w:t xml:space="preserve"> </w:t>
      </w:r>
      <w:r w:rsidR="00B86F33">
        <w:rPr>
          <w:color w:val="000000"/>
        </w:rPr>
        <w:t>yield an estimated</w:t>
      </w:r>
      <w:r w:rsidR="006A596C">
        <w:rPr>
          <w:color w:val="000000"/>
        </w:rPr>
        <w:t xml:space="preserve"> </w:t>
      </w:r>
      <w:r w:rsidR="00086E81">
        <w:t xml:space="preserve">monetized value of respondents’ time over three years for </w:t>
      </w:r>
      <w:r w:rsidR="00B86F33">
        <w:t>the</w:t>
      </w:r>
      <w:r w:rsidR="00086E81">
        <w:t xml:space="preserve"> </w:t>
      </w:r>
      <w:r w:rsidR="006A596C">
        <w:t xml:space="preserve">surveys </w:t>
      </w:r>
      <w:r w:rsidR="007B6CCD">
        <w:t>of $</w:t>
      </w:r>
      <w:r w:rsidR="006A596C">
        <w:t>88,950</w:t>
      </w:r>
      <w:r w:rsidR="00086E81">
        <w:t xml:space="preserve">. </w:t>
      </w:r>
    </w:p>
    <w:tbl>
      <w:tblPr>
        <w:tblpPr w:leftFromText="180" w:rightFromText="180" w:vertAnchor="text" w:horzAnchor="margin" w:tblpXSpec="center" w:tblpY="402"/>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347"/>
        <w:gridCol w:w="1197"/>
        <w:gridCol w:w="1036"/>
        <w:gridCol w:w="1067"/>
        <w:gridCol w:w="937"/>
        <w:gridCol w:w="1268"/>
        <w:gridCol w:w="807"/>
        <w:gridCol w:w="1606"/>
      </w:tblGrid>
      <w:tr w14:paraId="11F35FBF" w14:textId="77777777" w:rsidTr="0040049D">
        <w:tblPrEx>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1001"/>
        </w:trPr>
        <w:tc>
          <w:tcPr>
            <w:tcW w:w="1347" w:type="dxa"/>
            <w:shd w:val="clear" w:color="auto" w:fill="8DB3E2"/>
            <w:tcMar>
              <w:top w:w="0" w:type="dxa"/>
              <w:left w:w="108" w:type="dxa"/>
              <w:bottom w:w="0" w:type="dxa"/>
              <w:right w:w="108" w:type="dxa"/>
            </w:tcMar>
            <w:vAlign w:val="center"/>
            <w:hideMark/>
          </w:tcPr>
          <w:p w:rsidR="00AB3A29" w:rsidRPr="00833D33" w:rsidP="00CE7534" w14:paraId="5C6CD200" w14:textId="77777777">
            <w:pPr>
              <w:spacing w:line="276" w:lineRule="auto"/>
              <w:jc w:val="center"/>
              <w:rPr>
                <w:b/>
                <w:bCs/>
                <w:sz w:val="18"/>
                <w:szCs w:val="18"/>
              </w:rPr>
            </w:pPr>
            <w:r w:rsidRPr="00833D33">
              <w:rPr>
                <w:b/>
                <w:bCs/>
                <w:color w:val="000000"/>
                <w:sz w:val="18"/>
                <w:szCs w:val="18"/>
              </w:rPr>
              <w:t>Type of Information Collection</w:t>
            </w:r>
          </w:p>
        </w:tc>
        <w:tc>
          <w:tcPr>
            <w:tcW w:w="1197" w:type="dxa"/>
            <w:shd w:val="clear" w:color="auto" w:fill="8DB3E2"/>
            <w:tcMar>
              <w:top w:w="0" w:type="dxa"/>
              <w:left w:w="108" w:type="dxa"/>
              <w:bottom w:w="0" w:type="dxa"/>
              <w:right w:w="108" w:type="dxa"/>
            </w:tcMar>
            <w:vAlign w:val="center"/>
            <w:hideMark/>
          </w:tcPr>
          <w:p w:rsidR="00AB3A29" w:rsidRPr="00833D33" w:rsidP="00CE7534" w14:paraId="5CED9BC6" w14:textId="77777777">
            <w:pPr>
              <w:spacing w:line="276" w:lineRule="auto"/>
              <w:jc w:val="center"/>
              <w:rPr>
                <w:b/>
                <w:bCs/>
                <w:color w:val="000000"/>
                <w:sz w:val="18"/>
                <w:szCs w:val="18"/>
              </w:rPr>
            </w:pPr>
            <w:r w:rsidRPr="00833D33">
              <w:rPr>
                <w:b/>
                <w:bCs/>
                <w:color w:val="000000"/>
                <w:sz w:val="18"/>
                <w:szCs w:val="18"/>
              </w:rPr>
              <w:t xml:space="preserve">Number of Respondents </w:t>
            </w:r>
          </w:p>
          <w:p w:rsidR="00A34C3D" w:rsidRPr="00833D33" w:rsidP="00CE7534" w14:paraId="55C13572" w14:textId="3E6C545F">
            <w:pPr>
              <w:spacing w:line="276" w:lineRule="auto"/>
              <w:jc w:val="center"/>
              <w:rPr>
                <w:rFonts w:ascii="Calibri" w:hAnsi="Calibri" w:cs="Calibri"/>
                <w:b/>
                <w:bCs/>
                <w:sz w:val="18"/>
                <w:szCs w:val="18"/>
              </w:rPr>
            </w:pPr>
          </w:p>
        </w:tc>
        <w:tc>
          <w:tcPr>
            <w:tcW w:w="1036" w:type="dxa"/>
            <w:shd w:val="clear" w:color="auto" w:fill="8DB3E2"/>
            <w:tcMar>
              <w:top w:w="0" w:type="dxa"/>
              <w:left w:w="108" w:type="dxa"/>
              <w:bottom w:w="0" w:type="dxa"/>
              <w:right w:w="108" w:type="dxa"/>
            </w:tcMar>
            <w:vAlign w:val="center"/>
            <w:hideMark/>
          </w:tcPr>
          <w:p w:rsidR="00AB3A29" w:rsidRPr="00833D33" w:rsidP="00CE7534" w14:paraId="702C4262" w14:textId="77777777">
            <w:pPr>
              <w:spacing w:line="276" w:lineRule="auto"/>
              <w:jc w:val="center"/>
              <w:rPr>
                <w:b/>
                <w:bCs/>
                <w:sz w:val="18"/>
                <w:szCs w:val="18"/>
              </w:rPr>
            </w:pPr>
            <w:r w:rsidRPr="00833D33">
              <w:rPr>
                <w:b/>
                <w:bCs/>
                <w:color w:val="000000"/>
                <w:sz w:val="18"/>
                <w:szCs w:val="18"/>
              </w:rPr>
              <w:t xml:space="preserve">Frequency </w:t>
            </w:r>
          </w:p>
        </w:tc>
        <w:tc>
          <w:tcPr>
            <w:tcW w:w="1067" w:type="dxa"/>
            <w:shd w:val="clear" w:color="auto" w:fill="8DB3E2"/>
            <w:vAlign w:val="center"/>
          </w:tcPr>
          <w:p w:rsidR="00AB3A29" w:rsidRPr="00833D33" w:rsidP="00CE7534" w14:paraId="6CFB9FFC" w14:textId="77777777">
            <w:pPr>
              <w:spacing w:line="276" w:lineRule="auto"/>
              <w:jc w:val="center"/>
              <w:rPr>
                <w:b/>
                <w:bCs/>
                <w:color w:val="000000"/>
                <w:sz w:val="18"/>
                <w:szCs w:val="18"/>
              </w:rPr>
            </w:pPr>
            <w:r w:rsidRPr="00833D33">
              <w:rPr>
                <w:b/>
                <w:bCs/>
                <w:color w:val="000000"/>
                <w:sz w:val="18"/>
                <w:szCs w:val="18"/>
              </w:rPr>
              <w:t xml:space="preserve">Total Responses </w:t>
            </w:r>
          </w:p>
        </w:tc>
        <w:tc>
          <w:tcPr>
            <w:tcW w:w="937" w:type="dxa"/>
            <w:shd w:val="clear" w:color="auto" w:fill="8DB3E2"/>
            <w:tcMar>
              <w:top w:w="0" w:type="dxa"/>
              <w:left w:w="108" w:type="dxa"/>
              <w:bottom w:w="0" w:type="dxa"/>
              <w:right w:w="108" w:type="dxa"/>
            </w:tcMar>
            <w:vAlign w:val="center"/>
            <w:hideMark/>
          </w:tcPr>
          <w:p w:rsidR="00AB3A29" w:rsidRPr="00833D33" w:rsidP="00CE7534" w14:paraId="0C358674" w14:textId="77777777">
            <w:pPr>
              <w:spacing w:line="276" w:lineRule="auto"/>
              <w:jc w:val="center"/>
              <w:rPr>
                <w:b/>
                <w:bCs/>
                <w:sz w:val="18"/>
                <w:szCs w:val="18"/>
              </w:rPr>
            </w:pPr>
            <w:r w:rsidRPr="00833D33">
              <w:rPr>
                <w:b/>
                <w:bCs/>
                <w:color w:val="000000"/>
                <w:sz w:val="18"/>
                <w:szCs w:val="18"/>
              </w:rPr>
              <w:t>Time Per Response (Hours)</w:t>
            </w:r>
          </w:p>
        </w:tc>
        <w:tc>
          <w:tcPr>
            <w:tcW w:w="1268" w:type="dxa"/>
            <w:shd w:val="clear" w:color="auto" w:fill="8DB3E2"/>
            <w:tcMar>
              <w:top w:w="0" w:type="dxa"/>
              <w:left w:w="108" w:type="dxa"/>
              <w:bottom w:w="0" w:type="dxa"/>
              <w:right w:w="108" w:type="dxa"/>
            </w:tcMar>
            <w:vAlign w:val="center"/>
            <w:hideMark/>
          </w:tcPr>
          <w:p w:rsidR="00AB3A29" w:rsidRPr="00833D33" w:rsidP="00CE7534" w14:paraId="7C73C603" w14:textId="77777777">
            <w:pPr>
              <w:spacing w:line="276" w:lineRule="auto"/>
              <w:jc w:val="center"/>
              <w:rPr>
                <w:b/>
                <w:bCs/>
                <w:sz w:val="18"/>
                <w:szCs w:val="18"/>
              </w:rPr>
            </w:pPr>
            <w:r w:rsidRPr="00833D33">
              <w:rPr>
                <w:b/>
                <w:bCs/>
                <w:color w:val="000000"/>
                <w:sz w:val="18"/>
                <w:szCs w:val="18"/>
              </w:rPr>
              <w:t>Respondent Burden</w:t>
            </w:r>
          </w:p>
          <w:p w:rsidR="00AB3A29" w:rsidRPr="00833D33" w:rsidP="00CE7534" w14:paraId="008051F0" w14:textId="77777777">
            <w:pPr>
              <w:spacing w:line="276" w:lineRule="auto"/>
              <w:jc w:val="center"/>
              <w:rPr>
                <w:b/>
                <w:bCs/>
                <w:sz w:val="18"/>
                <w:szCs w:val="18"/>
              </w:rPr>
            </w:pPr>
            <w:r w:rsidRPr="00833D33">
              <w:rPr>
                <w:b/>
                <w:bCs/>
                <w:color w:val="000000"/>
                <w:sz w:val="18"/>
                <w:szCs w:val="18"/>
              </w:rPr>
              <w:t>Hours</w:t>
            </w:r>
          </w:p>
        </w:tc>
        <w:tc>
          <w:tcPr>
            <w:tcW w:w="807" w:type="dxa"/>
            <w:shd w:val="clear" w:color="auto" w:fill="8DB3E2"/>
            <w:tcMar>
              <w:top w:w="0" w:type="dxa"/>
              <w:left w:w="108" w:type="dxa"/>
              <w:bottom w:w="0" w:type="dxa"/>
              <w:right w:w="108" w:type="dxa"/>
            </w:tcMar>
            <w:vAlign w:val="center"/>
            <w:hideMark/>
          </w:tcPr>
          <w:p w:rsidR="00AB3A29" w:rsidRPr="00833D33" w:rsidP="00CE7534" w14:paraId="55D40694" w14:textId="77777777">
            <w:pPr>
              <w:spacing w:line="276" w:lineRule="auto"/>
              <w:jc w:val="center"/>
              <w:rPr>
                <w:b/>
                <w:bCs/>
                <w:sz w:val="18"/>
                <w:szCs w:val="18"/>
              </w:rPr>
            </w:pPr>
            <w:r w:rsidRPr="00833D33">
              <w:rPr>
                <w:b/>
                <w:bCs/>
                <w:color w:val="000000"/>
                <w:sz w:val="18"/>
                <w:szCs w:val="18"/>
              </w:rPr>
              <w:t>Median Hourly Wage</w:t>
            </w:r>
          </w:p>
        </w:tc>
        <w:tc>
          <w:tcPr>
            <w:tcW w:w="1606" w:type="dxa"/>
            <w:shd w:val="clear" w:color="auto" w:fill="8DB3E2"/>
            <w:tcMar>
              <w:top w:w="0" w:type="dxa"/>
              <w:left w:w="108" w:type="dxa"/>
              <w:bottom w:w="0" w:type="dxa"/>
              <w:right w:w="108" w:type="dxa"/>
            </w:tcMar>
            <w:vAlign w:val="center"/>
            <w:hideMark/>
          </w:tcPr>
          <w:p w:rsidR="00AB3A29" w:rsidRPr="00833D33" w:rsidP="00CE7534" w14:paraId="420D43EB" w14:textId="04135D05">
            <w:pPr>
              <w:spacing w:line="276" w:lineRule="auto"/>
              <w:jc w:val="center"/>
              <w:rPr>
                <w:b/>
                <w:bCs/>
                <w:sz w:val="18"/>
                <w:szCs w:val="18"/>
              </w:rPr>
            </w:pPr>
            <w:r>
              <w:rPr>
                <w:b/>
                <w:bCs/>
                <w:color w:val="000000"/>
                <w:sz w:val="18"/>
                <w:szCs w:val="18"/>
              </w:rPr>
              <w:t xml:space="preserve">Total </w:t>
            </w:r>
            <w:r w:rsidRPr="00833D33">
              <w:rPr>
                <w:b/>
                <w:bCs/>
                <w:color w:val="000000"/>
                <w:sz w:val="18"/>
                <w:szCs w:val="18"/>
              </w:rPr>
              <w:t>Monetized Value of Respondent Time</w:t>
            </w:r>
          </w:p>
        </w:tc>
      </w:tr>
      <w:tr w14:paraId="3606A336" w14:textId="77777777" w:rsidTr="0040049D">
        <w:tblPrEx>
          <w:tblW w:w="9265" w:type="dxa"/>
          <w:tblCellMar>
            <w:left w:w="0" w:type="dxa"/>
            <w:right w:w="0" w:type="dxa"/>
          </w:tblCellMar>
          <w:tblLook w:val="04A0"/>
        </w:tblPrEx>
        <w:trPr>
          <w:trHeight w:val="522"/>
        </w:trPr>
        <w:tc>
          <w:tcPr>
            <w:tcW w:w="1347" w:type="dxa"/>
            <w:tcMar>
              <w:top w:w="0" w:type="dxa"/>
              <w:left w:w="108" w:type="dxa"/>
              <w:bottom w:w="0" w:type="dxa"/>
              <w:right w:w="108" w:type="dxa"/>
            </w:tcMar>
            <w:vAlign w:val="center"/>
          </w:tcPr>
          <w:p w:rsidR="00AB3A29" w:rsidRPr="00833D33" w:rsidP="00CE7534" w14:paraId="40ACDFE7" w14:textId="77777777">
            <w:pPr>
              <w:spacing w:line="276" w:lineRule="auto"/>
              <w:jc w:val="center"/>
              <w:rPr>
                <w:b/>
                <w:bCs/>
                <w:i/>
                <w:iCs/>
                <w:sz w:val="18"/>
                <w:szCs w:val="18"/>
              </w:rPr>
            </w:pPr>
          </w:p>
          <w:p w:rsidR="00AB3A29" w:rsidRPr="00833D33" w:rsidP="00CE7534" w14:paraId="43167FA1" w14:textId="77777777">
            <w:pPr>
              <w:spacing w:line="276" w:lineRule="auto"/>
              <w:jc w:val="center"/>
              <w:rPr>
                <w:b/>
                <w:bCs/>
                <w:i/>
                <w:iCs/>
                <w:sz w:val="18"/>
                <w:szCs w:val="18"/>
              </w:rPr>
            </w:pPr>
            <w:r w:rsidRPr="00833D33">
              <w:rPr>
                <w:b/>
                <w:bCs/>
                <w:i/>
                <w:iCs/>
                <w:sz w:val="18"/>
                <w:szCs w:val="18"/>
              </w:rPr>
              <w:t>Survey Questionnaires</w:t>
            </w:r>
          </w:p>
        </w:tc>
        <w:tc>
          <w:tcPr>
            <w:tcW w:w="1197" w:type="dxa"/>
            <w:tcMar>
              <w:top w:w="0" w:type="dxa"/>
              <w:left w:w="108" w:type="dxa"/>
              <w:bottom w:w="0" w:type="dxa"/>
              <w:right w:w="108" w:type="dxa"/>
            </w:tcMar>
            <w:vAlign w:val="center"/>
          </w:tcPr>
          <w:p w:rsidR="00AB3A29" w:rsidRPr="00833D33" w:rsidP="00CE7534" w14:paraId="7BBB0C15" w14:textId="04781F63">
            <w:pPr>
              <w:spacing w:line="252" w:lineRule="auto"/>
              <w:jc w:val="center"/>
              <w:rPr>
                <w:b/>
                <w:bCs/>
                <w:i/>
                <w:iCs/>
                <w:sz w:val="18"/>
                <w:szCs w:val="18"/>
              </w:rPr>
            </w:pPr>
            <w:r w:rsidRPr="00833D33">
              <w:rPr>
                <w:b/>
                <w:bCs/>
                <w:i/>
                <w:iCs/>
                <w:sz w:val="18"/>
                <w:szCs w:val="18"/>
              </w:rPr>
              <w:t>2</w:t>
            </w:r>
            <w:r w:rsidRPr="00833D33" w:rsidR="00A34C3D">
              <w:rPr>
                <w:b/>
                <w:bCs/>
                <w:i/>
                <w:iCs/>
                <w:sz w:val="18"/>
                <w:szCs w:val="18"/>
              </w:rPr>
              <w:t>,</w:t>
            </w:r>
            <w:r w:rsidRPr="00833D33">
              <w:rPr>
                <w:b/>
                <w:bCs/>
                <w:i/>
                <w:iCs/>
                <w:sz w:val="18"/>
                <w:szCs w:val="18"/>
              </w:rPr>
              <w:t>50</w:t>
            </w:r>
            <w:r w:rsidRPr="00833D33" w:rsidR="00A34C3D">
              <w:rPr>
                <w:b/>
                <w:bCs/>
                <w:i/>
                <w:iCs/>
                <w:sz w:val="18"/>
                <w:szCs w:val="18"/>
              </w:rPr>
              <w:t>0</w:t>
            </w:r>
          </w:p>
        </w:tc>
        <w:tc>
          <w:tcPr>
            <w:tcW w:w="1036" w:type="dxa"/>
            <w:tcMar>
              <w:top w:w="0" w:type="dxa"/>
              <w:left w:w="108" w:type="dxa"/>
              <w:bottom w:w="0" w:type="dxa"/>
              <w:right w:w="108" w:type="dxa"/>
            </w:tcMar>
            <w:vAlign w:val="center"/>
            <w:hideMark/>
          </w:tcPr>
          <w:p w:rsidR="00AB3A29" w:rsidRPr="00833D33" w:rsidP="00CE7534" w14:paraId="51CB8E91" w14:textId="6948D3BC">
            <w:pPr>
              <w:spacing w:line="252" w:lineRule="auto"/>
              <w:jc w:val="center"/>
              <w:rPr>
                <w:b/>
                <w:bCs/>
                <w:i/>
                <w:iCs/>
                <w:sz w:val="18"/>
                <w:szCs w:val="18"/>
              </w:rPr>
            </w:pPr>
            <w:r w:rsidRPr="00833D33">
              <w:rPr>
                <w:b/>
                <w:bCs/>
                <w:i/>
                <w:iCs/>
                <w:sz w:val="18"/>
                <w:szCs w:val="18"/>
              </w:rPr>
              <w:t>1</w:t>
            </w:r>
          </w:p>
        </w:tc>
        <w:tc>
          <w:tcPr>
            <w:tcW w:w="1067" w:type="dxa"/>
            <w:vAlign w:val="center"/>
          </w:tcPr>
          <w:p w:rsidR="00AB3A29" w:rsidRPr="00833D33" w:rsidP="00CE7534" w14:paraId="09294425" w14:textId="77777777">
            <w:pPr>
              <w:spacing w:line="252" w:lineRule="auto"/>
              <w:jc w:val="center"/>
              <w:rPr>
                <w:b/>
                <w:bCs/>
                <w:i/>
                <w:iCs/>
                <w:sz w:val="18"/>
                <w:szCs w:val="18"/>
              </w:rPr>
            </w:pPr>
            <w:r w:rsidRPr="00833D33">
              <w:rPr>
                <w:b/>
                <w:bCs/>
                <w:i/>
                <w:iCs/>
                <w:sz w:val="18"/>
                <w:szCs w:val="18"/>
              </w:rPr>
              <w:t>2,500</w:t>
            </w:r>
          </w:p>
        </w:tc>
        <w:tc>
          <w:tcPr>
            <w:tcW w:w="937" w:type="dxa"/>
            <w:tcMar>
              <w:top w:w="0" w:type="dxa"/>
              <w:left w:w="108" w:type="dxa"/>
              <w:bottom w:w="0" w:type="dxa"/>
              <w:right w:w="108" w:type="dxa"/>
            </w:tcMar>
            <w:vAlign w:val="center"/>
            <w:hideMark/>
          </w:tcPr>
          <w:p w:rsidR="00AB3A29" w:rsidRPr="00833D33" w:rsidP="00CE7534" w14:paraId="0F27EF66" w14:textId="77777777">
            <w:pPr>
              <w:spacing w:line="252" w:lineRule="auto"/>
              <w:jc w:val="center"/>
              <w:rPr>
                <w:b/>
                <w:bCs/>
                <w:i/>
                <w:iCs/>
                <w:sz w:val="18"/>
                <w:szCs w:val="18"/>
              </w:rPr>
            </w:pPr>
            <w:r w:rsidRPr="00833D33">
              <w:rPr>
                <w:b/>
                <w:bCs/>
                <w:i/>
                <w:iCs/>
                <w:sz w:val="18"/>
                <w:szCs w:val="18"/>
              </w:rPr>
              <w:t>1 hour</w:t>
            </w:r>
          </w:p>
        </w:tc>
        <w:tc>
          <w:tcPr>
            <w:tcW w:w="1268" w:type="dxa"/>
            <w:tcMar>
              <w:top w:w="0" w:type="dxa"/>
              <w:left w:w="108" w:type="dxa"/>
              <w:bottom w:w="0" w:type="dxa"/>
              <w:right w:w="108" w:type="dxa"/>
            </w:tcMar>
            <w:vAlign w:val="center"/>
            <w:hideMark/>
          </w:tcPr>
          <w:p w:rsidR="00AB3A29" w:rsidRPr="00833D33" w:rsidP="00833D33" w14:paraId="0A17D920" w14:textId="77777777">
            <w:pPr>
              <w:spacing w:line="252" w:lineRule="auto"/>
              <w:ind w:right="-162"/>
              <w:jc w:val="center"/>
              <w:rPr>
                <w:i/>
                <w:iCs/>
                <w:sz w:val="18"/>
                <w:szCs w:val="18"/>
              </w:rPr>
            </w:pPr>
            <w:r w:rsidRPr="00833D33">
              <w:rPr>
                <w:b/>
                <w:bCs/>
                <w:i/>
                <w:iCs/>
                <w:sz w:val="18"/>
                <w:szCs w:val="18"/>
              </w:rPr>
              <w:t>2,500</w:t>
            </w:r>
          </w:p>
        </w:tc>
        <w:tc>
          <w:tcPr>
            <w:tcW w:w="807" w:type="dxa"/>
            <w:tcMar>
              <w:top w:w="0" w:type="dxa"/>
              <w:left w:w="108" w:type="dxa"/>
              <w:bottom w:w="0" w:type="dxa"/>
              <w:right w:w="108" w:type="dxa"/>
            </w:tcMar>
            <w:vAlign w:val="center"/>
            <w:hideMark/>
          </w:tcPr>
          <w:p w:rsidR="00AB3A29" w:rsidRPr="00833D33" w:rsidP="00CE7534" w14:paraId="4FF15586" w14:textId="0C48ABB7">
            <w:pPr>
              <w:spacing w:line="252" w:lineRule="auto"/>
              <w:jc w:val="center"/>
              <w:rPr>
                <w:b/>
                <w:bCs/>
                <w:i/>
                <w:iCs/>
                <w:sz w:val="18"/>
                <w:szCs w:val="18"/>
              </w:rPr>
            </w:pPr>
            <w:r w:rsidRPr="00833D33">
              <w:rPr>
                <w:b/>
                <w:bCs/>
                <w:i/>
                <w:iCs/>
                <w:sz w:val="18"/>
                <w:szCs w:val="18"/>
              </w:rPr>
              <w:t>$35.58</w:t>
            </w:r>
          </w:p>
        </w:tc>
        <w:tc>
          <w:tcPr>
            <w:tcW w:w="1606" w:type="dxa"/>
            <w:tcMar>
              <w:top w:w="0" w:type="dxa"/>
              <w:left w:w="108" w:type="dxa"/>
              <w:bottom w:w="0" w:type="dxa"/>
              <w:right w:w="108" w:type="dxa"/>
            </w:tcMar>
            <w:vAlign w:val="center"/>
            <w:hideMark/>
          </w:tcPr>
          <w:p w:rsidR="00AB3A29" w:rsidRPr="00833D33" w:rsidP="00CE7534" w14:paraId="786AD8A8" w14:textId="77777777">
            <w:pPr>
              <w:spacing w:line="252" w:lineRule="auto"/>
              <w:jc w:val="center"/>
              <w:rPr>
                <w:b/>
                <w:bCs/>
                <w:i/>
                <w:iCs/>
                <w:sz w:val="18"/>
                <w:szCs w:val="18"/>
              </w:rPr>
            </w:pPr>
            <w:r w:rsidRPr="00833D33">
              <w:rPr>
                <w:b/>
                <w:bCs/>
                <w:i/>
                <w:iCs/>
                <w:sz w:val="18"/>
                <w:szCs w:val="18"/>
              </w:rPr>
              <w:t>$88,950</w:t>
            </w:r>
          </w:p>
        </w:tc>
      </w:tr>
      <w:tr w14:paraId="3D7490C3" w14:textId="77777777" w:rsidTr="0040049D">
        <w:tblPrEx>
          <w:tblW w:w="9265" w:type="dxa"/>
          <w:tblCellMar>
            <w:left w:w="0" w:type="dxa"/>
            <w:right w:w="0" w:type="dxa"/>
          </w:tblCellMar>
          <w:tblLook w:val="04A0"/>
        </w:tblPrEx>
        <w:trPr>
          <w:trHeight w:val="343"/>
        </w:trPr>
        <w:tc>
          <w:tcPr>
            <w:tcW w:w="1347" w:type="dxa"/>
            <w:tcMar>
              <w:top w:w="0" w:type="dxa"/>
              <w:left w:w="108" w:type="dxa"/>
              <w:bottom w:w="0" w:type="dxa"/>
              <w:right w:w="108" w:type="dxa"/>
            </w:tcMar>
            <w:vAlign w:val="center"/>
            <w:hideMark/>
          </w:tcPr>
          <w:p w:rsidR="00AB3A29" w:rsidRPr="00833D33" w:rsidP="00CE7534" w14:paraId="3CCCE04C" w14:textId="77777777">
            <w:pPr>
              <w:spacing w:line="276" w:lineRule="auto"/>
              <w:jc w:val="center"/>
              <w:rPr>
                <w:b/>
                <w:bCs/>
                <w:i/>
                <w:iCs/>
                <w:sz w:val="18"/>
                <w:szCs w:val="18"/>
              </w:rPr>
            </w:pPr>
            <w:r w:rsidRPr="00833D33">
              <w:rPr>
                <w:b/>
                <w:bCs/>
                <w:i/>
                <w:iCs/>
                <w:sz w:val="18"/>
                <w:szCs w:val="18"/>
              </w:rPr>
              <w:t>Unduplicated Total</w:t>
            </w:r>
          </w:p>
          <w:p w:rsidR="00AB3A29" w:rsidRPr="00833D33" w:rsidP="00CE7534" w14:paraId="1AC5A1CC" w14:textId="77777777">
            <w:pPr>
              <w:spacing w:line="276" w:lineRule="auto"/>
              <w:jc w:val="center"/>
              <w:rPr>
                <w:b/>
                <w:bCs/>
                <w:i/>
                <w:iCs/>
                <w:sz w:val="18"/>
                <w:szCs w:val="18"/>
              </w:rPr>
            </w:pPr>
          </w:p>
        </w:tc>
        <w:tc>
          <w:tcPr>
            <w:tcW w:w="1197" w:type="dxa"/>
            <w:tcMar>
              <w:top w:w="0" w:type="dxa"/>
              <w:left w:w="108" w:type="dxa"/>
              <w:bottom w:w="0" w:type="dxa"/>
              <w:right w:w="108" w:type="dxa"/>
            </w:tcMar>
            <w:vAlign w:val="center"/>
            <w:hideMark/>
          </w:tcPr>
          <w:p w:rsidR="00AB3A29" w:rsidRPr="00833D33" w:rsidP="00CE7534" w14:paraId="2ADCCEF3" w14:textId="5CFE923D">
            <w:pPr>
              <w:spacing w:line="252" w:lineRule="auto"/>
              <w:jc w:val="center"/>
              <w:rPr>
                <w:b/>
                <w:bCs/>
                <w:i/>
                <w:iCs/>
                <w:sz w:val="18"/>
                <w:szCs w:val="18"/>
              </w:rPr>
            </w:pPr>
            <w:r w:rsidRPr="00833D33">
              <w:rPr>
                <w:b/>
                <w:bCs/>
                <w:i/>
                <w:iCs/>
                <w:sz w:val="18"/>
                <w:szCs w:val="18"/>
              </w:rPr>
              <w:t>2</w:t>
            </w:r>
            <w:r w:rsidRPr="00833D33" w:rsidR="00A34C3D">
              <w:rPr>
                <w:b/>
                <w:bCs/>
                <w:i/>
                <w:iCs/>
                <w:sz w:val="18"/>
                <w:szCs w:val="18"/>
              </w:rPr>
              <w:t>,</w:t>
            </w:r>
            <w:r w:rsidRPr="00833D33">
              <w:rPr>
                <w:b/>
                <w:bCs/>
                <w:i/>
                <w:iCs/>
                <w:sz w:val="18"/>
                <w:szCs w:val="18"/>
              </w:rPr>
              <w:t>50</w:t>
            </w:r>
            <w:r w:rsidRPr="00833D33" w:rsidR="00A34C3D">
              <w:rPr>
                <w:b/>
                <w:bCs/>
                <w:i/>
                <w:iCs/>
                <w:sz w:val="18"/>
                <w:szCs w:val="18"/>
              </w:rPr>
              <w:t>0</w:t>
            </w:r>
          </w:p>
        </w:tc>
        <w:tc>
          <w:tcPr>
            <w:tcW w:w="1036" w:type="dxa"/>
            <w:tcMar>
              <w:top w:w="0" w:type="dxa"/>
              <w:left w:w="108" w:type="dxa"/>
              <w:bottom w:w="0" w:type="dxa"/>
              <w:right w:w="108" w:type="dxa"/>
            </w:tcMar>
            <w:vAlign w:val="center"/>
          </w:tcPr>
          <w:p w:rsidR="00AB3A29" w:rsidRPr="00833D33" w:rsidP="00CE7534" w14:paraId="73FC10D3" w14:textId="77777777">
            <w:pPr>
              <w:spacing w:line="252" w:lineRule="auto"/>
              <w:jc w:val="center"/>
              <w:rPr>
                <w:b/>
                <w:bCs/>
                <w:i/>
                <w:iCs/>
                <w:sz w:val="18"/>
                <w:szCs w:val="18"/>
              </w:rPr>
            </w:pPr>
            <w:r w:rsidRPr="00833D33">
              <w:rPr>
                <w:b/>
                <w:bCs/>
                <w:i/>
                <w:iCs/>
                <w:sz w:val="18"/>
                <w:szCs w:val="18"/>
              </w:rPr>
              <w:t>--</w:t>
            </w:r>
          </w:p>
        </w:tc>
        <w:tc>
          <w:tcPr>
            <w:tcW w:w="1067" w:type="dxa"/>
            <w:vAlign w:val="center"/>
          </w:tcPr>
          <w:p w:rsidR="00AB3A29" w:rsidRPr="00833D33" w:rsidP="00CE7534" w14:paraId="281E529C" w14:textId="77777777">
            <w:pPr>
              <w:spacing w:line="252" w:lineRule="auto"/>
              <w:jc w:val="center"/>
              <w:rPr>
                <w:b/>
                <w:bCs/>
                <w:i/>
                <w:iCs/>
                <w:sz w:val="18"/>
                <w:szCs w:val="18"/>
              </w:rPr>
            </w:pPr>
            <w:r w:rsidRPr="00833D33">
              <w:rPr>
                <w:b/>
                <w:bCs/>
                <w:i/>
                <w:iCs/>
                <w:sz w:val="18"/>
                <w:szCs w:val="18"/>
              </w:rPr>
              <w:t>2,500</w:t>
            </w:r>
          </w:p>
        </w:tc>
        <w:tc>
          <w:tcPr>
            <w:tcW w:w="937" w:type="dxa"/>
            <w:tcMar>
              <w:top w:w="0" w:type="dxa"/>
              <w:left w:w="108" w:type="dxa"/>
              <w:bottom w:w="0" w:type="dxa"/>
              <w:right w:w="108" w:type="dxa"/>
            </w:tcMar>
            <w:vAlign w:val="center"/>
          </w:tcPr>
          <w:p w:rsidR="00AB3A29" w:rsidRPr="00833D33" w:rsidP="00CE7534" w14:paraId="2E53EA23" w14:textId="77777777">
            <w:pPr>
              <w:spacing w:line="252" w:lineRule="auto"/>
              <w:jc w:val="center"/>
              <w:rPr>
                <w:b/>
                <w:bCs/>
                <w:i/>
                <w:iCs/>
                <w:sz w:val="18"/>
                <w:szCs w:val="18"/>
              </w:rPr>
            </w:pPr>
            <w:r w:rsidRPr="00833D33">
              <w:rPr>
                <w:b/>
                <w:bCs/>
                <w:i/>
                <w:iCs/>
                <w:sz w:val="18"/>
                <w:szCs w:val="18"/>
              </w:rPr>
              <w:t>--</w:t>
            </w:r>
          </w:p>
        </w:tc>
        <w:tc>
          <w:tcPr>
            <w:tcW w:w="1268" w:type="dxa"/>
            <w:tcMar>
              <w:top w:w="0" w:type="dxa"/>
              <w:left w:w="108" w:type="dxa"/>
              <w:bottom w:w="0" w:type="dxa"/>
              <w:right w:w="108" w:type="dxa"/>
            </w:tcMar>
            <w:vAlign w:val="center"/>
            <w:hideMark/>
          </w:tcPr>
          <w:p w:rsidR="00AB3A29" w:rsidRPr="00833D33" w:rsidP="00CE7534" w14:paraId="644A14C8" w14:textId="75631A83">
            <w:pPr>
              <w:spacing w:line="252" w:lineRule="auto"/>
              <w:jc w:val="center"/>
              <w:rPr>
                <w:i/>
                <w:iCs/>
                <w:sz w:val="18"/>
                <w:szCs w:val="18"/>
              </w:rPr>
            </w:pPr>
            <w:r>
              <w:rPr>
                <w:b/>
                <w:bCs/>
                <w:i/>
                <w:iCs/>
                <w:sz w:val="18"/>
                <w:szCs w:val="18"/>
              </w:rPr>
              <w:t xml:space="preserve"> </w:t>
            </w:r>
            <w:r w:rsidRPr="00833D33">
              <w:rPr>
                <w:b/>
                <w:bCs/>
                <w:i/>
                <w:iCs/>
                <w:sz w:val="18"/>
                <w:szCs w:val="18"/>
              </w:rPr>
              <w:t>2,500</w:t>
            </w:r>
          </w:p>
        </w:tc>
        <w:tc>
          <w:tcPr>
            <w:tcW w:w="807" w:type="dxa"/>
            <w:tcMar>
              <w:top w:w="0" w:type="dxa"/>
              <w:left w:w="108" w:type="dxa"/>
              <w:bottom w:w="0" w:type="dxa"/>
              <w:right w:w="108" w:type="dxa"/>
            </w:tcMar>
            <w:vAlign w:val="center"/>
          </w:tcPr>
          <w:p w:rsidR="00AB3A29" w:rsidRPr="00833D33" w:rsidP="00CE7534" w14:paraId="090C3538" w14:textId="77777777">
            <w:pPr>
              <w:spacing w:line="252" w:lineRule="auto"/>
              <w:jc w:val="center"/>
              <w:rPr>
                <w:b/>
                <w:bCs/>
                <w:i/>
                <w:iCs/>
                <w:sz w:val="18"/>
                <w:szCs w:val="18"/>
              </w:rPr>
            </w:pPr>
            <w:r w:rsidRPr="00833D33">
              <w:rPr>
                <w:b/>
                <w:bCs/>
                <w:i/>
                <w:iCs/>
                <w:sz w:val="18"/>
                <w:szCs w:val="18"/>
              </w:rPr>
              <w:t>--</w:t>
            </w:r>
          </w:p>
        </w:tc>
        <w:tc>
          <w:tcPr>
            <w:tcW w:w="1606" w:type="dxa"/>
            <w:tcMar>
              <w:top w:w="0" w:type="dxa"/>
              <w:left w:w="108" w:type="dxa"/>
              <w:bottom w:w="0" w:type="dxa"/>
              <w:right w:w="108" w:type="dxa"/>
            </w:tcMar>
            <w:vAlign w:val="center"/>
            <w:hideMark/>
          </w:tcPr>
          <w:p w:rsidR="00AB3A29" w:rsidRPr="00833D33" w:rsidP="00CE7534" w14:paraId="346262C9" w14:textId="68E78565">
            <w:pPr>
              <w:spacing w:line="252" w:lineRule="auto"/>
              <w:jc w:val="center"/>
              <w:rPr>
                <w:b/>
                <w:bCs/>
                <w:i/>
                <w:iCs/>
                <w:sz w:val="18"/>
                <w:szCs w:val="18"/>
              </w:rPr>
            </w:pPr>
            <w:r w:rsidRPr="00833D33">
              <w:rPr>
                <w:b/>
                <w:bCs/>
                <w:i/>
                <w:iCs/>
                <w:sz w:val="18"/>
                <w:szCs w:val="18"/>
              </w:rPr>
              <w:t>$88,950</w:t>
            </w:r>
          </w:p>
        </w:tc>
      </w:tr>
    </w:tbl>
    <w:p w:rsidR="00AB3A29" w:rsidRPr="000466FD" w:rsidP="000466FD" w14:paraId="75E9F5DE" w14:textId="7A555C0E">
      <w:pPr>
        <w:spacing w:after="206"/>
        <w:jc w:val="center"/>
        <w:rPr>
          <w:b/>
          <w:bCs/>
        </w:rPr>
      </w:pPr>
      <w:r w:rsidRPr="000466FD">
        <w:rPr>
          <w:b/>
          <w:bCs/>
        </w:rPr>
        <w:t xml:space="preserve">Survey </w:t>
      </w:r>
      <w:r w:rsidR="00A34C3D">
        <w:rPr>
          <w:b/>
          <w:bCs/>
        </w:rPr>
        <w:t xml:space="preserve">Questionnaire </w:t>
      </w:r>
      <w:r w:rsidRPr="000466FD">
        <w:rPr>
          <w:b/>
          <w:bCs/>
        </w:rPr>
        <w:t>Burden</w:t>
      </w:r>
    </w:p>
    <w:p w:rsidR="00AB3A29" w:rsidP="007B372B" w14:paraId="243EED59" w14:textId="77777777">
      <w:pPr>
        <w:spacing w:after="206"/>
      </w:pPr>
    </w:p>
    <w:p w:rsidR="00AB3A29" w:rsidRPr="007B6CCD" w:rsidP="007B372B" w14:paraId="12825A47" w14:textId="2BF9ABC2">
      <w:pPr>
        <w:spacing w:after="206"/>
      </w:pPr>
      <w:r w:rsidRPr="007B6CCD">
        <w:t xml:space="preserve">For site visits data collections, it is assumed there will be a maximum of 10 protocols each involving visits to a maximum of 10 sites, for a total of 100 possible site visits over three years.  </w:t>
      </w:r>
    </w:p>
    <w:p w:rsidR="00D37F17" w:rsidRPr="007B6CCD" w:rsidP="007B372B" w14:paraId="07173700" w14:textId="5470AAA6">
      <w:pPr>
        <w:spacing w:after="206"/>
      </w:pPr>
      <w:r w:rsidRPr="007B6CCD">
        <w:t>At the 100 sties, s</w:t>
      </w:r>
      <w:r w:rsidRPr="007B6CCD" w:rsidR="007B372B">
        <w:t xml:space="preserve">tructured discussions would take place with an average of 20 individuals per site, for a total of 2,000 individuals, and the discussions would last on average one hour, generating a burden of 2,000 hours. </w:t>
      </w:r>
      <w:r w:rsidRPr="007B6CCD">
        <w:t xml:space="preserve"> </w:t>
      </w:r>
      <w:r w:rsidRPr="007B6CCD" w:rsidR="00B86F33">
        <w:t xml:space="preserve">Respondent costs for participating in such discussions, based on the median hourly wage of </w:t>
      </w:r>
      <w:r w:rsidRPr="007B6CCD" w:rsidR="00B86F33">
        <w:rPr>
          <w:color w:val="000000"/>
        </w:rPr>
        <w:t>$35.58 as found in the BLS estimates for “Community and Social Services Manager Occupations,”</w:t>
      </w:r>
      <w:r>
        <w:rPr>
          <w:rStyle w:val="FootnoteReference"/>
          <w:color w:val="000000"/>
        </w:rPr>
        <w:footnoteReference w:id="5"/>
      </w:r>
      <w:r w:rsidRPr="007B6CCD" w:rsidR="00B86F33">
        <w:rPr>
          <w:color w:val="000000"/>
        </w:rPr>
        <w:t xml:space="preserve"> yield an estimated </w:t>
      </w:r>
      <w:r w:rsidRPr="007B6CCD" w:rsidR="00B86F33">
        <w:t xml:space="preserve">monetized value of respondents’ time over three years of $71,160. </w:t>
      </w:r>
      <w:r w:rsidR="00345031">
        <w:t xml:space="preserve"> </w:t>
      </w:r>
    </w:p>
    <w:p w:rsidR="00B86F33" w:rsidRPr="007B6CCD" w:rsidP="007B372B" w14:paraId="16949AAB" w14:textId="13BCAAB6">
      <w:pPr>
        <w:spacing w:after="206"/>
      </w:pPr>
      <w:r w:rsidRPr="007B6CCD">
        <w:t>At the</w:t>
      </w:r>
      <w:r w:rsidRPr="007B6CCD" w:rsidR="002A3812">
        <w:t xml:space="preserve"> </w:t>
      </w:r>
      <w:r w:rsidRPr="007B6CCD">
        <w:t>100 sites, focus groups would be conducted with an average of 25 people (in 2 to 3 groups) for a total of 2,500 individuals.</w:t>
      </w:r>
      <w:r w:rsidR="00787054">
        <w:t xml:space="preserve">  </w:t>
      </w:r>
      <w:r w:rsidRPr="007B6CCD">
        <w:t xml:space="preserve">The focus groups would last around </w:t>
      </w:r>
      <w:r w:rsidR="00787054">
        <w:t>one</w:t>
      </w:r>
      <w:r w:rsidRPr="007B6CCD" w:rsidR="00787054">
        <w:t xml:space="preserve"> </w:t>
      </w:r>
      <w:r w:rsidRPr="007B6CCD">
        <w:t>hour and result in a burden of 2,500 hours over three years. F</w:t>
      </w:r>
      <w:r w:rsidRPr="007B6CCD" w:rsidR="006A596C">
        <w:t>or focus group participants, the</w:t>
      </w:r>
      <w:r w:rsidRPr="007B6CCD">
        <w:t xml:space="preserve"> estimated </w:t>
      </w:r>
      <w:r w:rsidRPr="007B6CCD" w:rsidR="006A596C">
        <w:t xml:space="preserve">hourly rate was based on BLS estimates </w:t>
      </w:r>
      <w:r w:rsidRPr="007B6CCD">
        <w:t xml:space="preserve">of the median hourly wage </w:t>
      </w:r>
      <w:r w:rsidRPr="007B6CCD" w:rsidR="006A596C">
        <w:t>for all workers in the U.S. of $</w:t>
      </w:r>
      <w:r w:rsidRPr="007B6CCD" w:rsidR="006A596C">
        <w:rPr>
          <w:color w:val="000000"/>
          <w:shd w:val="clear" w:color="auto" w:fill="FFFFFF"/>
        </w:rPr>
        <w:t>22.00,</w:t>
      </w:r>
      <w:r>
        <w:rPr>
          <w:rStyle w:val="FootnoteReference"/>
          <w:color w:val="000000"/>
          <w:shd w:val="clear" w:color="auto" w:fill="FFFFFF"/>
        </w:rPr>
        <w:footnoteReference w:id="6"/>
      </w:r>
      <w:r w:rsidRPr="007B6CCD" w:rsidR="006A596C">
        <w:rPr>
          <w:color w:val="000000"/>
          <w:shd w:val="clear" w:color="auto" w:fill="FFFFFF"/>
        </w:rPr>
        <w:t xml:space="preserve"> </w:t>
      </w:r>
      <w:r w:rsidRPr="007B6CCD" w:rsidR="006A596C">
        <w:t>assuming that potential participants could range from business managers, service providers, newly employed workers (in a variety of occupations) who had received services, or participants still receiving services and not yet employed.  Using th</w:t>
      </w:r>
      <w:r w:rsidRPr="007B6CCD">
        <w:t xml:space="preserve">at </w:t>
      </w:r>
      <w:r w:rsidRPr="007B6CCD" w:rsidR="006A596C">
        <w:t>estimated median hourly wage, the monetized value of respondents’ time over three years is estimated to be $</w:t>
      </w:r>
      <w:r w:rsidRPr="007B6CCD" w:rsidR="007B6CCD">
        <w:t>55,000</w:t>
      </w:r>
      <w:r w:rsidRPr="007B6CCD" w:rsidR="006A596C">
        <w:t xml:space="preserve">. </w:t>
      </w:r>
    </w:p>
    <w:p w:rsidR="007B6CCD" w:rsidP="007B372B" w14:paraId="18E7274F" w14:textId="1FAAAE1D">
      <w:pPr>
        <w:spacing w:after="206"/>
      </w:pPr>
      <w:r w:rsidRPr="007B6CCD">
        <w:t>The total monetized value of respondents’</w:t>
      </w:r>
      <w:r w:rsidR="00787054">
        <w:t xml:space="preserve"> </w:t>
      </w:r>
      <w:r w:rsidRPr="007B6CCD">
        <w:t>time</w:t>
      </w:r>
      <w:r w:rsidRPr="007B6CCD">
        <w:t xml:space="preserve"> over three years for both the structured discussion and focus groups, based on the various hourly wages, is estimated to be $126,160.</w:t>
      </w:r>
    </w:p>
    <w:p w:rsidR="00B86F33" w14:paraId="36A98E90" w14:textId="77777777">
      <w:r>
        <w:br w:type="page"/>
      </w:r>
    </w:p>
    <w:p w:rsidR="007B372B" w:rsidP="007B372B" w14:paraId="19B7DA7D" w14:textId="77777777">
      <w:pPr>
        <w:spacing w:after="206"/>
      </w:pPr>
    </w:p>
    <w:tbl>
      <w:tblPr>
        <w:tblpPr w:leftFromText="180" w:rightFromText="180" w:vertAnchor="text" w:horzAnchor="margin" w:tblpXSpec="center" w:tblpY="402"/>
        <w:tblW w:w="9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350"/>
        <w:gridCol w:w="1297"/>
        <w:gridCol w:w="1036"/>
        <w:gridCol w:w="1001"/>
        <w:gridCol w:w="1034"/>
        <w:gridCol w:w="1127"/>
        <w:gridCol w:w="891"/>
        <w:gridCol w:w="1604"/>
      </w:tblGrid>
      <w:tr w14:paraId="6B146C82" w14:textId="77777777" w:rsidTr="00CE7534">
        <w:tblPrEx>
          <w:tblW w:w="9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809"/>
        </w:trPr>
        <w:tc>
          <w:tcPr>
            <w:tcW w:w="1350" w:type="dxa"/>
            <w:shd w:val="clear" w:color="auto" w:fill="8DB3E2"/>
            <w:tcMar>
              <w:top w:w="0" w:type="dxa"/>
              <w:left w:w="108" w:type="dxa"/>
              <w:bottom w:w="0" w:type="dxa"/>
              <w:right w:w="108" w:type="dxa"/>
            </w:tcMar>
            <w:vAlign w:val="center"/>
            <w:hideMark/>
          </w:tcPr>
          <w:p w:rsidR="00AB3A29" w:rsidP="00CE7534" w14:paraId="24EB33D6" w14:textId="77777777">
            <w:pPr>
              <w:spacing w:line="276" w:lineRule="auto"/>
              <w:jc w:val="center"/>
              <w:rPr>
                <w:b/>
                <w:bCs/>
                <w:sz w:val="18"/>
                <w:szCs w:val="18"/>
              </w:rPr>
            </w:pPr>
            <w:r>
              <w:rPr>
                <w:b/>
                <w:bCs/>
                <w:color w:val="000000"/>
                <w:sz w:val="18"/>
                <w:szCs w:val="18"/>
              </w:rPr>
              <w:t>Type of Information Collection</w:t>
            </w:r>
          </w:p>
        </w:tc>
        <w:tc>
          <w:tcPr>
            <w:tcW w:w="1297" w:type="dxa"/>
            <w:shd w:val="clear" w:color="auto" w:fill="8DB3E2"/>
            <w:tcMar>
              <w:top w:w="0" w:type="dxa"/>
              <w:left w:w="108" w:type="dxa"/>
              <w:bottom w:w="0" w:type="dxa"/>
              <w:right w:w="108" w:type="dxa"/>
            </w:tcMar>
            <w:vAlign w:val="center"/>
            <w:hideMark/>
          </w:tcPr>
          <w:p w:rsidR="00AB3A29" w:rsidP="00CE7534" w14:paraId="6E3071C1" w14:textId="77777777">
            <w:pPr>
              <w:spacing w:line="276" w:lineRule="auto"/>
              <w:jc w:val="center"/>
              <w:rPr>
                <w:rFonts w:ascii="Calibri" w:hAnsi="Calibri" w:cs="Calibri"/>
                <w:b/>
                <w:bCs/>
                <w:sz w:val="18"/>
                <w:szCs w:val="18"/>
              </w:rPr>
            </w:pPr>
            <w:r>
              <w:rPr>
                <w:b/>
                <w:bCs/>
                <w:color w:val="000000"/>
                <w:sz w:val="18"/>
                <w:szCs w:val="18"/>
              </w:rPr>
              <w:t xml:space="preserve">Number of Respondents </w:t>
            </w:r>
          </w:p>
        </w:tc>
        <w:tc>
          <w:tcPr>
            <w:tcW w:w="1036" w:type="dxa"/>
            <w:shd w:val="clear" w:color="auto" w:fill="8DB3E2"/>
            <w:tcMar>
              <w:top w:w="0" w:type="dxa"/>
              <w:left w:w="108" w:type="dxa"/>
              <w:bottom w:w="0" w:type="dxa"/>
              <w:right w:w="108" w:type="dxa"/>
            </w:tcMar>
            <w:vAlign w:val="center"/>
            <w:hideMark/>
          </w:tcPr>
          <w:p w:rsidR="00AB3A29" w:rsidP="00CE7534" w14:paraId="5388F139" w14:textId="77777777">
            <w:pPr>
              <w:spacing w:line="276" w:lineRule="auto"/>
              <w:jc w:val="center"/>
              <w:rPr>
                <w:b/>
                <w:bCs/>
                <w:sz w:val="18"/>
                <w:szCs w:val="18"/>
              </w:rPr>
            </w:pPr>
            <w:r>
              <w:rPr>
                <w:b/>
                <w:bCs/>
                <w:color w:val="000000"/>
                <w:sz w:val="18"/>
                <w:szCs w:val="18"/>
              </w:rPr>
              <w:t xml:space="preserve">Frequency </w:t>
            </w:r>
          </w:p>
        </w:tc>
        <w:tc>
          <w:tcPr>
            <w:tcW w:w="1001" w:type="dxa"/>
            <w:shd w:val="clear" w:color="auto" w:fill="8DB3E2"/>
            <w:vAlign w:val="center"/>
          </w:tcPr>
          <w:p w:rsidR="00AB3A29" w:rsidP="00CE7534" w14:paraId="479AF824" w14:textId="77777777">
            <w:pPr>
              <w:spacing w:line="276" w:lineRule="auto"/>
              <w:jc w:val="center"/>
              <w:rPr>
                <w:b/>
                <w:bCs/>
                <w:color w:val="000000"/>
                <w:sz w:val="18"/>
                <w:szCs w:val="18"/>
              </w:rPr>
            </w:pPr>
            <w:r>
              <w:rPr>
                <w:b/>
                <w:bCs/>
                <w:color w:val="000000"/>
                <w:sz w:val="18"/>
                <w:szCs w:val="18"/>
              </w:rPr>
              <w:t xml:space="preserve">Total Responses </w:t>
            </w:r>
          </w:p>
        </w:tc>
        <w:tc>
          <w:tcPr>
            <w:tcW w:w="1034" w:type="dxa"/>
            <w:shd w:val="clear" w:color="auto" w:fill="8DB3E2"/>
            <w:tcMar>
              <w:top w:w="0" w:type="dxa"/>
              <w:left w:w="108" w:type="dxa"/>
              <w:bottom w:w="0" w:type="dxa"/>
              <w:right w:w="108" w:type="dxa"/>
            </w:tcMar>
            <w:vAlign w:val="center"/>
            <w:hideMark/>
          </w:tcPr>
          <w:p w:rsidR="00AB3A29" w:rsidP="00CE7534" w14:paraId="1F2E4E27" w14:textId="77777777">
            <w:pPr>
              <w:spacing w:line="276" w:lineRule="auto"/>
              <w:jc w:val="center"/>
              <w:rPr>
                <w:b/>
                <w:bCs/>
                <w:sz w:val="18"/>
                <w:szCs w:val="18"/>
              </w:rPr>
            </w:pPr>
            <w:r>
              <w:rPr>
                <w:b/>
                <w:bCs/>
                <w:color w:val="000000"/>
                <w:sz w:val="18"/>
                <w:szCs w:val="18"/>
              </w:rPr>
              <w:t>Time Per Response (Hours)</w:t>
            </w:r>
          </w:p>
        </w:tc>
        <w:tc>
          <w:tcPr>
            <w:tcW w:w="1127" w:type="dxa"/>
            <w:shd w:val="clear" w:color="auto" w:fill="8DB3E2"/>
            <w:tcMar>
              <w:top w:w="0" w:type="dxa"/>
              <w:left w:w="108" w:type="dxa"/>
              <w:bottom w:w="0" w:type="dxa"/>
              <w:right w:w="108" w:type="dxa"/>
            </w:tcMar>
            <w:vAlign w:val="center"/>
            <w:hideMark/>
          </w:tcPr>
          <w:p w:rsidR="00AB3A29" w:rsidP="00CE7534" w14:paraId="4E78F62C" w14:textId="77777777">
            <w:pPr>
              <w:spacing w:line="276" w:lineRule="auto"/>
              <w:jc w:val="center"/>
              <w:rPr>
                <w:b/>
                <w:bCs/>
                <w:sz w:val="18"/>
                <w:szCs w:val="18"/>
              </w:rPr>
            </w:pPr>
            <w:r>
              <w:rPr>
                <w:b/>
                <w:bCs/>
                <w:color w:val="000000"/>
                <w:sz w:val="18"/>
                <w:szCs w:val="18"/>
              </w:rPr>
              <w:t>Respondent Burden</w:t>
            </w:r>
          </w:p>
          <w:p w:rsidR="00AB3A29" w:rsidP="00CE7534" w14:paraId="1188E52E" w14:textId="77777777">
            <w:pPr>
              <w:spacing w:line="276" w:lineRule="auto"/>
              <w:jc w:val="center"/>
              <w:rPr>
                <w:b/>
                <w:bCs/>
                <w:sz w:val="18"/>
                <w:szCs w:val="18"/>
              </w:rPr>
            </w:pPr>
            <w:r>
              <w:rPr>
                <w:b/>
                <w:bCs/>
                <w:color w:val="000000"/>
                <w:sz w:val="18"/>
                <w:szCs w:val="18"/>
              </w:rPr>
              <w:t>Hours</w:t>
            </w:r>
          </w:p>
        </w:tc>
        <w:tc>
          <w:tcPr>
            <w:tcW w:w="891" w:type="dxa"/>
            <w:shd w:val="clear" w:color="auto" w:fill="8DB3E2"/>
            <w:tcMar>
              <w:top w:w="0" w:type="dxa"/>
              <w:left w:w="108" w:type="dxa"/>
              <w:bottom w:w="0" w:type="dxa"/>
              <w:right w:w="108" w:type="dxa"/>
            </w:tcMar>
            <w:vAlign w:val="center"/>
            <w:hideMark/>
          </w:tcPr>
          <w:p w:rsidR="00AB3A29" w:rsidP="00CE7534" w14:paraId="4BCCDE77" w14:textId="77777777">
            <w:pPr>
              <w:spacing w:line="276" w:lineRule="auto"/>
              <w:jc w:val="center"/>
              <w:rPr>
                <w:b/>
                <w:bCs/>
                <w:sz w:val="18"/>
                <w:szCs w:val="18"/>
              </w:rPr>
            </w:pPr>
            <w:r>
              <w:rPr>
                <w:b/>
                <w:bCs/>
                <w:color w:val="000000"/>
                <w:sz w:val="18"/>
                <w:szCs w:val="18"/>
              </w:rPr>
              <w:t>Median Hourly Wage</w:t>
            </w:r>
          </w:p>
        </w:tc>
        <w:tc>
          <w:tcPr>
            <w:tcW w:w="1604" w:type="dxa"/>
            <w:shd w:val="clear" w:color="auto" w:fill="8DB3E2"/>
            <w:tcMar>
              <w:top w:w="0" w:type="dxa"/>
              <w:left w:w="108" w:type="dxa"/>
              <w:bottom w:w="0" w:type="dxa"/>
              <w:right w:w="108" w:type="dxa"/>
            </w:tcMar>
            <w:vAlign w:val="center"/>
            <w:hideMark/>
          </w:tcPr>
          <w:p w:rsidR="00AB3A29" w:rsidP="00CE7534" w14:paraId="0D7F6362" w14:textId="294E8F8E">
            <w:pPr>
              <w:spacing w:line="276" w:lineRule="auto"/>
              <w:jc w:val="center"/>
              <w:rPr>
                <w:b/>
                <w:bCs/>
                <w:sz w:val="18"/>
                <w:szCs w:val="18"/>
              </w:rPr>
            </w:pPr>
            <w:r>
              <w:rPr>
                <w:b/>
                <w:bCs/>
                <w:color w:val="000000"/>
                <w:sz w:val="18"/>
                <w:szCs w:val="18"/>
              </w:rPr>
              <w:t>Total Monetized Value of Respondent Time</w:t>
            </w:r>
          </w:p>
        </w:tc>
      </w:tr>
      <w:tr w14:paraId="236B1236" w14:textId="77777777" w:rsidTr="00674418">
        <w:tblPrEx>
          <w:tblW w:w="9340" w:type="dxa"/>
          <w:tblCellMar>
            <w:left w:w="0" w:type="dxa"/>
            <w:right w:w="0" w:type="dxa"/>
          </w:tblCellMar>
          <w:tblLook w:val="04A0"/>
        </w:tblPrEx>
        <w:trPr>
          <w:trHeight w:val="422"/>
        </w:trPr>
        <w:tc>
          <w:tcPr>
            <w:tcW w:w="1350" w:type="dxa"/>
            <w:tcMar>
              <w:top w:w="0" w:type="dxa"/>
              <w:left w:w="108" w:type="dxa"/>
              <w:bottom w:w="0" w:type="dxa"/>
              <w:right w:w="108" w:type="dxa"/>
            </w:tcMar>
            <w:vAlign w:val="center"/>
          </w:tcPr>
          <w:p w:rsidR="00AB3A29" w:rsidP="00AB3A29" w14:paraId="0993A320" w14:textId="77777777">
            <w:pPr>
              <w:spacing w:line="276" w:lineRule="auto"/>
              <w:jc w:val="center"/>
              <w:rPr>
                <w:b/>
                <w:bCs/>
                <w:i/>
                <w:iCs/>
                <w:sz w:val="18"/>
                <w:szCs w:val="18"/>
              </w:rPr>
            </w:pPr>
          </w:p>
          <w:p w:rsidR="00AB3A29" w:rsidP="00AB3A29" w14:paraId="7FE5CBAD" w14:textId="70B7DE8D">
            <w:pPr>
              <w:spacing w:line="276" w:lineRule="auto"/>
              <w:jc w:val="center"/>
              <w:rPr>
                <w:b/>
                <w:bCs/>
                <w:i/>
                <w:iCs/>
                <w:sz w:val="18"/>
                <w:szCs w:val="18"/>
              </w:rPr>
            </w:pPr>
            <w:r>
              <w:rPr>
                <w:b/>
                <w:bCs/>
                <w:i/>
                <w:iCs/>
                <w:sz w:val="18"/>
                <w:szCs w:val="18"/>
              </w:rPr>
              <w:t>Site Visit Structured Discussions</w:t>
            </w:r>
          </w:p>
        </w:tc>
        <w:tc>
          <w:tcPr>
            <w:tcW w:w="1297" w:type="dxa"/>
            <w:tcMar>
              <w:top w:w="0" w:type="dxa"/>
              <w:left w:w="108" w:type="dxa"/>
              <w:bottom w:w="0" w:type="dxa"/>
              <w:right w:w="108" w:type="dxa"/>
            </w:tcMar>
            <w:vAlign w:val="center"/>
          </w:tcPr>
          <w:p w:rsidR="00AB3A29" w:rsidP="00AB3A29" w14:paraId="2DC3AFDF" w14:textId="77777777">
            <w:pPr>
              <w:spacing w:line="252" w:lineRule="auto"/>
              <w:jc w:val="center"/>
              <w:rPr>
                <w:b/>
                <w:bCs/>
                <w:i/>
                <w:iCs/>
                <w:sz w:val="18"/>
                <w:szCs w:val="18"/>
              </w:rPr>
            </w:pPr>
          </w:p>
          <w:p w:rsidR="00AB3A29" w:rsidP="00AB3A29" w14:paraId="473ED9F3" w14:textId="7A2BE449">
            <w:pPr>
              <w:spacing w:line="252" w:lineRule="auto"/>
              <w:jc w:val="center"/>
              <w:rPr>
                <w:b/>
                <w:bCs/>
                <w:i/>
                <w:iCs/>
                <w:sz w:val="18"/>
                <w:szCs w:val="18"/>
              </w:rPr>
            </w:pPr>
            <w:r>
              <w:rPr>
                <w:b/>
                <w:bCs/>
                <w:i/>
                <w:iCs/>
                <w:sz w:val="18"/>
                <w:szCs w:val="18"/>
              </w:rPr>
              <w:t>2</w:t>
            </w:r>
            <w:r w:rsidR="00A34C3D">
              <w:rPr>
                <w:b/>
                <w:bCs/>
                <w:i/>
                <w:iCs/>
                <w:sz w:val="18"/>
                <w:szCs w:val="18"/>
              </w:rPr>
              <w:t>,</w:t>
            </w:r>
            <w:r>
              <w:rPr>
                <w:b/>
                <w:bCs/>
                <w:i/>
                <w:iCs/>
                <w:sz w:val="18"/>
                <w:szCs w:val="18"/>
              </w:rPr>
              <w:t>0</w:t>
            </w:r>
            <w:r w:rsidR="00A34C3D">
              <w:rPr>
                <w:b/>
                <w:bCs/>
                <w:i/>
                <w:iCs/>
                <w:sz w:val="18"/>
                <w:szCs w:val="18"/>
              </w:rPr>
              <w:t>00</w:t>
            </w:r>
          </w:p>
        </w:tc>
        <w:tc>
          <w:tcPr>
            <w:tcW w:w="1036" w:type="dxa"/>
            <w:tcMar>
              <w:top w:w="0" w:type="dxa"/>
              <w:left w:w="108" w:type="dxa"/>
              <w:bottom w:w="0" w:type="dxa"/>
              <w:right w:w="108" w:type="dxa"/>
            </w:tcMar>
            <w:vAlign w:val="center"/>
            <w:hideMark/>
          </w:tcPr>
          <w:p w:rsidR="00AB3A29" w:rsidP="00AB3A29" w14:paraId="513C143F" w14:textId="27AFCD12">
            <w:pPr>
              <w:spacing w:line="252" w:lineRule="auto"/>
              <w:jc w:val="center"/>
              <w:rPr>
                <w:b/>
                <w:bCs/>
                <w:i/>
                <w:iCs/>
                <w:sz w:val="18"/>
                <w:szCs w:val="18"/>
              </w:rPr>
            </w:pPr>
            <w:r>
              <w:rPr>
                <w:b/>
                <w:bCs/>
                <w:i/>
                <w:iCs/>
                <w:sz w:val="18"/>
                <w:szCs w:val="18"/>
              </w:rPr>
              <w:t>1</w:t>
            </w:r>
          </w:p>
        </w:tc>
        <w:tc>
          <w:tcPr>
            <w:tcW w:w="1001" w:type="dxa"/>
            <w:vAlign w:val="center"/>
          </w:tcPr>
          <w:p w:rsidR="00AB3A29" w:rsidP="00AB3A29" w14:paraId="08E18DFB" w14:textId="18D8EA87">
            <w:pPr>
              <w:spacing w:line="252" w:lineRule="auto"/>
              <w:jc w:val="center"/>
              <w:rPr>
                <w:b/>
                <w:bCs/>
                <w:i/>
                <w:iCs/>
                <w:sz w:val="18"/>
                <w:szCs w:val="18"/>
              </w:rPr>
            </w:pPr>
            <w:r>
              <w:rPr>
                <w:b/>
                <w:bCs/>
                <w:i/>
                <w:iCs/>
                <w:sz w:val="18"/>
                <w:szCs w:val="18"/>
              </w:rPr>
              <w:t>2,000</w:t>
            </w:r>
          </w:p>
        </w:tc>
        <w:tc>
          <w:tcPr>
            <w:tcW w:w="1034" w:type="dxa"/>
            <w:tcMar>
              <w:top w:w="0" w:type="dxa"/>
              <w:left w:w="108" w:type="dxa"/>
              <w:bottom w:w="0" w:type="dxa"/>
              <w:right w:w="108" w:type="dxa"/>
            </w:tcMar>
            <w:vAlign w:val="center"/>
            <w:hideMark/>
          </w:tcPr>
          <w:p w:rsidR="00AB3A29" w:rsidP="00AB3A29" w14:paraId="50108889" w14:textId="77777777">
            <w:pPr>
              <w:spacing w:line="252" w:lineRule="auto"/>
              <w:jc w:val="center"/>
              <w:rPr>
                <w:b/>
                <w:bCs/>
                <w:i/>
                <w:iCs/>
                <w:sz w:val="18"/>
                <w:szCs w:val="18"/>
              </w:rPr>
            </w:pPr>
            <w:r>
              <w:rPr>
                <w:b/>
                <w:bCs/>
                <w:i/>
                <w:iCs/>
                <w:sz w:val="18"/>
                <w:szCs w:val="18"/>
              </w:rPr>
              <w:t>1 hour</w:t>
            </w:r>
          </w:p>
        </w:tc>
        <w:tc>
          <w:tcPr>
            <w:tcW w:w="1127" w:type="dxa"/>
            <w:tcMar>
              <w:top w:w="0" w:type="dxa"/>
              <w:left w:w="108" w:type="dxa"/>
              <w:bottom w:w="0" w:type="dxa"/>
              <w:right w:w="108" w:type="dxa"/>
            </w:tcMar>
            <w:vAlign w:val="center"/>
            <w:hideMark/>
          </w:tcPr>
          <w:p w:rsidR="00AB3A29" w:rsidP="00AB3A29" w14:paraId="2552CC02" w14:textId="534BD195">
            <w:pPr>
              <w:spacing w:line="252" w:lineRule="auto"/>
              <w:jc w:val="center"/>
              <w:rPr>
                <w:i/>
                <w:iCs/>
                <w:sz w:val="18"/>
                <w:szCs w:val="18"/>
              </w:rPr>
            </w:pPr>
            <w:r>
              <w:rPr>
                <w:b/>
                <w:bCs/>
                <w:i/>
                <w:iCs/>
                <w:sz w:val="18"/>
                <w:szCs w:val="18"/>
              </w:rPr>
              <w:t>2,000</w:t>
            </w:r>
          </w:p>
        </w:tc>
        <w:tc>
          <w:tcPr>
            <w:tcW w:w="891" w:type="dxa"/>
            <w:tcMar>
              <w:top w:w="0" w:type="dxa"/>
              <w:left w:w="108" w:type="dxa"/>
              <w:bottom w:w="0" w:type="dxa"/>
              <w:right w:w="108" w:type="dxa"/>
            </w:tcMar>
            <w:vAlign w:val="center"/>
            <w:hideMark/>
          </w:tcPr>
          <w:p w:rsidR="00AB3A29" w:rsidP="00AB3A29" w14:paraId="74693334" w14:textId="47EDBF57">
            <w:pPr>
              <w:spacing w:line="252" w:lineRule="auto"/>
              <w:jc w:val="center"/>
              <w:rPr>
                <w:b/>
                <w:bCs/>
                <w:i/>
                <w:iCs/>
                <w:sz w:val="18"/>
                <w:szCs w:val="18"/>
              </w:rPr>
            </w:pPr>
            <w:r>
              <w:rPr>
                <w:b/>
                <w:bCs/>
                <w:i/>
                <w:iCs/>
                <w:sz w:val="18"/>
                <w:szCs w:val="18"/>
              </w:rPr>
              <w:t>$35.58</w:t>
            </w:r>
          </w:p>
        </w:tc>
        <w:tc>
          <w:tcPr>
            <w:tcW w:w="16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B3A29" w:rsidP="00AB3A29" w14:paraId="02DE40DD" w14:textId="36EACD27">
            <w:pPr>
              <w:spacing w:line="252" w:lineRule="auto"/>
              <w:jc w:val="center"/>
              <w:rPr>
                <w:b/>
                <w:bCs/>
                <w:i/>
                <w:iCs/>
                <w:sz w:val="18"/>
                <w:szCs w:val="18"/>
              </w:rPr>
            </w:pPr>
            <w:r>
              <w:rPr>
                <w:b/>
                <w:bCs/>
                <w:i/>
                <w:iCs/>
                <w:sz w:val="18"/>
                <w:szCs w:val="18"/>
              </w:rPr>
              <w:t>$71,160</w:t>
            </w:r>
          </w:p>
        </w:tc>
      </w:tr>
      <w:tr w14:paraId="09465B10" w14:textId="77777777" w:rsidTr="00674418">
        <w:tblPrEx>
          <w:tblW w:w="9340" w:type="dxa"/>
          <w:tblCellMar>
            <w:left w:w="0" w:type="dxa"/>
            <w:right w:w="0" w:type="dxa"/>
          </w:tblCellMar>
          <w:tblLook w:val="04A0"/>
        </w:tblPrEx>
        <w:trPr>
          <w:trHeight w:val="422"/>
        </w:trPr>
        <w:tc>
          <w:tcPr>
            <w:tcW w:w="1350" w:type="dxa"/>
            <w:tcMar>
              <w:top w:w="0" w:type="dxa"/>
              <w:left w:w="108" w:type="dxa"/>
              <w:bottom w:w="0" w:type="dxa"/>
              <w:right w:w="108" w:type="dxa"/>
            </w:tcMar>
            <w:vAlign w:val="center"/>
          </w:tcPr>
          <w:p w:rsidR="00AB3A29" w:rsidP="00AB3A29" w14:paraId="29C12B6A" w14:textId="5E8E45C7">
            <w:pPr>
              <w:spacing w:line="276" w:lineRule="auto"/>
              <w:jc w:val="center"/>
              <w:rPr>
                <w:b/>
                <w:bCs/>
                <w:i/>
                <w:iCs/>
                <w:sz w:val="18"/>
                <w:szCs w:val="18"/>
              </w:rPr>
            </w:pPr>
            <w:r>
              <w:rPr>
                <w:b/>
                <w:bCs/>
                <w:i/>
                <w:iCs/>
                <w:sz w:val="18"/>
                <w:szCs w:val="18"/>
              </w:rPr>
              <w:t>Site Visit Focus Groups</w:t>
            </w:r>
          </w:p>
        </w:tc>
        <w:tc>
          <w:tcPr>
            <w:tcW w:w="1297" w:type="dxa"/>
            <w:tcMar>
              <w:top w:w="0" w:type="dxa"/>
              <w:left w:w="108" w:type="dxa"/>
              <w:bottom w:w="0" w:type="dxa"/>
              <w:right w:w="108" w:type="dxa"/>
            </w:tcMar>
            <w:vAlign w:val="center"/>
          </w:tcPr>
          <w:p w:rsidR="00AB3A29" w:rsidP="00AB3A29" w14:paraId="72AB573A" w14:textId="48DE30A5">
            <w:pPr>
              <w:spacing w:line="252" w:lineRule="auto"/>
              <w:jc w:val="center"/>
              <w:rPr>
                <w:b/>
                <w:bCs/>
                <w:i/>
                <w:iCs/>
                <w:sz w:val="18"/>
                <w:szCs w:val="18"/>
              </w:rPr>
            </w:pPr>
            <w:r>
              <w:rPr>
                <w:b/>
                <w:bCs/>
                <w:i/>
                <w:iCs/>
                <w:sz w:val="18"/>
                <w:szCs w:val="18"/>
              </w:rPr>
              <w:t>2</w:t>
            </w:r>
            <w:r w:rsidR="00A34C3D">
              <w:rPr>
                <w:b/>
                <w:bCs/>
                <w:i/>
                <w:iCs/>
                <w:sz w:val="18"/>
                <w:szCs w:val="18"/>
              </w:rPr>
              <w:t>,</w:t>
            </w:r>
            <w:r>
              <w:rPr>
                <w:b/>
                <w:bCs/>
                <w:i/>
                <w:iCs/>
                <w:sz w:val="18"/>
                <w:szCs w:val="18"/>
              </w:rPr>
              <w:t>5</w:t>
            </w:r>
            <w:r w:rsidR="00A34C3D">
              <w:rPr>
                <w:b/>
                <w:bCs/>
                <w:i/>
                <w:iCs/>
                <w:sz w:val="18"/>
                <w:szCs w:val="18"/>
              </w:rPr>
              <w:t>00</w:t>
            </w:r>
          </w:p>
        </w:tc>
        <w:tc>
          <w:tcPr>
            <w:tcW w:w="1036" w:type="dxa"/>
            <w:tcMar>
              <w:top w:w="0" w:type="dxa"/>
              <w:left w:w="108" w:type="dxa"/>
              <w:bottom w:w="0" w:type="dxa"/>
              <w:right w:w="108" w:type="dxa"/>
            </w:tcMar>
            <w:vAlign w:val="center"/>
          </w:tcPr>
          <w:p w:rsidR="00AB3A29" w:rsidP="00AB3A29" w14:paraId="323E351F" w14:textId="4209C262">
            <w:pPr>
              <w:spacing w:line="252" w:lineRule="auto"/>
              <w:jc w:val="center"/>
              <w:rPr>
                <w:b/>
                <w:bCs/>
                <w:i/>
                <w:iCs/>
                <w:sz w:val="18"/>
                <w:szCs w:val="18"/>
              </w:rPr>
            </w:pPr>
            <w:r>
              <w:rPr>
                <w:b/>
                <w:bCs/>
                <w:i/>
                <w:iCs/>
                <w:sz w:val="18"/>
                <w:szCs w:val="18"/>
              </w:rPr>
              <w:t>1</w:t>
            </w:r>
          </w:p>
        </w:tc>
        <w:tc>
          <w:tcPr>
            <w:tcW w:w="1001" w:type="dxa"/>
            <w:vAlign w:val="center"/>
          </w:tcPr>
          <w:p w:rsidR="00AB3A29" w:rsidP="00AB3A29" w14:paraId="1788B337" w14:textId="4E702064">
            <w:pPr>
              <w:spacing w:line="252" w:lineRule="auto"/>
              <w:jc w:val="center"/>
              <w:rPr>
                <w:b/>
                <w:bCs/>
                <w:i/>
                <w:iCs/>
                <w:sz w:val="18"/>
                <w:szCs w:val="18"/>
              </w:rPr>
            </w:pPr>
            <w:r>
              <w:rPr>
                <w:b/>
                <w:bCs/>
                <w:i/>
                <w:iCs/>
                <w:sz w:val="18"/>
                <w:szCs w:val="18"/>
              </w:rPr>
              <w:t>2,500</w:t>
            </w:r>
          </w:p>
        </w:tc>
        <w:tc>
          <w:tcPr>
            <w:tcW w:w="1034" w:type="dxa"/>
            <w:tcMar>
              <w:top w:w="0" w:type="dxa"/>
              <w:left w:w="108" w:type="dxa"/>
              <w:bottom w:w="0" w:type="dxa"/>
              <w:right w:w="108" w:type="dxa"/>
            </w:tcMar>
            <w:vAlign w:val="center"/>
          </w:tcPr>
          <w:p w:rsidR="00AB3A29" w:rsidP="00AB3A29" w14:paraId="72500D5C" w14:textId="4FB58D63">
            <w:pPr>
              <w:spacing w:line="252" w:lineRule="auto"/>
              <w:jc w:val="center"/>
              <w:rPr>
                <w:b/>
                <w:bCs/>
                <w:i/>
                <w:iCs/>
                <w:sz w:val="18"/>
                <w:szCs w:val="18"/>
              </w:rPr>
            </w:pPr>
            <w:r>
              <w:rPr>
                <w:b/>
                <w:bCs/>
                <w:i/>
                <w:iCs/>
                <w:sz w:val="18"/>
                <w:szCs w:val="18"/>
              </w:rPr>
              <w:t>1 hour</w:t>
            </w:r>
          </w:p>
        </w:tc>
        <w:tc>
          <w:tcPr>
            <w:tcW w:w="1127" w:type="dxa"/>
            <w:tcMar>
              <w:top w:w="0" w:type="dxa"/>
              <w:left w:w="108" w:type="dxa"/>
              <w:bottom w:w="0" w:type="dxa"/>
              <w:right w:w="108" w:type="dxa"/>
            </w:tcMar>
            <w:vAlign w:val="center"/>
          </w:tcPr>
          <w:p w:rsidR="00AB3A29" w:rsidP="00AB3A29" w14:paraId="041D6E19" w14:textId="3CC51201">
            <w:pPr>
              <w:spacing w:line="252" w:lineRule="auto"/>
              <w:jc w:val="center"/>
              <w:rPr>
                <w:b/>
                <w:bCs/>
                <w:i/>
                <w:iCs/>
                <w:sz w:val="18"/>
                <w:szCs w:val="18"/>
              </w:rPr>
            </w:pPr>
            <w:r>
              <w:rPr>
                <w:b/>
                <w:bCs/>
                <w:i/>
                <w:iCs/>
                <w:sz w:val="18"/>
                <w:szCs w:val="18"/>
              </w:rPr>
              <w:t>2,500</w:t>
            </w:r>
          </w:p>
        </w:tc>
        <w:tc>
          <w:tcPr>
            <w:tcW w:w="891" w:type="dxa"/>
            <w:tcMar>
              <w:top w:w="0" w:type="dxa"/>
              <w:left w:w="108" w:type="dxa"/>
              <w:bottom w:w="0" w:type="dxa"/>
              <w:right w:w="108" w:type="dxa"/>
            </w:tcMar>
            <w:vAlign w:val="center"/>
          </w:tcPr>
          <w:p w:rsidR="00AB3A29" w:rsidP="00AB3A29" w14:paraId="7815694E" w14:textId="06D2416E">
            <w:pPr>
              <w:spacing w:line="252" w:lineRule="auto"/>
              <w:jc w:val="center"/>
              <w:rPr>
                <w:b/>
                <w:bCs/>
                <w:i/>
                <w:iCs/>
                <w:sz w:val="18"/>
                <w:szCs w:val="18"/>
              </w:rPr>
            </w:pPr>
            <w:r>
              <w:rPr>
                <w:b/>
                <w:bCs/>
                <w:i/>
                <w:iCs/>
                <w:sz w:val="18"/>
                <w:szCs w:val="18"/>
              </w:rPr>
              <w:t>$22.00</w:t>
            </w:r>
          </w:p>
        </w:tc>
        <w:tc>
          <w:tcPr>
            <w:tcW w:w="1604" w:type="dxa"/>
            <w:tcBorders>
              <w:top w:val="nil"/>
              <w:left w:val="nil"/>
              <w:bottom w:val="single" w:sz="8" w:space="0" w:color="auto"/>
              <w:right w:val="single" w:sz="8" w:space="0" w:color="auto"/>
            </w:tcBorders>
            <w:tcMar>
              <w:top w:w="0" w:type="dxa"/>
              <w:left w:w="108" w:type="dxa"/>
              <w:bottom w:w="0" w:type="dxa"/>
              <w:right w:w="108" w:type="dxa"/>
            </w:tcMar>
            <w:vAlign w:val="center"/>
          </w:tcPr>
          <w:p w:rsidR="00AB3A29" w:rsidP="00AB3A29" w14:paraId="6875C653" w14:textId="30AD584C">
            <w:pPr>
              <w:spacing w:line="252" w:lineRule="auto"/>
              <w:jc w:val="center"/>
              <w:rPr>
                <w:b/>
                <w:bCs/>
                <w:i/>
                <w:iCs/>
                <w:sz w:val="18"/>
                <w:szCs w:val="18"/>
              </w:rPr>
            </w:pPr>
            <w:r>
              <w:rPr>
                <w:b/>
                <w:bCs/>
                <w:i/>
                <w:iCs/>
                <w:sz w:val="18"/>
                <w:szCs w:val="18"/>
              </w:rPr>
              <w:t>$55,000</w:t>
            </w:r>
          </w:p>
        </w:tc>
      </w:tr>
      <w:tr w14:paraId="1B1BD060" w14:textId="77777777" w:rsidTr="00CE7534">
        <w:tblPrEx>
          <w:tblW w:w="9340" w:type="dxa"/>
          <w:tblCellMar>
            <w:left w:w="0" w:type="dxa"/>
            <w:right w:w="0" w:type="dxa"/>
          </w:tblCellMar>
          <w:tblLook w:val="04A0"/>
        </w:tblPrEx>
        <w:trPr>
          <w:trHeight w:val="278"/>
        </w:trPr>
        <w:tc>
          <w:tcPr>
            <w:tcW w:w="1350" w:type="dxa"/>
            <w:tcMar>
              <w:top w:w="0" w:type="dxa"/>
              <w:left w:w="108" w:type="dxa"/>
              <w:bottom w:w="0" w:type="dxa"/>
              <w:right w:w="108" w:type="dxa"/>
            </w:tcMar>
            <w:vAlign w:val="center"/>
            <w:hideMark/>
          </w:tcPr>
          <w:p w:rsidR="00AB3A29" w:rsidP="00CE7534" w14:paraId="0C1A45ED" w14:textId="77777777">
            <w:pPr>
              <w:spacing w:line="276" w:lineRule="auto"/>
              <w:jc w:val="center"/>
              <w:rPr>
                <w:b/>
                <w:bCs/>
                <w:i/>
                <w:iCs/>
                <w:sz w:val="18"/>
                <w:szCs w:val="18"/>
              </w:rPr>
            </w:pPr>
            <w:r>
              <w:rPr>
                <w:b/>
                <w:bCs/>
                <w:i/>
                <w:iCs/>
                <w:sz w:val="18"/>
                <w:szCs w:val="18"/>
              </w:rPr>
              <w:t>Unduplicated Total</w:t>
            </w:r>
          </w:p>
          <w:p w:rsidR="00AB3A29" w:rsidP="00CE7534" w14:paraId="66F94C8B" w14:textId="77777777">
            <w:pPr>
              <w:spacing w:line="276" w:lineRule="auto"/>
              <w:jc w:val="center"/>
              <w:rPr>
                <w:b/>
                <w:bCs/>
                <w:i/>
                <w:iCs/>
                <w:sz w:val="18"/>
                <w:szCs w:val="18"/>
              </w:rPr>
            </w:pPr>
          </w:p>
        </w:tc>
        <w:tc>
          <w:tcPr>
            <w:tcW w:w="1297" w:type="dxa"/>
            <w:tcMar>
              <w:top w:w="0" w:type="dxa"/>
              <w:left w:w="108" w:type="dxa"/>
              <w:bottom w:w="0" w:type="dxa"/>
              <w:right w:w="108" w:type="dxa"/>
            </w:tcMar>
            <w:vAlign w:val="center"/>
            <w:hideMark/>
          </w:tcPr>
          <w:p w:rsidR="00AB3A29" w:rsidP="00CE7534" w14:paraId="04FA5A39" w14:textId="1A171E86">
            <w:pPr>
              <w:spacing w:line="252" w:lineRule="auto"/>
              <w:jc w:val="center"/>
              <w:rPr>
                <w:b/>
                <w:bCs/>
                <w:i/>
                <w:iCs/>
                <w:sz w:val="18"/>
                <w:szCs w:val="18"/>
              </w:rPr>
            </w:pPr>
            <w:r>
              <w:rPr>
                <w:b/>
                <w:bCs/>
                <w:i/>
                <w:iCs/>
                <w:sz w:val="18"/>
                <w:szCs w:val="18"/>
              </w:rPr>
              <w:t>4,500</w:t>
            </w:r>
          </w:p>
        </w:tc>
        <w:tc>
          <w:tcPr>
            <w:tcW w:w="1036" w:type="dxa"/>
            <w:tcMar>
              <w:top w:w="0" w:type="dxa"/>
              <w:left w:w="108" w:type="dxa"/>
              <w:bottom w:w="0" w:type="dxa"/>
              <w:right w:w="108" w:type="dxa"/>
            </w:tcMar>
            <w:vAlign w:val="center"/>
          </w:tcPr>
          <w:p w:rsidR="00AB3A29" w:rsidP="00CE7534" w14:paraId="1363FB80" w14:textId="77777777">
            <w:pPr>
              <w:spacing w:line="252" w:lineRule="auto"/>
              <w:jc w:val="center"/>
              <w:rPr>
                <w:b/>
                <w:bCs/>
                <w:i/>
                <w:iCs/>
                <w:sz w:val="18"/>
                <w:szCs w:val="18"/>
              </w:rPr>
            </w:pPr>
            <w:r>
              <w:rPr>
                <w:b/>
                <w:bCs/>
                <w:i/>
                <w:iCs/>
                <w:sz w:val="18"/>
                <w:szCs w:val="18"/>
              </w:rPr>
              <w:t>--</w:t>
            </w:r>
          </w:p>
        </w:tc>
        <w:tc>
          <w:tcPr>
            <w:tcW w:w="1001" w:type="dxa"/>
            <w:vAlign w:val="center"/>
          </w:tcPr>
          <w:p w:rsidR="00AB3A29" w:rsidP="00CE7534" w14:paraId="7DB41937" w14:textId="6A7FD55B">
            <w:pPr>
              <w:spacing w:line="252" w:lineRule="auto"/>
              <w:jc w:val="center"/>
              <w:rPr>
                <w:b/>
                <w:bCs/>
                <w:i/>
                <w:iCs/>
                <w:sz w:val="18"/>
                <w:szCs w:val="18"/>
              </w:rPr>
            </w:pPr>
            <w:r>
              <w:rPr>
                <w:b/>
                <w:bCs/>
                <w:i/>
                <w:iCs/>
                <w:sz w:val="18"/>
                <w:szCs w:val="18"/>
              </w:rPr>
              <w:t>4,500</w:t>
            </w:r>
          </w:p>
        </w:tc>
        <w:tc>
          <w:tcPr>
            <w:tcW w:w="1034" w:type="dxa"/>
            <w:tcMar>
              <w:top w:w="0" w:type="dxa"/>
              <w:left w:w="108" w:type="dxa"/>
              <w:bottom w:w="0" w:type="dxa"/>
              <w:right w:w="108" w:type="dxa"/>
            </w:tcMar>
            <w:vAlign w:val="center"/>
          </w:tcPr>
          <w:p w:rsidR="00AB3A29" w:rsidP="00CE7534" w14:paraId="01384A45" w14:textId="77777777">
            <w:pPr>
              <w:spacing w:line="252" w:lineRule="auto"/>
              <w:jc w:val="center"/>
              <w:rPr>
                <w:b/>
                <w:bCs/>
                <w:i/>
                <w:iCs/>
                <w:sz w:val="18"/>
                <w:szCs w:val="18"/>
              </w:rPr>
            </w:pPr>
            <w:r>
              <w:rPr>
                <w:b/>
                <w:bCs/>
                <w:i/>
                <w:iCs/>
                <w:sz w:val="18"/>
                <w:szCs w:val="18"/>
              </w:rPr>
              <w:t>--</w:t>
            </w:r>
          </w:p>
        </w:tc>
        <w:tc>
          <w:tcPr>
            <w:tcW w:w="1127" w:type="dxa"/>
            <w:tcMar>
              <w:top w:w="0" w:type="dxa"/>
              <w:left w:w="108" w:type="dxa"/>
              <w:bottom w:w="0" w:type="dxa"/>
              <w:right w:w="108" w:type="dxa"/>
            </w:tcMar>
            <w:vAlign w:val="center"/>
            <w:hideMark/>
          </w:tcPr>
          <w:p w:rsidR="00AB3A29" w:rsidRPr="00FE021B" w:rsidP="00CE7534" w14:paraId="6785F322" w14:textId="7278BB98">
            <w:pPr>
              <w:spacing w:line="252" w:lineRule="auto"/>
              <w:jc w:val="center"/>
              <w:rPr>
                <w:i/>
                <w:iCs/>
                <w:sz w:val="16"/>
                <w:szCs w:val="16"/>
              </w:rPr>
            </w:pPr>
            <w:r>
              <w:rPr>
                <w:b/>
                <w:bCs/>
                <w:i/>
                <w:iCs/>
                <w:sz w:val="18"/>
                <w:szCs w:val="18"/>
              </w:rPr>
              <w:t>4,500</w:t>
            </w:r>
          </w:p>
        </w:tc>
        <w:tc>
          <w:tcPr>
            <w:tcW w:w="891" w:type="dxa"/>
            <w:tcMar>
              <w:top w:w="0" w:type="dxa"/>
              <w:left w:w="108" w:type="dxa"/>
              <w:bottom w:w="0" w:type="dxa"/>
              <w:right w:w="108" w:type="dxa"/>
            </w:tcMar>
            <w:vAlign w:val="center"/>
          </w:tcPr>
          <w:p w:rsidR="00AB3A29" w:rsidP="00CE7534" w14:paraId="18CD56CB" w14:textId="77777777">
            <w:pPr>
              <w:spacing w:line="252" w:lineRule="auto"/>
              <w:jc w:val="center"/>
              <w:rPr>
                <w:b/>
                <w:bCs/>
                <w:i/>
                <w:iCs/>
                <w:sz w:val="18"/>
                <w:szCs w:val="18"/>
              </w:rPr>
            </w:pPr>
            <w:r>
              <w:rPr>
                <w:b/>
                <w:bCs/>
                <w:i/>
                <w:iCs/>
                <w:sz w:val="18"/>
                <w:szCs w:val="18"/>
              </w:rPr>
              <w:t>--</w:t>
            </w:r>
          </w:p>
        </w:tc>
        <w:tc>
          <w:tcPr>
            <w:tcW w:w="1604" w:type="dxa"/>
            <w:tcMar>
              <w:top w:w="0" w:type="dxa"/>
              <w:left w:w="108" w:type="dxa"/>
              <w:bottom w:w="0" w:type="dxa"/>
              <w:right w:w="108" w:type="dxa"/>
            </w:tcMar>
            <w:vAlign w:val="center"/>
            <w:hideMark/>
          </w:tcPr>
          <w:p w:rsidR="00AB3A29" w:rsidP="00CE7534" w14:paraId="188756DB" w14:textId="7ED539A0">
            <w:pPr>
              <w:spacing w:line="252" w:lineRule="auto"/>
              <w:jc w:val="center"/>
              <w:rPr>
                <w:b/>
                <w:bCs/>
                <w:i/>
                <w:iCs/>
                <w:sz w:val="18"/>
                <w:szCs w:val="18"/>
              </w:rPr>
            </w:pPr>
            <w:r>
              <w:rPr>
                <w:b/>
                <w:bCs/>
                <w:i/>
                <w:iCs/>
                <w:sz w:val="18"/>
                <w:szCs w:val="18"/>
              </w:rPr>
              <w:t>$126,160</w:t>
            </w:r>
          </w:p>
        </w:tc>
      </w:tr>
    </w:tbl>
    <w:p w:rsidR="00AB3A29" w:rsidRPr="00674418" w:rsidP="00674418" w14:paraId="36C9B072" w14:textId="44636A78">
      <w:pPr>
        <w:spacing w:after="206"/>
        <w:jc w:val="center"/>
        <w:rPr>
          <w:b/>
          <w:bCs/>
        </w:rPr>
      </w:pPr>
      <w:bookmarkStart w:id="2" w:name="_Hlk129261311"/>
      <w:r w:rsidRPr="00674418">
        <w:rPr>
          <w:b/>
          <w:bCs/>
        </w:rPr>
        <w:t>Site Visit Burden</w:t>
      </w:r>
    </w:p>
    <w:bookmarkEnd w:id="2"/>
    <w:p w:rsidR="00AB3A29" w:rsidP="00FE021B" w14:paraId="75A50AA6" w14:textId="77777777">
      <w:pPr>
        <w:spacing w:after="206"/>
      </w:pPr>
    </w:p>
    <w:p w:rsidR="00BD6186" w:rsidP="00833D33" w14:paraId="5E4C8BA7" w14:textId="0CA8350C">
      <w:pPr>
        <w:spacing w:after="206"/>
      </w:pPr>
      <w:r>
        <w:t xml:space="preserve">The combined </w:t>
      </w:r>
      <w:r w:rsidR="00FE021B">
        <w:t xml:space="preserve">estimates </w:t>
      </w:r>
      <w:r>
        <w:t>for both surveys and site visits, using the hourly median wage estimates</w:t>
      </w:r>
      <w:r w:rsidR="00787054">
        <w:t xml:space="preserve"> discussed above</w:t>
      </w:r>
      <w:r>
        <w:t xml:space="preserve">, </w:t>
      </w:r>
      <w:r w:rsidR="00FE021B">
        <w:t>are presented in the table below</w:t>
      </w:r>
      <w:r>
        <w:t>.  The total number respondents would be 7,000 individuals and the total monetized costs for respondents’ time over three years would be $215,110</w:t>
      </w:r>
      <w:r w:rsidR="00AE0B0A">
        <w:t xml:space="preserve">. </w:t>
      </w:r>
    </w:p>
    <w:tbl>
      <w:tblPr>
        <w:tblpPr w:leftFromText="180" w:rightFromText="180" w:vertAnchor="text" w:horzAnchor="margin" w:tblpXSpec="center" w:tblpY="402"/>
        <w:tblW w:w="9900" w:type="dxa"/>
        <w:tblLayout w:type="fixed"/>
        <w:tblCellMar>
          <w:left w:w="0" w:type="dxa"/>
          <w:right w:w="0" w:type="dxa"/>
        </w:tblCellMar>
        <w:tblLook w:val="04A0"/>
      </w:tblPr>
      <w:tblGrid>
        <w:gridCol w:w="1447"/>
        <w:gridCol w:w="1466"/>
        <w:gridCol w:w="1036"/>
        <w:gridCol w:w="1361"/>
        <w:gridCol w:w="1036"/>
        <w:gridCol w:w="1127"/>
        <w:gridCol w:w="891"/>
        <w:gridCol w:w="1536"/>
      </w:tblGrid>
      <w:tr w14:paraId="0AA09237" w14:textId="77777777" w:rsidTr="00833D33">
        <w:tblPrEx>
          <w:tblW w:w="9900" w:type="dxa"/>
          <w:tblLayout w:type="fixed"/>
          <w:tblCellMar>
            <w:left w:w="0" w:type="dxa"/>
            <w:right w:w="0" w:type="dxa"/>
          </w:tblCellMar>
          <w:tblLook w:val="04A0"/>
        </w:tblPrEx>
        <w:trPr>
          <w:trHeight w:val="809"/>
        </w:trPr>
        <w:tc>
          <w:tcPr>
            <w:tcW w:w="1447" w:type="dxa"/>
            <w:tcBorders>
              <w:top w:val="single" w:sz="8" w:space="0" w:color="auto"/>
              <w:left w:val="single" w:sz="8" w:space="0" w:color="auto"/>
              <w:bottom w:val="single" w:sz="8" w:space="0" w:color="auto"/>
              <w:right w:val="single" w:sz="8" w:space="0" w:color="auto"/>
            </w:tcBorders>
            <w:shd w:val="clear" w:color="auto" w:fill="8DB3E2"/>
            <w:tcMar>
              <w:top w:w="0" w:type="dxa"/>
              <w:left w:w="108" w:type="dxa"/>
              <w:bottom w:w="0" w:type="dxa"/>
              <w:right w:w="108" w:type="dxa"/>
            </w:tcMar>
            <w:vAlign w:val="center"/>
            <w:hideMark/>
          </w:tcPr>
          <w:p w:rsidR="002A3812" w:rsidP="002A3812" w14:paraId="73DA95B4" w14:textId="28229EF1">
            <w:pPr>
              <w:spacing w:line="276" w:lineRule="auto"/>
              <w:jc w:val="center"/>
              <w:rPr>
                <w:b/>
                <w:bCs/>
                <w:sz w:val="18"/>
                <w:szCs w:val="18"/>
              </w:rPr>
            </w:pPr>
            <w:r>
              <w:rPr>
                <w:b/>
                <w:bCs/>
                <w:color w:val="000000"/>
                <w:sz w:val="18"/>
                <w:szCs w:val="18"/>
              </w:rPr>
              <w:t>Type of Information Collection</w:t>
            </w:r>
          </w:p>
        </w:tc>
        <w:tc>
          <w:tcPr>
            <w:tcW w:w="1466" w:type="dxa"/>
            <w:tcBorders>
              <w:top w:val="single" w:sz="8" w:space="0" w:color="auto"/>
              <w:left w:val="nil"/>
              <w:bottom w:val="single" w:sz="8" w:space="0" w:color="auto"/>
              <w:right w:val="single" w:sz="8" w:space="0" w:color="auto"/>
            </w:tcBorders>
            <w:shd w:val="clear" w:color="auto" w:fill="8DB3E2"/>
            <w:tcMar>
              <w:top w:w="0" w:type="dxa"/>
              <w:left w:w="108" w:type="dxa"/>
              <w:bottom w:w="0" w:type="dxa"/>
              <w:right w:w="108" w:type="dxa"/>
            </w:tcMar>
            <w:vAlign w:val="center"/>
            <w:hideMark/>
          </w:tcPr>
          <w:p w:rsidR="002A3812" w:rsidP="002A3812" w14:paraId="23AE029E" w14:textId="494D5455">
            <w:pPr>
              <w:spacing w:line="276" w:lineRule="auto"/>
              <w:jc w:val="center"/>
              <w:rPr>
                <w:rFonts w:ascii="Calibri" w:hAnsi="Calibri" w:cs="Calibri"/>
                <w:b/>
                <w:bCs/>
                <w:sz w:val="18"/>
                <w:szCs w:val="18"/>
              </w:rPr>
            </w:pPr>
            <w:r>
              <w:rPr>
                <w:b/>
                <w:bCs/>
                <w:color w:val="000000"/>
                <w:sz w:val="18"/>
                <w:szCs w:val="18"/>
              </w:rPr>
              <w:t>Number of Respondents</w:t>
            </w:r>
            <w:r w:rsidR="00BD6186">
              <w:rPr>
                <w:b/>
                <w:bCs/>
                <w:color w:val="000000"/>
                <w:sz w:val="18"/>
                <w:szCs w:val="18"/>
              </w:rPr>
              <w:t xml:space="preserve"> (</w:t>
            </w:r>
            <w:r w:rsidR="00DE7666">
              <w:rPr>
                <w:b/>
                <w:sz w:val="18"/>
                <w:szCs w:val="18"/>
              </w:rPr>
              <w:t>250 per</w:t>
            </w:r>
            <w:r w:rsidR="007B6C38">
              <w:rPr>
                <w:b/>
                <w:sz w:val="18"/>
                <w:szCs w:val="18"/>
              </w:rPr>
              <w:t xml:space="preserve"> survey, 450 per </w:t>
            </w:r>
            <w:r w:rsidR="000466FD">
              <w:rPr>
                <w:b/>
                <w:sz w:val="18"/>
                <w:szCs w:val="18"/>
              </w:rPr>
              <w:t>site visit)</w:t>
            </w:r>
          </w:p>
        </w:tc>
        <w:tc>
          <w:tcPr>
            <w:tcW w:w="1036" w:type="dxa"/>
            <w:tcBorders>
              <w:top w:val="single" w:sz="8" w:space="0" w:color="auto"/>
              <w:left w:val="nil"/>
              <w:bottom w:val="single" w:sz="8" w:space="0" w:color="auto"/>
              <w:right w:val="single" w:sz="4" w:space="0" w:color="auto"/>
            </w:tcBorders>
            <w:shd w:val="clear" w:color="auto" w:fill="8DB3E2"/>
            <w:tcMar>
              <w:top w:w="0" w:type="dxa"/>
              <w:left w:w="108" w:type="dxa"/>
              <w:bottom w:w="0" w:type="dxa"/>
              <w:right w:w="108" w:type="dxa"/>
            </w:tcMar>
            <w:vAlign w:val="center"/>
            <w:hideMark/>
          </w:tcPr>
          <w:p w:rsidR="002A3812" w:rsidP="002A3812" w14:paraId="65A73459" w14:textId="36A92E5A">
            <w:pPr>
              <w:spacing w:line="276" w:lineRule="auto"/>
              <w:jc w:val="center"/>
              <w:rPr>
                <w:b/>
                <w:bCs/>
                <w:sz w:val="18"/>
                <w:szCs w:val="18"/>
              </w:rPr>
            </w:pPr>
            <w:r>
              <w:rPr>
                <w:b/>
                <w:bCs/>
                <w:color w:val="000000"/>
                <w:sz w:val="18"/>
                <w:szCs w:val="18"/>
              </w:rPr>
              <w:t xml:space="preserve">Frequency </w:t>
            </w:r>
          </w:p>
        </w:tc>
        <w:tc>
          <w:tcPr>
            <w:tcW w:w="1361" w:type="dxa"/>
            <w:tcBorders>
              <w:top w:val="single" w:sz="4" w:space="0" w:color="auto"/>
              <w:left w:val="single" w:sz="4" w:space="0" w:color="auto"/>
              <w:bottom w:val="single" w:sz="4" w:space="0" w:color="auto"/>
              <w:right w:val="single" w:sz="4" w:space="0" w:color="auto"/>
            </w:tcBorders>
            <w:shd w:val="clear" w:color="auto" w:fill="8DB3E2"/>
            <w:vAlign w:val="center"/>
          </w:tcPr>
          <w:p w:rsidR="00DE7666" w:rsidP="00DE7666" w14:paraId="51152283" w14:textId="1363F4A3">
            <w:pPr>
              <w:spacing w:line="276" w:lineRule="auto"/>
              <w:jc w:val="center"/>
              <w:rPr>
                <w:b/>
                <w:bCs/>
                <w:color w:val="000000"/>
                <w:sz w:val="18"/>
                <w:szCs w:val="18"/>
              </w:rPr>
            </w:pPr>
            <w:r>
              <w:rPr>
                <w:b/>
                <w:bCs/>
                <w:color w:val="000000"/>
                <w:sz w:val="18"/>
                <w:szCs w:val="18"/>
              </w:rPr>
              <w:t>Total</w:t>
            </w:r>
          </w:p>
          <w:p w:rsidR="002A3812" w:rsidP="00DE7666" w14:paraId="4DE153F8" w14:textId="21470A94">
            <w:pPr>
              <w:spacing w:line="276" w:lineRule="auto"/>
              <w:jc w:val="center"/>
              <w:rPr>
                <w:b/>
                <w:bCs/>
                <w:color w:val="000000"/>
                <w:sz w:val="18"/>
                <w:szCs w:val="18"/>
              </w:rPr>
            </w:pPr>
            <w:r>
              <w:rPr>
                <w:b/>
                <w:bCs/>
                <w:color w:val="000000"/>
                <w:sz w:val="18"/>
                <w:szCs w:val="18"/>
              </w:rPr>
              <w:t>Responses</w:t>
            </w:r>
          </w:p>
        </w:tc>
        <w:tc>
          <w:tcPr>
            <w:tcW w:w="1036" w:type="dxa"/>
            <w:tcBorders>
              <w:top w:val="single" w:sz="8" w:space="0" w:color="auto"/>
              <w:left w:val="single" w:sz="4" w:space="0" w:color="auto"/>
              <w:bottom w:val="single" w:sz="8" w:space="0" w:color="auto"/>
              <w:right w:val="single" w:sz="8" w:space="0" w:color="auto"/>
            </w:tcBorders>
            <w:shd w:val="clear" w:color="auto" w:fill="8DB3E2"/>
            <w:tcMar>
              <w:top w:w="0" w:type="dxa"/>
              <w:left w:w="108" w:type="dxa"/>
              <w:bottom w:w="0" w:type="dxa"/>
              <w:right w:w="108" w:type="dxa"/>
            </w:tcMar>
            <w:vAlign w:val="center"/>
            <w:hideMark/>
          </w:tcPr>
          <w:p w:rsidR="002A3812" w:rsidP="002A3812" w14:paraId="676A46EA" w14:textId="0B3CAFEA">
            <w:pPr>
              <w:spacing w:line="276" w:lineRule="auto"/>
              <w:jc w:val="center"/>
              <w:rPr>
                <w:b/>
                <w:bCs/>
                <w:sz w:val="18"/>
                <w:szCs w:val="18"/>
              </w:rPr>
            </w:pPr>
            <w:r>
              <w:rPr>
                <w:b/>
                <w:bCs/>
                <w:color w:val="000000"/>
                <w:sz w:val="18"/>
                <w:szCs w:val="18"/>
              </w:rPr>
              <w:t>Time Per Response (Hours)</w:t>
            </w:r>
          </w:p>
        </w:tc>
        <w:tc>
          <w:tcPr>
            <w:tcW w:w="1127" w:type="dxa"/>
            <w:tcBorders>
              <w:top w:val="single" w:sz="8" w:space="0" w:color="auto"/>
              <w:left w:val="nil"/>
              <w:bottom w:val="single" w:sz="8" w:space="0" w:color="auto"/>
              <w:right w:val="single" w:sz="8" w:space="0" w:color="auto"/>
            </w:tcBorders>
            <w:shd w:val="clear" w:color="auto" w:fill="8DB3E2"/>
            <w:tcMar>
              <w:top w:w="0" w:type="dxa"/>
              <w:left w:w="108" w:type="dxa"/>
              <w:bottom w:w="0" w:type="dxa"/>
              <w:right w:w="108" w:type="dxa"/>
            </w:tcMar>
            <w:vAlign w:val="center"/>
            <w:hideMark/>
          </w:tcPr>
          <w:p w:rsidR="002A3812" w:rsidP="002A3812" w14:paraId="732F6907" w14:textId="2FA3ADB5">
            <w:pPr>
              <w:spacing w:line="276" w:lineRule="auto"/>
              <w:jc w:val="center"/>
              <w:rPr>
                <w:b/>
                <w:bCs/>
                <w:sz w:val="18"/>
                <w:szCs w:val="18"/>
              </w:rPr>
            </w:pPr>
            <w:r>
              <w:rPr>
                <w:b/>
                <w:bCs/>
                <w:color w:val="000000"/>
                <w:sz w:val="18"/>
                <w:szCs w:val="18"/>
              </w:rPr>
              <w:t>Respondent Burden</w:t>
            </w:r>
          </w:p>
          <w:p w:rsidR="002A3812" w:rsidP="002A3812" w14:paraId="7CDD3291" w14:textId="77777777">
            <w:pPr>
              <w:spacing w:line="276" w:lineRule="auto"/>
              <w:jc w:val="center"/>
              <w:rPr>
                <w:b/>
                <w:bCs/>
                <w:sz w:val="18"/>
                <w:szCs w:val="18"/>
              </w:rPr>
            </w:pPr>
            <w:r>
              <w:rPr>
                <w:b/>
                <w:bCs/>
                <w:color w:val="000000"/>
                <w:sz w:val="18"/>
                <w:szCs w:val="18"/>
              </w:rPr>
              <w:t>Hours</w:t>
            </w:r>
          </w:p>
        </w:tc>
        <w:tc>
          <w:tcPr>
            <w:tcW w:w="891" w:type="dxa"/>
            <w:tcBorders>
              <w:top w:val="single" w:sz="8" w:space="0" w:color="auto"/>
              <w:left w:val="nil"/>
              <w:bottom w:val="single" w:sz="8" w:space="0" w:color="auto"/>
              <w:right w:val="single" w:sz="8" w:space="0" w:color="auto"/>
            </w:tcBorders>
            <w:shd w:val="clear" w:color="auto" w:fill="8DB3E2"/>
            <w:tcMar>
              <w:top w:w="0" w:type="dxa"/>
              <w:left w:w="108" w:type="dxa"/>
              <w:bottom w:w="0" w:type="dxa"/>
              <w:right w:w="108" w:type="dxa"/>
            </w:tcMar>
            <w:vAlign w:val="center"/>
            <w:hideMark/>
          </w:tcPr>
          <w:p w:rsidR="002A3812" w:rsidP="002A3812" w14:paraId="4CE9DCC9" w14:textId="77777777">
            <w:pPr>
              <w:spacing w:line="276" w:lineRule="auto"/>
              <w:jc w:val="center"/>
              <w:rPr>
                <w:b/>
                <w:bCs/>
                <w:sz w:val="18"/>
                <w:szCs w:val="18"/>
              </w:rPr>
            </w:pPr>
            <w:r>
              <w:rPr>
                <w:b/>
                <w:bCs/>
                <w:color w:val="000000"/>
                <w:sz w:val="18"/>
                <w:szCs w:val="18"/>
              </w:rPr>
              <w:t>Median Hourly Wage</w:t>
            </w:r>
          </w:p>
        </w:tc>
        <w:tc>
          <w:tcPr>
            <w:tcW w:w="1536" w:type="dxa"/>
            <w:tcBorders>
              <w:top w:val="single" w:sz="8" w:space="0" w:color="auto"/>
              <w:left w:val="nil"/>
              <w:bottom w:val="single" w:sz="8" w:space="0" w:color="auto"/>
              <w:right w:val="single" w:sz="8" w:space="0" w:color="auto"/>
            </w:tcBorders>
            <w:shd w:val="clear" w:color="auto" w:fill="8DB3E2"/>
            <w:tcMar>
              <w:top w:w="0" w:type="dxa"/>
              <w:left w:w="108" w:type="dxa"/>
              <w:bottom w:w="0" w:type="dxa"/>
              <w:right w:w="108" w:type="dxa"/>
            </w:tcMar>
            <w:vAlign w:val="center"/>
            <w:hideMark/>
          </w:tcPr>
          <w:p w:rsidR="002A3812" w:rsidP="002A3812" w14:paraId="42C7EB74" w14:textId="1257B331">
            <w:pPr>
              <w:spacing w:line="276" w:lineRule="auto"/>
              <w:jc w:val="center"/>
              <w:rPr>
                <w:b/>
                <w:bCs/>
                <w:sz w:val="18"/>
                <w:szCs w:val="18"/>
              </w:rPr>
            </w:pPr>
            <w:r>
              <w:rPr>
                <w:b/>
                <w:bCs/>
                <w:color w:val="000000"/>
                <w:sz w:val="18"/>
                <w:szCs w:val="18"/>
              </w:rPr>
              <w:t>Total Monetized Value of Respondent Time</w:t>
            </w:r>
          </w:p>
        </w:tc>
      </w:tr>
      <w:tr w14:paraId="2175D8F6" w14:textId="77777777" w:rsidTr="00833D33">
        <w:tblPrEx>
          <w:tblW w:w="9900" w:type="dxa"/>
          <w:tblLayout w:type="fixed"/>
          <w:tblCellMar>
            <w:left w:w="0" w:type="dxa"/>
            <w:right w:w="0" w:type="dxa"/>
          </w:tblCellMar>
          <w:tblLook w:val="04A0"/>
        </w:tblPrEx>
        <w:trPr>
          <w:trHeight w:val="422"/>
        </w:trPr>
        <w:tc>
          <w:tcPr>
            <w:tcW w:w="14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A3812" w:rsidP="002A3812" w14:paraId="4D160FFC" w14:textId="77777777">
            <w:pPr>
              <w:spacing w:line="276" w:lineRule="auto"/>
              <w:jc w:val="center"/>
              <w:rPr>
                <w:b/>
                <w:bCs/>
                <w:i/>
                <w:iCs/>
                <w:sz w:val="18"/>
                <w:szCs w:val="18"/>
              </w:rPr>
            </w:pPr>
          </w:p>
          <w:p w:rsidR="002A3812" w:rsidP="00833D33" w14:paraId="627025BD" w14:textId="77777777">
            <w:pPr>
              <w:spacing w:line="276" w:lineRule="auto"/>
              <w:jc w:val="center"/>
              <w:rPr>
                <w:b/>
                <w:bCs/>
                <w:i/>
                <w:iCs/>
                <w:sz w:val="18"/>
                <w:szCs w:val="18"/>
              </w:rPr>
            </w:pPr>
            <w:r>
              <w:rPr>
                <w:b/>
                <w:bCs/>
                <w:i/>
                <w:iCs/>
                <w:sz w:val="18"/>
                <w:szCs w:val="18"/>
              </w:rPr>
              <w:t>Survey Questionnaires</w:t>
            </w:r>
          </w:p>
        </w:tc>
        <w:tc>
          <w:tcPr>
            <w:tcW w:w="1466" w:type="dxa"/>
            <w:tcBorders>
              <w:top w:val="nil"/>
              <w:left w:val="nil"/>
              <w:bottom w:val="single" w:sz="8" w:space="0" w:color="auto"/>
              <w:right w:val="single" w:sz="8" w:space="0" w:color="auto"/>
            </w:tcBorders>
            <w:tcMar>
              <w:top w:w="0" w:type="dxa"/>
              <w:left w:w="108" w:type="dxa"/>
              <w:bottom w:w="0" w:type="dxa"/>
              <w:right w:w="108" w:type="dxa"/>
            </w:tcMar>
            <w:vAlign w:val="center"/>
          </w:tcPr>
          <w:p w:rsidR="002A3812" w:rsidP="002A3812" w14:paraId="492B6471" w14:textId="32356AE4">
            <w:pPr>
              <w:spacing w:line="252" w:lineRule="auto"/>
              <w:jc w:val="center"/>
              <w:rPr>
                <w:b/>
                <w:bCs/>
                <w:i/>
                <w:iCs/>
                <w:sz w:val="18"/>
                <w:szCs w:val="18"/>
              </w:rPr>
            </w:pPr>
            <w:r>
              <w:rPr>
                <w:b/>
                <w:bCs/>
                <w:i/>
                <w:iCs/>
                <w:sz w:val="18"/>
                <w:szCs w:val="18"/>
              </w:rPr>
              <w:t>2</w:t>
            </w:r>
            <w:r w:rsidR="00A34C3D">
              <w:rPr>
                <w:b/>
                <w:bCs/>
                <w:i/>
                <w:iCs/>
                <w:sz w:val="18"/>
                <w:szCs w:val="18"/>
              </w:rPr>
              <w:t>,</w:t>
            </w:r>
            <w:r>
              <w:rPr>
                <w:b/>
                <w:bCs/>
                <w:i/>
                <w:iCs/>
                <w:sz w:val="18"/>
                <w:szCs w:val="18"/>
              </w:rPr>
              <w:t>50</w:t>
            </w:r>
            <w:r w:rsidR="00A34C3D">
              <w:rPr>
                <w:b/>
                <w:bCs/>
                <w:i/>
                <w:iCs/>
                <w:sz w:val="18"/>
                <w:szCs w:val="18"/>
              </w:rPr>
              <w:t>0</w:t>
            </w:r>
          </w:p>
        </w:tc>
        <w:tc>
          <w:tcPr>
            <w:tcW w:w="1036" w:type="dxa"/>
            <w:tcBorders>
              <w:top w:val="nil"/>
              <w:left w:val="nil"/>
              <w:bottom w:val="single" w:sz="8" w:space="0" w:color="auto"/>
              <w:right w:val="single" w:sz="4" w:space="0" w:color="auto"/>
            </w:tcBorders>
            <w:tcMar>
              <w:top w:w="0" w:type="dxa"/>
              <w:left w:w="108" w:type="dxa"/>
              <w:bottom w:w="0" w:type="dxa"/>
              <w:right w:w="108" w:type="dxa"/>
            </w:tcMar>
            <w:vAlign w:val="center"/>
            <w:hideMark/>
          </w:tcPr>
          <w:p w:rsidR="002A3812" w:rsidP="002A3812" w14:paraId="20B92F53" w14:textId="0970C98A">
            <w:pPr>
              <w:spacing w:line="252" w:lineRule="auto"/>
              <w:jc w:val="center"/>
              <w:rPr>
                <w:b/>
                <w:bCs/>
                <w:i/>
                <w:iCs/>
                <w:sz w:val="18"/>
                <w:szCs w:val="18"/>
              </w:rPr>
            </w:pPr>
            <w:r>
              <w:rPr>
                <w:b/>
                <w:bCs/>
                <w:i/>
                <w:iCs/>
                <w:sz w:val="18"/>
                <w:szCs w:val="18"/>
              </w:rPr>
              <w:t>1</w:t>
            </w:r>
          </w:p>
        </w:tc>
        <w:tc>
          <w:tcPr>
            <w:tcW w:w="1361" w:type="dxa"/>
            <w:tcBorders>
              <w:top w:val="single" w:sz="4" w:space="0" w:color="auto"/>
              <w:left w:val="single" w:sz="4" w:space="0" w:color="auto"/>
              <w:bottom w:val="single" w:sz="4" w:space="0" w:color="auto"/>
              <w:right w:val="single" w:sz="4" w:space="0" w:color="auto"/>
            </w:tcBorders>
            <w:vAlign w:val="center"/>
          </w:tcPr>
          <w:p w:rsidR="002A3812" w:rsidP="002A3812" w14:paraId="574695C0" w14:textId="6F4AE074">
            <w:pPr>
              <w:spacing w:line="252" w:lineRule="auto"/>
              <w:jc w:val="center"/>
              <w:rPr>
                <w:b/>
                <w:bCs/>
                <w:i/>
                <w:iCs/>
                <w:sz w:val="18"/>
                <w:szCs w:val="18"/>
              </w:rPr>
            </w:pPr>
            <w:r>
              <w:rPr>
                <w:b/>
                <w:bCs/>
                <w:i/>
                <w:iCs/>
                <w:sz w:val="18"/>
                <w:szCs w:val="18"/>
              </w:rPr>
              <w:t>2,500</w:t>
            </w:r>
          </w:p>
        </w:tc>
        <w:tc>
          <w:tcPr>
            <w:tcW w:w="1036"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2A3812" w:rsidRPr="00833D33" w:rsidP="002A3812" w14:paraId="7B5948AF" w14:textId="6083C4C0">
            <w:pPr>
              <w:spacing w:line="252" w:lineRule="auto"/>
              <w:jc w:val="center"/>
              <w:rPr>
                <w:b/>
                <w:bCs/>
                <w:i/>
                <w:iCs/>
                <w:sz w:val="18"/>
                <w:szCs w:val="18"/>
              </w:rPr>
            </w:pPr>
            <w:r w:rsidRPr="00833D33">
              <w:rPr>
                <w:b/>
                <w:bCs/>
                <w:i/>
                <w:iCs/>
                <w:sz w:val="18"/>
                <w:szCs w:val="18"/>
              </w:rPr>
              <w:t>1</w:t>
            </w:r>
            <w:r w:rsidRPr="00833D33" w:rsidR="00A34C3D">
              <w:rPr>
                <w:b/>
                <w:bCs/>
                <w:i/>
                <w:iCs/>
                <w:sz w:val="18"/>
                <w:szCs w:val="18"/>
              </w:rPr>
              <w:t xml:space="preserve"> hour</w:t>
            </w:r>
          </w:p>
        </w:tc>
        <w:tc>
          <w:tcPr>
            <w:tcW w:w="11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A3812" w:rsidP="002A3812" w14:paraId="2B4650FF" w14:textId="77777777">
            <w:pPr>
              <w:spacing w:line="252" w:lineRule="auto"/>
              <w:jc w:val="center"/>
              <w:rPr>
                <w:i/>
                <w:iCs/>
                <w:sz w:val="18"/>
                <w:szCs w:val="18"/>
              </w:rPr>
            </w:pPr>
            <w:r>
              <w:rPr>
                <w:b/>
                <w:bCs/>
                <w:i/>
                <w:iCs/>
                <w:sz w:val="18"/>
                <w:szCs w:val="18"/>
              </w:rPr>
              <w:t>2,500</w:t>
            </w:r>
          </w:p>
        </w:tc>
        <w:tc>
          <w:tcPr>
            <w:tcW w:w="8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A3812" w:rsidP="002A3812" w14:paraId="439DFE02" w14:textId="660DEAEA">
            <w:pPr>
              <w:spacing w:line="252" w:lineRule="auto"/>
              <w:jc w:val="center"/>
              <w:rPr>
                <w:b/>
                <w:bCs/>
                <w:i/>
                <w:iCs/>
                <w:sz w:val="18"/>
                <w:szCs w:val="18"/>
              </w:rPr>
            </w:pPr>
            <w:r>
              <w:rPr>
                <w:b/>
                <w:bCs/>
                <w:i/>
                <w:iCs/>
                <w:sz w:val="18"/>
                <w:szCs w:val="18"/>
              </w:rPr>
              <w:t>---</w:t>
            </w:r>
          </w:p>
        </w:tc>
        <w:tc>
          <w:tcPr>
            <w:tcW w:w="15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A3812" w:rsidP="002A3812" w14:paraId="1F26757C" w14:textId="77777777">
            <w:pPr>
              <w:spacing w:line="252" w:lineRule="auto"/>
              <w:jc w:val="center"/>
              <w:rPr>
                <w:b/>
                <w:bCs/>
                <w:i/>
                <w:iCs/>
                <w:sz w:val="18"/>
                <w:szCs w:val="18"/>
              </w:rPr>
            </w:pPr>
            <w:r>
              <w:rPr>
                <w:b/>
                <w:bCs/>
                <w:i/>
                <w:iCs/>
                <w:sz w:val="18"/>
                <w:szCs w:val="18"/>
              </w:rPr>
              <w:t>$88,950</w:t>
            </w:r>
          </w:p>
        </w:tc>
      </w:tr>
      <w:tr w14:paraId="3F7E7C0D" w14:textId="77777777" w:rsidTr="00833D33">
        <w:tblPrEx>
          <w:tblW w:w="9900" w:type="dxa"/>
          <w:tblLayout w:type="fixed"/>
          <w:tblCellMar>
            <w:left w:w="0" w:type="dxa"/>
            <w:right w:w="0" w:type="dxa"/>
          </w:tblCellMar>
          <w:tblLook w:val="04A0"/>
        </w:tblPrEx>
        <w:trPr>
          <w:trHeight w:val="449"/>
        </w:trPr>
        <w:tc>
          <w:tcPr>
            <w:tcW w:w="14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A3812" w:rsidP="00833D33" w14:paraId="411110B6" w14:textId="3EF9F58A">
            <w:pPr>
              <w:spacing w:line="252" w:lineRule="auto"/>
              <w:jc w:val="center"/>
              <w:rPr>
                <w:b/>
                <w:bCs/>
                <w:i/>
                <w:iCs/>
                <w:sz w:val="18"/>
                <w:szCs w:val="18"/>
              </w:rPr>
            </w:pPr>
            <w:r>
              <w:rPr>
                <w:b/>
                <w:bCs/>
                <w:i/>
                <w:iCs/>
                <w:sz w:val="18"/>
                <w:szCs w:val="18"/>
              </w:rPr>
              <w:t>Site Visits</w:t>
            </w:r>
          </w:p>
        </w:tc>
        <w:tc>
          <w:tcPr>
            <w:tcW w:w="14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A3812" w:rsidP="002A3812" w14:paraId="46BAEA90" w14:textId="164D8381">
            <w:pPr>
              <w:spacing w:line="252" w:lineRule="auto"/>
              <w:jc w:val="center"/>
              <w:rPr>
                <w:b/>
                <w:bCs/>
                <w:i/>
                <w:iCs/>
                <w:sz w:val="18"/>
                <w:szCs w:val="18"/>
              </w:rPr>
            </w:pPr>
            <w:r>
              <w:rPr>
                <w:b/>
                <w:bCs/>
                <w:i/>
                <w:iCs/>
                <w:sz w:val="18"/>
                <w:szCs w:val="18"/>
              </w:rPr>
              <w:t>4,500</w:t>
            </w:r>
          </w:p>
        </w:tc>
        <w:tc>
          <w:tcPr>
            <w:tcW w:w="1036" w:type="dxa"/>
            <w:tcBorders>
              <w:top w:val="nil"/>
              <w:left w:val="nil"/>
              <w:bottom w:val="single" w:sz="8" w:space="0" w:color="auto"/>
              <w:right w:val="single" w:sz="4" w:space="0" w:color="auto"/>
            </w:tcBorders>
            <w:tcMar>
              <w:top w:w="0" w:type="dxa"/>
              <w:left w:w="108" w:type="dxa"/>
              <w:bottom w:w="0" w:type="dxa"/>
              <w:right w:w="108" w:type="dxa"/>
            </w:tcMar>
            <w:vAlign w:val="center"/>
            <w:hideMark/>
          </w:tcPr>
          <w:p w:rsidR="002A3812" w:rsidP="002A3812" w14:paraId="0BC564FE" w14:textId="46F06E07">
            <w:pPr>
              <w:spacing w:line="252" w:lineRule="auto"/>
              <w:jc w:val="center"/>
              <w:rPr>
                <w:b/>
                <w:bCs/>
                <w:i/>
                <w:iCs/>
                <w:sz w:val="18"/>
                <w:szCs w:val="18"/>
              </w:rPr>
            </w:pPr>
            <w:r>
              <w:rPr>
                <w:b/>
                <w:bCs/>
                <w:i/>
                <w:iCs/>
                <w:sz w:val="18"/>
                <w:szCs w:val="18"/>
              </w:rPr>
              <w:t>1</w:t>
            </w:r>
          </w:p>
        </w:tc>
        <w:tc>
          <w:tcPr>
            <w:tcW w:w="1361" w:type="dxa"/>
            <w:tcBorders>
              <w:top w:val="single" w:sz="4" w:space="0" w:color="auto"/>
              <w:left w:val="single" w:sz="4" w:space="0" w:color="auto"/>
              <w:bottom w:val="single" w:sz="4" w:space="0" w:color="auto"/>
              <w:right w:val="single" w:sz="4" w:space="0" w:color="auto"/>
            </w:tcBorders>
            <w:vAlign w:val="center"/>
          </w:tcPr>
          <w:p w:rsidR="002A3812" w:rsidP="002A3812" w14:paraId="788C8161" w14:textId="586834F1">
            <w:pPr>
              <w:spacing w:line="252" w:lineRule="auto"/>
              <w:jc w:val="center"/>
              <w:rPr>
                <w:b/>
                <w:bCs/>
                <w:i/>
                <w:iCs/>
                <w:sz w:val="18"/>
                <w:szCs w:val="18"/>
              </w:rPr>
            </w:pPr>
            <w:r>
              <w:rPr>
                <w:b/>
                <w:bCs/>
                <w:i/>
                <w:iCs/>
                <w:sz w:val="18"/>
                <w:szCs w:val="18"/>
              </w:rPr>
              <w:t>4,500</w:t>
            </w:r>
          </w:p>
        </w:tc>
        <w:tc>
          <w:tcPr>
            <w:tcW w:w="1036"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2A3812" w:rsidRPr="00833D33" w:rsidP="002A3812" w14:paraId="2EC00D1C" w14:textId="284E7746">
            <w:pPr>
              <w:spacing w:line="252" w:lineRule="auto"/>
              <w:jc w:val="center"/>
              <w:rPr>
                <w:b/>
                <w:bCs/>
                <w:i/>
                <w:iCs/>
                <w:sz w:val="18"/>
                <w:szCs w:val="18"/>
              </w:rPr>
            </w:pPr>
            <w:r w:rsidRPr="00833D33">
              <w:rPr>
                <w:b/>
                <w:bCs/>
                <w:i/>
                <w:iCs/>
                <w:sz w:val="18"/>
                <w:szCs w:val="18"/>
              </w:rPr>
              <w:t>1</w:t>
            </w:r>
            <w:r w:rsidRPr="00833D33" w:rsidR="00A34C3D">
              <w:rPr>
                <w:b/>
                <w:bCs/>
                <w:i/>
                <w:iCs/>
                <w:sz w:val="18"/>
                <w:szCs w:val="18"/>
              </w:rPr>
              <w:t xml:space="preserve"> hour</w:t>
            </w:r>
          </w:p>
        </w:tc>
        <w:tc>
          <w:tcPr>
            <w:tcW w:w="11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A3812" w:rsidP="002A3812" w14:paraId="18C3C4CA" w14:textId="3387BB5C">
            <w:pPr>
              <w:spacing w:line="252" w:lineRule="auto"/>
              <w:jc w:val="center"/>
              <w:rPr>
                <w:b/>
                <w:bCs/>
                <w:i/>
                <w:iCs/>
                <w:sz w:val="18"/>
                <w:szCs w:val="18"/>
              </w:rPr>
            </w:pPr>
            <w:r>
              <w:rPr>
                <w:b/>
                <w:bCs/>
                <w:i/>
                <w:iCs/>
                <w:sz w:val="18"/>
                <w:szCs w:val="18"/>
              </w:rPr>
              <w:t>4,500</w:t>
            </w:r>
          </w:p>
        </w:tc>
        <w:tc>
          <w:tcPr>
            <w:tcW w:w="8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A3812" w:rsidP="002A3812" w14:paraId="29613627" w14:textId="792B91A9">
            <w:pPr>
              <w:spacing w:line="252" w:lineRule="auto"/>
              <w:jc w:val="center"/>
              <w:rPr>
                <w:b/>
                <w:bCs/>
                <w:i/>
                <w:iCs/>
                <w:sz w:val="18"/>
                <w:szCs w:val="18"/>
              </w:rPr>
            </w:pPr>
            <w:r>
              <w:rPr>
                <w:b/>
                <w:bCs/>
                <w:i/>
                <w:iCs/>
                <w:sz w:val="18"/>
                <w:szCs w:val="18"/>
              </w:rPr>
              <w:t>--</w:t>
            </w:r>
          </w:p>
        </w:tc>
        <w:tc>
          <w:tcPr>
            <w:tcW w:w="15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A3812" w:rsidP="002A3812" w14:paraId="1167358F" w14:textId="6E25C539">
            <w:pPr>
              <w:spacing w:line="252" w:lineRule="auto"/>
              <w:jc w:val="center"/>
              <w:rPr>
                <w:b/>
                <w:bCs/>
                <w:i/>
                <w:iCs/>
                <w:sz w:val="18"/>
                <w:szCs w:val="18"/>
              </w:rPr>
            </w:pPr>
            <w:r>
              <w:rPr>
                <w:b/>
                <w:bCs/>
                <w:i/>
                <w:iCs/>
                <w:sz w:val="18"/>
                <w:szCs w:val="18"/>
              </w:rPr>
              <w:t>$126,160</w:t>
            </w:r>
          </w:p>
        </w:tc>
      </w:tr>
      <w:tr w14:paraId="54785820" w14:textId="77777777" w:rsidTr="00833D33">
        <w:tblPrEx>
          <w:tblW w:w="9900" w:type="dxa"/>
          <w:tblLayout w:type="fixed"/>
          <w:tblCellMar>
            <w:left w:w="0" w:type="dxa"/>
            <w:right w:w="0" w:type="dxa"/>
          </w:tblCellMar>
          <w:tblLook w:val="04A0"/>
        </w:tblPrEx>
        <w:trPr>
          <w:trHeight w:val="278"/>
        </w:trPr>
        <w:tc>
          <w:tcPr>
            <w:tcW w:w="14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A3812" w:rsidP="00833D33" w14:paraId="0307B467" w14:textId="77777777">
            <w:pPr>
              <w:spacing w:line="276" w:lineRule="auto"/>
              <w:jc w:val="center"/>
              <w:rPr>
                <w:b/>
                <w:bCs/>
                <w:i/>
                <w:iCs/>
                <w:sz w:val="18"/>
                <w:szCs w:val="18"/>
              </w:rPr>
            </w:pPr>
            <w:r>
              <w:rPr>
                <w:b/>
                <w:bCs/>
                <w:i/>
                <w:iCs/>
                <w:sz w:val="18"/>
                <w:szCs w:val="18"/>
              </w:rPr>
              <w:t>TOTAL</w:t>
            </w:r>
          </w:p>
          <w:p w:rsidR="002A3812" w:rsidP="00833D33" w14:paraId="59A074E9" w14:textId="66AC788D">
            <w:pPr>
              <w:spacing w:line="276" w:lineRule="auto"/>
              <w:jc w:val="center"/>
              <w:rPr>
                <w:b/>
                <w:bCs/>
                <w:i/>
                <w:iCs/>
                <w:sz w:val="18"/>
                <w:szCs w:val="18"/>
              </w:rPr>
            </w:pPr>
          </w:p>
        </w:tc>
        <w:tc>
          <w:tcPr>
            <w:tcW w:w="14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A3812" w:rsidP="002A3812" w14:paraId="7BB1EFE7" w14:textId="01999769">
            <w:pPr>
              <w:spacing w:line="252" w:lineRule="auto"/>
              <w:jc w:val="center"/>
              <w:rPr>
                <w:b/>
                <w:bCs/>
                <w:i/>
                <w:iCs/>
                <w:sz w:val="18"/>
                <w:szCs w:val="18"/>
              </w:rPr>
            </w:pPr>
            <w:r>
              <w:rPr>
                <w:b/>
                <w:bCs/>
                <w:i/>
                <w:iCs/>
                <w:sz w:val="18"/>
                <w:szCs w:val="18"/>
              </w:rPr>
              <w:t>7,000</w:t>
            </w:r>
          </w:p>
        </w:tc>
        <w:tc>
          <w:tcPr>
            <w:tcW w:w="1036" w:type="dxa"/>
            <w:tcBorders>
              <w:top w:val="nil"/>
              <w:left w:val="nil"/>
              <w:bottom w:val="single" w:sz="8" w:space="0" w:color="auto"/>
              <w:right w:val="single" w:sz="4" w:space="0" w:color="auto"/>
            </w:tcBorders>
            <w:tcMar>
              <w:top w:w="0" w:type="dxa"/>
              <w:left w:w="108" w:type="dxa"/>
              <w:bottom w:w="0" w:type="dxa"/>
              <w:right w:w="108" w:type="dxa"/>
            </w:tcMar>
            <w:vAlign w:val="center"/>
          </w:tcPr>
          <w:p w:rsidR="002A3812" w:rsidP="002A3812" w14:paraId="744D58EA" w14:textId="760938B4">
            <w:pPr>
              <w:spacing w:line="252" w:lineRule="auto"/>
              <w:jc w:val="center"/>
              <w:rPr>
                <w:b/>
                <w:bCs/>
                <w:i/>
                <w:iCs/>
                <w:sz w:val="18"/>
                <w:szCs w:val="18"/>
              </w:rPr>
            </w:pPr>
            <w:r>
              <w:rPr>
                <w:b/>
                <w:bCs/>
                <w:i/>
                <w:iCs/>
                <w:sz w:val="18"/>
                <w:szCs w:val="18"/>
              </w:rPr>
              <w:t>--</w:t>
            </w:r>
          </w:p>
        </w:tc>
        <w:tc>
          <w:tcPr>
            <w:tcW w:w="1361" w:type="dxa"/>
            <w:tcBorders>
              <w:top w:val="single" w:sz="4" w:space="0" w:color="auto"/>
              <w:left w:val="single" w:sz="4" w:space="0" w:color="auto"/>
              <w:bottom w:val="single" w:sz="4" w:space="0" w:color="auto"/>
              <w:right w:val="single" w:sz="4" w:space="0" w:color="auto"/>
            </w:tcBorders>
            <w:vAlign w:val="center"/>
          </w:tcPr>
          <w:p w:rsidR="002A3812" w:rsidP="002A3812" w14:paraId="171B18F2" w14:textId="4C92B3E9">
            <w:pPr>
              <w:spacing w:line="252" w:lineRule="auto"/>
              <w:jc w:val="center"/>
              <w:rPr>
                <w:b/>
                <w:bCs/>
                <w:i/>
                <w:iCs/>
                <w:sz w:val="18"/>
                <w:szCs w:val="18"/>
              </w:rPr>
            </w:pPr>
            <w:r>
              <w:rPr>
                <w:b/>
                <w:bCs/>
                <w:i/>
                <w:iCs/>
                <w:sz w:val="18"/>
                <w:szCs w:val="18"/>
              </w:rPr>
              <w:t>7,000</w:t>
            </w:r>
          </w:p>
        </w:tc>
        <w:tc>
          <w:tcPr>
            <w:tcW w:w="1036"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rsidR="002A3812" w:rsidRPr="00833D33" w:rsidP="002A3812" w14:paraId="56590DB4" w14:textId="4F78E322">
            <w:pPr>
              <w:spacing w:line="252" w:lineRule="auto"/>
              <w:jc w:val="center"/>
              <w:rPr>
                <w:b/>
                <w:bCs/>
                <w:i/>
                <w:iCs/>
                <w:sz w:val="18"/>
                <w:szCs w:val="18"/>
              </w:rPr>
            </w:pPr>
            <w:r w:rsidRPr="00833D33">
              <w:rPr>
                <w:b/>
                <w:bCs/>
                <w:i/>
                <w:iCs/>
                <w:sz w:val="18"/>
                <w:szCs w:val="18"/>
              </w:rPr>
              <w:t>--</w:t>
            </w:r>
          </w:p>
        </w:tc>
        <w:tc>
          <w:tcPr>
            <w:tcW w:w="11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A3812" w:rsidRPr="00FE021B" w:rsidP="002A3812" w14:paraId="316FA69B" w14:textId="7C5256FB">
            <w:pPr>
              <w:spacing w:line="252" w:lineRule="auto"/>
              <w:jc w:val="center"/>
              <w:rPr>
                <w:i/>
                <w:iCs/>
                <w:sz w:val="16"/>
                <w:szCs w:val="16"/>
              </w:rPr>
            </w:pPr>
            <w:r>
              <w:rPr>
                <w:b/>
                <w:bCs/>
                <w:i/>
                <w:iCs/>
                <w:sz w:val="18"/>
                <w:szCs w:val="18"/>
              </w:rPr>
              <w:t>7,000</w:t>
            </w:r>
          </w:p>
        </w:tc>
        <w:tc>
          <w:tcPr>
            <w:tcW w:w="891" w:type="dxa"/>
            <w:tcBorders>
              <w:top w:val="nil"/>
              <w:left w:val="nil"/>
              <w:bottom w:val="single" w:sz="8" w:space="0" w:color="auto"/>
              <w:right w:val="single" w:sz="8" w:space="0" w:color="auto"/>
            </w:tcBorders>
            <w:tcMar>
              <w:top w:w="0" w:type="dxa"/>
              <w:left w:w="108" w:type="dxa"/>
              <w:bottom w:w="0" w:type="dxa"/>
              <w:right w:w="108" w:type="dxa"/>
            </w:tcMar>
            <w:vAlign w:val="center"/>
          </w:tcPr>
          <w:p w:rsidR="002A3812" w:rsidP="002A3812" w14:paraId="23575796" w14:textId="31C3F54D">
            <w:pPr>
              <w:spacing w:line="252" w:lineRule="auto"/>
              <w:jc w:val="center"/>
              <w:rPr>
                <w:b/>
                <w:bCs/>
                <w:i/>
                <w:iCs/>
                <w:sz w:val="18"/>
                <w:szCs w:val="18"/>
              </w:rPr>
            </w:pPr>
            <w:r>
              <w:rPr>
                <w:b/>
                <w:bCs/>
                <w:i/>
                <w:iCs/>
                <w:sz w:val="18"/>
                <w:szCs w:val="18"/>
              </w:rPr>
              <w:t>--</w:t>
            </w:r>
          </w:p>
        </w:tc>
        <w:tc>
          <w:tcPr>
            <w:tcW w:w="15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A3812" w:rsidP="002A3812" w14:paraId="68C7CFB6" w14:textId="7DDFD218">
            <w:pPr>
              <w:spacing w:line="252" w:lineRule="auto"/>
              <w:jc w:val="center"/>
              <w:rPr>
                <w:b/>
                <w:bCs/>
                <w:i/>
                <w:iCs/>
                <w:sz w:val="18"/>
                <w:szCs w:val="18"/>
              </w:rPr>
            </w:pPr>
            <w:r>
              <w:rPr>
                <w:b/>
                <w:bCs/>
                <w:i/>
                <w:iCs/>
                <w:sz w:val="18"/>
                <w:szCs w:val="18"/>
              </w:rPr>
              <w:t>$</w:t>
            </w:r>
            <w:r w:rsidR="008A3BD7">
              <w:rPr>
                <w:b/>
                <w:bCs/>
                <w:i/>
                <w:iCs/>
                <w:sz w:val="18"/>
                <w:szCs w:val="18"/>
              </w:rPr>
              <w:t>215,110</w:t>
            </w:r>
          </w:p>
        </w:tc>
      </w:tr>
    </w:tbl>
    <w:p w:rsidR="007B6CCD" w:rsidRPr="00437EC8" w:rsidP="007B6CCD" w14:paraId="6743802F" w14:textId="32165D27">
      <w:pPr>
        <w:spacing w:after="206"/>
        <w:jc w:val="center"/>
        <w:rPr>
          <w:b/>
          <w:bCs/>
        </w:rPr>
      </w:pPr>
      <w:r>
        <w:rPr>
          <w:b/>
          <w:bCs/>
        </w:rPr>
        <w:t xml:space="preserve">Total Burden for Surveys and </w:t>
      </w:r>
      <w:r w:rsidRPr="00437EC8">
        <w:rPr>
          <w:b/>
          <w:bCs/>
        </w:rPr>
        <w:t>Site Visit</w:t>
      </w:r>
      <w:r>
        <w:rPr>
          <w:b/>
          <w:bCs/>
        </w:rPr>
        <w:t>s</w:t>
      </w:r>
    </w:p>
    <w:p w:rsidR="00FE021B" w:rsidP="0060577E" w14:paraId="5AA26E54" w14:textId="619FD967">
      <w:pPr>
        <w:spacing w:after="206"/>
      </w:pPr>
    </w:p>
    <w:p w:rsidR="007B6CCD" w:rsidP="004A3667" w14:paraId="2086C2D5" w14:textId="77777777">
      <w:pPr>
        <w:spacing w:after="206"/>
        <w:rPr>
          <w:b/>
          <w:iCs/>
        </w:rPr>
      </w:pPr>
    </w:p>
    <w:p w:rsidR="00EB2759" w:rsidRPr="00F05002" w:rsidP="004A3667" w14:paraId="6A2CF599" w14:textId="5CB17FF5">
      <w:pPr>
        <w:spacing w:after="206"/>
        <w:rPr>
          <w:b/>
          <w:iCs/>
        </w:rPr>
      </w:pPr>
      <w:r w:rsidRPr="00F05002">
        <w:rPr>
          <w:b/>
          <w:iCs/>
        </w:rPr>
        <w:t xml:space="preserve">13.     </w:t>
      </w:r>
      <w:r w:rsidRPr="00F05002" w:rsidR="00AE6AA9">
        <w:rPr>
          <w:b/>
          <w:iCs/>
        </w:rPr>
        <w:t xml:space="preserve">  </w:t>
      </w:r>
      <w:r w:rsidRPr="00F05002">
        <w:rPr>
          <w:b/>
          <w:iCs/>
        </w:rPr>
        <w:t>Provide an estimate for the total annual cost burden to respondents or recordkeepers resulting from the collection of information.  (Do not include the cost of any hour burden shown in Items 12 and 14).</w:t>
      </w:r>
    </w:p>
    <w:p w:rsidR="00E5357C" w:rsidRPr="00F05002" w:rsidP="00E5357C" w14:paraId="59D6E052" w14:textId="77777777">
      <w:pPr>
        <w:spacing w:after="206"/>
        <w:rPr>
          <w:b/>
          <w:iCs/>
        </w:rPr>
      </w:pPr>
      <w:r w:rsidRPr="00F05002">
        <w:rPr>
          <w:b/>
          <w:iCs/>
        </w:rPr>
        <w:t xml:space="preserve">The cost estimate should be split into two components: (a) a total capital and start-up cost component (annualized over its expected useful life) and (b) a total operation and maintenance and purchase of services component.  The estimates should </w:t>
      </w:r>
      <w:r w:rsidRPr="00F05002">
        <w:rPr>
          <w:b/>
          <w:iCs/>
        </w:rPr>
        <w:t>take into account</w:t>
      </w:r>
      <w:r w:rsidRPr="00F05002">
        <w:rPr>
          <w:b/>
          <w:iCs/>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w:t>
      </w:r>
      <w:r w:rsidRPr="00F05002">
        <w:rPr>
          <w:b/>
          <w:iCs/>
        </w:rPr>
        <w:t xml:space="preserve">and software; monitoring, sampling, </w:t>
      </w:r>
      <w:r w:rsidRPr="00F05002">
        <w:rPr>
          <w:b/>
          <w:iCs/>
        </w:rPr>
        <w:t>drilling</w:t>
      </w:r>
      <w:r w:rsidRPr="00F05002">
        <w:rPr>
          <w:b/>
          <w:iCs/>
        </w:rPr>
        <w:t xml:space="preserve"> and testing equipment; and record storage facilities. </w:t>
      </w:r>
    </w:p>
    <w:p w:rsidR="00E5357C" w:rsidRPr="00F05002" w:rsidP="00E5357C" w14:paraId="23689FA7" w14:textId="77777777">
      <w:pPr>
        <w:spacing w:after="206"/>
        <w:rPr>
          <w:b/>
          <w:iCs/>
        </w:rPr>
      </w:pPr>
      <w:r w:rsidRPr="00F05002">
        <w:rPr>
          <w:b/>
          <w:iCs/>
        </w:rPr>
        <w:t xml:space="preserve">* 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w:t>
      </w:r>
      <w:r w:rsidRPr="00F05002">
        <w:rPr>
          <w:b/>
          <w:iCs/>
        </w:rPr>
        <w:t>process</w:t>
      </w:r>
      <w:r w:rsidRPr="00F05002">
        <w:rPr>
          <w:b/>
          <w:iCs/>
        </w:rPr>
        <w:t xml:space="preserve"> and use existing economic or regulatory impact analysis associated with the rulemaking containing the information collection, as appropriate.</w:t>
      </w:r>
    </w:p>
    <w:p w:rsidR="00E5357C" w:rsidRPr="00F05002" w:rsidP="00E5357C" w14:paraId="7FC198CA" w14:textId="77777777">
      <w:pPr>
        <w:spacing w:after="206"/>
        <w:rPr>
          <w:b/>
          <w:iCs/>
        </w:rPr>
      </w:pPr>
      <w:r w:rsidRPr="00F05002">
        <w:rPr>
          <w:b/>
          <w:iCs/>
        </w:rPr>
        <w:t>*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016846" w14:paraId="363CBE95" w14:textId="2ABCD8D7">
      <w:pPr>
        <w:rPr>
          <w:b/>
          <w:iCs/>
        </w:rPr>
      </w:pPr>
      <w:r>
        <w:t xml:space="preserve">The </w:t>
      </w:r>
      <w:r w:rsidR="0093088D">
        <w:t xml:space="preserve">surveys and site visits to be conducted under this ICR will not </w:t>
      </w:r>
      <w:r w:rsidR="000413F3">
        <w:t>require recordkeeping or reporting by respondents</w:t>
      </w:r>
      <w:r w:rsidR="00A669FD">
        <w:t>,</w:t>
      </w:r>
      <w:r w:rsidR="000413F3">
        <w:t xml:space="preserve"> and </w:t>
      </w:r>
      <w:r w:rsidR="00A669FD">
        <w:t xml:space="preserve">thus </w:t>
      </w:r>
      <w:r w:rsidR="000413F3">
        <w:t xml:space="preserve">will not </w:t>
      </w:r>
      <w:r w:rsidR="0093088D">
        <w:t xml:space="preserve">generate additional cost burdens </w:t>
      </w:r>
      <w:r w:rsidR="000413F3">
        <w:t xml:space="preserve">associated with such activities.  </w:t>
      </w:r>
    </w:p>
    <w:p w:rsidR="000413F3" w14:paraId="77FF2891" w14:textId="77777777">
      <w:pPr>
        <w:rPr>
          <w:b/>
          <w:iCs/>
        </w:rPr>
      </w:pPr>
    </w:p>
    <w:p w:rsidR="00EB2759" w:rsidRPr="00F05002" w14:paraId="4B292139" w14:textId="1D555FB7">
      <w:pPr>
        <w:spacing w:after="206"/>
        <w:rPr>
          <w:b/>
          <w:iCs/>
        </w:rPr>
      </w:pPr>
      <w:r w:rsidRPr="00F05002">
        <w:rPr>
          <w:b/>
          <w:iCs/>
        </w:rPr>
        <w:t xml:space="preserve">14.     </w:t>
      </w:r>
      <w:r w:rsidRPr="00F05002" w:rsidR="00AE6AA9">
        <w:rPr>
          <w:b/>
          <w:iCs/>
        </w:rPr>
        <w:t xml:space="preserve">  </w:t>
      </w:r>
      <w:r w:rsidRPr="00F05002">
        <w:rPr>
          <w:b/>
          <w:iCs/>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A669FD" w:rsidP="00A669FD" w14:paraId="5E9B54FD" w14:textId="77777777">
      <w:r>
        <w:t xml:space="preserve">The Federal government’s costs </w:t>
      </w:r>
      <w:r w:rsidR="00914952">
        <w:t xml:space="preserve">under this ICR </w:t>
      </w:r>
      <w:r>
        <w:t xml:space="preserve">will derive from the contractors who will </w:t>
      </w:r>
      <w:r w:rsidR="00932D04">
        <w:t xml:space="preserve">in most cases </w:t>
      </w:r>
      <w:r>
        <w:t>conduct the surveys</w:t>
      </w:r>
      <w:r w:rsidR="00F55C9E">
        <w:t xml:space="preserve"> and site visits</w:t>
      </w:r>
      <w:r w:rsidR="00914952">
        <w:t>, analyze the data</w:t>
      </w:r>
      <w:r w:rsidR="000413F3">
        <w:t xml:space="preserve">, </w:t>
      </w:r>
      <w:r w:rsidR="00914952">
        <w:t>prepare tabulations and report</w:t>
      </w:r>
      <w:r w:rsidR="000413F3">
        <w:t xml:space="preserve">s.  Costs for each individual data collection </w:t>
      </w:r>
      <w:r w:rsidR="00914952">
        <w:t xml:space="preserve">are estimated to be around </w:t>
      </w:r>
      <w:r>
        <w:t>$</w:t>
      </w:r>
      <w:r w:rsidR="00A32A84">
        <w:t>10</w:t>
      </w:r>
      <w:r>
        <w:t>0,000 based on estimate</w:t>
      </w:r>
      <w:r w:rsidR="00914952">
        <w:t xml:space="preserve">s </w:t>
      </w:r>
      <w:r>
        <w:t xml:space="preserve">developed by </w:t>
      </w:r>
      <w:r w:rsidR="00932D04">
        <w:t xml:space="preserve">DOL’s </w:t>
      </w:r>
      <w:r>
        <w:t>contractor</w:t>
      </w:r>
      <w:r w:rsidR="00932D04">
        <w:t>s</w:t>
      </w:r>
      <w:r>
        <w:t xml:space="preserve"> </w:t>
      </w:r>
      <w:r w:rsidR="00932D04">
        <w:t>for recent surveys</w:t>
      </w:r>
      <w:r w:rsidR="00525E0E">
        <w:t>.  </w:t>
      </w:r>
      <w:r>
        <w:t xml:space="preserve">These estimates </w:t>
      </w:r>
      <w:r>
        <w:t>take into account</w:t>
      </w:r>
      <w:r>
        <w:t xml:space="preserve"> all expenses, including variable hours for different professionals (research director, analyst and writer, and interviewers), as well as equipment and overhead. </w:t>
      </w:r>
      <w:r w:rsidR="009613D3">
        <w:t>T</w:t>
      </w:r>
      <w:r w:rsidRPr="00EF180C" w:rsidR="00016846">
        <w:rPr>
          <w:rFonts w:ascii="TimesNewRoman" w:hAnsi="TimesNewRoman" w:cs="TimesNewRoman"/>
        </w:rPr>
        <w:t xml:space="preserve">hese costs </w:t>
      </w:r>
      <w:r w:rsidR="009613D3">
        <w:rPr>
          <w:rFonts w:ascii="TimesNewRoman" w:hAnsi="TimesNewRoman" w:cs="TimesNewRoman"/>
        </w:rPr>
        <w:t xml:space="preserve">for each information collection </w:t>
      </w:r>
      <w:r w:rsidRPr="00EF180C" w:rsidR="00016846">
        <w:rPr>
          <w:rFonts w:ascii="TimesNewRoman" w:hAnsi="TimesNewRoman" w:cs="TimesNewRoman"/>
        </w:rPr>
        <w:t xml:space="preserve">will be described in individual </w:t>
      </w:r>
      <w:r w:rsidR="009613D3">
        <w:rPr>
          <w:rFonts w:ascii="TimesNewRoman" w:hAnsi="TimesNewRoman" w:cs="TimesNewRoman"/>
        </w:rPr>
        <w:t>requests under this ICR.</w:t>
      </w:r>
      <w:r w:rsidR="00914952">
        <w:rPr>
          <w:rFonts w:ascii="TimesNewRoman" w:hAnsi="TimesNewRoman" w:cs="TimesNewRoman"/>
        </w:rPr>
        <w:t xml:space="preserve">  </w:t>
      </w:r>
      <w:r w:rsidRPr="00D12F93" w:rsidR="00D12F93">
        <w:t xml:space="preserve">The cost of conducting </w:t>
      </w:r>
      <w:r w:rsidR="00914952">
        <w:t xml:space="preserve">8 to </w:t>
      </w:r>
      <w:r w:rsidRPr="00D12F93" w:rsidR="00D12F93">
        <w:t xml:space="preserve">20 </w:t>
      </w:r>
      <w:r w:rsidRPr="00D12F93" w:rsidR="0022554B">
        <w:t>surveys</w:t>
      </w:r>
      <w:r w:rsidRPr="00D12F93" w:rsidR="00D12F93">
        <w:t xml:space="preserve"> </w:t>
      </w:r>
      <w:r w:rsidR="009613D3">
        <w:t xml:space="preserve">or sets of site visits </w:t>
      </w:r>
      <w:r w:rsidRPr="00D12F93" w:rsidR="00D12F93">
        <w:t xml:space="preserve">would therefore range </w:t>
      </w:r>
      <w:r w:rsidR="0022554B">
        <w:t xml:space="preserve">from </w:t>
      </w:r>
      <w:r w:rsidRPr="00D12F93" w:rsidR="00D12F93">
        <w:t>$</w:t>
      </w:r>
      <w:r w:rsidR="00914952">
        <w:t>800,00</w:t>
      </w:r>
      <w:r w:rsidR="009613D3">
        <w:t xml:space="preserve">0 to </w:t>
      </w:r>
      <w:r w:rsidRPr="00D12F93" w:rsidR="00D12F93">
        <w:t>$</w:t>
      </w:r>
      <w:r w:rsidR="00293291">
        <w:t>2</w:t>
      </w:r>
      <w:r w:rsidRPr="00D12F93" w:rsidR="00D12F93">
        <w:t xml:space="preserve"> million over three years, or $</w:t>
      </w:r>
      <w:r w:rsidR="009613D3">
        <w:t>266,667</w:t>
      </w:r>
      <w:r w:rsidRPr="00D12F93" w:rsidR="00D12F93">
        <w:t xml:space="preserve"> to $</w:t>
      </w:r>
      <w:r w:rsidR="001976B4">
        <w:t>666,</w:t>
      </w:r>
      <w:r w:rsidR="00010236">
        <w:t>667</w:t>
      </w:r>
      <w:r w:rsidRPr="00D12F93" w:rsidR="00D12F93">
        <w:t xml:space="preserve"> </w:t>
      </w:r>
      <w:r w:rsidR="001976B4">
        <w:t xml:space="preserve">in </w:t>
      </w:r>
      <w:r w:rsidRPr="00D12F93" w:rsidR="00D12F93">
        <w:t>annualized costs.  A</w:t>
      </w:r>
      <w:r w:rsidR="00914952">
        <w:t xml:space="preserve">n estimate of costs to the </w:t>
      </w:r>
      <w:r w:rsidRPr="00D12F93" w:rsidR="00D12F93">
        <w:t>Federal government for each</w:t>
      </w:r>
      <w:r w:rsidR="00914952">
        <w:t xml:space="preserve"> individual</w:t>
      </w:r>
      <w:r w:rsidRPr="00D12F93" w:rsidR="00D12F93">
        <w:t xml:space="preserve"> collection be provided for in each</w:t>
      </w:r>
      <w:r w:rsidR="00914952">
        <w:t xml:space="preserve"> request.</w:t>
      </w:r>
    </w:p>
    <w:p w:rsidR="006A34AB" w:rsidP="00A669FD" w14:paraId="201AB9F9" w14:textId="58F58926">
      <w:r>
        <w:t xml:space="preserve">  </w:t>
      </w:r>
    </w:p>
    <w:p w:rsidR="00EB2759" w:rsidP="006A34AB" w14:paraId="661ED017" w14:textId="0C365F7F">
      <w:pPr>
        <w:rPr>
          <w:b/>
          <w:iCs/>
        </w:rPr>
      </w:pPr>
      <w:r w:rsidRPr="00F05002">
        <w:rPr>
          <w:b/>
          <w:iCs/>
        </w:rPr>
        <w:t xml:space="preserve">15.     </w:t>
      </w:r>
      <w:r w:rsidRPr="00F05002" w:rsidR="00FB37A4">
        <w:rPr>
          <w:b/>
          <w:iCs/>
        </w:rPr>
        <w:t xml:space="preserve">  </w:t>
      </w:r>
      <w:r w:rsidRPr="00F05002">
        <w:rPr>
          <w:b/>
          <w:iCs/>
        </w:rPr>
        <w:t xml:space="preserve">Explain the reasons for </w:t>
      </w:r>
      <w:r w:rsidRPr="00F05002" w:rsidR="00C8258F">
        <w:rPr>
          <w:b/>
          <w:iCs/>
        </w:rPr>
        <w:t>any program changes or adjustments reported on the burden worksheet.</w:t>
      </w:r>
    </w:p>
    <w:p w:rsidR="006A34AB" w:rsidP="00FE021B" w14:paraId="1CFA395F" w14:textId="77777777">
      <w:pPr>
        <w:rPr>
          <w:b/>
          <w:iCs/>
        </w:rPr>
      </w:pPr>
    </w:p>
    <w:p w:rsidR="006C1525" w:rsidP="006A34AB" w14:paraId="7C1C5F44" w14:textId="44A130F9">
      <w:r w:rsidRPr="004A3667">
        <w:t>This request</w:t>
      </w:r>
      <w:r>
        <w:t xml:space="preserve"> for a revision includes a program change</w:t>
      </w:r>
      <w:r w:rsidR="000044C8">
        <w:t>, and a</w:t>
      </w:r>
      <w:r w:rsidR="0083161E">
        <w:t xml:space="preserve"> corresponding</w:t>
      </w:r>
      <w:r w:rsidR="000044C8">
        <w:t xml:space="preserve"> increase in the number of </w:t>
      </w:r>
      <w:r w:rsidR="0083161E">
        <w:t>resp</w:t>
      </w:r>
      <w:r w:rsidR="00BF3A14">
        <w:t>onses,</w:t>
      </w:r>
      <w:r>
        <w:t xml:space="preserve"> to allow site visit protocols to be submitted to OMB for review on a quick turnaround basis, in addition to the short surveys that </w:t>
      </w:r>
      <w:r w:rsidR="00FE57EB">
        <w:t xml:space="preserve">can be </w:t>
      </w:r>
      <w:r>
        <w:t xml:space="preserve">submitted under the current ICR.  The reason for this change is to </w:t>
      </w:r>
      <w:r w:rsidR="00FE57EB">
        <w:t xml:space="preserve">allow collecting information from </w:t>
      </w:r>
      <w:r>
        <w:t xml:space="preserve">site visits on timely basis, rather than </w:t>
      </w:r>
      <w:r w:rsidR="00FE57EB">
        <w:t xml:space="preserve">after </w:t>
      </w:r>
      <w:r w:rsidR="003134DA">
        <w:t>a</w:t>
      </w:r>
      <w:r>
        <w:t xml:space="preserve"> conventional review process </w:t>
      </w:r>
      <w:r w:rsidR="00303BD9">
        <w:t xml:space="preserve">of </w:t>
      </w:r>
      <w:r w:rsidR="00FE57EB">
        <w:t xml:space="preserve">months.  </w:t>
      </w:r>
      <w:r w:rsidR="003134DA">
        <w:t>Quick r</w:t>
      </w:r>
      <w:r w:rsidR="00FE57EB">
        <w:t xml:space="preserve">eview of </w:t>
      </w:r>
      <w:r w:rsidR="003134DA">
        <w:t>such s</w:t>
      </w:r>
      <w:r w:rsidR="00FE57EB">
        <w:t>ite visit</w:t>
      </w:r>
      <w:r w:rsidR="003134DA">
        <w:t xml:space="preserve"> </w:t>
      </w:r>
      <w:r w:rsidR="003134DA">
        <w:t>protocols</w:t>
      </w:r>
      <w:r w:rsidR="00FE57EB">
        <w:t xml:space="preserve"> </w:t>
      </w:r>
      <w:r>
        <w:t>w</w:t>
      </w:r>
      <w:r w:rsidR="00FE57EB">
        <w:t>ould allow for collecting</w:t>
      </w:r>
      <w:r w:rsidR="003134DA">
        <w:t xml:space="preserve"> </w:t>
      </w:r>
      <w:r w:rsidR="00FE57EB">
        <w:t>in-depth and nuanced information</w:t>
      </w:r>
      <w:r w:rsidR="009B2D1C">
        <w:t xml:space="preserve"> and would expedite completion of </w:t>
      </w:r>
      <w:r w:rsidR="00303BD9">
        <w:t xml:space="preserve">many types of </w:t>
      </w:r>
      <w:r w:rsidR="009B2D1C">
        <w:t>activities</w:t>
      </w:r>
      <w:r w:rsidR="00303BD9">
        <w:t>, s</w:t>
      </w:r>
      <w:r w:rsidR="00B27AB7">
        <w:t>uch</w:t>
      </w:r>
      <w:r w:rsidR="009B2D1C">
        <w:t xml:space="preserve"> as </w:t>
      </w:r>
      <w:r w:rsidR="003134DA">
        <w:t>the design of surveys, identifying innovati</w:t>
      </w:r>
      <w:r w:rsidR="009B2D1C">
        <w:t xml:space="preserve">ve programs </w:t>
      </w:r>
      <w:r w:rsidR="003134DA">
        <w:t xml:space="preserve">for future testing, refinement of guidance </w:t>
      </w:r>
      <w:r w:rsidR="009B2D1C">
        <w:t>or</w:t>
      </w:r>
      <w:r w:rsidR="003134DA">
        <w:t xml:space="preserve"> technical assistance, and </w:t>
      </w:r>
      <w:r>
        <w:t>collect</w:t>
      </w:r>
      <w:r w:rsidR="00FE57EB">
        <w:t>i</w:t>
      </w:r>
      <w:r w:rsidR="003134DA">
        <w:t xml:space="preserve">on of data </w:t>
      </w:r>
      <w:r w:rsidR="00FE57EB">
        <w:t>on short-term grants</w:t>
      </w:r>
      <w:r w:rsidR="003134DA">
        <w:t>.</w:t>
      </w:r>
      <w:r>
        <w:t xml:space="preserve"> </w:t>
      </w:r>
    </w:p>
    <w:p w:rsidR="006C1525" w:rsidP="006A34AB" w14:paraId="2F9E7540" w14:textId="77777777"/>
    <w:p w:rsidR="00B961B8" w:rsidP="006A34AB" w14:paraId="506DA622" w14:textId="4E92B97A">
      <w:pPr>
        <w:rPr>
          <w:color w:val="000000"/>
        </w:rPr>
      </w:pPr>
      <w:r>
        <w:rPr>
          <w:color w:val="000000"/>
        </w:rPr>
        <w:t xml:space="preserve">Adjustments to </w:t>
      </w:r>
      <w:r w:rsidR="00211539">
        <w:rPr>
          <w:color w:val="000000"/>
        </w:rPr>
        <w:t xml:space="preserve">burden estimates include a revision of </w:t>
      </w:r>
      <w:r>
        <w:rPr>
          <w:color w:val="000000"/>
        </w:rPr>
        <w:t>t</w:t>
      </w:r>
      <w:r w:rsidR="00F45CB8">
        <w:rPr>
          <w:color w:val="000000"/>
        </w:rPr>
        <w:t>he estimated total annual burden hours to 7,000 (from 7,500</w:t>
      </w:r>
      <w:r w:rsidR="00B00334">
        <w:rPr>
          <w:color w:val="000000"/>
        </w:rPr>
        <w:t xml:space="preserve">). </w:t>
      </w:r>
      <w:r w:rsidR="00D37F17">
        <w:rPr>
          <w:color w:val="000000"/>
        </w:rPr>
        <w:t>T</w:t>
      </w:r>
      <w:r w:rsidR="00B00334">
        <w:rPr>
          <w:color w:val="000000"/>
        </w:rPr>
        <w:t xml:space="preserve">his change </w:t>
      </w:r>
      <w:r w:rsidR="00833D33">
        <w:rPr>
          <w:color w:val="000000"/>
        </w:rPr>
        <w:t>is based</w:t>
      </w:r>
      <w:r w:rsidR="00F45CB8">
        <w:rPr>
          <w:color w:val="000000"/>
        </w:rPr>
        <w:t xml:space="preserve"> </w:t>
      </w:r>
      <w:r w:rsidR="00A47666">
        <w:rPr>
          <w:color w:val="000000"/>
        </w:rPr>
        <w:t xml:space="preserve">on the “high” </w:t>
      </w:r>
      <w:r w:rsidR="00C94392">
        <w:rPr>
          <w:color w:val="000000"/>
        </w:rPr>
        <w:t>estimates</w:t>
      </w:r>
      <w:r w:rsidR="00A47666">
        <w:rPr>
          <w:color w:val="000000"/>
        </w:rPr>
        <w:t xml:space="preserve"> </w:t>
      </w:r>
      <w:r w:rsidR="00C94392">
        <w:rPr>
          <w:color w:val="000000"/>
        </w:rPr>
        <w:t>for data collected using two different methods overall, i.e., surveys and site visits</w:t>
      </w:r>
      <w:r w:rsidR="00C13B7C">
        <w:rPr>
          <w:color w:val="000000"/>
        </w:rPr>
        <w:t>, and s</w:t>
      </w:r>
      <w:r w:rsidR="00C94392">
        <w:rPr>
          <w:color w:val="000000"/>
        </w:rPr>
        <w:t xml:space="preserve">eparate estimates </w:t>
      </w:r>
      <w:r w:rsidR="00C13B7C">
        <w:rPr>
          <w:color w:val="000000"/>
        </w:rPr>
        <w:t xml:space="preserve">are presented </w:t>
      </w:r>
      <w:r w:rsidR="00C94392">
        <w:rPr>
          <w:color w:val="000000"/>
        </w:rPr>
        <w:t xml:space="preserve">for the surveys </w:t>
      </w:r>
      <w:r w:rsidR="00E57F6A">
        <w:rPr>
          <w:color w:val="000000"/>
        </w:rPr>
        <w:t xml:space="preserve">and site visits </w:t>
      </w:r>
      <w:r w:rsidR="00C94392">
        <w:rPr>
          <w:color w:val="000000"/>
        </w:rPr>
        <w:t>due to differences in the number of respondents</w:t>
      </w:r>
      <w:r w:rsidR="00AE0B0A">
        <w:rPr>
          <w:color w:val="000000"/>
        </w:rPr>
        <w:t>.</w:t>
      </w:r>
      <w:r w:rsidR="00C94392">
        <w:rPr>
          <w:color w:val="000000"/>
        </w:rPr>
        <w:t xml:space="preserve"> The change in burden hours reflects </w:t>
      </w:r>
      <w:r w:rsidR="00E57F6A">
        <w:rPr>
          <w:color w:val="000000"/>
        </w:rPr>
        <w:t xml:space="preserve">fewer </w:t>
      </w:r>
      <w:r w:rsidR="007D1A24">
        <w:rPr>
          <w:color w:val="000000"/>
        </w:rPr>
        <w:t xml:space="preserve">survey respondents overall and different assumption as to time to complete questionnaires </w:t>
      </w:r>
      <w:r w:rsidR="00C13B7C">
        <w:rPr>
          <w:color w:val="000000"/>
        </w:rPr>
        <w:t>(than in previous versions of the ICR</w:t>
      </w:r>
      <w:r w:rsidR="007D1A24">
        <w:rPr>
          <w:color w:val="000000"/>
        </w:rPr>
        <w:t xml:space="preserve"> and on which the burden worksheet was proposed)</w:t>
      </w:r>
      <w:r w:rsidR="00C13B7C">
        <w:rPr>
          <w:color w:val="000000"/>
        </w:rPr>
        <w:t xml:space="preserve"> </w:t>
      </w:r>
      <w:r w:rsidR="007D1A24">
        <w:rPr>
          <w:color w:val="000000"/>
        </w:rPr>
        <w:t xml:space="preserve">and the burden hours </w:t>
      </w:r>
      <w:r w:rsidR="00E57F6A">
        <w:rPr>
          <w:color w:val="000000"/>
        </w:rPr>
        <w:t xml:space="preserve">for </w:t>
      </w:r>
      <w:r w:rsidR="00F45CB8">
        <w:rPr>
          <w:color w:val="000000"/>
        </w:rPr>
        <w:t>structured discussions</w:t>
      </w:r>
      <w:r w:rsidR="00D37F17">
        <w:rPr>
          <w:color w:val="000000"/>
        </w:rPr>
        <w:t xml:space="preserve">, based on </w:t>
      </w:r>
      <w:r w:rsidR="007D1A24">
        <w:rPr>
          <w:color w:val="000000"/>
        </w:rPr>
        <w:t xml:space="preserve">a realistic estimate of </w:t>
      </w:r>
      <w:r w:rsidR="00E57F6A">
        <w:rPr>
          <w:color w:val="000000"/>
        </w:rPr>
        <w:t>the number of individuals (typically administrators and staff)</w:t>
      </w:r>
      <w:r w:rsidR="00BA14D9">
        <w:rPr>
          <w:color w:val="000000"/>
        </w:rPr>
        <w:t xml:space="preserve"> who </w:t>
      </w:r>
      <w:r w:rsidR="007D1A24">
        <w:rPr>
          <w:color w:val="000000"/>
        </w:rPr>
        <w:t xml:space="preserve">would likely </w:t>
      </w:r>
      <w:r w:rsidR="00BA14D9">
        <w:rPr>
          <w:color w:val="000000"/>
        </w:rPr>
        <w:t xml:space="preserve">participate in such </w:t>
      </w:r>
      <w:r w:rsidR="007D1A24">
        <w:rPr>
          <w:color w:val="000000"/>
        </w:rPr>
        <w:t xml:space="preserve">discussion, based on </w:t>
      </w:r>
      <w:r w:rsidR="00953B2C">
        <w:rPr>
          <w:color w:val="000000"/>
        </w:rPr>
        <w:t>prior research projects</w:t>
      </w:r>
      <w:r w:rsidR="007D1A24">
        <w:rPr>
          <w:color w:val="000000"/>
        </w:rPr>
        <w:t xml:space="preserve">, </w:t>
      </w:r>
      <w:r w:rsidR="00953B2C">
        <w:rPr>
          <w:color w:val="000000"/>
        </w:rPr>
        <w:t xml:space="preserve">over </w:t>
      </w:r>
      <w:r w:rsidR="007D1A24">
        <w:rPr>
          <w:color w:val="000000"/>
        </w:rPr>
        <w:t xml:space="preserve">potentially </w:t>
      </w:r>
      <w:r w:rsidR="00953B2C">
        <w:rPr>
          <w:color w:val="000000"/>
        </w:rPr>
        <w:t>100 site</w:t>
      </w:r>
      <w:r w:rsidR="007D1A24">
        <w:rPr>
          <w:color w:val="000000"/>
        </w:rPr>
        <w:t>s</w:t>
      </w:r>
      <w:r w:rsidR="00953B2C">
        <w:rPr>
          <w:color w:val="000000"/>
        </w:rPr>
        <w:t xml:space="preserve">. </w:t>
      </w:r>
    </w:p>
    <w:p w:rsidR="00B961B8" w:rsidP="006A34AB" w14:paraId="608CE454" w14:textId="77777777">
      <w:pPr>
        <w:rPr>
          <w:color w:val="000000"/>
        </w:rPr>
      </w:pPr>
    </w:p>
    <w:p w:rsidR="006A34AB" w:rsidRPr="00F05002" w:rsidP="00FE021B" w14:paraId="13C0584D" w14:textId="77777777">
      <w:pPr>
        <w:rPr>
          <w:b/>
          <w:iCs/>
        </w:rPr>
      </w:pPr>
    </w:p>
    <w:p w:rsidR="00EB2759" w:rsidP="00C24057" w14:paraId="7BDD9B3E" w14:textId="3FEC7819">
      <w:pPr>
        <w:rPr>
          <w:b/>
          <w:iCs/>
        </w:rPr>
      </w:pPr>
      <w:r w:rsidRPr="00F05002">
        <w:rPr>
          <w:b/>
          <w:iCs/>
        </w:rPr>
        <w:t xml:space="preserve">16.     </w:t>
      </w:r>
      <w:r w:rsidRPr="00F05002" w:rsidR="00AE6AA9">
        <w:rPr>
          <w:b/>
          <w:iCs/>
        </w:rPr>
        <w:t xml:space="preserve">  </w:t>
      </w:r>
      <w:r w:rsidRPr="00F05002">
        <w:rPr>
          <w:b/>
          <w:iCs/>
        </w:rPr>
        <w:t>For collections of information whose results will be published, outline plans for tabulation and publication.  Address any complex analytical techniques that will be used.  Provide the time schedule for the entire project, including beginning and end dates of the collection of information, completion of report, publication dates, and other actions.</w:t>
      </w:r>
    </w:p>
    <w:p w:rsidR="00C24057" w:rsidRPr="00F05002" w:rsidP="00C24057" w14:paraId="6DC83E68" w14:textId="77777777">
      <w:pPr>
        <w:rPr>
          <w:b/>
          <w:iCs/>
        </w:rPr>
      </w:pPr>
    </w:p>
    <w:p w:rsidR="000B23FA" w:rsidP="000B23FA" w14:paraId="48CA726B" w14:textId="618449CF">
      <w:pPr>
        <w:rPr>
          <w:szCs w:val="22"/>
        </w:rPr>
      </w:pPr>
      <w:r>
        <w:t xml:space="preserve">The surveys </w:t>
      </w:r>
      <w:r w:rsidR="002B465E">
        <w:t xml:space="preserve">and site visits </w:t>
      </w:r>
      <w:r>
        <w:t xml:space="preserve">will be </w:t>
      </w:r>
      <w:r w:rsidR="002B465E">
        <w:t>conducted</w:t>
      </w:r>
      <w:r>
        <w:t xml:space="preserve"> on an as-needed basis over the three-year period covered by this clearance. Ea</w:t>
      </w:r>
      <w:r w:rsidR="000F34EC">
        <w:t xml:space="preserve">ch </w:t>
      </w:r>
      <w:r w:rsidR="00122589">
        <w:t xml:space="preserve">individual request will discuss plans for </w:t>
      </w:r>
      <w:r w:rsidRPr="00F97C94" w:rsidR="00122589">
        <w:rPr>
          <w:rFonts w:ascii="TimesNewRoman" w:hAnsi="TimesNewRoman" w:cs="TimesNewRoman"/>
        </w:rPr>
        <w:t xml:space="preserve">sharing </w:t>
      </w:r>
      <w:r>
        <w:rPr>
          <w:rFonts w:ascii="TimesNewRoman" w:hAnsi="TimesNewRoman" w:cs="TimesNewRoman"/>
        </w:rPr>
        <w:t xml:space="preserve">the resulting data and </w:t>
      </w:r>
      <w:r w:rsidRPr="00F97C94" w:rsidR="00122589">
        <w:rPr>
          <w:rFonts w:ascii="TimesNewRoman" w:hAnsi="TimesNewRoman" w:cs="TimesNewRoman"/>
        </w:rPr>
        <w:t>information</w:t>
      </w:r>
      <w:r w:rsidR="00122589">
        <w:rPr>
          <w:rFonts w:ascii="TimesNewRoman" w:hAnsi="TimesNewRoman" w:cs="TimesNewRoman"/>
        </w:rPr>
        <w:t xml:space="preserve">, and </w:t>
      </w:r>
      <w:r w:rsidR="000F34EC">
        <w:t>will</w:t>
      </w:r>
      <w:r>
        <w:t xml:space="preserve"> include a brief </w:t>
      </w:r>
      <w:r w:rsidR="000F34EC">
        <w:t>timeline for collection, analysis, report development</w:t>
      </w:r>
      <w:r w:rsidR="00DA4419">
        <w:t>, and, if planned, for publication</w:t>
      </w:r>
      <w:r>
        <w:t xml:space="preserve">.  </w:t>
      </w:r>
      <w:r w:rsidR="00A669FD">
        <w:t xml:space="preserve"> </w:t>
      </w:r>
      <w:r>
        <w:rPr>
          <w:szCs w:val="22"/>
        </w:rPr>
        <w:t xml:space="preserve">Information resulting from the surveys or site visits under this ICR may be utilized in several ways, such </w:t>
      </w:r>
      <w:r w:rsidR="00A669FD">
        <w:rPr>
          <w:szCs w:val="22"/>
        </w:rPr>
        <w:t>in developing</w:t>
      </w:r>
      <w:r>
        <w:rPr>
          <w:szCs w:val="22"/>
        </w:rPr>
        <w:t xml:space="preserve"> </w:t>
      </w:r>
      <w:r w:rsidRPr="00F97C94">
        <w:rPr>
          <w:szCs w:val="22"/>
        </w:rPr>
        <w:t>technical assistance</w:t>
      </w:r>
      <w:r w:rsidR="00A669FD">
        <w:rPr>
          <w:szCs w:val="22"/>
        </w:rPr>
        <w:t xml:space="preserve">, </w:t>
      </w:r>
      <w:r>
        <w:rPr>
          <w:szCs w:val="22"/>
        </w:rPr>
        <w:t xml:space="preserve">changes to policy, regulations, or guidance; or </w:t>
      </w:r>
      <w:r w:rsidRPr="00F97C94">
        <w:rPr>
          <w:szCs w:val="22"/>
        </w:rPr>
        <w:t>in</w:t>
      </w:r>
      <w:r>
        <w:rPr>
          <w:szCs w:val="22"/>
        </w:rPr>
        <w:t xml:space="preserve"> </w:t>
      </w:r>
      <w:r w:rsidR="00A669FD">
        <w:rPr>
          <w:szCs w:val="22"/>
        </w:rPr>
        <w:t xml:space="preserve">planning for longer </w:t>
      </w:r>
      <w:r>
        <w:rPr>
          <w:szCs w:val="22"/>
        </w:rPr>
        <w:t xml:space="preserve">term research for which </w:t>
      </w:r>
      <w:r w:rsidR="00A669FD">
        <w:rPr>
          <w:szCs w:val="22"/>
        </w:rPr>
        <w:t>full</w:t>
      </w:r>
      <w:r>
        <w:rPr>
          <w:szCs w:val="22"/>
        </w:rPr>
        <w:t xml:space="preserve"> clearance process will be utilized.  </w:t>
      </w:r>
    </w:p>
    <w:p w:rsidR="000B23FA" w:rsidP="000B23FA" w14:paraId="1EC2667B" w14:textId="77777777">
      <w:pPr>
        <w:rPr>
          <w:szCs w:val="22"/>
        </w:rPr>
      </w:pPr>
    </w:p>
    <w:p w:rsidR="000B23FA" w14:paraId="2A2594EF" w14:textId="240C1A7E">
      <w:r>
        <w:t xml:space="preserve">Results from the </w:t>
      </w:r>
      <w:r w:rsidR="00DA4419">
        <w:t>short surveys</w:t>
      </w:r>
      <w:r>
        <w:t xml:space="preserve"> will be presented through various means, such as in briefing papers and reports, and will include the number and percentage of respondents, results of any statistical analyses and the methods and limitations regarding generalizability.  Information from site visits</w:t>
      </w:r>
      <w:r w:rsidR="00DA4419">
        <w:t xml:space="preserve"> </w:t>
      </w:r>
      <w:r>
        <w:t xml:space="preserve">will </w:t>
      </w:r>
      <w:r w:rsidR="00DA4419">
        <w:t xml:space="preserve">assure that respondent privacy will be maintained and will present information in summary form in most instances.  However, information on promising or innovative practices and interventions will </w:t>
      </w:r>
      <w:r w:rsidR="00122589">
        <w:t xml:space="preserve">likely </w:t>
      </w:r>
      <w:r w:rsidR="00DA4419">
        <w:t xml:space="preserve">be presented in publicly available </w:t>
      </w:r>
      <w:r w:rsidR="00122589">
        <w:t xml:space="preserve">documents and </w:t>
      </w:r>
      <w:r w:rsidR="00DA4419">
        <w:t xml:space="preserve">will possibly be cited in technical assistance </w:t>
      </w:r>
      <w:r w:rsidR="00122589">
        <w:t>products or presentations,</w:t>
      </w:r>
      <w:r w:rsidR="00A669FD">
        <w:t xml:space="preserve"> or </w:t>
      </w:r>
      <w:r w:rsidR="0049574F">
        <w:t xml:space="preserve">in </w:t>
      </w:r>
      <w:r w:rsidR="00DA4419">
        <w:t xml:space="preserve">notices </w:t>
      </w:r>
      <w:r w:rsidR="00122589">
        <w:t xml:space="preserve">to solicit applications for </w:t>
      </w:r>
      <w:r w:rsidR="00DA4419">
        <w:t>grants</w:t>
      </w:r>
      <w:r w:rsidR="00A669FD">
        <w:t>, as examples or models to replicate or test.</w:t>
      </w:r>
    </w:p>
    <w:p w:rsidR="0049574F" w:rsidP="00F05002" w14:paraId="7F9105F7" w14:textId="77777777"/>
    <w:p w:rsidR="00EB2759" w:rsidP="00A669FD" w14:paraId="42328BC0" w14:textId="0726C0BC">
      <w:pPr>
        <w:rPr>
          <w:b/>
          <w:bCs/>
          <w:iCs/>
        </w:rPr>
      </w:pPr>
      <w:r w:rsidRPr="00F05002">
        <w:rPr>
          <w:b/>
          <w:bCs/>
          <w:iCs/>
        </w:rPr>
        <w:t xml:space="preserve">17.  </w:t>
      </w:r>
      <w:r w:rsidRPr="00F05002" w:rsidR="00525E0E">
        <w:rPr>
          <w:b/>
          <w:bCs/>
          <w:iCs/>
        </w:rPr>
        <w:t xml:space="preserve">     </w:t>
      </w:r>
      <w:r w:rsidRPr="00F05002">
        <w:rPr>
          <w:b/>
          <w:bCs/>
          <w:iCs/>
        </w:rPr>
        <w:t>If seeking approval to not display the expiration date for OMB approval of the information collection, explain the reasons that display would be inappropriate.</w:t>
      </w:r>
    </w:p>
    <w:p w:rsidR="00A669FD" w:rsidRPr="00F05002" w:rsidP="00A669FD" w14:paraId="74BC8ED6" w14:textId="77777777">
      <w:pPr>
        <w:rPr>
          <w:b/>
          <w:bCs/>
          <w:iCs/>
        </w:rPr>
      </w:pPr>
    </w:p>
    <w:p w:rsidR="00A669FD" w:rsidP="00A669FD" w14:paraId="281BC790" w14:textId="77777777">
      <w:r>
        <w:t>Th</w:t>
      </w:r>
      <w:r w:rsidR="00EB2759">
        <w:t xml:space="preserve">e OMB control number and expiration date </w:t>
      </w:r>
      <w:r>
        <w:t xml:space="preserve">will be displayed on </w:t>
      </w:r>
      <w:r w:rsidR="00EB2759">
        <w:t xml:space="preserve">any individual survey </w:t>
      </w:r>
      <w:r>
        <w:t xml:space="preserve">conducted </w:t>
      </w:r>
      <w:r w:rsidR="00EB2759">
        <w:t xml:space="preserve">under this </w:t>
      </w:r>
      <w:r w:rsidR="009613D3">
        <w:t>clearance and</w:t>
      </w:r>
      <w:r w:rsidR="002B465E">
        <w:t xml:space="preserve"> will be conveyed </w:t>
      </w:r>
      <w:r w:rsidR="00590F85">
        <w:t xml:space="preserve">orally and </w:t>
      </w:r>
      <w:r w:rsidR="002B465E">
        <w:t xml:space="preserve">in writing </w:t>
      </w:r>
      <w:r w:rsidR="005D26CD">
        <w:t xml:space="preserve">to respondents during </w:t>
      </w:r>
      <w:r w:rsidR="002B465E">
        <w:t>site visits</w:t>
      </w:r>
      <w:r w:rsidR="00EB2759">
        <w:t>.</w:t>
      </w:r>
    </w:p>
    <w:p w:rsidR="00EB2759" w:rsidP="00A669FD" w14:paraId="28281274" w14:textId="0E1A7589">
      <w:r>
        <w:t xml:space="preserve">  </w:t>
      </w:r>
    </w:p>
    <w:p w:rsidR="00EB2759" w:rsidRPr="00F05002" w14:paraId="2458AD7B" w14:textId="77777777">
      <w:pPr>
        <w:spacing w:after="206"/>
        <w:rPr>
          <w:b/>
          <w:iCs/>
        </w:rPr>
      </w:pPr>
      <w:r w:rsidRPr="00F05002">
        <w:rPr>
          <w:b/>
          <w:iCs/>
        </w:rPr>
        <w:t xml:space="preserve">18.     </w:t>
      </w:r>
      <w:r w:rsidRPr="00F05002" w:rsidR="00525E0E">
        <w:rPr>
          <w:b/>
          <w:iCs/>
        </w:rPr>
        <w:t xml:space="preserve">  </w:t>
      </w:r>
      <w:r w:rsidRPr="00F05002">
        <w:rPr>
          <w:b/>
          <w:iCs/>
        </w:rPr>
        <w:t xml:space="preserve">Explain each exception </w:t>
      </w:r>
      <w:r w:rsidRPr="00F05002" w:rsidR="00C8258F">
        <w:rPr>
          <w:b/>
          <w:iCs/>
        </w:rPr>
        <w:t>to the topics of the certification statement identified in “Certification for Paperwork R</w:t>
      </w:r>
      <w:r w:rsidRPr="00F05002" w:rsidR="00525E0E">
        <w:rPr>
          <w:b/>
          <w:iCs/>
        </w:rPr>
        <w:t>eduction Act Submissions.”</w:t>
      </w:r>
    </w:p>
    <w:p w:rsidR="00EB2759" w:rsidP="00F05002" w14:paraId="2B060BB4" w14:textId="613C76A6">
      <w:pPr>
        <w:spacing w:after="206"/>
      </w:pPr>
      <w:r>
        <w:t>There are no exceptions to the certification statement.</w:t>
      </w:r>
    </w:p>
    <w:sectPr w:rsidSect="00C75B3B">
      <w:headerReference w:type="default" r:id="rId9"/>
      <w:footerReference w:type="even" r:id="rId10"/>
      <w:footerReference w:type="default" r:id="rId11"/>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WP Typographic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TimesNewRoman">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96D02" w:rsidP="00C75B3B" w14:paraId="1A05AF12" w14:textId="77777777">
    <w:pPr>
      <w:pStyle w:val="Footer"/>
      <w:framePr w:wrap="around" w:vAnchor="text" w:hAnchor="margin" w:xAlign="center" w:y="1"/>
      <w:rPr>
        <w:rStyle w:val="PageNumber"/>
      </w:rPr>
    </w:pPr>
  </w:p>
  <w:p w:rsidR="00E96D02" w14:paraId="671A075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79880540"/>
      <w:docPartObj>
        <w:docPartGallery w:val="Page Numbers (Bottom of Page)"/>
        <w:docPartUnique/>
      </w:docPartObj>
    </w:sdtPr>
    <w:sdtEndPr>
      <w:rPr>
        <w:noProof/>
      </w:rPr>
    </w:sdtEndPr>
    <w:sdtContent>
      <w:p w:rsidR="00C11332" w14:paraId="34D8F29D" w14:textId="2A77D45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E96D02" w14:paraId="08760F6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C1B10" w14:paraId="7612395F" w14:textId="77777777">
      <w:r>
        <w:separator/>
      </w:r>
    </w:p>
  </w:footnote>
  <w:footnote w:type="continuationSeparator" w:id="1">
    <w:p w:rsidR="00AC1B10" w14:paraId="2C4DA2C4" w14:textId="77777777">
      <w:r>
        <w:continuationSeparator/>
      </w:r>
    </w:p>
  </w:footnote>
  <w:footnote w:type="continuationNotice" w:id="2">
    <w:p w:rsidR="00AC1B10" w14:paraId="33CE512A" w14:textId="77777777"/>
  </w:footnote>
  <w:footnote w:id="3">
    <w:p w:rsidR="002816A3" w:rsidP="002816A3" w14:paraId="591C4BF8" w14:textId="77777777">
      <w:pPr>
        <w:pStyle w:val="FootnoteText"/>
      </w:pPr>
      <w:r>
        <w:rPr>
          <w:rStyle w:val="FootnoteReference"/>
        </w:rPr>
        <w:footnoteRef/>
      </w:r>
      <w:r>
        <w:t xml:space="preserve"> </w:t>
      </w:r>
      <w:hyperlink r:id="rId1" w:history="1">
        <w:r w:rsidRPr="00602CF8">
          <w:rPr>
            <w:rStyle w:val="Hyperlink"/>
          </w:rPr>
          <w:t>https://obamawhitehouse.archives.gov/sites/default/files/omb/inforeg/pmc_survey_guidance_2006.pdf</w:t>
        </w:r>
      </w:hyperlink>
      <w:r>
        <w:t xml:space="preserve"> </w:t>
      </w:r>
    </w:p>
  </w:footnote>
  <w:footnote w:id="4">
    <w:p w:rsidR="00086E81" w:rsidRPr="00833D33" w:rsidP="00086E81" w14:paraId="22A4EF74" w14:textId="77777777">
      <w:pPr>
        <w:pStyle w:val="FootnoteText"/>
      </w:pPr>
      <w:r w:rsidRPr="00833D33">
        <w:rPr>
          <w:rStyle w:val="FootnoteReference"/>
        </w:rPr>
        <w:footnoteRef/>
      </w:r>
      <w:r w:rsidRPr="00833D33">
        <w:t xml:space="preserve"> </w:t>
      </w:r>
      <w:r w:rsidRPr="00833D33">
        <w:rPr>
          <w:color w:val="000000"/>
        </w:rPr>
        <w:t xml:space="preserve">From the May 2021 National Industry-Specific Occupational and Wage Estimates, from the U.S Department of Labor, available at </w:t>
      </w:r>
      <w:hyperlink r:id="rId2" w:history="1">
        <w:r w:rsidRPr="00833D33">
          <w:rPr>
            <w:rStyle w:val="Hyperlink"/>
          </w:rPr>
          <w:t>Social and Community Service Managers (bls.gov)</w:t>
        </w:r>
      </w:hyperlink>
    </w:p>
  </w:footnote>
  <w:footnote w:id="5">
    <w:p w:rsidR="00B86F33" w:rsidRPr="00833D33" w:rsidP="00B86F33" w14:paraId="6D6C143F" w14:textId="6A50FD9C">
      <w:pPr>
        <w:pStyle w:val="FootnoteText"/>
      </w:pPr>
      <w:r w:rsidRPr="00833D33">
        <w:rPr>
          <w:rStyle w:val="FootnoteReference"/>
        </w:rPr>
        <w:footnoteRef/>
      </w:r>
      <w:r w:rsidRPr="00833D33">
        <w:t xml:space="preserve"> </w:t>
      </w:r>
      <w:r w:rsidRPr="00833D33">
        <w:rPr>
          <w:color w:val="000000"/>
        </w:rPr>
        <w:t>Ibid.</w:t>
      </w:r>
    </w:p>
  </w:footnote>
  <w:footnote w:id="6">
    <w:p w:rsidR="006A596C" w:rsidRPr="00833D33" w:rsidP="006A596C" w14:paraId="5A820E9B" w14:textId="77777777">
      <w:pPr>
        <w:spacing w:after="412"/>
        <w:ind w:left="270" w:hanging="270"/>
        <w:rPr>
          <w:color w:val="000000"/>
          <w:sz w:val="20"/>
          <w:szCs w:val="20"/>
        </w:rPr>
      </w:pPr>
      <w:r w:rsidRPr="00833D33">
        <w:rPr>
          <w:rStyle w:val="FootnoteReference"/>
          <w:sz w:val="20"/>
          <w:szCs w:val="20"/>
        </w:rPr>
        <w:footnoteRef/>
      </w:r>
      <w:r w:rsidRPr="00833D33">
        <w:rPr>
          <w:sz w:val="20"/>
          <w:szCs w:val="20"/>
        </w:rPr>
        <w:t xml:space="preserve"> </w:t>
      </w:r>
      <w:r w:rsidRPr="00833D33">
        <w:rPr>
          <w:iCs/>
          <w:sz w:val="20"/>
          <w:szCs w:val="20"/>
        </w:rPr>
        <w:t xml:space="preserve">“All Occupations” (May 2021 National Occupational Employment and Wayne Estimates, found </w:t>
      </w:r>
      <w:r w:rsidRPr="00833D33">
        <w:rPr>
          <w:sz w:val="20"/>
          <w:szCs w:val="20"/>
        </w:rPr>
        <w:t xml:space="preserve">at:   </w:t>
      </w:r>
      <w:hyperlink r:id="rId3" w:anchor="00-0000" w:history="1">
        <w:r w:rsidRPr="00833D33">
          <w:rPr>
            <w:rStyle w:val="Hyperlink"/>
            <w:sz w:val="20"/>
            <w:szCs w:val="20"/>
          </w:rPr>
          <w:t>Occupational Employment and Wage Estimates (bls.gov)</w:t>
        </w:r>
      </w:hyperlink>
      <w:hyperlink r:id="rId4" w:history="1"/>
    </w:p>
    <w:p w:rsidR="006A596C" w:rsidP="006A596C" w14:paraId="4A772BF2" w14:textId="7777777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258F" w:rsidRPr="00257DD6" w:rsidP="00C8258F" w14:paraId="46499F9E" w14:textId="77777777">
    <w:pPr>
      <w:pStyle w:val="Header"/>
      <w:rPr>
        <w:sz w:val="20"/>
        <w:szCs w:val="20"/>
      </w:rPr>
    </w:pPr>
    <w:r w:rsidRPr="00257DD6">
      <w:rPr>
        <w:sz w:val="20"/>
        <w:szCs w:val="20"/>
      </w:rPr>
      <w:t>Employment and Training Administration Quick Turnaround Surveys</w:t>
    </w:r>
  </w:p>
  <w:p w:rsidR="00C23CE6" w:rsidP="00C8258F" w14:paraId="117D4179" w14:textId="77777777">
    <w:pPr>
      <w:pStyle w:val="Header"/>
      <w:rPr>
        <w:sz w:val="20"/>
        <w:szCs w:val="20"/>
      </w:rPr>
    </w:pPr>
    <w:r>
      <w:rPr>
        <w:sz w:val="20"/>
        <w:szCs w:val="20"/>
      </w:rPr>
      <w:t>OMB Control No. 1205-0436</w:t>
    </w:r>
  </w:p>
  <w:p w:rsidR="00C8258F" w14:paraId="0D4586F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2"/>
    <w:multiLevelType w:val="singleLevel"/>
    <w:tmpl w:val="260E4D08"/>
    <w:lvl w:ilvl="0">
      <w:start w:val="1"/>
      <w:numFmt w:val="bullet"/>
      <w:pStyle w:val="ListBullet3"/>
      <w:lvlText w:val=""/>
      <w:lvlJc w:val="left"/>
      <w:pPr>
        <w:tabs>
          <w:tab w:val="num" w:pos="1080"/>
        </w:tabs>
        <w:ind w:left="1080" w:hanging="360"/>
      </w:pPr>
      <w:rPr>
        <w:rFonts w:ascii="Symbol" w:hAnsi="Symbol" w:hint="default"/>
      </w:rPr>
    </w:lvl>
  </w:abstractNum>
  <w:abstractNum w:abstractNumId="1">
    <w:nsid w:val="FFFFFF83"/>
    <w:multiLevelType w:val="singleLevel"/>
    <w:tmpl w:val="D36A0000"/>
    <w:lvl w:ilvl="0">
      <w:start w:val="1"/>
      <w:numFmt w:val="bullet"/>
      <w:pStyle w:val="ListBullet2"/>
      <w:lvlText w:val=""/>
      <w:lvlJc w:val="left"/>
      <w:pPr>
        <w:tabs>
          <w:tab w:val="num" w:pos="720"/>
        </w:tabs>
        <w:ind w:left="720" w:hanging="360"/>
      </w:pPr>
      <w:rPr>
        <w:rFonts w:ascii="Symbol" w:hAnsi="Symbol" w:hint="default"/>
      </w:rPr>
    </w:lvl>
  </w:abstractNum>
  <w:abstractNum w:abstractNumId="2">
    <w:nsid w:val="00003FC0"/>
    <w:multiLevelType w:val="hybridMultilevel"/>
    <w:tmpl w:val="000032FD"/>
    <w:lvl w:ilvl="0">
      <w:start w:val="2"/>
      <w:numFmt w:val="decimal"/>
      <w:lvlText w:val="(%1)"/>
      <w:lvlJc w:val="left"/>
      <w:pPr>
        <w:tabs>
          <w:tab w:val="num" w:pos="720"/>
        </w:tabs>
        <w:ind w:left="720"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026D3525"/>
    <w:multiLevelType w:val="hybridMultilevel"/>
    <w:tmpl w:val="567E8D26"/>
    <w:lvl w:ilvl="0">
      <w:start w:val="0"/>
      <w:numFmt w:val="bullet"/>
      <w:lvlText w:val="-"/>
      <w:lvlJc w:val="left"/>
      <w:pPr>
        <w:tabs>
          <w:tab w:val="num" w:pos="660"/>
        </w:tabs>
        <w:ind w:left="660" w:hanging="360"/>
      </w:pPr>
      <w:rPr>
        <w:rFonts w:ascii="Times New Roman" w:eastAsia="Times New Roman" w:hAnsi="Times New Roman" w:cs="Times New Roman" w:hint="default"/>
      </w:rPr>
    </w:lvl>
    <w:lvl w:ilvl="1" w:tentative="1">
      <w:start w:val="1"/>
      <w:numFmt w:val="bullet"/>
      <w:lvlText w:val="o"/>
      <w:lvlJc w:val="left"/>
      <w:pPr>
        <w:tabs>
          <w:tab w:val="num" w:pos="1380"/>
        </w:tabs>
        <w:ind w:left="1380" w:hanging="360"/>
      </w:pPr>
      <w:rPr>
        <w:rFonts w:ascii="Courier New" w:hAnsi="Courier New" w:cs="Courier New" w:hint="default"/>
      </w:rPr>
    </w:lvl>
    <w:lvl w:ilvl="2" w:tentative="1">
      <w:start w:val="1"/>
      <w:numFmt w:val="bullet"/>
      <w:lvlText w:val=""/>
      <w:lvlJc w:val="left"/>
      <w:pPr>
        <w:tabs>
          <w:tab w:val="num" w:pos="2100"/>
        </w:tabs>
        <w:ind w:left="2100" w:hanging="360"/>
      </w:pPr>
      <w:rPr>
        <w:rFonts w:ascii="Wingdings" w:hAnsi="Wingdings" w:hint="default"/>
      </w:rPr>
    </w:lvl>
    <w:lvl w:ilvl="3" w:tentative="1">
      <w:start w:val="1"/>
      <w:numFmt w:val="bullet"/>
      <w:lvlText w:val=""/>
      <w:lvlJc w:val="left"/>
      <w:pPr>
        <w:tabs>
          <w:tab w:val="num" w:pos="2820"/>
        </w:tabs>
        <w:ind w:left="2820" w:hanging="360"/>
      </w:pPr>
      <w:rPr>
        <w:rFonts w:ascii="Symbol" w:hAnsi="Symbol" w:hint="default"/>
      </w:rPr>
    </w:lvl>
    <w:lvl w:ilvl="4" w:tentative="1">
      <w:start w:val="1"/>
      <w:numFmt w:val="bullet"/>
      <w:lvlText w:val="o"/>
      <w:lvlJc w:val="left"/>
      <w:pPr>
        <w:tabs>
          <w:tab w:val="num" w:pos="3540"/>
        </w:tabs>
        <w:ind w:left="3540" w:hanging="360"/>
      </w:pPr>
      <w:rPr>
        <w:rFonts w:ascii="Courier New" w:hAnsi="Courier New" w:cs="Courier New" w:hint="default"/>
      </w:rPr>
    </w:lvl>
    <w:lvl w:ilvl="5" w:tentative="1">
      <w:start w:val="1"/>
      <w:numFmt w:val="bullet"/>
      <w:lvlText w:val=""/>
      <w:lvlJc w:val="left"/>
      <w:pPr>
        <w:tabs>
          <w:tab w:val="num" w:pos="4260"/>
        </w:tabs>
        <w:ind w:left="4260" w:hanging="360"/>
      </w:pPr>
      <w:rPr>
        <w:rFonts w:ascii="Wingdings" w:hAnsi="Wingdings" w:hint="default"/>
      </w:rPr>
    </w:lvl>
    <w:lvl w:ilvl="6" w:tentative="1">
      <w:start w:val="1"/>
      <w:numFmt w:val="bullet"/>
      <w:lvlText w:val=""/>
      <w:lvlJc w:val="left"/>
      <w:pPr>
        <w:tabs>
          <w:tab w:val="num" w:pos="4980"/>
        </w:tabs>
        <w:ind w:left="4980" w:hanging="360"/>
      </w:pPr>
      <w:rPr>
        <w:rFonts w:ascii="Symbol" w:hAnsi="Symbol" w:hint="default"/>
      </w:rPr>
    </w:lvl>
    <w:lvl w:ilvl="7" w:tentative="1">
      <w:start w:val="1"/>
      <w:numFmt w:val="bullet"/>
      <w:lvlText w:val="o"/>
      <w:lvlJc w:val="left"/>
      <w:pPr>
        <w:tabs>
          <w:tab w:val="num" w:pos="5700"/>
        </w:tabs>
        <w:ind w:left="5700" w:hanging="360"/>
      </w:pPr>
      <w:rPr>
        <w:rFonts w:ascii="Courier New" w:hAnsi="Courier New" w:cs="Courier New" w:hint="default"/>
      </w:rPr>
    </w:lvl>
    <w:lvl w:ilvl="8" w:tentative="1">
      <w:start w:val="1"/>
      <w:numFmt w:val="bullet"/>
      <w:lvlText w:val=""/>
      <w:lvlJc w:val="left"/>
      <w:pPr>
        <w:tabs>
          <w:tab w:val="num" w:pos="6420"/>
        </w:tabs>
        <w:ind w:left="6420" w:hanging="360"/>
      </w:pPr>
      <w:rPr>
        <w:rFonts w:ascii="Wingdings" w:hAnsi="Wingdings" w:hint="default"/>
      </w:rPr>
    </w:lvl>
  </w:abstractNum>
  <w:abstractNum w:abstractNumId="4">
    <w:nsid w:val="0E6616A0"/>
    <w:multiLevelType w:val="hybridMultilevel"/>
    <w:tmpl w:val="3EB4D7E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9B02DD9"/>
    <w:multiLevelType w:val="hybridMultilevel"/>
    <w:tmpl w:val="CCB005E8"/>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1DBB340B"/>
    <w:multiLevelType w:val="hybridMultilevel"/>
    <w:tmpl w:val="210AF284"/>
    <w:lvl w:ilvl="0">
      <w:start w:val="1"/>
      <w:numFmt w:val="bullet"/>
      <w:lvlText w:val="•"/>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CE74AFF"/>
    <w:multiLevelType w:val="hybridMultilevel"/>
    <w:tmpl w:val="6B3429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5D1581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36882B3E"/>
    <w:multiLevelType w:val="hybridMultilevel"/>
    <w:tmpl w:val="6992865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97A3992"/>
    <w:multiLevelType w:val="hybridMultilevel"/>
    <w:tmpl w:val="C690FB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042556A"/>
    <w:multiLevelType w:val="hybridMultilevel"/>
    <w:tmpl w:val="F17A7EF0"/>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3264312"/>
    <w:multiLevelType w:val="hybridMultilevel"/>
    <w:tmpl w:val="B7F4C39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4BA717F1"/>
    <w:multiLevelType w:val="hybridMultilevel"/>
    <w:tmpl w:val="7DC2F63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7207415"/>
    <w:multiLevelType w:val="hybridMultilevel"/>
    <w:tmpl w:val="D31A2ABA"/>
    <w:lvl w:ilvl="0">
      <w:start w:val="3"/>
      <w:numFmt w:val="lowerLetter"/>
      <w:lvlText w:val="%1."/>
      <w:lvlJc w:val="left"/>
      <w:pPr>
        <w:tabs>
          <w:tab w:val="num" w:pos="720"/>
        </w:tabs>
        <w:ind w:left="720" w:hanging="360"/>
      </w:pPr>
      <w:rPr>
        <w:rFonts w:ascii="Times New Roman" w:hAnsi="Times New Roman" w:cs="Times New Roman" w:hint="default"/>
      </w:rPr>
    </w:lvl>
    <w:lvl w:ilvl="1">
      <w:start w:val="2"/>
      <w:numFmt w:val="upp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68A258C8"/>
    <w:multiLevelType w:val="hybridMultilevel"/>
    <w:tmpl w:val="71CCFE3C"/>
    <w:lvl w:ilvl="0">
      <w:start w:val="1"/>
      <w:numFmt w:val="bullet"/>
      <w:lvlText w:val=""/>
      <w:lvlJc w:val="left"/>
      <w:pPr>
        <w:ind w:left="1800" w:hanging="360"/>
      </w:pPr>
      <w:rPr>
        <w:rFonts w:ascii="Wingdings" w:hAnsi="Wingdings" w:hint="default"/>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num w:numId="1" w16cid:durableId="1962107439">
    <w:abstractNumId w:val="1"/>
  </w:num>
  <w:num w:numId="2" w16cid:durableId="783617136">
    <w:abstractNumId w:val="0"/>
  </w:num>
  <w:num w:numId="3" w16cid:durableId="1097021633">
    <w:abstractNumId w:val="3"/>
  </w:num>
  <w:num w:numId="4" w16cid:durableId="1883861038">
    <w:abstractNumId w:val="15"/>
  </w:num>
  <w:num w:numId="5" w16cid:durableId="1613052822">
    <w:abstractNumId w:val="13"/>
  </w:num>
  <w:num w:numId="6" w16cid:durableId="751855347">
    <w:abstractNumId w:val="11"/>
  </w:num>
  <w:num w:numId="7" w16cid:durableId="297028013">
    <w:abstractNumId w:val="6"/>
  </w:num>
  <w:num w:numId="8" w16cid:durableId="19862937">
    <w:abstractNumId w:val="12"/>
  </w:num>
  <w:num w:numId="9" w16cid:durableId="1876699816">
    <w:abstractNumId w:val="9"/>
  </w:num>
  <w:num w:numId="10" w16cid:durableId="1636523498">
    <w:abstractNumId w:val="7"/>
  </w:num>
  <w:num w:numId="11" w16cid:durableId="1980184441">
    <w:abstractNumId w:val="4"/>
  </w:num>
  <w:num w:numId="12" w16cid:durableId="1451246413">
    <w:abstractNumId w:val="8"/>
  </w:num>
  <w:num w:numId="13" w16cid:durableId="189690691">
    <w:abstractNumId w:val="14"/>
  </w:num>
  <w:num w:numId="14" w16cid:durableId="662005534">
    <w:abstractNumId w:val="5"/>
  </w:num>
  <w:num w:numId="15" w16cid:durableId="1365523044">
    <w:abstractNumId w:val="10"/>
  </w:num>
  <w:num w:numId="16" w16cid:durableId="6108619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D2E"/>
    <w:rsid w:val="0000077B"/>
    <w:rsid w:val="00000B48"/>
    <w:rsid w:val="00001E5B"/>
    <w:rsid w:val="00001E82"/>
    <w:rsid w:val="00002440"/>
    <w:rsid w:val="00002A99"/>
    <w:rsid w:val="000044C8"/>
    <w:rsid w:val="00005549"/>
    <w:rsid w:val="00005C24"/>
    <w:rsid w:val="00007DAA"/>
    <w:rsid w:val="00010236"/>
    <w:rsid w:val="00013A3D"/>
    <w:rsid w:val="00016371"/>
    <w:rsid w:val="00016846"/>
    <w:rsid w:val="00017C21"/>
    <w:rsid w:val="00020BA7"/>
    <w:rsid w:val="00021709"/>
    <w:rsid w:val="000244E3"/>
    <w:rsid w:val="00026A7A"/>
    <w:rsid w:val="00027336"/>
    <w:rsid w:val="0002776C"/>
    <w:rsid w:val="00032914"/>
    <w:rsid w:val="0003457B"/>
    <w:rsid w:val="000348D4"/>
    <w:rsid w:val="00035EFD"/>
    <w:rsid w:val="000413F3"/>
    <w:rsid w:val="00042B25"/>
    <w:rsid w:val="00042D70"/>
    <w:rsid w:val="00044487"/>
    <w:rsid w:val="000466FD"/>
    <w:rsid w:val="000521A4"/>
    <w:rsid w:val="00052E67"/>
    <w:rsid w:val="00054382"/>
    <w:rsid w:val="00060E69"/>
    <w:rsid w:val="00060EC2"/>
    <w:rsid w:val="0006321B"/>
    <w:rsid w:val="00063C60"/>
    <w:rsid w:val="0006401A"/>
    <w:rsid w:val="0006450E"/>
    <w:rsid w:val="000646EF"/>
    <w:rsid w:val="0006480C"/>
    <w:rsid w:val="000664C8"/>
    <w:rsid w:val="000736EE"/>
    <w:rsid w:val="00075678"/>
    <w:rsid w:val="00080D09"/>
    <w:rsid w:val="000839E4"/>
    <w:rsid w:val="00085851"/>
    <w:rsid w:val="00086E81"/>
    <w:rsid w:val="00091F1A"/>
    <w:rsid w:val="00091FC0"/>
    <w:rsid w:val="00095354"/>
    <w:rsid w:val="00095F50"/>
    <w:rsid w:val="000A05E0"/>
    <w:rsid w:val="000A3D1B"/>
    <w:rsid w:val="000A5136"/>
    <w:rsid w:val="000B1898"/>
    <w:rsid w:val="000B23FA"/>
    <w:rsid w:val="000B73F1"/>
    <w:rsid w:val="000B7AAA"/>
    <w:rsid w:val="000C2264"/>
    <w:rsid w:val="000C4F7A"/>
    <w:rsid w:val="000C5C6E"/>
    <w:rsid w:val="000C6E03"/>
    <w:rsid w:val="000D42EE"/>
    <w:rsid w:val="000E64E6"/>
    <w:rsid w:val="000E6D73"/>
    <w:rsid w:val="000F1EF6"/>
    <w:rsid w:val="000F326C"/>
    <w:rsid w:val="000F34EC"/>
    <w:rsid w:val="000F3DE5"/>
    <w:rsid w:val="000F4B33"/>
    <w:rsid w:val="000F6CD5"/>
    <w:rsid w:val="00100AA3"/>
    <w:rsid w:val="00105D96"/>
    <w:rsid w:val="00111114"/>
    <w:rsid w:val="001124E4"/>
    <w:rsid w:val="00114F05"/>
    <w:rsid w:val="00120062"/>
    <w:rsid w:val="00122589"/>
    <w:rsid w:val="0012691C"/>
    <w:rsid w:val="00126D74"/>
    <w:rsid w:val="00132767"/>
    <w:rsid w:val="00140F7C"/>
    <w:rsid w:val="00143546"/>
    <w:rsid w:val="001528BA"/>
    <w:rsid w:val="001543B5"/>
    <w:rsid w:val="00156CD7"/>
    <w:rsid w:val="00161E41"/>
    <w:rsid w:val="001702F2"/>
    <w:rsid w:val="00171238"/>
    <w:rsid w:val="00181098"/>
    <w:rsid w:val="001833C0"/>
    <w:rsid w:val="00187F6C"/>
    <w:rsid w:val="001976B4"/>
    <w:rsid w:val="00197730"/>
    <w:rsid w:val="00197EF9"/>
    <w:rsid w:val="001A3E32"/>
    <w:rsid w:val="001A5D5C"/>
    <w:rsid w:val="001A5F04"/>
    <w:rsid w:val="001B0FCA"/>
    <w:rsid w:val="001B3D3D"/>
    <w:rsid w:val="001C0B36"/>
    <w:rsid w:val="001D5888"/>
    <w:rsid w:val="001D5983"/>
    <w:rsid w:val="001E1836"/>
    <w:rsid w:val="001E32A8"/>
    <w:rsid w:val="001E5D9F"/>
    <w:rsid w:val="001F5AB8"/>
    <w:rsid w:val="002062EB"/>
    <w:rsid w:val="00211539"/>
    <w:rsid w:val="002119E1"/>
    <w:rsid w:val="00215DCA"/>
    <w:rsid w:val="0022554B"/>
    <w:rsid w:val="002370D6"/>
    <w:rsid w:val="00242282"/>
    <w:rsid w:val="002431AC"/>
    <w:rsid w:val="002477EE"/>
    <w:rsid w:val="0025507A"/>
    <w:rsid w:val="00255AC0"/>
    <w:rsid w:val="00257DD6"/>
    <w:rsid w:val="00260427"/>
    <w:rsid w:val="00261059"/>
    <w:rsid w:val="00261153"/>
    <w:rsid w:val="0026160B"/>
    <w:rsid w:val="00261924"/>
    <w:rsid w:val="00263C7F"/>
    <w:rsid w:val="00267217"/>
    <w:rsid w:val="002717E3"/>
    <w:rsid w:val="00272252"/>
    <w:rsid w:val="00276BFC"/>
    <w:rsid w:val="002816A3"/>
    <w:rsid w:val="00285A7E"/>
    <w:rsid w:val="00293291"/>
    <w:rsid w:val="00293B87"/>
    <w:rsid w:val="00294384"/>
    <w:rsid w:val="002A27A3"/>
    <w:rsid w:val="002A3812"/>
    <w:rsid w:val="002A5F8D"/>
    <w:rsid w:val="002B1FDB"/>
    <w:rsid w:val="002B465E"/>
    <w:rsid w:val="002C3917"/>
    <w:rsid w:val="002C41A5"/>
    <w:rsid w:val="002C6240"/>
    <w:rsid w:val="002C661F"/>
    <w:rsid w:val="002C7561"/>
    <w:rsid w:val="002D6ACE"/>
    <w:rsid w:val="002E09CC"/>
    <w:rsid w:val="002E27B4"/>
    <w:rsid w:val="002E3E46"/>
    <w:rsid w:val="002E6516"/>
    <w:rsid w:val="002F218A"/>
    <w:rsid w:val="002F612A"/>
    <w:rsid w:val="00301878"/>
    <w:rsid w:val="00301BF9"/>
    <w:rsid w:val="003035DC"/>
    <w:rsid w:val="00303BD9"/>
    <w:rsid w:val="003134DA"/>
    <w:rsid w:val="003140C6"/>
    <w:rsid w:val="0031580B"/>
    <w:rsid w:val="003235E7"/>
    <w:rsid w:val="003273A2"/>
    <w:rsid w:val="0033482D"/>
    <w:rsid w:val="003365F3"/>
    <w:rsid w:val="00336C64"/>
    <w:rsid w:val="0034205F"/>
    <w:rsid w:val="00345031"/>
    <w:rsid w:val="00346FEF"/>
    <w:rsid w:val="003500C2"/>
    <w:rsid w:val="003521C5"/>
    <w:rsid w:val="0035557C"/>
    <w:rsid w:val="00356A1F"/>
    <w:rsid w:val="00357E94"/>
    <w:rsid w:val="00362DA9"/>
    <w:rsid w:val="0036516F"/>
    <w:rsid w:val="00366018"/>
    <w:rsid w:val="003737E0"/>
    <w:rsid w:val="0037432D"/>
    <w:rsid w:val="003771FC"/>
    <w:rsid w:val="003777FF"/>
    <w:rsid w:val="00385005"/>
    <w:rsid w:val="00386F0A"/>
    <w:rsid w:val="00392250"/>
    <w:rsid w:val="003943CD"/>
    <w:rsid w:val="00396126"/>
    <w:rsid w:val="003966D5"/>
    <w:rsid w:val="003A206A"/>
    <w:rsid w:val="003A3EB5"/>
    <w:rsid w:val="003A6FB3"/>
    <w:rsid w:val="003B0C5D"/>
    <w:rsid w:val="003B3462"/>
    <w:rsid w:val="003C48F9"/>
    <w:rsid w:val="003C688D"/>
    <w:rsid w:val="003C787D"/>
    <w:rsid w:val="003D379B"/>
    <w:rsid w:val="003D4491"/>
    <w:rsid w:val="003D7916"/>
    <w:rsid w:val="003E1525"/>
    <w:rsid w:val="003E5C1D"/>
    <w:rsid w:val="003F1366"/>
    <w:rsid w:val="003F5D9E"/>
    <w:rsid w:val="003F5DEA"/>
    <w:rsid w:val="0040049D"/>
    <w:rsid w:val="004052CF"/>
    <w:rsid w:val="00406033"/>
    <w:rsid w:val="00407047"/>
    <w:rsid w:val="004079B1"/>
    <w:rsid w:val="00410CFD"/>
    <w:rsid w:val="0041167A"/>
    <w:rsid w:val="00415B11"/>
    <w:rsid w:val="0042473B"/>
    <w:rsid w:val="00433E3B"/>
    <w:rsid w:val="00434425"/>
    <w:rsid w:val="00436506"/>
    <w:rsid w:val="00437BE2"/>
    <w:rsid w:val="00437EC8"/>
    <w:rsid w:val="00452219"/>
    <w:rsid w:val="004523F1"/>
    <w:rsid w:val="00456A89"/>
    <w:rsid w:val="00462A8B"/>
    <w:rsid w:val="00462C4B"/>
    <w:rsid w:val="0046438D"/>
    <w:rsid w:val="0046673B"/>
    <w:rsid w:val="0048231E"/>
    <w:rsid w:val="00483D28"/>
    <w:rsid w:val="004913DC"/>
    <w:rsid w:val="0049574F"/>
    <w:rsid w:val="004A2A80"/>
    <w:rsid w:val="004A3667"/>
    <w:rsid w:val="004B1513"/>
    <w:rsid w:val="004C4C3B"/>
    <w:rsid w:val="004C5706"/>
    <w:rsid w:val="004D21F6"/>
    <w:rsid w:val="004E4BC6"/>
    <w:rsid w:val="004E59DA"/>
    <w:rsid w:val="004E71F0"/>
    <w:rsid w:val="004F054E"/>
    <w:rsid w:val="004F0BF1"/>
    <w:rsid w:val="004F370A"/>
    <w:rsid w:val="004F4BF7"/>
    <w:rsid w:val="004F5B49"/>
    <w:rsid w:val="00504441"/>
    <w:rsid w:val="00506A0C"/>
    <w:rsid w:val="00506DCC"/>
    <w:rsid w:val="005121DC"/>
    <w:rsid w:val="00523B70"/>
    <w:rsid w:val="00524426"/>
    <w:rsid w:val="00525E0E"/>
    <w:rsid w:val="0053345D"/>
    <w:rsid w:val="005336C9"/>
    <w:rsid w:val="0053642B"/>
    <w:rsid w:val="00542DE5"/>
    <w:rsid w:val="00543C3F"/>
    <w:rsid w:val="005508FE"/>
    <w:rsid w:val="00551B94"/>
    <w:rsid w:val="00555205"/>
    <w:rsid w:val="00557735"/>
    <w:rsid w:val="00560C41"/>
    <w:rsid w:val="00560F0F"/>
    <w:rsid w:val="005629B6"/>
    <w:rsid w:val="005653FA"/>
    <w:rsid w:val="00565420"/>
    <w:rsid w:val="00565A48"/>
    <w:rsid w:val="00566718"/>
    <w:rsid w:val="005668E1"/>
    <w:rsid w:val="00567CC6"/>
    <w:rsid w:val="00572F17"/>
    <w:rsid w:val="005736CD"/>
    <w:rsid w:val="00577F54"/>
    <w:rsid w:val="00581BC0"/>
    <w:rsid w:val="00584216"/>
    <w:rsid w:val="005879C2"/>
    <w:rsid w:val="00590F85"/>
    <w:rsid w:val="00591570"/>
    <w:rsid w:val="00593A9E"/>
    <w:rsid w:val="00595D2F"/>
    <w:rsid w:val="00597B66"/>
    <w:rsid w:val="005A1CFE"/>
    <w:rsid w:val="005A70B0"/>
    <w:rsid w:val="005B0CEE"/>
    <w:rsid w:val="005B6F69"/>
    <w:rsid w:val="005C063C"/>
    <w:rsid w:val="005C30E6"/>
    <w:rsid w:val="005C3750"/>
    <w:rsid w:val="005C3DA8"/>
    <w:rsid w:val="005C7676"/>
    <w:rsid w:val="005D26CD"/>
    <w:rsid w:val="005D3473"/>
    <w:rsid w:val="005D3B7A"/>
    <w:rsid w:val="005E2965"/>
    <w:rsid w:val="005F0AD4"/>
    <w:rsid w:val="005F4694"/>
    <w:rsid w:val="005F5FB8"/>
    <w:rsid w:val="00602CF8"/>
    <w:rsid w:val="0060577E"/>
    <w:rsid w:val="0060611E"/>
    <w:rsid w:val="00606C77"/>
    <w:rsid w:val="00612084"/>
    <w:rsid w:val="00614E00"/>
    <w:rsid w:val="00617433"/>
    <w:rsid w:val="00620F26"/>
    <w:rsid w:val="006313A6"/>
    <w:rsid w:val="006341B5"/>
    <w:rsid w:val="006356A1"/>
    <w:rsid w:val="00635F5D"/>
    <w:rsid w:val="00635F90"/>
    <w:rsid w:val="00644183"/>
    <w:rsid w:val="0064537D"/>
    <w:rsid w:val="0064733A"/>
    <w:rsid w:val="006605D1"/>
    <w:rsid w:val="0066145B"/>
    <w:rsid w:val="0066409F"/>
    <w:rsid w:val="006663CC"/>
    <w:rsid w:val="00670FBC"/>
    <w:rsid w:val="00672A48"/>
    <w:rsid w:val="00674418"/>
    <w:rsid w:val="00674640"/>
    <w:rsid w:val="00680C25"/>
    <w:rsid w:val="00682509"/>
    <w:rsid w:val="00685FED"/>
    <w:rsid w:val="00695609"/>
    <w:rsid w:val="006A0996"/>
    <w:rsid w:val="006A1FCA"/>
    <w:rsid w:val="006A34AB"/>
    <w:rsid w:val="006A596C"/>
    <w:rsid w:val="006A6B09"/>
    <w:rsid w:val="006B0DA3"/>
    <w:rsid w:val="006B1336"/>
    <w:rsid w:val="006B3B60"/>
    <w:rsid w:val="006B6412"/>
    <w:rsid w:val="006C1525"/>
    <w:rsid w:val="006C2157"/>
    <w:rsid w:val="006D3CA1"/>
    <w:rsid w:val="006D4C1D"/>
    <w:rsid w:val="006E0F68"/>
    <w:rsid w:val="006E29CF"/>
    <w:rsid w:val="006F15C1"/>
    <w:rsid w:val="006F7EB5"/>
    <w:rsid w:val="007013A8"/>
    <w:rsid w:val="00706115"/>
    <w:rsid w:val="00707DB5"/>
    <w:rsid w:val="007119B8"/>
    <w:rsid w:val="00712355"/>
    <w:rsid w:val="0071242B"/>
    <w:rsid w:val="007161E8"/>
    <w:rsid w:val="007171A5"/>
    <w:rsid w:val="007268B7"/>
    <w:rsid w:val="00732999"/>
    <w:rsid w:val="007401FC"/>
    <w:rsid w:val="00745868"/>
    <w:rsid w:val="007464D6"/>
    <w:rsid w:val="00746C62"/>
    <w:rsid w:val="007503A8"/>
    <w:rsid w:val="007562FA"/>
    <w:rsid w:val="00762E59"/>
    <w:rsid w:val="00763CDC"/>
    <w:rsid w:val="00763F98"/>
    <w:rsid w:val="00766B9B"/>
    <w:rsid w:val="007672BA"/>
    <w:rsid w:val="007701EE"/>
    <w:rsid w:val="0077210B"/>
    <w:rsid w:val="00772CF2"/>
    <w:rsid w:val="0077390E"/>
    <w:rsid w:val="00775CD4"/>
    <w:rsid w:val="007760AF"/>
    <w:rsid w:val="00781CA7"/>
    <w:rsid w:val="00782F1E"/>
    <w:rsid w:val="007862E8"/>
    <w:rsid w:val="00786826"/>
    <w:rsid w:val="00786FDA"/>
    <w:rsid w:val="00787054"/>
    <w:rsid w:val="007911AD"/>
    <w:rsid w:val="007A6527"/>
    <w:rsid w:val="007B3118"/>
    <w:rsid w:val="007B3495"/>
    <w:rsid w:val="007B372B"/>
    <w:rsid w:val="007B6C38"/>
    <w:rsid w:val="007B6CCD"/>
    <w:rsid w:val="007B7E1C"/>
    <w:rsid w:val="007C2DF3"/>
    <w:rsid w:val="007C5511"/>
    <w:rsid w:val="007C7503"/>
    <w:rsid w:val="007D1A24"/>
    <w:rsid w:val="007D4288"/>
    <w:rsid w:val="007D49CB"/>
    <w:rsid w:val="007D7B25"/>
    <w:rsid w:val="007E1382"/>
    <w:rsid w:val="007E44CD"/>
    <w:rsid w:val="007F3A5D"/>
    <w:rsid w:val="008010E3"/>
    <w:rsid w:val="0080130E"/>
    <w:rsid w:val="00802A1A"/>
    <w:rsid w:val="00807CE2"/>
    <w:rsid w:val="00811CFF"/>
    <w:rsid w:val="00812E34"/>
    <w:rsid w:val="00813696"/>
    <w:rsid w:val="00817329"/>
    <w:rsid w:val="00820C97"/>
    <w:rsid w:val="00822E5B"/>
    <w:rsid w:val="00830457"/>
    <w:rsid w:val="008310DF"/>
    <w:rsid w:val="0083161E"/>
    <w:rsid w:val="008331E4"/>
    <w:rsid w:val="00833D33"/>
    <w:rsid w:val="00834DFE"/>
    <w:rsid w:val="0083611D"/>
    <w:rsid w:val="00844085"/>
    <w:rsid w:val="00844F09"/>
    <w:rsid w:val="00851AA7"/>
    <w:rsid w:val="00851D20"/>
    <w:rsid w:val="00855406"/>
    <w:rsid w:val="00857420"/>
    <w:rsid w:val="00861D2E"/>
    <w:rsid w:val="00873E9D"/>
    <w:rsid w:val="0087435B"/>
    <w:rsid w:val="00874E61"/>
    <w:rsid w:val="00875E5F"/>
    <w:rsid w:val="00877B6A"/>
    <w:rsid w:val="008827BF"/>
    <w:rsid w:val="0088567C"/>
    <w:rsid w:val="00887FA6"/>
    <w:rsid w:val="00893B39"/>
    <w:rsid w:val="0089468A"/>
    <w:rsid w:val="00897582"/>
    <w:rsid w:val="00897C3E"/>
    <w:rsid w:val="008A0CB4"/>
    <w:rsid w:val="008A24AA"/>
    <w:rsid w:val="008A3BD7"/>
    <w:rsid w:val="008A4D1E"/>
    <w:rsid w:val="008A64AD"/>
    <w:rsid w:val="008C633A"/>
    <w:rsid w:val="008E3F3D"/>
    <w:rsid w:val="008F28B4"/>
    <w:rsid w:val="008F4B30"/>
    <w:rsid w:val="008F5708"/>
    <w:rsid w:val="0090019C"/>
    <w:rsid w:val="00901C0E"/>
    <w:rsid w:val="00901D83"/>
    <w:rsid w:val="009048CA"/>
    <w:rsid w:val="00911398"/>
    <w:rsid w:val="00914952"/>
    <w:rsid w:val="00916A3B"/>
    <w:rsid w:val="00917865"/>
    <w:rsid w:val="00917F28"/>
    <w:rsid w:val="00921417"/>
    <w:rsid w:val="00921E8E"/>
    <w:rsid w:val="00923C94"/>
    <w:rsid w:val="0092734F"/>
    <w:rsid w:val="0093088D"/>
    <w:rsid w:val="00932D04"/>
    <w:rsid w:val="009337BD"/>
    <w:rsid w:val="009340A0"/>
    <w:rsid w:val="00935564"/>
    <w:rsid w:val="00936E7E"/>
    <w:rsid w:val="0094210C"/>
    <w:rsid w:val="009447A8"/>
    <w:rsid w:val="009505FF"/>
    <w:rsid w:val="00950D28"/>
    <w:rsid w:val="00952378"/>
    <w:rsid w:val="00953257"/>
    <w:rsid w:val="00953B2C"/>
    <w:rsid w:val="00956F1B"/>
    <w:rsid w:val="009613D3"/>
    <w:rsid w:val="00962DFF"/>
    <w:rsid w:val="00963C8F"/>
    <w:rsid w:val="009753B0"/>
    <w:rsid w:val="00981CBC"/>
    <w:rsid w:val="0098328E"/>
    <w:rsid w:val="0098359C"/>
    <w:rsid w:val="00983EAA"/>
    <w:rsid w:val="00984C33"/>
    <w:rsid w:val="00985245"/>
    <w:rsid w:val="00987B64"/>
    <w:rsid w:val="00987F57"/>
    <w:rsid w:val="009930A3"/>
    <w:rsid w:val="00994393"/>
    <w:rsid w:val="0099507E"/>
    <w:rsid w:val="00996A98"/>
    <w:rsid w:val="009A4BB8"/>
    <w:rsid w:val="009A540C"/>
    <w:rsid w:val="009B103F"/>
    <w:rsid w:val="009B2D1C"/>
    <w:rsid w:val="009C3196"/>
    <w:rsid w:val="009D40FC"/>
    <w:rsid w:val="009D4D9C"/>
    <w:rsid w:val="009E4ABF"/>
    <w:rsid w:val="009E550D"/>
    <w:rsid w:val="009E78A2"/>
    <w:rsid w:val="009E7E73"/>
    <w:rsid w:val="009F4D89"/>
    <w:rsid w:val="00A01BCA"/>
    <w:rsid w:val="00A1477F"/>
    <w:rsid w:val="00A149A4"/>
    <w:rsid w:val="00A23933"/>
    <w:rsid w:val="00A24E6A"/>
    <w:rsid w:val="00A2720E"/>
    <w:rsid w:val="00A32A84"/>
    <w:rsid w:val="00A34272"/>
    <w:rsid w:val="00A34C3D"/>
    <w:rsid w:val="00A34F33"/>
    <w:rsid w:val="00A3559C"/>
    <w:rsid w:val="00A431BC"/>
    <w:rsid w:val="00A46011"/>
    <w:rsid w:val="00A46BCB"/>
    <w:rsid w:val="00A47666"/>
    <w:rsid w:val="00A53176"/>
    <w:rsid w:val="00A531C6"/>
    <w:rsid w:val="00A532D0"/>
    <w:rsid w:val="00A535D3"/>
    <w:rsid w:val="00A54FA6"/>
    <w:rsid w:val="00A55637"/>
    <w:rsid w:val="00A56E61"/>
    <w:rsid w:val="00A574D1"/>
    <w:rsid w:val="00A61077"/>
    <w:rsid w:val="00A62057"/>
    <w:rsid w:val="00A6607B"/>
    <w:rsid w:val="00A669FD"/>
    <w:rsid w:val="00A67592"/>
    <w:rsid w:val="00A7680F"/>
    <w:rsid w:val="00A86D2E"/>
    <w:rsid w:val="00A90CF6"/>
    <w:rsid w:val="00A92219"/>
    <w:rsid w:val="00A93244"/>
    <w:rsid w:val="00A94A3A"/>
    <w:rsid w:val="00A9538D"/>
    <w:rsid w:val="00A958AE"/>
    <w:rsid w:val="00A96ED4"/>
    <w:rsid w:val="00A9793D"/>
    <w:rsid w:val="00AA0BA8"/>
    <w:rsid w:val="00AA1C6E"/>
    <w:rsid w:val="00AA3289"/>
    <w:rsid w:val="00AA76E0"/>
    <w:rsid w:val="00AB1084"/>
    <w:rsid w:val="00AB3A29"/>
    <w:rsid w:val="00AB5916"/>
    <w:rsid w:val="00AB7762"/>
    <w:rsid w:val="00AC1B10"/>
    <w:rsid w:val="00AC4653"/>
    <w:rsid w:val="00AC6D6F"/>
    <w:rsid w:val="00AD0BB6"/>
    <w:rsid w:val="00AD12AE"/>
    <w:rsid w:val="00AD427E"/>
    <w:rsid w:val="00AD4964"/>
    <w:rsid w:val="00AD55AA"/>
    <w:rsid w:val="00AD6881"/>
    <w:rsid w:val="00AE0B0A"/>
    <w:rsid w:val="00AE6AA9"/>
    <w:rsid w:val="00AE78BA"/>
    <w:rsid w:val="00AF09A3"/>
    <w:rsid w:val="00AF2CAE"/>
    <w:rsid w:val="00AF37EE"/>
    <w:rsid w:val="00AF57D9"/>
    <w:rsid w:val="00AF58E6"/>
    <w:rsid w:val="00AF60FB"/>
    <w:rsid w:val="00AF6191"/>
    <w:rsid w:val="00AF7C72"/>
    <w:rsid w:val="00B00334"/>
    <w:rsid w:val="00B01838"/>
    <w:rsid w:val="00B01C2C"/>
    <w:rsid w:val="00B0546A"/>
    <w:rsid w:val="00B07A25"/>
    <w:rsid w:val="00B14D53"/>
    <w:rsid w:val="00B23300"/>
    <w:rsid w:val="00B233AA"/>
    <w:rsid w:val="00B23500"/>
    <w:rsid w:val="00B27AB7"/>
    <w:rsid w:val="00B324CD"/>
    <w:rsid w:val="00B34405"/>
    <w:rsid w:val="00B34BFE"/>
    <w:rsid w:val="00B359EA"/>
    <w:rsid w:val="00B46FFD"/>
    <w:rsid w:val="00B53232"/>
    <w:rsid w:val="00B559E0"/>
    <w:rsid w:val="00B75723"/>
    <w:rsid w:val="00B81EB4"/>
    <w:rsid w:val="00B8361E"/>
    <w:rsid w:val="00B86F33"/>
    <w:rsid w:val="00B87632"/>
    <w:rsid w:val="00B87BFF"/>
    <w:rsid w:val="00B87FF4"/>
    <w:rsid w:val="00B90696"/>
    <w:rsid w:val="00B90AAC"/>
    <w:rsid w:val="00B93475"/>
    <w:rsid w:val="00B934F3"/>
    <w:rsid w:val="00B95171"/>
    <w:rsid w:val="00B958C7"/>
    <w:rsid w:val="00B961B8"/>
    <w:rsid w:val="00B96BF3"/>
    <w:rsid w:val="00BA14D9"/>
    <w:rsid w:val="00BA20A0"/>
    <w:rsid w:val="00BA3C0A"/>
    <w:rsid w:val="00BA62C5"/>
    <w:rsid w:val="00BA62DF"/>
    <w:rsid w:val="00BA6578"/>
    <w:rsid w:val="00BB24CA"/>
    <w:rsid w:val="00BB443D"/>
    <w:rsid w:val="00BB7173"/>
    <w:rsid w:val="00BC3B80"/>
    <w:rsid w:val="00BD180C"/>
    <w:rsid w:val="00BD6186"/>
    <w:rsid w:val="00BE1535"/>
    <w:rsid w:val="00BE1D87"/>
    <w:rsid w:val="00BE3C77"/>
    <w:rsid w:val="00BE5316"/>
    <w:rsid w:val="00BF3273"/>
    <w:rsid w:val="00BF3A14"/>
    <w:rsid w:val="00BF4BD8"/>
    <w:rsid w:val="00BF53E9"/>
    <w:rsid w:val="00C05FE9"/>
    <w:rsid w:val="00C11332"/>
    <w:rsid w:val="00C1247B"/>
    <w:rsid w:val="00C13B7C"/>
    <w:rsid w:val="00C16F3C"/>
    <w:rsid w:val="00C17873"/>
    <w:rsid w:val="00C17BAC"/>
    <w:rsid w:val="00C2013F"/>
    <w:rsid w:val="00C23CE6"/>
    <w:rsid w:val="00C24057"/>
    <w:rsid w:val="00C244A2"/>
    <w:rsid w:val="00C303B4"/>
    <w:rsid w:val="00C32372"/>
    <w:rsid w:val="00C34D3D"/>
    <w:rsid w:val="00C3670B"/>
    <w:rsid w:val="00C425FD"/>
    <w:rsid w:val="00C42774"/>
    <w:rsid w:val="00C43D11"/>
    <w:rsid w:val="00C44C1D"/>
    <w:rsid w:val="00C45C7D"/>
    <w:rsid w:val="00C55680"/>
    <w:rsid w:val="00C62D59"/>
    <w:rsid w:val="00C7038D"/>
    <w:rsid w:val="00C75B3B"/>
    <w:rsid w:val="00C8258F"/>
    <w:rsid w:val="00C923C9"/>
    <w:rsid w:val="00C94392"/>
    <w:rsid w:val="00C95355"/>
    <w:rsid w:val="00C97FD5"/>
    <w:rsid w:val="00CA0207"/>
    <w:rsid w:val="00CA023B"/>
    <w:rsid w:val="00CA105C"/>
    <w:rsid w:val="00CA154C"/>
    <w:rsid w:val="00CA1967"/>
    <w:rsid w:val="00CC2251"/>
    <w:rsid w:val="00CE0836"/>
    <w:rsid w:val="00CE1246"/>
    <w:rsid w:val="00CE306C"/>
    <w:rsid w:val="00CE5688"/>
    <w:rsid w:val="00CE62BF"/>
    <w:rsid w:val="00CE7534"/>
    <w:rsid w:val="00CF2BF4"/>
    <w:rsid w:val="00CF4798"/>
    <w:rsid w:val="00D010EA"/>
    <w:rsid w:val="00D104A2"/>
    <w:rsid w:val="00D12F93"/>
    <w:rsid w:val="00D13A37"/>
    <w:rsid w:val="00D14ECE"/>
    <w:rsid w:val="00D1598F"/>
    <w:rsid w:val="00D16494"/>
    <w:rsid w:val="00D17101"/>
    <w:rsid w:val="00D17825"/>
    <w:rsid w:val="00D24F1F"/>
    <w:rsid w:val="00D31F4A"/>
    <w:rsid w:val="00D36F2C"/>
    <w:rsid w:val="00D37F17"/>
    <w:rsid w:val="00D545E8"/>
    <w:rsid w:val="00D553C8"/>
    <w:rsid w:val="00D57C7E"/>
    <w:rsid w:val="00D63018"/>
    <w:rsid w:val="00D6523D"/>
    <w:rsid w:val="00D66A11"/>
    <w:rsid w:val="00D71CD2"/>
    <w:rsid w:val="00D72FBA"/>
    <w:rsid w:val="00D85E12"/>
    <w:rsid w:val="00D86FA7"/>
    <w:rsid w:val="00D87969"/>
    <w:rsid w:val="00D92459"/>
    <w:rsid w:val="00D939F5"/>
    <w:rsid w:val="00D9605D"/>
    <w:rsid w:val="00D9765B"/>
    <w:rsid w:val="00DA0D05"/>
    <w:rsid w:val="00DA4419"/>
    <w:rsid w:val="00DA4FC7"/>
    <w:rsid w:val="00DA5B6D"/>
    <w:rsid w:val="00DA5FBE"/>
    <w:rsid w:val="00DB349E"/>
    <w:rsid w:val="00DB34E0"/>
    <w:rsid w:val="00DB48A8"/>
    <w:rsid w:val="00DB6337"/>
    <w:rsid w:val="00DC4CB8"/>
    <w:rsid w:val="00DD40A3"/>
    <w:rsid w:val="00DE11A5"/>
    <w:rsid w:val="00DE5802"/>
    <w:rsid w:val="00DE7666"/>
    <w:rsid w:val="00DE78FB"/>
    <w:rsid w:val="00DF1815"/>
    <w:rsid w:val="00DF29D7"/>
    <w:rsid w:val="00E0367F"/>
    <w:rsid w:val="00E03FDB"/>
    <w:rsid w:val="00E0405A"/>
    <w:rsid w:val="00E06497"/>
    <w:rsid w:val="00E16B44"/>
    <w:rsid w:val="00E2103C"/>
    <w:rsid w:val="00E21FEF"/>
    <w:rsid w:val="00E24AE5"/>
    <w:rsid w:val="00E2606F"/>
    <w:rsid w:val="00E26291"/>
    <w:rsid w:val="00E27A49"/>
    <w:rsid w:val="00E31514"/>
    <w:rsid w:val="00E3156F"/>
    <w:rsid w:val="00E33B9C"/>
    <w:rsid w:val="00E34462"/>
    <w:rsid w:val="00E354AC"/>
    <w:rsid w:val="00E37A6E"/>
    <w:rsid w:val="00E37D14"/>
    <w:rsid w:val="00E4256F"/>
    <w:rsid w:val="00E458AB"/>
    <w:rsid w:val="00E4712A"/>
    <w:rsid w:val="00E4751E"/>
    <w:rsid w:val="00E47AB9"/>
    <w:rsid w:val="00E50495"/>
    <w:rsid w:val="00E5357C"/>
    <w:rsid w:val="00E539F8"/>
    <w:rsid w:val="00E56532"/>
    <w:rsid w:val="00E570BB"/>
    <w:rsid w:val="00E57F6A"/>
    <w:rsid w:val="00E60875"/>
    <w:rsid w:val="00E64582"/>
    <w:rsid w:val="00E651C4"/>
    <w:rsid w:val="00E66E6E"/>
    <w:rsid w:val="00E76BAD"/>
    <w:rsid w:val="00E76F45"/>
    <w:rsid w:val="00E77FD7"/>
    <w:rsid w:val="00E81383"/>
    <w:rsid w:val="00E81930"/>
    <w:rsid w:val="00E84BAA"/>
    <w:rsid w:val="00E8572A"/>
    <w:rsid w:val="00E8659A"/>
    <w:rsid w:val="00E866EF"/>
    <w:rsid w:val="00E922F2"/>
    <w:rsid w:val="00E94B3D"/>
    <w:rsid w:val="00E96D02"/>
    <w:rsid w:val="00EA519B"/>
    <w:rsid w:val="00EA5A80"/>
    <w:rsid w:val="00EA6E78"/>
    <w:rsid w:val="00EB070D"/>
    <w:rsid w:val="00EB0F0C"/>
    <w:rsid w:val="00EB2759"/>
    <w:rsid w:val="00EB6B67"/>
    <w:rsid w:val="00EB6BC0"/>
    <w:rsid w:val="00EB6CE8"/>
    <w:rsid w:val="00EC02FE"/>
    <w:rsid w:val="00EC543F"/>
    <w:rsid w:val="00ED1C8F"/>
    <w:rsid w:val="00ED716A"/>
    <w:rsid w:val="00EE5C51"/>
    <w:rsid w:val="00EF180C"/>
    <w:rsid w:val="00EF2622"/>
    <w:rsid w:val="00EF79FB"/>
    <w:rsid w:val="00F05002"/>
    <w:rsid w:val="00F07169"/>
    <w:rsid w:val="00F07569"/>
    <w:rsid w:val="00F07E40"/>
    <w:rsid w:val="00F13CE0"/>
    <w:rsid w:val="00F13DD0"/>
    <w:rsid w:val="00F170C5"/>
    <w:rsid w:val="00F206D6"/>
    <w:rsid w:val="00F221FE"/>
    <w:rsid w:val="00F22975"/>
    <w:rsid w:val="00F2794E"/>
    <w:rsid w:val="00F30705"/>
    <w:rsid w:val="00F365D1"/>
    <w:rsid w:val="00F36603"/>
    <w:rsid w:val="00F40EF2"/>
    <w:rsid w:val="00F40F6D"/>
    <w:rsid w:val="00F45CB8"/>
    <w:rsid w:val="00F4748F"/>
    <w:rsid w:val="00F52E1D"/>
    <w:rsid w:val="00F55C9E"/>
    <w:rsid w:val="00F608A9"/>
    <w:rsid w:val="00F613F8"/>
    <w:rsid w:val="00F63D67"/>
    <w:rsid w:val="00F64E24"/>
    <w:rsid w:val="00F65298"/>
    <w:rsid w:val="00F6670D"/>
    <w:rsid w:val="00F6743E"/>
    <w:rsid w:val="00F72EB1"/>
    <w:rsid w:val="00F73492"/>
    <w:rsid w:val="00F75061"/>
    <w:rsid w:val="00F7603C"/>
    <w:rsid w:val="00F82116"/>
    <w:rsid w:val="00F900B5"/>
    <w:rsid w:val="00F91160"/>
    <w:rsid w:val="00F919F9"/>
    <w:rsid w:val="00F94E0B"/>
    <w:rsid w:val="00F97C94"/>
    <w:rsid w:val="00FA2683"/>
    <w:rsid w:val="00FB37A4"/>
    <w:rsid w:val="00FB624C"/>
    <w:rsid w:val="00FC30B8"/>
    <w:rsid w:val="00FC5CF3"/>
    <w:rsid w:val="00FD086F"/>
    <w:rsid w:val="00FE021B"/>
    <w:rsid w:val="00FE57EB"/>
    <w:rsid w:val="00FE5839"/>
    <w:rsid w:val="00FE680A"/>
    <w:rsid w:val="00FE6B79"/>
    <w:rsid w:val="00FF5196"/>
    <w:rsid w:val="00FF530B"/>
    <w:rsid w:val="00FF5408"/>
    <w:rsid w:val="00FF5BE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99BDB0B"/>
  <w15:docId w15:val="{7A10500E-1E8D-4FF5-B998-5A86EF6CF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34DFE"/>
    <w:rPr>
      <w:sz w:val="24"/>
      <w:szCs w:val="24"/>
    </w:rPr>
  </w:style>
  <w:style w:type="paragraph" w:styleId="Heading1">
    <w:name w:val="heading 1"/>
    <w:basedOn w:val="Normal"/>
    <w:next w:val="Normal"/>
    <w:qFormat/>
    <w:rsid w:val="00C75B3B"/>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C75B3B"/>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1"/>
    <w:basedOn w:val="Normal"/>
    <w:rsid w:val="00834DFE"/>
    <w:pPr>
      <w:autoSpaceDE w:val="0"/>
      <w:autoSpaceDN w:val="0"/>
      <w:ind w:left="720" w:hanging="720"/>
    </w:pPr>
  </w:style>
  <w:style w:type="character" w:customStyle="1" w:styleId="question">
    <w:name w:val="question"/>
    <w:rsid w:val="00834DFE"/>
    <w:rPr>
      <w:b/>
      <w:bCs/>
    </w:rPr>
  </w:style>
  <w:style w:type="character" w:customStyle="1" w:styleId="tabletophe">
    <w:name w:val="tabletophe"/>
    <w:rsid w:val="00834DFE"/>
    <w:rPr>
      <w:b/>
      <w:bCs/>
    </w:rPr>
  </w:style>
  <w:style w:type="paragraph" w:styleId="List">
    <w:name w:val="List"/>
    <w:basedOn w:val="Normal"/>
    <w:rsid w:val="00C75B3B"/>
    <w:pPr>
      <w:ind w:left="360" w:hanging="360"/>
    </w:pPr>
  </w:style>
  <w:style w:type="paragraph" w:styleId="List2">
    <w:name w:val="List 2"/>
    <w:basedOn w:val="Normal"/>
    <w:rsid w:val="00C75B3B"/>
    <w:pPr>
      <w:ind w:left="720" w:hanging="360"/>
    </w:pPr>
  </w:style>
  <w:style w:type="paragraph" w:styleId="ListBullet2">
    <w:name w:val="List Bullet 2"/>
    <w:basedOn w:val="Normal"/>
    <w:autoRedefine/>
    <w:rsid w:val="00C75B3B"/>
    <w:pPr>
      <w:numPr>
        <w:numId w:val="1"/>
      </w:numPr>
    </w:pPr>
  </w:style>
  <w:style w:type="paragraph" w:styleId="ListBullet3">
    <w:name w:val="List Bullet 3"/>
    <w:basedOn w:val="Normal"/>
    <w:autoRedefine/>
    <w:rsid w:val="00C75B3B"/>
    <w:pPr>
      <w:numPr>
        <w:numId w:val="2"/>
      </w:numPr>
    </w:pPr>
  </w:style>
  <w:style w:type="paragraph" w:styleId="ListContinue">
    <w:name w:val="List Continue"/>
    <w:basedOn w:val="Normal"/>
    <w:rsid w:val="00C75B3B"/>
    <w:pPr>
      <w:spacing w:after="120"/>
      <w:ind w:left="360"/>
    </w:pPr>
  </w:style>
  <w:style w:type="paragraph" w:styleId="ListContinue2">
    <w:name w:val="List Continue 2"/>
    <w:basedOn w:val="Normal"/>
    <w:rsid w:val="00C75B3B"/>
    <w:pPr>
      <w:spacing w:after="120"/>
      <w:ind w:left="720"/>
    </w:pPr>
  </w:style>
  <w:style w:type="paragraph" w:styleId="BodyText">
    <w:name w:val="Body Text"/>
    <w:basedOn w:val="Normal"/>
    <w:link w:val="BodyTextChar"/>
    <w:rsid w:val="00C75B3B"/>
    <w:pPr>
      <w:spacing w:after="120"/>
    </w:pPr>
  </w:style>
  <w:style w:type="paragraph" w:styleId="BodyTextIndent">
    <w:name w:val="Body Text Indent"/>
    <w:basedOn w:val="Normal"/>
    <w:rsid w:val="00C75B3B"/>
    <w:pPr>
      <w:spacing w:after="120"/>
      <w:ind w:left="360"/>
    </w:pPr>
  </w:style>
  <w:style w:type="paragraph" w:styleId="Footer">
    <w:name w:val="footer"/>
    <w:basedOn w:val="Normal"/>
    <w:link w:val="FooterChar"/>
    <w:uiPriority w:val="99"/>
    <w:rsid w:val="00C75B3B"/>
    <w:pPr>
      <w:tabs>
        <w:tab w:val="center" w:pos="4320"/>
        <w:tab w:val="right" w:pos="8640"/>
      </w:tabs>
    </w:pPr>
  </w:style>
  <w:style w:type="character" w:styleId="PageNumber">
    <w:name w:val="page number"/>
    <w:basedOn w:val="DefaultParagraphFont"/>
    <w:rsid w:val="00C75B3B"/>
  </w:style>
  <w:style w:type="paragraph" w:styleId="BalloonText">
    <w:name w:val="Balloon Text"/>
    <w:basedOn w:val="Normal"/>
    <w:semiHidden/>
    <w:rsid w:val="009A540C"/>
    <w:rPr>
      <w:rFonts w:ascii="Tahoma" w:hAnsi="Tahoma" w:cs="Tahoma"/>
      <w:sz w:val="16"/>
      <w:szCs w:val="16"/>
    </w:rPr>
  </w:style>
  <w:style w:type="paragraph" w:styleId="Header">
    <w:name w:val="header"/>
    <w:basedOn w:val="Normal"/>
    <w:link w:val="HeaderChar"/>
    <w:uiPriority w:val="99"/>
    <w:rsid w:val="00D104A2"/>
    <w:pPr>
      <w:tabs>
        <w:tab w:val="center" w:pos="4320"/>
        <w:tab w:val="right" w:pos="8640"/>
      </w:tabs>
    </w:pPr>
  </w:style>
  <w:style w:type="paragraph" w:customStyle="1" w:styleId="Normalsingle">
    <w:name w:val="Normal single"/>
    <w:basedOn w:val="Normal"/>
    <w:rsid w:val="006D3CA1"/>
    <w:pPr>
      <w:tabs>
        <w:tab w:val="left" w:pos="576"/>
        <w:tab w:val="left" w:pos="864"/>
        <w:tab w:val="left" w:pos="1152"/>
      </w:tabs>
      <w:spacing w:after="187" w:line="240" w:lineRule="atLeast"/>
    </w:pPr>
    <w:rPr>
      <w:rFonts w:ascii="CG Times" w:hAnsi="CG Times"/>
      <w:szCs w:val="20"/>
    </w:rPr>
  </w:style>
  <w:style w:type="character" w:customStyle="1" w:styleId="HeaderChar">
    <w:name w:val="Header Char"/>
    <w:link w:val="Header"/>
    <w:uiPriority w:val="99"/>
    <w:rsid w:val="00C8258F"/>
    <w:rPr>
      <w:sz w:val="24"/>
      <w:szCs w:val="24"/>
    </w:rPr>
  </w:style>
  <w:style w:type="character" w:styleId="CommentReference">
    <w:name w:val="annotation reference"/>
    <w:uiPriority w:val="99"/>
    <w:rsid w:val="00D12F93"/>
    <w:rPr>
      <w:sz w:val="16"/>
      <w:szCs w:val="16"/>
    </w:rPr>
  </w:style>
  <w:style w:type="paragraph" w:styleId="CommentText">
    <w:name w:val="annotation text"/>
    <w:basedOn w:val="Normal"/>
    <w:link w:val="CommentTextChar"/>
    <w:uiPriority w:val="99"/>
    <w:rsid w:val="00D12F93"/>
    <w:rPr>
      <w:sz w:val="20"/>
      <w:szCs w:val="20"/>
    </w:rPr>
  </w:style>
  <w:style w:type="character" w:customStyle="1" w:styleId="CommentTextChar">
    <w:name w:val="Comment Text Char"/>
    <w:basedOn w:val="DefaultParagraphFont"/>
    <w:link w:val="CommentText"/>
    <w:uiPriority w:val="99"/>
    <w:rsid w:val="00D12F93"/>
  </w:style>
  <w:style w:type="character" w:styleId="Hyperlink">
    <w:name w:val="Hyperlink"/>
    <w:rsid w:val="00D12F93"/>
    <w:rPr>
      <w:color w:val="0000FF"/>
      <w:u w:val="single"/>
    </w:rPr>
  </w:style>
  <w:style w:type="paragraph" w:styleId="Revision">
    <w:name w:val="Revision"/>
    <w:hidden/>
    <w:uiPriority w:val="99"/>
    <w:semiHidden/>
    <w:rsid w:val="00567CC6"/>
    <w:rPr>
      <w:sz w:val="24"/>
      <w:szCs w:val="24"/>
    </w:rPr>
  </w:style>
  <w:style w:type="paragraph" w:styleId="CommentSubject">
    <w:name w:val="annotation subject"/>
    <w:basedOn w:val="CommentText"/>
    <w:next w:val="CommentText"/>
    <w:link w:val="CommentSubjectChar"/>
    <w:rsid w:val="00D66A11"/>
    <w:rPr>
      <w:b/>
      <w:bCs/>
    </w:rPr>
  </w:style>
  <w:style w:type="character" w:customStyle="1" w:styleId="CommentSubjectChar">
    <w:name w:val="Comment Subject Char"/>
    <w:link w:val="CommentSubject"/>
    <w:rsid w:val="00D66A11"/>
    <w:rPr>
      <w:b/>
      <w:bCs/>
    </w:rPr>
  </w:style>
  <w:style w:type="character" w:styleId="Strong">
    <w:name w:val="Strong"/>
    <w:qFormat/>
    <w:rsid w:val="005C30E6"/>
    <w:rPr>
      <w:b/>
      <w:bCs/>
    </w:rPr>
  </w:style>
  <w:style w:type="paragraph" w:styleId="ListParagraph">
    <w:name w:val="List Paragraph"/>
    <w:basedOn w:val="Normal"/>
    <w:uiPriority w:val="34"/>
    <w:qFormat/>
    <w:rsid w:val="00AD4964"/>
    <w:pPr>
      <w:ind w:left="720"/>
      <w:contextualSpacing/>
    </w:pPr>
  </w:style>
  <w:style w:type="character" w:styleId="FollowedHyperlink">
    <w:name w:val="FollowedHyperlink"/>
    <w:semiHidden/>
    <w:unhideWhenUsed/>
    <w:rsid w:val="00A32A84"/>
    <w:rPr>
      <w:color w:val="800080"/>
      <w:u w:val="single"/>
    </w:rPr>
  </w:style>
  <w:style w:type="paragraph" w:styleId="HTMLTopofForm">
    <w:name w:val="HTML Top of Form"/>
    <w:basedOn w:val="Normal"/>
    <w:next w:val="Normal"/>
    <w:link w:val="z-TopofFormChar"/>
    <w:hidden/>
    <w:uiPriority w:val="99"/>
    <w:semiHidden/>
    <w:unhideWhenUsed/>
    <w:rsid w:val="009D4D9C"/>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HTMLTopofForm"/>
    <w:uiPriority w:val="99"/>
    <w:semiHidden/>
    <w:rsid w:val="009D4D9C"/>
    <w:rPr>
      <w:rFonts w:ascii="Arial" w:hAnsi="Arial" w:cs="Arial"/>
      <w:vanish/>
      <w:sz w:val="16"/>
      <w:szCs w:val="16"/>
    </w:rPr>
  </w:style>
  <w:style w:type="paragraph" w:styleId="HTMLBottomofForm">
    <w:name w:val="HTML Bottom of Form"/>
    <w:basedOn w:val="Normal"/>
    <w:next w:val="Normal"/>
    <w:link w:val="z-BottomofFormChar"/>
    <w:hidden/>
    <w:uiPriority w:val="99"/>
    <w:semiHidden/>
    <w:unhideWhenUsed/>
    <w:rsid w:val="009D4D9C"/>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HTMLBottomofForm"/>
    <w:uiPriority w:val="99"/>
    <w:semiHidden/>
    <w:rsid w:val="009D4D9C"/>
    <w:rPr>
      <w:rFonts w:ascii="Arial" w:hAnsi="Arial" w:cs="Arial"/>
      <w:vanish/>
      <w:sz w:val="16"/>
      <w:szCs w:val="16"/>
    </w:rPr>
  </w:style>
  <w:style w:type="character" w:styleId="FootnoteReference">
    <w:name w:val="footnote reference"/>
    <w:rsid w:val="00F40F6D"/>
    <w:rPr>
      <w:vertAlign w:val="superscript"/>
    </w:rPr>
  </w:style>
  <w:style w:type="paragraph" w:styleId="FootnoteText">
    <w:name w:val="footnote text"/>
    <w:basedOn w:val="Normal"/>
    <w:link w:val="FootnoteTextChar"/>
    <w:rsid w:val="00F40F6D"/>
    <w:rPr>
      <w:sz w:val="20"/>
      <w:szCs w:val="20"/>
    </w:rPr>
  </w:style>
  <w:style w:type="character" w:customStyle="1" w:styleId="FootnoteTextChar">
    <w:name w:val="Footnote Text Char"/>
    <w:basedOn w:val="DefaultParagraphFont"/>
    <w:link w:val="FootnoteText"/>
    <w:rsid w:val="00F40F6D"/>
  </w:style>
  <w:style w:type="paragraph" w:customStyle="1" w:styleId="P1-StandPara">
    <w:name w:val="P1-Stand Para"/>
    <w:rsid w:val="00F40F6D"/>
    <w:pPr>
      <w:spacing w:line="360" w:lineRule="atLeast"/>
      <w:ind w:firstLine="1152"/>
      <w:jc w:val="both"/>
    </w:pPr>
    <w:rPr>
      <w:sz w:val="22"/>
    </w:rPr>
  </w:style>
  <w:style w:type="character" w:customStyle="1" w:styleId="FooterChar">
    <w:name w:val="Footer Char"/>
    <w:basedOn w:val="DefaultParagraphFont"/>
    <w:link w:val="Footer"/>
    <w:uiPriority w:val="99"/>
    <w:rsid w:val="00C11332"/>
    <w:rPr>
      <w:sz w:val="24"/>
      <w:szCs w:val="24"/>
    </w:rPr>
  </w:style>
  <w:style w:type="character" w:customStyle="1" w:styleId="cf01">
    <w:name w:val="cf01"/>
    <w:basedOn w:val="DefaultParagraphFont"/>
    <w:rsid w:val="009048CA"/>
    <w:rPr>
      <w:rFonts w:ascii="Segoe UI" w:hAnsi="Segoe UI" w:cs="Segoe UI" w:hint="default"/>
      <w:sz w:val="18"/>
      <w:szCs w:val="18"/>
    </w:rPr>
  </w:style>
  <w:style w:type="paragraph" w:styleId="BodyTextFirstIndent">
    <w:name w:val="Body Text First Indent"/>
    <w:basedOn w:val="BodyText"/>
    <w:link w:val="BodyTextFirstIndentChar"/>
    <w:rsid w:val="00B324CD"/>
    <w:pPr>
      <w:spacing w:after="0"/>
      <w:ind w:firstLine="360"/>
    </w:pPr>
  </w:style>
  <w:style w:type="character" w:customStyle="1" w:styleId="BodyTextChar">
    <w:name w:val="Body Text Char"/>
    <w:basedOn w:val="DefaultParagraphFont"/>
    <w:link w:val="BodyText"/>
    <w:rsid w:val="00B324CD"/>
    <w:rPr>
      <w:sz w:val="24"/>
      <w:szCs w:val="24"/>
    </w:rPr>
  </w:style>
  <w:style w:type="character" w:customStyle="1" w:styleId="BodyTextFirstIndentChar">
    <w:name w:val="Body Text First Indent Char"/>
    <w:basedOn w:val="BodyTextChar"/>
    <w:link w:val="BodyTextFirstIndent"/>
    <w:uiPriority w:val="99"/>
    <w:rsid w:val="00B324C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iso-8859-1"/>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obamawhitehouse.archives.gov/sites/default/files/omb/inforeg/pmc_survey_guidance_2006.pdf" TargetMode="External" /><Relationship Id="rId2" Type="http://schemas.openxmlformats.org/officeDocument/2006/relationships/hyperlink" Target="https://www.bls.gov/oes/current/oes119151.htm" TargetMode="External" /><Relationship Id="rId3" Type="http://schemas.openxmlformats.org/officeDocument/2006/relationships/hyperlink" Target="https://www.bls.gov/oes/current/oes_nat.htm" TargetMode="External" /><Relationship Id="rId4" Type="http://schemas.openxmlformats.org/officeDocument/2006/relationships/hyperlink" Target="about:blank"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E2802AEFB5D7747A33B6E2329E24637" ma:contentTypeVersion="8" ma:contentTypeDescription="Create a new document." ma:contentTypeScope="" ma:versionID="f33faa7bc8c7554fe2b83edc3d1c8b61">
  <xsd:schema xmlns:xsd="http://www.w3.org/2001/XMLSchema" xmlns:xs="http://www.w3.org/2001/XMLSchema" xmlns:p="http://schemas.microsoft.com/office/2006/metadata/properties" xmlns:ns3="b31e9ac3-e9ea-478f-867b-1d49b715581c" targetNamespace="http://schemas.microsoft.com/office/2006/metadata/properties" ma:root="true" ma:fieldsID="0547b5c73009e31bba3c3cf9b58ae211" ns3:_="">
    <xsd:import namespace="b31e9ac3-e9ea-478f-867b-1d49b715581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1e9ac3-e9ea-478f-867b-1d49b71558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824953-4C39-4E11-B08A-C23349FA5AC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99239A9-6011-4BC6-8F4A-3596B8703FFF}">
  <ds:schemaRefs>
    <ds:schemaRef ds:uri="http://schemas.openxmlformats.org/officeDocument/2006/bibliography"/>
  </ds:schemaRefs>
</ds:datastoreItem>
</file>

<file path=customXml/itemProps3.xml><?xml version="1.0" encoding="utf-8"?>
<ds:datastoreItem xmlns:ds="http://schemas.openxmlformats.org/officeDocument/2006/customXml" ds:itemID="{F449C1B0-8775-4DBD-88FD-9E6727A18B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1e9ac3-e9ea-478f-867b-1d49b71558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7A1D7-A4A7-4454-9444-55DDAB8963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5273</Words>
  <Characters>30061</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
  <LinksUpToDate>false</LinksUpToDate>
  <CharactersWithSpaces>35264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Richard Muller</dc:creator>
  <cp:lastModifiedBy>Schifferes, Charlotte - ETA</cp:lastModifiedBy>
  <cp:revision>2</cp:revision>
  <cp:lastPrinted>2019-11-29T19:56:00Z</cp:lastPrinted>
  <dcterms:created xsi:type="dcterms:W3CDTF">2023-05-08T23:11:00Z</dcterms:created>
  <dcterms:modified xsi:type="dcterms:W3CDTF">2023-05-08T23:11:00Z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0x010100EE2802AEFB5D7747A33B6E2329E24637</vt:lpwstr>
  </property>
  <property fmtid="{D5CDD505-2E9C-101B-9397-08002B2CF9AE}" pid="3" name="MSIP_Label_5d78b2ef-7ec2-484b-9195-1d837d645e4c_ActionId">
    <vt:lpwstr>95ead63f-66ef-419c-a33f-4dac1c064d8f</vt:lpwstr>
  </property>
  <property fmtid="{D5CDD505-2E9C-101B-9397-08002B2CF9AE}" pid="4" name="MSIP_Label_5d78b2ef-7ec2-484b-9195-1d837d645e4c_ContentBits">
    <vt:lpwstr>0</vt:lpwstr>
  </property>
  <property fmtid="{D5CDD505-2E9C-101B-9397-08002B2CF9AE}" pid="5" name="MSIP_Label_5d78b2ef-7ec2-484b-9195-1d837d645e4c_Enabled">
    <vt:lpwstr>true</vt:lpwstr>
  </property>
  <property fmtid="{D5CDD505-2E9C-101B-9397-08002B2CF9AE}" pid="6" name="MSIP_Label_5d78b2ef-7ec2-484b-9195-1d837d645e4c_Method">
    <vt:lpwstr>Standard</vt:lpwstr>
  </property>
  <property fmtid="{D5CDD505-2E9C-101B-9397-08002B2CF9AE}" pid="7" name="MSIP_Label_5d78b2ef-7ec2-484b-9195-1d837d645e4c_Name">
    <vt:lpwstr>General</vt:lpwstr>
  </property>
  <property fmtid="{D5CDD505-2E9C-101B-9397-08002B2CF9AE}" pid="8" name="MSIP_Label_5d78b2ef-7ec2-484b-9195-1d837d645e4c_SetDate">
    <vt:lpwstr>2023-04-20T16:09:51Z</vt:lpwstr>
  </property>
  <property fmtid="{D5CDD505-2E9C-101B-9397-08002B2CF9AE}" pid="9" name="MSIP_Label_5d78b2ef-7ec2-484b-9195-1d837d645e4c_SiteId">
    <vt:lpwstr>75a63054-7204-4e0c-9126-adab971d4aca</vt:lpwstr>
  </property>
</Properties>
</file>