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1371A5" w:rsidP="001371A5" w14:paraId="27802E00"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1371A5" w:rsidP="001371A5" w14:paraId="2DB227BF" w14:textId="77777777">
      <w:pPr>
        <w:widowControl/>
        <w:tabs>
          <w:tab w:val="left" w:pos="720"/>
        </w:tabs>
        <w:ind w:left="720" w:hanging="1440"/>
        <w:jc w:val="center"/>
        <w:rPr>
          <w:rFonts w:ascii="Times New Roman" w:hAnsi="Times New Roman"/>
          <w:b/>
          <w:bCs/>
        </w:rPr>
      </w:pPr>
      <w:r w:rsidRPr="001371A5">
        <w:rPr>
          <w:rFonts w:ascii="Times New Roman" w:hAnsi="Times New Roman"/>
          <w:b/>
          <w:bCs/>
        </w:rPr>
        <w:t xml:space="preserve">BENEFIT APPEALS REPORT </w:t>
      </w:r>
    </w:p>
    <w:p w:rsidR="001371A5" w:rsidP="001371A5" w14:paraId="2058274C" w14:textId="26A4F948">
      <w:pPr>
        <w:widowControl/>
        <w:tabs>
          <w:tab w:val="left" w:pos="720"/>
        </w:tabs>
        <w:ind w:left="720" w:hanging="1440"/>
        <w:jc w:val="center"/>
        <w:rPr>
          <w:rFonts w:ascii="Times New Roman" w:hAnsi="Times New Roman"/>
          <w:b/>
          <w:bCs/>
        </w:rPr>
      </w:pPr>
    </w:p>
    <w:p w:rsidR="00666562" w:rsidP="001371A5" w14:paraId="21FBFA94" w14:textId="77777777">
      <w:pPr>
        <w:widowControl/>
        <w:tabs>
          <w:tab w:val="left" w:pos="720"/>
        </w:tabs>
        <w:ind w:left="720" w:hanging="1440"/>
        <w:jc w:val="center"/>
        <w:rPr>
          <w:rFonts w:ascii="Times New Roman" w:hAnsi="Times New Roman"/>
          <w:b/>
          <w:bCs/>
        </w:rPr>
      </w:pPr>
    </w:p>
    <w:p w:rsidR="00690F56" w:rsidRPr="00871CA6" w:rsidP="001371A5" w14:paraId="6C3E63C8" w14:textId="26AB9AA3">
      <w:pPr>
        <w:widowControl/>
        <w:tabs>
          <w:tab w:val="left" w:pos="720"/>
        </w:tabs>
        <w:ind w:left="720" w:hanging="1440"/>
        <w:jc w:val="center"/>
        <w:rPr>
          <w:rFonts w:ascii="Times New Roman" w:hAnsi="Times New Roman"/>
          <w:b/>
          <w:bCs/>
        </w:rPr>
      </w:pPr>
      <w:r w:rsidRPr="00871CA6">
        <w:rPr>
          <w:rFonts w:ascii="Times New Roman" w:hAnsi="Times New Roman"/>
          <w:b/>
          <w:bCs/>
        </w:rPr>
        <w:t xml:space="preserve">OMBCONTROL NO. </w:t>
      </w:r>
      <w:r w:rsidRPr="001371A5" w:rsidR="001371A5">
        <w:rPr>
          <w:rFonts w:ascii="Times New Roman" w:hAnsi="Times New Roman"/>
          <w:b/>
          <w:bCs/>
        </w:rPr>
        <w:t>1205-0172</w:t>
      </w:r>
    </w:p>
    <w:p w:rsidR="00530EBD" w:rsidRPr="00D53DEB" w:rsidP="00116CD5" w14:paraId="3086E90B" w14:textId="77777777">
      <w:pPr>
        <w:widowControl/>
        <w:jc w:val="center"/>
        <w:rPr>
          <w:rFonts w:ascii="Times New Roman" w:hAnsi="Times New Roman"/>
          <w:bCs/>
        </w:rPr>
      </w:pPr>
    </w:p>
    <w:p w:rsidR="000B6FB6" w:rsidP="00690F56" w14:paraId="1CF8A88F" w14:textId="10B879D3">
      <w:pPr>
        <w:widowControl/>
        <w:rPr>
          <w:rFonts w:ascii="Times New Roman" w:hAnsi="Times New Roman"/>
          <w:bCs/>
        </w:rPr>
      </w:pPr>
      <w:r w:rsidRPr="0008132B">
        <w:rPr>
          <w:rFonts w:ascii="Times New Roman" w:hAnsi="Times New Roman"/>
          <w:bCs/>
        </w:rPr>
        <w:t>Th</w:t>
      </w:r>
      <w:r w:rsidR="00290467">
        <w:rPr>
          <w:rFonts w:ascii="Times New Roman" w:hAnsi="Times New Roman"/>
          <w:bCs/>
        </w:rPr>
        <w:t>is</w:t>
      </w:r>
      <w:r w:rsidR="00681494">
        <w:rPr>
          <w:rFonts w:ascii="Times New Roman" w:hAnsi="Times New Roman"/>
          <w:bCs/>
        </w:rPr>
        <w:t xml:space="preserve"> </w:t>
      </w:r>
      <w:r w:rsidR="00290467">
        <w:rPr>
          <w:rFonts w:ascii="Times New Roman" w:hAnsi="Times New Roman"/>
          <w:bCs/>
        </w:rPr>
        <w:t>Information Collection Request (ICR) request an extension</w:t>
      </w:r>
      <w:r w:rsidR="00A15CF9">
        <w:rPr>
          <w:rFonts w:ascii="Times New Roman" w:hAnsi="Times New Roman"/>
          <w:bCs/>
        </w:rPr>
        <w:t xml:space="preserve"> for </w:t>
      </w:r>
      <w:r w:rsidRPr="0008132B">
        <w:rPr>
          <w:rFonts w:ascii="Times New Roman" w:hAnsi="Times New Roman"/>
          <w:bCs/>
        </w:rPr>
        <w:t>Benefit Appeals Report</w:t>
      </w:r>
      <w:r w:rsidR="00A15CF9">
        <w:rPr>
          <w:rFonts w:ascii="Times New Roman" w:hAnsi="Times New Roman"/>
          <w:bCs/>
        </w:rPr>
        <w:t>.</w:t>
      </w:r>
    </w:p>
    <w:p w:rsidR="005E1E88" w:rsidRPr="00A47DA7" w:rsidP="00690F56" w14:paraId="39862E3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690F56" w:rsidRPr="00D53DEB" w:rsidP="00690F56" w14:paraId="099BCB32" w14:textId="77777777">
      <w:pPr>
        <w:widowControl/>
        <w:rPr>
          <w:rFonts w:ascii="Times New Roman" w:hAnsi="Times New Roman"/>
        </w:rPr>
      </w:pPr>
      <w:r w:rsidRPr="00D53DEB">
        <w:rPr>
          <w:rFonts w:ascii="Times New Roman" w:hAnsi="Times New Roman"/>
          <w:b/>
          <w:bCs/>
        </w:rPr>
        <w:t xml:space="preserve">1.  Explain the circumstances that make the collection of </w:t>
      </w:r>
      <w:r w:rsidRPr="00D53DEB">
        <w:rPr>
          <w:rFonts w:ascii="Times New Roman" w:hAnsi="Times New Roman"/>
          <w:b/>
          <w:bCs/>
        </w:rPr>
        <w:t>information necessary.  Identify any legal or administrative requirements that necessitate the collection.  Attach a copy of the appropriate section of each statute and regulation mandating or authorizing the collection of information.</w:t>
      </w:r>
    </w:p>
    <w:p w:rsidR="00690F56" w:rsidP="00690F56" w14:paraId="38CEE6AD" w14:textId="6A145D16">
      <w:pPr>
        <w:widowControl/>
        <w:rPr>
          <w:rFonts w:ascii="Times New Roman" w:hAnsi="Times New Roman"/>
        </w:rPr>
      </w:pPr>
    </w:p>
    <w:p w:rsidR="004A22A9" w:rsidRPr="004A22A9" w:rsidP="004A22A9" w14:paraId="6263253D" w14:textId="632EC311">
      <w:pPr>
        <w:widowControl/>
        <w:rPr>
          <w:rFonts w:ascii="Times New Roman" w:hAnsi="Times New Roman"/>
        </w:rPr>
      </w:pPr>
      <w:r w:rsidRPr="004A22A9">
        <w:rPr>
          <w:rFonts w:ascii="Times New Roman" w:hAnsi="Times New Roman"/>
        </w:rPr>
        <w:t>The ETA 5130, Benef</w:t>
      </w:r>
      <w:r w:rsidRPr="004A22A9">
        <w:rPr>
          <w:rFonts w:ascii="Times New Roman" w:hAnsi="Times New Roman"/>
        </w:rPr>
        <w:t>it Appeals Report, contains information on the number of appeals and the resultant decisions classified by program, appeal level, cases filed and disposed of (workload flow), and decisions by level, appellant and issue.  The data on this form are used to m</w:t>
      </w:r>
      <w:r w:rsidRPr="004A22A9">
        <w:rPr>
          <w:rFonts w:ascii="Times New Roman" w:hAnsi="Times New Roman"/>
        </w:rPr>
        <w:t xml:space="preserve">onitor the benefit appeals process in the state workforce agencies (SWAs).  The authority to collect this information is covered under the Social Security Act </w:t>
      </w:r>
      <w:r>
        <w:rPr>
          <w:rFonts w:ascii="Times New Roman" w:hAnsi="Times New Roman"/>
        </w:rPr>
        <w:t xml:space="preserve">42 </w:t>
      </w:r>
      <w:r w:rsidRPr="004A22A9">
        <w:rPr>
          <w:rFonts w:ascii="Times New Roman" w:hAnsi="Times New Roman"/>
        </w:rPr>
        <w:t>U.S.C</w:t>
      </w:r>
      <w:r>
        <w:rPr>
          <w:rFonts w:ascii="Times New Roman" w:hAnsi="Times New Roman"/>
        </w:rPr>
        <w:t xml:space="preserve">. </w:t>
      </w:r>
      <w:r w:rsidRPr="004A22A9">
        <w:rPr>
          <w:rFonts w:ascii="Times New Roman" w:hAnsi="Times New Roman"/>
        </w:rPr>
        <w:t>503(a)(6).</w:t>
      </w:r>
    </w:p>
    <w:p w:rsidR="004A22A9" w:rsidRPr="004A22A9" w:rsidP="004A22A9" w14:paraId="1098852E" w14:textId="77777777">
      <w:pPr>
        <w:widowControl/>
        <w:rPr>
          <w:rFonts w:ascii="Times New Roman" w:hAnsi="Times New Roman"/>
        </w:rPr>
      </w:pPr>
    </w:p>
    <w:p w:rsidR="004A22A9" w:rsidRPr="004A22A9" w:rsidP="004A22A9" w14:paraId="4639FE64" w14:textId="77777777">
      <w:pPr>
        <w:widowControl/>
        <w:rPr>
          <w:rFonts w:ascii="Times New Roman" w:hAnsi="Times New Roman"/>
        </w:rPr>
      </w:pPr>
      <w:r w:rsidRPr="004A22A9">
        <w:rPr>
          <w:rFonts w:ascii="Times New Roman" w:hAnsi="Times New Roman"/>
        </w:rPr>
        <w:t>Section A. Single Claimant and Multi-Claimant Appeals Case Decisions by Pr</w:t>
      </w:r>
      <w:r w:rsidRPr="004A22A9">
        <w:rPr>
          <w:rFonts w:ascii="Times New Roman" w:hAnsi="Times New Roman"/>
        </w:rPr>
        <w:t>ogram and Other Dispositions.  This is basic workload count by level of decision and program.  These are the figures used to determine administrative funding.  It also shows how many cases were disposed of other than by decision.  Sudden fluctuations in th</w:t>
      </w:r>
      <w:r w:rsidRPr="004A22A9">
        <w:rPr>
          <w:rFonts w:ascii="Times New Roman" w:hAnsi="Times New Roman"/>
        </w:rPr>
        <w:t>is figure alert the Office of Unemployment Insurance (OUI) to possible administrative problems.</w:t>
      </w:r>
    </w:p>
    <w:p w:rsidR="004A22A9" w:rsidRPr="004A22A9" w:rsidP="004A22A9" w14:paraId="39E12383" w14:textId="77777777">
      <w:pPr>
        <w:widowControl/>
        <w:rPr>
          <w:rFonts w:ascii="Times New Roman" w:hAnsi="Times New Roman"/>
        </w:rPr>
      </w:pPr>
    </w:p>
    <w:p w:rsidR="004A22A9" w:rsidRPr="004A22A9" w:rsidP="004A22A9" w14:paraId="0D1C229F" w14:textId="77777777">
      <w:pPr>
        <w:widowControl/>
        <w:rPr>
          <w:rFonts w:ascii="Times New Roman" w:hAnsi="Times New Roman"/>
        </w:rPr>
      </w:pPr>
      <w:r w:rsidRPr="004A22A9">
        <w:rPr>
          <w:rFonts w:ascii="Times New Roman" w:hAnsi="Times New Roman"/>
        </w:rPr>
        <w:t xml:space="preserve">Section B.  Claimants Involved in State Unemployment Insurance (UI) Appeals Cases by Status of Appeals.  This shows the flow of the workload.  By watching the </w:t>
      </w:r>
      <w:r w:rsidRPr="004A22A9">
        <w:rPr>
          <w:rFonts w:ascii="Times New Roman" w:hAnsi="Times New Roman"/>
        </w:rPr>
        <w:t>relationship among "filed during," "disposed of during," the potential for a backlog problem can be identified in time to provide technical assistance.  This is why monthly data are crucial.  A quarterly report would not allow a pattern to be identified fo</w:t>
      </w:r>
      <w:r w:rsidRPr="004A22A9">
        <w:rPr>
          <w:rFonts w:ascii="Times New Roman" w:hAnsi="Times New Roman"/>
        </w:rPr>
        <w:t xml:space="preserve">r at least two quarters.  By then the backlog could require even more remedial action, take longer to undo and have more of a potential for lawsuits, which charge that appeals decisions are untimely.  Two to three monthly reports would identify any change </w:t>
      </w:r>
      <w:r w:rsidRPr="004A22A9">
        <w:rPr>
          <w:rFonts w:ascii="Times New Roman" w:hAnsi="Times New Roman"/>
        </w:rPr>
        <w:t>in performance.</w:t>
      </w:r>
    </w:p>
    <w:p w:rsidR="004A22A9" w:rsidRPr="004A22A9" w:rsidP="004A22A9" w14:paraId="0B68F2ED" w14:textId="77777777">
      <w:pPr>
        <w:widowControl/>
        <w:rPr>
          <w:rFonts w:ascii="Times New Roman" w:hAnsi="Times New Roman"/>
        </w:rPr>
      </w:pPr>
    </w:p>
    <w:p w:rsidR="004A22A9" w:rsidRPr="004A22A9" w:rsidP="004A22A9" w14:paraId="543C144F" w14:textId="77777777">
      <w:pPr>
        <w:widowControl/>
        <w:rPr>
          <w:rFonts w:ascii="Times New Roman" w:hAnsi="Times New Roman"/>
        </w:rPr>
      </w:pPr>
      <w:r w:rsidRPr="004A22A9">
        <w:rPr>
          <w:rFonts w:ascii="Times New Roman" w:hAnsi="Times New Roman"/>
        </w:rPr>
        <w:t>Section C.  State UI Appeals Decisions by Type of Appellant.  This shows if there are high rates of reversals that could indicate problems in the way decisions are made at the lower level.  This could mean higher workload levels and, there</w:t>
      </w:r>
      <w:r w:rsidRPr="004A22A9">
        <w:rPr>
          <w:rFonts w:ascii="Times New Roman" w:hAnsi="Times New Roman"/>
        </w:rPr>
        <w:t>fore, higher administrative costs.  This section also indicates which party is the appellant and would show patterns in the types of decisions made.</w:t>
      </w:r>
    </w:p>
    <w:p w:rsidR="004A22A9" w:rsidRPr="004A22A9" w:rsidP="004A22A9" w14:paraId="1FE40CF8" w14:textId="77777777">
      <w:pPr>
        <w:widowControl/>
        <w:rPr>
          <w:rFonts w:ascii="Times New Roman" w:hAnsi="Times New Roman"/>
        </w:rPr>
      </w:pPr>
    </w:p>
    <w:p w:rsidR="004A22A9" w:rsidRPr="004A22A9" w:rsidP="004A22A9" w14:paraId="0AD239A6" w14:textId="77777777">
      <w:pPr>
        <w:widowControl/>
        <w:rPr>
          <w:rFonts w:ascii="Times New Roman" w:hAnsi="Times New Roman"/>
        </w:rPr>
      </w:pPr>
      <w:r w:rsidRPr="004A22A9">
        <w:rPr>
          <w:rFonts w:ascii="Times New Roman" w:hAnsi="Times New Roman"/>
        </w:rPr>
        <w:t xml:space="preserve">Section D.  Number of Lower Authority State UI Appeals Decisions by Issue.  This shows which issue was </w:t>
      </w:r>
      <w:r w:rsidRPr="004A22A9">
        <w:rPr>
          <w:rFonts w:ascii="Times New Roman" w:hAnsi="Times New Roman"/>
        </w:rPr>
        <w:t>involved in the cases appealed.  The data indicate patterns of decisions that can result in higher workload and therefore higher costs to the Federal government.</w:t>
      </w:r>
    </w:p>
    <w:p w:rsidR="004A22A9" w:rsidRPr="004A22A9" w:rsidP="004A22A9" w14:paraId="3DFA4795" w14:textId="77777777">
      <w:pPr>
        <w:widowControl/>
        <w:rPr>
          <w:rFonts w:ascii="Times New Roman" w:hAnsi="Times New Roman"/>
        </w:rPr>
      </w:pPr>
    </w:p>
    <w:p w:rsidR="00690F56" w:rsidP="004A22A9" w14:paraId="74744673" w14:textId="17E4BBA8">
      <w:pPr>
        <w:widowControl/>
        <w:rPr>
          <w:rFonts w:ascii="Times New Roman" w:hAnsi="Times New Roman"/>
        </w:rPr>
      </w:pPr>
      <w:r w:rsidRPr="004A22A9">
        <w:rPr>
          <w:rFonts w:ascii="Times New Roman" w:hAnsi="Times New Roman"/>
        </w:rPr>
        <w:t>This collection is authorized under the Social Security Act, Section 303(a)(6).</w:t>
      </w:r>
    </w:p>
    <w:p w:rsidR="004A22A9" w:rsidRPr="00D53DEB" w:rsidP="004A22A9" w14:paraId="3CFFE443" w14:textId="77777777">
      <w:pPr>
        <w:widowControl/>
        <w:rPr>
          <w:rFonts w:ascii="Times New Roman" w:hAnsi="Times New Roman"/>
        </w:rPr>
      </w:pPr>
    </w:p>
    <w:p w:rsidR="00690F56" w:rsidP="00690F56" w14:paraId="2BBF8E2F" w14:textId="1ACB3470">
      <w:pPr>
        <w:widowControl/>
        <w:rPr>
          <w:rFonts w:ascii="Times New Roman" w:hAnsi="Times New Roman"/>
          <w:b/>
          <w:bCs/>
        </w:rPr>
      </w:pPr>
      <w:r w:rsidRPr="00D53DEB">
        <w:rPr>
          <w:rFonts w:ascii="Times New Roman" w:hAnsi="Times New Roman"/>
          <w:b/>
          <w:bCs/>
        </w:rPr>
        <w:t xml:space="preserve"> 2.  Indicat</w:t>
      </w:r>
      <w:r w:rsidRPr="00D53DEB">
        <w:rPr>
          <w:rFonts w:ascii="Times New Roman" w:hAnsi="Times New Roman"/>
          <w:b/>
          <w:bCs/>
        </w:rPr>
        <w:t>e how, by whom, and for what purpose the information is to be used.  Except for a new collection, indicate the actual use the agency has made of the information received from the current collection.</w:t>
      </w:r>
    </w:p>
    <w:p w:rsidR="00CC49BB" w:rsidP="00690F56" w14:paraId="00A7786D" w14:textId="33C39B15">
      <w:pPr>
        <w:widowControl/>
        <w:rPr>
          <w:rFonts w:ascii="Times New Roman" w:hAnsi="Times New Roman"/>
          <w:b/>
          <w:bCs/>
        </w:rPr>
      </w:pPr>
    </w:p>
    <w:p w:rsidR="00CC49BB" w:rsidRPr="00CC49BB" w:rsidP="00CC49BB" w14:paraId="04BCDAB1" w14:textId="77777777">
      <w:pPr>
        <w:widowControl/>
        <w:rPr>
          <w:rFonts w:ascii="Times New Roman" w:hAnsi="Times New Roman"/>
        </w:rPr>
      </w:pPr>
      <w:r w:rsidRPr="00CC49BB">
        <w:rPr>
          <w:rFonts w:ascii="Times New Roman" w:hAnsi="Times New Roman"/>
        </w:rPr>
        <w:t>These data are used by both the Regional and National Of</w:t>
      </w:r>
      <w:r w:rsidRPr="00CC49BB">
        <w:rPr>
          <w:rFonts w:ascii="Times New Roman" w:hAnsi="Times New Roman"/>
        </w:rPr>
        <w:t>fice OUI staff to monitor state appeals processes and to develop plans for remedial action.  The report is also needed for workload budgeting figures.</w:t>
      </w:r>
    </w:p>
    <w:p w:rsidR="00CC49BB" w:rsidRPr="00CC49BB" w:rsidP="00CC49BB" w14:paraId="5C1E6029" w14:textId="77777777">
      <w:pPr>
        <w:widowControl/>
        <w:rPr>
          <w:rFonts w:ascii="Times New Roman" w:hAnsi="Times New Roman"/>
        </w:rPr>
      </w:pPr>
    </w:p>
    <w:p w:rsidR="00CC49BB" w:rsidRPr="00CC49BB" w:rsidP="00CC49BB" w14:paraId="145BF703" w14:textId="77777777">
      <w:pPr>
        <w:widowControl/>
        <w:rPr>
          <w:rFonts w:ascii="Times New Roman" w:hAnsi="Times New Roman"/>
        </w:rPr>
      </w:pPr>
      <w:r w:rsidRPr="00CC49BB">
        <w:rPr>
          <w:rFonts w:ascii="Times New Roman" w:hAnsi="Times New Roman"/>
        </w:rPr>
        <w:t xml:space="preserve">If this information were not available, problems that arise might not be discovered in a timely manner, </w:t>
      </w:r>
      <w:r w:rsidRPr="00CC49BB">
        <w:rPr>
          <w:rFonts w:ascii="Times New Roman" w:hAnsi="Times New Roman"/>
        </w:rPr>
        <w:t>leaving the only solutions available to be those efforts that are very time-consuming and costly.  The inability to discover problems in a timely manner might also increase the chances of the state being open to lawsuits concerning due process and prompt p</w:t>
      </w:r>
      <w:r w:rsidRPr="00CC49BB">
        <w:rPr>
          <w:rFonts w:ascii="Times New Roman" w:hAnsi="Times New Roman"/>
        </w:rPr>
        <w:t>ayment of benefits.</w:t>
      </w:r>
    </w:p>
    <w:p w:rsidR="00CC49BB" w:rsidRPr="00CC49BB" w:rsidP="00CC49BB" w14:paraId="271FFA12" w14:textId="77777777">
      <w:pPr>
        <w:widowControl/>
        <w:rPr>
          <w:rFonts w:ascii="Times New Roman" w:hAnsi="Times New Roman"/>
        </w:rPr>
      </w:pPr>
    </w:p>
    <w:p w:rsidR="00CC49BB" w:rsidRPr="00D53DEB" w:rsidP="00CC49BB" w14:paraId="722131EB" w14:textId="10C93F10">
      <w:pPr>
        <w:widowControl/>
        <w:rPr>
          <w:rFonts w:ascii="Times New Roman" w:hAnsi="Times New Roman"/>
        </w:rPr>
      </w:pPr>
      <w:r w:rsidRPr="00CC49BB">
        <w:rPr>
          <w:rFonts w:ascii="Times New Roman" w:hAnsi="Times New Roman"/>
        </w:rPr>
        <w:t>Again, monthly data allow OUI to identify changes in performance early and to offer assistance, if necessary, before a problem gets out-of-hand.</w:t>
      </w:r>
    </w:p>
    <w:p w:rsidR="00690F56" w:rsidRPr="00A47DA7" w:rsidP="00690F56" w14:paraId="6EBE63D5" w14:textId="77777777">
      <w:pPr>
        <w:widowControl/>
        <w:rPr>
          <w:rFonts w:ascii="Times New Roman" w:hAnsi="Times New Roman"/>
          <w:u w:val="single"/>
        </w:rPr>
      </w:pPr>
    </w:p>
    <w:p w:rsidR="00690F56" w:rsidP="00690F56" w14:paraId="1908DC84" w14:textId="78E78C4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3.  Describe whether, and to what extent, the collection of information involves the use </w:t>
      </w:r>
      <w:r w:rsidRPr="00D53DEB">
        <w:rPr>
          <w:rFonts w:ascii="Times New Roman" w:hAnsi="Times New Roman"/>
          <w:b/>
          <w:bCs/>
        </w:rPr>
        <w:t>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w:t>
      </w:r>
      <w:r w:rsidRPr="00D53DEB">
        <w:rPr>
          <w:rFonts w:ascii="Times New Roman" w:hAnsi="Times New Roman"/>
          <w:b/>
          <w:bCs/>
        </w:rPr>
        <w:t>escribe any consideration of using information technology to reduce burden.</w:t>
      </w:r>
    </w:p>
    <w:p w:rsidR="00E3713D" w:rsidP="00690F56" w14:paraId="65FD4E17" w14:textId="41A9C18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783BAC" w14:paraId="04006A6E" w14:textId="7BAD7771">
      <w:pPr>
        <w:tabs>
          <w:tab w:val="left" w:pos="-1440"/>
          <w:tab w:val="left" w:pos="-720"/>
          <w:tab w:val="left" w:pos="28"/>
          <w:tab w:val="left" w:pos="547"/>
          <w:tab w:val="left" w:pos="1080"/>
          <w:tab w:val="left" w:pos="1584"/>
        </w:tabs>
        <w:jc w:val="both"/>
        <w:rPr>
          <w:rFonts w:ascii="Times New Roman" w:hAnsi="Times New Roman"/>
        </w:rPr>
      </w:pPr>
      <w:r w:rsidRPr="00E3713D">
        <w:rPr>
          <w:rFonts w:ascii="Times New Roman" w:hAnsi="Times New Roman"/>
        </w:rPr>
        <w:t>Most states have automated their appeals record keeping, data collection, and tracking processes.  As with most UI reports, this report is part of an electronic reporting system t</w:t>
      </w:r>
      <w:r w:rsidRPr="00E3713D">
        <w:rPr>
          <w:rFonts w:ascii="Times New Roman" w:hAnsi="Times New Roman"/>
        </w:rPr>
        <w:t>hrough which states enter and transmit data to the National Office. States have the option of creating a file on their own computer system and uploading it to the UI system to eliminate manual data entry and the potential for errors.</w:t>
      </w: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RPr="00A47DA7" w:rsidP="00690F56" w14:paraId="2693B8D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0C27A844" w14:textId="54DB6BA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75BDB">
        <w:rPr>
          <w:rFonts w:ascii="Times New Roman" w:hAnsi="Times New Roman"/>
        </w:rPr>
        <w:t>There is no similar information reported elsewhere.</w:t>
      </w:r>
    </w:p>
    <w:p w:rsidR="00575BDB" w:rsidRPr="00A973AA" w:rsidP="00690F56" w14:paraId="00BD148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 xml:space="preserve">If </w:t>
      </w:r>
      <w:r w:rsidRPr="00D53DEB">
        <w:rPr>
          <w:rFonts w:ascii="Times New Roman" w:hAnsi="Times New Roman"/>
          <w:b/>
          <w:bCs/>
        </w:rPr>
        <w:t>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690F56" w:rsidRPr="00A47DA7" w:rsidP="00690F56" w14:paraId="034A882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A973AA" w:rsidP="00690F56" w14:paraId="5D56A05A" w14:textId="4861DFAB">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051679">
        <w:rPr>
          <w:rFonts w:ascii="Times New Roman" w:hAnsi="Times New Roman"/>
        </w:rPr>
        <w:t>There is no impact on small businesses or other small entities.</w:t>
      </w:r>
    </w:p>
    <w:p w:rsidR="00690F56" w:rsidP="00690F56" w14:paraId="5F528885" w14:textId="6DCE812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w:t>
      </w:r>
      <w:r w:rsidRPr="00D53DEB">
        <w:rPr>
          <w:rFonts w:ascii="Times New Roman" w:hAnsi="Times New Roman"/>
          <w:b/>
          <w:bCs/>
        </w:rPr>
        <w:t>ties if the collection is not conducted or is conducted less frequently, as well as any technical or legal obstacles to reducing burden.</w:t>
      </w:r>
    </w:p>
    <w:p w:rsidR="00051679" w:rsidP="00690F56" w14:paraId="263DB3CC" w14:textId="2827720D">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1676A9" w:rsidRPr="001676A9" w:rsidP="001676A9" w14:paraId="4E473652" w14:textId="77777777">
      <w:pPr>
        <w:tabs>
          <w:tab w:val="left" w:pos="-1440"/>
          <w:tab w:val="left" w:pos="-720"/>
          <w:tab w:val="left" w:pos="28"/>
          <w:tab w:val="left" w:pos="547"/>
          <w:tab w:val="left" w:pos="1065"/>
          <w:tab w:val="left" w:pos="1584"/>
        </w:tabs>
        <w:jc w:val="both"/>
        <w:rPr>
          <w:rFonts w:ascii="Times New Roman" w:hAnsi="Times New Roman"/>
        </w:rPr>
      </w:pPr>
      <w:r w:rsidRPr="001676A9">
        <w:rPr>
          <w:rFonts w:ascii="Times New Roman" w:hAnsi="Times New Roman"/>
        </w:rPr>
        <w:t>Without this information, the National Office would have no way of monitoring the appeals process.  If the data were collected less frequently, the National Office could not quickly step in to help a SWA as a problem develops.  If this report were moved to</w:t>
      </w:r>
      <w:r w:rsidRPr="001676A9">
        <w:rPr>
          <w:rFonts w:ascii="Times New Roman" w:hAnsi="Times New Roman"/>
        </w:rPr>
        <w:t xml:space="preserve"> a quarterly report, at least several quarters would elapse before the National Office would be aware of the development of a pattern of performance indicating a problem.  </w:t>
      </w:r>
      <w:bookmarkStart w:id="0" w:name="QuickMark"/>
      <w:bookmarkEnd w:id="0"/>
      <w:r w:rsidRPr="001676A9">
        <w:rPr>
          <w:rFonts w:ascii="Times New Roman" w:hAnsi="Times New Roman"/>
        </w:rPr>
        <w:t>Consequently, remedial action would be delayed, be less efficient, less effective, m</w:t>
      </w:r>
      <w:r w:rsidRPr="001676A9">
        <w:rPr>
          <w:rFonts w:ascii="Times New Roman" w:hAnsi="Times New Roman"/>
        </w:rPr>
        <w:t>ore expensive and both the state and possibly the Department would be more open to potential litigation.</w:t>
      </w:r>
    </w:p>
    <w:p w:rsidR="00051679" w:rsidRPr="00D53DEB" w:rsidP="00690F56" w14:paraId="0C4F2781"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00690F56" w:rsidRPr="00D53DEB" w:rsidP="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D53DEB" w:rsidP="00690F56"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report inform</w:t>
      </w:r>
      <w:r w:rsidRPr="00D53DEB">
        <w:rPr>
          <w:b/>
          <w:bCs/>
        </w:rPr>
        <w:t>ation to the agency more often than quarterly;</w:t>
      </w:r>
    </w:p>
    <w:p w:rsidR="00690F56" w:rsidRPr="00D53DEB" w:rsidP="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prepare a written response to a collection of information in fewer than 30 days after receipt of it;</w:t>
      </w:r>
    </w:p>
    <w:p w:rsidR="00690F56" w:rsidRPr="00D53DEB" w:rsidP="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submit more than an original and two copies of any document;</w:t>
      </w:r>
    </w:p>
    <w:p w:rsidR="00690F56" w:rsidRPr="00D53DEB" w:rsidP="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respondents to retain records, o</w:t>
      </w:r>
      <w:r w:rsidRPr="00D53DEB">
        <w:rPr>
          <w:b/>
          <w:bCs/>
        </w:rPr>
        <w:t>ther than health, medical, government contract, grant-in-aid, or tax records for more than three years;</w:t>
      </w:r>
    </w:p>
    <w:p w:rsidR="00690F56" w:rsidRPr="00D53DEB" w:rsidP="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in connection with a statistical survey, that is not designed to produce valid and reliable results that can be generalized to the universe of study;</w:t>
      </w:r>
    </w:p>
    <w:p w:rsidR="00690F56" w:rsidRPr="00D53DEB" w:rsidP="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690F56"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requiring the use of statistical data classification that has not been reviewed and approved by OMB;</w:t>
      </w:r>
    </w:p>
    <w:p w:rsidR="00690F56" w:rsidRPr="00D53DEB" w:rsidP="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690F56"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that includes a pledge of confidential</w:t>
      </w:r>
      <w:r w:rsidR="00D05EAB">
        <w:rPr>
          <w:b/>
          <w:bCs/>
        </w:rPr>
        <w:t>it</w:t>
      </w:r>
      <w:r w:rsidRPr="00D53DEB">
        <w:rPr>
          <w:b/>
          <w:bCs/>
        </w:rPr>
        <w:t>y that is not supported by authority established in statu</w:t>
      </w:r>
      <w:r w:rsidRPr="00D53DEB" w:rsidR="00CD215D">
        <w:rPr>
          <w:b/>
          <w:bCs/>
        </w:rPr>
        <w:t>t</w:t>
      </w:r>
      <w:r w:rsidRPr="00D53DEB">
        <w:rPr>
          <w:b/>
          <w:bCs/>
        </w:rPr>
        <w:t>e or regulation, that is not supported by disclosure and</w:t>
      </w:r>
      <w:r w:rsidRPr="00D53DEB">
        <w:rPr>
          <w:b/>
          <w:bCs/>
        </w:rPr>
        <w:t xml:space="preserve"> data security policies that are consistent with the pledge, or which unnecessarily impedes sharing of data with other agencies for compatible confidential use; or</w:t>
      </w:r>
    </w:p>
    <w:p w:rsidR="00690F56" w:rsidRPr="00D53DEB" w:rsidP="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4E0A6A" w:rsidP="00690F56" w14:paraId="583D2BFF" w14:textId="074514A9">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requiring respondents to submit proprietary trade secret, or other confidential information</w:t>
      </w:r>
      <w:r w:rsidRPr="00D53DEB">
        <w:rPr>
          <w:b/>
          <w:bCs/>
        </w:rPr>
        <w:t xml:space="preserve"> unless the agency can demonstrate that it has instituted procedures to protect the information's confidential</w:t>
      </w:r>
      <w:r w:rsidR="00D05EAB">
        <w:rPr>
          <w:b/>
          <w:bCs/>
        </w:rPr>
        <w:t>it</w:t>
      </w:r>
      <w:r w:rsidRPr="00D53DEB">
        <w:rPr>
          <w:b/>
          <w:bCs/>
        </w:rPr>
        <w:t>y to the extent permitted by law.</w:t>
      </w:r>
    </w:p>
    <w:p w:rsidR="004E0A6A" w:rsidP="004E0A6A" w14:paraId="408F3FE7" w14:textId="77777777">
      <w:pPr>
        <w:pStyle w:val="ListParagraph"/>
      </w:pPr>
    </w:p>
    <w:p w:rsidR="002A1030" w:rsidP="002A1030" w14:paraId="71DC5FA5" w14:textId="01E9D674">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      Collection is inconsistent with 5 CFR 1320.5.</w:t>
      </w:r>
    </w:p>
    <w:p w:rsidR="002A1030" w:rsidP="002A1030" w14:paraId="2E4E431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4E0A6A" w:rsidRPr="00D53DEB" w:rsidP="002A1030" w14:paraId="00365CB5" w14:textId="0B6F9C0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 xml:space="preserve">See item 6 for discussion of need for monthly </w:t>
      </w:r>
      <w:r>
        <w:t>collection.  This information collection is otherwise consistent with the guidelines in 5 CFR 1320.5.</w:t>
      </w:r>
    </w:p>
    <w:p w:rsidR="00642220" w:rsidRPr="00D53DEB" w:rsidP="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RPr="00871CA6" w:rsidP="00690F56" w14:paraId="186CBA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1E3B8C0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w:t>
      </w:r>
      <w:r w:rsidRPr="00D53DEB">
        <w:rPr>
          <w:rFonts w:ascii="Times New Roman" w:hAnsi="Times New Roman"/>
          <w:b/>
          <w:bCs/>
        </w:rPr>
        <w:t xml:space="preserv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00690F56" w:rsidRPr="00D53DEB" w:rsidP="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w:t>
      </w:r>
      <w:r w:rsidRPr="00D53DEB">
        <w:rPr>
          <w:rFonts w:ascii="Times New Roman" w:hAnsi="Times New Roman"/>
          <w:b/>
          <w:bCs/>
        </w:rPr>
        <w:t>ing, disclosure, or reporting format (if any), and on the data elements to be recorded, disclosed, or reported.</w:t>
      </w:r>
    </w:p>
    <w:p w:rsidR="00690F56" w:rsidRPr="00D53DEB" w:rsidP="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690F56" w14:paraId="767B60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w:t>
      </w:r>
      <w:r w:rsidRPr="00D53DEB">
        <w:rPr>
          <w:rFonts w:ascii="Times New Roman" w:hAnsi="Times New Roman"/>
          <w:b/>
          <w:bCs/>
        </w:rPr>
        <w:t xml:space="preserv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14:paraId="7644A432" w14:textId="756F65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6515E" w:rsidRPr="00D6515E" w:rsidP="00D6515E" w14:paraId="4D940927" w14:textId="5616F7F4">
      <w:pPr>
        <w:tabs>
          <w:tab w:val="left" w:pos="-1440"/>
          <w:tab w:val="left" w:pos="-720"/>
          <w:tab w:val="left" w:pos="28"/>
          <w:tab w:val="left" w:pos="540"/>
          <w:tab w:val="left" w:pos="1065"/>
          <w:tab w:val="left" w:pos="1584"/>
        </w:tabs>
        <w:jc w:val="both"/>
        <w:rPr>
          <w:rFonts w:ascii="Times New Roman" w:hAnsi="Times New Roman"/>
        </w:rPr>
      </w:pPr>
      <w:r w:rsidRPr="00D6515E">
        <w:rPr>
          <w:rFonts w:ascii="Times New Roman" w:hAnsi="Times New Roman"/>
        </w:rPr>
        <w:t xml:space="preserve">In accordance with the Paperwork Reduction Act of 1995, the public was allowed 60 days to comment through the Federal Register Notice posted on </w:t>
      </w:r>
      <w:r w:rsidR="00964A4F">
        <w:rPr>
          <w:rFonts w:ascii="Times New Roman" w:hAnsi="Times New Roman"/>
        </w:rPr>
        <w:t>February 9, 2023</w:t>
      </w:r>
      <w:r w:rsidRPr="00D6515E">
        <w:rPr>
          <w:rFonts w:ascii="Times New Roman" w:hAnsi="Times New Roman"/>
        </w:rPr>
        <w:t xml:space="preserve"> (8</w:t>
      </w:r>
      <w:r w:rsidR="00964A4F">
        <w:rPr>
          <w:rFonts w:ascii="Times New Roman" w:hAnsi="Times New Roman"/>
        </w:rPr>
        <w:t>8</w:t>
      </w:r>
      <w:r w:rsidR="00681494">
        <w:rPr>
          <w:rFonts w:ascii="Times New Roman" w:hAnsi="Times New Roman"/>
        </w:rPr>
        <w:t xml:space="preserve"> </w:t>
      </w:r>
      <w:r w:rsidRPr="00D6515E">
        <w:rPr>
          <w:rFonts w:ascii="Times New Roman" w:hAnsi="Times New Roman"/>
        </w:rPr>
        <w:t xml:space="preserve">FR </w:t>
      </w:r>
      <w:r w:rsidR="00964A4F">
        <w:rPr>
          <w:rFonts w:ascii="Times New Roman" w:hAnsi="Times New Roman"/>
        </w:rPr>
        <w:t>8475</w:t>
      </w:r>
      <w:r w:rsidRPr="00D6515E">
        <w:rPr>
          <w:rFonts w:ascii="Times New Roman" w:hAnsi="Times New Roman"/>
        </w:rPr>
        <w:t>).   No public comments were received.</w:t>
      </w:r>
    </w:p>
    <w:p w:rsidR="0060114B" w:rsidRPr="00A47DA7" w:rsidP="0060114B" w14:paraId="425C0DB9" w14:textId="77777777">
      <w:pPr>
        <w:widowControl/>
        <w:autoSpaceDE/>
        <w:autoSpaceDN/>
        <w:adjustRightInd/>
        <w:rPr>
          <w:rFonts w:ascii="Times New Roman" w:eastAsia="Calibri" w:hAnsi="Times New Roman"/>
        </w:rPr>
      </w:pPr>
    </w:p>
    <w:p w:rsidR="00690F56" w:rsidRPr="00D53DEB" w:rsidP="00690F56" w14:paraId="608739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w:t>
      </w:r>
      <w:r w:rsidRPr="00D53DEB">
        <w:rPr>
          <w:rFonts w:ascii="Times New Roman" w:hAnsi="Times New Roman"/>
          <w:b/>
          <w:bCs/>
        </w:rPr>
        <w:t>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00690F56" w:rsidRPr="00A47DA7" w:rsidP="00690F56" w14:paraId="3EC5995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3D9804C1" w14:textId="5481B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13883">
        <w:rPr>
          <w:rFonts w:ascii="Times New Roman" w:hAnsi="Times New Roman"/>
        </w:rPr>
        <w:t>There are no payments or gifts to respondents.</w:t>
      </w:r>
    </w:p>
    <w:p w:rsidR="00D13883" w:rsidRPr="00871CA6" w:rsidP="00690F56" w14:paraId="0EAF924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0BFB46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Describe any assurance of confidentiality provided to respondents and the basis for the assurance in statute, </w:t>
      </w:r>
      <w:r w:rsidRPr="00D53DEB">
        <w:rPr>
          <w:rFonts w:ascii="Times New Roman" w:hAnsi="Times New Roman"/>
          <w:b/>
          <w:bCs/>
        </w:rPr>
        <w:t>regulation, or agency policy.</w:t>
      </w:r>
    </w:p>
    <w:p w:rsidR="00690F56" w:rsidRPr="00A47DA7" w:rsidP="00690F56" w14:paraId="41D6A13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61F2ECC1" w14:textId="36C6C18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142E5B">
        <w:rPr>
          <w:rFonts w:ascii="Times New Roman" w:hAnsi="Times New Roman"/>
        </w:rPr>
        <w:t>There is no assurance of confidentiality.</w:t>
      </w:r>
    </w:p>
    <w:p w:rsidR="00142E5B" w:rsidRPr="00871CA6" w:rsidP="00690F56" w14:paraId="01FB728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F71900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11. Provide additional justification for any questions of a sensitive nature, such as sexual behavior and attitudes, religious beliefs, and other matters that are commonly considered</w:t>
      </w:r>
      <w:r w:rsidRPr="00D53DEB">
        <w:rPr>
          <w:rFonts w:ascii="Times New Roman" w:hAnsi="Times New Roman"/>
          <w:b/>
          <w:bCs/>
        </w:rPr>
        <w:t xml:space="preserve"> private.  This justification should include the reasons why the </w:t>
      </w:r>
      <w:r w:rsidRPr="00D53DEB" w:rsidR="00C667F3">
        <w:rPr>
          <w:rFonts w:ascii="Times New Roman" w:hAnsi="Times New Roman"/>
          <w:b/>
          <w:bCs/>
        </w:rPr>
        <w:t>a</w:t>
      </w:r>
      <w:r w:rsidRPr="00D53DEB">
        <w:rPr>
          <w:rFonts w:ascii="Times New Roman" w:hAnsi="Times New Roman"/>
          <w:b/>
          <w:bCs/>
        </w:rPr>
        <w:t>gency considers the questions necessary, the specific uses to be made of the information, the explanation to be given to persons from whom the information is requested, and any steps to be t</w:t>
      </w:r>
      <w:r w:rsidRPr="00D53DEB">
        <w:rPr>
          <w:rFonts w:ascii="Times New Roman" w:hAnsi="Times New Roman"/>
          <w:b/>
          <w:bCs/>
        </w:rPr>
        <w:t>aken to obtain their consent.</w:t>
      </w:r>
    </w:p>
    <w:p w:rsidR="00690F56" w:rsidRPr="00A47DA7" w:rsidP="00690F56" w14:paraId="02AFA70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14:paraId="27A67CE6" w14:textId="4A333FD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C4032">
        <w:rPr>
          <w:rFonts w:ascii="Times New Roman" w:hAnsi="Times New Roman"/>
        </w:rPr>
        <w:t>There are no questions of a sensitive nature in this report.</w:t>
      </w:r>
    </w:p>
    <w:p w:rsidR="00681494" w:rsidRPr="00871CA6" w:rsidP="00690F56" w14:paraId="2B2583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00690F56" w:rsidRPr="00D53DEB" w:rsidP="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Indicate the number of respondents, frequency of response, annu</w:t>
      </w:r>
      <w:r w:rsidRPr="00D53DEB">
        <w:rPr>
          <w:rFonts w:ascii="Times New Roman" w:hAnsi="Times New Roman"/>
          <w:b/>
          <w:bCs/>
        </w:rPr>
        <w:t>al hour burden, and an explanation o</w:t>
      </w:r>
      <w:r w:rsidRPr="00D53DEB" w:rsidR="00D2331B">
        <w:rPr>
          <w:rFonts w:ascii="Times New Roman" w:hAnsi="Times New Roman"/>
          <w:b/>
          <w:bCs/>
        </w:rPr>
        <w:t xml:space="preserve">f </w:t>
      </w:r>
      <w:r w:rsidRPr="00D53DEB">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w:t>
      </w:r>
      <w:r w:rsidRPr="00D53DEB">
        <w:rPr>
          <w:rFonts w:ascii="Times New Roman" w:hAnsi="Times New Roman"/>
          <w:b/>
          <w:bCs/>
        </w:rPr>
        <w:t>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 estimates shou</w:t>
      </w:r>
      <w:r w:rsidRPr="00D53DEB">
        <w:rPr>
          <w:rFonts w:ascii="Times New Roman" w:hAnsi="Times New Roman"/>
          <w:b/>
          <w:bCs/>
        </w:rPr>
        <w:t>ld not include burden hours</w:t>
      </w:r>
      <w:r w:rsidRPr="00D53DEB" w:rsidR="00CD215D">
        <w:rPr>
          <w:rFonts w:ascii="Times New Roman" w:hAnsi="Times New Roman"/>
          <w:b/>
          <w:bCs/>
        </w:rPr>
        <w:t xml:space="preserve"> </w:t>
      </w:r>
      <w:r w:rsidRPr="00D53DEB">
        <w:rPr>
          <w:rFonts w:ascii="Times New Roman" w:hAnsi="Times New Roman"/>
          <w:b/>
          <w:bCs/>
        </w:rPr>
        <w:t>for customary and usual business practices.</w:t>
      </w:r>
    </w:p>
    <w:p w:rsidR="00690F56" w:rsidRPr="00D53DEB" w:rsidP="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882B1D" w:rsidRPr="00D53DEB" w:rsidP="00AF2C11"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C667F3"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w:t>
      </w:r>
      <w:r w:rsidRPr="00D53DEB">
        <w:rPr>
          <w:rFonts w:ascii="Times New Roman" w:hAnsi="Times New Roman"/>
          <w:b/>
          <w:bCs/>
        </w:rPr>
        <w:t xml:space="preserve">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A97A55" w:rsidRPr="00A97A55" w:rsidP="00A97A55" w14:paraId="50D0BF23" w14:textId="3116AF5E">
      <w:pPr>
        <w:widowControl/>
        <w:rPr>
          <w:rFonts w:ascii="Times New Roman" w:hAnsi="Times New Roman"/>
          <w:color w:val="000000"/>
        </w:rPr>
      </w:pPr>
      <w:r w:rsidRPr="00A97A55">
        <w:rPr>
          <w:rFonts w:ascii="Times New Roman" w:hAnsi="Times New Roman"/>
          <w:color w:val="000000"/>
        </w:rPr>
        <w:t>The information is collected from the same respondents under the same obligation.  The primary difference between regular and Extended Benefits</w:t>
      </w:r>
      <w:r w:rsidR="00264D3E">
        <w:rPr>
          <w:rFonts w:ascii="Times New Roman" w:hAnsi="Times New Roman"/>
          <w:color w:val="000000"/>
        </w:rPr>
        <w:t xml:space="preserve"> (EB)</w:t>
      </w:r>
      <w:r w:rsidRPr="00A97A55">
        <w:rPr>
          <w:rFonts w:ascii="Times New Roman" w:hAnsi="Times New Roman"/>
          <w:color w:val="000000"/>
        </w:rPr>
        <w:t xml:space="preserve"> is when there is a period of</w:t>
      </w:r>
      <w:r w:rsidRPr="00A97A55">
        <w:rPr>
          <w:rFonts w:ascii="Times New Roman" w:hAnsi="Times New Roman"/>
          <w:color w:val="000000"/>
        </w:rPr>
        <w:t xml:space="preserve"> </w:t>
      </w:r>
      <w:r w:rsidR="00264D3E">
        <w:rPr>
          <w:rFonts w:ascii="Times New Roman" w:hAnsi="Times New Roman"/>
          <w:color w:val="000000"/>
        </w:rPr>
        <w:t>EB</w:t>
      </w:r>
      <w:r w:rsidRPr="00A97A55">
        <w:rPr>
          <w:rFonts w:ascii="Times New Roman" w:hAnsi="Times New Roman"/>
          <w:color w:val="000000"/>
        </w:rPr>
        <w:t xml:space="preserve">, there may be additional disqualification provisions, and that information must still be collected on the ETA </w:t>
      </w:r>
      <w:r>
        <w:rPr>
          <w:rFonts w:ascii="Times New Roman" w:hAnsi="Times New Roman"/>
          <w:color w:val="000000"/>
        </w:rPr>
        <w:t>5130</w:t>
      </w:r>
      <w:r w:rsidRPr="00A97A55">
        <w:rPr>
          <w:rFonts w:ascii="Times New Roman" w:hAnsi="Times New Roman"/>
          <w:color w:val="000000"/>
        </w:rPr>
        <w:t xml:space="preserve"> for adjudication activities related to that program.</w:t>
      </w:r>
    </w:p>
    <w:p w:rsidR="006626FF" w:rsidP="006626FF" w14:paraId="49938EA8" w14:textId="07D36ACF">
      <w:pPr>
        <w:ind w:left="720"/>
        <w:rPr>
          <w:rFonts w:ascii="Times New Roman" w:hAnsi="Times New Roman"/>
          <w:i/>
        </w:rPr>
      </w:pPr>
    </w:p>
    <w:p w:rsidR="00A97A55" w:rsidP="006626FF" w14:paraId="54B53B46" w14:textId="77777777">
      <w:pPr>
        <w:ind w:left="720"/>
        <w:rPr>
          <w:rFonts w:ascii="Times New Roman" w:hAnsi="Times New Roman"/>
          <w:i/>
        </w:rPr>
      </w:pPr>
    </w:p>
    <w:p w:rsidR="00A97A55" w:rsidRPr="006626FF" w:rsidP="006626FF" w14:paraId="724623AC"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56"/>
        <w:gridCol w:w="1415"/>
        <w:gridCol w:w="1329"/>
        <w:gridCol w:w="1182"/>
        <w:gridCol w:w="998"/>
        <w:gridCol w:w="950"/>
        <w:gridCol w:w="889"/>
        <w:gridCol w:w="931"/>
      </w:tblGrid>
      <w:tr w14:paraId="2DF04903" w14:textId="77777777" w:rsidTr="00A97A5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90"/>
        </w:trPr>
        <w:tc>
          <w:tcPr>
            <w:tcW w:w="221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30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Pr>
                <w:rFonts w:ascii="Times New Roman" w:hAnsi="Times New Roman"/>
                <w:b/>
                <w:sz w:val="22"/>
                <w:szCs w:val="22"/>
              </w:rPr>
              <w:t xml:space="preserve"> of Respondents</w:t>
            </w:r>
          </w:p>
        </w:tc>
        <w:tc>
          <w:tcPr>
            <w:tcW w:w="1228"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E60FB0" w14:paraId="1393DF7B" w14:textId="77777777">
            <w:pPr>
              <w:spacing w:line="276" w:lineRule="auto"/>
              <w:jc w:val="center"/>
              <w:rPr>
                <w:rFonts w:ascii="Times New Roman" w:hAnsi="Times New Roman"/>
                <w:b/>
                <w:sz w:val="22"/>
                <w:szCs w:val="22"/>
              </w:rPr>
            </w:pPr>
          </w:p>
          <w:p w:rsidR="006626FF" w:rsidRPr="00E60FB0"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006626FF" w:rsidRPr="00E60FB0"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094"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2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88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82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006626FF" w:rsidRPr="00E60FB0"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86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E60FB0"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14:paraId="09169E28" w14:textId="77777777" w:rsidTr="00A97A55">
        <w:tblPrEx>
          <w:tblW w:w="0" w:type="auto"/>
          <w:tblLook w:val="04A0"/>
        </w:tblPrEx>
        <w:tc>
          <w:tcPr>
            <w:tcW w:w="2218" w:type="dxa"/>
            <w:tcBorders>
              <w:top w:val="single" w:sz="4" w:space="0" w:color="auto"/>
              <w:left w:val="single" w:sz="4" w:space="0" w:color="auto"/>
              <w:bottom w:val="single" w:sz="4" w:space="0" w:color="auto"/>
              <w:right w:val="single" w:sz="4" w:space="0" w:color="auto"/>
            </w:tcBorders>
            <w:vAlign w:val="bottom"/>
            <w:hideMark/>
          </w:tcPr>
          <w:p w:rsidR="006626FF" w:rsidRPr="00E60FB0" w14:paraId="762DB321" w14:textId="12A4415C">
            <w:pPr>
              <w:spacing w:line="276" w:lineRule="auto"/>
              <w:rPr>
                <w:rFonts w:ascii="Times New Roman" w:hAnsi="Times New Roman"/>
                <w:sz w:val="22"/>
                <w:szCs w:val="22"/>
              </w:rPr>
            </w:pPr>
            <w:bookmarkStart w:id="1" w:name="_Hlk132366812"/>
            <w:r>
              <w:rPr>
                <w:rFonts w:ascii="Times New Roman" w:hAnsi="Times New Roman"/>
                <w:sz w:val="22"/>
                <w:szCs w:val="22"/>
              </w:rPr>
              <w:t>ETA 5130</w:t>
            </w:r>
            <w:r w:rsidR="00964A4F">
              <w:rPr>
                <w:rFonts w:ascii="Times New Roman" w:hAnsi="Times New Roman"/>
                <w:sz w:val="22"/>
                <w:szCs w:val="22"/>
              </w:rPr>
              <w:t xml:space="preserve"> REG</w:t>
            </w:r>
          </w:p>
        </w:tc>
        <w:tc>
          <w:tcPr>
            <w:tcW w:w="1306" w:type="dxa"/>
            <w:tcBorders>
              <w:top w:val="single" w:sz="4" w:space="0" w:color="auto"/>
              <w:left w:val="single" w:sz="4" w:space="0" w:color="auto"/>
              <w:bottom w:val="single" w:sz="4" w:space="0" w:color="auto"/>
              <w:right w:val="single" w:sz="4" w:space="0" w:color="auto"/>
            </w:tcBorders>
            <w:vAlign w:val="center"/>
          </w:tcPr>
          <w:p w:rsidR="00681494" w:rsidP="00073D75" w14:paraId="0F923EF7" w14:textId="77777777">
            <w:pPr>
              <w:spacing w:line="276" w:lineRule="auto"/>
              <w:jc w:val="center"/>
              <w:rPr>
                <w:rFonts w:ascii="Times New Roman" w:hAnsi="Times New Roman"/>
                <w:sz w:val="22"/>
                <w:szCs w:val="22"/>
              </w:rPr>
            </w:pPr>
          </w:p>
          <w:p w:rsidR="006626FF" w:rsidRPr="00E60FB0" w:rsidP="00073D75" w14:paraId="2F5115C1" w14:textId="353A105B">
            <w:pPr>
              <w:spacing w:line="276" w:lineRule="auto"/>
              <w:jc w:val="center"/>
              <w:rPr>
                <w:rFonts w:ascii="Times New Roman" w:hAnsi="Times New Roman"/>
                <w:sz w:val="22"/>
                <w:szCs w:val="22"/>
              </w:rPr>
            </w:pPr>
            <w:r>
              <w:rPr>
                <w:rFonts w:ascii="Times New Roman" w:hAnsi="Times New Roman"/>
                <w:sz w:val="22"/>
                <w:szCs w:val="22"/>
              </w:rPr>
              <w:t>53</w:t>
            </w:r>
          </w:p>
        </w:tc>
        <w:tc>
          <w:tcPr>
            <w:tcW w:w="1228" w:type="dxa"/>
            <w:tcBorders>
              <w:top w:val="single" w:sz="4" w:space="0" w:color="auto"/>
              <w:left w:val="single" w:sz="4" w:space="0" w:color="auto"/>
              <w:bottom w:val="single" w:sz="4" w:space="0" w:color="auto"/>
              <w:right w:val="single" w:sz="4" w:space="0" w:color="auto"/>
            </w:tcBorders>
            <w:vAlign w:val="center"/>
          </w:tcPr>
          <w:p w:rsidR="006626FF" w:rsidRPr="00E60FB0" w14:paraId="54BC61C8" w14:textId="77777777">
            <w:pPr>
              <w:spacing w:line="276" w:lineRule="auto"/>
              <w:jc w:val="center"/>
              <w:rPr>
                <w:rFonts w:ascii="Times New Roman" w:hAnsi="Times New Roman"/>
                <w:sz w:val="22"/>
                <w:szCs w:val="22"/>
              </w:rPr>
            </w:pPr>
          </w:p>
          <w:p w:rsidR="006626FF" w:rsidRPr="00E60FB0" w14:paraId="5A00193C" w14:textId="49502E1B">
            <w:pPr>
              <w:spacing w:line="276" w:lineRule="auto"/>
              <w:jc w:val="center"/>
              <w:rPr>
                <w:rFonts w:ascii="Times New Roman" w:hAnsi="Times New Roman"/>
                <w:sz w:val="22"/>
                <w:szCs w:val="22"/>
              </w:rPr>
            </w:pPr>
            <w:r>
              <w:rPr>
                <w:rFonts w:ascii="Times New Roman" w:hAnsi="Times New Roman"/>
                <w:sz w:val="22"/>
                <w:szCs w:val="22"/>
              </w:rPr>
              <w:t>12</w:t>
            </w:r>
          </w:p>
        </w:tc>
        <w:tc>
          <w:tcPr>
            <w:tcW w:w="1094" w:type="dxa"/>
            <w:tcBorders>
              <w:top w:val="single" w:sz="4" w:space="0" w:color="auto"/>
              <w:left w:val="single" w:sz="4" w:space="0" w:color="auto"/>
              <w:bottom w:val="single" w:sz="4" w:space="0" w:color="auto"/>
              <w:right w:val="single" w:sz="4" w:space="0" w:color="auto"/>
            </w:tcBorders>
            <w:vAlign w:val="center"/>
          </w:tcPr>
          <w:p w:rsidR="006626FF" w:rsidRPr="00E60FB0" w14:paraId="50D4FBFF" w14:textId="77777777">
            <w:pPr>
              <w:spacing w:line="276" w:lineRule="auto"/>
              <w:jc w:val="center"/>
              <w:rPr>
                <w:rFonts w:ascii="Times New Roman" w:hAnsi="Times New Roman"/>
                <w:sz w:val="22"/>
                <w:szCs w:val="22"/>
              </w:rPr>
            </w:pPr>
          </w:p>
          <w:p w:rsidR="006626FF" w:rsidRPr="00E60FB0" w14:paraId="15D44061" w14:textId="24059CB3">
            <w:pPr>
              <w:spacing w:line="276" w:lineRule="auto"/>
              <w:jc w:val="center"/>
              <w:rPr>
                <w:rFonts w:ascii="Times New Roman" w:hAnsi="Times New Roman"/>
                <w:sz w:val="22"/>
                <w:szCs w:val="22"/>
              </w:rPr>
            </w:pPr>
            <w:r>
              <w:rPr>
                <w:rFonts w:ascii="Times New Roman" w:hAnsi="Times New Roman"/>
                <w:sz w:val="22"/>
                <w:szCs w:val="22"/>
              </w:rPr>
              <w:t>636</w:t>
            </w:r>
          </w:p>
        </w:tc>
        <w:tc>
          <w:tcPr>
            <w:tcW w:w="927" w:type="dxa"/>
            <w:tcBorders>
              <w:top w:val="single" w:sz="4" w:space="0" w:color="auto"/>
              <w:left w:val="single" w:sz="4" w:space="0" w:color="auto"/>
              <w:bottom w:val="single" w:sz="4" w:space="0" w:color="auto"/>
              <w:right w:val="single" w:sz="4" w:space="0" w:color="auto"/>
            </w:tcBorders>
            <w:vAlign w:val="center"/>
          </w:tcPr>
          <w:p w:rsidR="006626FF" w:rsidRPr="00E60FB0" w14:paraId="0AB67B72" w14:textId="77777777">
            <w:pPr>
              <w:spacing w:line="276" w:lineRule="auto"/>
              <w:jc w:val="center"/>
              <w:rPr>
                <w:rFonts w:ascii="Times New Roman" w:hAnsi="Times New Roman"/>
                <w:sz w:val="22"/>
                <w:szCs w:val="22"/>
              </w:rPr>
            </w:pPr>
          </w:p>
          <w:p w:rsidR="00681494" w14:paraId="37BBA873" w14:textId="77777777">
            <w:pPr>
              <w:spacing w:line="276" w:lineRule="auto"/>
              <w:jc w:val="center"/>
              <w:rPr>
                <w:rFonts w:ascii="Times New Roman" w:hAnsi="Times New Roman"/>
                <w:sz w:val="22"/>
                <w:szCs w:val="22"/>
              </w:rPr>
            </w:pPr>
          </w:p>
          <w:p w:rsidR="006626FF" w:rsidRPr="00E60FB0" w14:paraId="15AA6C5B" w14:textId="2FA067D2">
            <w:pPr>
              <w:spacing w:line="276" w:lineRule="auto"/>
              <w:jc w:val="center"/>
              <w:rPr>
                <w:rFonts w:ascii="Times New Roman" w:hAnsi="Times New Roman"/>
                <w:sz w:val="22"/>
                <w:szCs w:val="22"/>
              </w:rPr>
            </w:pPr>
            <w:r>
              <w:rPr>
                <w:rFonts w:ascii="Times New Roman" w:hAnsi="Times New Roman"/>
                <w:sz w:val="22"/>
                <w:szCs w:val="22"/>
              </w:rPr>
              <w:t>1</w:t>
            </w:r>
          </w:p>
          <w:p w:rsidR="006626FF" w:rsidRPr="00E60FB0" w14:paraId="460B8B6B" w14:textId="77777777">
            <w:pPr>
              <w:spacing w:line="276" w:lineRule="auto"/>
              <w:jc w:val="center"/>
              <w:rPr>
                <w:rFonts w:ascii="Times New Roman" w:hAnsi="Times New Roman"/>
                <w:sz w:val="22"/>
                <w:szCs w:val="22"/>
              </w:rPr>
            </w:pPr>
          </w:p>
        </w:tc>
        <w:tc>
          <w:tcPr>
            <w:tcW w:w="883" w:type="dxa"/>
            <w:tcBorders>
              <w:top w:val="single" w:sz="4" w:space="0" w:color="auto"/>
              <w:left w:val="single" w:sz="4" w:space="0" w:color="auto"/>
              <w:bottom w:val="single" w:sz="4" w:space="0" w:color="auto"/>
              <w:right w:val="single" w:sz="4" w:space="0" w:color="auto"/>
            </w:tcBorders>
            <w:vAlign w:val="center"/>
          </w:tcPr>
          <w:p w:rsidR="006626FF" w:rsidRPr="00E60FB0" w14:paraId="43F04FBA" w14:textId="77777777">
            <w:pPr>
              <w:spacing w:line="276" w:lineRule="auto"/>
              <w:jc w:val="center"/>
              <w:rPr>
                <w:rFonts w:ascii="Times New Roman" w:hAnsi="Times New Roman"/>
                <w:sz w:val="22"/>
                <w:szCs w:val="22"/>
              </w:rPr>
            </w:pPr>
          </w:p>
          <w:p w:rsidR="006626FF" w:rsidRPr="00E60FB0" w:rsidP="00681494" w14:paraId="752F73D3" w14:textId="2BE158AF">
            <w:pPr>
              <w:spacing w:line="276" w:lineRule="auto"/>
              <w:rPr>
                <w:rFonts w:ascii="Times New Roman" w:hAnsi="Times New Roman"/>
                <w:sz w:val="22"/>
                <w:szCs w:val="22"/>
              </w:rPr>
            </w:pPr>
            <w:r>
              <w:rPr>
                <w:rFonts w:ascii="Times New Roman" w:hAnsi="Times New Roman"/>
                <w:sz w:val="22"/>
                <w:szCs w:val="22"/>
              </w:rPr>
              <w:t>636</w:t>
            </w:r>
          </w:p>
        </w:tc>
        <w:tc>
          <w:tcPr>
            <w:tcW w:w="828" w:type="dxa"/>
            <w:tcBorders>
              <w:top w:val="single" w:sz="4" w:space="0" w:color="auto"/>
              <w:left w:val="single" w:sz="4" w:space="0" w:color="auto"/>
              <w:bottom w:val="single" w:sz="4" w:space="0" w:color="auto"/>
              <w:right w:val="single" w:sz="4" w:space="0" w:color="auto"/>
            </w:tcBorders>
            <w:vAlign w:val="center"/>
          </w:tcPr>
          <w:p w:rsidR="006626FF" w:rsidRPr="00E60FB0" w14:paraId="387B5D04" w14:textId="77777777">
            <w:pPr>
              <w:spacing w:line="276" w:lineRule="auto"/>
              <w:jc w:val="center"/>
              <w:rPr>
                <w:rFonts w:ascii="Times New Roman" w:hAnsi="Times New Roman"/>
                <w:sz w:val="22"/>
                <w:szCs w:val="22"/>
              </w:rPr>
            </w:pPr>
          </w:p>
          <w:p w:rsidR="006626FF" w:rsidRPr="00E60FB0" w14:paraId="6FAC2390" w14:textId="0F36C09C">
            <w:pPr>
              <w:spacing w:line="276" w:lineRule="auto"/>
              <w:jc w:val="center"/>
              <w:rPr>
                <w:rFonts w:ascii="Times New Roman" w:hAnsi="Times New Roman"/>
                <w:sz w:val="22"/>
                <w:szCs w:val="22"/>
              </w:rPr>
            </w:pPr>
            <w:r>
              <w:rPr>
                <w:rFonts w:ascii="Times New Roman" w:hAnsi="Times New Roman"/>
                <w:sz w:val="22"/>
                <w:szCs w:val="22"/>
              </w:rPr>
              <w:t>$</w:t>
            </w:r>
            <w:r w:rsidR="00B13FA6">
              <w:rPr>
                <w:rFonts w:ascii="Times New Roman" w:hAnsi="Times New Roman"/>
                <w:sz w:val="22"/>
                <w:szCs w:val="22"/>
              </w:rPr>
              <w:t>54</w:t>
            </w:r>
          </w:p>
        </w:tc>
        <w:tc>
          <w:tcPr>
            <w:tcW w:w="866" w:type="dxa"/>
            <w:tcBorders>
              <w:top w:val="single" w:sz="4" w:space="0" w:color="auto"/>
              <w:left w:val="single" w:sz="4" w:space="0" w:color="auto"/>
              <w:bottom w:val="single" w:sz="4" w:space="0" w:color="auto"/>
              <w:right w:val="single" w:sz="4" w:space="0" w:color="auto"/>
            </w:tcBorders>
            <w:vAlign w:val="center"/>
          </w:tcPr>
          <w:p w:rsidR="00681494" w14:paraId="6FC45660" w14:textId="77777777">
            <w:pPr>
              <w:spacing w:line="276" w:lineRule="auto"/>
              <w:jc w:val="center"/>
              <w:rPr>
                <w:rFonts w:ascii="Times New Roman" w:hAnsi="Times New Roman"/>
                <w:sz w:val="14"/>
                <w:szCs w:val="14"/>
              </w:rPr>
            </w:pPr>
          </w:p>
          <w:p w:rsidR="00681494" w14:paraId="5F71FB04" w14:textId="77777777">
            <w:pPr>
              <w:spacing w:line="276" w:lineRule="auto"/>
              <w:jc w:val="center"/>
              <w:rPr>
                <w:rFonts w:ascii="Times New Roman" w:hAnsi="Times New Roman"/>
                <w:sz w:val="14"/>
                <w:szCs w:val="14"/>
              </w:rPr>
            </w:pPr>
          </w:p>
          <w:p w:rsidR="00681494" w14:paraId="4D076451" w14:textId="77777777">
            <w:pPr>
              <w:spacing w:line="276" w:lineRule="auto"/>
              <w:jc w:val="center"/>
              <w:rPr>
                <w:rFonts w:ascii="Times New Roman" w:hAnsi="Times New Roman"/>
                <w:sz w:val="14"/>
                <w:szCs w:val="14"/>
              </w:rPr>
            </w:pPr>
          </w:p>
          <w:p w:rsidR="006626FF" w:rsidRPr="00E60FB0" w14:paraId="39DD4599" w14:textId="32B7B77F">
            <w:pPr>
              <w:spacing w:line="276" w:lineRule="auto"/>
              <w:jc w:val="center"/>
              <w:rPr>
                <w:rFonts w:ascii="Times New Roman" w:hAnsi="Times New Roman"/>
                <w:sz w:val="22"/>
                <w:szCs w:val="22"/>
              </w:rPr>
            </w:pPr>
            <w:r>
              <w:rPr>
                <w:rFonts w:ascii="Times New Roman" w:hAnsi="Times New Roman"/>
                <w:sz w:val="22"/>
                <w:szCs w:val="22"/>
              </w:rPr>
              <w:t>$34,344</w:t>
            </w:r>
          </w:p>
          <w:p w:rsidR="006626FF" w:rsidRPr="00E60FB0" w14:paraId="78C3C2D7" w14:textId="77777777">
            <w:pPr>
              <w:spacing w:line="276" w:lineRule="auto"/>
              <w:jc w:val="center"/>
              <w:rPr>
                <w:rFonts w:ascii="Times New Roman" w:hAnsi="Times New Roman"/>
                <w:sz w:val="22"/>
                <w:szCs w:val="22"/>
              </w:rPr>
            </w:pPr>
          </w:p>
        </w:tc>
      </w:tr>
      <w:tr w14:paraId="1AC7A732" w14:textId="77777777" w:rsidTr="00A97A55">
        <w:tblPrEx>
          <w:tblW w:w="0" w:type="auto"/>
          <w:tblLook w:val="04A0"/>
        </w:tblPrEx>
        <w:tc>
          <w:tcPr>
            <w:tcW w:w="2218" w:type="dxa"/>
            <w:tcBorders>
              <w:top w:val="single" w:sz="4" w:space="0" w:color="auto"/>
              <w:left w:val="single" w:sz="4" w:space="0" w:color="auto"/>
              <w:bottom w:val="single" w:sz="4" w:space="0" w:color="auto"/>
              <w:right w:val="single" w:sz="4" w:space="0" w:color="auto"/>
            </w:tcBorders>
            <w:vAlign w:val="bottom"/>
            <w:hideMark/>
          </w:tcPr>
          <w:p w:rsidR="00964A4F" w:rsidRPr="00E60FB0" w:rsidP="009D5499" w14:paraId="7170AC1F" w14:textId="35FAF03C">
            <w:pPr>
              <w:spacing w:line="276" w:lineRule="auto"/>
              <w:rPr>
                <w:rFonts w:ascii="Times New Roman" w:hAnsi="Times New Roman"/>
                <w:sz w:val="22"/>
                <w:szCs w:val="22"/>
              </w:rPr>
            </w:pPr>
            <w:bookmarkStart w:id="2" w:name="_Hlk132366901"/>
            <w:bookmarkEnd w:id="1"/>
            <w:r>
              <w:rPr>
                <w:rFonts w:ascii="Times New Roman" w:hAnsi="Times New Roman"/>
                <w:sz w:val="22"/>
                <w:szCs w:val="22"/>
              </w:rPr>
              <w:t xml:space="preserve">ETA 5130 </w:t>
            </w:r>
            <w:r w:rsidR="00B90C19">
              <w:rPr>
                <w:rFonts w:ascii="Times New Roman" w:hAnsi="Times New Roman"/>
                <w:sz w:val="22"/>
                <w:szCs w:val="22"/>
              </w:rPr>
              <w:t>EB</w:t>
            </w:r>
          </w:p>
        </w:tc>
        <w:tc>
          <w:tcPr>
            <w:tcW w:w="1306" w:type="dxa"/>
            <w:tcBorders>
              <w:top w:val="single" w:sz="4" w:space="0" w:color="auto"/>
              <w:left w:val="single" w:sz="4" w:space="0" w:color="auto"/>
              <w:bottom w:val="single" w:sz="4" w:space="0" w:color="auto"/>
              <w:right w:val="single" w:sz="4" w:space="0" w:color="auto"/>
            </w:tcBorders>
            <w:vAlign w:val="center"/>
          </w:tcPr>
          <w:p w:rsidR="00681494" w:rsidP="009D5499" w14:paraId="50E9CBCC" w14:textId="77777777">
            <w:pPr>
              <w:spacing w:line="276" w:lineRule="auto"/>
              <w:jc w:val="center"/>
              <w:rPr>
                <w:rFonts w:ascii="Times New Roman" w:hAnsi="Times New Roman"/>
                <w:sz w:val="22"/>
                <w:szCs w:val="22"/>
              </w:rPr>
            </w:pPr>
          </w:p>
          <w:p w:rsidR="00964A4F" w:rsidRPr="00E60FB0" w:rsidP="009D5499" w14:paraId="0A8806CB" w14:textId="78863D47">
            <w:pPr>
              <w:spacing w:line="276" w:lineRule="auto"/>
              <w:jc w:val="center"/>
              <w:rPr>
                <w:rFonts w:ascii="Times New Roman" w:hAnsi="Times New Roman"/>
                <w:sz w:val="22"/>
                <w:szCs w:val="22"/>
              </w:rPr>
            </w:pPr>
            <w:r>
              <w:rPr>
                <w:rFonts w:ascii="Times New Roman" w:hAnsi="Times New Roman"/>
                <w:sz w:val="22"/>
                <w:szCs w:val="22"/>
              </w:rPr>
              <w:t>53</w:t>
            </w:r>
          </w:p>
        </w:tc>
        <w:tc>
          <w:tcPr>
            <w:tcW w:w="1228"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1F795205" w14:textId="77777777">
            <w:pPr>
              <w:spacing w:line="276" w:lineRule="auto"/>
              <w:jc w:val="center"/>
              <w:rPr>
                <w:rFonts w:ascii="Times New Roman" w:hAnsi="Times New Roman"/>
                <w:sz w:val="22"/>
                <w:szCs w:val="22"/>
              </w:rPr>
            </w:pPr>
          </w:p>
          <w:p w:rsidR="00964A4F" w:rsidRPr="00E60FB0" w:rsidP="009D5499" w14:paraId="0C4C4D1B"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094"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636BCA1" w14:textId="77777777">
            <w:pPr>
              <w:spacing w:line="276" w:lineRule="auto"/>
              <w:jc w:val="center"/>
              <w:rPr>
                <w:rFonts w:ascii="Times New Roman" w:hAnsi="Times New Roman"/>
                <w:sz w:val="22"/>
                <w:szCs w:val="22"/>
              </w:rPr>
            </w:pPr>
          </w:p>
          <w:p w:rsidR="00964A4F" w:rsidRPr="00E60FB0" w:rsidP="009D5499" w14:paraId="5CEF52B0"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27"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44420D9" w14:textId="77777777">
            <w:pPr>
              <w:spacing w:line="276" w:lineRule="auto"/>
              <w:jc w:val="center"/>
              <w:rPr>
                <w:rFonts w:ascii="Times New Roman" w:hAnsi="Times New Roman"/>
                <w:sz w:val="22"/>
                <w:szCs w:val="22"/>
              </w:rPr>
            </w:pPr>
          </w:p>
          <w:p w:rsidR="00681494" w:rsidP="009D5499" w14:paraId="029C05B6" w14:textId="77777777">
            <w:pPr>
              <w:spacing w:line="276" w:lineRule="auto"/>
              <w:jc w:val="center"/>
              <w:rPr>
                <w:rFonts w:ascii="Times New Roman" w:hAnsi="Times New Roman"/>
                <w:sz w:val="22"/>
                <w:szCs w:val="22"/>
              </w:rPr>
            </w:pPr>
          </w:p>
          <w:p w:rsidR="00964A4F" w:rsidRPr="00E60FB0" w:rsidP="009D5499" w14:paraId="24AD08CA" w14:textId="343C2674">
            <w:pPr>
              <w:spacing w:line="276" w:lineRule="auto"/>
              <w:jc w:val="center"/>
              <w:rPr>
                <w:rFonts w:ascii="Times New Roman" w:hAnsi="Times New Roman"/>
                <w:sz w:val="22"/>
                <w:szCs w:val="22"/>
              </w:rPr>
            </w:pPr>
            <w:r>
              <w:rPr>
                <w:rFonts w:ascii="Times New Roman" w:hAnsi="Times New Roman"/>
                <w:sz w:val="22"/>
                <w:szCs w:val="22"/>
              </w:rPr>
              <w:t>1</w:t>
            </w:r>
          </w:p>
          <w:p w:rsidR="00964A4F" w:rsidRPr="00E60FB0" w:rsidP="009D5499" w14:paraId="1D36ECB3" w14:textId="77777777">
            <w:pPr>
              <w:spacing w:line="276" w:lineRule="auto"/>
              <w:jc w:val="center"/>
              <w:rPr>
                <w:rFonts w:ascii="Times New Roman" w:hAnsi="Times New Roman"/>
                <w:sz w:val="22"/>
                <w:szCs w:val="22"/>
              </w:rPr>
            </w:pPr>
          </w:p>
        </w:tc>
        <w:tc>
          <w:tcPr>
            <w:tcW w:w="883"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5F235529" w14:textId="77777777">
            <w:pPr>
              <w:spacing w:line="276" w:lineRule="auto"/>
              <w:jc w:val="center"/>
              <w:rPr>
                <w:rFonts w:ascii="Times New Roman" w:hAnsi="Times New Roman"/>
                <w:sz w:val="22"/>
                <w:szCs w:val="22"/>
              </w:rPr>
            </w:pPr>
          </w:p>
          <w:p w:rsidR="00964A4F" w:rsidRPr="00E60FB0" w:rsidP="009D5499" w14:paraId="6986E055" w14:textId="77777777">
            <w:pPr>
              <w:spacing w:line="276" w:lineRule="auto"/>
              <w:rPr>
                <w:rFonts w:ascii="Times New Roman" w:hAnsi="Times New Roman"/>
                <w:sz w:val="22"/>
                <w:szCs w:val="22"/>
              </w:rPr>
            </w:pPr>
            <w:r>
              <w:rPr>
                <w:rFonts w:ascii="Times New Roman" w:hAnsi="Times New Roman"/>
                <w:sz w:val="22"/>
                <w:szCs w:val="22"/>
              </w:rPr>
              <w:t>636</w:t>
            </w:r>
          </w:p>
        </w:tc>
        <w:tc>
          <w:tcPr>
            <w:tcW w:w="828"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7658FFEE" w14:textId="77777777">
            <w:pPr>
              <w:spacing w:line="276" w:lineRule="auto"/>
              <w:jc w:val="center"/>
              <w:rPr>
                <w:rFonts w:ascii="Times New Roman" w:hAnsi="Times New Roman"/>
                <w:sz w:val="22"/>
                <w:szCs w:val="22"/>
              </w:rPr>
            </w:pPr>
          </w:p>
          <w:p w:rsidR="00964A4F" w:rsidRPr="00E60FB0" w:rsidP="009D5499" w14:paraId="4F5F529C" w14:textId="77777777">
            <w:pPr>
              <w:spacing w:line="276" w:lineRule="auto"/>
              <w:jc w:val="center"/>
              <w:rPr>
                <w:rFonts w:ascii="Times New Roman" w:hAnsi="Times New Roman"/>
                <w:sz w:val="22"/>
                <w:szCs w:val="22"/>
              </w:rPr>
            </w:pPr>
            <w:r>
              <w:rPr>
                <w:rFonts w:ascii="Times New Roman" w:hAnsi="Times New Roman"/>
                <w:sz w:val="22"/>
                <w:szCs w:val="22"/>
              </w:rPr>
              <w:t>$54</w:t>
            </w:r>
          </w:p>
        </w:tc>
        <w:tc>
          <w:tcPr>
            <w:tcW w:w="866" w:type="dxa"/>
            <w:tcBorders>
              <w:top w:val="single" w:sz="4" w:space="0" w:color="auto"/>
              <w:left w:val="single" w:sz="4" w:space="0" w:color="auto"/>
              <w:bottom w:val="single" w:sz="4" w:space="0" w:color="auto"/>
              <w:right w:val="single" w:sz="4" w:space="0" w:color="auto"/>
            </w:tcBorders>
            <w:vAlign w:val="center"/>
          </w:tcPr>
          <w:p w:rsidR="00681494" w:rsidP="009D5499" w14:paraId="614E1E2E" w14:textId="77777777">
            <w:pPr>
              <w:spacing w:line="276" w:lineRule="auto"/>
              <w:jc w:val="center"/>
              <w:rPr>
                <w:rFonts w:ascii="Times New Roman" w:hAnsi="Times New Roman"/>
                <w:sz w:val="22"/>
                <w:szCs w:val="22"/>
              </w:rPr>
            </w:pPr>
          </w:p>
          <w:p w:rsidR="00681494" w:rsidP="009D5499" w14:paraId="583EF5E1" w14:textId="77777777">
            <w:pPr>
              <w:spacing w:line="276" w:lineRule="auto"/>
              <w:jc w:val="center"/>
              <w:rPr>
                <w:rFonts w:ascii="Times New Roman" w:hAnsi="Times New Roman"/>
                <w:sz w:val="22"/>
                <w:szCs w:val="22"/>
              </w:rPr>
            </w:pPr>
          </w:p>
          <w:p w:rsidR="00964A4F" w:rsidRPr="00E60FB0" w:rsidP="009D5499" w14:paraId="16F0FBF9" w14:textId="0CE8C0F4">
            <w:pPr>
              <w:spacing w:line="276" w:lineRule="auto"/>
              <w:jc w:val="center"/>
              <w:rPr>
                <w:rFonts w:ascii="Times New Roman" w:hAnsi="Times New Roman"/>
                <w:sz w:val="22"/>
                <w:szCs w:val="22"/>
              </w:rPr>
            </w:pPr>
            <w:r>
              <w:rPr>
                <w:rFonts w:ascii="Times New Roman" w:hAnsi="Times New Roman"/>
                <w:sz w:val="22"/>
                <w:szCs w:val="22"/>
              </w:rPr>
              <w:t>$34,344</w:t>
            </w:r>
          </w:p>
          <w:p w:rsidR="00964A4F" w:rsidRPr="00E60FB0" w:rsidP="009D5499" w14:paraId="35FF3601" w14:textId="77777777">
            <w:pPr>
              <w:spacing w:line="276" w:lineRule="auto"/>
              <w:jc w:val="center"/>
              <w:rPr>
                <w:rFonts w:ascii="Times New Roman" w:hAnsi="Times New Roman"/>
                <w:sz w:val="22"/>
                <w:szCs w:val="22"/>
              </w:rPr>
            </w:pPr>
          </w:p>
        </w:tc>
      </w:tr>
      <w:bookmarkEnd w:id="2"/>
      <w:tr w14:paraId="76A9A1E8" w14:textId="77777777" w:rsidTr="00A97A55">
        <w:tblPrEx>
          <w:tblW w:w="0" w:type="auto"/>
          <w:tblLook w:val="04A0"/>
        </w:tblPrEx>
        <w:tc>
          <w:tcPr>
            <w:tcW w:w="2218" w:type="dxa"/>
            <w:tcBorders>
              <w:top w:val="single" w:sz="4" w:space="0" w:color="auto"/>
              <w:left w:val="single" w:sz="4" w:space="0" w:color="auto"/>
              <w:bottom w:val="single" w:sz="4" w:space="0" w:color="auto"/>
              <w:right w:val="single" w:sz="4" w:space="0" w:color="auto"/>
            </w:tcBorders>
            <w:vAlign w:val="bottom"/>
            <w:hideMark/>
          </w:tcPr>
          <w:p w:rsidR="00964A4F" w:rsidRPr="00E60FB0" w:rsidP="009D5499" w14:paraId="179DDB22" w14:textId="056C644D">
            <w:pPr>
              <w:spacing w:line="276" w:lineRule="auto"/>
              <w:rPr>
                <w:rFonts w:ascii="Times New Roman" w:hAnsi="Times New Roman"/>
                <w:sz w:val="22"/>
                <w:szCs w:val="22"/>
              </w:rPr>
            </w:pPr>
            <w:r>
              <w:rPr>
                <w:rFonts w:ascii="Times New Roman" w:hAnsi="Times New Roman"/>
                <w:sz w:val="22"/>
                <w:szCs w:val="22"/>
              </w:rPr>
              <w:t>Unduplicated Totals</w:t>
            </w:r>
          </w:p>
        </w:tc>
        <w:tc>
          <w:tcPr>
            <w:tcW w:w="1306" w:type="dxa"/>
            <w:tcBorders>
              <w:top w:val="single" w:sz="4" w:space="0" w:color="auto"/>
              <w:left w:val="single" w:sz="4" w:space="0" w:color="auto"/>
              <w:bottom w:val="single" w:sz="4" w:space="0" w:color="auto"/>
              <w:right w:val="single" w:sz="4" w:space="0" w:color="auto"/>
            </w:tcBorders>
            <w:vAlign w:val="center"/>
          </w:tcPr>
          <w:p w:rsidR="00681494" w:rsidP="009D5499" w14:paraId="75785733" w14:textId="77777777">
            <w:pPr>
              <w:spacing w:line="276" w:lineRule="auto"/>
              <w:jc w:val="center"/>
              <w:rPr>
                <w:rFonts w:ascii="Times New Roman" w:hAnsi="Times New Roman"/>
                <w:sz w:val="22"/>
                <w:szCs w:val="22"/>
              </w:rPr>
            </w:pPr>
          </w:p>
          <w:p w:rsidR="00964A4F" w:rsidRPr="00E60FB0" w:rsidP="009D5499" w14:paraId="1DEC6D0A" w14:textId="026B9D25">
            <w:pPr>
              <w:spacing w:line="276" w:lineRule="auto"/>
              <w:jc w:val="center"/>
              <w:rPr>
                <w:rFonts w:ascii="Times New Roman" w:hAnsi="Times New Roman"/>
                <w:sz w:val="22"/>
                <w:szCs w:val="22"/>
              </w:rPr>
            </w:pPr>
            <w:r>
              <w:rPr>
                <w:rFonts w:ascii="Times New Roman" w:hAnsi="Times New Roman"/>
                <w:sz w:val="22"/>
                <w:szCs w:val="22"/>
              </w:rPr>
              <w:t>53</w:t>
            </w:r>
          </w:p>
        </w:tc>
        <w:tc>
          <w:tcPr>
            <w:tcW w:w="1228"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121FC944" w14:textId="77777777">
            <w:pPr>
              <w:spacing w:line="276" w:lineRule="auto"/>
              <w:jc w:val="center"/>
              <w:rPr>
                <w:rFonts w:ascii="Times New Roman" w:hAnsi="Times New Roman"/>
                <w:sz w:val="22"/>
                <w:szCs w:val="22"/>
              </w:rPr>
            </w:pPr>
          </w:p>
          <w:p w:rsidR="00964A4F" w:rsidRPr="00E60FB0" w:rsidP="009D5499" w14:paraId="6878E4C2" w14:textId="0D86777C">
            <w:pPr>
              <w:spacing w:line="276" w:lineRule="auto"/>
              <w:jc w:val="center"/>
              <w:rPr>
                <w:rFonts w:ascii="Times New Roman" w:hAnsi="Times New Roman"/>
                <w:sz w:val="22"/>
                <w:szCs w:val="22"/>
              </w:rPr>
            </w:pPr>
          </w:p>
        </w:tc>
        <w:tc>
          <w:tcPr>
            <w:tcW w:w="1094"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00ECC304" w14:textId="77777777">
            <w:pPr>
              <w:spacing w:line="276" w:lineRule="auto"/>
              <w:jc w:val="center"/>
              <w:rPr>
                <w:rFonts w:ascii="Times New Roman" w:hAnsi="Times New Roman"/>
                <w:sz w:val="22"/>
                <w:szCs w:val="22"/>
              </w:rPr>
            </w:pPr>
          </w:p>
          <w:p w:rsidR="00964A4F" w:rsidRPr="00E60FB0" w:rsidP="009D5499" w14:paraId="16023072" w14:textId="2C44922F">
            <w:pPr>
              <w:spacing w:line="276" w:lineRule="auto"/>
              <w:jc w:val="center"/>
              <w:rPr>
                <w:rFonts w:ascii="Times New Roman" w:hAnsi="Times New Roman"/>
                <w:sz w:val="22"/>
                <w:szCs w:val="22"/>
              </w:rPr>
            </w:pPr>
            <w:r>
              <w:rPr>
                <w:rFonts w:ascii="Times New Roman" w:hAnsi="Times New Roman"/>
                <w:sz w:val="22"/>
                <w:szCs w:val="22"/>
              </w:rPr>
              <w:t>1,272</w:t>
            </w:r>
          </w:p>
        </w:tc>
        <w:tc>
          <w:tcPr>
            <w:tcW w:w="927"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D093D89" w14:textId="77777777">
            <w:pPr>
              <w:spacing w:line="276" w:lineRule="auto"/>
              <w:jc w:val="center"/>
              <w:rPr>
                <w:rFonts w:ascii="Times New Roman" w:hAnsi="Times New Roman"/>
                <w:sz w:val="22"/>
                <w:szCs w:val="22"/>
              </w:rPr>
            </w:pPr>
          </w:p>
          <w:p w:rsidR="00964A4F" w:rsidRPr="00E60FB0" w:rsidP="009D5499" w14:paraId="168A97FC" w14:textId="1C1EB06A">
            <w:pPr>
              <w:spacing w:line="276" w:lineRule="auto"/>
              <w:jc w:val="center"/>
              <w:rPr>
                <w:rFonts w:ascii="Times New Roman" w:hAnsi="Times New Roman"/>
                <w:sz w:val="22"/>
                <w:szCs w:val="22"/>
              </w:rPr>
            </w:pPr>
          </w:p>
          <w:p w:rsidR="00964A4F" w:rsidRPr="00E60FB0" w:rsidP="009D5499" w14:paraId="5DF56D4C" w14:textId="77777777">
            <w:pPr>
              <w:spacing w:line="276" w:lineRule="auto"/>
              <w:jc w:val="center"/>
              <w:rPr>
                <w:rFonts w:ascii="Times New Roman" w:hAnsi="Times New Roman"/>
                <w:sz w:val="22"/>
                <w:szCs w:val="22"/>
              </w:rPr>
            </w:pPr>
          </w:p>
        </w:tc>
        <w:tc>
          <w:tcPr>
            <w:tcW w:w="883"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2B6ED2C7" w14:textId="77777777">
            <w:pPr>
              <w:spacing w:line="276" w:lineRule="auto"/>
              <w:jc w:val="center"/>
              <w:rPr>
                <w:rFonts w:ascii="Times New Roman" w:hAnsi="Times New Roman"/>
                <w:sz w:val="22"/>
                <w:szCs w:val="22"/>
              </w:rPr>
            </w:pPr>
          </w:p>
          <w:p w:rsidR="00964A4F" w:rsidRPr="00E60FB0" w:rsidP="009D5499" w14:paraId="5598F1C9" w14:textId="13C4AA99">
            <w:pPr>
              <w:spacing w:line="276" w:lineRule="auto"/>
              <w:rPr>
                <w:rFonts w:ascii="Times New Roman" w:hAnsi="Times New Roman"/>
                <w:sz w:val="22"/>
                <w:szCs w:val="22"/>
              </w:rPr>
            </w:pPr>
            <w:r>
              <w:rPr>
                <w:rFonts w:ascii="Times New Roman" w:hAnsi="Times New Roman"/>
                <w:sz w:val="22"/>
                <w:szCs w:val="22"/>
              </w:rPr>
              <w:t>1,272</w:t>
            </w:r>
          </w:p>
        </w:tc>
        <w:tc>
          <w:tcPr>
            <w:tcW w:w="828" w:type="dxa"/>
            <w:tcBorders>
              <w:top w:val="single" w:sz="4" w:space="0" w:color="auto"/>
              <w:left w:val="single" w:sz="4" w:space="0" w:color="auto"/>
              <w:bottom w:val="single" w:sz="4" w:space="0" w:color="auto"/>
              <w:right w:val="single" w:sz="4" w:space="0" w:color="auto"/>
            </w:tcBorders>
            <w:vAlign w:val="center"/>
          </w:tcPr>
          <w:p w:rsidR="00964A4F" w:rsidRPr="00E60FB0" w:rsidP="009D5499" w14:paraId="67808F86" w14:textId="77777777">
            <w:pPr>
              <w:spacing w:line="276" w:lineRule="auto"/>
              <w:jc w:val="center"/>
              <w:rPr>
                <w:rFonts w:ascii="Times New Roman" w:hAnsi="Times New Roman"/>
                <w:sz w:val="22"/>
                <w:szCs w:val="22"/>
              </w:rPr>
            </w:pPr>
          </w:p>
          <w:p w:rsidR="00964A4F" w:rsidRPr="00E60FB0" w:rsidP="009D5499" w14:paraId="4A0EE9E9" w14:textId="77777777">
            <w:pPr>
              <w:spacing w:line="276" w:lineRule="auto"/>
              <w:jc w:val="center"/>
              <w:rPr>
                <w:rFonts w:ascii="Times New Roman" w:hAnsi="Times New Roman"/>
                <w:sz w:val="22"/>
                <w:szCs w:val="22"/>
              </w:rPr>
            </w:pPr>
            <w:r>
              <w:rPr>
                <w:rFonts w:ascii="Times New Roman" w:hAnsi="Times New Roman"/>
                <w:sz w:val="22"/>
                <w:szCs w:val="22"/>
              </w:rPr>
              <w:t>$54</w:t>
            </w:r>
          </w:p>
        </w:tc>
        <w:tc>
          <w:tcPr>
            <w:tcW w:w="866" w:type="dxa"/>
            <w:tcBorders>
              <w:top w:val="single" w:sz="4" w:space="0" w:color="auto"/>
              <w:left w:val="single" w:sz="4" w:space="0" w:color="auto"/>
              <w:bottom w:val="single" w:sz="4" w:space="0" w:color="auto"/>
              <w:right w:val="single" w:sz="4" w:space="0" w:color="auto"/>
            </w:tcBorders>
            <w:vAlign w:val="center"/>
          </w:tcPr>
          <w:p w:rsidR="00681494" w:rsidP="009D5499" w14:paraId="7DCEFC28" w14:textId="77777777">
            <w:pPr>
              <w:spacing w:line="276" w:lineRule="auto"/>
              <w:jc w:val="center"/>
              <w:rPr>
                <w:rFonts w:ascii="Times New Roman" w:hAnsi="Times New Roman"/>
                <w:sz w:val="22"/>
                <w:szCs w:val="22"/>
              </w:rPr>
            </w:pPr>
          </w:p>
          <w:p w:rsidR="00681494" w:rsidP="009D5499" w14:paraId="5C399827" w14:textId="77777777">
            <w:pPr>
              <w:spacing w:line="276" w:lineRule="auto"/>
              <w:jc w:val="center"/>
              <w:rPr>
                <w:rFonts w:ascii="Times New Roman" w:hAnsi="Times New Roman"/>
                <w:sz w:val="22"/>
                <w:szCs w:val="22"/>
              </w:rPr>
            </w:pPr>
          </w:p>
          <w:p w:rsidR="00964A4F" w:rsidRPr="00E60FB0" w:rsidP="009D5499" w14:paraId="39306E81" w14:textId="08AC7CBA">
            <w:pPr>
              <w:spacing w:line="276" w:lineRule="auto"/>
              <w:jc w:val="center"/>
              <w:rPr>
                <w:rFonts w:ascii="Times New Roman" w:hAnsi="Times New Roman"/>
                <w:sz w:val="22"/>
                <w:szCs w:val="22"/>
              </w:rPr>
            </w:pPr>
            <w:r>
              <w:rPr>
                <w:rFonts w:ascii="Times New Roman" w:hAnsi="Times New Roman"/>
                <w:sz w:val="22"/>
                <w:szCs w:val="22"/>
              </w:rPr>
              <w:t>$</w:t>
            </w:r>
            <w:r w:rsidR="0026106C">
              <w:rPr>
                <w:rFonts w:ascii="Times New Roman" w:hAnsi="Times New Roman"/>
                <w:sz w:val="22"/>
                <w:szCs w:val="22"/>
              </w:rPr>
              <w:t>68,688</w:t>
            </w:r>
          </w:p>
          <w:p w:rsidR="00964A4F" w:rsidRPr="00E60FB0" w:rsidP="009D5499" w14:paraId="120C230F" w14:textId="77777777">
            <w:pPr>
              <w:spacing w:line="276" w:lineRule="auto"/>
              <w:jc w:val="center"/>
              <w:rPr>
                <w:rFonts w:ascii="Times New Roman" w:hAnsi="Times New Roman"/>
                <w:sz w:val="22"/>
                <w:szCs w:val="22"/>
              </w:rPr>
            </w:pPr>
          </w:p>
        </w:tc>
      </w:tr>
    </w:tbl>
    <w:p w:rsidR="00A97A55" w:rsidRPr="00A97A55" w:rsidP="00A97A55" w14:paraId="40744982" w14:textId="77777777">
      <w:pPr>
        <w:contextualSpacing/>
        <w:rPr>
          <w:rFonts w:ascii="Times New Roman" w:hAnsi="Times New Roman"/>
          <w:sz w:val="20"/>
          <w:szCs w:val="20"/>
        </w:rPr>
      </w:pPr>
      <w:bookmarkStart w:id="3" w:name="_Hlk127961663"/>
      <w:bookmarkStart w:id="4" w:name="_Hlk119585834"/>
      <w:r w:rsidRPr="00A97A55">
        <w:rPr>
          <w:rFonts w:ascii="Times New Roman" w:hAnsi="Times New Roman"/>
          <w:sz w:val="20"/>
          <w:szCs w:val="20"/>
        </w:rPr>
        <w:t xml:space="preserve">*Source: The hourly rate is computed by dividing the FY 2023 national average PS/PB annual salary for state staff as provided for through the distribution of state UI administrative grants </w:t>
      </w:r>
    </w:p>
    <w:p w:rsidR="00A97A55" w:rsidRPr="00A97A55" w:rsidP="00A97A55" w14:paraId="4834E1C8" w14:textId="77777777">
      <w:pPr>
        <w:rPr>
          <w:rFonts w:ascii="Times New Roman" w:hAnsi="Times New Roman"/>
          <w:sz w:val="20"/>
          <w:szCs w:val="20"/>
        </w:rPr>
      </w:pPr>
      <w:r w:rsidRPr="00A97A55">
        <w:rPr>
          <w:rFonts w:ascii="Times New Roman" w:hAnsi="Times New Roman"/>
          <w:sz w:val="20"/>
          <w:szCs w:val="20"/>
        </w:rPr>
        <w:t>(</w:t>
      </w:r>
      <w:hyperlink r:id="rId5" w:history="1">
        <w:r w:rsidRPr="00A97A55">
          <w:rPr>
            <w:rFonts w:ascii="Times New Roman" w:hAnsi="Times New Roman"/>
            <w:color w:val="0000FF"/>
            <w:sz w:val="20"/>
            <w:szCs w:val="20"/>
            <w:u w:val="single"/>
          </w:rPr>
          <w:t>https://www.dol.gov/agencies/eta/advisories/uipl-no18-22</w:t>
        </w:r>
      </w:hyperlink>
      <w:r w:rsidRPr="00A97A55">
        <w:rPr>
          <w:rFonts w:ascii="Times New Roman" w:hAnsi="Times New Roman"/>
          <w:color w:val="0000FF"/>
          <w:sz w:val="20"/>
          <w:szCs w:val="20"/>
          <w:u w:val="single"/>
        </w:rPr>
        <w:t>)</w:t>
      </w:r>
      <w:r w:rsidRPr="00A97A55">
        <w:rPr>
          <w:rFonts w:ascii="Times New Roman" w:hAnsi="Times New Roman"/>
          <w:sz w:val="20"/>
          <w:szCs w:val="20"/>
        </w:rPr>
        <w:t>by the average number of hours worked in a year (1,711).  For FY 2023, this calculation is:  $91,210 / 1,711= $54.</w:t>
      </w:r>
    </w:p>
    <w:bookmarkEnd w:id="3"/>
    <w:bookmarkEnd w:id="4"/>
    <w:p w:rsidR="006626FF" w:rsidRPr="00A47DA7" w:rsidP="00690F56" w14:paraId="43BE15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F72D66" w:rsidP="00E60FB0" w14:paraId="6E445B0D" w14:textId="77777777">
      <w:pPr>
        <w:widowControl/>
        <w:autoSpaceDE/>
        <w:autoSpaceDN/>
        <w:adjustRightInd/>
        <w:rPr>
          <w:rFonts w:ascii="Times New Roman" w:hAnsi="Times New Roman"/>
          <w:highlight w:val="yellow"/>
        </w:rPr>
      </w:pPr>
    </w:p>
    <w:p w:rsidR="00CD215D" w:rsidRPr="00D53DEB" w:rsidP="00CD215D"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00CD215D" w:rsidRPr="00D53DEB" w:rsidP="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00CD215D" w:rsidRPr="006F6E13" w:rsidP="00584F8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w:t>
      </w:r>
      <w:r w:rsidRPr="006F6E13">
        <w:rPr>
          <w:rFonts w:ascii="Times New Roman" w:hAnsi="Times New Roman"/>
          <w:b/>
        </w:rPr>
        <w:t>e discount rate(s), and the time period over which costs will be incurred.  Capital and start-up costs include, among other items, preparations for collecting information such as purchasing computers and software; monitoring, sampling, drilling and testing</w:t>
      </w:r>
      <w:r w:rsidRPr="006F6E13">
        <w:rPr>
          <w:rFonts w:ascii="Times New Roman" w:hAnsi="Times New Roman"/>
          <w:b/>
        </w:rPr>
        <w:t xml:space="preserve"> equipment; and record storage facilities.</w:t>
      </w:r>
    </w:p>
    <w:p w:rsidR="00CD215D" w:rsidRPr="00D53DEB" w:rsidP="00584F8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00CD215D" w:rsidRPr="00D53DEB" w:rsidP="00AB4DC3"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w:t>
      </w:r>
      <w:r w:rsidRPr="00D53DEB">
        <w:rPr>
          <w:rFonts w:ascii="Times New Roman" w:hAnsi="Times New Roman"/>
          <w:b/>
        </w:rPr>
        <w:t>hould be a part of this cost burden estimate.  In developing cost burden estimates, agencies may consult with a sample of respondents (fewer than 10), utilize the 60-day pre-OMB submission public comment process and use existing economic or regulatory impa</w:t>
      </w:r>
      <w:r w:rsidRPr="00D53DEB">
        <w:rPr>
          <w:rFonts w:ascii="Times New Roman" w:hAnsi="Times New Roman"/>
          <w:b/>
        </w:rPr>
        <w:t>ct analysis associated with the rulemaking containing the information collection, as appropriate.</w:t>
      </w:r>
    </w:p>
    <w:p w:rsidR="00CD215D" w:rsidRPr="00D53DEB" w:rsidP="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00CD215D" w14:paraId="0AAEE3FF" w14:textId="53A9F128">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w:t>
      </w:r>
      <w:r w:rsidRPr="00D53DEB">
        <w:rPr>
          <w:rFonts w:ascii="Times New Roman" w:hAnsi="Times New Roman"/>
          <w:b/>
        </w:rPr>
        <w:t>regulatory compliance with requirements not associated with the information collection, (3) for reasons other than to provide information or keep records for the government, or (4) as part of customary and usual business or private practices.</w:t>
      </w:r>
    </w:p>
    <w:p w:rsidR="00746CBC" w:rsidP="00746CBC" w14:paraId="33088310" w14:textId="77777777">
      <w:pPr>
        <w:pStyle w:val="ListParagraph"/>
        <w:rPr>
          <w:rFonts w:ascii="Times New Roman" w:hAnsi="Times New Roman"/>
          <w:b/>
        </w:rPr>
      </w:pPr>
    </w:p>
    <w:p w:rsidR="00746CBC" w:rsidRPr="00746CBC" w:rsidP="00746CBC" w14:paraId="39956320" w14:textId="590F08C5">
      <w:pPr>
        <w:jc w:val="both"/>
        <w:rPr>
          <w:rFonts w:ascii="Times New Roman" w:hAnsi="Times New Roman"/>
        </w:rPr>
      </w:pPr>
      <w:r w:rsidRPr="00746CBC">
        <w:rPr>
          <w:rFonts w:ascii="Times New Roman" w:hAnsi="Times New Roman"/>
        </w:rPr>
        <w:t xml:space="preserve">All reports </w:t>
      </w:r>
      <w:r w:rsidRPr="00746CBC">
        <w:rPr>
          <w:rFonts w:ascii="Times New Roman" w:hAnsi="Times New Roman"/>
        </w:rPr>
        <w:t xml:space="preserve">are collected and then electronically transmitted.  There are no operational costs other than those associated with burden hours shown in item 12.  Additional costs incurred by States choosing to create a file on their own computer system and uploading it </w:t>
      </w:r>
      <w:r w:rsidRPr="00746CBC">
        <w:rPr>
          <w:rFonts w:ascii="Times New Roman" w:hAnsi="Times New Roman"/>
        </w:rPr>
        <w:t xml:space="preserve">to the UI system would not be considered an additional burden under the PRA, </w:t>
      </w:r>
      <w:r w:rsidRPr="00746CBC">
        <w:rPr>
          <w:rFonts w:ascii="Times New Roman" w:hAnsi="Times New Roman"/>
          <w:color w:val="000000"/>
        </w:rPr>
        <w:t>as those costs would be incurred only if the State chose not to use the submission system provided free of charge by ETA</w:t>
      </w:r>
      <w:r w:rsidRPr="00746CBC">
        <w:rPr>
          <w:rFonts w:ascii="Times New Roman" w:hAnsi="Times New Roman"/>
        </w:rPr>
        <w:t>.  ETA accounts for the effort to respond to the informatio</w:t>
      </w:r>
      <w:r w:rsidRPr="00746CBC">
        <w:rPr>
          <w:rFonts w:ascii="Times New Roman" w:hAnsi="Times New Roman"/>
        </w:rPr>
        <w:t>n collection under burden hours; consequently, in order to avoid a double counting of the burden the Department has determined that any additional effort would most appropriately be considered a usual or customary business practice that a respondent engage</w:t>
      </w:r>
      <w:r w:rsidRPr="00746CBC">
        <w:rPr>
          <w:rFonts w:ascii="Times New Roman" w:hAnsi="Times New Roman"/>
        </w:rPr>
        <w:t xml:space="preserve">s in for its own purposes.  </w:t>
      </w:r>
      <w:r w:rsidRPr="00746CBC">
        <w:rPr>
          <w:rFonts w:ascii="Times New Roman" w:hAnsi="Times New Roman"/>
          <w:i/>
          <w:iCs/>
        </w:rPr>
        <w:t>See</w:t>
      </w:r>
      <w:r w:rsidRPr="00746CBC">
        <w:rPr>
          <w:rFonts w:ascii="Times New Roman" w:hAnsi="Times New Roman"/>
        </w:rPr>
        <w:t xml:space="preserve"> 5 C.F.R. § 1320.3(b)(2).  </w:t>
      </w:r>
    </w:p>
    <w:p w:rsidR="004E2429" w:rsidRPr="00D53DEB" w:rsidP="00CD215D" w14:paraId="5B054950"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RPr="00F4518C"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14.  Provide estimates of the annualized cost to the Federal Government.  Also, provide a description of the method used to estimate cost, which should include quantification of hours, </w:t>
      </w:r>
      <w:r w:rsidRPr="00D53DEB">
        <w:rPr>
          <w:rFonts w:ascii="Times New Roman" w:hAnsi="Times New Roman"/>
          <w:b/>
          <w:bCs/>
        </w:rPr>
        <w:t>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w:t>
      </w:r>
      <w:r w:rsidRPr="00D53DEB">
        <w:rPr>
          <w:rFonts w:ascii="Times New Roman" w:hAnsi="Times New Roman"/>
          <w:b/>
          <w:bCs/>
        </w:rPr>
        <w:t xml:space="preserve"> table.</w:t>
      </w:r>
    </w:p>
    <w:p w:rsidR="00690F56" w:rsidRPr="00D53DEB" w:rsidP="00690F56" w14:paraId="38EB8C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14:paraId="3F8C7E1B" w14:textId="6BF640D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26106C">
        <w:rPr>
          <w:rFonts w:ascii="Times New Roman" w:hAnsi="Times New Roman"/>
        </w:rPr>
        <w:t xml:space="preserve">Although no staff is required to process this report, during 2023 ETA has budgeted $1,141,509.22 to operate and maintain the Unemployment Insurance Required Reports system.  Including the subject ICR, this reporting system supports 30 information </w:t>
      </w:r>
      <w:r w:rsidRPr="0026106C">
        <w:rPr>
          <w:rFonts w:ascii="Times New Roman" w:hAnsi="Times New Roman"/>
        </w:rPr>
        <w:t>collections. For administrative purposes, each information collection is assumed to contribute an equal share of the cost for supporting the entire system; therefore, the cost allocated to this ICR is estimated to be $38,050.30 ($1,141,509.22 system cost/3</w:t>
      </w:r>
      <w:r w:rsidRPr="0026106C">
        <w:rPr>
          <w:rFonts w:ascii="Times New Roman" w:hAnsi="Times New Roman"/>
        </w:rPr>
        <w:t>0 information collections).</w:t>
      </w:r>
    </w:p>
    <w:p w:rsidR="0026106C" w:rsidRPr="00871CA6" w:rsidP="00690F56" w14:paraId="61225F6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81494" w14:paraId="13EF01B8" w14:textId="400F958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81494" w:rsidRPr="00681494" w:rsidP="00681494" w14:paraId="30E8F7B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p>
    <w:p w:rsidR="00690F56" w:rsidP="00690F56" w14:paraId="5321AF4F" w14:textId="288EECE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 There are no program changes or adjustments. </w:t>
      </w:r>
    </w:p>
    <w:p w:rsidR="00681494" w:rsidRPr="00F4518C" w:rsidP="00690F56" w14:paraId="0E243B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 xml:space="preserve">For collections of information whose results will be published, outline plans for tabulations, and </w:t>
      </w:r>
      <w:r w:rsidRPr="00D53DEB">
        <w:rPr>
          <w:rFonts w:ascii="Times New Roman" w:hAnsi="Times New Roman"/>
          <w:b/>
          <w:bCs/>
        </w:rPr>
        <w:t>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14:paraId="510180C3" w14:textId="5FB2624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FD0AFD" w:rsidRPr="00A47DA7" w:rsidP="00690F56" w14:paraId="59725673" w14:textId="5105F0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FD0AFD">
        <w:rPr>
          <w:rFonts w:ascii="Times New Roman" w:hAnsi="Times New Roman"/>
        </w:rPr>
        <w:t>Data is not published.</w:t>
      </w:r>
    </w:p>
    <w:p w:rsidR="00690F56" w:rsidRPr="00871CA6" w:rsidP="00690F56" w14:paraId="41B59CA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14:paraId="1B1630F4" w14:textId="6DC17B3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1FA5" w:rsidRPr="00A47DA7" w:rsidP="00690F56" w14:paraId="32A0D6C8" w14:textId="0F7D83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491FA5">
        <w:rPr>
          <w:rFonts w:ascii="Times New Roman" w:hAnsi="Times New Roman"/>
        </w:rPr>
        <w:t>The expiration date for OMB approval is displayed.</w:t>
      </w:r>
    </w:p>
    <w:p w:rsidR="000C3A92" w:rsidRPr="00A973AA" w:rsidP="00690F56" w14:paraId="3D60B41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00690F56"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18.  </w:t>
      </w:r>
      <w:r w:rsidRPr="00D53DEB">
        <w:rPr>
          <w:rFonts w:ascii="Times New Roman" w:hAnsi="Times New Roman"/>
          <w:b/>
        </w:rPr>
        <w:t>Explain each exception to the certification statement.</w:t>
      </w:r>
    </w:p>
    <w:p w:rsidR="000C3A92" w:rsidP="000C3A92" w14:paraId="641E1E6D" w14:textId="5F1483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F3E4B" w:rsidRPr="00A47DA7" w:rsidP="000C3A92" w14:paraId="3114B78B" w14:textId="5ED721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F3E4B">
        <w:rPr>
          <w:rFonts w:ascii="Times New Roman" w:hAnsi="Times New Roman"/>
        </w:rPr>
        <w:t>There are no exceptions to the certification statement.</w:t>
      </w:r>
    </w:p>
    <w:p w:rsidR="00690F56" w:rsidRPr="00871CA6" w:rsidP="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00332F98" w:rsidRPr="00D53DEB" w14:paraId="3E8CBCDA" w14:textId="32860D1D">
      <w:pPr>
        <w:rPr>
          <w:rFonts w:ascii="Times New Roman" w:hAnsi="Times New Roman"/>
        </w:rPr>
      </w:pPr>
      <w:r w:rsidRPr="00440265">
        <w:rPr>
          <w:rFonts w:ascii="Times New Roman" w:hAnsi="Times New Roman"/>
        </w:rPr>
        <w:t>This collection of information does not employ statistical methods.</w:t>
      </w:r>
    </w:p>
    <w:sectPr w:rsidSect="00C07F7F">
      <w:headerReference w:type="default" r:id="rId6"/>
      <w:footerReference w:type="even" r:id="rId7"/>
      <w:footerReference w:type="default" r:id="rId8"/>
      <w:headerReference w:type="first" r:id="rId9"/>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287B8B1E">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E97F94">
      <w:rPr>
        <w:rStyle w:val="PageNumber"/>
        <w:rFonts w:ascii="Times New Roman" w:hAnsi="Times New Roman"/>
        <w:noProof/>
      </w:rPr>
      <w:t>5</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6DEFC776">
    <w:pPr>
      <w:pStyle w:val="Header"/>
      <w:rPr>
        <w:rFonts w:ascii="Times New Roman" w:hAnsi="Times New Roman"/>
        <w:bCs/>
        <w:sz w:val="20"/>
        <w:szCs w:val="20"/>
      </w:rPr>
    </w:pPr>
    <w:r>
      <w:rPr>
        <w:rFonts w:ascii="Times New Roman" w:hAnsi="Times New Roman"/>
        <w:bCs/>
        <w:sz w:val="20"/>
        <w:szCs w:val="20"/>
      </w:rPr>
      <w:t>Benefit Appeals Report</w:t>
    </w:r>
  </w:p>
  <w:p w:rsidR="00EC0B43" w14:paraId="52F50703" w14:textId="03C38341">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290467">
      <w:rPr>
        <w:rFonts w:ascii="Times New Roman" w:hAnsi="Times New Roman"/>
        <w:sz w:val="20"/>
        <w:szCs w:val="20"/>
      </w:rPr>
      <w:t>1205-0172</w:t>
    </w:r>
  </w:p>
  <w:p w:rsidR="00E60FB0" w:rsidRPr="00F8164B" w14:paraId="1D1AD862" w14:textId="5C8ECBA6">
    <w:pPr>
      <w:pStyle w:val="Header"/>
      <w:rPr>
        <w:rFonts w:ascii="Times New Roman" w:hAnsi="Times New Roman"/>
        <w:sz w:val="20"/>
        <w:szCs w:val="20"/>
      </w:rPr>
    </w:pPr>
    <w:r>
      <w:rPr>
        <w:rFonts w:ascii="Times New Roman" w:hAnsi="Times New Roman"/>
        <w:sz w:val="20"/>
        <w:szCs w:val="20"/>
      </w:rPr>
      <w:t xml:space="preserve">OMB Expiration Date: </w:t>
    </w:r>
    <w:r w:rsidR="00290467">
      <w:rPr>
        <w:rFonts w:ascii="Times New Roman" w:hAnsi="Times New Roman"/>
        <w:sz w:val="20"/>
        <w:szCs w:val="20"/>
      </w:rPr>
      <w:t>June 30, 2023</w:t>
    </w:r>
  </w:p>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9">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36405108">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2129618160">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920332564">
    <w:abstractNumId w:val="3"/>
  </w:num>
  <w:num w:numId="4" w16cid:durableId="2009938836">
    <w:abstractNumId w:val="8"/>
  </w:num>
  <w:num w:numId="5" w16cid:durableId="1679580585">
    <w:abstractNumId w:val="2"/>
  </w:num>
  <w:num w:numId="6" w16cid:durableId="1102605431">
    <w:abstractNumId w:val="4"/>
  </w:num>
  <w:num w:numId="7" w16cid:durableId="7799275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845702615">
    <w:abstractNumId w:val="10"/>
  </w:num>
  <w:num w:numId="9" w16cid:durableId="1960598356">
    <w:abstractNumId w:val="1"/>
  </w:num>
  <w:num w:numId="10" w16cid:durableId="636184784">
    <w:abstractNumId w:val="9"/>
  </w:num>
  <w:num w:numId="11" w16cid:durableId="1804956846">
    <w:abstractNumId w:val="6"/>
  </w:num>
  <w:num w:numId="12" w16cid:durableId="1086419797">
    <w:abstractNumId w:val="7"/>
  </w:num>
  <w:num w:numId="13" w16cid:durableId="461114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33FD"/>
    <w:rsid w:val="00014158"/>
    <w:rsid w:val="00020F69"/>
    <w:rsid w:val="00022303"/>
    <w:rsid w:val="0004107F"/>
    <w:rsid w:val="00042CBD"/>
    <w:rsid w:val="00051679"/>
    <w:rsid w:val="00052174"/>
    <w:rsid w:val="00061F6C"/>
    <w:rsid w:val="000642EB"/>
    <w:rsid w:val="00064E28"/>
    <w:rsid w:val="0007383F"/>
    <w:rsid w:val="00073D75"/>
    <w:rsid w:val="0008132B"/>
    <w:rsid w:val="00095C30"/>
    <w:rsid w:val="000A7853"/>
    <w:rsid w:val="000B016D"/>
    <w:rsid w:val="000B0391"/>
    <w:rsid w:val="000B4875"/>
    <w:rsid w:val="000B6FB6"/>
    <w:rsid w:val="000C257C"/>
    <w:rsid w:val="000C3A92"/>
    <w:rsid w:val="000C74FB"/>
    <w:rsid w:val="000D7F95"/>
    <w:rsid w:val="000E1C64"/>
    <w:rsid w:val="000F6836"/>
    <w:rsid w:val="001040D4"/>
    <w:rsid w:val="001078BB"/>
    <w:rsid w:val="00116CD5"/>
    <w:rsid w:val="00133C47"/>
    <w:rsid w:val="001371A5"/>
    <w:rsid w:val="00142E5B"/>
    <w:rsid w:val="0014556E"/>
    <w:rsid w:val="0015322B"/>
    <w:rsid w:val="0015365E"/>
    <w:rsid w:val="00157A90"/>
    <w:rsid w:val="001676A9"/>
    <w:rsid w:val="00172671"/>
    <w:rsid w:val="00180E5A"/>
    <w:rsid w:val="00195417"/>
    <w:rsid w:val="001A47D9"/>
    <w:rsid w:val="001D10ED"/>
    <w:rsid w:val="001D2D09"/>
    <w:rsid w:val="001D67BB"/>
    <w:rsid w:val="001E0E7F"/>
    <w:rsid w:val="001E2932"/>
    <w:rsid w:val="001E3596"/>
    <w:rsid w:val="001E5213"/>
    <w:rsid w:val="001F2E8E"/>
    <w:rsid w:val="002016E5"/>
    <w:rsid w:val="002036A1"/>
    <w:rsid w:val="002134B4"/>
    <w:rsid w:val="002203C9"/>
    <w:rsid w:val="00236957"/>
    <w:rsid w:val="00237691"/>
    <w:rsid w:val="00242CA0"/>
    <w:rsid w:val="00243432"/>
    <w:rsid w:val="00247146"/>
    <w:rsid w:val="0026106C"/>
    <w:rsid w:val="00264D3E"/>
    <w:rsid w:val="00273D58"/>
    <w:rsid w:val="00277C1F"/>
    <w:rsid w:val="002866AD"/>
    <w:rsid w:val="00286BE3"/>
    <w:rsid w:val="00290467"/>
    <w:rsid w:val="0029135D"/>
    <w:rsid w:val="00292951"/>
    <w:rsid w:val="00293CD1"/>
    <w:rsid w:val="002A1030"/>
    <w:rsid w:val="002A3962"/>
    <w:rsid w:val="002A5972"/>
    <w:rsid w:val="002C0B84"/>
    <w:rsid w:val="002C4032"/>
    <w:rsid w:val="002C6751"/>
    <w:rsid w:val="002E238B"/>
    <w:rsid w:val="002E4200"/>
    <w:rsid w:val="00304132"/>
    <w:rsid w:val="00312124"/>
    <w:rsid w:val="00313820"/>
    <w:rsid w:val="00317483"/>
    <w:rsid w:val="0032649A"/>
    <w:rsid w:val="00332F98"/>
    <w:rsid w:val="003430A6"/>
    <w:rsid w:val="003448FC"/>
    <w:rsid w:val="003548D8"/>
    <w:rsid w:val="00363CC2"/>
    <w:rsid w:val="00371EEC"/>
    <w:rsid w:val="003876F3"/>
    <w:rsid w:val="00390426"/>
    <w:rsid w:val="00394AEB"/>
    <w:rsid w:val="003A6353"/>
    <w:rsid w:val="003B21B3"/>
    <w:rsid w:val="003C13C6"/>
    <w:rsid w:val="003C1BEB"/>
    <w:rsid w:val="003C2B7B"/>
    <w:rsid w:val="003D5958"/>
    <w:rsid w:val="003D6AC7"/>
    <w:rsid w:val="003E49A6"/>
    <w:rsid w:val="003E5E34"/>
    <w:rsid w:val="003F3E4B"/>
    <w:rsid w:val="003F53FB"/>
    <w:rsid w:val="00400B4D"/>
    <w:rsid w:val="00401F18"/>
    <w:rsid w:val="004056B7"/>
    <w:rsid w:val="0040781C"/>
    <w:rsid w:val="00410AC8"/>
    <w:rsid w:val="00414664"/>
    <w:rsid w:val="00435435"/>
    <w:rsid w:val="00440265"/>
    <w:rsid w:val="00443460"/>
    <w:rsid w:val="0044773C"/>
    <w:rsid w:val="004672B5"/>
    <w:rsid w:val="004844D1"/>
    <w:rsid w:val="0048559D"/>
    <w:rsid w:val="00491FA5"/>
    <w:rsid w:val="00494A93"/>
    <w:rsid w:val="00494D75"/>
    <w:rsid w:val="004A1763"/>
    <w:rsid w:val="004A22A9"/>
    <w:rsid w:val="004B1E83"/>
    <w:rsid w:val="004D1C78"/>
    <w:rsid w:val="004D441E"/>
    <w:rsid w:val="004D46D1"/>
    <w:rsid w:val="004E0A6A"/>
    <w:rsid w:val="004E1D9E"/>
    <w:rsid w:val="004E2429"/>
    <w:rsid w:val="004F0F21"/>
    <w:rsid w:val="005164DC"/>
    <w:rsid w:val="00530EBD"/>
    <w:rsid w:val="00567912"/>
    <w:rsid w:val="00570098"/>
    <w:rsid w:val="00575BDB"/>
    <w:rsid w:val="005805E7"/>
    <w:rsid w:val="00583F5D"/>
    <w:rsid w:val="0058424C"/>
    <w:rsid w:val="00584F8D"/>
    <w:rsid w:val="005A0350"/>
    <w:rsid w:val="005B5990"/>
    <w:rsid w:val="005C6147"/>
    <w:rsid w:val="005D5F8C"/>
    <w:rsid w:val="005E1E88"/>
    <w:rsid w:val="005E5148"/>
    <w:rsid w:val="0060114B"/>
    <w:rsid w:val="00611DE2"/>
    <w:rsid w:val="006227B3"/>
    <w:rsid w:val="00642220"/>
    <w:rsid w:val="00652ED1"/>
    <w:rsid w:val="00653041"/>
    <w:rsid w:val="006626FF"/>
    <w:rsid w:val="006650A8"/>
    <w:rsid w:val="00666562"/>
    <w:rsid w:val="006737CD"/>
    <w:rsid w:val="0067772C"/>
    <w:rsid w:val="00681494"/>
    <w:rsid w:val="00685435"/>
    <w:rsid w:val="00690F56"/>
    <w:rsid w:val="006A4637"/>
    <w:rsid w:val="006C39F8"/>
    <w:rsid w:val="006E1A08"/>
    <w:rsid w:val="006F66F9"/>
    <w:rsid w:val="006F6E13"/>
    <w:rsid w:val="007010C5"/>
    <w:rsid w:val="007011F1"/>
    <w:rsid w:val="007127A1"/>
    <w:rsid w:val="00713ACE"/>
    <w:rsid w:val="00715F82"/>
    <w:rsid w:val="0071749C"/>
    <w:rsid w:val="007412B6"/>
    <w:rsid w:val="007424AD"/>
    <w:rsid w:val="00746CBC"/>
    <w:rsid w:val="007636EC"/>
    <w:rsid w:val="00767D37"/>
    <w:rsid w:val="00774503"/>
    <w:rsid w:val="00777CD2"/>
    <w:rsid w:val="0078038F"/>
    <w:rsid w:val="00783BAC"/>
    <w:rsid w:val="00785FE9"/>
    <w:rsid w:val="00786E04"/>
    <w:rsid w:val="007A7F79"/>
    <w:rsid w:val="007B69FF"/>
    <w:rsid w:val="007D46C2"/>
    <w:rsid w:val="008043E5"/>
    <w:rsid w:val="00804A1A"/>
    <w:rsid w:val="0081073D"/>
    <w:rsid w:val="008323ED"/>
    <w:rsid w:val="00835955"/>
    <w:rsid w:val="00846701"/>
    <w:rsid w:val="008624D5"/>
    <w:rsid w:val="00871CA6"/>
    <w:rsid w:val="00882AB5"/>
    <w:rsid w:val="00882B1D"/>
    <w:rsid w:val="0088672C"/>
    <w:rsid w:val="008A1F0C"/>
    <w:rsid w:val="008A40D1"/>
    <w:rsid w:val="008B541B"/>
    <w:rsid w:val="00901003"/>
    <w:rsid w:val="0090158E"/>
    <w:rsid w:val="00901EF6"/>
    <w:rsid w:val="0090413E"/>
    <w:rsid w:val="009271B1"/>
    <w:rsid w:val="009441E2"/>
    <w:rsid w:val="00963680"/>
    <w:rsid w:val="00964A4F"/>
    <w:rsid w:val="00964D3F"/>
    <w:rsid w:val="009700D9"/>
    <w:rsid w:val="00985C15"/>
    <w:rsid w:val="009A6DCA"/>
    <w:rsid w:val="009B00FD"/>
    <w:rsid w:val="009B38D1"/>
    <w:rsid w:val="009B4116"/>
    <w:rsid w:val="009C2A10"/>
    <w:rsid w:val="009D1EA2"/>
    <w:rsid w:val="009D5499"/>
    <w:rsid w:val="009E0141"/>
    <w:rsid w:val="009E234B"/>
    <w:rsid w:val="009F52F3"/>
    <w:rsid w:val="00A10441"/>
    <w:rsid w:val="00A15094"/>
    <w:rsid w:val="00A15CF9"/>
    <w:rsid w:val="00A21F98"/>
    <w:rsid w:val="00A41C21"/>
    <w:rsid w:val="00A47DA7"/>
    <w:rsid w:val="00A52DE7"/>
    <w:rsid w:val="00A55023"/>
    <w:rsid w:val="00A56B86"/>
    <w:rsid w:val="00A632EF"/>
    <w:rsid w:val="00A677E9"/>
    <w:rsid w:val="00A740AB"/>
    <w:rsid w:val="00A834BF"/>
    <w:rsid w:val="00A90769"/>
    <w:rsid w:val="00A973AA"/>
    <w:rsid w:val="00A97A55"/>
    <w:rsid w:val="00AA177A"/>
    <w:rsid w:val="00AB4DC3"/>
    <w:rsid w:val="00AC775D"/>
    <w:rsid w:val="00AD022F"/>
    <w:rsid w:val="00AD75AC"/>
    <w:rsid w:val="00AF2C11"/>
    <w:rsid w:val="00AF3788"/>
    <w:rsid w:val="00AF5262"/>
    <w:rsid w:val="00AF7928"/>
    <w:rsid w:val="00B13FA6"/>
    <w:rsid w:val="00B26E3E"/>
    <w:rsid w:val="00B35DAD"/>
    <w:rsid w:val="00B47443"/>
    <w:rsid w:val="00B5377A"/>
    <w:rsid w:val="00B6181C"/>
    <w:rsid w:val="00B66231"/>
    <w:rsid w:val="00B70751"/>
    <w:rsid w:val="00B90C19"/>
    <w:rsid w:val="00BA6C9C"/>
    <w:rsid w:val="00BB3BEF"/>
    <w:rsid w:val="00BD34F2"/>
    <w:rsid w:val="00C02744"/>
    <w:rsid w:val="00C02E4A"/>
    <w:rsid w:val="00C05B88"/>
    <w:rsid w:val="00C07F7F"/>
    <w:rsid w:val="00C12530"/>
    <w:rsid w:val="00C14429"/>
    <w:rsid w:val="00C247D8"/>
    <w:rsid w:val="00C34009"/>
    <w:rsid w:val="00C4763A"/>
    <w:rsid w:val="00C63D1E"/>
    <w:rsid w:val="00C667F3"/>
    <w:rsid w:val="00C712D2"/>
    <w:rsid w:val="00C77B5C"/>
    <w:rsid w:val="00C8229E"/>
    <w:rsid w:val="00C824C6"/>
    <w:rsid w:val="00C8275F"/>
    <w:rsid w:val="00C87068"/>
    <w:rsid w:val="00C9162F"/>
    <w:rsid w:val="00C92833"/>
    <w:rsid w:val="00CA2F0A"/>
    <w:rsid w:val="00CB3579"/>
    <w:rsid w:val="00CC0731"/>
    <w:rsid w:val="00CC49BB"/>
    <w:rsid w:val="00CC770C"/>
    <w:rsid w:val="00CD215D"/>
    <w:rsid w:val="00CD6628"/>
    <w:rsid w:val="00D05EAB"/>
    <w:rsid w:val="00D13883"/>
    <w:rsid w:val="00D2331B"/>
    <w:rsid w:val="00D36BB6"/>
    <w:rsid w:val="00D53DEB"/>
    <w:rsid w:val="00D57DE8"/>
    <w:rsid w:val="00D6515E"/>
    <w:rsid w:val="00D73AAD"/>
    <w:rsid w:val="00D75842"/>
    <w:rsid w:val="00D86FF7"/>
    <w:rsid w:val="00D95EC1"/>
    <w:rsid w:val="00DA34DB"/>
    <w:rsid w:val="00DB6C58"/>
    <w:rsid w:val="00DB7B7C"/>
    <w:rsid w:val="00DD6DF0"/>
    <w:rsid w:val="00E0031C"/>
    <w:rsid w:val="00E0138A"/>
    <w:rsid w:val="00E06430"/>
    <w:rsid w:val="00E22463"/>
    <w:rsid w:val="00E23871"/>
    <w:rsid w:val="00E322E9"/>
    <w:rsid w:val="00E3713D"/>
    <w:rsid w:val="00E400EA"/>
    <w:rsid w:val="00E46EE5"/>
    <w:rsid w:val="00E57F5E"/>
    <w:rsid w:val="00E60FB0"/>
    <w:rsid w:val="00E614A1"/>
    <w:rsid w:val="00E700AD"/>
    <w:rsid w:val="00E74ABD"/>
    <w:rsid w:val="00E83023"/>
    <w:rsid w:val="00E833E4"/>
    <w:rsid w:val="00E92EED"/>
    <w:rsid w:val="00E93A0F"/>
    <w:rsid w:val="00E97F94"/>
    <w:rsid w:val="00EA3E66"/>
    <w:rsid w:val="00EC0B43"/>
    <w:rsid w:val="00EC146E"/>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44AD"/>
    <w:rsid w:val="00FB587F"/>
    <w:rsid w:val="00FD0AFD"/>
    <w:rsid w:val="00FF403F"/>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dol.gov/agencies/eta/advisories/uipl-no18-22"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33837-63D1-4DBC-8270-C8EEEA613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2534</Words>
  <Characters>14221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Blumenthal, Mara - OASAM OCIO</cp:lastModifiedBy>
  <cp:revision>2</cp:revision>
  <cp:lastPrinted>2020-02-19T15:46:00Z</cp:lastPrinted>
  <dcterms:created xsi:type="dcterms:W3CDTF">2023-05-05T23:19:00Z</dcterms:created>
  <dcterms:modified xsi:type="dcterms:W3CDTF">2023-05-05T23:19:00Z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8b2ef-7ec2-484b-9195-1d837d645e4c_ActionId">
    <vt:lpwstr>09527e8a-5663-4f46-93e0-4bdaa46c229d</vt:lpwstr>
  </property>
  <property fmtid="{D5CDD505-2E9C-101B-9397-08002B2CF9AE}" pid="3" name="MSIP_Label_5d78b2ef-7ec2-484b-9195-1d837d645e4c_ContentBits">
    <vt:lpwstr>0</vt:lpwstr>
  </property>
  <property fmtid="{D5CDD505-2E9C-101B-9397-08002B2CF9AE}" pid="4" name="MSIP_Label_5d78b2ef-7ec2-484b-9195-1d837d645e4c_Enabled">
    <vt:lpwstr>true</vt:lpwstr>
  </property>
  <property fmtid="{D5CDD505-2E9C-101B-9397-08002B2CF9AE}" pid="5" name="MSIP_Label_5d78b2ef-7ec2-484b-9195-1d837d645e4c_Method">
    <vt:lpwstr>Standard</vt:lpwstr>
  </property>
  <property fmtid="{D5CDD505-2E9C-101B-9397-08002B2CF9AE}" pid="6" name="MSIP_Label_5d78b2ef-7ec2-484b-9195-1d837d645e4c_Name">
    <vt:lpwstr>General</vt:lpwstr>
  </property>
  <property fmtid="{D5CDD505-2E9C-101B-9397-08002B2CF9AE}" pid="7" name="MSIP_Label_5d78b2ef-7ec2-484b-9195-1d837d645e4c_SetDate">
    <vt:lpwstr>2023-04-26T19:03:41Z</vt:lpwstr>
  </property>
  <property fmtid="{D5CDD505-2E9C-101B-9397-08002B2CF9AE}" pid="8" name="MSIP_Label_5d78b2ef-7ec2-484b-9195-1d837d645e4c_SiteId">
    <vt:lpwstr>75a63054-7204-4e0c-9126-adab971d4aca</vt:lpwstr>
  </property>
</Properties>
</file>