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9B" w:rsidRDefault="00423A9B" w:rsidP="00423A9B">
      <w:pPr>
        <w:rPr>
          <w:b/>
        </w:rPr>
      </w:pPr>
      <w:bookmarkStart w:id="0" w:name="_GoBack"/>
      <w:bookmarkEnd w:id="0"/>
    </w:p>
    <w:p w:rsidR="00423A9B" w:rsidRDefault="00423A9B" w:rsidP="00423A9B">
      <w:pPr>
        <w:rPr>
          <w:b/>
        </w:rPr>
      </w:pPr>
    </w:p>
    <w:p w:rsidR="00423A9B" w:rsidRDefault="00423A9B" w:rsidP="00423A9B">
      <w:pPr>
        <w:rPr>
          <w:b/>
        </w:rPr>
      </w:pPr>
    </w:p>
    <w:p w:rsidR="00423A9B" w:rsidRPr="00030CA0" w:rsidRDefault="00423A9B" w:rsidP="00423A9B">
      <w:pPr>
        <w:jc w:val="center"/>
        <w:rPr>
          <w:b/>
          <w:bCs/>
        </w:rPr>
      </w:pPr>
      <w:r w:rsidRPr="00030CA0">
        <w:rPr>
          <w:b/>
          <w:bCs/>
        </w:rPr>
        <w:t>A</w:t>
      </w:r>
      <w:r>
        <w:rPr>
          <w:b/>
          <w:bCs/>
        </w:rPr>
        <w:t>PPENDIX B</w:t>
      </w:r>
      <w:r w:rsidRPr="00030CA0">
        <w:rPr>
          <w:b/>
          <w:bCs/>
        </w:rPr>
        <w:t xml:space="preserve">  </w:t>
      </w:r>
    </w:p>
    <w:p w:rsidR="00423A9B" w:rsidRPr="00030CA0" w:rsidRDefault="00423A9B" w:rsidP="00423A9B">
      <w:pPr>
        <w:jc w:val="center"/>
        <w:rPr>
          <w:b/>
          <w:bCs/>
        </w:rPr>
      </w:pPr>
    </w:p>
    <w:p w:rsidR="00423A9B" w:rsidRPr="00030CA0" w:rsidRDefault="00423A9B" w:rsidP="00423A9B">
      <w:pPr>
        <w:jc w:val="center"/>
        <w:rPr>
          <w:b/>
          <w:bCs/>
        </w:rPr>
      </w:pPr>
    </w:p>
    <w:p w:rsidR="00423A9B" w:rsidRPr="00030CA0" w:rsidRDefault="00423A9B" w:rsidP="00423A9B">
      <w:pPr>
        <w:jc w:val="center"/>
        <w:rPr>
          <w:b/>
          <w:bCs/>
        </w:rPr>
      </w:pPr>
    </w:p>
    <w:p w:rsidR="00423A9B" w:rsidRPr="00030CA0" w:rsidRDefault="00423A9B" w:rsidP="00423A9B">
      <w:pPr>
        <w:jc w:val="center"/>
        <w:rPr>
          <w:b/>
          <w:bCs/>
        </w:rPr>
      </w:pPr>
    </w:p>
    <w:p w:rsidR="00423A9B" w:rsidRPr="00030CA0" w:rsidRDefault="00423A9B" w:rsidP="00423A9B">
      <w:pPr>
        <w:jc w:val="center"/>
        <w:rPr>
          <w:b/>
          <w:bCs/>
          <w:sz w:val="22"/>
          <w:szCs w:val="22"/>
        </w:rPr>
      </w:pPr>
      <w:r w:rsidRPr="00030CA0">
        <w:rPr>
          <w:b/>
          <w:bCs/>
        </w:rPr>
        <w:t>COVER PAGE</w:t>
      </w:r>
    </w:p>
    <w:p w:rsidR="00423A9B" w:rsidRPr="00030CA0" w:rsidRDefault="00423A9B" w:rsidP="00423A9B">
      <w:pPr>
        <w:rPr>
          <w:b/>
          <w:bCs/>
          <w:sz w:val="22"/>
          <w:szCs w:val="22"/>
        </w:rPr>
      </w:pPr>
    </w:p>
    <w:p w:rsidR="00423A9B" w:rsidRPr="00030CA0" w:rsidRDefault="00423A9B" w:rsidP="00423A9B">
      <w:pPr>
        <w:rPr>
          <w:rFonts w:ascii="Arabic Typesetting" w:hAnsi="Arabic Typesetting" w:cs="Arabic Typesetting"/>
          <w:bCs/>
          <w:color w:val="1F497D" w:themeColor="text2"/>
          <w:sz w:val="22"/>
          <w:szCs w:val="22"/>
        </w:rPr>
      </w:pPr>
    </w:p>
    <w:p w:rsidR="00423A9B" w:rsidRPr="00030CA0" w:rsidRDefault="00423A9B" w:rsidP="00423A9B">
      <w:pPr>
        <w:rPr>
          <w:rFonts w:ascii="Arabic Typesetting" w:hAnsi="Arabic Typesetting" w:cs="Arabic Typesetting"/>
          <w:bCs/>
          <w:color w:val="1F497D" w:themeColor="text2"/>
          <w:sz w:val="22"/>
          <w:szCs w:val="22"/>
        </w:rPr>
      </w:pPr>
    </w:p>
    <w:p w:rsidR="00423A9B" w:rsidRPr="00030CA0" w:rsidRDefault="00423A9B" w:rsidP="00423A9B">
      <w:pPr>
        <w:rPr>
          <w:bCs/>
          <w:color w:val="1F497D" w:themeColor="text2"/>
          <w:sz w:val="22"/>
          <w:szCs w:val="22"/>
        </w:rPr>
      </w:pPr>
    </w:p>
    <w:p w:rsidR="00423A9B" w:rsidRPr="00030CA0" w:rsidRDefault="00423A9B" w:rsidP="00423A9B">
      <w:pPr>
        <w:rPr>
          <w:bCs/>
          <w:color w:val="1F497D" w:themeColor="text2"/>
          <w:sz w:val="22"/>
          <w:szCs w:val="22"/>
        </w:rPr>
      </w:pPr>
    </w:p>
    <w:p w:rsidR="00423A9B" w:rsidRPr="00030CA0" w:rsidRDefault="00423A9B" w:rsidP="00423A9B">
      <w:pPr>
        <w:rPr>
          <w:bCs/>
          <w:color w:val="1F497D" w:themeColor="text2"/>
          <w:sz w:val="22"/>
          <w:szCs w:val="22"/>
        </w:rPr>
      </w:pPr>
    </w:p>
    <w:p w:rsidR="00423A9B" w:rsidRPr="00030CA0" w:rsidRDefault="00423A9B" w:rsidP="00423A9B">
      <w:pPr>
        <w:rPr>
          <w:rFonts w:ascii="Arabic Typesetting" w:hAnsi="Arabic Typesetting" w:cs="Arabic Typesetting"/>
          <w:bCs/>
          <w:color w:val="1F497D" w:themeColor="text2"/>
          <w:sz w:val="22"/>
          <w:szCs w:val="22"/>
        </w:rPr>
      </w:pPr>
    </w:p>
    <w:p w:rsidR="00423A9B" w:rsidRPr="00030CA0" w:rsidRDefault="00423A9B" w:rsidP="00423A9B">
      <w:pPr>
        <w:autoSpaceDE w:val="0"/>
        <w:autoSpaceDN w:val="0"/>
        <w:adjustRightInd w:val="0"/>
        <w:rPr>
          <w:rFonts w:ascii="Arabic Typesetting" w:eastAsiaTheme="minorHAnsi" w:hAnsi="Arabic Typesetting" w:cs="Arabic Typesetting"/>
          <w:b/>
          <w:bCs/>
          <w:sz w:val="22"/>
          <w:szCs w:val="22"/>
        </w:rPr>
      </w:pPr>
    </w:p>
    <w:p w:rsidR="00423A9B" w:rsidRPr="00030CA0" w:rsidRDefault="00423A9B" w:rsidP="00423A9B">
      <w:pPr>
        <w:autoSpaceDE w:val="0"/>
        <w:autoSpaceDN w:val="0"/>
        <w:adjustRightInd w:val="0"/>
        <w:jc w:val="center"/>
        <w:rPr>
          <w:rFonts w:ascii="Arabic Typesetting" w:eastAsiaTheme="minorHAnsi" w:hAnsi="Arabic Typesetting" w:cs="Arabic Typesetting"/>
          <w:b/>
          <w:bCs/>
          <w:sz w:val="22"/>
          <w:szCs w:val="22"/>
        </w:rPr>
      </w:pPr>
    </w:p>
    <w:p w:rsidR="00423A9B" w:rsidRPr="00030CA0" w:rsidRDefault="00423A9B" w:rsidP="00423A9B">
      <w:pPr>
        <w:autoSpaceDE w:val="0"/>
        <w:autoSpaceDN w:val="0"/>
        <w:adjustRightInd w:val="0"/>
        <w:jc w:val="center"/>
        <w:rPr>
          <w:rFonts w:ascii="Arabic Typesetting" w:eastAsiaTheme="minorHAnsi" w:hAnsi="Arabic Typesetting" w:cs="Arabic Typesetting"/>
          <w:b/>
          <w:bCs/>
          <w:sz w:val="22"/>
          <w:szCs w:val="22"/>
        </w:rPr>
      </w:pPr>
      <w:r w:rsidRPr="00030CA0">
        <w:rPr>
          <w:rFonts w:ascii="TimesNewRomanPSMT" w:hAnsi="TimesNewRomanPSMT" w:cs="TimesNewRomanPSMT"/>
          <w:noProof/>
          <w:sz w:val="22"/>
          <w:szCs w:val="22"/>
        </w:rPr>
        <mc:AlternateContent>
          <mc:Choice Requires="wps">
            <w:drawing>
              <wp:anchor distT="0" distB="0" distL="114300" distR="114300" simplePos="0" relativeHeight="251670528" behindDoc="1" locked="0" layoutInCell="1" allowOverlap="1" wp14:anchorId="5A606417" wp14:editId="3EECA7D6">
                <wp:simplePos x="0" y="0"/>
                <wp:positionH relativeFrom="column">
                  <wp:posOffset>-304800</wp:posOffset>
                </wp:positionH>
                <wp:positionV relativeFrom="paragraph">
                  <wp:posOffset>-5715</wp:posOffset>
                </wp:positionV>
                <wp:extent cx="6591300" cy="2895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591300" cy="2895600"/>
                        </a:xfrm>
                        <a:prstGeom prst="rect">
                          <a:avLst/>
                        </a:prstGeom>
                        <a:solidFill>
                          <a:sysClr val="window" lastClr="FFFFFF">
                            <a:lumMod val="7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4pt;margin-top:-.45pt;width:519pt;height:2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" fillcolor="#bfbfbf" strokecolor="windowText" strokeweight="2pt"/>
            </w:pict>
          </mc:Fallback>
        </mc:AlternateContent>
      </w:r>
    </w:p>
    <w:p w:rsidR="00423A9B" w:rsidRPr="00030CA0" w:rsidRDefault="00423A9B" w:rsidP="00423A9B">
      <w:pPr>
        <w:autoSpaceDE w:val="0"/>
        <w:autoSpaceDN w:val="0"/>
        <w:adjustRightInd w:val="0"/>
        <w:jc w:val="center"/>
        <w:rPr>
          <w:rFonts w:eastAsiaTheme="minorHAnsi"/>
          <w:b/>
          <w:bCs/>
          <w:sz w:val="22"/>
          <w:szCs w:val="22"/>
        </w:rPr>
      </w:pPr>
      <w:r w:rsidRPr="00030CA0">
        <w:rPr>
          <w:rFonts w:eastAsiaTheme="minorHAnsi"/>
          <w:b/>
          <w:bCs/>
          <w:sz w:val="22"/>
          <w:szCs w:val="22"/>
        </w:rPr>
        <w:t>PAPERWORK BURDEN DISCLOSURE NOTICE</w:t>
      </w:r>
    </w:p>
    <w:p w:rsidR="00423A9B" w:rsidRPr="00030CA0" w:rsidRDefault="00423A9B" w:rsidP="00423A9B">
      <w:pPr>
        <w:autoSpaceDE w:val="0"/>
        <w:autoSpaceDN w:val="0"/>
        <w:adjustRightInd w:val="0"/>
        <w:jc w:val="center"/>
        <w:rPr>
          <w:rFonts w:eastAsiaTheme="minorHAnsi"/>
          <w:b/>
          <w:bCs/>
          <w:sz w:val="22"/>
          <w:szCs w:val="22"/>
        </w:rPr>
      </w:pPr>
      <w:r w:rsidRPr="00030CA0">
        <w:rPr>
          <w:b/>
          <w:sz w:val="22"/>
          <w:szCs w:val="22"/>
        </w:rPr>
        <w:t>OMB Control Number 1210-0126; expires 04/17/2017</w:t>
      </w:r>
    </w:p>
    <w:p w:rsidR="00423A9B" w:rsidRPr="00030CA0" w:rsidRDefault="00423A9B" w:rsidP="00423A9B">
      <w:pPr>
        <w:autoSpaceDE w:val="0"/>
        <w:autoSpaceDN w:val="0"/>
        <w:adjustRightInd w:val="0"/>
        <w:jc w:val="center"/>
        <w:rPr>
          <w:rFonts w:ascii="Arabic Typesetting" w:eastAsiaTheme="minorHAnsi" w:hAnsi="Arabic Typesetting" w:cs="Arabic Typesetting"/>
          <w:b/>
          <w:bCs/>
          <w:sz w:val="22"/>
          <w:szCs w:val="22"/>
        </w:rPr>
      </w:pPr>
    </w:p>
    <w:p w:rsidR="00423A9B" w:rsidRPr="00030CA0" w:rsidRDefault="00423A9B" w:rsidP="00423A9B">
      <w:pPr>
        <w:autoSpaceDE w:val="0"/>
        <w:autoSpaceDN w:val="0"/>
        <w:adjustRightInd w:val="0"/>
        <w:jc w:val="both"/>
        <w:rPr>
          <w:rFonts w:eastAsiaTheme="minorHAnsi"/>
          <w:sz w:val="22"/>
          <w:szCs w:val="22"/>
        </w:rPr>
      </w:pPr>
      <w:r w:rsidRPr="00030CA0">
        <w:rPr>
          <w:rFonts w:eastAsiaTheme="minorHAnsi"/>
          <w:sz w:val="22"/>
          <w:szCs w:val="22"/>
        </w:rPr>
        <w:t xml:space="preserve">Behind this cover page is a model notice that may be used to satisfy the mandatory disclosure requirements set forth in 29 CFR § 2520.101-5. The model notice is a collection of information instrument subject to the Paperwork Reduction Act.  Use of the model notice to meet the disclosure requirements is optional.  You may also develop your own notice, provided it contains all of the information required by 29 CFR § 2520.101-5.  The Department of Labor estimates that it will take an </w:t>
      </w:r>
      <w:r w:rsidRPr="00030CA0">
        <w:rPr>
          <w:sz w:val="22"/>
          <w:szCs w:val="22"/>
        </w:rPr>
        <w:t xml:space="preserve">average of approximately 21 hours for plan administrators to complete the model.  </w:t>
      </w:r>
      <w:r w:rsidRPr="00030CA0">
        <w:rPr>
          <w:rFonts w:eastAsiaTheme="minorHAnsi"/>
          <w:sz w:val="22"/>
          <w:szCs w:val="22"/>
        </w:rPr>
        <w:t xml:space="preserve">You may send comments on this collection of information, including suggestions for reducing burden to: </w:t>
      </w:r>
      <w:r w:rsidRPr="00030CA0">
        <w:rPr>
          <w:sz w:val="22"/>
          <w:szCs w:val="22"/>
        </w:rPr>
        <w:t xml:space="preserve">US Department of Labor, Policy and Research, Attention: PRA Officer, 200 Constitution Avenue, NW, Room N-5718, Washington, DC 20210. The disclosure requirements in 29 CFR § 2520.101-5, referenced above, are also a collection of information under the PRA.  The public is not required to </w:t>
      </w:r>
      <w:r w:rsidRPr="00030CA0">
        <w:rPr>
          <w:rFonts w:eastAsiaTheme="minorHAnsi"/>
          <w:sz w:val="22"/>
          <w:szCs w:val="22"/>
        </w:rPr>
        <w:t>respond to a collection of information unless it displays a currently valid OMB control number.</w:t>
      </w:r>
    </w:p>
    <w:p w:rsidR="00423A9B" w:rsidRPr="00030CA0" w:rsidRDefault="00423A9B" w:rsidP="00423A9B">
      <w:pPr>
        <w:autoSpaceDE w:val="0"/>
        <w:autoSpaceDN w:val="0"/>
        <w:adjustRightInd w:val="0"/>
        <w:jc w:val="center"/>
        <w:rPr>
          <w:rFonts w:eastAsiaTheme="minorHAnsi"/>
          <w:color w:val="FF0000"/>
          <w:sz w:val="22"/>
          <w:szCs w:val="22"/>
        </w:rPr>
      </w:pPr>
    </w:p>
    <w:p w:rsidR="00423A9B" w:rsidRPr="00030CA0" w:rsidRDefault="00423A9B" w:rsidP="00423A9B">
      <w:pPr>
        <w:autoSpaceDE w:val="0"/>
        <w:autoSpaceDN w:val="0"/>
        <w:adjustRightInd w:val="0"/>
        <w:jc w:val="center"/>
        <w:rPr>
          <w:rFonts w:ascii="Arabic Typesetting" w:eastAsiaTheme="minorHAnsi" w:hAnsi="Arabic Typesetting" w:cs="Arabic Typesetting"/>
          <w:b/>
          <w:sz w:val="22"/>
          <w:szCs w:val="22"/>
        </w:rPr>
      </w:pPr>
      <w:r w:rsidRPr="00030CA0">
        <w:rPr>
          <w:rFonts w:eastAsiaTheme="minorHAnsi"/>
          <w:b/>
          <w:sz w:val="22"/>
          <w:szCs w:val="22"/>
        </w:rPr>
        <w:t>DO NOT INCLUDE THIS PAPERWORK REDUCTION ACT BANNER IN NOTICES TO PARTICIPANTS AND BENEFICIAIRES</w:t>
      </w:r>
    </w:p>
    <w:p w:rsidR="00423A9B" w:rsidRPr="00030CA0" w:rsidRDefault="00423A9B" w:rsidP="00423A9B">
      <w:pPr>
        <w:autoSpaceDE w:val="0"/>
        <w:autoSpaceDN w:val="0"/>
        <w:adjustRightInd w:val="0"/>
        <w:jc w:val="center"/>
        <w:rPr>
          <w:rFonts w:ascii="Arabic Typesetting" w:eastAsiaTheme="minorHAnsi" w:hAnsi="Arabic Typesetting" w:cs="Arabic Typesetting"/>
          <w:b/>
          <w:bCs/>
          <w:sz w:val="22"/>
          <w:szCs w:val="22"/>
        </w:rPr>
      </w:pPr>
    </w:p>
    <w:p w:rsidR="00423A9B" w:rsidRPr="00030CA0" w:rsidRDefault="00423A9B" w:rsidP="00423A9B">
      <w:pPr>
        <w:rPr>
          <w:rFonts w:ascii="Arabic Typesetting" w:hAnsi="Arabic Typesetting" w:cs="Arabic Typesetting"/>
          <w:bCs/>
          <w:color w:val="1F497D" w:themeColor="text2"/>
          <w:sz w:val="22"/>
          <w:szCs w:val="22"/>
        </w:rPr>
      </w:pPr>
    </w:p>
    <w:p w:rsidR="00423A9B" w:rsidRPr="00030CA0" w:rsidRDefault="00423A9B" w:rsidP="00423A9B">
      <w:pPr>
        <w:rPr>
          <w:rFonts w:ascii="Arabic Typesetting" w:hAnsi="Arabic Typesetting" w:cs="Arabic Typesetting"/>
          <w:bCs/>
          <w:color w:val="1F497D" w:themeColor="text2"/>
          <w:sz w:val="22"/>
          <w:szCs w:val="22"/>
        </w:rPr>
      </w:pPr>
    </w:p>
    <w:p w:rsidR="00423A9B" w:rsidRPr="00030CA0" w:rsidRDefault="00423A9B" w:rsidP="00423A9B">
      <w:pPr>
        <w:rPr>
          <w:rFonts w:ascii="Arabic Typesetting" w:hAnsi="Arabic Typesetting" w:cs="Arabic Typesetting"/>
          <w:bCs/>
          <w:color w:val="1F497D" w:themeColor="text2"/>
          <w:sz w:val="22"/>
          <w:szCs w:val="22"/>
        </w:rPr>
      </w:pPr>
    </w:p>
    <w:p w:rsidR="00423A9B" w:rsidRPr="00030CA0"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Default="00423A9B" w:rsidP="00423A9B">
      <w:pPr>
        <w:rPr>
          <w:rFonts w:ascii="Arabic Typesetting" w:hAnsi="Arabic Typesetting" w:cs="Arabic Typesetting"/>
          <w:bCs/>
          <w:color w:val="1F497D" w:themeColor="text2"/>
          <w:sz w:val="22"/>
          <w:szCs w:val="22"/>
        </w:rPr>
      </w:pPr>
    </w:p>
    <w:p w:rsidR="00423A9B" w:rsidRPr="00030CA0" w:rsidRDefault="00423A9B" w:rsidP="00423A9B">
      <w:pPr>
        <w:rPr>
          <w:rFonts w:ascii="Arabic Typesetting" w:hAnsi="Arabic Typesetting" w:cs="Arabic Typesetting"/>
          <w:bCs/>
          <w:color w:val="1F497D" w:themeColor="text2"/>
          <w:sz w:val="22"/>
          <w:szCs w:val="22"/>
        </w:rPr>
      </w:pPr>
    </w:p>
    <w:p w:rsidR="00423A9B" w:rsidRPr="00285E19" w:rsidRDefault="00423A9B" w:rsidP="00423A9B">
      <w:pPr>
        <w:jc w:val="center"/>
      </w:pPr>
      <w:r w:rsidRPr="00285E19">
        <w:t>APPENDIX B TO §2520.101-5--MULTIEMPLOYER PLANS</w:t>
      </w:r>
    </w:p>
    <w:p w:rsidR="00423A9B" w:rsidRPr="00285E19" w:rsidRDefault="00423A9B" w:rsidP="00423A9B">
      <w:pPr>
        <w:spacing w:line="480" w:lineRule="auto"/>
        <w:ind w:left="360" w:right="360"/>
        <w:jc w:val="center"/>
        <w:rPr>
          <w:rFonts w:ascii="Book Antiqua" w:hAnsi="Book Antiqua"/>
          <w:bCs/>
          <w:sz w:val="22"/>
          <w:szCs w:val="22"/>
        </w:rPr>
      </w:pPr>
    </w:p>
    <w:p w:rsidR="00423A9B" w:rsidRPr="00285E19" w:rsidRDefault="00423A9B" w:rsidP="00423A9B">
      <w:pPr>
        <w:spacing w:line="480" w:lineRule="auto"/>
        <w:ind w:left="360" w:right="360"/>
        <w:jc w:val="center"/>
        <w:rPr>
          <w:rFonts w:ascii="Book Antiqua" w:hAnsi="Book Antiqua"/>
          <w:bCs/>
          <w:sz w:val="22"/>
          <w:szCs w:val="22"/>
        </w:rPr>
      </w:pPr>
      <w:r w:rsidRPr="00285E19">
        <w:rPr>
          <w:rFonts w:ascii="Book Antiqua" w:hAnsi="Book Antiqua"/>
          <w:bCs/>
          <w:sz w:val="22"/>
          <w:szCs w:val="22"/>
        </w:rPr>
        <w:t>ANNUAL FUNDING NOTICE</w:t>
      </w:r>
    </w:p>
    <w:p w:rsidR="00423A9B" w:rsidRPr="00285E19" w:rsidRDefault="00423A9B" w:rsidP="00423A9B">
      <w:pPr>
        <w:ind w:left="360" w:right="360"/>
        <w:jc w:val="center"/>
        <w:rPr>
          <w:rFonts w:ascii="Book Antiqua" w:hAnsi="Book Antiqua"/>
          <w:bCs/>
          <w:sz w:val="22"/>
          <w:szCs w:val="22"/>
        </w:rPr>
      </w:pPr>
      <w:r w:rsidRPr="00285E19">
        <w:rPr>
          <w:rFonts w:ascii="Book Antiqua" w:hAnsi="Book Antiqua"/>
          <w:bCs/>
          <w:sz w:val="22"/>
          <w:szCs w:val="22"/>
        </w:rPr>
        <w:t>For</w:t>
      </w:r>
    </w:p>
    <w:p w:rsidR="00423A9B" w:rsidRPr="00285E19" w:rsidRDefault="00423A9B" w:rsidP="00423A9B">
      <w:pPr>
        <w:ind w:left="360" w:right="360"/>
        <w:jc w:val="center"/>
        <w:rPr>
          <w:rFonts w:ascii="Book Antiqua" w:hAnsi="Book Antiqua"/>
          <w:sz w:val="22"/>
          <w:szCs w:val="22"/>
        </w:rPr>
      </w:pPr>
      <w:r w:rsidRPr="00285E19">
        <w:rPr>
          <w:rFonts w:ascii="Book Antiqua" w:hAnsi="Book Antiqua"/>
          <w:bCs/>
          <w:sz w:val="22"/>
          <w:szCs w:val="22"/>
        </w:rPr>
        <w:t>[</w:t>
      </w:r>
      <w:proofErr w:type="gramStart"/>
      <w:r w:rsidRPr="00285E19">
        <w:rPr>
          <w:rFonts w:ascii="Book Antiqua" w:hAnsi="Book Antiqua"/>
          <w:bCs/>
          <w:i/>
          <w:sz w:val="22"/>
          <w:szCs w:val="22"/>
        </w:rPr>
        <w:t>insert</w:t>
      </w:r>
      <w:proofErr w:type="gramEnd"/>
      <w:r w:rsidRPr="00285E19">
        <w:rPr>
          <w:rFonts w:ascii="Book Antiqua" w:hAnsi="Book Antiqua"/>
          <w:bCs/>
          <w:i/>
          <w:sz w:val="22"/>
          <w:szCs w:val="22"/>
        </w:rPr>
        <w:t xml:space="preserve"> name of pension plan</w:t>
      </w:r>
      <w:r w:rsidRPr="00285E19">
        <w:rPr>
          <w:rFonts w:ascii="Book Antiqua" w:hAnsi="Book Antiqua"/>
          <w:bCs/>
          <w:sz w:val="22"/>
          <w:szCs w:val="22"/>
        </w:rPr>
        <w:t>]</w:t>
      </w:r>
    </w:p>
    <w:p w:rsidR="00423A9B" w:rsidRPr="00285E19" w:rsidRDefault="00423A9B" w:rsidP="00423A9B">
      <w:pPr>
        <w:ind w:right="360"/>
        <w:rPr>
          <w:rFonts w:ascii="Book Antiqua" w:hAnsi="Book Antiqua"/>
          <w:sz w:val="22"/>
          <w:szCs w:val="22"/>
        </w:rPr>
      </w:pPr>
    </w:p>
    <w:p w:rsidR="00423A9B" w:rsidRPr="00285E19" w:rsidRDefault="00423A9B" w:rsidP="00423A9B">
      <w:pPr>
        <w:jc w:val="center"/>
        <w:rPr>
          <w:rFonts w:ascii="Book Antiqua" w:hAnsi="Book Antiqua"/>
          <w:sz w:val="22"/>
          <w:szCs w:val="22"/>
          <w:u w:val="single"/>
        </w:rPr>
      </w:pPr>
      <w:r w:rsidRPr="00285E19">
        <w:rPr>
          <w:rFonts w:ascii="Book Antiqua" w:hAnsi="Book Antiqua"/>
          <w:sz w:val="22"/>
          <w:szCs w:val="22"/>
          <w:u w:val="single"/>
        </w:rPr>
        <w:t>Introduction</w:t>
      </w:r>
    </w:p>
    <w:p w:rsidR="00423A9B" w:rsidRPr="00285E19" w:rsidRDefault="00423A9B" w:rsidP="00423A9B">
      <w:pPr>
        <w:jc w:val="center"/>
        <w:rPr>
          <w:rFonts w:ascii="Book Antiqua" w:hAnsi="Book Antiqua"/>
          <w:sz w:val="22"/>
          <w:szCs w:val="22"/>
          <w:u w:val="single"/>
        </w:rPr>
      </w:pPr>
    </w:p>
    <w:p w:rsidR="00423A9B" w:rsidRPr="00285E19" w:rsidRDefault="00423A9B" w:rsidP="00423A9B">
      <w:pPr>
        <w:rPr>
          <w:rFonts w:ascii="Book Antiqua" w:hAnsi="Book Antiqua"/>
          <w:sz w:val="22"/>
          <w:szCs w:val="22"/>
        </w:rPr>
      </w:pPr>
      <w:r w:rsidRPr="00285E19">
        <w:rPr>
          <w:rFonts w:ascii="Book Antiqua" w:hAnsi="Book Antiqua"/>
          <w:sz w:val="22"/>
          <w:szCs w:val="22"/>
        </w:rPr>
        <w:t>This notice includes important information about the funding status of your pension plan (“the Plan”).  It also includes general information about the benefit payments guaranteed by the Pension Benefit Guaranty Corporation (“PBGC”), a federal insurance agency.  All traditional pension plans (called “defined benefit pension plans”) must provide this notice every year regardless of their funding status.  This notice does not mean that the Plan is terminating.  It is provided for informational purposes and you are not required to respond in any way.</w:t>
      </w:r>
      <w:r>
        <w:rPr>
          <w:rFonts w:ascii="Book Antiqua" w:hAnsi="Book Antiqua"/>
          <w:sz w:val="22"/>
          <w:szCs w:val="22"/>
        </w:rPr>
        <w:t xml:space="preserve">  This notice is required by federal law.</w:t>
      </w:r>
      <w:r w:rsidRPr="00285E19">
        <w:rPr>
          <w:rFonts w:ascii="Book Antiqua" w:hAnsi="Book Antiqua"/>
          <w:sz w:val="22"/>
          <w:szCs w:val="22"/>
        </w:rPr>
        <w:t xml:space="preserve">  This notice is for the plan year beginning [</w:t>
      </w:r>
      <w:r w:rsidRPr="00285E19">
        <w:rPr>
          <w:rFonts w:ascii="Book Antiqua" w:hAnsi="Book Antiqua"/>
          <w:i/>
          <w:sz w:val="22"/>
          <w:szCs w:val="22"/>
        </w:rPr>
        <w:t>insert beginning date</w:t>
      </w:r>
      <w:r w:rsidRPr="00285E19">
        <w:rPr>
          <w:rFonts w:ascii="Book Antiqua" w:hAnsi="Book Antiqua"/>
          <w:sz w:val="22"/>
          <w:szCs w:val="22"/>
        </w:rPr>
        <w:t>] and ending [</w:t>
      </w:r>
      <w:r w:rsidRPr="00285E19">
        <w:rPr>
          <w:rFonts w:ascii="Book Antiqua" w:hAnsi="Book Antiqua"/>
          <w:i/>
          <w:sz w:val="22"/>
          <w:szCs w:val="22"/>
        </w:rPr>
        <w:t>insert ending date</w:t>
      </w:r>
      <w:r w:rsidRPr="00285E19">
        <w:rPr>
          <w:rFonts w:ascii="Book Antiqua" w:hAnsi="Book Antiqua"/>
          <w:sz w:val="22"/>
          <w:szCs w:val="22"/>
        </w:rPr>
        <w:t>] (“Plan Year”).</w:t>
      </w:r>
    </w:p>
    <w:p w:rsidR="00423A9B" w:rsidRPr="00285E19" w:rsidRDefault="00423A9B" w:rsidP="00423A9B">
      <w:pPr>
        <w:rPr>
          <w:rFonts w:ascii="Book Antiqua" w:hAnsi="Book Antiqua"/>
          <w:b/>
          <w:bCs/>
          <w:sz w:val="22"/>
          <w:szCs w:val="22"/>
          <w:u w:val="single"/>
        </w:rPr>
      </w:pPr>
    </w:p>
    <w:p w:rsidR="00423A9B" w:rsidRPr="00BC24AE" w:rsidRDefault="00423A9B" w:rsidP="00423A9B">
      <w:pPr>
        <w:jc w:val="center"/>
      </w:pPr>
      <w:r w:rsidRPr="00BC24AE">
        <w:rPr>
          <w:rFonts w:ascii="Book Antiqua" w:hAnsi="Book Antiqua"/>
          <w:bCs/>
          <w:sz w:val="22"/>
          <w:szCs w:val="22"/>
          <w:u w:val="single"/>
        </w:rPr>
        <w:t>How Well Funded Is Your Plan</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sz w:val="22"/>
          <w:szCs w:val="22"/>
        </w:rPr>
      </w:pPr>
      <w:r>
        <w:rPr>
          <w:rFonts w:ascii="Book Antiqua" w:hAnsi="Book Antiqua"/>
          <w:sz w:val="22"/>
          <w:szCs w:val="22"/>
        </w:rPr>
        <w:t>T</w:t>
      </w:r>
      <w:r w:rsidRPr="00285E19">
        <w:rPr>
          <w:rFonts w:ascii="Book Antiqua" w:hAnsi="Book Antiqua"/>
          <w:sz w:val="22"/>
          <w:szCs w:val="22"/>
        </w:rPr>
        <w:t xml:space="preserve">he </w:t>
      </w:r>
      <w:r>
        <w:rPr>
          <w:rFonts w:ascii="Book Antiqua" w:hAnsi="Book Antiqua"/>
          <w:sz w:val="22"/>
          <w:szCs w:val="22"/>
        </w:rPr>
        <w:t>P</w:t>
      </w:r>
      <w:r w:rsidRPr="00285E19">
        <w:rPr>
          <w:rFonts w:ascii="Book Antiqua" w:hAnsi="Book Antiqua"/>
          <w:sz w:val="22"/>
          <w:szCs w:val="22"/>
        </w:rPr>
        <w:t xml:space="preserve">lan </w:t>
      </w:r>
      <w:r>
        <w:rPr>
          <w:rFonts w:ascii="Book Antiqua" w:hAnsi="Book Antiqua"/>
          <w:sz w:val="22"/>
          <w:szCs w:val="22"/>
        </w:rPr>
        <w:t xml:space="preserve">legally </w:t>
      </w:r>
      <w:r w:rsidRPr="00285E19">
        <w:rPr>
          <w:rFonts w:ascii="Book Antiqua" w:hAnsi="Book Antiqua"/>
          <w:sz w:val="22"/>
          <w:szCs w:val="22"/>
        </w:rPr>
        <w:t>must tell you how well it is funded</w:t>
      </w:r>
      <w:r>
        <w:rPr>
          <w:rFonts w:ascii="Book Antiqua" w:hAnsi="Book Antiqua"/>
          <w:sz w:val="22"/>
          <w:szCs w:val="22"/>
        </w:rPr>
        <w:t>.  It must</w:t>
      </w:r>
      <w:r w:rsidRPr="00285E19">
        <w:rPr>
          <w:rFonts w:ascii="Book Antiqua" w:hAnsi="Book Antiqua"/>
          <w:sz w:val="22"/>
          <w:szCs w:val="22"/>
        </w:rPr>
        <w:t xml:space="preserve"> </w:t>
      </w:r>
      <w:r>
        <w:rPr>
          <w:rFonts w:ascii="Book Antiqua" w:hAnsi="Book Antiqua"/>
          <w:sz w:val="22"/>
          <w:szCs w:val="22"/>
        </w:rPr>
        <w:t xml:space="preserve">use </w:t>
      </w:r>
      <w:r w:rsidRPr="00285E19">
        <w:rPr>
          <w:rFonts w:ascii="Book Antiqua" w:hAnsi="Book Antiqua"/>
          <w:sz w:val="22"/>
          <w:szCs w:val="22"/>
        </w:rPr>
        <w:t>a measure called the “funded percentage”</w:t>
      </w:r>
      <w:r>
        <w:rPr>
          <w:rFonts w:ascii="Book Antiqua" w:hAnsi="Book Antiqua"/>
          <w:sz w:val="22"/>
          <w:szCs w:val="22"/>
        </w:rPr>
        <w:t xml:space="preserve"> to do this. </w:t>
      </w:r>
      <w:r w:rsidRPr="00285E19">
        <w:rPr>
          <w:rFonts w:ascii="Book Antiqua" w:hAnsi="Book Antiqua"/>
          <w:sz w:val="22"/>
          <w:szCs w:val="22"/>
        </w:rPr>
        <w:t xml:space="preserve"> </w:t>
      </w:r>
      <w:r>
        <w:rPr>
          <w:rFonts w:ascii="Book Antiqua" w:hAnsi="Book Antiqua"/>
          <w:sz w:val="22"/>
          <w:szCs w:val="22"/>
        </w:rPr>
        <w:t>T</w:t>
      </w:r>
      <w:r w:rsidRPr="00285E19">
        <w:rPr>
          <w:rFonts w:ascii="Book Antiqua" w:hAnsi="Book Antiqua"/>
          <w:sz w:val="22"/>
          <w:szCs w:val="22"/>
        </w:rPr>
        <w:t>he Plan</w:t>
      </w:r>
      <w:r>
        <w:rPr>
          <w:rFonts w:ascii="Book Antiqua" w:hAnsi="Book Antiqua"/>
          <w:sz w:val="22"/>
          <w:szCs w:val="22"/>
        </w:rPr>
        <w:t xml:space="preserve"> divides its</w:t>
      </w:r>
      <w:r w:rsidRPr="00285E19">
        <w:rPr>
          <w:rFonts w:ascii="Book Antiqua" w:hAnsi="Book Antiqua"/>
          <w:sz w:val="22"/>
          <w:szCs w:val="22"/>
        </w:rPr>
        <w:t xml:space="preserve"> assets by its liabilities on the Valuation Date for the plan year</w:t>
      </w:r>
      <w:r>
        <w:rPr>
          <w:rFonts w:ascii="Book Antiqua" w:hAnsi="Book Antiqua"/>
          <w:sz w:val="22"/>
          <w:szCs w:val="22"/>
        </w:rPr>
        <w:t xml:space="preserve"> to get this percentage</w:t>
      </w:r>
      <w:r w:rsidRPr="00285E19">
        <w:rPr>
          <w:rFonts w:ascii="Book Antiqua" w:hAnsi="Book Antiqua"/>
          <w:sz w:val="22"/>
          <w:szCs w:val="22"/>
        </w:rPr>
        <w:t xml:space="preserve">.  In general, the higher the percentage, the better funded the plan.  </w:t>
      </w:r>
      <w:r>
        <w:rPr>
          <w:rFonts w:ascii="Book Antiqua" w:hAnsi="Book Antiqua"/>
          <w:sz w:val="22"/>
          <w:szCs w:val="22"/>
        </w:rPr>
        <w:t>The</w:t>
      </w:r>
      <w:r w:rsidRPr="00285E19">
        <w:rPr>
          <w:rFonts w:ascii="Book Antiqua" w:hAnsi="Book Antiqua"/>
          <w:sz w:val="22"/>
          <w:szCs w:val="22"/>
        </w:rPr>
        <w:t xml:space="preserve"> Plan’s funded percentage for the Plan Year and each of the two preceding plan years is shown in the chart below</w:t>
      </w:r>
      <w:r>
        <w:rPr>
          <w:rFonts w:ascii="Book Antiqua" w:hAnsi="Book Antiqua"/>
          <w:sz w:val="22"/>
          <w:szCs w:val="22"/>
        </w:rPr>
        <w:t>.  The chart also states</w:t>
      </w:r>
      <w:r w:rsidRPr="00285E19">
        <w:rPr>
          <w:rFonts w:ascii="Book Antiqua" w:hAnsi="Book Antiqua"/>
          <w:sz w:val="22"/>
          <w:szCs w:val="22"/>
        </w:rPr>
        <w:t xml:space="preserve"> the value of the Plan’s assets and liabilities for the same period.  </w:t>
      </w:r>
    </w:p>
    <w:p w:rsidR="00423A9B" w:rsidRPr="00285E19" w:rsidRDefault="00423A9B" w:rsidP="00423A9B">
      <w:pPr>
        <w:rPr>
          <w:rFonts w:ascii="Book Antiqua" w:hAnsi="Book Antiqua"/>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710"/>
        <w:gridCol w:w="2710"/>
        <w:gridCol w:w="2711"/>
      </w:tblGrid>
      <w:tr w:rsidR="00423A9B" w:rsidRPr="00285E19" w:rsidTr="009868B0">
        <w:tc>
          <w:tcPr>
            <w:tcW w:w="9540" w:type="dxa"/>
            <w:gridSpan w:val="4"/>
          </w:tcPr>
          <w:p w:rsidR="00423A9B" w:rsidRPr="00285E19" w:rsidRDefault="00423A9B" w:rsidP="009868B0">
            <w:pPr>
              <w:jc w:val="center"/>
              <w:rPr>
                <w:rFonts w:ascii="Book Antiqua" w:hAnsi="Book Antiqua"/>
                <w:b/>
                <w:sz w:val="22"/>
                <w:szCs w:val="22"/>
              </w:rPr>
            </w:pPr>
            <w:r w:rsidRPr="00285E19">
              <w:rPr>
                <w:rFonts w:ascii="Book Antiqua" w:hAnsi="Book Antiqua"/>
                <w:b/>
                <w:sz w:val="22"/>
                <w:szCs w:val="22"/>
              </w:rPr>
              <w:t>Funded Percentage</w:t>
            </w:r>
          </w:p>
        </w:tc>
      </w:tr>
      <w:tr w:rsidR="00423A9B" w:rsidRPr="00285E19" w:rsidTr="009868B0">
        <w:tc>
          <w:tcPr>
            <w:tcW w:w="1409" w:type="dxa"/>
          </w:tcPr>
          <w:p w:rsidR="00423A9B" w:rsidRPr="00285E19" w:rsidRDefault="00423A9B" w:rsidP="009868B0">
            <w:pPr>
              <w:rPr>
                <w:rFonts w:ascii="Book Antiqua" w:hAnsi="Book Antiqua"/>
                <w:b/>
                <w:sz w:val="22"/>
                <w:szCs w:val="22"/>
              </w:rPr>
            </w:pPr>
          </w:p>
        </w:tc>
        <w:tc>
          <w:tcPr>
            <w:tcW w:w="2710" w:type="dxa"/>
          </w:tcPr>
          <w:p w:rsidR="00423A9B" w:rsidRPr="00285E19" w:rsidRDefault="00423A9B" w:rsidP="009868B0">
            <w:pPr>
              <w:rPr>
                <w:rFonts w:ascii="Book Antiqua" w:hAnsi="Book Antiqua"/>
                <w:b/>
                <w:sz w:val="22"/>
                <w:szCs w:val="22"/>
              </w:rPr>
            </w:pPr>
            <w:r w:rsidRPr="00285E19">
              <w:rPr>
                <w:rFonts w:ascii="Book Antiqua" w:hAnsi="Book Antiqua"/>
                <w:sz w:val="22"/>
                <w:szCs w:val="22"/>
              </w:rPr>
              <w:t>[insert Plan Year, e.g., 2014]</w:t>
            </w:r>
          </w:p>
        </w:tc>
        <w:tc>
          <w:tcPr>
            <w:tcW w:w="2710" w:type="dxa"/>
            <w:tcBorders>
              <w:bottom w:val="single" w:sz="4" w:space="0" w:color="auto"/>
            </w:tcBorders>
          </w:tcPr>
          <w:p w:rsidR="00423A9B" w:rsidRPr="00285E19" w:rsidRDefault="00423A9B" w:rsidP="009868B0">
            <w:pPr>
              <w:rPr>
                <w:rFonts w:ascii="Book Antiqua" w:hAnsi="Book Antiqua"/>
                <w:i/>
                <w:sz w:val="22"/>
                <w:szCs w:val="22"/>
              </w:rPr>
            </w:pPr>
            <w:r w:rsidRPr="00285E19">
              <w:rPr>
                <w:rFonts w:ascii="Book Antiqua" w:hAnsi="Book Antiqua"/>
                <w:sz w:val="22"/>
                <w:szCs w:val="22"/>
              </w:rPr>
              <w:t>[insert plan year preceding Plan Year, e.g., 2013]</w:t>
            </w:r>
          </w:p>
        </w:tc>
        <w:tc>
          <w:tcPr>
            <w:tcW w:w="2711" w:type="dxa"/>
            <w:tcBorders>
              <w:bottom w:val="single" w:sz="4" w:space="0" w:color="auto"/>
            </w:tcBorders>
          </w:tcPr>
          <w:p w:rsidR="00423A9B" w:rsidRPr="00285E19" w:rsidRDefault="00423A9B" w:rsidP="009868B0">
            <w:pPr>
              <w:rPr>
                <w:rFonts w:ascii="Book Antiqua" w:hAnsi="Book Antiqua"/>
                <w:i/>
                <w:sz w:val="22"/>
                <w:szCs w:val="22"/>
              </w:rPr>
            </w:pPr>
            <w:r w:rsidRPr="00285E19">
              <w:rPr>
                <w:rFonts w:ascii="Book Antiqua" w:hAnsi="Book Antiqua"/>
                <w:sz w:val="22"/>
                <w:szCs w:val="22"/>
              </w:rPr>
              <w:t>[insert plan year 2 years preceding Plan Year, e.g., 2012]</w:t>
            </w:r>
          </w:p>
        </w:tc>
      </w:tr>
      <w:tr w:rsidR="00423A9B" w:rsidRPr="00285E19" w:rsidTr="009868B0">
        <w:tc>
          <w:tcPr>
            <w:tcW w:w="1409"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Valuation Date</w:t>
            </w:r>
          </w:p>
        </w:tc>
        <w:tc>
          <w:tcPr>
            <w:tcW w:w="2710"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[insert date]</w:t>
            </w:r>
          </w:p>
        </w:tc>
        <w:tc>
          <w:tcPr>
            <w:tcW w:w="2710"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[insert date]</w:t>
            </w:r>
          </w:p>
        </w:tc>
        <w:tc>
          <w:tcPr>
            <w:tcW w:w="2711"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[insert date]</w:t>
            </w:r>
          </w:p>
        </w:tc>
      </w:tr>
      <w:tr w:rsidR="00423A9B" w:rsidRPr="00285E19" w:rsidTr="009868B0">
        <w:tc>
          <w:tcPr>
            <w:tcW w:w="1409"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Funded Percentage</w:t>
            </w:r>
          </w:p>
        </w:tc>
        <w:tc>
          <w:tcPr>
            <w:tcW w:w="2710"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 xml:space="preserve">[insert percentage] </w:t>
            </w:r>
          </w:p>
        </w:tc>
        <w:tc>
          <w:tcPr>
            <w:tcW w:w="2710"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[insert percentage]</w:t>
            </w:r>
          </w:p>
        </w:tc>
        <w:tc>
          <w:tcPr>
            <w:tcW w:w="2711"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 xml:space="preserve">[insert percentage] </w:t>
            </w:r>
          </w:p>
        </w:tc>
      </w:tr>
      <w:tr w:rsidR="00423A9B" w:rsidRPr="00285E19" w:rsidTr="009868B0">
        <w:tc>
          <w:tcPr>
            <w:tcW w:w="1409"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 xml:space="preserve">Value of Assets </w:t>
            </w:r>
          </w:p>
        </w:tc>
        <w:tc>
          <w:tcPr>
            <w:tcW w:w="2710"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[insert amount]</w:t>
            </w:r>
          </w:p>
        </w:tc>
        <w:tc>
          <w:tcPr>
            <w:tcW w:w="2710"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[insert amount]</w:t>
            </w:r>
          </w:p>
        </w:tc>
        <w:tc>
          <w:tcPr>
            <w:tcW w:w="2711"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[insert amount]</w:t>
            </w:r>
          </w:p>
        </w:tc>
      </w:tr>
      <w:tr w:rsidR="00423A9B" w:rsidRPr="00285E19" w:rsidTr="009868B0">
        <w:tc>
          <w:tcPr>
            <w:tcW w:w="1409"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Value of Liabilities</w:t>
            </w:r>
          </w:p>
        </w:tc>
        <w:tc>
          <w:tcPr>
            <w:tcW w:w="2710"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[insert amount]</w:t>
            </w:r>
          </w:p>
        </w:tc>
        <w:tc>
          <w:tcPr>
            <w:tcW w:w="2710"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[insert amount]</w:t>
            </w:r>
          </w:p>
        </w:tc>
        <w:tc>
          <w:tcPr>
            <w:tcW w:w="2711"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[insert amount]</w:t>
            </w:r>
          </w:p>
        </w:tc>
      </w:tr>
    </w:tbl>
    <w:p w:rsidR="00423A9B" w:rsidRPr="00285E19" w:rsidRDefault="00423A9B" w:rsidP="00423A9B">
      <w:pPr>
        <w:rPr>
          <w:rFonts w:ascii="Book Antiqua" w:hAnsi="Book Antiqua"/>
          <w:iCs/>
          <w:sz w:val="22"/>
          <w:szCs w:val="22"/>
        </w:rPr>
      </w:pPr>
    </w:p>
    <w:p w:rsidR="00423A9B" w:rsidRPr="00285E19" w:rsidRDefault="00423A9B" w:rsidP="00423A9B">
      <w:pPr>
        <w:tabs>
          <w:tab w:val="center" w:pos="4320"/>
          <w:tab w:val="right" w:pos="8640"/>
        </w:tabs>
        <w:rPr>
          <w:rFonts w:ascii="Book Antiqua" w:hAnsi="Book Antiqua"/>
          <w:i/>
          <w:iCs/>
          <w:sz w:val="18"/>
          <w:szCs w:val="18"/>
        </w:rPr>
      </w:pPr>
      <w:r w:rsidRPr="00285E19">
        <w:rPr>
          <w:rFonts w:ascii="Book Antiqua" w:hAnsi="Book Antiqua"/>
          <w:i/>
          <w:iCs/>
          <w:sz w:val="18"/>
          <w:szCs w:val="18"/>
        </w:rPr>
        <w:t>{Instructions: The plan’s “funded percentage” is equal to a fraction, the numerator of which is the actuarial value of the plan’s assets (determined in the same manner as under section 304(c</w:t>
      </w:r>
      <w:proofErr w:type="gramStart"/>
      <w:r w:rsidRPr="00285E19">
        <w:rPr>
          <w:rFonts w:ascii="Book Antiqua" w:hAnsi="Book Antiqua"/>
          <w:i/>
          <w:iCs/>
          <w:sz w:val="18"/>
          <w:szCs w:val="18"/>
        </w:rPr>
        <w:t>)(</w:t>
      </w:r>
      <w:proofErr w:type="gramEnd"/>
      <w:r w:rsidRPr="00285E19">
        <w:rPr>
          <w:rFonts w:ascii="Book Antiqua" w:hAnsi="Book Antiqua"/>
          <w:i/>
          <w:iCs/>
          <w:sz w:val="18"/>
          <w:szCs w:val="18"/>
        </w:rPr>
        <w:t>2) of ERISA) and the denominator of which is the accrued liability of the plan (</w:t>
      </w:r>
      <w:r w:rsidRPr="00285E19">
        <w:rPr>
          <w:rFonts w:ascii="Book Antiqua" w:hAnsi="Book Antiqua"/>
          <w:i/>
          <w:sz w:val="18"/>
          <w:szCs w:val="18"/>
        </w:rPr>
        <w:t>under section 305(</w:t>
      </w:r>
      <w:proofErr w:type="spellStart"/>
      <w:r w:rsidRPr="00285E19">
        <w:rPr>
          <w:rFonts w:ascii="Book Antiqua" w:hAnsi="Book Antiqua"/>
          <w:i/>
          <w:sz w:val="18"/>
          <w:szCs w:val="18"/>
        </w:rPr>
        <w:t>i</w:t>
      </w:r>
      <w:proofErr w:type="spellEnd"/>
      <w:r w:rsidRPr="00285E19">
        <w:rPr>
          <w:rFonts w:ascii="Book Antiqua" w:hAnsi="Book Antiqua"/>
          <w:i/>
          <w:sz w:val="18"/>
          <w:szCs w:val="18"/>
        </w:rPr>
        <w:t>)(8) of ERISA, using reasonable actuarial assumptions as required under section 304(c)(3) of ERISA)</w:t>
      </w:r>
      <w:r w:rsidRPr="00285E19">
        <w:rPr>
          <w:rFonts w:ascii="Book Antiqua" w:hAnsi="Book Antiqua"/>
          <w:i/>
          <w:iCs/>
          <w:sz w:val="18"/>
          <w:szCs w:val="18"/>
        </w:rPr>
        <w:t xml:space="preserve">.  Report the value of the plan’s assets and liabilities in the same manner as under section 304 of ERISA (but </w:t>
      </w:r>
      <w:r w:rsidRPr="00285E19">
        <w:rPr>
          <w:rFonts w:ascii="Book Antiqua" w:hAnsi="Book Antiqua"/>
          <w:i/>
          <w:iCs/>
          <w:sz w:val="18"/>
          <w:szCs w:val="18"/>
        </w:rPr>
        <w:lastRenderedPageBreak/>
        <w:t xml:space="preserve">determining the plan’s liabilities </w:t>
      </w:r>
      <w:r w:rsidRPr="00285E19">
        <w:rPr>
          <w:rFonts w:ascii="Book Antiqua" w:hAnsi="Book Antiqua"/>
          <w:i/>
          <w:sz w:val="18"/>
          <w:szCs w:val="18"/>
        </w:rPr>
        <w:t>under section 305(</w:t>
      </w:r>
      <w:proofErr w:type="spellStart"/>
      <w:r w:rsidRPr="00285E19">
        <w:rPr>
          <w:rFonts w:ascii="Book Antiqua" w:hAnsi="Book Antiqua"/>
          <w:i/>
          <w:sz w:val="18"/>
          <w:szCs w:val="18"/>
        </w:rPr>
        <w:t>i</w:t>
      </w:r>
      <w:proofErr w:type="spellEnd"/>
      <w:r w:rsidRPr="00285E19">
        <w:rPr>
          <w:rFonts w:ascii="Book Antiqua" w:hAnsi="Book Antiqua"/>
          <w:i/>
          <w:sz w:val="18"/>
          <w:szCs w:val="18"/>
        </w:rPr>
        <w:t>)(8) of ERISA, using reasonable actuarial assumptions as required under section 304(c)(3) of ERISA</w:t>
      </w:r>
      <w:r w:rsidRPr="00285E19">
        <w:rPr>
          <w:rFonts w:ascii="Book Antiqua" w:hAnsi="Book Antiqua"/>
          <w:i/>
          <w:iCs/>
          <w:sz w:val="18"/>
          <w:szCs w:val="18"/>
        </w:rPr>
        <w:t>) as of the plan’s valuation date for the plan year. Round off all amounts in this chart to the nearest dollar.}</w:t>
      </w:r>
    </w:p>
    <w:p w:rsidR="00423A9B" w:rsidRPr="00285E19" w:rsidRDefault="00423A9B" w:rsidP="00423A9B">
      <w:pPr>
        <w:rPr>
          <w:rFonts w:ascii="Book Antiqua" w:hAnsi="Book Antiqua"/>
          <w:sz w:val="22"/>
          <w:szCs w:val="22"/>
        </w:rPr>
      </w:pPr>
    </w:p>
    <w:p w:rsidR="00423A9B" w:rsidRPr="00285E19" w:rsidRDefault="00423A9B" w:rsidP="00423A9B">
      <w:pPr>
        <w:jc w:val="center"/>
        <w:rPr>
          <w:rFonts w:ascii="Book Antiqua" w:hAnsi="Book Antiqua"/>
          <w:sz w:val="22"/>
          <w:szCs w:val="22"/>
          <w:u w:val="single"/>
        </w:rPr>
      </w:pPr>
      <w:r w:rsidRPr="00285E19">
        <w:rPr>
          <w:rFonts w:ascii="Book Antiqua" w:hAnsi="Book Antiqua"/>
          <w:sz w:val="22"/>
          <w:szCs w:val="22"/>
          <w:u w:val="single"/>
        </w:rPr>
        <w:t>Year-End Fair Market Value of Assets</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sz w:val="22"/>
          <w:szCs w:val="22"/>
        </w:rPr>
      </w:pPr>
      <w:r w:rsidRPr="00285E19">
        <w:rPr>
          <w:rFonts w:ascii="Book Antiqua" w:hAnsi="Book Antiqua"/>
          <w:sz w:val="22"/>
          <w:szCs w:val="22"/>
        </w:rPr>
        <w:t>The asset values in the chart above are measured as of the Valuation Date</w:t>
      </w:r>
      <w:r>
        <w:rPr>
          <w:rFonts w:ascii="Book Antiqua" w:hAnsi="Book Antiqua"/>
          <w:sz w:val="22"/>
          <w:szCs w:val="22"/>
        </w:rPr>
        <w:t>.  They also</w:t>
      </w:r>
      <w:r w:rsidRPr="00285E19">
        <w:rPr>
          <w:rFonts w:ascii="Book Antiqua" w:hAnsi="Book Antiqua"/>
          <w:sz w:val="22"/>
          <w:szCs w:val="22"/>
        </w:rPr>
        <w:t xml:space="preserve"> are </w:t>
      </w:r>
      <w:r>
        <w:rPr>
          <w:rFonts w:ascii="Book Antiqua" w:hAnsi="Book Antiqua"/>
          <w:sz w:val="22"/>
          <w:szCs w:val="22"/>
        </w:rPr>
        <w:t>“</w:t>
      </w:r>
      <w:r w:rsidRPr="00285E19">
        <w:rPr>
          <w:rFonts w:ascii="Book Antiqua" w:hAnsi="Book Antiqua"/>
          <w:sz w:val="22"/>
          <w:szCs w:val="22"/>
        </w:rPr>
        <w:t>actuarial values</w:t>
      </w:r>
      <w:r>
        <w:rPr>
          <w:rFonts w:ascii="Book Antiqua" w:hAnsi="Book Antiqua"/>
          <w:sz w:val="22"/>
          <w:szCs w:val="22"/>
        </w:rPr>
        <w:t>.”</w:t>
      </w:r>
      <w:r w:rsidRPr="00285E19">
        <w:rPr>
          <w:rFonts w:ascii="Book Antiqua" w:hAnsi="Book Antiqua"/>
          <w:sz w:val="22"/>
          <w:szCs w:val="22"/>
        </w:rPr>
        <w:t xml:space="preserve"> </w:t>
      </w:r>
      <w:r>
        <w:rPr>
          <w:rFonts w:ascii="Book Antiqua" w:hAnsi="Book Antiqua"/>
          <w:sz w:val="22"/>
          <w:szCs w:val="22"/>
        </w:rPr>
        <w:t xml:space="preserve"> Actuarial values differ from </w:t>
      </w:r>
      <w:r w:rsidRPr="00285E19">
        <w:rPr>
          <w:rFonts w:ascii="Book Antiqua" w:hAnsi="Book Antiqua"/>
          <w:sz w:val="22"/>
          <w:szCs w:val="22"/>
        </w:rPr>
        <w:t xml:space="preserve">market values </w:t>
      </w:r>
      <w:r>
        <w:rPr>
          <w:rFonts w:ascii="Book Antiqua" w:hAnsi="Book Antiqua"/>
          <w:sz w:val="22"/>
          <w:szCs w:val="22"/>
        </w:rPr>
        <w:t xml:space="preserve">in that they do not </w:t>
      </w:r>
      <w:r w:rsidRPr="00285E19">
        <w:rPr>
          <w:rFonts w:ascii="Book Antiqua" w:hAnsi="Book Antiqua"/>
          <w:sz w:val="22"/>
          <w:szCs w:val="22"/>
        </w:rPr>
        <w:t>fluctuate daily based on changes in the stock market or other market</w:t>
      </w:r>
      <w:r>
        <w:rPr>
          <w:rFonts w:ascii="Book Antiqua" w:hAnsi="Book Antiqua"/>
          <w:sz w:val="22"/>
          <w:szCs w:val="22"/>
        </w:rPr>
        <w:t>), like market values do.</w:t>
      </w:r>
      <w:r w:rsidRPr="00285E19">
        <w:rPr>
          <w:rFonts w:ascii="Book Antiqua" w:hAnsi="Book Antiqua"/>
          <w:sz w:val="22"/>
          <w:szCs w:val="22"/>
        </w:rPr>
        <w:t xml:space="preserve"> </w:t>
      </w:r>
      <w:r>
        <w:rPr>
          <w:rFonts w:ascii="Book Antiqua" w:hAnsi="Book Antiqua"/>
          <w:sz w:val="22"/>
          <w:szCs w:val="22"/>
        </w:rPr>
        <w:t xml:space="preserve"> A</w:t>
      </w:r>
      <w:r w:rsidRPr="00285E19">
        <w:rPr>
          <w:rFonts w:ascii="Book Antiqua" w:hAnsi="Book Antiqua"/>
          <w:sz w:val="22"/>
          <w:szCs w:val="22"/>
        </w:rPr>
        <w:t xml:space="preserve">ctuarial values smooth out those fluctuations </w:t>
      </w:r>
      <w:r>
        <w:rPr>
          <w:rFonts w:ascii="Book Antiqua" w:hAnsi="Book Antiqua"/>
          <w:sz w:val="22"/>
          <w:szCs w:val="22"/>
        </w:rPr>
        <w:t>and can allow for more predictable levels of future contributions</w:t>
      </w:r>
      <w:r w:rsidRPr="00285E19">
        <w:rPr>
          <w:rFonts w:ascii="Book Antiqua" w:hAnsi="Book Antiqua"/>
          <w:sz w:val="22"/>
          <w:szCs w:val="22"/>
        </w:rPr>
        <w:t>.</w:t>
      </w:r>
      <w:r>
        <w:rPr>
          <w:rFonts w:ascii="Book Antiqua" w:hAnsi="Book Antiqua"/>
          <w:sz w:val="22"/>
          <w:szCs w:val="22"/>
        </w:rPr>
        <w:t xml:space="preserve">  Despite the fluctuations,</w:t>
      </w:r>
      <w:r w:rsidRPr="00285E19">
        <w:rPr>
          <w:rFonts w:ascii="Book Antiqua" w:hAnsi="Book Antiqua"/>
          <w:sz w:val="22"/>
          <w:szCs w:val="22"/>
        </w:rPr>
        <w:t xml:space="preserve"> </w:t>
      </w:r>
      <w:r>
        <w:rPr>
          <w:rFonts w:ascii="Book Antiqua" w:hAnsi="Book Antiqua"/>
          <w:sz w:val="22"/>
          <w:szCs w:val="22"/>
        </w:rPr>
        <w:t>m</w:t>
      </w:r>
      <w:r w:rsidRPr="00285E19">
        <w:rPr>
          <w:rFonts w:ascii="Book Antiqua" w:hAnsi="Book Antiqua"/>
          <w:sz w:val="22"/>
          <w:szCs w:val="22"/>
        </w:rPr>
        <w:t xml:space="preserve">arket values tend to show a clearer picture of </w:t>
      </w:r>
      <w:r>
        <w:rPr>
          <w:rFonts w:ascii="Book Antiqua" w:hAnsi="Book Antiqua"/>
          <w:sz w:val="22"/>
          <w:szCs w:val="22"/>
        </w:rPr>
        <w:t>a</w:t>
      </w:r>
      <w:r w:rsidRPr="00285E19">
        <w:rPr>
          <w:rFonts w:ascii="Book Antiqua" w:hAnsi="Book Antiqua"/>
          <w:sz w:val="22"/>
          <w:szCs w:val="22"/>
        </w:rPr>
        <w:t xml:space="preserve"> </w:t>
      </w:r>
      <w:r>
        <w:rPr>
          <w:rFonts w:ascii="Book Antiqua" w:hAnsi="Book Antiqua"/>
          <w:sz w:val="22"/>
          <w:szCs w:val="22"/>
        </w:rPr>
        <w:t>p</w:t>
      </w:r>
      <w:r w:rsidRPr="00285E19">
        <w:rPr>
          <w:rFonts w:ascii="Book Antiqua" w:hAnsi="Book Antiqua"/>
          <w:sz w:val="22"/>
          <w:szCs w:val="22"/>
        </w:rPr>
        <w:t xml:space="preserve">lan’s funded status </w:t>
      </w:r>
      <w:r>
        <w:rPr>
          <w:rFonts w:ascii="Book Antiqua" w:hAnsi="Book Antiqua"/>
          <w:sz w:val="22"/>
          <w:szCs w:val="22"/>
        </w:rPr>
        <w:t>at</w:t>
      </w:r>
      <w:r w:rsidRPr="00285E19">
        <w:rPr>
          <w:rFonts w:ascii="Book Antiqua" w:hAnsi="Book Antiqua"/>
          <w:sz w:val="22"/>
          <w:szCs w:val="22"/>
        </w:rPr>
        <w:t xml:space="preserve"> a given point in time.</w:t>
      </w:r>
      <w:r>
        <w:rPr>
          <w:rFonts w:ascii="Book Antiqua" w:hAnsi="Book Antiqua"/>
          <w:sz w:val="22"/>
          <w:szCs w:val="22"/>
        </w:rPr>
        <w:t xml:space="preserve">  The asset values in the chart below are market values and are measured on the last day of the Plan Year.</w:t>
      </w:r>
      <w:r w:rsidRPr="00285E19">
        <w:rPr>
          <w:rFonts w:ascii="Book Antiqua" w:hAnsi="Book Antiqua"/>
          <w:sz w:val="22"/>
          <w:szCs w:val="22"/>
        </w:rPr>
        <w:t xml:space="preserve">  The </w:t>
      </w:r>
      <w:r>
        <w:rPr>
          <w:rFonts w:ascii="Book Antiqua" w:hAnsi="Book Antiqua"/>
          <w:sz w:val="22"/>
          <w:szCs w:val="22"/>
        </w:rPr>
        <w:t>chart also includes the year-end market value of the Plan’s assets for</w:t>
      </w:r>
      <w:r w:rsidRPr="00285E19">
        <w:rPr>
          <w:rFonts w:ascii="Book Antiqua" w:hAnsi="Book Antiqua"/>
          <w:sz w:val="22"/>
          <w:szCs w:val="22"/>
        </w:rPr>
        <w:t xml:space="preserve"> each of the two preceding plan years</w:t>
      </w:r>
      <w:r>
        <w:rPr>
          <w:rFonts w:ascii="Book Antiqua" w:hAnsi="Book Antiqua"/>
          <w:sz w:val="22"/>
          <w:szCs w:val="22"/>
        </w:rPr>
        <w:t>.</w:t>
      </w:r>
    </w:p>
    <w:p w:rsidR="00423A9B" w:rsidRPr="00285E19" w:rsidRDefault="00423A9B" w:rsidP="00423A9B">
      <w:pPr>
        <w:rPr>
          <w:rFonts w:ascii="Book Antiqua" w:hAnsi="Book Antiqua"/>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710"/>
        <w:gridCol w:w="2710"/>
        <w:gridCol w:w="2711"/>
      </w:tblGrid>
      <w:tr w:rsidR="00423A9B" w:rsidRPr="00285E19" w:rsidTr="009868B0">
        <w:tc>
          <w:tcPr>
            <w:tcW w:w="1409" w:type="dxa"/>
          </w:tcPr>
          <w:p w:rsidR="00423A9B" w:rsidRPr="00285E19" w:rsidRDefault="00423A9B" w:rsidP="009868B0">
            <w:pPr>
              <w:rPr>
                <w:rFonts w:ascii="Book Antiqua" w:hAnsi="Book Antiqua"/>
                <w:b/>
                <w:sz w:val="22"/>
                <w:szCs w:val="22"/>
              </w:rPr>
            </w:pPr>
          </w:p>
        </w:tc>
        <w:tc>
          <w:tcPr>
            <w:tcW w:w="2710" w:type="dxa"/>
          </w:tcPr>
          <w:p w:rsidR="00423A9B" w:rsidRPr="00285E19" w:rsidRDefault="00423A9B" w:rsidP="009868B0">
            <w:pPr>
              <w:rPr>
                <w:rFonts w:ascii="Book Antiqua" w:hAnsi="Book Antiqua"/>
                <w:b/>
                <w:sz w:val="22"/>
                <w:szCs w:val="22"/>
              </w:rPr>
            </w:pPr>
            <w:r w:rsidRPr="00285E19">
              <w:rPr>
                <w:rFonts w:ascii="Book Antiqua" w:hAnsi="Book Antiqua"/>
                <w:sz w:val="22"/>
                <w:szCs w:val="22"/>
              </w:rPr>
              <w:t>[insert last day of Plan Year, e.g., 2014]</w:t>
            </w:r>
          </w:p>
        </w:tc>
        <w:tc>
          <w:tcPr>
            <w:tcW w:w="2710" w:type="dxa"/>
            <w:tcBorders>
              <w:bottom w:val="single" w:sz="4" w:space="0" w:color="auto"/>
            </w:tcBorders>
          </w:tcPr>
          <w:p w:rsidR="00423A9B" w:rsidRPr="00285E19" w:rsidRDefault="00423A9B" w:rsidP="009868B0">
            <w:pPr>
              <w:rPr>
                <w:rFonts w:ascii="Book Antiqua" w:hAnsi="Book Antiqua"/>
                <w:i/>
                <w:sz w:val="22"/>
                <w:szCs w:val="22"/>
              </w:rPr>
            </w:pPr>
            <w:r w:rsidRPr="00285E19">
              <w:rPr>
                <w:rFonts w:ascii="Book Antiqua" w:hAnsi="Book Antiqua"/>
                <w:sz w:val="22"/>
                <w:szCs w:val="22"/>
              </w:rPr>
              <w:t>[insert last day of plan year preceding Plan Year, e.g., 2013]</w:t>
            </w:r>
          </w:p>
        </w:tc>
        <w:tc>
          <w:tcPr>
            <w:tcW w:w="2711" w:type="dxa"/>
            <w:tcBorders>
              <w:bottom w:val="single" w:sz="4" w:space="0" w:color="auto"/>
            </w:tcBorders>
          </w:tcPr>
          <w:p w:rsidR="00423A9B" w:rsidRPr="00285E19" w:rsidRDefault="00423A9B" w:rsidP="009868B0">
            <w:pPr>
              <w:rPr>
                <w:rFonts w:ascii="Book Antiqua" w:hAnsi="Book Antiqua"/>
                <w:i/>
                <w:sz w:val="22"/>
                <w:szCs w:val="22"/>
              </w:rPr>
            </w:pPr>
            <w:r w:rsidRPr="00285E19">
              <w:rPr>
                <w:rFonts w:ascii="Book Antiqua" w:hAnsi="Book Antiqua"/>
                <w:sz w:val="22"/>
                <w:szCs w:val="22"/>
              </w:rPr>
              <w:t>[insert last day of plan year 2 years preceding Plan Year, e.g., 2012]</w:t>
            </w:r>
          </w:p>
        </w:tc>
      </w:tr>
      <w:tr w:rsidR="00423A9B" w:rsidRPr="00285E19" w:rsidTr="009868B0">
        <w:tc>
          <w:tcPr>
            <w:tcW w:w="1409"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Fair Market Value of Assets</w:t>
            </w:r>
          </w:p>
        </w:tc>
        <w:tc>
          <w:tcPr>
            <w:tcW w:w="2710" w:type="dxa"/>
          </w:tcPr>
          <w:p w:rsidR="00423A9B" w:rsidRPr="00285E19" w:rsidRDefault="00423A9B" w:rsidP="009868B0">
            <w:pPr>
              <w:rPr>
                <w:rFonts w:ascii="Book Antiqua" w:hAnsi="Book Antiqua"/>
                <w:sz w:val="22"/>
                <w:szCs w:val="22"/>
              </w:rPr>
            </w:pPr>
            <w:r w:rsidRPr="00285E19">
              <w:rPr>
                <w:rFonts w:ascii="Book Antiqua" w:hAnsi="Book Antiqua"/>
                <w:sz w:val="22"/>
                <w:szCs w:val="22"/>
              </w:rPr>
              <w:t>[insert amount]</w:t>
            </w:r>
          </w:p>
        </w:tc>
        <w:tc>
          <w:tcPr>
            <w:tcW w:w="2710"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[insert amount]</w:t>
            </w:r>
          </w:p>
        </w:tc>
        <w:tc>
          <w:tcPr>
            <w:tcW w:w="2711" w:type="dxa"/>
            <w:shd w:val="clear" w:color="auto" w:fill="auto"/>
          </w:tcPr>
          <w:p w:rsidR="00423A9B" w:rsidRPr="00285E19" w:rsidRDefault="00423A9B" w:rsidP="009868B0">
            <w:pPr>
              <w:rPr>
                <w:rFonts w:ascii="Book Antiqua" w:hAnsi="Book Antiqua"/>
                <w:sz w:val="22"/>
                <w:szCs w:val="22"/>
              </w:rPr>
            </w:pPr>
            <w:r w:rsidRPr="00285E19">
              <w:rPr>
                <w:rFonts w:ascii="Book Antiqua" w:hAnsi="Book Antiqua"/>
                <w:sz w:val="22"/>
                <w:szCs w:val="22"/>
              </w:rPr>
              <w:t>[insert amount]</w:t>
            </w:r>
          </w:p>
        </w:tc>
      </w:tr>
    </w:tbl>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sz w:val="22"/>
          <w:szCs w:val="22"/>
        </w:rPr>
      </w:pPr>
      <w:r w:rsidRPr="00285E19">
        <w:rPr>
          <w:rFonts w:ascii="Book Antiqua" w:hAnsi="Book Antiqua"/>
          <w:i/>
          <w:sz w:val="18"/>
          <w:szCs w:val="18"/>
        </w:rPr>
        <w:t>{Instructions:</w:t>
      </w:r>
      <w:r w:rsidRPr="00285E19">
        <w:rPr>
          <w:rFonts w:ascii="Book Antiqua" w:hAnsi="Book Antiqua" w:cs="Arial"/>
          <w:i/>
          <w:sz w:val="18"/>
          <w:szCs w:val="18"/>
        </w:rPr>
        <w:t xml:space="preserve"> Insert the fair market value of the plan's assets as of the last day of the plan year.  You may </w:t>
      </w:r>
      <w:r w:rsidRPr="00285E19">
        <w:rPr>
          <w:rFonts w:ascii="Book Antiqua" w:hAnsi="Book Antiqua" w:cs="Courier New"/>
          <w:i/>
          <w:sz w:val="18"/>
          <w:szCs w:val="18"/>
        </w:rPr>
        <w:t>include contributions made after the end of the plan year to which the notice relates and before the date the notice is timely furnished but only if such contributions are attributable to such plan year for funding purposes.  For each of the two preceding plan years, you may use the fair market value of assets on the last day of the plan year as reported in the annual report for such plan year.}</w:t>
      </w:r>
    </w:p>
    <w:p w:rsidR="00423A9B" w:rsidRPr="00285E19" w:rsidRDefault="00423A9B" w:rsidP="00423A9B">
      <w:pPr>
        <w:rPr>
          <w:rFonts w:ascii="Book Antiqua" w:hAnsi="Book Antiqua"/>
          <w:sz w:val="22"/>
          <w:szCs w:val="22"/>
        </w:rPr>
      </w:pPr>
    </w:p>
    <w:p w:rsidR="00423A9B" w:rsidRPr="00285E19" w:rsidRDefault="00423A9B" w:rsidP="00423A9B">
      <w:pPr>
        <w:jc w:val="center"/>
        <w:rPr>
          <w:rFonts w:ascii="Book Antiqua" w:hAnsi="Book Antiqua"/>
          <w:sz w:val="22"/>
          <w:szCs w:val="22"/>
          <w:u w:val="single"/>
        </w:rPr>
      </w:pPr>
      <w:r w:rsidRPr="00285E19">
        <w:rPr>
          <w:rFonts w:ascii="Book Antiqua" w:hAnsi="Book Antiqua"/>
          <w:sz w:val="22"/>
          <w:szCs w:val="22"/>
          <w:u w:val="single"/>
        </w:rPr>
        <w:t>Critical or Endangered Status</w:t>
      </w:r>
    </w:p>
    <w:p w:rsidR="00423A9B" w:rsidRPr="00285E19" w:rsidRDefault="00423A9B" w:rsidP="00423A9B">
      <w:pPr>
        <w:jc w:val="center"/>
        <w:rPr>
          <w:rFonts w:ascii="Book Antiqua" w:hAnsi="Book Antiqua"/>
          <w:sz w:val="22"/>
          <w:szCs w:val="22"/>
          <w:u w:val="single"/>
        </w:rPr>
      </w:pPr>
    </w:p>
    <w:p w:rsidR="00423A9B" w:rsidRPr="00285E19" w:rsidRDefault="00423A9B" w:rsidP="00423A9B">
      <w:pPr>
        <w:rPr>
          <w:rFonts w:ascii="Book Antiqua" w:hAnsi="Book Antiqua"/>
          <w:sz w:val="22"/>
          <w:szCs w:val="22"/>
        </w:rPr>
      </w:pPr>
      <w:r w:rsidRPr="00285E19">
        <w:rPr>
          <w:rFonts w:ascii="Book Antiqua" w:hAnsi="Book Antiqua"/>
          <w:sz w:val="22"/>
          <w:szCs w:val="22"/>
        </w:rPr>
        <w:t>Under federal pension law a plan generally will be considered to be in “endangered” status if, at the beginning of the plan year, the funded percentage of the plan is less than 80 percent or in “critical” status if the percentage is less than 65 percent (other factors may also apply).  If a pension plan enters endangered status, the trustees of the plan are required to adopt a funding improvement plan.  Similarly, if a pension plan enters critical status, the trustees of the plan are required to adopt a rehabilitation plan.  Rehabilitation and funding improvement plans establish steps and benchmarks for pension plans to improve their funding status over a specified period of time.</w:t>
      </w:r>
    </w:p>
    <w:p w:rsidR="00423A9B" w:rsidRPr="00285E19" w:rsidRDefault="00423A9B" w:rsidP="00423A9B">
      <w:pPr>
        <w:rPr>
          <w:rFonts w:ascii="Book Antiqua" w:hAnsi="Book Antiqua"/>
          <w:sz w:val="22"/>
          <w:szCs w:val="22"/>
        </w:rPr>
      </w:pPr>
      <w:r w:rsidRPr="00285E19">
        <w:rPr>
          <w:rFonts w:ascii="Book Antiqua" w:hAnsi="Book Antiqua"/>
          <w:sz w:val="22"/>
          <w:szCs w:val="22"/>
        </w:rPr>
        <w:t xml:space="preserve"> </w:t>
      </w:r>
    </w:p>
    <w:p w:rsidR="00423A9B" w:rsidRPr="00285E19" w:rsidRDefault="00423A9B" w:rsidP="00423A9B">
      <w:pPr>
        <w:rPr>
          <w:rFonts w:ascii="Book Antiqua" w:hAnsi="Book Antiqua"/>
          <w:i/>
          <w:sz w:val="18"/>
          <w:szCs w:val="18"/>
        </w:rPr>
      </w:pPr>
      <w:r w:rsidRPr="00285E19">
        <w:rPr>
          <w:rFonts w:ascii="Book Antiqua" w:hAnsi="Book Antiqua"/>
          <w:i/>
          <w:sz w:val="18"/>
          <w:szCs w:val="18"/>
        </w:rPr>
        <w:t>{Instructions:  Select and complete the appropriate option below.}</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i/>
          <w:sz w:val="22"/>
          <w:szCs w:val="22"/>
        </w:rPr>
      </w:pPr>
      <w:r w:rsidRPr="00285E19">
        <w:rPr>
          <w:rFonts w:ascii="Book Antiqua" w:hAnsi="Book Antiqua"/>
          <w:i/>
          <w:sz w:val="22"/>
          <w:szCs w:val="22"/>
        </w:rPr>
        <w:t>{Option one}</w:t>
      </w:r>
    </w:p>
    <w:p w:rsidR="00423A9B" w:rsidRPr="00285E19" w:rsidRDefault="00423A9B" w:rsidP="00423A9B">
      <w:pPr>
        <w:rPr>
          <w:rFonts w:ascii="Book Antiqua" w:hAnsi="Book Antiqua"/>
          <w:sz w:val="22"/>
          <w:szCs w:val="22"/>
        </w:rPr>
      </w:pPr>
      <w:r w:rsidRPr="00285E19">
        <w:rPr>
          <w:rFonts w:ascii="Book Antiqua" w:hAnsi="Book Antiqua"/>
          <w:sz w:val="22"/>
          <w:szCs w:val="22"/>
        </w:rPr>
        <w:t>The Plan was not in endangered or critical status in the Plan Year.</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sz w:val="22"/>
          <w:szCs w:val="22"/>
        </w:rPr>
      </w:pPr>
      <w:r w:rsidRPr="00285E19">
        <w:rPr>
          <w:rFonts w:ascii="Book Antiqua" w:hAnsi="Book Antiqua"/>
          <w:i/>
          <w:sz w:val="22"/>
          <w:szCs w:val="22"/>
        </w:rPr>
        <w:t>{Option two}</w:t>
      </w:r>
    </w:p>
    <w:p w:rsidR="00423A9B" w:rsidRPr="00285E19" w:rsidRDefault="00423A9B" w:rsidP="00423A9B">
      <w:pPr>
        <w:rPr>
          <w:rFonts w:ascii="Book Antiqua" w:hAnsi="Book Antiqua"/>
          <w:sz w:val="22"/>
          <w:szCs w:val="22"/>
        </w:rPr>
      </w:pPr>
      <w:r w:rsidRPr="00285E19">
        <w:rPr>
          <w:rFonts w:ascii="Book Antiqua" w:hAnsi="Book Antiqua"/>
          <w:sz w:val="22"/>
          <w:szCs w:val="22"/>
        </w:rPr>
        <w:t xml:space="preserve">The Plan was in </w:t>
      </w:r>
      <w:r w:rsidRPr="00285E19">
        <w:rPr>
          <w:rFonts w:ascii="Book Antiqua" w:hAnsi="Book Antiqua"/>
          <w:i/>
          <w:sz w:val="22"/>
          <w:szCs w:val="22"/>
        </w:rPr>
        <w:t>[insert “</w:t>
      </w:r>
      <w:r w:rsidRPr="00285E19">
        <w:rPr>
          <w:rFonts w:ascii="Book Antiqua" w:hAnsi="Book Antiqua"/>
          <w:sz w:val="22"/>
          <w:szCs w:val="22"/>
        </w:rPr>
        <w:t>endangered</w:t>
      </w:r>
      <w:r w:rsidRPr="00285E19">
        <w:rPr>
          <w:rFonts w:ascii="Book Antiqua" w:hAnsi="Book Antiqua"/>
          <w:i/>
          <w:sz w:val="22"/>
          <w:szCs w:val="22"/>
        </w:rPr>
        <w:t>” or “</w:t>
      </w:r>
      <w:r w:rsidRPr="00285E19">
        <w:rPr>
          <w:rFonts w:ascii="Book Antiqua" w:hAnsi="Book Antiqua"/>
          <w:sz w:val="22"/>
          <w:szCs w:val="22"/>
        </w:rPr>
        <w:t>critical</w:t>
      </w:r>
      <w:r w:rsidRPr="00285E19">
        <w:rPr>
          <w:rFonts w:ascii="Book Antiqua" w:hAnsi="Book Antiqua"/>
          <w:i/>
          <w:sz w:val="22"/>
          <w:szCs w:val="22"/>
        </w:rPr>
        <w:t>”]</w:t>
      </w:r>
      <w:r w:rsidRPr="00285E19">
        <w:rPr>
          <w:rFonts w:ascii="Book Antiqua" w:hAnsi="Book Antiqua"/>
          <w:sz w:val="22"/>
          <w:szCs w:val="22"/>
        </w:rPr>
        <w:t xml:space="preserve"> status in the Plan Year ending [</w:t>
      </w:r>
      <w:r w:rsidRPr="00285E19">
        <w:rPr>
          <w:rFonts w:ascii="Book Antiqua" w:hAnsi="Book Antiqua"/>
          <w:i/>
          <w:sz w:val="22"/>
          <w:szCs w:val="22"/>
        </w:rPr>
        <w:t>insert last day of Plan Year</w:t>
      </w:r>
      <w:r w:rsidRPr="00285E19">
        <w:rPr>
          <w:rFonts w:ascii="Book Antiqua" w:hAnsi="Book Antiqua"/>
          <w:sz w:val="22"/>
          <w:szCs w:val="22"/>
        </w:rPr>
        <w:t>] because [</w:t>
      </w:r>
      <w:r w:rsidRPr="00285E19">
        <w:rPr>
          <w:rFonts w:ascii="Book Antiqua" w:hAnsi="Book Antiqua"/>
          <w:i/>
          <w:sz w:val="22"/>
          <w:szCs w:val="22"/>
        </w:rPr>
        <w:t>insert summary description of why plan was in this status based on statutory factors</w:t>
      </w:r>
      <w:r w:rsidRPr="00285E19">
        <w:rPr>
          <w:rFonts w:ascii="Book Antiqua" w:hAnsi="Book Antiqua"/>
          <w:sz w:val="22"/>
          <w:szCs w:val="22"/>
        </w:rPr>
        <w:t>].  In an effort to improve the Plan’s funding situation, the trustees adopted [</w:t>
      </w:r>
      <w:r w:rsidRPr="00285E19">
        <w:rPr>
          <w:rFonts w:ascii="Book Antiqua" w:hAnsi="Book Antiqua"/>
          <w:i/>
          <w:sz w:val="22"/>
          <w:szCs w:val="22"/>
        </w:rPr>
        <w:t xml:space="preserve">insert summary of </w:t>
      </w:r>
      <w:r>
        <w:rPr>
          <w:rFonts w:ascii="Book Antiqua" w:hAnsi="Book Antiqua"/>
          <w:i/>
          <w:sz w:val="22"/>
          <w:szCs w:val="22"/>
        </w:rPr>
        <w:t>the p</w:t>
      </w:r>
      <w:r w:rsidRPr="00285E19">
        <w:rPr>
          <w:rFonts w:ascii="Book Antiqua" w:hAnsi="Book Antiqua"/>
          <w:i/>
          <w:sz w:val="22"/>
          <w:szCs w:val="22"/>
        </w:rPr>
        <w:t xml:space="preserve">lan’s funding improvement or rehabilitation plan, including when adopted and expected </w:t>
      </w:r>
      <w:proofErr w:type="gramStart"/>
      <w:r w:rsidRPr="00285E19">
        <w:rPr>
          <w:rFonts w:ascii="Book Antiqua" w:hAnsi="Book Antiqua"/>
          <w:i/>
          <w:sz w:val="22"/>
          <w:szCs w:val="22"/>
        </w:rPr>
        <w:t>duration,</w:t>
      </w:r>
      <w:proofErr w:type="gramEnd"/>
      <w:r w:rsidRPr="00285E19">
        <w:rPr>
          <w:rFonts w:ascii="Book Antiqua" w:hAnsi="Book Antiqua"/>
          <w:i/>
          <w:sz w:val="22"/>
          <w:szCs w:val="22"/>
        </w:rPr>
        <w:t xml:space="preserve"> and a description of any modification or update to the plan adopted during the plan year to </w:t>
      </w:r>
      <w:r w:rsidRPr="00285E19">
        <w:rPr>
          <w:rFonts w:ascii="Book Antiqua" w:hAnsi="Book Antiqua"/>
          <w:i/>
          <w:sz w:val="22"/>
          <w:szCs w:val="22"/>
        </w:rPr>
        <w:lastRenderedPageBreak/>
        <w:t>which the notice relates]</w:t>
      </w:r>
      <w:r w:rsidRPr="00285E19">
        <w:rPr>
          <w:rFonts w:ascii="Book Antiqua" w:hAnsi="Book Antiqua"/>
          <w:sz w:val="22"/>
          <w:szCs w:val="22"/>
        </w:rPr>
        <w:t xml:space="preserve">.  You may </w:t>
      </w:r>
      <w:r>
        <w:rPr>
          <w:rFonts w:ascii="Book Antiqua" w:hAnsi="Book Antiqua"/>
          <w:sz w:val="22"/>
          <w:szCs w:val="22"/>
        </w:rPr>
        <w:t>get</w:t>
      </w:r>
      <w:r w:rsidRPr="00285E19">
        <w:rPr>
          <w:rFonts w:ascii="Book Antiqua" w:hAnsi="Book Antiqua"/>
          <w:sz w:val="22"/>
          <w:szCs w:val="22"/>
        </w:rPr>
        <w:t xml:space="preserve"> a copy of the Plan’s </w:t>
      </w:r>
      <w:proofErr w:type="gramStart"/>
      <w:r w:rsidRPr="00285E19">
        <w:rPr>
          <w:rFonts w:ascii="Book Antiqua" w:hAnsi="Book Antiqua"/>
          <w:sz w:val="22"/>
          <w:szCs w:val="22"/>
        </w:rPr>
        <w:t xml:space="preserve">[ </w:t>
      </w:r>
      <w:r w:rsidRPr="00285E19">
        <w:rPr>
          <w:rFonts w:ascii="Book Antiqua" w:hAnsi="Book Antiqua"/>
          <w:i/>
          <w:sz w:val="22"/>
          <w:szCs w:val="22"/>
        </w:rPr>
        <w:t>insert</w:t>
      </w:r>
      <w:proofErr w:type="gramEnd"/>
      <w:r w:rsidRPr="00285E19">
        <w:rPr>
          <w:rFonts w:ascii="Book Antiqua" w:hAnsi="Book Antiqua"/>
          <w:i/>
          <w:sz w:val="22"/>
          <w:szCs w:val="22"/>
        </w:rPr>
        <w:t xml:space="preserve"> </w:t>
      </w:r>
      <w:r w:rsidRPr="00285E19">
        <w:rPr>
          <w:rFonts w:ascii="Book Antiqua" w:hAnsi="Book Antiqua"/>
          <w:sz w:val="22"/>
          <w:szCs w:val="22"/>
        </w:rPr>
        <w:t xml:space="preserve">“funding improvement plan” </w:t>
      </w:r>
      <w:r w:rsidRPr="00285E19">
        <w:rPr>
          <w:rFonts w:ascii="Book Antiqua" w:hAnsi="Book Antiqua"/>
          <w:i/>
          <w:sz w:val="22"/>
          <w:szCs w:val="22"/>
        </w:rPr>
        <w:t>or</w:t>
      </w:r>
      <w:r w:rsidRPr="00285E19">
        <w:rPr>
          <w:rFonts w:ascii="Book Antiqua" w:hAnsi="Book Antiqua"/>
          <w:sz w:val="22"/>
          <w:szCs w:val="22"/>
        </w:rPr>
        <w:t xml:space="preserve"> “rehabilitation plan”], any update </w:t>
      </w:r>
      <w:r>
        <w:rPr>
          <w:rFonts w:ascii="Book Antiqua" w:hAnsi="Book Antiqua"/>
          <w:sz w:val="22"/>
          <w:szCs w:val="22"/>
        </w:rPr>
        <w:t>to such plan</w:t>
      </w:r>
      <w:r w:rsidRPr="00285E19">
        <w:rPr>
          <w:rFonts w:ascii="Book Antiqua" w:hAnsi="Book Antiqua"/>
          <w:sz w:val="22"/>
          <w:szCs w:val="22"/>
        </w:rPr>
        <w:t xml:space="preserve"> and the actuarial and financial data that demonstrate any action taken by the </w:t>
      </w:r>
      <w:r>
        <w:rPr>
          <w:rFonts w:ascii="Book Antiqua" w:hAnsi="Book Antiqua"/>
          <w:sz w:val="22"/>
          <w:szCs w:val="22"/>
        </w:rPr>
        <w:t>P</w:t>
      </w:r>
      <w:r w:rsidRPr="00285E19">
        <w:rPr>
          <w:rFonts w:ascii="Book Antiqua" w:hAnsi="Book Antiqua"/>
          <w:sz w:val="22"/>
          <w:szCs w:val="22"/>
        </w:rPr>
        <w:t>lan toward fiscal improvement</w:t>
      </w:r>
      <w:r>
        <w:rPr>
          <w:rFonts w:ascii="Book Antiqua" w:hAnsi="Book Antiqua"/>
          <w:sz w:val="22"/>
          <w:szCs w:val="22"/>
        </w:rPr>
        <w:t>.  You may get this information</w:t>
      </w:r>
      <w:r w:rsidRPr="00285E19">
        <w:rPr>
          <w:rFonts w:ascii="Book Antiqua" w:hAnsi="Book Antiqua"/>
          <w:sz w:val="22"/>
          <w:szCs w:val="22"/>
        </w:rPr>
        <w:t xml:space="preserve"> by contacting the plan administrator.  [</w:t>
      </w:r>
      <w:r w:rsidRPr="00285E19">
        <w:rPr>
          <w:rFonts w:ascii="Book Antiqua" w:hAnsi="Book Antiqua"/>
          <w:i/>
          <w:sz w:val="22"/>
          <w:szCs w:val="22"/>
        </w:rPr>
        <w:t>If applicable, insert: “</w:t>
      </w:r>
      <w:r w:rsidRPr="00285E19">
        <w:rPr>
          <w:rFonts w:ascii="Book Antiqua" w:hAnsi="Book Antiqua"/>
          <w:sz w:val="22"/>
          <w:szCs w:val="22"/>
        </w:rPr>
        <w:t>Or you may obtain this information at [</w:t>
      </w:r>
      <w:r w:rsidRPr="00285E19">
        <w:rPr>
          <w:rFonts w:ascii="Book Antiqua" w:hAnsi="Book Antiqua"/>
          <w:i/>
          <w:sz w:val="22"/>
          <w:szCs w:val="22"/>
        </w:rPr>
        <w:t>insert Intranet address of plan sponsor (or plan administrator on behalf of the plan sponsor)</w:t>
      </w:r>
      <w:r w:rsidRPr="00285E19">
        <w:rPr>
          <w:rFonts w:ascii="Book Antiqua" w:hAnsi="Book Antiqua"/>
          <w:sz w:val="22"/>
          <w:szCs w:val="22"/>
        </w:rPr>
        <w:t>].]</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sz w:val="22"/>
          <w:szCs w:val="22"/>
        </w:rPr>
      </w:pPr>
      <w:r w:rsidRPr="00285E19">
        <w:rPr>
          <w:rFonts w:ascii="Book Antiqua" w:hAnsi="Book Antiqua"/>
          <w:sz w:val="22"/>
          <w:szCs w:val="22"/>
        </w:rPr>
        <w:t>If the Plan is in endangered or critical status for the plan year ending [</w:t>
      </w:r>
      <w:r w:rsidRPr="00285E19">
        <w:rPr>
          <w:rFonts w:ascii="Book Antiqua" w:hAnsi="Book Antiqua"/>
          <w:i/>
          <w:sz w:val="22"/>
          <w:szCs w:val="22"/>
        </w:rPr>
        <w:t>insert the last day of the plan year following the Plan Year</w:t>
      </w:r>
      <w:r w:rsidRPr="00285E19">
        <w:rPr>
          <w:rFonts w:ascii="Book Antiqua" w:hAnsi="Book Antiqua"/>
          <w:sz w:val="22"/>
          <w:szCs w:val="22"/>
        </w:rPr>
        <w:t xml:space="preserve">], separate notification of that status has or will be provided.  </w:t>
      </w:r>
    </w:p>
    <w:p w:rsidR="00423A9B" w:rsidRPr="00285E19" w:rsidRDefault="00423A9B" w:rsidP="00423A9B">
      <w:pPr>
        <w:rPr>
          <w:rFonts w:ascii="Book Antiqua" w:hAnsi="Book Antiqua"/>
          <w:sz w:val="22"/>
          <w:szCs w:val="22"/>
        </w:rPr>
      </w:pPr>
    </w:p>
    <w:p w:rsidR="00423A9B" w:rsidRPr="00285E19" w:rsidRDefault="00423A9B" w:rsidP="00423A9B">
      <w:pPr>
        <w:jc w:val="center"/>
        <w:rPr>
          <w:rFonts w:ascii="Book Antiqua" w:hAnsi="Book Antiqua"/>
          <w:sz w:val="22"/>
          <w:szCs w:val="22"/>
          <w:u w:val="single"/>
        </w:rPr>
      </w:pPr>
      <w:r w:rsidRPr="00285E19">
        <w:rPr>
          <w:rFonts w:ascii="Book Antiqua" w:hAnsi="Book Antiqua"/>
          <w:sz w:val="22"/>
          <w:szCs w:val="22"/>
          <w:u w:val="single"/>
        </w:rPr>
        <w:t>Participant Information</w:t>
      </w:r>
    </w:p>
    <w:p w:rsidR="00423A9B" w:rsidRPr="00285E19" w:rsidRDefault="00423A9B" w:rsidP="00423A9B">
      <w:pPr>
        <w:jc w:val="center"/>
        <w:rPr>
          <w:rFonts w:ascii="Book Antiqua" w:hAnsi="Book Antiqua"/>
          <w:sz w:val="22"/>
          <w:szCs w:val="22"/>
          <w:u w:val="single"/>
        </w:rPr>
      </w:pPr>
    </w:p>
    <w:p w:rsidR="00423A9B" w:rsidRPr="00285E19" w:rsidRDefault="00423A9B" w:rsidP="00423A9B">
      <w:pPr>
        <w:rPr>
          <w:rFonts w:ascii="Book Antiqua" w:hAnsi="Book Antiqua"/>
          <w:sz w:val="22"/>
          <w:szCs w:val="22"/>
        </w:rPr>
      </w:pPr>
      <w:r w:rsidRPr="00285E19">
        <w:rPr>
          <w:rFonts w:ascii="Book Antiqua" w:hAnsi="Book Antiqua"/>
          <w:sz w:val="22"/>
          <w:szCs w:val="22"/>
        </w:rPr>
        <w:t xml:space="preserve">The total number of participants and beneficiaries covered </w:t>
      </w:r>
      <w:r>
        <w:rPr>
          <w:rFonts w:ascii="Book Antiqua" w:hAnsi="Book Antiqua"/>
          <w:sz w:val="22"/>
          <w:szCs w:val="22"/>
        </w:rPr>
        <w:t>by</w:t>
      </w:r>
      <w:r w:rsidRPr="00285E19">
        <w:rPr>
          <w:rFonts w:ascii="Book Antiqua" w:hAnsi="Book Antiqua"/>
          <w:sz w:val="22"/>
          <w:szCs w:val="22"/>
        </w:rPr>
        <w:t xml:space="preserve"> the Plan </w:t>
      </w:r>
      <w:r>
        <w:rPr>
          <w:rFonts w:ascii="Book Antiqua" w:hAnsi="Book Antiqua"/>
          <w:sz w:val="22"/>
          <w:szCs w:val="22"/>
        </w:rPr>
        <w:t>on the</w:t>
      </w:r>
      <w:r w:rsidRPr="00285E19">
        <w:rPr>
          <w:rFonts w:ascii="Book Antiqua" w:hAnsi="Book Antiqua"/>
          <w:sz w:val="22"/>
          <w:szCs w:val="22"/>
        </w:rPr>
        <w:t xml:space="preserve"> valuation date was [</w:t>
      </w:r>
      <w:r w:rsidRPr="00285E19">
        <w:rPr>
          <w:rFonts w:ascii="Book Antiqua" w:hAnsi="Book Antiqua"/>
          <w:i/>
          <w:sz w:val="22"/>
          <w:szCs w:val="22"/>
        </w:rPr>
        <w:t>insert number</w:t>
      </w:r>
      <w:r w:rsidRPr="00285E19">
        <w:rPr>
          <w:rFonts w:ascii="Book Antiqua" w:hAnsi="Book Antiqua"/>
          <w:sz w:val="22"/>
          <w:szCs w:val="22"/>
        </w:rPr>
        <w:t>].  Of this number, [</w:t>
      </w:r>
      <w:r w:rsidRPr="00285E19">
        <w:rPr>
          <w:rFonts w:ascii="Book Antiqua" w:hAnsi="Book Antiqua"/>
          <w:i/>
          <w:sz w:val="22"/>
          <w:szCs w:val="22"/>
        </w:rPr>
        <w:t>insert number</w:t>
      </w:r>
      <w:r>
        <w:rPr>
          <w:rFonts w:ascii="Book Antiqua" w:hAnsi="Book Antiqua"/>
          <w:sz w:val="22"/>
          <w:szCs w:val="22"/>
        </w:rPr>
        <w:t>] were current employees</w:t>
      </w:r>
      <w:r w:rsidRPr="00285E19">
        <w:rPr>
          <w:rFonts w:ascii="Book Antiqua" w:hAnsi="Book Antiqua"/>
          <w:sz w:val="22"/>
          <w:szCs w:val="22"/>
        </w:rPr>
        <w:t>, [</w:t>
      </w:r>
      <w:r w:rsidRPr="00285E19">
        <w:rPr>
          <w:rFonts w:ascii="Book Antiqua" w:hAnsi="Book Antiqua"/>
          <w:i/>
          <w:sz w:val="22"/>
          <w:szCs w:val="22"/>
        </w:rPr>
        <w:t>insert number</w:t>
      </w:r>
      <w:r w:rsidRPr="00285E19">
        <w:rPr>
          <w:rFonts w:ascii="Book Antiqua" w:hAnsi="Book Antiqua"/>
          <w:sz w:val="22"/>
          <w:szCs w:val="22"/>
        </w:rPr>
        <w:t xml:space="preserve">] were retired </w:t>
      </w:r>
      <w:r>
        <w:rPr>
          <w:rFonts w:ascii="Book Antiqua" w:hAnsi="Book Antiqua"/>
          <w:sz w:val="22"/>
          <w:szCs w:val="22"/>
        </w:rPr>
        <w:t>and</w:t>
      </w:r>
      <w:r w:rsidRPr="00285E19">
        <w:rPr>
          <w:rFonts w:ascii="Book Antiqua" w:hAnsi="Book Antiqua"/>
          <w:sz w:val="22"/>
          <w:szCs w:val="22"/>
        </w:rPr>
        <w:t xml:space="preserve"> receiving benefits, and [</w:t>
      </w:r>
      <w:r w:rsidRPr="00285E19">
        <w:rPr>
          <w:rFonts w:ascii="Book Antiqua" w:hAnsi="Book Antiqua"/>
          <w:i/>
          <w:sz w:val="22"/>
          <w:szCs w:val="22"/>
        </w:rPr>
        <w:t>insert number</w:t>
      </w:r>
      <w:r w:rsidRPr="00285E19">
        <w:rPr>
          <w:rFonts w:ascii="Book Antiqua" w:hAnsi="Book Antiqua"/>
          <w:sz w:val="22"/>
          <w:szCs w:val="22"/>
        </w:rPr>
        <w:t xml:space="preserve">] were retired or </w:t>
      </w:r>
      <w:r>
        <w:rPr>
          <w:rFonts w:ascii="Book Antiqua" w:hAnsi="Book Antiqua"/>
          <w:sz w:val="22"/>
          <w:szCs w:val="22"/>
        </w:rPr>
        <w:t>no longer working for the employer</w:t>
      </w:r>
      <w:r w:rsidRPr="00285E19">
        <w:rPr>
          <w:rFonts w:ascii="Book Antiqua" w:hAnsi="Book Antiqua"/>
          <w:sz w:val="22"/>
          <w:szCs w:val="22"/>
        </w:rPr>
        <w:t xml:space="preserve"> </w:t>
      </w:r>
      <w:r>
        <w:rPr>
          <w:rFonts w:ascii="Book Antiqua" w:hAnsi="Book Antiqua"/>
          <w:sz w:val="22"/>
          <w:szCs w:val="22"/>
        </w:rPr>
        <w:t>and</w:t>
      </w:r>
      <w:r w:rsidRPr="00285E19">
        <w:rPr>
          <w:rFonts w:ascii="Book Antiqua" w:hAnsi="Book Antiqua"/>
          <w:sz w:val="22"/>
          <w:szCs w:val="22"/>
        </w:rPr>
        <w:t xml:space="preserve"> </w:t>
      </w:r>
      <w:r>
        <w:rPr>
          <w:rFonts w:ascii="Book Antiqua" w:hAnsi="Book Antiqua"/>
          <w:sz w:val="22"/>
          <w:szCs w:val="22"/>
        </w:rPr>
        <w:t>have a right</w:t>
      </w:r>
      <w:r w:rsidRPr="00285E19">
        <w:rPr>
          <w:rFonts w:ascii="Book Antiqua" w:hAnsi="Book Antiqua"/>
          <w:sz w:val="22"/>
          <w:szCs w:val="22"/>
        </w:rPr>
        <w:t xml:space="preserve"> to future benefits.</w:t>
      </w:r>
    </w:p>
    <w:p w:rsidR="00423A9B" w:rsidRPr="00285E19" w:rsidRDefault="00423A9B" w:rsidP="00423A9B">
      <w:pPr>
        <w:rPr>
          <w:rFonts w:ascii="Book Antiqua" w:hAnsi="Book Antiqua"/>
          <w:sz w:val="22"/>
          <w:szCs w:val="22"/>
        </w:rPr>
      </w:pPr>
    </w:p>
    <w:p w:rsidR="00423A9B" w:rsidRPr="00285E19" w:rsidRDefault="00423A9B" w:rsidP="00423A9B">
      <w:pPr>
        <w:jc w:val="center"/>
        <w:rPr>
          <w:rFonts w:ascii="Book Antiqua" w:hAnsi="Book Antiqua"/>
          <w:sz w:val="22"/>
          <w:szCs w:val="22"/>
          <w:u w:val="single"/>
        </w:rPr>
      </w:pPr>
      <w:r w:rsidRPr="00285E19">
        <w:rPr>
          <w:rFonts w:ascii="Book Antiqua" w:hAnsi="Book Antiqua"/>
          <w:sz w:val="22"/>
          <w:szCs w:val="22"/>
          <w:u w:val="single"/>
        </w:rPr>
        <w:t>Funding &amp; Investment Policies</w:t>
      </w:r>
    </w:p>
    <w:p w:rsidR="00423A9B" w:rsidRPr="00285E19" w:rsidRDefault="00423A9B" w:rsidP="00423A9B">
      <w:pPr>
        <w:jc w:val="center"/>
        <w:rPr>
          <w:rFonts w:ascii="Book Antiqua" w:hAnsi="Book Antiqua"/>
          <w:sz w:val="22"/>
          <w:szCs w:val="22"/>
          <w:u w:val="single"/>
        </w:rPr>
      </w:pPr>
    </w:p>
    <w:p w:rsidR="00423A9B" w:rsidRPr="00285E19" w:rsidRDefault="00423A9B" w:rsidP="00423A9B">
      <w:pPr>
        <w:rPr>
          <w:rFonts w:ascii="Book Antiqua" w:hAnsi="Book Antiqua"/>
          <w:sz w:val="22"/>
          <w:szCs w:val="22"/>
        </w:rPr>
      </w:pPr>
      <w:r w:rsidRPr="00285E19">
        <w:rPr>
          <w:rFonts w:ascii="Book Antiqua" w:hAnsi="Book Antiqua"/>
          <w:sz w:val="22"/>
          <w:szCs w:val="22"/>
        </w:rPr>
        <w:t xml:space="preserve">Every pension plan must have a procedure </w:t>
      </w:r>
      <w:r>
        <w:rPr>
          <w:rFonts w:ascii="Book Antiqua" w:hAnsi="Book Antiqua"/>
          <w:sz w:val="22"/>
          <w:szCs w:val="22"/>
        </w:rPr>
        <w:t>to establish</w:t>
      </w:r>
      <w:r w:rsidRPr="00285E19">
        <w:rPr>
          <w:rFonts w:ascii="Book Antiqua" w:hAnsi="Book Antiqua"/>
          <w:sz w:val="22"/>
          <w:szCs w:val="22"/>
        </w:rPr>
        <w:t xml:space="preserve"> a funding policy </w:t>
      </w:r>
      <w:r>
        <w:rPr>
          <w:rFonts w:ascii="Book Antiqua" w:hAnsi="Book Antiqua"/>
          <w:sz w:val="22"/>
          <w:szCs w:val="22"/>
        </w:rPr>
        <w:t>for</w:t>
      </w:r>
      <w:r w:rsidRPr="00285E19">
        <w:rPr>
          <w:rFonts w:ascii="Book Antiqua" w:hAnsi="Book Antiqua"/>
          <w:sz w:val="22"/>
          <w:szCs w:val="22"/>
        </w:rPr>
        <w:t xml:space="preserve"> plan objectives.  A funding policy relates to </w:t>
      </w:r>
      <w:r>
        <w:rPr>
          <w:rFonts w:ascii="Book Antiqua" w:hAnsi="Book Antiqua"/>
          <w:sz w:val="22"/>
          <w:szCs w:val="22"/>
        </w:rPr>
        <w:t>how much money is</w:t>
      </w:r>
      <w:r w:rsidRPr="00285E19">
        <w:rPr>
          <w:rFonts w:ascii="Book Antiqua" w:hAnsi="Book Antiqua"/>
          <w:sz w:val="22"/>
          <w:szCs w:val="22"/>
        </w:rPr>
        <w:t xml:space="preserve"> needed to pay </w:t>
      </w:r>
      <w:r>
        <w:rPr>
          <w:rFonts w:ascii="Book Antiqua" w:hAnsi="Book Antiqua"/>
          <w:sz w:val="22"/>
          <w:szCs w:val="22"/>
        </w:rPr>
        <w:t xml:space="preserve">promised </w:t>
      </w:r>
      <w:r w:rsidRPr="00285E19">
        <w:rPr>
          <w:rFonts w:ascii="Book Antiqua" w:hAnsi="Book Antiqua"/>
          <w:sz w:val="22"/>
          <w:szCs w:val="22"/>
        </w:rPr>
        <w:t>benefits.  The funding policy of the Plan is [</w:t>
      </w:r>
      <w:r w:rsidRPr="00285E19">
        <w:rPr>
          <w:rFonts w:ascii="Book Antiqua" w:hAnsi="Book Antiqua"/>
          <w:i/>
          <w:sz w:val="22"/>
          <w:szCs w:val="22"/>
        </w:rPr>
        <w:t xml:space="preserve">insert a summary statement of the </w:t>
      </w:r>
      <w:r>
        <w:rPr>
          <w:rFonts w:ascii="Book Antiqua" w:hAnsi="Book Antiqua"/>
          <w:i/>
          <w:sz w:val="22"/>
          <w:szCs w:val="22"/>
        </w:rPr>
        <w:t>P</w:t>
      </w:r>
      <w:r w:rsidRPr="00285E19">
        <w:rPr>
          <w:rFonts w:ascii="Book Antiqua" w:hAnsi="Book Antiqua"/>
          <w:i/>
          <w:sz w:val="22"/>
          <w:szCs w:val="22"/>
        </w:rPr>
        <w:t>lan’s funding policy</w:t>
      </w:r>
      <w:r w:rsidRPr="00285E19">
        <w:rPr>
          <w:rFonts w:ascii="Book Antiqua" w:hAnsi="Book Antiqua"/>
          <w:sz w:val="22"/>
          <w:szCs w:val="22"/>
        </w:rPr>
        <w:t>].</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sz w:val="22"/>
          <w:szCs w:val="22"/>
        </w:rPr>
      </w:pPr>
      <w:r>
        <w:rPr>
          <w:rFonts w:ascii="Book Antiqua" w:hAnsi="Book Antiqua"/>
          <w:sz w:val="22"/>
          <w:szCs w:val="22"/>
        </w:rPr>
        <w:t>Pension plans also have</w:t>
      </w:r>
      <w:r w:rsidRPr="00285E19">
        <w:rPr>
          <w:rFonts w:ascii="Book Antiqua" w:hAnsi="Book Antiqua"/>
          <w:sz w:val="22"/>
          <w:szCs w:val="22"/>
        </w:rPr>
        <w:t xml:space="preserve"> investment polic</w:t>
      </w:r>
      <w:r>
        <w:rPr>
          <w:rFonts w:ascii="Book Antiqua" w:hAnsi="Book Antiqua"/>
          <w:sz w:val="22"/>
          <w:szCs w:val="22"/>
        </w:rPr>
        <w:t>ies</w:t>
      </w:r>
      <w:r w:rsidRPr="00285E19">
        <w:rPr>
          <w:rFonts w:ascii="Book Antiqua" w:hAnsi="Book Antiqua"/>
          <w:sz w:val="22"/>
          <w:szCs w:val="22"/>
        </w:rPr>
        <w:t xml:space="preserve">.  </w:t>
      </w:r>
      <w:r>
        <w:rPr>
          <w:rFonts w:ascii="Book Antiqua" w:hAnsi="Book Antiqua"/>
          <w:sz w:val="22"/>
          <w:szCs w:val="22"/>
        </w:rPr>
        <w:t>These generally are</w:t>
      </w:r>
      <w:r w:rsidRPr="00285E19">
        <w:rPr>
          <w:rFonts w:ascii="Book Antiqua" w:hAnsi="Book Antiqua"/>
          <w:sz w:val="22"/>
          <w:szCs w:val="22"/>
        </w:rPr>
        <w:t xml:space="preserve"> written guidelines or general instructions </w:t>
      </w:r>
      <w:r>
        <w:rPr>
          <w:rFonts w:ascii="Book Antiqua" w:hAnsi="Book Antiqua"/>
          <w:sz w:val="22"/>
          <w:szCs w:val="22"/>
        </w:rPr>
        <w:t>for making</w:t>
      </w:r>
      <w:r w:rsidRPr="00285E19">
        <w:rPr>
          <w:rFonts w:ascii="Book Antiqua" w:hAnsi="Book Antiqua"/>
          <w:sz w:val="22"/>
          <w:szCs w:val="22"/>
        </w:rPr>
        <w:t xml:space="preserve"> investment management decisions.  The investment policy of the Plan is [</w:t>
      </w:r>
      <w:r w:rsidRPr="00285E19">
        <w:rPr>
          <w:rFonts w:ascii="Book Antiqua" w:hAnsi="Book Antiqua"/>
          <w:i/>
          <w:sz w:val="22"/>
          <w:szCs w:val="22"/>
        </w:rPr>
        <w:t xml:space="preserve">insert a summary statement of the </w:t>
      </w:r>
      <w:r>
        <w:rPr>
          <w:rFonts w:ascii="Book Antiqua" w:hAnsi="Book Antiqua"/>
          <w:i/>
          <w:sz w:val="22"/>
          <w:szCs w:val="22"/>
        </w:rPr>
        <w:t>P</w:t>
      </w:r>
      <w:r w:rsidRPr="00285E19">
        <w:rPr>
          <w:rFonts w:ascii="Book Antiqua" w:hAnsi="Book Antiqua"/>
          <w:i/>
          <w:sz w:val="22"/>
          <w:szCs w:val="22"/>
        </w:rPr>
        <w:t>lan’s investment policy</w:t>
      </w:r>
      <w:r w:rsidRPr="00285E19">
        <w:rPr>
          <w:rFonts w:ascii="Book Antiqua" w:hAnsi="Book Antiqua"/>
          <w:sz w:val="22"/>
          <w:szCs w:val="22"/>
        </w:rPr>
        <w:t>].</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sz w:val="22"/>
          <w:szCs w:val="22"/>
        </w:rPr>
      </w:pPr>
      <w:r w:rsidRPr="00285E19">
        <w:rPr>
          <w:rFonts w:ascii="Book Antiqua" w:hAnsi="Book Antiqua"/>
          <w:sz w:val="22"/>
          <w:szCs w:val="22"/>
        </w:rPr>
        <w:t xml:space="preserve">Under the Plan’s investment policy, the Plan’s assets were allocated among the following categories of investments, as of the end of the Plan Year.  These allocations are percentages of total assets: </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i/>
          <w:sz w:val="20"/>
          <w:szCs w:val="20"/>
        </w:rPr>
      </w:pPr>
      <w:r w:rsidRPr="00285E19">
        <w:rPr>
          <w:rFonts w:ascii="Book Antiqua" w:hAnsi="Book Antiqua"/>
          <w:i/>
          <w:sz w:val="22"/>
          <w:szCs w:val="22"/>
        </w:rPr>
        <w:t>{</w:t>
      </w:r>
      <w:r w:rsidRPr="00285E19">
        <w:rPr>
          <w:rFonts w:ascii="Book Antiqua" w:hAnsi="Book Antiqua"/>
          <w:i/>
          <w:sz w:val="20"/>
          <w:szCs w:val="20"/>
        </w:rPr>
        <w:t>Instructions:  Insert an</w:t>
      </w:r>
      <w:r>
        <w:rPr>
          <w:rFonts w:ascii="Book Antiqua" w:hAnsi="Book Antiqua"/>
          <w:i/>
          <w:sz w:val="20"/>
          <w:szCs w:val="20"/>
        </w:rPr>
        <w:t xml:space="preserve">d complete either Alternative 1 or Alternative </w:t>
      </w:r>
      <w:r w:rsidRPr="00285E19">
        <w:rPr>
          <w:rFonts w:ascii="Book Antiqua" w:hAnsi="Book Antiqua"/>
          <w:i/>
          <w:sz w:val="20"/>
          <w:szCs w:val="20"/>
        </w:rPr>
        <w:t>2, below.}</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b/>
          <w:sz w:val="22"/>
          <w:szCs w:val="22"/>
        </w:rPr>
      </w:pPr>
      <w:r w:rsidRPr="00285E19">
        <w:rPr>
          <w:rFonts w:ascii="Book Antiqua" w:hAnsi="Book Antiqua"/>
          <w:b/>
          <w:sz w:val="22"/>
          <w:szCs w:val="22"/>
        </w:rPr>
        <w:t>Alt</w:t>
      </w:r>
      <w:r>
        <w:rPr>
          <w:rFonts w:ascii="Book Antiqua" w:hAnsi="Book Antiqua"/>
          <w:b/>
          <w:sz w:val="22"/>
          <w:szCs w:val="22"/>
        </w:rPr>
        <w:t xml:space="preserve">ernative </w:t>
      </w:r>
      <w:r w:rsidRPr="00285E19">
        <w:rPr>
          <w:rFonts w:ascii="Book Antiqua" w:hAnsi="Book Antiqua"/>
          <w:b/>
          <w:sz w:val="22"/>
          <w:szCs w:val="22"/>
        </w:rPr>
        <w:t>1:</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sz w:val="22"/>
          <w:szCs w:val="22"/>
        </w:rPr>
      </w:pPr>
    </w:p>
    <w:p w:rsidR="00423A9B" w:rsidRPr="00285E19" w:rsidRDefault="00423A9B" w:rsidP="00423A9B">
      <w:pPr>
        <w:pBdr>
          <w:top w:val="single" w:sz="4" w:space="1" w:color="auto"/>
          <w:left w:val="single" w:sz="4" w:space="4" w:color="auto"/>
          <w:bottom w:val="single" w:sz="4" w:space="1" w:color="auto"/>
          <w:right w:val="single" w:sz="4" w:space="4" w:color="auto"/>
        </w:pBdr>
        <w:rPr>
          <w:rFonts w:ascii="Book Antiqua" w:hAnsi="Book Antiqua"/>
          <w:b/>
          <w:sz w:val="20"/>
          <w:szCs w:val="20"/>
        </w:rPr>
      </w:pPr>
      <w:r w:rsidRPr="00285E19">
        <w:rPr>
          <w:rFonts w:ascii="Book Antiqua" w:hAnsi="Book Antiqua"/>
          <w:b/>
          <w:sz w:val="20"/>
          <w:szCs w:val="20"/>
        </w:rPr>
        <w:t>Asset Allocations</w:t>
      </w:r>
      <w:r w:rsidRPr="00285E19">
        <w:rPr>
          <w:rFonts w:ascii="Book Antiqua" w:hAnsi="Book Antiqua"/>
          <w:b/>
          <w:sz w:val="20"/>
          <w:szCs w:val="20"/>
        </w:rPr>
        <w:tab/>
      </w:r>
      <w:r w:rsidRPr="00285E19">
        <w:rPr>
          <w:rFonts w:ascii="Book Antiqua" w:hAnsi="Book Antiqua"/>
          <w:b/>
          <w:sz w:val="20"/>
          <w:szCs w:val="20"/>
        </w:rPr>
        <w:tab/>
      </w:r>
      <w:r w:rsidRPr="00285E19">
        <w:rPr>
          <w:rFonts w:ascii="Book Antiqua" w:hAnsi="Book Antiqua"/>
          <w:b/>
          <w:sz w:val="20"/>
          <w:szCs w:val="20"/>
        </w:rPr>
        <w:tab/>
      </w:r>
      <w:r w:rsidRPr="00285E19">
        <w:rPr>
          <w:rFonts w:ascii="Book Antiqua" w:hAnsi="Book Antiqua"/>
          <w:b/>
          <w:sz w:val="20"/>
          <w:szCs w:val="20"/>
        </w:rPr>
        <w:tab/>
      </w:r>
      <w:r w:rsidRPr="00285E19">
        <w:rPr>
          <w:rFonts w:ascii="Book Antiqua" w:hAnsi="Book Antiqua"/>
          <w:b/>
          <w:sz w:val="20"/>
          <w:szCs w:val="20"/>
        </w:rPr>
        <w:tab/>
      </w:r>
      <w:r w:rsidRPr="00285E19">
        <w:rPr>
          <w:rFonts w:ascii="Book Antiqua" w:hAnsi="Book Antiqua"/>
          <w:b/>
          <w:sz w:val="20"/>
          <w:szCs w:val="20"/>
        </w:rPr>
        <w:tab/>
      </w:r>
      <w:r w:rsidRPr="00285E19">
        <w:rPr>
          <w:rFonts w:ascii="Book Antiqua" w:hAnsi="Book Antiqua"/>
          <w:b/>
          <w:sz w:val="20"/>
          <w:szCs w:val="20"/>
        </w:rPr>
        <w:tab/>
      </w:r>
      <w:r w:rsidRPr="00285E19">
        <w:rPr>
          <w:rFonts w:ascii="Book Antiqua" w:hAnsi="Book Antiqua"/>
          <w:b/>
          <w:sz w:val="20"/>
          <w:szCs w:val="20"/>
        </w:rPr>
        <w:tab/>
        <w:t>Percentage</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 xml:space="preserve">Cash (Interest bearing and non-interest bearing) </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r w:rsidRPr="00285E19">
        <w:rPr>
          <w:rFonts w:ascii="Book Antiqua" w:hAnsi="Book Antiqua"/>
          <w:sz w:val="20"/>
          <w:szCs w:val="20"/>
        </w:rPr>
        <w:tab/>
      </w:r>
      <w:r w:rsidRPr="00285E19">
        <w:rPr>
          <w:rFonts w:ascii="Book Antiqua" w:hAnsi="Book Antiqua"/>
          <w:sz w:val="20"/>
          <w:szCs w:val="20"/>
        </w:rPr>
        <w:tab/>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U.S. Government securities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Corporate debt instruments (other than employer securities):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p>
    <w:p w:rsidR="00423A9B" w:rsidRPr="00285E19" w:rsidRDefault="00423A9B" w:rsidP="00423A9B">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ab/>
        <w:t>Preferred</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ab/>
        <w:t>All other</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Corporate stocks (other than employer securities):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p>
    <w:p w:rsidR="00423A9B" w:rsidRPr="00285E19" w:rsidRDefault="00423A9B" w:rsidP="00423A9B">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ab/>
        <w:t>Preferred</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ab/>
        <w:t>Common</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Partnership/joint venture interests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Real estate (other than employer real property)</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Loans (other than to participants)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lastRenderedPageBreak/>
        <w:t>Participant loans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Value of interest in common/collective trusts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 xml:space="preserve">Value of interest in </w:t>
      </w:r>
      <w:r>
        <w:rPr>
          <w:rFonts w:ascii="Book Antiqua" w:hAnsi="Book Antiqua"/>
          <w:sz w:val="20"/>
          <w:szCs w:val="20"/>
        </w:rPr>
        <w:t>pooled separate accounts</w:t>
      </w:r>
      <w:r>
        <w:rPr>
          <w:rFonts w:ascii="Book Antiqua" w:hAnsi="Book Antiqua"/>
          <w:sz w:val="20"/>
          <w:szCs w:val="20"/>
        </w:rPr>
        <w:tab/>
        <w:t xml:space="preserve"> </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285E19">
        <w:rPr>
          <w:rFonts w:ascii="Book Antiqua" w:hAnsi="Book Antiqua"/>
          <w:sz w:val="20"/>
          <w:szCs w:val="20"/>
        </w:rPr>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Value of interest in 103-12 investment entities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Value of interest in registered investment companies (e.g., mutual funds)</w:t>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Value of funds held in insurance co. general account (unallocated contracts)</w:t>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Employer-related investments: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p>
    <w:p w:rsidR="00423A9B" w:rsidRPr="00285E19" w:rsidRDefault="00423A9B" w:rsidP="00423A9B">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ab/>
        <w:t>Employer Securities</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ab/>
        <w:t>Employer real property</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285E19">
        <w:rPr>
          <w:rFonts w:ascii="Book Antiqua" w:hAnsi="Book Antiqua"/>
          <w:sz w:val="20"/>
          <w:szCs w:val="20"/>
        </w:rPr>
        <w:t>Buildings and other property used in plan operation</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numPr>
          <w:ilvl w:val="0"/>
          <w:numId w:val="4"/>
        </w:numPr>
        <w:pBdr>
          <w:top w:val="single" w:sz="4" w:space="1" w:color="auto"/>
          <w:left w:val="single" w:sz="4" w:space="4" w:color="auto"/>
          <w:bottom w:val="single" w:sz="4" w:space="1" w:color="auto"/>
          <w:right w:val="single" w:sz="4" w:space="4" w:color="auto"/>
        </w:pBdr>
        <w:rPr>
          <w:rFonts w:ascii="Book Antiqua" w:hAnsi="Book Antiqua"/>
          <w:sz w:val="22"/>
          <w:szCs w:val="22"/>
          <w:u w:val="single"/>
        </w:rPr>
      </w:pPr>
      <w:r w:rsidRPr="00285E19">
        <w:rPr>
          <w:rFonts w:ascii="Book Antiqua" w:hAnsi="Book Antiqua"/>
          <w:sz w:val="20"/>
          <w:szCs w:val="20"/>
        </w:rPr>
        <w:t>Other</w:t>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r>
      <w:r w:rsidRPr="00285E19">
        <w:rPr>
          <w:rFonts w:ascii="Book Antiqua" w:hAnsi="Book Antiqua"/>
          <w:sz w:val="20"/>
          <w:szCs w:val="20"/>
        </w:rPr>
        <w:tab/>
        <w:t>____________</w:t>
      </w:r>
    </w:p>
    <w:p w:rsidR="00423A9B" w:rsidRPr="00285E19" w:rsidRDefault="00423A9B" w:rsidP="00423A9B">
      <w:pPr>
        <w:rPr>
          <w:rFonts w:ascii="Book Antiqua" w:hAnsi="Book Antiqua"/>
          <w:sz w:val="22"/>
          <w:szCs w:val="22"/>
          <w:u w:val="single"/>
        </w:rPr>
      </w:pPr>
    </w:p>
    <w:p w:rsidR="00423A9B" w:rsidRPr="00285E19" w:rsidRDefault="00423A9B" w:rsidP="00423A9B">
      <w:pPr>
        <w:rPr>
          <w:rFonts w:ascii="Book Antiqua" w:hAnsi="Book Antiqua"/>
          <w:sz w:val="22"/>
          <w:szCs w:val="22"/>
        </w:rPr>
      </w:pPr>
      <w:r w:rsidRPr="00285E19">
        <w:rPr>
          <w:rFonts w:ascii="Book Antiqua" w:hAnsi="Book Antiqua"/>
          <w:sz w:val="22"/>
          <w:szCs w:val="22"/>
        </w:rPr>
        <w:t xml:space="preserve">For information about the </w:t>
      </w:r>
      <w:r>
        <w:rPr>
          <w:rFonts w:ascii="Book Antiqua" w:hAnsi="Book Antiqua"/>
          <w:sz w:val="22"/>
          <w:szCs w:val="22"/>
        </w:rPr>
        <w:t>P</w:t>
      </w:r>
      <w:r w:rsidRPr="00285E19">
        <w:rPr>
          <w:rFonts w:ascii="Book Antiqua" w:hAnsi="Book Antiqua"/>
          <w:sz w:val="22"/>
          <w:szCs w:val="22"/>
        </w:rPr>
        <w:t>lan’s investment in any of the following types of investments– common/collective trusts, pooled separate accounts, or 103-12 investment entities – contact [</w:t>
      </w:r>
      <w:r w:rsidRPr="00285E19">
        <w:rPr>
          <w:rFonts w:ascii="Book Antiqua" w:hAnsi="Book Antiqua"/>
          <w:i/>
          <w:sz w:val="22"/>
          <w:szCs w:val="22"/>
        </w:rPr>
        <w:t>insert the name, telephone number, email address or mailing address of the plan administrator or designated representative</w:t>
      </w:r>
      <w:r w:rsidRPr="00285E19">
        <w:rPr>
          <w:rFonts w:ascii="Book Antiqua" w:hAnsi="Book Antiqua"/>
          <w:sz w:val="22"/>
          <w:szCs w:val="22"/>
        </w:rPr>
        <w:t>].</w:t>
      </w:r>
    </w:p>
    <w:p w:rsidR="00423A9B" w:rsidRPr="00285E19" w:rsidRDefault="00423A9B" w:rsidP="00423A9B">
      <w:pPr>
        <w:rPr>
          <w:rFonts w:ascii="Book Antiqua" w:hAnsi="Book Antiqua"/>
          <w:i/>
          <w:sz w:val="18"/>
          <w:szCs w:val="18"/>
        </w:rPr>
      </w:pPr>
    </w:p>
    <w:p w:rsidR="00423A9B" w:rsidRPr="00285E19" w:rsidRDefault="00423A9B" w:rsidP="00423A9B">
      <w:pPr>
        <w:rPr>
          <w:rFonts w:ascii="Book Antiqua" w:hAnsi="Book Antiqua"/>
          <w:i/>
          <w:sz w:val="18"/>
          <w:szCs w:val="18"/>
        </w:rPr>
      </w:pPr>
      <w:r w:rsidRPr="00285E19">
        <w:rPr>
          <w:rFonts w:ascii="Book Antiqua" w:hAnsi="Book Antiqua"/>
          <w:i/>
          <w:sz w:val="18"/>
          <w:szCs w:val="18"/>
        </w:rPr>
        <w:t xml:space="preserve">{Instructions:  Percentages must total 100%. </w:t>
      </w:r>
      <w:r>
        <w:rPr>
          <w:rFonts w:ascii="Book Antiqua" w:hAnsi="Book Antiqua"/>
          <w:i/>
          <w:sz w:val="18"/>
          <w:szCs w:val="18"/>
        </w:rPr>
        <w:t xml:space="preserve"> </w:t>
      </w:r>
      <w:r w:rsidRPr="00285E19">
        <w:rPr>
          <w:rFonts w:ascii="Book Antiqua" w:hAnsi="Book Antiqua"/>
          <w:i/>
          <w:sz w:val="18"/>
          <w:szCs w:val="18"/>
        </w:rPr>
        <w:t>If a plan holds an interest in one or more of the direct filing enti</w:t>
      </w:r>
      <w:r>
        <w:rPr>
          <w:rFonts w:ascii="Book Antiqua" w:hAnsi="Book Antiqua"/>
          <w:i/>
          <w:sz w:val="18"/>
          <w:szCs w:val="18"/>
        </w:rPr>
        <w:t xml:space="preserve">ties (DFEs) noted above, i.e., </w:t>
      </w:r>
      <w:r w:rsidRPr="00285E19">
        <w:rPr>
          <w:rFonts w:ascii="Book Antiqua" w:hAnsi="Book Antiqua"/>
          <w:i/>
          <w:sz w:val="18"/>
          <w:szCs w:val="18"/>
        </w:rPr>
        <w:t>CCTs, PSAs, or 103-12IEs and the administrator does not break out the DFE’s investments</w:t>
      </w:r>
      <w:r>
        <w:rPr>
          <w:rFonts w:ascii="Book Antiqua" w:hAnsi="Book Antiqua"/>
          <w:i/>
          <w:sz w:val="18"/>
          <w:szCs w:val="18"/>
        </w:rPr>
        <w:t xml:space="preserve"> among the other asset classes</w:t>
      </w:r>
      <w:proofErr w:type="gramStart"/>
      <w:r>
        <w:rPr>
          <w:rFonts w:ascii="Book Antiqua" w:hAnsi="Book Antiqua"/>
          <w:i/>
          <w:sz w:val="18"/>
          <w:szCs w:val="18"/>
        </w:rPr>
        <w:t xml:space="preserve">, </w:t>
      </w:r>
      <w:r w:rsidRPr="00285E19">
        <w:rPr>
          <w:rFonts w:ascii="Book Antiqua" w:hAnsi="Book Antiqua"/>
          <w:i/>
          <w:sz w:val="18"/>
          <w:szCs w:val="18"/>
        </w:rPr>
        <w:t xml:space="preserve"> immediately</w:t>
      </w:r>
      <w:proofErr w:type="gramEnd"/>
      <w:r w:rsidRPr="00285E19">
        <w:rPr>
          <w:rFonts w:ascii="Book Antiqua" w:hAnsi="Book Antiqua"/>
          <w:i/>
          <w:sz w:val="18"/>
          <w:szCs w:val="18"/>
        </w:rPr>
        <w:t xml:space="preserve"> following the asset allocation chart include the paragraph above informing recipients how to obtain more information regarding the plan’s DFE investments (e.g., the plan’s Schedule </w:t>
      </w:r>
      <w:r>
        <w:rPr>
          <w:rFonts w:ascii="Book Antiqua" w:hAnsi="Book Antiqua"/>
          <w:i/>
          <w:sz w:val="18"/>
          <w:szCs w:val="18"/>
        </w:rPr>
        <w:t xml:space="preserve">D and/or the DFE’s Schedule H).  </w:t>
      </w:r>
      <w:r w:rsidRPr="00285E19">
        <w:rPr>
          <w:rFonts w:ascii="Book Antiqua" w:hAnsi="Book Antiqua"/>
          <w:i/>
          <w:sz w:val="18"/>
          <w:szCs w:val="18"/>
        </w:rPr>
        <w:t xml:space="preserve">If a plan does not hold an interest in a DFE or the administrator breaks out the investments of all DFEs among the other asset classes, do not include the above paragraph.  </w:t>
      </w:r>
    </w:p>
    <w:p w:rsidR="00423A9B" w:rsidRPr="00285E19" w:rsidRDefault="00423A9B" w:rsidP="00423A9B">
      <w:pPr>
        <w:rPr>
          <w:rFonts w:ascii="Book Antiqua" w:hAnsi="Book Antiqua"/>
          <w:sz w:val="22"/>
          <w:szCs w:val="22"/>
        </w:rPr>
      </w:pPr>
    </w:p>
    <w:p w:rsidR="00423A9B" w:rsidRPr="00855F7C" w:rsidRDefault="00423A9B" w:rsidP="00423A9B">
      <w:pPr>
        <w:rPr>
          <w:rFonts w:ascii="Book Antiqua" w:hAnsi="Book Antiqua"/>
          <w:b/>
          <w:sz w:val="22"/>
          <w:szCs w:val="22"/>
        </w:rPr>
      </w:pPr>
      <w:r w:rsidRPr="00285E19">
        <w:rPr>
          <w:rFonts w:ascii="Book Antiqua" w:hAnsi="Book Antiqua"/>
          <w:b/>
          <w:sz w:val="22"/>
          <w:szCs w:val="22"/>
        </w:rPr>
        <w:t>Alternative 2</w:t>
      </w:r>
    </w:p>
    <w:p w:rsidR="00423A9B" w:rsidRPr="00285E19" w:rsidRDefault="00423A9B" w:rsidP="00423A9B">
      <w:pPr>
        <w:rPr>
          <w:rFonts w:ascii="Book Antiqua" w:hAnsi="Book Antiqua"/>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28"/>
        <w:gridCol w:w="2628"/>
      </w:tblGrid>
      <w:tr w:rsidR="00423A9B" w:rsidRPr="00285E19" w:rsidTr="009868B0">
        <w:tc>
          <w:tcPr>
            <w:tcW w:w="6228" w:type="dxa"/>
            <w:shd w:val="clear" w:color="auto" w:fill="auto"/>
          </w:tcPr>
          <w:p w:rsidR="00423A9B" w:rsidRPr="00285E19" w:rsidRDefault="00423A9B" w:rsidP="009868B0">
            <w:pPr>
              <w:rPr>
                <w:rFonts w:ascii="Book Antiqua" w:hAnsi="Book Antiqua"/>
                <w:b/>
                <w:sz w:val="20"/>
                <w:szCs w:val="20"/>
                <w:u w:val="single"/>
              </w:rPr>
            </w:pPr>
            <w:r w:rsidRPr="00285E19">
              <w:rPr>
                <w:rFonts w:ascii="Book Antiqua" w:hAnsi="Book Antiqua"/>
                <w:b/>
                <w:sz w:val="20"/>
                <w:szCs w:val="20"/>
                <w:u w:val="single"/>
              </w:rPr>
              <w:t>Asset Allocations</w:t>
            </w:r>
          </w:p>
        </w:tc>
        <w:tc>
          <w:tcPr>
            <w:tcW w:w="2628" w:type="dxa"/>
            <w:shd w:val="clear" w:color="auto" w:fill="auto"/>
          </w:tcPr>
          <w:p w:rsidR="00423A9B" w:rsidRPr="00285E19" w:rsidRDefault="00423A9B" w:rsidP="009868B0">
            <w:pPr>
              <w:rPr>
                <w:rFonts w:ascii="Book Antiqua" w:hAnsi="Book Antiqua"/>
                <w:b/>
                <w:sz w:val="20"/>
                <w:szCs w:val="20"/>
                <w:u w:val="single"/>
              </w:rPr>
            </w:pPr>
            <w:r w:rsidRPr="00285E19">
              <w:rPr>
                <w:rFonts w:ascii="Book Antiqua" w:hAnsi="Book Antiqua"/>
                <w:b/>
                <w:sz w:val="20"/>
                <w:szCs w:val="20"/>
                <w:u w:val="single"/>
              </w:rPr>
              <w:t>Percentage:</w:t>
            </w:r>
          </w:p>
        </w:tc>
      </w:tr>
      <w:tr w:rsidR="00423A9B" w:rsidRPr="00285E19" w:rsidTr="009868B0">
        <w:tc>
          <w:tcPr>
            <w:tcW w:w="6228" w:type="dxa"/>
            <w:shd w:val="clear" w:color="auto" w:fill="auto"/>
          </w:tcPr>
          <w:p w:rsidR="00423A9B" w:rsidRPr="00285E19" w:rsidRDefault="00423A9B" w:rsidP="009868B0">
            <w:pPr>
              <w:rPr>
                <w:rFonts w:ascii="Book Antiqua" w:hAnsi="Book Antiqua"/>
                <w:sz w:val="20"/>
                <w:szCs w:val="20"/>
              </w:rPr>
            </w:pPr>
            <w:r w:rsidRPr="00285E19">
              <w:rPr>
                <w:rFonts w:ascii="Book Antiqua" w:hAnsi="Book Antiqua"/>
                <w:sz w:val="20"/>
                <w:szCs w:val="20"/>
              </w:rPr>
              <w:t>Stocks</w:t>
            </w:r>
          </w:p>
        </w:tc>
        <w:tc>
          <w:tcPr>
            <w:tcW w:w="2628" w:type="dxa"/>
            <w:shd w:val="clear" w:color="auto" w:fill="auto"/>
          </w:tcPr>
          <w:p w:rsidR="00423A9B" w:rsidRPr="00285E19" w:rsidRDefault="00423A9B" w:rsidP="009868B0">
            <w:pPr>
              <w:rPr>
                <w:rFonts w:ascii="Book Antiqua" w:hAnsi="Book Antiqua"/>
                <w:sz w:val="20"/>
                <w:szCs w:val="20"/>
                <w:u w:val="single"/>
              </w:rPr>
            </w:pPr>
            <w:r>
              <w:rPr>
                <w:rFonts w:ascii="Book Antiqua" w:hAnsi="Book Antiqua"/>
                <w:noProof/>
                <w:sz w:val="20"/>
                <w:szCs w:val="20"/>
                <w:u w:val="single"/>
              </w:rPr>
              <mc:AlternateContent>
                <mc:Choice Requires="wps">
                  <w:drawing>
                    <wp:anchor distT="0" distB="0" distL="114300" distR="114300" simplePos="0" relativeHeight="251664384" behindDoc="0" locked="0" layoutInCell="1" allowOverlap="1" wp14:anchorId="2BFFBB45" wp14:editId="0CC00289">
                      <wp:simplePos x="0" y="0"/>
                      <wp:positionH relativeFrom="column">
                        <wp:posOffset>64770</wp:posOffset>
                      </wp:positionH>
                      <wp:positionV relativeFrom="paragraph">
                        <wp:posOffset>128905</wp:posOffset>
                      </wp:positionV>
                      <wp:extent cx="561975" cy="0"/>
                      <wp:effectExtent l="9525" t="10160" r="9525"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5.1pt;margin-top:10.15pt;width:4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0fJQIAAEs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"/>
                  </w:pict>
                </mc:Fallback>
              </mc:AlternateContent>
            </w:r>
          </w:p>
        </w:tc>
      </w:tr>
      <w:tr w:rsidR="00423A9B" w:rsidRPr="00285E19" w:rsidTr="009868B0">
        <w:tc>
          <w:tcPr>
            <w:tcW w:w="6228" w:type="dxa"/>
            <w:shd w:val="clear" w:color="auto" w:fill="auto"/>
          </w:tcPr>
          <w:p w:rsidR="00423A9B" w:rsidRPr="00285E19" w:rsidRDefault="00423A9B" w:rsidP="009868B0">
            <w:pPr>
              <w:rPr>
                <w:rFonts w:ascii="Book Antiqua" w:hAnsi="Book Antiqua"/>
                <w:sz w:val="20"/>
                <w:szCs w:val="20"/>
              </w:rPr>
            </w:pPr>
            <w:r w:rsidRPr="00285E19">
              <w:rPr>
                <w:rFonts w:ascii="Book Antiqua" w:hAnsi="Book Antiqua"/>
                <w:sz w:val="20"/>
                <w:szCs w:val="20"/>
              </w:rPr>
              <w:t>Investment grade debt instruments</w:t>
            </w:r>
          </w:p>
        </w:tc>
        <w:tc>
          <w:tcPr>
            <w:tcW w:w="2628" w:type="dxa"/>
            <w:shd w:val="clear" w:color="auto" w:fill="auto"/>
          </w:tcPr>
          <w:p w:rsidR="00423A9B" w:rsidRPr="00285E19" w:rsidRDefault="00423A9B" w:rsidP="009868B0">
            <w:pPr>
              <w:rPr>
                <w:rFonts w:ascii="Book Antiqua" w:hAnsi="Book Antiqua"/>
                <w:sz w:val="20"/>
                <w:szCs w:val="20"/>
                <w:u w:val="single"/>
              </w:rPr>
            </w:pPr>
            <w:r>
              <w:rPr>
                <w:rFonts w:ascii="Book Antiqua" w:hAnsi="Book Antiqua"/>
                <w:noProof/>
                <w:sz w:val="20"/>
                <w:szCs w:val="20"/>
                <w:u w:val="single"/>
              </w:rPr>
              <mc:AlternateContent>
                <mc:Choice Requires="wps">
                  <w:drawing>
                    <wp:anchor distT="0" distB="0" distL="114300" distR="114300" simplePos="0" relativeHeight="251665408" behindDoc="0" locked="0" layoutInCell="1" allowOverlap="1" wp14:anchorId="60BAEA75" wp14:editId="7DC16B75">
                      <wp:simplePos x="0" y="0"/>
                      <wp:positionH relativeFrom="column">
                        <wp:posOffset>64770</wp:posOffset>
                      </wp:positionH>
                      <wp:positionV relativeFrom="paragraph">
                        <wp:posOffset>128905</wp:posOffset>
                      </wp:positionV>
                      <wp:extent cx="561975" cy="0"/>
                      <wp:effectExtent l="9525" t="5715" r="9525" b="133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1pt;margin-top:10.15pt;width:4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ky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"/>
                  </w:pict>
                </mc:Fallback>
              </mc:AlternateContent>
            </w:r>
          </w:p>
        </w:tc>
      </w:tr>
      <w:tr w:rsidR="00423A9B" w:rsidRPr="00285E19" w:rsidTr="009868B0">
        <w:tc>
          <w:tcPr>
            <w:tcW w:w="6228" w:type="dxa"/>
            <w:shd w:val="clear" w:color="auto" w:fill="auto"/>
          </w:tcPr>
          <w:p w:rsidR="00423A9B" w:rsidRPr="00285E19" w:rsidRDefault="00423A9B" w:rsidP="009868B0">
            <w:pPr>
              <w:rPr>
                <w:rFonts w:ascii="Book Antiqua" w:hAnsi="Book Antiqua"/>
                <w:sz w:val="20"/>
                <w:szCs w:val="20"/>
              </w:rPr>
            </w:pPr>
            <w:r w:rsidRPr="00285E19">
              <w:rPr>
                <w:rFonts w:ascii="Book Antiqua" w:hAnsi="Book Antiqua"/>
                <w:sz w:val="20"/>
                <w:szCs w:val="20"/>
              </w:rPr>
              <w:t>High-yield debt instruments</w:t>
            </w:r>
          </w:p>
        </w:tc>
        <w:tc>
          <w:tcPr>
            <w:tcW w:w="2628" w:type="dxa"/>
            <w:shd w:val="clear" w:color="auto" w:fill="auto"/>
          </w:tcPr>
          <w:p w:rsidR="00423A9B" w:rsidRPr="00285E19" w:rsidRDefault="00423A9B" w:rsidP="009868B0">
            <w:pPr>
              <w:rPr>
                <w:rFonts w:ascii="Book Antiqua" w:hAnsi="Book Antiqua"/>
                <w:sz w:val="20"/>
                <w:szCs w:val="20"/>
              </w:rPr>
            </w:pPr>
            <w:r>
              <w:rPr>
                <w:rFonts w:ascii="Book Antiqua" w:hAnsi="Book Antiqua"/>
                <w:noProof/>
                <w:sz w:val="20"/>
                <w:szCs w:val="20"/>
                <w:u w:val="single"/>
              </w:rPr>
              <mc:AlternateContent>
                <mc:Choice Requires="wps">
                  <w:drawing>
                    <wp:anchor distT="0" distB="0" distL="114300" distR="114300" simplePos="0" relativeHeight="251666432" behindDoc="0" locked="0" layoutInCell="1" allowOverlap="1" wp14:anchorId="758D06DF" wp14:editId="3E4D8608">
                      <wp:simplePos x="0" y="0"/>
                      <wp:positionH relativeFrom="column">
                        <wp:posOffset>64770</wp:posOffset>
                      </wp:positionH>
                      <wp:positionV relativeFrom="paragraph">
                        <wp:posOffset>128905</wp:posOffset>
                      </wp:positionV>
                      <wp:extent cx="561975" cy="0"/>
                      <wp:effectExtent l="9525" t="11430" r="9525"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1pt;margin-top:10.15pt;width:4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p0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"/>
                  </w:pict>
                </mc:Fallback>
              </mc:AlternateContent>
            </w:r>
          </w:p>
        </w:tc>
      </w:tr>
      <w:tr w:rsidR="00423A9B" w:rsidRPr="00285E19" w:rsidTr="009868B0">
        <w:tc>
          <w:tcPr>
            <w:tcW w:w="6228" w:type="dxa"/>
            <w:shd w:val="clear" w:color="auto" w:fill="auto"/>
          </w:tcPr>
          <w:p w:rsidR="00423A9B" w:rsidRPr="00285E19" w:rsidRDefault="00423A9B" w:rsidP="009868B0">
            <w:pPr>
              <w:rPr>
                <w:rFonts w:ascii="Book Antiqua" w:hAnsi="Book Antiqua"/>
                <w:sz w:val="20"/>
                <w:szCs w:val="20"/>
              </w:rPr>
            </w:pPr>
            <w:r w:rsidRPr="00285E19">
              <w:rPr>
                <w:rFonts w:ascii="Book Antiqua" w:hAnsi="Book Antiqua"/>
                <w:sz w:val="20"/>
                <w:szCs w:val="20"/>
              </w:rPr>
              <w:t>Real estate</w:t>
            </w:r>
          </w:p>
        </w:tc>
        <w:tc>
          <w:tcPr>
            <w:tcW w:w="2628" w:type="dxa"/>
            <w:shd w:val="clear" w:color="auto" w:fill="auto"/>
          </w:tcPr>
          <w:p w:rsidR="00423A9B" w:rsidRPr="00285E19" w:rsidRDefault="00423A9B" w:rsidP="009868B0">
            <w:pPr>
              <w:rPr>
                <w:rFonts w:ascii="Book Antiqua" w:hAnsi="Book Antiqua"/>
                <w:sz w:val="20"/>
                <w:szCs w:val="20"/>
              </w:rPr>
            </w:pPr>
            <w:r>
              <w:rPr>
                <w:rFonts w:ascii="Book Antiqua" w:hAnsi="Book Antiqua"/>
                <w:noProof/>
                <w:sz w:val="20"/>
                <w:szCs w:val="20"/>
                <w:u w:val="single"/>
              </w:rPr>
              <mc:AlternateContent>
                <mc:Choice Requires="wps">
                  <w:drawing>
                    <wp:anchor distT="0" distB="0" distL="114300" distR="114300" simplePos="0" relativeHeight="251667456" behindDoc="0" locked="0" layoutInCell="1" allowOverlap="1" wp14:anchorId="03287758" wp14:editId="4277203E">
                      <wp:simplePos x="0" y="0"/>
                      <wp:positionH relativeFrom="column">
                        <wp:posOffset>64770</wp:posOffset>
                      </wp:positionH>
                      <wp:positionV relativeFrom="paragraph">
                        <wp:posOffset>128905</wp:posOffset>
                      </wp:positionV>
                      <wp:extent cx="561975" cy="0"/>
                      <wp:effectExtent l="9525" t="7620" r="952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1pt;margin-top:10.15pt;width:4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"/>
                  </w:pict>
                </mc:Fallback>
              </mc:AlternateContent>
            </w:r>
          </w:p>
        </w:tc>
      </w:tr>
      <w:tr w:rsidR="00423A9B" w:rsidRPr="00285E19" w:rsidTr="009868B0">
        <w:tc>
          <w:tcPr>
            <w:tcW w:w="6228" w:type="dxa"/>
            <w:shd w:val="clear" w:color="auto" w:fill="auto"/>
          </w:tcPr>
          <w:p w:rsidR="00423A9B" w:rsidRPr="00285E19" w:rsidRDefault="00423A9B" w:rsidP="009868B0">
            <w:pPr>
              <w:rPr>
                <w:rFonts w:ascii="Book Antiqua" w:hAnsi="Book Antiqua"/>
                <w:sz w:val="20"/>
                <w:szCs w:val="20"/>
              </w:rPr>
            </w:pPr>
            <w:r w:rsidRPr="00285E19">
              <w:rPr>
                <w:rFonts w:ascii="Book Antiqua" w:hAnsi="Book Antiqua"/>
                <w:sz w:val="20"/>
                <w:szCs w:val="20"/>
              </w:rPr>
              <w:t>Other</w:t>
            </w:r>
          </w:p>
        </w:tc>
        <w:tc>
          <w:tcPr>
            <w:tcW w:w="2628" w:type="dxa"/>
            <w:shd w:val="clear" w:color="auto" w:fill="auto"/>
          </w:tcPr>
          <w:p w:rsidR="00423A9B" w:rsidRPr="00285E19" w:rsidRDefault="00423A9B" w:rsidP="009868B0">
            <w:pPr>
              <w:rPr>
                <w:rFonts w:ascii="Book Antiqua" w:hAnsi="Book Antiqua"/>
                <w:sz w:val="20"/>
                <w:szCs w:val="20"/>
              </w:rPr>
            </w:pPr>
            <w:r>
              <w:rPr>
                <w:rFonts w:ascii="Book Antiqua" w:hAnsi="Book Antiqua"/>
                <w:noProof/>
                <w:sz w:val="20"/>
                <w:szCs w:val="20"/>
                <w:u w:val="single"/>
              </w:rPr>
              <mc:AlternateContent>
                <mc:Choice Requires="wps">
                  <w:drawing>
                    <wp:anchor distT="0" distB="0" distL="114300" distR="114300" simplePos="0" relativeHeight="251668480" behindDoc="0" locked="0" layoutInCell="1" allowOverlap="1" wp14:anchorId="6599350E" wp14:editId="4195508C">
                      <wp:simplePos x="0" y="0"/>
                      <wp:positionH relativeFrom="column">
                        <wp:posOffset>64770</wp:posOffset>
                      </wp:positionH>
                      <wp:positionV relativeFrom="paragraph">
                        <wp:posOffset>128905</wp:posOffset>
                      </wp:positionV>
                      <wp:extent cx="561975" cy="0"/>
                      <wp:effectExtent l="9525" t="12700" r="952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1pt;margin-top:10.15pt;width:4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"/>
                  </w:pict>
                </mc:Fallback>
              </mc:AlternateContent>
            </w:r>
          </w:p>
        </w:tc>
      </w:tr>
      <w:tr w:rsidR="00423A9B" w:rsidRPr="00285E19" w:rsidTr="009868B0">
        <w:tc>
          <w:tcPr>
            <w:tcW w:w="6228" w:type="dxa"/>
            <w:shd w:val="clear" w:color="auto" w:fill="auto"/>
          </w:tcPr>
          <w:p w:rsidR="00423A9B" w:rsidRPr="00285E19" w:rsidRDefault="00423A9B" w:rsidP="009868B0">
            <w:pPr>
              <w:rPr>
                <w:rFonts w:ascii="Book Antiqua" w:hAnsi="Book Antiqua"/>
                <w:sz w:val="20"/>
                <w:szCs w:val="20"/>
              </w:rPr>
            </w:pPr>
          </w:p>
        </w:tc>
        <w:tc>
          <w:tcPr>
            <w:tcW w:w="2628" w:type="dxa"/>
            <w:shd w:val="clear" w:color="auto" w:fill="auto"/>
          </w:tcPr>
          <w:p w:rsidR="00423A9B" w:rsidRPr="00285E19" w:rsidRDefault="00423A9B" w:rsidP="009868B0">
            <w:pPr>
              <w:rPr>
                <w:rFonts w:ascii="Book Antiqua" w:hAnsi="Book Antiqua"/>
                <w:noProof/>
                <w:sz w:val="20"/>
                <w:szCs w:val="20"/>
                <w:u w:val="single"/>
              </w:rPr>
            </w:pPr>
          </w:p>
        </w:tc>
      </w:tr>
    </w:tbl>
    <w:p w:rsidR="00423A9B" w:rsidRPr="00285E19" w:rsidRDefault="00423A9B" w:rsidP="00423A9B">
      <w:pPr>
        <w:rPr>
          <w:rFonts w:ascii="Book Antiqua" w:hAnsi="Book Antiqua"/>
          <w:i/>
          <w:sz w:val="18"/>
          <w:szCs w:val="18"/>
        </w:rPr>
      </w:pPr>
    </w:p>
    <w:p w:rsidR="00423A9B" w:rsidRPr="00285E19" w:rsidRDefault="00423A9B" w:rsidP="00423A9B">
      <w:pPr>
        <w:rPr>
          <w:rFonts w:ascii="Book Antiqua" w:hAnsi="Book Antiqua"/>
          <w:sz w:val="18"/>
          <w:szCs w:val="18"/>
        </w:rPr>
      </w:pPr>
      <w:r w:rsidRPr="00285E19">
        <w:rPr>
          <w:rFonts w:ascii="Book Antiqua" w:hAnsi="Book Antiqua"/>
          <w:i/>
          <w:sz w:val="18"/>
          <w:szCs w:val="18"/>
        </w:rPr>
        <w:t xml:space="preserve">{Instructions:  Percentages must total 100%.  Follow </w:t>
      </w:r>
      <w:r>
        <w:rPr>
          <w:rFonts w:ascii="Book Antiqua" w:hAnsi="Book Antiqua"/>
          <w:i/>
          <w:sz w:val="18"/>
          <w:szCs w:val="18"/>
        </w:rPr>
        <w:t xml:space="preserve">the </w:t>
      </w:r>
      <w:r w:rsidRPr="00285E19">
        <w:rPr>
          <w:rFonts w:ascii="Book Antiqua" w:hAnsi="Book Antiqua"/>
          <w:i/>
          <w:sz w:val="18"/>
          <w:szCs w:val="18"/>
        </w:rPr>
        <w:t>instructions in</w:t>
      </w:r>
      <w:r>
        <w:rPr>
          <w:rFonts w:ascii="Book Antiqua" w:hAnsi="Book Antiqua"/>
          <w:i/>
          <w:sz w:val="18"/>
          <w:szCs w:val="18"/>
        </w:rPr>
        <w:t xml:space="preserve"> the latest Schedule R to Form 5500 to allocate</w:t>
      </w:r>
      <w:r w:rsidRPr="00285E19">
        <w:rPr>
          <w:rFonts w:ascii="Book Antiqua" w:hAnsi="Book Antiqua"/>
          <w:i/>
          <w:sz w:val="18"/>
          <w:szCs w:val="18"/>
        </w:rPr>
        <w:t xml:space="preserve"> investments to one of the above asset classes.</w:t>
      </w:r>
    </w:p>
    <w:p w:rsidR="00423A9B" w:rsidRPr="00285E19" w:rsidRDefault="00423A9B" w:rsidP="00423A9B">
      <w:pPr>
        <w:rPr>
          <w:rFonts w:ascii="Book Antiqua" w:hAnsi="Book Antiqua"/>
          <w:i/>
          <w:sz w:val="18"/>
          <w:szCs w:val="18"/>
        </w:rPr>
      </w:pPr>
    </w:p>
    <w:p w:rsidR="00423A9B" w:rsidRPr="00285E19" w:rsidRDefault="00423A9B" w:rsidP="00423A9B">
      <w:pPr>
        <w:jc w:val="center"/>
        <w:rPr>
          <w:rFonts w:ascii="Book Antiqua" w:hAnsi="Book Antiqua"/>
          <w:sz w:val="22"/>
          <w:szCs w:val="22"/>
          <w:u w:val="single"/>
        </w:rPr>
      </w:pPr>
      <w:r w:rsidRPr="00285E19">
        <w:rPr>
          <w:rFonts w:ascii="Book Antiqua" w:hAnsi="Book Antiqua"/>
          <w:sz w:val="22"/>
          <w:szCs w:val="22"/>
          <w:u w:val="single"/>
        </w:rPr>
        <w:t>Events Having a Material Effect on Assets or Liabilities</w:t>
      </w:r>
    </w:p>
    <w:p w:rsidR="00423A9B" w:rsidRDefault="00423A9B" w:rsidP="00423A9B">
      <w:pPr>
        <w:rPr>
          <w:rFonts w:ascii="Book Antiqua" w:hAnsi="Book Antiqua"/>
          <w:sz w:val="22"/>
          <w:szCs w:val="22"/>
        </w:rPr>
      </w:pPr>
    </w:p>
    <w:p w:rsidR="00423A9B" w:rsidRPr="00D01055" w:rsidRDefault="00423A9B" w:rsidP="00423A9B">
      <w:pPr>
        <w:rPr>
          <w:rFonts w:ascii="Book Antiqua" w:hAnsi="Book Antiqua"/>
          <w:i/>
          <w:sz w:val="22"/>
          <w:szCs w:val="22"/>
        </w:rPr>
      </w:pPr>
      <w:r>
        <w:rPr>
          <w:rFonts w:ascii="Book Antiqua" w:hAnsi="Book Antiqua"/>
          <w:sz w:val="22"/>
          <w:szCs w:val="22"/>
        </w:rPr>
        <w:t>By</w:t>
      </w:r>
      <w:r w:rsidRPr="00A82ECB">
        <w:rPr>
          <w:rFonts w:ascii="Book Antiqua" w:hAnsi="Book Antiqua"/>
          <w:sz w:val="22"/>
          <w:szCs w:val="22"/>
        </w:rPr>
        <w:t xml:space="preserve"> law this notice </w:t>
      </w:r>
      <w:r>
        <w:rPr>
          <w:rFonts w:ascii="Book Antiqua" w:hAnsi="Book Antiqua"/>
          <w:sz w:val="22"/>
          <w:szCs w:val="22"/>
        </w:rPr>
        <w:t xml:space="preserve">must contain </w:t>
      </w:r>
      <w:r w:rsidRPr="00A82ECB">
        <w:rPr>
          <w:rFonts w:ascii="Book Antiqua" w:hAnsi="Book Antiqua"/>
          <w:sz w:val="22"/>
          <w:szCs w:val="22"/>
        </w:rPr>
        <w:t xml:space="preserve">a written explanation of </w:t>
      </w:r>
      <w:r>
        <w:rPr>
          <w:rFonts w:ascii="Book Antiqua" w:hAnsi="Book Antiqua"/>
          <w:sz w:val="22"/>
          <w:szCs w:val="22"/>
        </w:rPr>
        <w:t xml:space="preserve">new </w:t>
      </w:r>
      <w:r w:rsidRPr="00A82ECB">
        <w:rPr>
          <w:rFonts w:ascii="Book Antiqua" w:hAnsi="Book Antiqua"/>
          <w:sz w:val="22"/>
          <w:szCs w:val="22"/>
        </w:rPr>
        <w:t>events</w:t>
      </w:r>
      <w:r>
        <w:rPr>
          <w:rFonts w:ascii="Book Antiqua" w:hAnsi="Book Antiqua"/>
          <w:sz w:val="22"/>
          <w:szCs w:val="22"/>
        </w:rPr>
        <w:t xml:space="preserve"> that have</w:t>
      </w:r>
      <w:r w:rsidRPr="00A82ECB">
        <w:rPr>
          <w:rFonts w:ascii="Book Antiqua" w:hAnsi="Book Antiqua"/>
          <w:sz w:val="22"/>
          <w:szCs w:val="22"/>
        </w:rPr>
        <w:t xml:space="preserve"> a material effect on plan liabilities or assets.  </w:t>
      </w:r>
      <w:r>
        <w:rPr>
          <w:rFonts w:ascii="Book Antiqua" w:hAnsi="Book Antiqua"/>
          <w:sz w:val="22"/>
          <w:szCs w:val="22"/>
        </w:rPr>
        <w:t xml:space="preserve">This is because such events can significantly impact the funding condition of a plan.  </w:t>
      </w:r>
      <w:r w:rsidRPr="00A82ECB">
        <w:rPr>
          <w:rFonts w:ascii="Book Antiqua" w:hAnsi="Book Antiqua"/>
          <w:sz w:val="22"/>
          <w:szCs w:val="22"/>
        </w:rPr>
        <w:t>For the</w:t>
      </w:r>
      <w:r>
        <w:rPr>
          <w:rFonts w:ascii="Book Antiqua" w:hAnsi="Book Antiqua"/>
          <w:sz w:val="22"/>
          <w:szCs w:val="22"/>
        </w:rPr>
        <w:t xml:space="preserve"> plan year </w:t>
      </w:r>
      <w:r w:rsidRPr="00A82ECB">
        <w:rPr>
          <w:rFonts w:ascii="Book Antiqua" w:hAnsi="Book Antiqua"/>
          <w:sz w:val="22"/>
          <w:szCs w:val="22"/>
        </w:rPr>
        <w:t>beginning on [</w:t>
      </w:r>
      <w:r w:rsidRPr="00F720DE">
        <w:rPr>
          <w:rFonts w:ascii="Book Antiqua" w:hAnsi="Book Antiqua"/>
          <w:i/>
          <w:sz w:val="22"/>
          <w:szCs w:val="22"/>
        </w:rPr>
        <w:t xml:space="preserve">insert </w:t>
      </w:r>
      <w:r>
        <w:rPr>
          <w:rFonts w:ascii="Book Antiqua" w:hAnsi="Book Antiqua"/>
          <w:i/>
          <w:sz w:val="22"/>
          <w:szCs w:val="22"/>
        </w:rPr>
        <w:t>the first day of the current plan year (i.e., the year after the notice year)</w:t>
      </w:r>
      <w:r w:rsidRPr="00A82ECB">
        <w:rPr>
          <w:rFonts w:ascii="Book Antiqua" w:hAnsi="Book Antiqua"/>
          <w:sz w:val="22"/>
          <w:szCs w:val="22"/>
        </w:rPr>
        <w:t>] and ending on [</w:t>
      </w:r>
      <w:r w:rsidRPr="00F720DE">
        <w:rPr>
          <w:rFonts w:ascii="Book Antiqua" w:hAnsi="Book Antiqua"/>
          <w:i/>
          <w:sz w:val="22"/>
          <w:szCs w:val="22"/>
        </w:rPr>
        <w:t>insert</w:t>
      </w:r>
      <w:r>
        <w:rPr>
          <w:rFonts w:ascii="Book Antiqua" w:hAnsi="Book Antiqua"/>
          <w:i/>
          <w:sz w:val="22"/>
          <w:szCs w:val="22"/>
        </w:rPr>
        <w:t xml:space="preserve"> the last day of the current plan year</w:t>
      </w:r>
      <w:r w:rsidRPr="00A82ECB">
        <w:rPr>
          <w:rFonts w:ascii="Book Antiqua" w:hAnsi="Book Antiqua"/>
          <w:sz w:val="22"/>
          <w:szCs w:val="22"/>
        </w:rPr>
        <w:t xml:space="preserve">], the </w:t>
      </w:r>
      <w:r>
        <w:rPr>
          <w:rFonts w:ascii="Book Antiqua" w:hAnsi="Book Antiqua"/>
          <w:sz w:val="22"/>
          <w:szCs w:val="22"/>
        </w:rPr>
        <w:t xml:space="preserve">Plan expects the </w:t>
      </w:r>
      <w:r w:rsidRPr="00A82ECB">
        <w:rPr>
          <w:rFonts w:ascii="Book Antiqua" w:hAnsi="Book Antiqua"/>
          <w:sz w:val="22"/>
          <w:szCs w:val="22"/>
        </w:rPr>
        <w:t>following events to have such an effect: [</w:t>
      </w:r>
      <w:r>
        <w:rPr>
          <w:rFonts w:ascii="Book Antiqua" w:hAnsi="Book Antiqua"/>
          <w:i/>
          <w:sz w:val="22"/>
          <w:szCs w:val="22"/>
        </w:rPr>
        <w:t>I</w:t>
      </w:r>
      <w:r w:rsidRPr="00F720DE">
        <w:rPr>
          <w:rFonts w:ascii="Book Antiqua" w:hAnsi="Book Antiqua"/>
          <w:i/>
          <w:sz w:val="22"/>
          <w:szCs w:val="22"/>
        </w:rPr>
        <w:t xml:space="preserve">nsert explanation of any plan amendment, scheduled benefit increase or reduction, or other known event taking effect in the current plan year and having a material effect on plan liabilities </w:t>
      </w:r>
      <w:r>
        <w:rPr>
          <w:rFonts w:ascii="Book Antiqua" w:hAnsi="Book Antiqua"/>
          <w:i/>
          <w:sz w:val="22"/>
          <w:szCs w:val="22"/>
        </w:rPr>
        <w:t xml:space="preserve">or </w:t>
      </w:r>
      <w:r w:rsidRPr="00F720DE">
        <w:rPr>
          <w:rFonts w:ascii="Book Antiqua" w:hAnsi="Book Antiqua"/>
          <w:i/>
          <w:sz w:val="22"/>
          <w:szCs w:val="22"/>
        </w:rPr>
        <w:t xml:space="preserve">assets for the </w:t>
      </w:r>
      <w:r>
        <w:rPr>
          <w:rFonts w:ascii="Book Antiqua" w:hAnsi="Book Antiqua"/>
          <w:i/>
          <w:sz w:val="22"/>
          <w:szCs w:val="22"/>
        </w:rPr>
        <w:t xml:space="preserve">current plan </w:t>
      </w:r>
      <w:r w:rsidRPr="00F720DE">
        <w:rPr>
          <w:rFonts w:ascii="Book Antiqua" w:hAnsi="Book Antiqua"/>
          <w:i/>
          <w:sz w:val="22"/>
          <w:szCs w:val="22"/>
        </w:rPr>
        <w:t>year</w:t>
      </w:r>
      <w:r>
        <w:rPr>
          <w:rFonts w:ascii="Book Antiqua" w:hAnsi="Book Antiqua"/>
          <w:i/>
          <w:sz w:val="22"/>
          <w:szCs w:val="22"/>
        </w:rPr>
        <w:t>, as well as a projection to the end of the current plan of the effect of the amendment, scheduled increase or reduction, or event on plan liabilities</w:t>
      </w:r>
      <w:r w:rsidRPr="00A82ECB">
        <w:rPr>
          <w:rFonts w:ascii="Book Antiqua" w:hAnsi="Book Antiqua"/>
          <w:sz w:val="22"/>
          <w:szCs w:val="22"/>
        </w:rPr>
        <w:t>].</w:t>
      </w:r>
    </w:p>
    <w:p w:rsidR="00423A9B" w:rsidRPr="000A48B1" w:rsidRDefault="00423A9B" w:rsidP="00423A9B">
      <w:pPr>
        <w:rPr>
          <w:rFonts w:ascii="Book Antiqua" w:hAnsi="Book Antiqua"/>
          <w:sz w:val="22"/>
          <w:szCs w:val="22"/>
        </w:rPr>
      </w:pPr>
    </w:p>
    <w:p w:rsidR="00423A9B" w:rsidRDefault="00423A9B" w:rsidP="00423A9B">
      <w:pPr>
        <w:rPr>
          <w:rFonts w:ascii="Book Antiqua" w:hAnsi="Book Antiqua"/>
          <w:sz w:val="22"/>
          <w:szCs w:val="22"/>
        </w:rPr>
      </w:pPr>
      <w:r>
        <w:rPr>
          <w:rFonts w:ascii="Book Antiqua" w:hAnsi="Book Antiqua"/>
          <w:sz w:val="18"/>
          <w:szCs w:val="18"/>
        </w:rPr>
        <w:t>{</w:t>
      </w:r>
      <w:r w:rsidRPr="00224EDB">
        <w:rPr>
          <w:rFonts w:ascii="Book Antiqua" w:hAnsi="Book Antiqua"/>
          <w:i/>
          <w:sz w:val="18"/>
          <w:szCs w:val="18"/>
        </w:rPr>
        <w:t>Instructions</w:t>
      </w:r>
      <w:r>
        <w:rPr>
          <w:rFonts w:ascii="Book Antiqua" w:hAnsi="Book Antiqua"/>
          <w:i/>
          <w:sz w:val="18"/>
          <w:szCs w:val="18"/>
        </w:rPr>
        <w:t>:  Include the preceding discussion, entitled Events having a Material Effect on Assets or Liabilities, only if and to the extent applicable.</w:t>
      </w:r>
      <w:r>
        <w:rPr>
          <w:rFonts w:ascii="Book Antiqua" w:hAnsi="Book Antiqua"/>
          <w:sz w:val="18"/>
          <w:szCs w:val="18"/>
        </w:rPr>
        <w:t>}</w:t>
      </w:r>
    </w:p>
    <w:p w:rsidR="00423A9B" w:rsidRDefault="00423A9B" w:rsidP="00423A9B">
      <w:pPr>
        <w:rPr>
          <w:rFonts w:ascii="Book Antiqua" w:hAnsi="Book Antiqua"/>
          <w:sz w:val="22"/>
          <w:szCs w:val="22"/>
        </w:rPr>
      </w:pPr>
    </w:p>
    <w:p w:rsidR="00423A9B" w:rsidRPr="00285E19" w:rsidRDefault="00423A9B" w:rsidP="00423A9B">
      <w:pPr>
        <w:ind w:right="720"/>
        <w:rPr>
          <w:rFonts w:ascii="Book Antiqua" w:hAnsi="Book Antiqua"/>
          <w:sz w:val="22"/>
          <w:szCs w:val="22"/>
        </w:rPr>
      </w:pPr>
    </w:p>
    <w:p w:rsidR="00423A9B" w:rsidRPr="00285E19" w:rsidRDefault="00423A9B" w:rsidP="00423A9B">
      <w:pPr>
        <w:jc w:val="center"/>
        <w:rPr>
          <w:rFonts w:ascii="Book Antiqua" w:hAnsi="Book Antiqua"/>
          <w:sz w:val="22"/>
          <w:szCs w:val="22"/>
          <w:u w:val="single"/>
        </w:rPr>
      </w:pPr>
      <w:r w:rsidRPr="00285E19">
        <w:rPr>
          <w:rFonts w:ascii="Book Antiqua" w:hAnsi="Book Antiqua"/>
          <w:sz w:val="22"/>
          <w:szCs w:val="22"/>
          <w:u w:val="single"/>
        </w:rPr>
        <w:t>Right to Request a Copy of the Annual Report</w:t>
      </w:r>
    </w:p>
    <w:p w:rsidR="00423A9B" w:rsidRPr="00285E19" w:rsidRDefault="00423A9B" w:rsidP="00423A9B">
      <w:pPr>
        <w:jc w:val="center"/>
        <w:rPr>
          <w:rFonts w:ascii="Book Antiqua" w:hAnsi="Book Antiqua"/>
          <w:sz w:val="22"/>
          <w:szCs w:val="22"/>
          <w:u w:val="single"/>
        </w:rPr>
      </w:pPr>
    </w:p>
    <w:p w:rsidR="00423A9B" w:rsidRDefault="00423A9B" w:rsidP="00423A9B">
      <w:pPr>
        <w:rPr>
          <w:rFonts w:ascii="Book Antiqua" w:hAnsi="Book Antiqua"/>
          <w:sz w:val="22"/>
          <w:szCs w:val="22"/>
        </w:rPr>
      </w:pPr>
      <w:r>
        <w:rPr>
          <w:rFonts w:ascii="Book Antiqua" w:hAnsi="Book Antiqua"/>
          <w:sz w:val="22"/>
          <w:szCs w:val="22"/>
        </w:rPr>
        <w:t>P</w:t>
      </w:r>
      <w:r w:rsidRPr="00285E19">
        <w:rPr>
          <w:rFonts w:ascii="Book Antiqua" w:hAnsi="Book Antiqua"/>
          <w:sz w:val="22"/>
          <w:szCs w:val="22"/>
        </w:rPr>
        <w:t>ension plan</w:t>
      </w:r>
      <w:r>
        <w:rPr>
          <w:rFonts w:ascii="Book Antiqua" w:hAnsi="Book Antiqua"/>
          <w:sz w:val="22"/>
          <w:szCs w:val="22"/>
        </w:rPr>
        <w:t>s must</w:t>
      </w:r>
      <w:r w:rsidRPr="00285E19">
        <w:rPr>
          <w:rFonts w:ascii="Book Antiqua" w:hAnsi="Book Antiqua"/>
          <w:sz w:val="22"/>
          <w:szCs w:val="22"/>
        </w:rPr>
        <w:t xml:space="preserve"> file</w:t>
      </w:r>
      <w:r>
        <w:rPr>
          <w:rFonts w:ascii="Book Antiqua" w:hAnsi="Book Antiqua"/>
          <w:sz w:val="22"/>
          <w:szCs w:val="22"/>
        </w:rPr>
        <w:t xml:space="preserve"> annual reports</w:t>
      </w:r>
      <w:r w:rsidRPr="00285E19">
        <w:rPr>
          <w:rFonts w:ascii="Book Antiqua" w:hAnsi="Book Antiqua"/>
          <w:sz w:val="22"/>
          <w:szCs w:val="22"/>
        </w:rPr>
        <w:t xml:space="preserve"> with the US Department of Labor</w:t>
      </w:r>
      <w:r>
        <w:rPr>
          <w:rFonts w:ascii="Book Antiqua" w:hAnsi="Book Antiqua"/>
          <w:sz w:val="22"/>
          <w:szCs w:val="22"/>
        </w:rPr>
        <w:t xml:space="preserve">.  The report is called </w:t>
      </w:r>
      <w:proofErr w:type="gramStart"/>
      <w:r>
        <w:rPr>
          <w:rFonts w:ascii="Book Antiqua" w:hAnsi="Book Antiqua"/>
          <w:sz w:val="22"/>
          <w:szCs w:val="22"/>
        </w:rPr>
        <w:t>the</w:t>
      </w:r>
      <w:r w:rsidRPr="00285E19">
        <w:rPr>
          <w:rFonts w:ascii="Book Antiqua" w:hAnsi="Book Antiqua"/>
          <w:sz w:val="22"/>
          <w:szCs w:val="22"/>
        </w:rPr>
        <w:t xml:space="preserve">  </w:t>
      </w:r>
      <w:r>
        <w:rPr>
          <w:rFonts w:ascii="Book Antiqua" w:hAnsi="Book Antiqua"/>
          <w:sz w:val="22"/>
          <w:szCs w:val="22"/>
        </w:rPr>
        <w:t>“</w:t>
      </w:r>
      <w:proofErr w:type="gramEnd"/>
      <w:r w:rsidRPr="00285E19">
        <w:rPr>
          <w:rFonts w:ascii="Book Antiqua" w:hAnsi="Book Antiqua"/>
          <w:sz w:val="22"/>
          <w:szCs w:val="22"/>
        </w:rPr>
        <w:t>Form 5500</w:t>
      </w:r>
      <w:r>
        <w:rPr>
          <w:rFonts w:ascii="Book Antiqua" w:hAnsi="Book Antiqua"/>
          <w:sz w:val="22"/>
          <w:szCs w:val="22"/>
        </w:rPr>
        <w:t>.”</w:t>
      </w:r>
      <w:r w:rsidRPr="00285E19">
        <w:rPr>
          <w:rFonts w:ascii="Book Antiqua" w:hAnsi="Book Antiqua"/>
          <w:sz w:val="22"/>
          <w:szCs w:val="22"/>
        </w:rPr>
        <w:t xml:space="preserve"> </w:t>
      </w:r>
      <w:r>
        <w:rPr>
          <w:rFonts w:ascii="Book Antiqua" w:hAnsi="Book Antiqua"/>
          <w:sz w:val="22"/>
          <w:szCs w:val="22"/>
        </w:rPr>
        <w:t xml:space="preserve"> These reports </w:t>
      </w:r>
      <w:r w:rsidRPr="00285E19">
        <w:rPr>
          <w:rFonts w:ascii="Book Antiqua" w:hAnsi="Book Antiqua"/>
          <w:sz w:val="22"/>
          <w:szCs w:val="22"/>
        </w:rPr>
        <w:t xml:space="preserve">contain financial and other information.  </w:t>
      </w:r>
      <w:r>
        <w:rPr>
          <w:rFonts w:ascii="Book Antiqua" w:hAnsi="Book Antiqua"/>
          <w:sz w:val="22"/>
          <w:szCs w:val="22"/>
        </w:rPr>
        <w:t>Y</w:t>
      </w:r>
      <w:r w:rsidRPr="00285E19">
        <w:rPr>
          <w:rFonts w:ascii="Book Antiqua" w:hAnsi="Book Antiqua"/>
          <w:sz w:val="22"/>
          <w:szCs w:val="22"/>
        </w:rPr>
        <w:t xml:space="preserve">ou may obtain an electronic copy of </w:t>
      </w:r>
      <w:r>
        <w:rPr>
          <w:rFonts w:ascii="Book Antiqua" w:hAnsi="Book Antiqua"/>
          <w:sz w:val="22"/>
          <w:szCs w:val="22"/>
        </w:rPr>
        <w:t>your</w:t>
      </w:r>
      <w:r w:rsidRPr="00285E19">
        <w:rPr>
          <w:rFonts w:ascii="Book Antiqua" w:hAnsi="Book Antiqua"/>
          <w:sz w:val="22"/>
          <w:szCs w:val="22"/>
        </w:rPr>
        <w:t xml:space="preserve"> </w:t>
      </w:r>
      <w:r>
        <w:rPr>
          <w:rFonts w:ascii="Book Antiqua" w:hAnsi="Book Antiqua"/>
          <w:sz w:val="22"/>
          <w:szCs w:val="22"/>
        </w:rPr>
        <w:t>P</w:t>
      </w:r>
      <w:r w:rsidRPr="00285E19">
        <w:rPr>
          <w:rFonts w:ascii="Book Antiqua" w:hAnsi="Book Antiqua"/>
          <w:sz w:val="22"/>
          <w:szCs w:val="22"/>
        </w:rPr>
        <w:t xml:space="preserve">lan’s annual report by going to </w:t>
      </w:r>
      <w:hyperlink r:id="rId6" w:history="1">
        <w:r w:rsidRPr="00285E19">
          <w:rPr>
            <w:color w:val="0000FF"/>
            <w:u w:val="single"/>
          </w:rPr>
          <w:t>www.efast.dol.gov</w:t>
        </w:r>
      </w:hyperlink>
      <w:r w:rsidRPr="00285E19">
        <w:t xml:space="preserve"> and using the search </w:t>
      </w:r>
      <w:r>
        <w:t>tool</w:t>
      </w:r>
      <w:r w:rsidRPr="00285E19">
        <w:t xml:space="preserve">.  </w:t>
      </w:r>
      <w:r>
        <w:rPr>
          <w:rFonts w:ascii="Book Antiqua" w:hAnsi="Book Antiqua"/>
          <w:color w:val="000000"/>
          <w:sz w:val="22"/>
          <w:szCs w:val="22"/>
        </w:rPr>
        <w:t>A</w:t>
      </w:r>
      <w:r w:rsidRPr="00285E19">
        <w:rPr>
          <w:rFonts w:ascii="Book Antiqua" w:hAnsi="Book Antiqua"/>
          <w:color w:val="000000"/>
          <w:sz w:val="22"/>
          <w:szCs w:val="22"/>
        </w:rPr>
        <w:t>nnual report</w:t>
      </w:r>
      <w:r>
        <w:rPr>
          <w:rFonts w:ascii="Book Antiqua" w:hAnsi="Book Antiqua"/>
          <w:color w:val="000000"/>
          <w:sz w:val="22"/>
          <w:szCs w:val="22"/>
        </w:rPr>
        <w:t>s</w:t>
      </w:r>
      <w:r w:rsidRPr="00285E19">
        <w:rPr>
          <w:rFonts w:ascii="Book Antiqua" w:hAnsi="Book Antiqua"/>
          <w:color w:val="000000"/>
          <w:sz w:val="22"/>
          <w:szCs w:val="22"/>
        </w:rPr>
        <w:t xml:space="preserve"> </w:t>
      </w:r>
      <w:r>
        <w:rPr>
          <w:rFonts w:ascii="Book Antiqua" w:hAnsi="Book Antiqua"/>
          <w:color w:val="000000"/>
          <w:sz w:val="22"/>
          <w:szCs w:val="22"/>
        </w:rPr>
        <w:t xml:space="preserve">also </w:t>
      </w:r>
      <w:r w:rsidRPr="00285E19">
        <w:rPr>
          <w:rFonts w:ascii="Book Antiqua" w:hAnsi="Book Antiqua"/>
          <w:color w:val="000000"/>
          <w:sz w:val="22"/>
          <w:szCs w:val="22"/>
        </w:rPr>
        <w:t>are available from the US Department of Labor, Employee Benefits Security Administration’s Public Disclosure Room at 200 Constitution Avenue, NW, Room N-1513, Washington, DC 20210, or by calling 202.693.8673.</w:t>
      </w:r>
      <w:r>
        <w:rPr>
          <w:rFonts w:ascii="Book Antiqua" w:hAnsi="Book Antiqua"/>
          <w:sz w:val="22"/>
          <w:szCs w:val="22"/>
        </w:rPr>
        <w:t xml:space="preserve">  </w:t>
      </w:r>
      <w:r w:rsidRPr="00285E19">
        <w:rPr>
          <w:rFonts w:ascii="Book Antiqua" w:hAnsi="Book Antiqua"/>
          <w:sz w:val="22"/>
          <w:szCs w:val="22"/>
        </w:rPr>
        <w:t>Or you may obtain a copy of the Plan’s annual report by making a written request to the plan administrator.  [</w:t>
      </w:r>
      <w:r w:rsidRPr="00285E19">
        <w:rPr>
          <w:rFonts w:ascii="Book Antiqua" w:hAnsi="Book Antiqua"/>
          <w:i/>
          <w:sz w:val="22"/>
          <w:szCs w:val="22"/>
        </w:rPr>
        <w:t xml:space="preserve">If the </w:t>
      </w:r>
      <w:r>
        <w:rPr>
          <w:rFonts w:ascii="Book Antiqua" w:hAnsi="Book Antiqua"/>
          <w:i/>
          <w:sz w:val="22"/>
          <w:szCs w:val="22"/>
        </w:rPr>
        <w:t>p</w:t>
      </w:r>
      <w:r w:rsidRPr="00285E19">
        <w:rPr>
          <w:rFonts w:ascii="Book Antiqua" w:hAnsi="Book Antiqua"/>
          <w:i/>
          <w:sz w:val="22"/>
          <w:szCs w:val="22"/>
        </w:rPr>
        <w:t>lan’s annual report is available on an Intranet website maintained by the plan sponsor (or plan administrator on behalf of the plan sponsor), modify the preceding sentence to include a statement that the annual report also may be obtained through that website and include the website address.</w:t>
      </w:r>
      <w:r w:rsidRPr="00285E19">
        <w:rPr>
          <w:rFonts w:ascii="Book Antiqua" w:hAnsi="Book Antiqua"/>
          <w:sz w:val="22"/>
          <w:szCs w:val="22"/>
        </w:rPr>
        <w:t xml:space="preserve">]  </w:t>
      </w:r>
      <w:r>
        <w:rPr>
          <w:rFonts w:ascii="Book Antiqua" w:hAnsi="Book Antiqua"/>
          <w:sz w:val="22"/>
          <w:szCs w:val="22"/>
        </w:rPr>
        <w:t>Annual reports do not contain personal information</w:t>
      </w:r>
      <w:r w:rsidRPr="00285E19">
        <w:rPr>
          <w:rFonts w:ascii="Book Antiqua" w:hAnsi="Book Antiqua"/>
          <w:sz w:val="22"/>
          <w:szCs w:val="22"/>
        </w:rPr>
        <w:t xml:space="preserve">, such as the amount of your accrued benefit.  </w:t>
      </w:r>
      <w:r>
        <w:rPr>
          <w:rFonts w:ascii="Book Antiqua" w:hAnsi="Book Antiqua"/>
          <w:sz w:val="22"/>
          <w:szCs w:val="22"/>
        </w:rPr>
        <w:t>You may contact your plan administrator i</w:t>
      </w:r>
      <w:r w:rsidRPr="00285E19">
        <w:rPr>
          <w:rFonts w:ascii="Book Antiqua" w:hAnsi="Book Antiqua"/>
          <w:sz w:val="22"/>
          <w:szCs w:val="22"/>
        </w:rPr>
        <w:t xml:space="preserve">f you </w:t>
      </w:r>
      <w:r>
        <w:rPr>
          <w:rFonts w:ascii="Book Antiqua" w:hAnsi="Book Antiqua"/>
          <w:sz w:val="22"/>
          <w:szCs w:val="22"/>
        </w:rPr>
        <w:t xml:space="preserve">want </w:t>
      </w:r>
      <w:r w:rsidRPr="00285E19">
        <w:rPr>
          <w:rFonts w:ascii="Book Antiqua" w:hAnsi="Book Antiqua"/>
          <w:sz w:val="22"/>
          <w:szCs w:val="22"/>
        </w:rPr>
        <w:t xml:space="preserve">information </w:t>
      </w:r>
      <w:r>
        <w:rPr>
          <w:rFonts w:ascii="Book Antiqua" w:hAnsi="Book Antiqua"/>
          <w:sz w:val="22"/>
          <w:szCs w:val="22"/>
        </w:rPr>
        <w:t>about</w:t>
      </w:r>
      <w:r w:rsidRPr="00285E19">
        <w:rPr>
          <w:rFonts w:ascii="Book Antiqua" w:hAnsi="Book Antiqua"/>
          <w:sz w:val="22"/>
          <w:szCs w:val="22"/>
        </w:rPr>
        <w:t xml:space="preserve"> your </w:t>
      </w:r>
      <w:r>
        <w:rPr>
          <w:rFonts w:ascii="Book Antiqua" w:hAnsi="Book Antiqua"/>
          <w:sz w:val="22"/>
          <w:szCs w:val="22"/>
        </w:rPr>
        <w:t xml:space="preserve">accrued </w:t>
      </w:r>
      <w:r w:rsidRPr="00285E19">
        <w:rPr>
          <w:rFonts w:ascii="Book Antiqua" w:hAnsi="Book Antiqua"/>
          <w:sz w:val="22"/>
          <w:szCs w:val="22"/>
        </w:rPr>
        <w:t>benefits</w:t>
      </w:r>
      <w:r>
        <w:rPr>
          <w:rFonts w:ascii="Book Antiqua" w:hAnsi="Book Antiqua"/>
          <w:sz w:val="22"/>
          <w:szCs w:val="22"/>
        </w:rPr>
        <w:t xml:space="preserve">.  </w:t>
      </w:r>
      <w:r w:rsidRPr="00285E19">
        <w:rPr>
          <w:rFonts w:ascii="Book Antiqua" w:hAnsi="Book Antiqua"/>
          <w:sz w:val="22"/>
          <w:szCs w:val="22"/>
        </w:rPr>
        <w:t xml:space="preserve"> </w:t>
      </w:r>
      <w:r>
        <w:rPr>
          <w:rFonts w:ascii="Book Antiqua" w:hAnsi="Book Antiqua"/>
          <w:sz w:val="22"/>
          <w:szCs w:val="22"/>
        </w:rPr>
        <w:t>Your</w:t>
      </w:r>
      <w:r w:rsidRPr="00285E19">
        <w:rPr>
          <w:rFonts w:ascii="Book Antiqua" w:hAnsi="Book Antiqua"/>
          <w:sz w:val="22"/>
          <w:szCs w:val="22"/>
        </w:rPr>
        <w:t xml:space="preserve"> plan administrator </w:t>
      </w:r>
      <w:r>
        <w:rPr>
          <w:rFonts w:ascii="Book Antiqua" w:hAnsi="Book Antiqua"/>
          <w:sz w:val="22"/>
          <w:szCs w:val="22"/>
        </w:rPr>
        <w:t xml:space="preserve">is </w:t>
      </w:r>
      <w:r w:rsidRPr="00285E19">
        <w:rPr>
          <w:rFonts w:ascii="Book Antiqua" w:hAnsi="Book Antiqua"/>
          <w:sz w:val="22"/>
          <w:szCs w:val="22"/>
        </w:rPr>
        <w:t xml:space="preserve">identified below under “Where </w:t>
      </w:r>
      <w:proofErr w:type="gramStart"/>
      <w:r w:rsidRPr="00285E19">
        <w:rPr>
          <w:rFonts w:ascii="Book Antiqua" w:hAnsi="Book Antiqua"/>
          <w:sz w:val="22"/>
          <w:szCs w:val="22"/>
        </w:rPr>
        <w:t>To</w:t>
      </w:r>
      <w:proofErr w:type="gramEnd"/>
      <w:r w:rsidRPr="00285E19">
        <w:rPr>
          <w:rFonts w:ascii="Book Antiqua" w:hAnsi="Book Antiqua"/>
          <w:sz w:val="22"/>
          <w:szCs w:val="22"/>
        </w:rPr>
        <w:t xml:space="preserve"> Get More Information.”</w:t>
      </w:r>
    </w:p>
    <w:p w:rsidR="00423A9B" w:rsidRDefault="00423A9B" w:rsidP="00423A9B">
      <w:pPr>
        <w:rPr>
          <w:rFonts w:ascii="Book Antiqua" w:hAnsi="Book Antiqua"/>
          <w:sz w:val="22"/>
          <w:szCs w:val="22"/>
        </w:rPr>
      </w:pPr>
    </w:p>
    <w:p w:rsidR="00423A9B" w:rsidRPr="00040967" w:rsidRDefault="00423A9B" w:rsidP="00423A9B">
      <w:pPr>
        <w:jc w:val="center"/>
        <w:rPr>
          <w:rFonts w:ascii="Book Antiqua" w:hAnsi="Book Antiqua"/>
          <w:sz w:val="22"/>
          <w:szCs w:val="22"/>
        </w:rPr>
      </w:pPr>
      <w:r w:rsidRPr="00285E19">
        <w:rPr>
          <w:rFonts w:ascii="Book Antiqua" w:hAnsi="Book Antiqua"/>
          <w:kern w:val="32"/>
          <w:sz w:val="22"/>
          <w:szCs w:val="22"/>
          <w:u w:val="single"/>
        </w:rPr>
        <w:t>Summary of Rules Governing Plans in Reorganization and Insolvent Plans</w:t>
      </w:r>
    </w:p>
    <w:p w:rsidR="00423A9B" w:rsidRPr="00285E19" w:rsidRDefault="00423A9B" w:rsidP="00423A9B"/>
    <w:p w:rsidR="00423A9B" w:rsidRPr="00285E19" w:rsidRDefault="00423A9B" w:rsidP="00423A9B">
      <w:pPr>
        <w:rPr>
          <w:rFonts w:ascii="Book Antiqua" w:hAnsi="Book Antiqua"/>
          <w:sz w:val="22"/>
          <w:szCs w:val="22"/>
        </w:rPr>
      </w:pPr>
      <w:r w:rsidRPr="00285E19">
        <w:rPr>
          <w:rFonts w:ascii="Book Antiqua" w:hAnsi="Book Antiqua"/>
          <w:sz w:val="22"/>
          <w:szCs w:val="22"/>
        </w:rPr>
        <w:t xml:space="preserve">Federal law has a number of special rules that apply to financially troubled multiemployer plans.  The plan administrator is required by law to include a summary of these rules in the annual funding notice.  Under so-called “plan reorganization rules,” a plan with adverse financial experience may need to increase required contributions and may, under certain circumstances, reduce benefits that are not eligible for the PBGC’s guarantee (generally, benefits that have been in effect for less than 60 months).  If a plan is in reorganization status, it must provide notification that the plan is in reorganization status and that, if contributions are not increased, accrued benefits under the plan may be reduced or an excise tax may be imposed (or both).  The plan is required to furnish this notification to each contributing employer and the labor organization. </w:t>
      </w:r>
    </w:p>
    <w:p w:rsidR="00423A9B" w:rsidRPr="00285E19" w:rsidRDefault="00423A9B" w:rsidP="00423A9B">
      <w:pPr>
        <w:rPr>
          <w:rFonts w:ascii="Book Antiqua" w:hAnsi="Book Antiqua"/>
          <w:sz w:val="22"/>
          <w:szCs w:val="22"/>
        </w:rPr>
      </w:pPr>
    </w:p>
    <w:p w:rsidR="00423A9B" w:rsidRPr="00285E19" w:rsidRDefault="00423A9B" w:rsidP="00423A9B">
      <w:pPr>
        <w:rPr>
          <w:rFonts w:ascii="Book Antiqua" w:hAnsi="Book Antiqua"/>
          <w:sz w:val="22"/>
          <w:szCs w:val="22"/>
        </w:rPr>
      </w:pPr>
      <w:r w:rsidRPr="00285E19">
        <w:rPr>
          <w:rFonts w:ascii="Book Antiqua" w:hAnsi="Book Antiqua"/>
          <w:sz w:val="22"/>
          <w:szCs w:val="22"/>
        </w:rPr>
        <w:t>Despite these special plan reorganization rules, a plan in reorganization could become insolvent.  A plan is insolvent for a plan year if its available financial resources are not sufficient to pay benefits when due for that plan year.  An insolvent plan must reduce benefit payments to the highest level that can be paid from the plan’s available resources.  If such resources are not enough to pay benefits at the level specified by law (see Benefit Payments Guaranteed by the PBGC, below), the plan must apply to the PBGC for financial assistance.  The PBGC will loan the plan the amount necessary to pay benefits at the guaranteed level.  Reduced benefits may be restored if the plan’s financial condition improves.</w:t>
      </w:r>
    </w:p>
    <w:p w:rsidR="00423A9B" w:rsidRPr="00285E19" w:rsidRDefault="00423A9B" w:rsidP="00423A9B">
      <w:pPr>
        <w:rPr>
          <w:rFonts w:ascii="Book Antiqua" w:hAnsi="Book Antiqua"/>
          <w:sz w:val="22"/>
          <w:szCs w:val="22"/>
        </w:rPr>
      </w:pPr>
    </w:p>
    <w:p w:rsidR="00423A9B" w:rsidRDefault="00423A9B" w:rsidP="00423A9B">
      <w:pPr>
        <w:rPr>
          <w:rFonts w:ascii="Book Antiqua" w:hAnsi="Book Antiqua"/>
          <w:sz w:val="22"/>
          <w:szCs w:val="22"/>
        </w:rPr>
      </w:pPr>
      <w:r w:rsidRPr="00285E19">
        <w:rPr>
          <w:rFonts w:ascii="Book Antiqua" w:hAnsi="Book Antiqua"/>
          <w:sz w:val="22"/>
          <w:szCs w:val="22"/>
        </w:rPr>
        <w:t xml:space="preserve">A plan that becomes insolvent must provide prompt notice of its status to participants and beneficiaries, contributing employers, labor unions representing participants, and PBGC.  In addition, participants and beneficiaries also must receive information regarding whether, and how, their benefits will be reduced or affected, including loss of a lump sum option.  </w:t>
      </w:r>
    </w:p>
    <w:p w:rsidR="00423A9B" w:rsidRPr="00285E19" w:rsidRDefault="00423A9B" w:rsidP="00423A9B">
      <w:pPr>
        <w:rPr>
          <w:rFonts w:ascii="Book Antiqua" w:hAnsi="Book Antiqua"/>
          <w:sz w:val="22"/>
          <w:szCs w:val="22"/>
        </w:rPr>
      </w:pPr>
    </w:p>
    <w:p w:rsidR="00423A9B" w:rsidRPr="00285E19" w:rsidRDefault="00423A9B" w:rsidP="00423A9B">
      <w:pPr>
        <w:jc w:val="center"/>
        <w:rPr>
          <w:rFonts w:ascii="Book Antiqua" w:hAnsi="Book Antiqua"/>
          <w:sz w:val="22"/>
          <w:szCs w:val="22"/>
          <w:u w:val="single"/>
        </w:rPr>
      </w:pPr>
      <w:r w:rsidRPr="00285E19">
        <w:rPr>
          <w:rFonts w:ascii="Book Antiqua" w:hAnsi="Book Antiqua"/>
          <w:sz w:val="22"/>
          <w:szCs w:val="22"/>
          <w:u w:val="single"/>
        </w:rPr>
        <w:t>Benefit Payments Guaranteed by the PBGC</w:t>
      </w:r>
    </w:p>
    <w:p w:rsidR="00423A9B" w:rsidRPr="00285E19" w:rsidRDefault="00423A9B" w:rsidP="00423A9B">
      <w:pPr>
        <w:jc w:val="center"/>
        <w:rPr>
          <w:rFonts w:ascii="Book Antiqua" w:hAnsi="Book Antiqua"/>
          <w:sz w:val="22"/>
          <w:szCs w:val="22"/>
          <w:u w:val="single"/>
        </w:rPr>
      </w:pPr>
    </w:p>
    <w:p w:rsidR="00423A9B" w:rsidRPr="00285E19" w:rsidRDefault="00423A9B" w:rsidP="00423A9B">
      <w:pPr>
        <w:rPr>
          <w:rFonts w:ascii="Book Antiqua" w:hAnsi="Book Antiqua"/>
          <w:color w:val="000000"/>
          <w:sz w:val="22"/>
          <w:szCs w:val="22"/>
        </w:rPr>
      </w:pPr>
      <w:r w:rsidRPr="00285E19">
        <w:rPr>
          <w:rFonts w:ascii="Book Antiqua" w:hAnsi="Book Antiqua"/>
          <w:color w:val="000000"/>
          <w:sz w:val="22"/>
          <w:szCs w:val="22"/>
        </w:rPr>
        <w:lastRenderedPageBreak/>
        <w:t>The maximum benefit that the PBGC guarantees is set by law.  Only benefits that you have earned a right to receive and that cannot be forfeited (called vested benefits) are guaranteed.  Specifically, the PBGC guarantees a monthly benefit payment equal to 100 percent of the first $11 of the Plan’s monthly benefit accrual rate, plus 75 percent of the next $33 of the accrual rate, times each year of credited service.  The PBGC’s maximum guarantee, therefore, is $35.75 per month times a participant’s years of credited service.</w:t>
      </w:r>
    </w:p>
    <w:p w:rsidR="00423A9B" w:rsidRPr="00285E19" w:rsidRDefault="00423A9B" w:rsidP="00423A9B">
      <w:pPr>
        <w:rPr>
          <w:rFonts w:ascii="Book Antiqua" w:hAnsi="Book Antiqua"/>
          <w:color w:val="000000"/>
          <w:sz w:val="22"/>
          <w:szCs w:val="22"/>
        </w:rPr>
      </w:pPr>
    </w:p>
    <w:p w:rsidR="00423A9B" w:rsidRPr="00285E19" w:rsidRDefault="00423A9B" w:rsidP="00423A9B">
      <w:pPr>
        <w:rPr>
          <w:rFonts w:ascii="Book Antiqua" w:hAnsi="Book Antiqua"/>
          <w:color w:val="000000"/>
          <w:sz w:val="22"/>
          <w:szCs w:val="22"/>
        </w:rPr>
      </w:pPr>
      <w:r w:rsidRPr="00285E19">
        <w:rPr>
          <w:rFonts w:ascii="Book Antiqua" w:hAnsi="Book Antiqua"/>
          <w:i/>
          <w:iCs/>
          <w:sz w:val="22"/>
          <w:szCs w:val="22"/>
        </w:rPr>
        <w:t>Example 1</w:t>
      </w:r>
      <w:r w:rsidRPr="00285E19">
        <w:rPr>
          <w:rFonts w:ascii="Book Antiqua" w:hAnsi="Book Antiqua"/>
          <w:sz w:val="22"/>
          <w:szCs w:val="22"/>
        </w:rPr>
        <w:t>: If a participant with 10 years of credited service has an accrued monthly benefit of $</w:t>
      </w:r>
      <w:r w:rsidRPr="00E511DE">
        <w:rPr>
          <w:rFonts w:ascii="Book Antiqua" w:hAnsi="Book Antiqua"/>
          <w:sz w:val="22"/>
          <w:szCs w:val="22"/>
        </w:rPr>
        <w:t>600, the accrual rate for purposes of determining the PBGC guarantee would be determined by dividing the monthly benefit by the participant’s years of service ($600/10), which equals $60.  The guaranteed amount for a $60 monthly accrual rate is</w:t>
      </w:r>
      <w:r w:rsidRPr="00285E19">
        <w:rPr>
          <w:rFonts w:ascii="Book Antiqua" w:hAnsi="Book Antiqua"/>
          <w:sz w:val="22"/>
          <w:szCs w:val="22"/>
        </w:rPr>
        <w:t xml:space="preserve"> equal to the sum of $11 plus $24.75 (.75 x $33), or $35.75.  Thus, the participant’s guaranteed monthly benefit is $357.50 ($35.75 x 10).</w:t>
      </w:r>
    </w:p>
    <w:p w:rsidR="00423A9B" w:rsidRPr="00285E19" w:rsidRDefault="00423A9B" w:rsidP="00423A9B">
      <w:pPr>
        <w:rPr>
          <w:rFonts w:ascii="Book Antiqua" w:hAnsi="Book Antiqua"/>
          <w:color w:val="000000"/>
          <w:sz w:val="22"/>
          <w:szCs w:val="22"/>
        </w:rPr>
      </w:pPr>
    </w:p>
    <w:p w:rsidR="00423A9B" w:rsidRPr="00285E19" w:rsidRDefault="00423A9B" w:rsidP="00423A9B">
      <w:pPr>
        <w:rPr>
          <w:rFonts w:ascii="Book Antiqua" w:hAnsi="Book Antiqua"/>
          <w:color w:val="000000"/>
          <w:sz w:val="22"/>
          <w:szCs w:val="22"/>
        </w:rPr>
      </w:pPr>
      <w:r w:rsidRPr="00285E19">
        <w:rPr>
          <w:rFonts w:ascii="Book Antiqua" w:hAnsi="Book Antiqua"/>
          <w:i/>
          <w:iCs/>
          <w:sz w:val="22"/>
          <w:szCs w:val="22"/>
        </w:rPr>
        <w:t>Example 2</w:t>
      </w:r>
      <w:r w:rsidRPr="00285E19">
        <w:rPr>
          <w:rFonts w:ascii="Book Antiqua" w:hAnsi="Book Antiqua"/>
          <w:sz w:val="22"/>
          <w:szCs w:val="22"/>
        </w:rPr>
        <w:t>: If the participant in Example 1 has an accrued monthly benefit of $200, the accrual rate for purposes of determining the guarantee would be $20 (or $200/10).  The guaranteed amount for a $20 monthly accrual rate is equal to the sum of $11 plus $6.75 (.75 x $9), or $17.75.  Thus, the participant’s guaranteed monthly benefit would be $177.50 ($17.75 x 10).</w:t>
      </w:r>
    </w:p>
    <w:p w:rsidR="00423A9B" w:rsidRPr="00285E19" w:rsidRDefault="00423A9B" w:rsidP="00423A9B">
      <w:pPr>
        <w:rPr>
          <w:rFonts w:ascii="Book Antiqua" w:hAnsi="Book Antiqua"/>
          <w:color w:val="000000"/>
          <w:sz w:val="22"/>
          <w:szCs w:val="22"/>
        </w:rPr>
      </w:pPr>
    </w:p>
    <w:p w:rsidR="00423A9B" w:rsidRPr="00285E19" w:rsidRDefault="00423A9B" w:rsidP="00423A9B">
      <w:pPr>
        <w:rPr>
          <w:rFonts w:ascii="Book Antiqua" w:hAnsi="Book Antiqua"/>
          <w:sz w:val="22"/>
          <w:szCs w:val="22"/>
        </w:rPr>
      </w:pPr>
      <w:r w:rsidRPr="00285E19">
        <w:rPr>
          <w:rFonts w:ascii="Book Antiqua" w:hAnsi="Book Antiqua"/>
          <w:sz w:val="22"/>
          <w:szCs w:val="22"/>
        </w:rPr>
        <w:t xml:space="preserve">The PBGC guarantees pension benefits payable at normal retirement age and some early retirement benefits.  In calculating a person’s monthly payment, the PBGC will disregard any benefit increases that were made under </w:t>
      </w:r>
      <w:r>
        <w:rPr>
          <w:rFonts w:ascii="Book Antiqua" w:hAnsi="Book Antiqua"/>
          <w:sz w:val="22"/>
          <w:szCs w:val="22"/>
        </w:rPr>
        <w:t>a</w:t>
      </w:r>
      <w:r w:rsidRPr="00285E19">
        <w:rPr>
          <w:rFonts w:ascii="Book Antiqua" w:hAnsi="Book Antiqua"/>
          <w:sz w:val="22"/>
          <w:szCs w:val="22"/>
        </w:rPr>
        <w:t xml:space="preserve"> plan within 60 months before the earlier of the plan’s termination or insolvency (or benefits that were in effect for less than 60 months at the time of termination or insolvency).  Similarly, the PBGC does not guarantee pre-retirement death benefits to a spouse or beneficiary (e.g., a qualified pre-retirement survivor annuity) if the participant dies after the plan terminates, benefits above the normal retirement benefit, disability benefits not in pay status, or non-pension benefits, such as health insurance, life insurance, death benefits, vacation pay, or severance pay.</w:t>
      </w:r>
    </w:p>
    <w:p w:rsidR="00423A9B" w:rsidRPr="00285E19" w:rsidRDefault="00423A9B" w:rsidP="00423A9B">
      <w:pPr>
        <w:rPr>
          <w:rFonts w:ascii="Book Antiqua" w:hAnsi="Book Antiqua"/>
          <w:sz w:val="22"/>
          <w:szCs w:val="22"/>
        </w:rPr>
      </w:pPr>
    </w:p>
    <w:p w:rsidR="00423A9B" w:rsidRPr="00285E19" w:rsidRDefault="00423A9B" w:rsidP="00423A9B">
      <w:pPr>
        <w:widowControl w:val="0"/>
        <w:autoSpaceDE w:val="0"/>
        <w:autoSpaceDN w:val="0"/>
        <w:adjustRightInd w:val="0"/>
        <w:rPr>
          <w:rFonts w:ascii="Book Antiqua" w:hAnsi="Book Antiqua"/>
          <w:color w:val="000000"/>
          <w:sz w:val="22"/>
          <w:szCs w:val="22"/>
        </w:rPr>
      </w:pPr>
      <w:r w:rsidRPr="00285E19">
        <w:rPr>
          <w:rFonts w:ascii="Book Antiqua" w:hAnsi="Book Antiqua"/>
          <w:sz w:val="22"/>
          <w:szCs w:val="22"/>
        </w:rPr>
        <w:t xml:space="preserve">For additional information about the PBGC and the pension insurance program guarantees, go to the Multiemployer Page on PBGC’s website at </w:t>
      </w:r>
      <w:hyperlink r:id="rId7" w:history="1">
        <w:r w:rsidRPr="00285E19">
          <w:rPr>
            <w:rFonts w:ascii="Book Antiqua" w:hAnsi="Book Antiqua"/>
            <w:color w:val="0000FF"/>
            <w:sz w:val="22"/>
            <w:szCs w:val="22"/>
            <w:u w:val="single"/>
          </w:rPr>
          <w:t>www.pbgc.gov/multiemployer</w:t>
        </w:r>
      </w:hyperlink>
      <w:r w:rsidRPr="00990702">
        <w:rPr>
          <w:rFonts w:ascii="Book Antiqua" w:hAnsi="Book Antiqua"/>
          <w:sz w:val="22"/>
          <w:szCs w:val="22"/>
        </w:rPr>
        <w:t>.  Please contact your employer or plan administrator for specific information about your pension plan or pension benefit.  PBGC does not have that information.</w:t>
      </w:r>
      <w:r w:rsidRPr="00285E19">
        <w:rPr>
          <w:rFonts w:ascii="Book Antiqua" w:hAnsi="Book Antiqua"/>
          <w:color w:val="000000"/>
          <w:sz w:val="22"/>
          <w:szCs w:val="22"/>
        </w:rPr>
        <w:t xml:space="preserve">  See “Where to Get More Information About Your Plan,” below.</w:t>
      </w:r>
    </w:p>
    <w:p w:rsidR="00423A9B" w:rsidRPr="00285E19" w:rsidRDefault="00423A9B" w:rsidP="00423A9B">
      <w:pPr>
        <w:rPr>
          <w:rFonts w:ascii="Book Antiqua" w:hAnsi="Book Antiqua"/>
          <w:sz w:val="22"/>
          <w:szCs w:val="22"/>
        </w:rPr>
      </w:pPr>
    </w:p>
    <w:p w:rsidR="00423A9B" w:rsidRPr="00285E19" w:rsidRDefault="00423A9B" w:rsidP="00423A9B">
      <w:pPr>
        <w:jc w:val="center"/>
        <w:rPr>
          <w:rFonts w:ascii="Book Antiqua" w:hAnsi="Book Antiqua"/>
          <w:bCs/>
          <w:sz w:val="22"/>
          <w:szCs w:val="22"/>
          <w:u w:val="single"/>
        </w:rPr>
      </w:pPr>
      <w:r w:rsidRPr="00285E19">
        <w:rPr>
          <w:rFonts w:ascii="Book Antiqua" w:hAnsi="Book Antiqua"/>
          <w:bCs/>
          <w:sz w:val="22"/>
          <w:szCs w:val="22"/>
          <w:u w:val="single"/>
        </w:rPr>
        <w:t>Where to Get More Information</w:t>
      </w:r>
    </w:p>
    <w:p w:rsidR="00423A9B" w:rsidRPr="00285E19" w:rsidRDefault="00423A9B" w:rsidP="00423A9B">
      <w:pPr>
        <w:jc w:val="center"/>
        <w:rPr>
          <w:rFonts w:ascii="Book Antiqua" w:hAnsi="Book Antiqua"/>
          <w:color w:val="000000"/>
          <w:sz w:val="22"/>
          <w:szCs w:val="22"/>
        </w:rPr>
      </w:pPr>
    </w:p>
    <w:p w:rsidR="00423A9B" w:rsidRPr="00285E19" w:rsidRDefault="00423A9B" w:rsidP="00423A9B">
      <w:pPr>
        <w:rPr>
          <w:rFonts w:ascii="Book Antiqua" w:hAnsi="Book Antiqua"/>
          <w:sz w:val="22"/>
          <w:szCs w:val="22"/>
        </w:rPr>
      </w:pPr>
      <w:r w:rsidRPr="00285E19">
        <w:rPr>
          <w:rFonts w:ascii="Book Antiqua" w:hAnsi="Book Antiqua"/>
          <w:sz w:val="22"/>
          <w:szCs w:val="22"/>
        </w:rPr>
        <w:t>For more information about this notice, you may contact [</w:t>
      </w:r>
      <w:r w:rsidRPr="00285E19">
        <w:rPr>
          <w:rFonts w:ascii="Book Antiqua" w:hAnsi="Book Antiqua"/>
          <w:i/>
          <w:sz w:val="22"/>
          <w:szCs w:val="22"/>
        </w:rPr>
        <w:t>enter name of plan administrator and if applicable, principal administrative officer</w:t>
      </w:r>
      <w:r w:rsidRPr="00285E19">
        <w:rPr>
          <w:rFonts w:ascii="Book Antiqua" w:hAnsi="Book Antiqua"/>
          <w:sz w:val="22"/>
          <w:szCs w:val="22"/>
        </w:rPr>
        <w:t>], at [</w:t>
      </w:r>
      <w:r w:rsidRPr="00285E19">
        <w:rPr>
          <w:rFonts w:ascii="Book Antiqua" w:hAnsi="Book Antiqua"/>
          <w:i/>
          <w:sz w:val="22"/>
          <w:szCs w:val="22"/>
        </w:rPr>
        <w:t>enter phone number and address and insert email address if appropriate</w:t>
      </w:r>
      <w:r w:rsidRPr="00285E19">
        <w:rPr>
          <w:rFonts w:ascii="Book Antiqua" w:hAnsi="Book Antiqua"/>
          <w:sz w:val="22"/>
          <w:szCs w:val="22"/>
        </w:rPr>
        <w:t>].  For identification purposes, the official plan number is [</w:t>
      </w:r>
      <w:r w:rsidRPr="00285E19">
        <w:rPr>
          <w:rFonts w:ascii="Book Antiqua" w:hAnsi="Book Antiqua"/>
          <w:i/>
          <w:sz w:val="22"/>
          <w:szCs w:val="22"/>
        </w:rPr>
        <w:t>enter plan number</w:t>
      </w:r>
      <w:r w:rsidRPr="00285E19">
        <w:rPr>
          <w:rFonts w:ascii="Book Antiqua" w:hAnsi="Book Antiqua"/>
          <w:sz w:val="22"/>
          <w:szCs w:val="22"/>
        </w:rPr>
        <w:t>] and the plan sponsor’s name and employer identification number or “EIN” is [</w:t>
      </w:r>
      <w:r w:rsidRPr="00285E19">
        <w:rPr>
          <w:rFonts w:ascii="Book Antiqua" w:hAnsi="Book Antiqua"/>
          <w:i/>
          <w:sz w:val="22"/>
          <w:szCs w:val="22"/>
        </w:rPr>
        <w:t>enter name and EIN of plan sponsor</w:t>
      </w:r>
      <w:r w:rsidRPr="00285E19">
        <w:rPr>
          <w:rFonts w:ascii="Book Antiqua" w:hAnsi="Book Antiqua"/>
          <w:sz w:val="22"/>
          <w:szCs w:val="22"/>
        </w:rPr>
        <w:t xml:space="preserve">].  </w:t>
      </w:r>
    </w:p>
    <w:p w:rsidR="00423A9B" w:rsidRPr="00285E19" w:rsidRDefault="00423A9B" w:rsidP="00423A9B">
      <w:pPr>
        <w:rPr>
          <w:rFonts w:ascii="Book Antiqua" w:hAnsi="Book Antiqua"/>
          <w:sz w:val="22"/>
          <w:szCs w:val="22"/>
        </w:rPr>
      </w:pPr>
    </w:p>
    <w:p w:rsidR="00423A9B" w:rsidRPr="00F27401" w:rsidRDefault="00423A9B" w:rsidP="00423A9B">
      <w:pPr>
        <w:spacing w:line="480" w:lineRule="auto"/>
      </w:pPr>
    </w:p>
    <w:p w:rsidR="00423A9B" w:rsidRDefault="00423A9B" w:rsidP="00423A9B">
      <w:pPr>
        <w:spacing w:line="480" w:lineRule="auto"/>
      </w:pPr>
      <w:r w:rsidRPr="00F27401">
        <w:tab/>
      </w:r>
    </w:p>
    <w:p w:rsidR="00423A9B" w:rsidRDefault="00423A9B" w:rsidP="00423A9B">
      <w:pPr>
        <w:spacing w:line="480" w:lineRule="auto"/>
      </w:pPr>
    </w:p>
    <w:p w:rsidR="00FE1B2D" w:rsidRDefault="00FE1B2D"/>
    <w:sectPr w:rsidR="00FE1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94A91"/>
    <w:multiLevelType w:val="hybridMultilevel"/>
    <w:tmpl w:val="A58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11305"/>
    <w:multiLevelType w:val="hybridMultilevel"/>
    <w:tmpl w:val="77D83A5E"/>
    <w:lvl w:ilvl="0" w:tplc="EF8C7C42">
      <w:start w:val="1"/>
      <w:numFmt w:val="upperLetter"/>
      <w:lvlText w:val="%1."/>
      <w:lvlJc w:val="left"/>
      <w:pPr>
        <w:ind w:left="78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EE5FAA"/>
    <w:multiLevelType w:val="hybridMultilevel"/>
    <w:tmpl w:val="74A66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3C92D0B"/>
    <w:multiLevelType w:val="hybridMultilevel"/>
    <w:tmpl w:val="AE1A8C22"/>
    <w:lvl w:ilvl="0" w:tplc="B0BC888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621186D"/>
    <w:multiLevelType w:val="hybridMultilevel"/>
    <w:tmpl w:val="D4EC0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323F50"/>
    <w:multiLevelType w:val="multilevel"/>
    <w:tmpl w:val="398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B3698E"/>
    <w:multiLevelType w:val="hybridMultilevel"/>
    <w:tmpl w:val="58C03772"/>
    <w:lvl w:ilvl="0" w:tplc="898E75F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D1042A"/>
    <w:multiLevelType w:val="hybridMultilevel"/>
    <w:tmpl w:val="682CCDA2"/>
    <w:lvl w:ilvl="0" w:tplc="AB9C2A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C6342C"/>
    <w:multiLevelType w:val="hybridMultilevel"/>
    <w:tmpl w:val="B3508DE2"/>
    <w:lvl w:ilvl="0" w:tplc="70C0E0A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720A66"/>
    <w:multiLevelType w:val="hybridMultilevel"/>
    <w:tmpl w:val="882C809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A4B60DC"/>
    <w:multiLevelType w:val="hybridMultilevel"/>
    <w:tmpl w:val="569ADB12"/>
    <w:lvl w:ilvl="0" w:tplc="D91EFF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9B4CF4"/>
    <w:multiLevelType w:val="hybridMultilevel"/>
    <w:tmpl w:val="C916C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5"/>
  </w:num>
  <w:num w:numId="4">
    <w:abstractNumId w:val="2"/>
  </w:num>
  <w:num w:numId="5">
    <w:abstractNumId w:val="10"/>
  </w:num>
  <w:num w:numId="6">
    <w:abstractNumId w:val="8"/>
  </w:num>
  <w:num w:numId="7">
    <w:abstractNumId w:val="1"/>
  </w:num>
  <w:num w:numId="8">
    <w:abstractNumId w:val="6"/>
  </w:num>
  <w:num w:numId="9">
    <w:abstractNumId w:val="3"/>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9B"/>
    <w:rsid w:val="00423A9B"/>
    <w:rsid w:val="0065071E"/>
    <w:rsid w:val="007E0089"/>
    <w:rsid w:val="00FE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3A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23A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23A9B"/>
    <w:pPr>
      <w:keepNext/>
      <w:outlineLvl w:val="2"/>
    </w:pPr>
    <w:rPr>
      <w:b/>
      <w:b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A9B"/>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423A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23A9B"/>
    <w:rPr>
      <w:rFonts w:ascii="Times New Roman" w:eastAsia="Times New Roman" w:hAnsi="Times New Roman" w:cs="Times New Roman"/>
      <w:b/>
      <w:bCs/>
      <w:color w:val="000000"/>
      <w:sz w:val="24"/>
      <w:szCs w:val="21"/>
    </w:rPr>
  </w:style>
  <w:style w:type="paragraph" w:styleId="Footer">
    <w:name w:val="footer"/>
    <w:basedOn w:val="Normal"/>
    <w:link w:val="FooterChar"/>
    <w:rsid w:val="00423A9B"/>
    <w:pPr>
      <w:tabs>
        <w:tab w:val="center" w:pos="4320"/>
        <w:tab w:val="right" w:pos="8640"/>
      </w:tabs>
    </w:pPr>
  </w:style>
  <w:style w:type="character" w:customStyle="1" w:styleId="FooterChar">
    <w:name w:val="Footer Char"/>
    <w:basedOn w:val="DefaultParagraphFont"/>
    <w:link w:val="Footer"/>
    <w:rsid w:val="00423A9B"/>
    <w:rPr>
      <w:rFonts w:ascii="Times New Roman" w:eastAsia="Times New Roman" w:hAnsi="Times New Roman" w:cs="Times New Roman"/>
      <w:sz w:val="24"/>
      <w:szCs w:val="24"/>
    </w:rPr>
  </w:style>
  <w:style w:type="paragraph" w:styleId="HTMLPreformatted">
    <w:name w:val="HTML Preformatted"/>
    <w:basedOn w:val="Normal"/>
    <w:link w:val="HTMLPreformattedChar"/>
    <w:rsid w:val="0042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23A9B"/>
    <w:rPr>
      <w:rFonts w:ascii="Arial Unicode MS" w:eastAsia="Arial Unicode MS" w:hAnsi="Arial Unicode MS" w:cs="Arial Unicode MS"/>
      <w:sz w:val="20"/>
      <w:szCs w:val="20"/>
    </w:rPr>
  </w:style>
  <w:style w:type="paragraph" w:styleId="Header">
    <w:name w:val="header"/>
    <w:basedOn w:val="Normal"/>
    <w:link w:val="HeaderChar"/>
    <w:rsid w:val="00423A9B"/>
    <w:pPr>
      <w:tabs>
        <w:tab w:val="center" w:pos="4320"/>
        <w:tab w:val="right" w:pos="8640"/>
      </w:tabs>
    </w:pPr>
  </w:style>
  <w:style w:type="character" w:customStyle="1" w:styleId="HeaderChar">
    <w:name w:val="Header Char"/>
    <w:basedOn w:val="DefaultParagraphFont"/>
    <w:link w:val="Header"/>
    <w:rsid w:val="00423A9B"/>
    <w:rPr>
      <w:rFonts w:ascii="Times New Roman" w:eastAsia="Times New Roman" w:hAnsi="Times New Roman" w:cs="Times New Roman"/>
      <w:sz w:val="24"/>
      <w:szCs w:val="24"/>
    </w:rPr>
  </w:style>
  <w:style w:type="paragraph" w:styleId="BodyText2">
    <w:name w:val="Body Text 2"/>
    <w:basedOn w:val="Normal"/>
    <w:link w:val="BodyText2Char"/>
    <w:rsid w:val="00423A9B"/>
    <w:pPr>
      <w:spacing w:after="120" w:line="480" w:lineRule="auto"/>
    </w:pPr>
  </w:style>
  <w:style w:type="character" w:customStyle="1" w:styleId="BodyText2Char">
    <w:name w:val="Body Text 2 Char"/>
    <w:basedOn w:val="DefaultParagraphFont"/>
    <w:link w:val="BodyText2"/>
    <w:rsid w:val="00423A9B"/>
    <w:rPr>
      <w:rFonts w:ascii="Times New Roman" w:eastAsia="Times New Roman" w:hAnsi="Times New Roman" w:cs="Times New Roman"/>
      <w:sz w:val="24"/>
      <w:szCs w:val="24"/>
    </w:rPr>
  </w:style>
  <w:style w:type="paragraph" w:styleId="BodyTextIndent">
    <w:name w:val="Body Text Indent"/>
    <w:basedOn w:val="Normal"/>
    <w:link w:val="BodyTextIndentChar"/>
    <w:rsid w:val="00423A9B"/>
    <w:pPr>
      <w:spacing w:after="120"/>
      <w:ind w:left="360"/>
    </w:pPr>
  </w:style>
  <w:style w:type="character" w:customStyle="1" w:styleId="BodyTextIndentChar">
    <w:name w:val="Body Text Indent Char"/>
    <w:basedOn w:val="DefaultParagraphFont"/>
    <w:link w:val="BodyTextIndent"/>
    <w:rsid w:val="00423A9B"/>
    <w:rPr>
      <w:rFonts w:ascii="Times New Roman" w:eastAsia="Times New Roman" w:hAnsi="Times New Roman" w:cs="Times New Roman"/>
      <w:sz w:val="24"/>
      <w:szCs w:val="24"/>
    </w:rPr>
  </w:style>
  <w:style w:type="character" w:styleId="Hyperlink">
    <w:name w:val="Hyperlink"/>
    <w:rsid w:val="00423A9B"/>
    <w:rPr>
      <w:color w:val="0000FF"/>
      <w:u w:val="single"/>
    </w:rPr>
  </w:style>
  <w:style w:type="character" w:styleId="CommentReference">
    <w:name w:val="annotation reference"/>
    <w:semiHidden/>
    <w:rsid w:val="00423A9B"/>
    <w:rPr>
      <w:sz w:val="16"/>
      <w:szCs w:val="16"/>
    </w:rPr>
  </w:style>
  <w:style w:type="paragraph" w:styleId="CommentText">
    <w:name w:val="annotation text"/>
    <w:basedOn w:val="Normal"/>
    <w:link w:val="CommentTextChar"/>
    <w:uiPriority w:val="99"/>
    <w:semiHidden/>
    <w:rsid w:val="00423A9B"/>
    <w:rPr>
      <w:sz w:val="20"/>
      <w:szCs w:val="20"/>
    </w:rPr>
  </w:style>
  <w:style w:type="character" w:customStyle="1" w:styleId="CommentTextChar">
    <w:name w:val="Comment Text Char"/>
    <w:basedOn w:val="DefaultParagraphFont"/>
    <w:link w:val="CommentText"/>
    <w:uiPriority w:val="99"/>
    <w:semiHidden/>
    <w:rsid w:val="00423A9B"/>
    <w:rPr>
      <w:rFonts w:ascii="Times New Roman" w:eastAsia="Times New Roman" w:hAnsi="Times New Roman" w:cs="Times New Roman"/>
      <w:sz w:val="20"/>
      <w:szCs w:val="20"/>
    </w:rPr>
  </w:style>
  <w:style w:type="paragraph" w:styleId="FootnoteText">
    <w:name w:val="footnote text"/>
    <w:basedOn w:val="Normal"/>
    <w:link w:val="FootnoteTextChar"/>
    <w:semiHidden/>
    <w:rsid w:val="00423A9B"/>
    <w:rPr>
      <w:sz w:val="20"/>
      <w:szCs w:val="20"/>
    </w:rPr>
  </w:style>
  <w:style w:type="character" w:customStyle="1" w:styleId="FootnoteTextChar">
    <w:name w:val="Footnote Text Char"/>
    <w:basedOn w:val="DefaultParagraphFont"/>
    <w:link w:val="FootnoteText"/>
    <w:semiHidden/>
    <w:rsid w:val="00423A9B"/>
    <w:rPr>
      <w:rFonts w:ascii="Times New Roman" w:eastAsia="Times New Roman" w:hAnsi="Times New Roman" w:cs="Times New Roman"/>
      <w:sz w:val="20"/>
      <w:szCs w:val="20"/>
    </w:rPr>
  </w:style>
  <w:style w:type="character" w:styleId="FootnoteReference">
    <w:name w:val="footnote reference"/>
    <w:uiPriority w:val="99"/>
    <w:semiHidden/>
    <w:rsid w:val="00423A9B"/>
    <w:rPr>
      <w:vertAlign w:val="superscript"/>
    </w:rPr>
  </w:style>
  <w:style w:type="paragraph" w:styleId="BalloonText">
    <w:name w:val="Balloon Text"/>
    <w:basedOn w:val="Normal"/>
    <w:link w:val="BalloonTextChar"/>
    <w:semiHidden/>
    <w:rsid w:val="00423A9B"/>
    <w:rPr>
      <w:rFonts w:ascii="Tahoma" w:hAnsi="Tahoma" w:cs="Tahoma"/>
      <w:sz w:val="16"/>
      <w:szCs w:val="16"/>
    </w:rPr>
  </w:style>
  <w:style w:type="character" w:customStyle="1" w:styleId="BalloonTextChar">
    <w:name w:val="Balloon Text Char"/>
    <w:basedOn w:val="DefaultParagraphFont"/>
    <w:link w:val="BalloonText"/>
    <w:semiHidden/>
    <w:rsid w:val="00423A9B"/>
    <w:rPr>
      <w:rFonts w:ascii="Tahoma" w:eastAsia="Times New Roman" w:hAnsi="Tahoma" w:cs="Tahoma"/>
      <w:sz w:val="16"/>
      <w:szCs w:val="16"/>
    </w:rPr>
  </w:style>
  <w:style w:type="character" w:styleId="PageNumber">
    <w:name w:val="page number"/>
    <w:basedOn w:val="DefaultParagraphFont"/>
    <w:rsid w:val="00423A9B"/>
  </w:style>
  <w:style w:type="paragraph" w:styleId="CommentSubject">
    <w:name w:val="annotation subject"/>
    <w:basedOn w:val="CommentText"/>
    <w:next w:val="CommentText"/>
    <w:link w:val="CommentSubjectChar"/>
    <w:semiHidden/>
    <w:rsid w:val="00423A9B"/>
    <w:rPr>
      <w:b/>
      <w:bCs/>
    </w:rPr>
  </w:style>
  <w:style w:type="character" w:customStyle="1" w:styleId="CommentSubjectChar">
    <w:name w:val="Comment Subject Char"/>
    <w:basedOn w:val="CommentTextChar"/>
    <w:link w:val="CommentSubject"/>
    <w:semiHidden/>
    <w:rsid w:val="00423A9B"/>
    <w:rPr>
      <w:rFonts w:ascii="Times New Roman" w:eastAsia="Times New Roman" w:hAnsi="Times New Roman" w:cs="Times New Roman"/>
      <w:b/>
      <w:bCs/>
      <w:sz w:val="20"/>
      <w:szCs w:val="20"/>
    </w:rPr>
  </w:style>
  <w:style w:type="paragraph" w:styleId="BodyText">
    <w:name w:val="Body Text"/>
    <w:basedOn w:val="Normal"/>
    <w:link w:val="BodyTextChar"/>
    <w:rsid w:val="00423A9B"/>
    <w:pPr>
      <w:spacing w:after="120"/>
    </w:pPr>
  </w:style>
  <w:style w:type="character" w:customStyle="1" w:styleId="BodyTextChar">
    <w:name w:val="Body Text Char"/>
    <w:basedOn w:val="DefaultParagraphFont"/>
    <w:link w:val="BodyText"/>
    <w:rsid w:val="00423A9B"/>
    <w:rPr>
      <w:rFonts w:ascii="Times New Roman" w:eastAsia="Times New Roman" w:hAnsi="Times New Roman" w:cs="Times New Roman"/>
      <w:sz w:val="24"/>
      <w:szCs w:val="24"/>
    </w:rPr>
  </w:style>
  <w:style w:type="character" w:styleId="Strong">
    <w:name w:val="Strong"/>
    <w:qFormat/>
    <w:rsid w:val="00423A9B"/>
    <w:rPr>
      <w:b/>
      <w:bCs/>
    </w:rPr>
  </w:style>
  <w:style w:type="paragraph" w:styleId="Title">
    <w:name w:val="Title"/>
    <w:basedOn w:val="Normal"/>
    <w:link w:val="TitleChar"/>
    <w:qFormat/>
    <w:rsid w:val="00423A9B"/>
    <w:pPr>
      <w:jc w:val="center"/>
    </w:pPr>
    <w:rPr>
      <w:b/>
      <w:bCs/>
    </w:rPr>
  </w:style>
  <w:style w:type="character" w:customStyle="1" w:styleId="TitleChar">
    <w:name w:val="Title Char"/>
    <w:basedOn w:val="DefaultParagraphFont"/>
    <w:link w:val="Title"/>
    <w:rsid w:val="00423A9B"/>
    <w:rPr>
      <w:rFonts w:ascii="Times New Roman" w:eastAsia="Times New Roman" w:hAnsi="Times New Roman" w:cs="Times New Roman"/>
      <w:b/>
      <w:bCs/>
      <w:sz w:val="24"/>
      <w:szCs w:val="24"/>
    </w:rPr>
  </w:style>
  <w:style w:type="table" w:styleId="TableGrid">
    <w:name w:val="Table Grid"/>
    <w:basedOn w:val="TableNormal"/>
    <w:rsid w:val="00423A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3A9B"/>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423A9B"/>
    <w:rPr>
      <w:i/>
      <w:iCs/>
    </w:rPr>
  </w:style>
  <w:style w:type="character" w:customStyle="1" w:styleId="grame">
    <w:name w:val="grame"/>
    <w:basedOn w:val="DefaultParagraphFont"/>
    <w:rsid w:val="00423A9B"/>
  </w:style>
  <w:style w:type="character" w:styleId="FollowedHyperlink">
    <w:name w:val="FollowedHyperlink"/>
    <w:rsid w:val="00423A9B"/>
    <w:rPr>
      <w:color w:val="800080"/>
      <w:u w:val="single"/>
    </w:rPr>
  </w:style>
  <w:style w:type="paragraph" w:styleId="EndnoteText">
    <w:name w:val="endnote text"/>
    <w:basedOn w:val="Normal"/>
    <w:link w:val="EndnoteTextChar"/>
    <w:rsid w:val="00423A9B"/>
    <w:rPr>
      <w:sz w:val="20"/>
      <w:szCs w:val="20"/>
    </w:rPr>
  </w:style>
  <w:style w:type="character" w:customStyle="1" w:styleId="EndnoteTextChar">
    <w:name w:val="Endnote Text Char"/>
    <w:basedOn w:val="DefaultParagraphFont"/>
    <w:link w:val="EndnoteText"/>
    <w:rsid w:val="00423A9B"/>
    <w:rPr>
      <w:rFonts w:ascii="Times New Roman" w:eastAsia="Times New Roman" w:hAnsi="Times New Roman" w:cs="Times New Roman"/>
      <w:sz w:val="20"/>
      <w:szCs w:val="20"/>
    </w:rPr>
  </w:style>
  <w:style w:type="character" w:styleId="EndnoteReference">
    <w:name w:val="endnote reference"/>
    <w:rsid w:val="00423A9B"/>
    <w:rPr>
      <w:vertAlign w:val="superscript"/>
    </w:rPr>
  </w:style>
  <w:style w:type="paragraph" w:styleId="Revision">
    <w:name w:val="Revision"/>
    <w:hidden/>
    <w:uiPriority w:val="99"/>
    <w:semiHidden/>
    <w:rsid w:val="00423A9B"/>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23A9B"/>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423A9B"/>
    <w:rPr>
      <w:rFonts w:ascii="Calibri" w:hAnsi="Calibri" w:cs="Calibri"/>
    </w:rPr>
  </w:style>
  <w:style w:type="paragraph" w:styleId="ListParagraph">
    <w:name w:val="List Paragraph"/>
    <w:basedOn w:val="Normal"/>
    <w:uiPriority w:val="34"/>
    <w:qFormat/>
    <w:rsid w:val="00423A9B"/>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3A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23A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23A9B"/>
    <w:pPr>
      <w:keepNext/>
      <w:outlineLvl w:val="2"/>
    </w:pPr>
    <w:rPr>
      <w:b/>
      <w:b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A9B"/>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423A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23A9B"/>
    <w:rPr>
      <w:rFonts w:ascii="Times New Roman" w:eastAsia="Times New Roman" w:hAnsi="Times New Roman" w:cs="Times New Roman"/>
      <w:b/>
      <w:bCs/>
      <w:color w:val="000000"/>
      <w:sz w:val="24"/>
      <w:szCs w:val="21"/>
    </w:rPr>
  </w:style>
  <w:style w:type="paragraph" w:styleId="Footer">
    <w:name w:val="footer"/>
    <w:basedOn w:val="Normal"/>
    <w:link w:val="FooterChar"/>
    <w:rsid w:val="00423A9B"/>
    <w:pPr>
      <w:tabs>
        <w:tab w:val="center" w:pos="4320"/>
        <w:tab w:val="right" w:pos="8640"/>
      </w:tabs>
    </w:pPr>
  </w:style>
  <w:style w:type="character" w:customStyle="1" w:styleId="FooterChar">
    <w:name w:val="Footer Char"/>
    <w:basedOn w:val="DefaultParagraphFont"/>
    <w:link w:val="Footer"/>
    <w:rsid w:val="00423A9B"/>
    <w:rPr>
      <w:rFonts w:ascii="Times New Roman" w:eastAsia="Times New Roman" w:hAnsi="Times New Roman" w:cs="Times New Roman"/>
      <w:sz w:val="24"/>
      <w:szCs w:val="24"/>
    </w:rPr>
  </w:style>
  <w:style w:type="paragraph" w:styleId="HTMLPreformatted">
    <w:name w:val="HTML Preformatted"/>
    <w:basedOn w:val="Normal"/>
    <w:link w:val="HTMLPreformattedChar"/>
    <w:rsid w:val="0042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23A9B"/>
    <w:rPr>
      <w:rFonts w:ascii="Arial Unicode MS" w:eastAsia="Arial Unicode MS" w:hAnsi="Arial Unicode MS" w:cs="Arial Unicode MS"/>
      <w:sz w:val="20"/>
      <w:szCs w:val="20"/>
    </w:rPr>
  </w:style>
  <w:style w:type="paragraph" w:styleId="Header">
    <w:name w:val="header"/>
    <w:basedOn w:val="Normal"/>
    <w:link w:val="HeaderChar"/>
    <w:rsid w:val="00423A9B"/>
    <w:pPr>
      <w:tabs>
        <w:tab w:val="center" w:pos="4320"/>
        <w:tab w:val="right" w:pos="8640"/>
      </w:tabs>
    </w:pPr>
  </w:style>
  <w:style w:type="character" w:customStyle="1" w:styleId="HeaderChar">
    <w:name w:val="Header Char"/>
    <w:basedOn w:val="DefaultParagraphFont"/>
    <w:link w:val="Header"/>
    <w:rsid w:val="00423A9B"/>
    <w:rPr>
      <w:rFonts w:ascii="Times New Roman" w:eastAsia="Times New Roman" w:hAnsi="Times New Roman" w:cs="Times New Roman"/>
      <w:sz w:val="24"/>
      <w:szCs w:val="24"/>
    </w:rPr>
  </w:style>
  <w:style w:type="paragraph" w:styleId="BodyText2">
    <w:name w:val="Body Text 2"/>
    <w:basedOn w:val="Normal"/>
    <w:link w:val="BodyText2Char"/>
    <w:rsid w:val="00423A9B"/>
    <w:pPr>
      <w:spacing w:after="120" w:line="480" w:lineRule="auto"/>
    </w:pPr>
  </w:style>
  <w:style w:type="character" w:customStyle="1" w:styleId="BodyText2Char">
    <w:name w:val="Body Text 2 Char"/>
    <w:basedOn w:val="DefaultParagraphFont"/>
    <w:link w:val="BodyText2"/>
    <w:rsid w:val="00423A9B"/>
    <w:rPr>
      <w:rFonts w:ascii="Times New Roman" w:eastAsia="Times New Roman" w:hAnsi="Times New Roman" w:cs="Times New Roman"/>
      <w:sz w:val="24"/>
      <w:szCs w:val="24"/>
    </w:rPr>
  </w:style>
  <w:style w:type="paragraph" w:styleId="BodyTextIndent">
    <w:name w:val="Body Text Indent"/>
    <w:basedOn w:val="Normal"/>
    <w:link w:val="BodyTextIndentChar"/>
    <w:rsid w:val="00423A9B"/>
    <w:pPr>
      <w:spacing w:after="120"/>
      <w:ind w:left="360"/>
    </w:pPr>
  </w:style>
  <w:style w:type="character" w:customStyle="1" w:styleId="BodyTextIndentChar">
    <w:name w:val="Body Text Indent Char"/>
    <w:basedOn w:val="DefaultParagraphFont"/>
    <w:link w:val="BodyTextIndent"/>
    <w:rsid w:val="00423A9B"/>
    <w:rPr>
      <w:rFonts w:ascii="Times New Roman" w:eastAsia="Times New Roman" w:hAnsi="Times New Roman" w:cs="Times New Roman"/>
      <w:sz w:val="24"/>
      <w:szCs w:val="24"/>
    </w:rPr>
  </w:style>
  <w:style w:type="character" w:styleId="Hyperlink">
    <w:name w:val="Hyperlink"/>
    <w:rsid w:val="00423A9B"/>
    <w:rPr>
      <w:color w:val="0000FF"/>
      <w:u w:val="single"/>
    </w:rPr>
  </w:style>
  <w:style w:type="character" w:styleId="CommentReference">
    <w:name w:val="annotation reference"/>
    <w:semiHidden/>
    <w:rsid w:val="00423A9B"/>
    <w:rPr>
      <w:sz w:val="16"/>
      <w:szCs w:val="16"/>
    </w:rPr>
  </w:style>
  <w:style w:type="paragraph" w:styleId="CommentText">
    <w:name w:val="annotation text"/>
    <w:basedOn w:val="Normal"/>
    <w:link w:val="CommentTextChar"/>
    <w:uiPriority w:val="99"/>
    <w:semiHidden/>
    <w:rsid w:val="00423A9B"/>
    <w:rPr>
      <w:sz w:val="20"/>
      <w:szCs w:val="20"/>
    </w:rPr>
  </w:style>
  <w:style w:type="character" w:customStyle="1" w:styleId="CommentTextChar">
    <w:name w:val="Comment Text Char"/>
    <w:basedOn w:val="DefaultParagraphFont"/>
    <w:link w:val="CommentText"/>
    <w:uiPriority w:val="99"/>
    <w:semiHidden/>
    <w:rsid w:val="00423A9B"/>
    <w:rPr>
      <w:rFonts w:ascii="Times New Roman" w:eastAsia="Times New Roman" w:hAnsi="Times New Roman" w:cs="Times New Roman"/>
      <w:sz w:val="20"/>
      <w:szCs w:val="20"/>
    </w:rPr>
  </w:style>
  <w:style w:type="paragraph" w:styleId="FootnoteText">
    <w:name w:val="footnote text"/>
    <w:basedOn w:val="Normal"/>
    <w:link w:val="FootnoteTextChar"/>
    <w:semiHidden/>
    <w:rsid w:val="00423A9B"/>
    <w:rPr>
      <w:sz w:val="20"/>
      <w:szCs w:val="20"/>
    </w:rPr>
  </w:style>
  <w:style w:type="character" w:customStyle="1" w:styleId="FootnoteTextChar">
    <w:name w:val="Footnote Text Char"/>
    <w:basedOn w:val="DefaultParagraphFont"/>
    <w:link w:val="FootnoteText"/>
    <w:semiHidden/>
    <w:rsid w:val="00423A9B"/>
    <w:rPr>
      <w:rFonts w:ascii="Times New Roman" w:eastAsia="Times New Roman" w:hAnsi="Times New Roman" w:cs="Times New Roman"/>
      <w:sz w:val="20"/>
      <w:szCs w:val="20"/>
    </w:rPr>
  </w:style>
  <w:style w:type="character" w:styleId="FootnoteReference">
    <w:name w:val="footnote reference"/>
    <w:uiPriority w:val="99"/>
    <w:semiHidden/>
    <w:rsid w:val="00423A9B"/>
    <w:rPr>
      <w:vertAlign w:val="superscript"/>
    </w:rPr>
  </w:style>
  <w:style w:type="paragraph" w:styleId="BalloonText">
    <w:name w:val="Balloon Text"/>
    <w:basedOn w:val="Normal"/>
    <w:link w:val="BalloonTextChar"/>
    <w:semiHidden/>
    <w:rsid w:val="00423A9B"/>
    <w:rPr>
      <w:rFonts w:ascii="Tahoma" w:hAnsi="Tahoma" w:cs="Tahoma"/>
      <w:sz w:val="16"/>
      <w:szCs w:val="16"/>
    </w:rPr>
  </w:style>
  <w:style w:type="character" w:customStyle="1" w:styleId="BalloonTextChar">
    <w:name w:val="Balloon Text Char"/>
    <w:basedOn w:val="DefaultParagraphFont"/>
    <w:link w:val="BalloonText"/>
    <w:semiHidden/>
    <w:rsid w:val="00423A9B"/>
    <w:rPr>
      <w:rFonts w:ascii="Tahoma" w:eastAsia="Times New Roman" w:hAnsi="Tahoma" w:cs="Tahoma"/>
      <w:sz w:val="16"/>
      <w:szCs w:val="16"/>
    </w:rPr>
  </w:style>
  <w:style w:type="character" w:styleId="PageNumber">
    <w:name w:val="page number"/>
    <w:basedOn w:val="DefaultParagraphFont"/>
    <w:rsid w:val="00423A9B"/>
  </w:style>
  <w:style w:type="paragraph" w:styleId="CommentSubject">
    <w:name w:val="annotation subject"/>
    <w:basedOn w:val="CommentText"/>
    <w:next w:val="CommentText"/>
    <w:link w:val="CommentSubjectChar"/>
    <w:semiHidden/>
    <w:rsid w:val="00423A9B"/>
    <w:rPr>
      <w:b/>
      <w:bCs/>
    </w:rPr>
  </w:style>
  <w:style w:type="character" w:customStyle="1" w:styleId="CommentSubjectChar">
    <w:name w:val="Comment Subject Char"/>
    <w:basedOn w:val="CommentTextChar"/>
    <w:link w:val="CommentSubject"/>
    <w:semiHidden/>
    <w:rsid w:val="00423A9B"/>
    <w:rPr>
      <w:rFonts w:ascii="Times New Roman" w:eastAsia="Times New Roman" w:hAnsi="Times New Roman" w:cs="Times New Roman"/>
      <w:b/>
      <w:bCs/>
      <w:sz w:val="20"/>
      <w:szCs w:val="20"/>
    </w:rPr>
  </w:style>
  <w:style w:type="paragraph" w:styleId="BodyText">
    <w:name w:val="Body Text"/>
    <w:basedOn w:val="Normal"/>
    <w:link w:val="BodyTextChar"/>
    <w:rsid w:val="00423A9B"/>
    <w:pPr>
      <w:spacing w:after="120"/>
    </w:pPr>
  </w:style>
  <w:style w:type="character" w:customStyle="1" w:styleId="BodyTextChar">
    <w:name w:val="Body Text Char"/>
    <w:basedOn w:val="DefaultParagraphFont"/>
    <w:link w:val="BodyText"/>
    <w:rsid w:val="00423A9B"/>
    <w:rPr>
      <w:rFonts w:ascii="Times New Roman" w:eastAsia="Times New Roman" w:hAnsi="Times New Roman" w:cs="Times New Roman"/>
      <w:sz w:val="24"/>
      <w:szCs w:val="24"/>
    </w:rPr>
  </w:style>
  <w:style w:type="character" w:styleId="Strong">
    <w:name w:val="Strong"/>
    <w:qFormat/>
    <w:rsid w:val="00423A9B"/>
    <w:rPr>
      <w:b/>
      <w:bCs/>
    </w:rPr>
  </w:style>
  <w:style w:type="paragraph" w:styleId="Title">
    <w:name w:val="Title"/>
    <w:basedOn w:val="Normal"/>
    <w:link w:val="TitleChar"/>
    <w:qFormat/>
    <w:rsid w:val="00423A9B"/>
    <w:pPr>
      <w:jc w:val="center"/>
    </w:pPr>
    <w:rPr>
      <w:b/>
      <w:bCs/>
    </w:rPr>
  </w:style>
  <w:style w:type="character" w:customStyle="1" w:styleId="TitleChar">
    <w:name w:val="Title Char"/>
    <w:basedOn w:val="DefaultParagraphFont"/>
    <w:link w:val="Title"/>
    <w:rsid w:val="00423A9B"/>
    <w:rPr>
      <w:rFonts w:ascii="Times New Roman" w:eastAsia="Times New Roman" w:hAnsi="Times New Roman" w:cs="Times New Roman"/>
      <w:b/>
      <w:bCs/>
      <w:sz w:val="24"/>
      <w:szCs w:val="24"/>
    </w:rPr>
  </w:style>
  <w:style w:type="table" w:styleId="TableGrid">
    <w:name w:val="Table Grid"/>
    <w:basedOn w:val="TableNormal"/>
    <w:rsid w:val="00423A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3A9B"/>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423A9B"/>
    <w:rPr>
      <w:i/>
      <w:iCs/>
    </w:rPr>
  </w:style>
  <w:style w:type="character" w:customStyle="1" w:styleId="grame">
    <w:name w:val="grame"/>
    <w:basedOn w:val="DefaultParagraphFont"/>
    <w:rsid w:val="00423A9B"/>
  </w:style>
  <w:style w:type="character" w:styleId="FollowedHyperlink">
    <w:name w:val="FollowedHyperlink"/>
    <w:rsid w:val="00423A9B"/>
    <w:rPr>
      <w:color w:val="800080"/>
      <w:u w:val="single"/>
    </w:rPr>
  </w:style>
  <w:style w:type="paragraph" w:styleId="EndnoteText">
    <w:name w:val="endnote text"/>
    <w:basedOn w:val="Normal"/>
    <w:link w:val="EndnoteTextChar"/>
    <w:rsid w:val="00423A9B"/>
    <w:rPr>
      <w:sz w:val="20"/>
      <w:szCs w:val="20"/>
    </w:rPr>
  </w:style>
  <w:style w:type="character" w:customStyle="1" w:styleId="EndnoteTextChar">
    <w:name w:val="Endnote Text Char"/>
    <w:basedOn w:val="DefaultParagraphFont"/>
    <w:link w:val="EndnoteText"/>
    <w:rsid w:val="00423A9B"/>
    <w:rPr>
      <w:rFonts w:ascii="Times New Roman" w:eastAsia="Times New Roman" w:hAnsi="Times New Roman" w:cs="Times New Roman"/>
      <w:sz w:val="20"/>
      <w:szCs w:val="20"/>
    </w:rPr>
  </w:style>
  <w:style w:type="character" w:styleId="EndnoteReference">
    <w:name w:val="endnote reference"/>
    <w:rsid w:val="00423A9B"/>
    <w:rPr>
      <w:vertAlign w:val="superscript"/>
    </w:rPr>
  </w:style>
  <w:style w:type="paragraph" w:styleId="Revision">
    <w:name w:val="Revision"/>
    <w:hidden/>
    <w:uiPriority w:val="99"/>
    <w:semiHidden/>
    <w:rsid w:val="00423A9B"/>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23A9B"/>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423A9B"/>
    <w:rPr>
      <w:rFonts w:ascii="Calibri" w:hAnsi="Calibri" w:cs="Calibri"/>
    </w:rPr>
  </w:style>
  <w:style w:type="paragraph" w:styleId="ListParagraph">
    <w:name w:val="List Paragraph"/>
    <w:basedOn w:val="Normal"/>
    <w:uiPriority w:val="34"/>
    <w:qFormat/>
    <w:rsid w:val="00423A9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bgc.gov/multiemplo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ast.dol.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Butikofer, James - EBSA</dc:creator>
  <cp:lastModifiedBy>Butikofer, James - EBSA</cp:lastModifiedBy>
  <cp:revision>1</cp:revision>
  <dcterms:created xsi:type="dcterms:W3CDTF">2014-12-17T20:02:00Z</dcterms:created>
  <dcterms:modified xsi:type="dcterms:W3CDTF">2014-12-17T20:05:00Z</dcterms:modified>
</cp:coreProperties>
</file>