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48D1" w:rsidP="004948D1" w14:paraId="18A06753" w14:textId="77777777">
      <w:pPr>
        <w:keepNext/>
        <w:keepLines/>
        <w:spacing w:after="0" w:line="240" w:lineRule="auto"/>
        <w:jc w:val="right"/>
        <w:outlineLvl w:val="0"/>
        <w:rPr>
          <w:rFonts w:ascii="Times New Roman" w:eastAsia="Calibri" w:hAnsi="Times New Roman" w:cs="Times New Roman"/>
        </w:rPr>
      </w:pPr>
      <w:r>
        <w:rPr>
          <w:rFonts w:ascii="Times New Roman" w:eastAsia="Calibri" w:hAnsi="Times New Roman" w:cs="Times New Roman"/>
        </w:rPr>
        <w:t xml:space="preserve">Approved Form </w:t>
      </w:r>
    </w:p>
    <w:p w:rsidR="004948D1" w:rsidP="004948D1" w14:paraId="5CA89F09" w14:textId="77777777">
      <w:pPr>
        <w:keepNext/>
        <w:keepLines/>
        <w:spacing w:after="0" w:line="240" w:lineRule="auto"/>
        <w:jc w:val="right"/>
        <w:outlineLvl w:val="0"/>
        <w:rPr>
          <w:rFonts w:ascii="Times New Roman" w:eastAsia="Calibri" w:hAnsi="Times New Roman" w:cs="Times New Roman"/>
        </w:rPr>
      </w:pPr>
      <w:r w:rsidRPr="009E6573">
        <w:rPr>
          <w:rFonts w:ascii="Times New Roman" w:eastAsia="Calibri" w:hAnsi="Times New Roman" w:cs="Times New Roman"/>
        </w:rPr>
        <w:t>OMB</w:t>
      </w:r>
      <w:r>
        <w:rPr>
          <w:rFonts w:ascii="Times New Roman" w:eastAsia="Calibri" w:hAnsi="Times New Roman" w:cs="Times New Roman"/>
        </w:rPr>
        <w:t xml:space="preserve"> Number:</w:t>
      </w:r>
      <w:r w:rsidRPr="009E6573">
        <w:rPr>
          <w:rFonts w:ascii="Times New Roman" w:eastAsia="Calibri" w:hAnsi="Times New Roman" w:cs="Times New Roman"/>
        </w:rPr>
        <w:t xml:space="preserve"> 1218-XXXX</w:t>
      </w:r>
    </w:p>
    <w:p w:rsidR="004948D1" w:rsidP="004948D1" w14:paraId="4BEA0BD6" w14:textId="77777777">
      <w:pPr>
        <w:keepNext/>
        <w:keepLines/>
        <w:spacing w:after="0" w:line="240" w:lineRule="auto"/>
        <w:jc w:val="right"/>
        <w:outlineLvl w:val="0"/>
        <w:rPr>
          <w:rFonts w:ascii="Times New Roman" w:eastAsia="Calibri" w:hAnsi="Times New Roman" w:cs="Times New Roman"/>
        </w:rPr>
      </w:pPr>
      <w:r>
        <w:rPr>
          <w:rFonts w:ascii="Times New Roman" w:eastAsia="Calibri" w:hAnsi="Times New Roman" w:cs="Times New Roman"/>
        </w:rPr>
        <w:t>Expiration Date: XX-XX-2026</w:t>
      </w:r>
    </w:p>
    <w:p w:rsidR="004948D1" w:rsidRPr="007B1398" w:rsidP="004948D1" w14:paraId="6CD4FC56" w14:textId="77777777">
      <w:pPr>
        <w:keepNext/>
        <w:keepLines/>
        <w:spacing w:after="0" w:line="240" w:lineRule="auto"/>
        <w:jc w:val="right"/>
        <w:outlineLvl w:val="0"/>
        <w:rPr>
          <w:rFonts w:ascii="Times New Roman" w:eastAsia="Calibri" w:hAnsi="Times New Roman"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3504311C" w14:textId="77777777" w:rsidTr="006E02B1">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4948D1" w:rsidRPr="007B1398" w:rsidP="006E02B1" w14:paraId="41E16927"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7B1398">
              <w:rPr>
                <w:rFonts w:ascii="Verdana" w:eastAsia="Arial Unicode MS" w:hAnsi="Verdana" w:cs="Times New Roman"/>
                <w:b/>
                <w:kern w:val="1"/>
                <w:sz w:val="12"/>
                <w:szCs w:val="12"/>
              </w:rPr>
              <w:t xml:space="preserve">Paperwork Reduction Act Notice </w:t>
            </w:r>
          </w:p>
          <w:p w:rsidR="004948D1" w:rsidRPr="007B1398" w:rsidP="006E02B1" w14:paraId="7F8BC505" w14:textId="77777777">
            <w:pPr>
              <w:widowControl w:val="0"/>
              <w:suppressLineNumbers/>
              <w:suppressAutoHyphens/>
              <w:spacing w:after="0" w:line="240" w:lineRule="auto"/>
              <w:rPr>
                <w:rFonts w:ascii="Verdana" w:eastAsia="Arial Unicode MS" w:hAnsi="Verdana" w:cs="Times New Roman"/>
                <w:kern w:val="1"/>
                <w:sz w:val="12"/>
                <w:szCs w:val="12"/>
              </w:rPr>
            </w:pPr>
          </w:p>
          <w:p w:rsidR="004948D1" w:rsidRPr="007B1398" w:rsidP="006E02B1" w14:paraId="30125870"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 xml:space="preserve">Persons are not required to respond to this collection of information unless it displays a valid OMB control number. The Occupational Safety and Health Administration (OSHA) developed the Worksheet for Determining the “Applicability of the Process Safety Management of Highly Hazardous Chemicals Standard (PSM) to an Establishment” for State On-Site Consultation </w:t>
            </w:r>
            <w:r w:rsidRPr="007B1398">
              <w:rPr>
                <w:rFonts w:ascii="Verdana" w:eastAsia="Arial Unicode MS" w:hAnsi="Verdana" w:cs="Times New Roman"/>
                <w:kern w:val="1"/>
                <w:sz w:val="12"/>
                <w:szCs w:val="12"/>
              </w:rPr>
              <w:t>program</w:t>
            </w:r>
            <w:r w:rsidRPr="007B1398">
              <w:rPr>
                <w:rFonts w:ascii="Verdana" w:eastAsia="Arial Unicode MS" w:hAnsi="Verdana" w:cs="Times New Roman"/>
                <w:kern w:val="1"/>
                <w:sz w:val="12"/>
                <w:szCs w:val="12"/>
              </w:rPr>
              <w:t xml:space="preserve"> Consultants to apply before conducting a consultation visit, when there is reason to suspect that a process(es) in the workplace is subject to the standard. </w:t>
            </w:r>
          </w:p>
          <w:p w:rsidR="004948D1" w:rsidRPr="007B1398" w:rsidP="006E02B1" w14:paraId="4AD791D6"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 xml:space="preserve">In accordance with 29 CFR 1908.6(h)(1) and (2), Consultants must preserve the confidentiality of information obtained </w:t>
            </w:r>
            <w:r w:rsidRPr="007B1398">
              <w:rPr>
                <w:rFonts w:ascii="Verdana" w:eastAsia="Arial Unicode MS" w:hAnsi="Verdana" w:cs="Times New Roman"/>
                <w:kern w:val="1"/>
                <w:sz w:val="12"/>
                <w:szCs w:val="12"/>
              </w:rPr>
              <w:t>as a result of</w:t>
            </w:r>
            <w:r w:rsidRPr="007B1398">
              <w:rPr>
                <w:rFonts w:ascii="Verdana" w:eastAsia="Arial Unicode MS" w:hAnsi="Verdana" w:cs="Times New Roman"/>
                <w:kern w:val="1"/>
                <w:sz w:val="12"/>
                <w:szCs w:val="12"/>
              </w:rPr>
              <w:t xml:space="preserve"> a consultative visit, including information that contains or might reveal a trade of secret of the employer. </w:t>
            </w:r>
          </w:p>
          <w:p w:rsidR="004948D1" w:rsidRPr="007B1398" w:rsidP="006E02B1" w14:paraId="4B028DB7"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 xml:space="preserve">OSHA estimates that a </w:t>
            </w:r>
            <w:r w:rsidRPr="007B1398">
              <w:rPr>
                <w:rFonts w:ascii="Verdana" w:eastAsia="Arial Unicode MS" w:hAnsi="Verdana" w:cs="Times New Roman"/>
                <w:kern w:val="1"/>
                <w:sz w:val="12"/>
                <w:szCs w:val="12"/>
              </w:rPr>
              <w:t>Consultant</w:t>
            </w:r>
            <w:r w:rsidRPr="007B1398">
              <w:rPr>
                <w:rFonts w:ascii="Verdana" w:eastAsia="Arial Unicode MS" w:hAnsi="Verdana" w:cs="Times New Roman"/>
                <w:kern w:val="1"/>
                <w:sz w:val="12"/>
                <w:szCs w:val="12"/>
              </w:rPr>
              <w:t xml:space="preserve"> will take an average of 2 hours to use the worksheet to assess workplace processes and determine if the PSM standard applies to an establishment.</w:t>
            </w:r>
          </w:p>
          <w:p w:rsidR="004948D1" w:rsidRPr="007B1398" w:rsidP="006E02B1" w14:paraId="3C03908E"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A determination that the PSM standard applies to a process in a workplace will enable the Consultant to gather appropriate safety and health information before a consultation visit and be adequately prepared to provide technical assistance to the employer during the on-site evaluation.</w:t>
            </w:r>
          </w:p>
          <w:p w:rsidR="004948D1" w:rsidRPr="007B1398" w:rsidP="006E02B1" w14:paraId="6FCD60B7"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4948D1" w:rsidP="004948D1" w14:paraId="7CDCD6E9" w14:textId="77777777"/>
    <w:p w:rsidR="004948D1" w:rsidRPr="00653E9B" w:rsidP="004948D1" w14:paraId="3F2D9D62" w14:textId="77777777">
      <w:pPr>
        <w:keepNext/>
        <w:keepLines/>
        <w:spacing w:after="0" w:line="240" w:lineRule="auto"/>
        <w:jc w:val="center"/>
        <w:outlineLvl w:val="0"/>
        <w:rPr>
          <w:rFonts w:ascii="Times New Roman" w:eastAsia="Calibri" w:hAnsi="Times New Roman" w:cs="Times New Roman"/>
          <w:b/>
          <w:bCs/>
        </w:rPr>
      </w:pPr>
      <w:r w:rsidRPr="00653E9B">
        <w:rPr>
          <w:rFonts w:ascii="Times New Roman" w:eastAsia="Calibri" w:hAnsi="Times New Roman" w:cs="Times New Roman"/>
          <w:b/>
          <w:bCs/>
        </w:rPr>
        <w:t>Appendix L-3: Determini</w:t>
      </w:r>
      <w:r>
        <w:rPr>
          <w:rFonts w:ascii="Times New Roman" w:eastAsia="Calibri" w:hAnsi="Times New Roman" w:cs="Times New Roman"/>
          <w:b/>
          <w:bCs/>
        </w:rPr>
        <w:t>ng</w:t>
      </w:r>
      <w:r w:rsidRPr="00653E9B">
        <w:rPr>
          <w:rFonts w:ascii="Times New Roman" w:eastAsia="Calibri" w:hAnsi="Times New Roman" w:cs="Times New Roman"/>
          <w:b/>
          <w:bCs/>
        </w:rPr>
        <w:t xml:space="preserve"> the Applicability of the Process Safety Management Standard to an Establishment </w:t>
      </w:r>
    </w:p>
    <w:p w:rsidR="004948D1" w:rsidRPr="00653E9B" w:rsidP="004948D1" w14:paraId="53FB9271" w14:textId="77777777">
      <w:pPr>
        <w:spacing w:after="0" w:line="240" w:lineRule="auto"/>
        <w:rPr>
          <w:rFonts w:ascii="Times New Roman" w:eastAsia="Calibri" w:hAnsi="Times New Roman" w:cs="Times New Roman"/>
        </w:rPr>
      </w:pPr>
    </w:p>
    <w:p w:rsidR="004948D1" w:rsidRPr="00653E9B" w:rsidP="004948D1" w14:paraId="752DCAB8" w14:textId="77777777">
      <w:pPr>
        <w:keepLines/>
        <w:widowControl w:val="0"/>
        <w:numPr>
          <w:ilvl w:val="0"/>
          <w:numId w:val="1"/>
        </w:numPr>
        <w:autoSpaceDE w:val="0"/>
        <w:autoSpaceDN w:val="0"/>
        <w:adjustRightInd w:val="0"/>
        <w:spacing w:after="0" w:line="240" w:lineRule="auto"/>
        <w:ind w:left="360"/>
        <w:rPr>
          <w:rFonts w:ascii="Times New Roman" w:eastAsia="Times New Roman" w:hAnsi="Times New Roman" w:cs="Times New Roman"/>
          <w:b/>
          <w:bCs/>
          <w:color w:val="000000"/>
        </w:rPr>
      </w:pPr>
      <w:r w:rsidRPr="00653E9B">
        <w:rPr>
          <w:rFonts w:ascii="Times New Roman" w:eastAsia="Times New Roman" w:hAnsi="Times New Roman" w:cs="Times New Roman"/>
          <w:b/>
          <w:bCs/>
        </w:rPr>
        <w:t>Chemical Inventory Table</w:t>
      </w:r>
      <w:r w:rsidRPr="00653E9B">
        <w:rPr>
          <w:rFonts w:ascii="Times New Roman" w:eastAsia="Times New Roman" w:hAnsi="Times New Roman" w:cs="Times New Roman"/>
          <w:b/>
          <w:bCs/>
          <w:color w:val="000000"/>
        </w:rPr>
        <w:t xml:space="preserve">: </w:t>
      </w:r>
      <w:r w:rsidRPr="00653E9B">
        <w:rPr>
          <w:rFonts w:ascii="Times New Roman" w:eastAsia="Times New Roman" w:hAnsi="Times New Roman" w:cs="Times New Roman"/>
          <w:bCs/>
          <w:color w:val="000000"/>
        </w:rPr>
        <w:t>Gather Information on the chemicals used at the establishment.</w:t>
      </w:r>
    </w:p>
    <w:p w:rsidR="004948D1" w:rsidRPr="00653E9B" w:rsidP="004948D1" w14:paraId="78C6F498" w14:textId="77777777">
      <w:pPr>
        <w:keepLines/>
        <w:widowControl w:val="0"/>
        <w:autoSpaceDE w:val="0"/>
        <w:autoSpaceDN w:val="0"/>
        <w:adjustRightInd w:val="0"/>
        <w:spacing w:after="0" w:line="240" w:lineRule="auto"/>
        <w:ind w:left="360"/>
        <w:rPr>
          <w:rFonts w:ascii="Times New Roman" w:eastAsia="Times New Roman" w:hAnsi="Times New Roman" w:cs="Times New Roman"/>
          <w:b/>
          <w:bCs/>
          <w:color w:val="000000"/>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0"/>
        <w:gridCol w:w="1620"/>
        <w:gridCol w:w="1170"/>
        <w:gridCol w:w="1800"/>
        <w:gridCol w:w="1530"/>
        <w:gridCol w:w="1530"/>
      </w:tblGrid>
      <w:tr w14:paraId="1B100B44" w14:textId="77777777" w:rsidTr="006E02B1">
        <w:tblPrEx>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420" w:type="dxa"/>
            <w:shd w:val="clear" w:color="auto" w:fill="auto"/>
          </w:tcPr>
          <w:p w:rsidR="004948D1" w:rsidRPr="00653E9B" w:rsidP="006E02B1" w14:paraId="03A25FE3"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List of Chemicals</w:t>
            </w:r>
            <w:r>
              <w:rPr>
                <w:rFonts w:ascii="Times New Roman" w:eastAsia="Times New Roman" w:hAnsi="Times New Roman" w:cs="Times New Roman"/>
                <w:b/>
                <w:vertAlign w:val="superscript"/>
              </w:rPr>
              <w:footnoteReference w:id="2"/>
            </w:r>
            <w:r w:rsidRPr="00653E9B">
              <w:rPr>
                <w:rFonts w:ascii="Times New Roman" w:eastAsia="Times New Roman" w:hAnsi="Times New Roman" w:cs="Times New Roman"/>
                <w:b/>
              </w:rPr>
              <w:t xml:space="preserve"> Used at the Establishment covered by the Process Safety Management (PSM) Standard, 29 CFR 1910.119</w:t>
            </w:r>
          </w:p>
          <w:p w:rsidR="004948D1" w:rsidRPr="00653E9B" w:rsidP="006E02B1" w14:paraId="074533E7" w14:textId="77777777">
            <w:pPr>
              <w:spacing w:after="0" w:line="240" w:lineRule="auto"/>
              <w:rPr>
                <w:rFonts w:ascii="Times New Roman" w:eastAsia="Times New Roman" w:hAnsi="Times New Roman" w:cs="Times New Roman"/>
                <w:b/>
              </w:rPr>
            </w:pPr>
          </w:p>
        </w:tc>
        <w:tc>
          <w:tcPr>
            <w:tcW w:w="1620" w:type="dxa"/>
            <w:shd w:val="clear" w:color="auto" w:fill="auto"/>
          </w:tcPr>
          <w:p w:rsidR="004948D1" w:rsidRPr="00653E9B" w:rsidP="006E02B1" w14:paraId="04E4CD62"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 xml:space="preserve">Intended </w:t>
            </w:r>
            <w:r w:rsidRPr="00653E9B">
              <w:rPr>
                <w:rFonts w:ascii="Times New Roman" w:eastAsia="Times New Roman" w:hAnsi="Times New Roman" w:cs="Times New Roman"/>
                <w:b/>
              </w:rPr>
              <w:t xml:space="preserve">Inventory  </w:t>
            </w:r>
            <w:r w:rsidRPr="00653E9B">
              <w:rPr>
                <w:rFonts w:ascii="Times New Roman" w:eastAsia="Times New Roman" w:hAnsi="Times New Roman" w:cs="Times New Roman"/>
              </w:rPr>
              <w:t>(</w:t>
            </w:r>
            <w:r w:rsidRPr="00653E9B">
              <w:rPr>
                <w:rFonts w:ascii="Times New Roman" w:eastAsia="Times New Roman" w:hAnsi="Times New Roman" w:cs="Times New Roman"/>
              </w:rPr>
              <w:t>according to the employer; 29 CFR 1910.119(d)(2)(</w:t>
            </w:r>
            <w:r w:rsidRPr="00653E9B">
              <w:rPr>
                <w:rFonts w:ascii="Times New Roman" w:eastAsia="Times New Roman" w:hAnsi="Times New Roman" w:cs="Times New Roman"/>
              </w:rPr>
              <w:t>i</w:t>
            </w:r>
            <w:r w:rsidRPr="00653E9B">
              <w:rPr>
                <w:rFonts w:ascii="Times New Roman" w:eastAsia="Times New Roman" w:hAnsi="Times New Roman" w:cs="Times New Roman"/>
              </w:rPr>
              <w:t>)(C))</w:t>
            </w:r>
          </w:p>
        </w:tc>
        <w:tc>
          <w:tcPr>
            <w:tcW w:w="1170" w:type="dxa"/>
            <w:shd w:val="clear" w:color="auto" w:fill="auto"/>
          </w:tcPr>
          <w:p w:rsidR="004948D1" w:rsidRPr="00653E9B" w:rsidP="006E02B1" w14:paraId="58A7DF5F"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 xml:space="preserve">Specify OSHA threshold quantity </w:t>
            </w:r>
          </w:p>
        </w:tc>
        <w:tc>
          <w:tcPr>
            <w:tcW w:w="1800" w:type="dxa"/>
          </w:tcPr>
          <w:p w:rsidR="004948D1" w:rsidRPr="00653E9B" w:rsidP="006E02B1" w14:paraId="3B31373F" w14:textId="77777777">
            <w:pPr>
              <w:spacing w:after="0" w:line="240" w:lineRule="auto"/>
              <w:jc w:val="center"/>
              <w:rPr>
                <w:rFonts w:ascii="Times New Roman" w:eastAsia="Times New Roman" w:hAnsi="Times New Roman" w:cs="Times New Roman"/>
                <w:b/>
              </w:rPr>
            </w:pPr>
            <w:r w:rsidRPr="00653E9B">
              <w:rPr>
                <w:rFonts w:ascii="Times New Roman" w:eastAsia="Times New Roman" w:hAnsi="Times New Roman" w:cs="Times New Roman"/>
                <w:b/>
              </w:rPr>
              <w:t>Quantity of Chemical at Establishment</w:t>
            </w:r>
          </w:p>
        </w:tc>
        <w:tc>
          <w:tcPr>
            <w:tcW w:w="1530" w:type="dxa"/>
          </w:tcPr>
          <w:p w:rsidR="004948D1" w:rsidRPr="00653E9B" w:rsidP="006E02B1" w14:paraId="6A214FC4"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Where in the Process is the Chemical Used?</w:t>
            </w:r>
          </w:p>
        </w:tc>
        <w:tc>
          <w:tcPr>
            <w:tcW w:w="1530" w:type="dxa"/>
            <w:shd w:val="clear" w:color="auto" w:fill="auto"/>
          </w:tcPr>
          <w:p w:rsidR="004948D1" w:rsidRPr="00653E9B" w:rsidP="006E02B1" w14:paraId="1AFDF0EA"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Comments</w:t>
            </w:r>
          </w:p>
        </w:tc>
      </w:tr>
      <w:tr w14:paraId="3B5497F1" w14:textId="77777777" w:rsidTr="006E02B1">
        <w:tblPrEx>
          <w:tblW w:w="11070" w:type="dxa"/>
          <w:jc w:val="center"/>
          <w:tblLayout w:type="fixed"/>
          <w:tblLook w:val="04A0"/>
        </w:tblPrEx>
        <w:trPr>
          <w:jc w:val="center"/>
        </w:trPr>
        <w:tc>
          <w:tcPr>
            <w:tcW w:w="3420" w:type="dxa"/>
            <w:shd w:val="clear" w:color="auto" w:fill="auto"/>
          </w:tcPr>
          <w:p w:rsidR="004948D1" w:rsidRPr="00653E9B" w:rsidP="006E02B1" w14:paraId="518CE367" w14:textId="77777777">
            <w:pPr>
              <w:spacing w:after="0" w:line="240" w:lineRule="auto"/>
              <w:rPr>
                <w:rFonts w:ascii="Times New Roman" w:eastAsia="Times New Roman" w:hAnsi="Times New Roman" w:cs="Times New Roman"/>
              </w:rPr>
            </w:pPr>
          </w:p>
        </w:tc>
        <w:tc>
          <w:tcPr>
            <w:tcW w:w="1620" w:type="dxa"/>
            <w:shd w:val="clear" w:color="auto" w:fill="auto"/>
          </w:tcPr>
          <w:p w:rsidR="004948D1" w:rsidRPr="00653E9B" w:rsidP="006E02B1" w14:paraId="24FCCCFF" w14:textId="77777777">
            <w:pPr>
              <w:spacing w:after="0" w:line="240" w:lineRule="auto"/>
              <w:rPr>
                <w:rFonts w:ascii="Times New Roman" w:eastAsia="Times New Roman" w:hAnsi="Times New Roman" w:cs="Times New Roman"/>
              </w:rPr>
            </w:pPr>
          </w:p>
        </w:tc>
        <w:tc>
          <w:tcPr>
            <w:tcW w:w="1170" w:type="dxa"/>
            <w:shd w:val="clear" w:color="auto" w:fill="auto"/>
          </w:tcPr>
          <w:p w:rsidR="004948D1" w:rsidRPr="00653E9B" w:rsidP="006E02B1" w14:paraId="11511FAB" w14:textId="77777777">
            <w:pPr>
              <w:spacing w:after="0" w:line="240" w:lineRule="auto"/>
              <w:rPr>
                <w:rFonts w:ascii="Times New Roman" w:eastAsia="Times New Roman" w:hAnsi="Times New Roman" w:cs="Times New Roman"/>
              </w:rPr>
            </w:pPr>
          </w:p>
        </w:tc>
        <w:tc>
          <w:tcPr>
            <w:tcW w:w="1800" w:type="dxa"/>
          </w:tcPr>
          <w:p w:rsidR="004948D1" w:rsidRPr="00653E9B" w:rsidP="006E02B1" w14:paraId="70388C1B" w14:textId="77777777">
            <w:pPr>
              <w:spacing w:after="0" w:line="240" w:lineRule="auto"/>
              <w:rPr>
                <w:rFonts w:ascii="Times New Roman" w:eastAsia="Times New Roman" w:hAnsi="Times New Roman" w:cs="Times New Roman"/>
              </w:rPr>
            </w:pPr>
          </w:p>
        </w:tc>
        <w:tc>
          <w:tcPr>
            <w:tcW w:w="1530" w:type="dxa"/>
          </w:tcPr>
          <w:p w:rsidR="004948D1" w:rsidRPr="00653E9B" w:rsidP="006E02B1" w14:paraId="4463CF5C" w14:textId="77777777">
            <w:pPr>
              <w:spacing w:after="0" w:line="240" w:lineRule="auto"/>
              <w:rPr>
                <w:rFonts w:ascii="Times New Roman" w:eastAsia="Times New Roman" w:hAnsi="Times New Roman" w:cs="Times New Roman"/>
              </w:rPr>
            </w:pPr>
          </w:p>
        </w:tc>
        <w:tc>
          <w:tcPr>
            <w:tcW w:w="1530" w:type="dxa"/>
            <w:shd w:val="clear" w:color="auto" w:fill="auto"/>
          </w:tcPr>
          <w:p w:rsidR="004948D1" w:rsidRPr="00653E9B" w:rsidP="006E02B1" w14:paraId="4416D776" w14:textId="77777777">
            <w:pPr>
              <w:spacing w:after="0" w:line="240" w:lineRule="auto"/>
              <w:rPr>
                <w:rFonts w:ascii="Times New Roman" w:eastAsia="Times New Roman" w:hAnsi="Times New Roman" w:cs="Times New Roman"/>
              </w:rPr>
            </w:pPr>
          </w:p>
        </w:tc>
      </w:tr>
      <w:tr w14:paraId="2C0831D4" w14:textId="77777777" w:rsidTr="006E02B1">
        <w:tblPrEx>
          <w:tblW w:w="11070" w:type="dxa"/>
          <w:jc w:val="center"/>
          <w:tblLayout w:type="fixed"/>
          <w:tblLook w:val="04A0"/>
        </w:tblPrEx>
        <w:trPr>
          <w:jc w:val="center"/>
        </w:trPr>
        <w:tc>
          <w:tcPr>
            <w:tcW w:w="3420" w:type="dxa"/>
            <w:shd w:val="clear" w:color="auto" w:fill="auto"/>
          </w:tcPr>
          <w:p w:rsidR="004948D1" w:rsidRPr="00653E9B" w:rsidP="006E02B1" w14:paraId="3755DCBB" w14:textId="77777777">
            <w:pPr>
              <w:spacing w:after="0" w:line="240" w:lineRule="auto"/>
              <w:rPr>
                <w:rFonts w:ascii="Times New Roman" w:eastAsia="Times New Roman" w:hAnsi="Times New Roman" w:cs="Times New Roman"/>
              </w:rPr>
            </w:pPr>
          </w:p>
        </w:tc>
        <w:tc>
          <w:tcPr>
            <w:tcW w:w="1620" w:type="dxa"/>
            <w:shd w:val="clear" w:color="auto" w:fill="auto"/>
          </w:tcPr>
          <w:p w:rsidR="004948D1" w:rsidRPr="00653E9B" w:rsidP="006E02B1" w14:paraId="7401C626" w14:textId="77777777">
            <w:pPr>
              <w:spacing w:after="0" w:line="240" w:lineRule="auto"/>
              <w:rPr>
                <w:rFonts w:ascii="Times New Roman" w:eastAsia="Times New Roman" w:hAnsi="Times New Roman" w:cs="Times New Roman"/>
              </w:rPr>
            </w:pPr>
          </w:p>
        </w:tc>
        <w:tc>
          <w:tcPr>
            <w:tcW w:w="1170" w:type="dxa"/>
            <w:shd w:val="clear" w:color="auto" w:fill="auto"/>
          </w:tcPr>
          <w:p w:rsidR="004948D1" w:rsidRPr="00653E9B" w:rsidP="006E02B1" w14:paraId="031BA64E" w14:textId="77777777">
            <w:pPr>
              <w:spacing w:after="0" w:line="240" w:lineRule="auto"/>
              <w:rPr>
                <w:rFonts w:ascii="Times New Roman" w:eastAsia="Times New Roman" w:hAnsi="Times New Roman" w:cs="Times New Roman"/>
              </w:rPr>
            </w:pPr>
          </w:p>
        </w:tc>
        <w:tc>
          <w:tcPr>
            <w:tcW w:w="1800" w:type="dxa"/>
          </w:tcPr>
          <w:p w:rsidR="004948D1" w:rsidRPr="00653E9B" w:rsidP="006E02B1" w14:paraId="56C7B39C" w14:textId="77777777">
            <w:pPr>
              <w:spacing w:after="0" w:line="240" w:lineRule="auto"/>
              <w:rPr>
                <w:rFonts w:ascii="Times New Roman" w:eastAsia="Times New Roman" w:hAnsi="Times New Roman" w:cs="Times New Roman"/>
              </w:rPr>
            </w:pPr>
          </w:p>
        </w:tc>
        <w:tc>
          <w:tcPr>
            <w:tcW w:w="1530" w:type="dxa"/>
          </w:tcPr>
          <w:p w:rsidR="004948D1" w:rsidRPr="00653E9B" w:rsidP="006E02B1" w14:paraId="46424722" w14:textId="77777777">
            <w:pPr>
              <w:spacing w:after="0" w:line="240" w:lineRule="auto"/>
              <w:rPr>
                <w:rFonts w:ascii="Times New Roman" w:eastAsia="Times New Roman" w:hAnsi="Times New Roman" w:cs="Times New Roman"/>
              </w:rPr>
            </w:pPr>
          </w:p>
        </w:tc>
        <w:tc>
          <w:tcPr>
            <w:tcW w:w="1530" w:type="dxa"/>
            <w:shd w:val="clear" w:color="auto" w:fill="auto"/>
          </w:tcPr>
          <w:p w:rsidR="004948D1" w:rsidRPr="00653E9B" w:rsidP="006E02B1" w14:paraId="77AFBD90" w14:textId="77777777">
            <w:pPr>
              <w:spacing w:after="0" w:line="240" w:lineRule="auto"/>
              <w:rPr>
                <w:rFonts w:ascii="Times New Roman" w:eastAsia="Times New Roman" w:hAnsi="Times New Roman" w:cs="Times New Roman"/>
              </w:rPr>
            </w:pPr>
          </w:p>
        </w:tc>
      </w:tr>
    </w:tbl>
    <w:p w:rsidR="004948D1" w:rsidRPr="00653E9B" w:rsidP="004948D1" w14:paraId="516C56E0" w14:textId="77777777">
      <w:pPr>
        <w:keepLines/>
        <w:spacing w:after="0" w:line="240" w:lineRule="auto"/>
        <w:ind w:left="720"/>
        <w:rPr>
          <w:rFonts w:ascii="Times New Roman" w:eastAsia="Times New Roman" w:hAnsi="Times New Roman" w:cs="Times New Roman"/>
          <w:b/>
          <w:bCs/>
          <w:color w:val="000000"/>
        </w:rPr>
      </w:pPr>
    </w:p>
    <w:p w:rsidR="004948D1" w:rsidRPr="00653E9B" w:rsidP="004948D1" w14:paraId="444DA671" w14:textId="77777777">
      <w:pPr>
        <w:widowControl w:val="0"/>
        <w:numPr>
          <w:ilvl w:val="0"/>
          <w:numId w:val="1"/>
        </w:numPr>
        <w:autoSpaceDE w:val="0"/>
        <w:autoSpaceDN w:val="0"/>
        <w:adjustRightInd w:val="0"/>
        <w:spacing w:after="120" w:line="240" w:lineRule="auto"/>
        <w:ind w:left="360"/>
        <w:rPr>
          <w:rFonts w:ascii="Times New Roman" w:eastAsia="Times New Roman" w:hAnsi="Times New Roman" w:cs="Times New Roman"/>
        </w:rPr>
      </w:pPr>
      <w:bookmarkStart w:id="0" w:name="_Toc474391240"/>
      <w:r w:rsidRPr="00653E9B">
        <w:rPr>
          <w:rFonts w:ascii="Times New Roman" w:eastAsia="Times New Roman" w:hAnsi="Times New Roman" w:cs="Times New Roman"/>
          <w:b/>
          <w:bCs/>
        </w:rPr>
        <w:t>Review Any Claimed Exemptions</w:t>
      </w:r>
      <w:bookmarkEnd w:id="0"/>
      <w:r w:rsidRPr="00653E9B">
        <w:rPr>
          <w:rFonts w:ascii="Times New Roman" w:eastAsia="Times New Roman" w:hAnsi="Times New Roman" w:cs="Times New Roman"/>
          <w:b/>
          <w:bCs/>
        </w:rPr>
        <w:t xml:space="preserve"> </w:t>
      </w:r>
      <w:r w:rsidRPr="00653E9B">
        <w:rPr>
          <w:rFonts w:ascii="Times New Roman" w:eastAsia="Times New Roman" w:hAnsi="Times New Roman" w:cs="Times New Roman"/>
          <w:bCs/>
          <w:color w:val="000000"/>
        </w:rPr>
        <w:t xml:space="preserve">such as: </w:t>
      </w:r>
    </w:p>
    <w:p w:rsidR="004948D1" w:rsidRPr="00653E9B" w:rsidP="004948D1" w14:paraId="71F7196F"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Retail facilities (29 CFR 1910.119(a)(2)(</w:t>
      </w:r>
      <w:r w:rsidRPr="00653E9B">
        <w:rPr>
          <w:rFonts w:ascii="Times New Roman" w:eastAsia="Times New Roman" w:hAnsi="Times New Roman" w:cs="Times New Roman"/>
        </w:rPr>
        <w:t>i</w:t>
      </w:r>
      <w:r w:rsidRPr="00653E9B">
        <w:rPr>
          <w:rFonts w:ascii="Times New Roman" w:eastAsia="Times New Roman" w:hAnsi="Times New Roman" w:cs="Times New Roman"/>
        </w:rPr>
        <w:t xml:space="preserve">)); </w:t>
      </w:r>
    </w:p>
    <w:p w:rsidR="004948D1" w:rsidRPr="00653E9B" w:rsidP="004948D1" w14:paraId="2F97B61B"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 xml:space="preserve">Oil or gas well drilling or servicing operations (29 CFR 1910.119(a)(2)(ii); </w:t>
      </w:r>
    </w:p>
    <w:p w:rsidR="004948D1" w:rsidRPr="00653E9B" w:rsidP="004948D1" w14:paraId="6A31EA2B"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 xml:space="preserve">Normally Unoccupied Remote Facilities – NURF Decision (i.e., </w:t>
      </w:r>
      <w:hyperlink r:id="rId5" w:history="1">
        <w:r w:rsidRPr="00653E9B">
          <w:rPr>
            <w:rFonts w:ascii="Times New Roman" w:eastAsia="Times New Roman" w:hAnsi="Times New Roman" w:cs="Times New Roman"/>
            <w:color w:val="0000FF"/>
            <w:u w:val="single"/>
          </w:rPr>
          <w:t>OSHA Letter of Interpretation</w:t>
        </w:r>
      </w:hyperlink>
      <w:r w:rsidRPr="00653E9B">
        <w:rPr>
          <w:rFonts w:ascii="Times New Roman" w:eastAsia="Times New Roman" w:hAnsi="Times New Roman" w:cs="Times New Roman"/>
        </w:rPr>
        <w:t>,</w:t>
      </w:r>
      <w:r w:rsidRPr="00653E9B">
        <w:rPr>
          <w:rFonts w:ascii="Helvetica" w:eastAsia="Times New Roman" w:hAnsi="Helvetica" w:cs="Helvetica"/>
          <w:color w:val="666666"/>
          <w:sz w:val="21"/>
          <w:szCs w:val="21"/>
        </w:rPr>
        <w:t xml:space="preserve"> </w:t>
      </w:r>
      <w:r w:rsidRPr="00653E9B">
        <w:rPr>
          <w:rFonts w:ascii="Times New Roman" w:eastAsia="Times New Roman" w:hAnsi="Times New Roman" w:cs="Times New Roman"/>
        </w:rPr>
        <w:t>Evaluation of scenarios regarding PSM requirements related to normally unoccupied remote facilities and natural gas processing plants (gas plant), February 16, 2005; 29 CFR 1910.119(a)(2)(iii));</w:t>
      </w:r>
    </w:p>
    <w:p w:rsidR="004948D1" w:rsidRPr="00653E9B" w:rsidP="004948D1" w14:paraId="17F174F3"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 xml:space="preserve">Aggregations (i.e. </w:t>
      </w:r>
      <w:hyperlink r:id="rId6" w:history="1">
        <w:r w:rsidRPr="00653E9B">
          <w:rPr>
            <w:rFonts w:ascii="Times New Roman" w:eastAsia="Times New Roman" w:hAnsi="Times New Roman" w:cs="Times New Roman"/>
            <w:color w:val="0000FF"/>
            <w:u w:val="single"/>
          </w:rPr>
          <w:t>OSHA Letter of Interpretation</w:t>
        </w:r>
      </w:hyperlink>
      <w:r w:rsidRPr="00653E9B">
        <w:rPr>
          <w:rFonts w:ascii="Times New Roman" w:eastAsia="Times New Roman" w:hAnsi="Times New Roman" w:cs="Times New Roman"/>
        </w:rPr>
        <w:t>, Remote distance, close proximity and other PSM questions, February 15, 1994);</w:t>
      </w:r>
    </w:p>
    <w:p w:rsidR="004948D1" w:rsidRPr="00653E9B" w:rsidP="004948D1" w14:paraId="25205563"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Hydrocarbon fuels used solely for workplace consumption as a fuel if such fuels are not part of a process containing another highly hazardous chemical covered by 29 CFR 1910.119(a)(1)(ii)(A);</w:t>
      </w:r>
    </w:p>
    <w:p w:rsidR="004948D1" w:rsidRPr="00653E9B" w:rsidP="004948D1" w14:paraId="647878E6"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Flammable liquids with a flashpoint below 100</w:t>
      </w:r>
      <w:r w:rsidRPr="00653E9B">
        <w:rPr>
          <w:rFonts w:ascii="Times New Roman" w:eastAsia="Times New Roman" w:hAnsi="Times New Roman" w:cs="Times New Roman"/>
          <w:vertAlign w:val="superscript"/>
        </w:rPr>
        <w:t>o</w:t>
      </w:r>
      <w:r w:rsidRPr="00653E9B">
        <w:rPr>
          <w:rFonts w:ascii="Times New Roman" w:eastAsia="Times New Roman" w:hAnsi="Times New Roman" w:cs="Times New Roman"/>
        </w:rPr>
        <w:t>F (37.8</w:t>
      </w:r>
      <w:r w:rsidRPr="00653E9B">
        <w:rPr>
          <w:rFonts w:ascii="Times New Roman" w:eastAsia="Times New Roman" w:hAnsi="Times New Roman" w:cs="Times New Roman"/>
          <w:vertAlign w:val="superscript"/>
        </w:rPr>
        <w:t>o</w:t>
      </w:r>
      <w:r w:rsidRPr="00653E9B">
        <w:rPr>
          <w:rFonts w:ascii="Times New Roman" w:eastAsia="Times New Roman" w:hAnsi="Times New Roman" w:cs="Times New Roman"/>
        </w:rPr>
        <w:t xml:space="preserve">C) stored in atmospheric tanks or transferred which are kept below their normal boiling point without benefit of chilling or refrigeration - </w:t>
      </w:r>
      <w:r w:rsidRPr="00653E9B">
        <w:rPr>
          <w:rFonts w:ascii="Times New Roman" w:eastAsia="Times New Roman" w:hAnsi="Times New Roman" w:cs="Times New Roman"/>
          <w:u w:val="single"/>
        </w:rPr>
        <w:t>MEER Decision</w:t>
      </w:r>
      <w:r w:rsidRPr="00653E9B">
        <w:rPr>
          <w:rFonts w:ascii="Times New Roman" w:eastAsia="Times New Roman" w:hAnsi="Times New Roman" w:cs="Times New Roman"/>
        </w:rPr>
        <w:t xml:space="preserve"> (i.e., </w:t>
      </w:r>
      <w:hyperlink r:id="rId7" w:history="1">
        <w:r w:rsidRPr="00653E9B">
          <w:rPr>
            <w:rFonts w:ascii="Times New Roman" w:eastAsia="Times New Roman" w:hAnsi="Times New Roman" w:cs="Times New Roman"/>
            <w:color w:val="0000FF"/>
            <w:u w:val="single"/>
          </w:rPr>
          <w:t>OSHA Letter of Interpretation</w:t>
        </w:r>
      </w:hyperlink>
      <w:r w:rsidRPr="00653E9B">
        <w:rPr>
          <w:rFonts w:ascii="Times New Roman" w:eastAsia="Times New Roman" w:hAnsi="Times New Roman" w:cs="Times New Roman"/>
        </w:rPr>
        <w:t>, OSHA enforcement policy of the PSM standard distilleries and related facilities in SIC 2085, March 14, 2003; 29 CFR 1910.119(a)(1)(ii)(A)&amp;(B));</w:t>
      </w:r>
    </w:p>
    <w:p w:rsidR="004948D1" w:rsidRPr="00653E9B" w:rsidP="004948D1" w14:paraId="7CC309C2"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Appropriations exemptions (farming, employer size) – Enforcement Exemptions and Limitations under the Appropriations Act, CPL 02-00-051; and</w:t>
      </w:r>
    </w:p>
    <w:p w:rsidR="004948D1" w:rsidRPr="00653E9B" w:rsidP="004948D1" w14:paraId="615A617E" w14:textId="77777777">
      <w:pPr>
        <w:widowControl w:val="0"/>
        <w:numPr>
          <w:ilvl w:val="0"/>
          <w:numId w:val="2"/>
        </w:numPr>
        <w:autoSpaceDE w:val="0"/>
        <w:autoSpaceDN w:val="0"/>
        <w:adjustRightInd w:val="0"/>
        <w:spacing w:after="0" w:line="240" w:lineRule="auto"/>
        <w:rPr>
          <w:rFonts w:ascii="Times New Roman" w:eastAsia="Times New Roman" w:hAnsi="Times New Roman" w:cs="Times New Roman"/>
        </w:rPr>
      </w:pPr>
      <w:r w:rsidRPr="00653E9B">
        <w:rPr>
          <w:rFonts w:ascii="Times New Roman" w:eastAsia="Times New Roman" w:hAnsi="Times New Roman" w:cs="Times New Roman"/>
        </w:rPr>
        <w:t>Distillery exemption (</w:t>
      </w:r>
      <w:hyperlink r:id="rId8" w:history="1">
        <w:r w:rsidRPr="00653E9B">
          <w:rPr>
            <w:rFonts w:ascii="Times New Roman" w:eastAsia="Times New Roman" w:hAnsi="Times New Roman" w:cs="Times New Roman"/>
            <w:color w:val="0000FF"/>
            <w:u w:val="single"/>
          </w:rPr>
          <w:t>OSHA Letter of Interpretation</w:t>
        </w:r>
      </w:hyperlink>
      <w:r w:rsidRPr="00653E9B">
        <w:rPr>
          <w:rFonts w:ascii="Times New Roman" w:eastAsia="Times New Roman" w:hAnsi="Times New Roman" w:cs="Times New Roman"/>
        </w:rPr>
        <w:t>, OSHA enforcement policy of the PSM standard distilleries and related facilities in SIC 2085, March 14, 2003).</w:t>
      </w:r>
    </w:p>
    <w:p w:rsidR="004948D1" w:rsidRPr="00653E9B" w:rsidP="004948D1" w14:paraId="635B0F17" w14:textId="77777777">
      <w:pPr>
        <w:widowControl w:val="0"/>
        <w:autoSpaceDE w:val="0"/>
        <w:autoSpaceDN w:val="0"/>
        <w:adjustRightInd w:val="0"/>
        <w:spacing w:after="0" w:line="240" w:lineRule="auto"/>
        <w:rPr>
          <w:rFonts w:ascii="Times New Roman" w:eastAsia="Calibri" w:hAnsi="Times New Roman" w:cs="Times New Roman"/>
        </w:rPr>
      </w:pPr>
      <w:r w:rsidRPr="00653E9B">
        <w:rPr>
          <w:rFonts w:ascii="Times New Roman" w:eastAsia="Calibri" w:hAnsi="Times New Roman" w:cs="Times New Roman"/>
        </w:rPr>
        <w:t xml:space="preserve"> </w:t>
      </w:r>
    </w:p>
    <w:p w:rsidR="004948D1" w:rsidRPr="00653E9B" w:rsidP="004948D1" w14:paraId="375EC9E9" w14:textId="77777777">
      <w:pPr>
        <w:keepLines/>
        <w:spacing w:after="0" w:line="240" w:lineRule="auto"/>
        <w:ind w:firstLine="360"/>
        <w:rPr>
          <w:rFonts w:ascii="Times New Roman" w:eastAsia="Calibri" w:hAnsi="Times New Roman" w:cs="Times New Roman"/>
          <w:bCs/>
          <w:color w:val="000000"/>
        </w:rPr>
      </w:pPr>
      <w:r w:rsidRPr="00653E9B">
        <w:rPr>
          <w:rFonts w:ascii="Times New Roman" w:eastAsia="Calibri" w:hAnsi="Times New Roman" w:cs="Times New Roman"/>
          <w:b/>
          <w:bCs/>
          <w:color w:val="000000"/>
        </w:rPr>
        <w:t>Findings</w:t>
      </w:r>
      <w:r w:rsidRPr="00653E9B">
        <w:rPr>
          <w:rFonts w:ascii="Times New Roman" w:eastAsia="Calibri" w:hAnsi="Times New Roman" w:cs="Times New Roman"/>
          <w:bCs/>
          <w:color w:val="000000"/>
        </w:rPr>
        <w:t xml:space="preserve">: </w:t>
      </w:r>
    </w:p>
    <w:p w:rsidR="004948D1" w:rsidRPr="00653E9B" w:rsidP="004948D1" w14:paraId="4A74C058" w14:textId="77777777">
      <w:pPr>
        <w:keepLines/>
        <w:spacing w:after="0" w:line="240" w:lineRule="auto"/>
        <w:ind w:firstLine="360"/>
        <w:rPr>
          <w:rFonts w:ascii="Times New Roman" w:eastAsia="Times New Roman" w:hAnsi="Times New Roman" w:cs="Times New Roman"/>
          <w:b/>
          <w:bCs/>
          <w:color w:val="000000"/>
        </w:rPr>
      </w:pPr>
    </w:p>
    <w:p w:rsidR="004948D1" w:rsidRPr="00653E9B" w:rsidP="004948D1" w14:paraId="7C03BB7E" w14:textId="77777777">
      <w:pPr>
        <w:keepLines/>
        <w:widowControl w:val="0"/>
        <w:numPr>
          <w:ilvl w:val="0"/>
          <w:numId w:val="1"/>
        </w:numPr>
        <w:autoSpaceDE w:val="0"/>
        <w:autoSpaceDN w:val="0"/>
        <w:adjustRightInd w:val="0"/>
        <w:spacing w:after="0" w:line="240" w:lineRule="auto"/>
        <w:ind w:left="360"/>
        <w:rPr>
          <w:rFonts w:ascii="Times New Roman" w:eastAsia="Times New Roman" w:hAnsi="Times New Roman" w:cs="Times New Roman"/>
          <w:b/>
        </w:rPr>
      </w:pPr>
      <w:bookmarkStart w:id="1" w:name="_Toc474391241"/>
      <w:r w:rsidRPr="00653E9B">
        <w:rPr>
          <w:rFonts w:ascii="Times New Roman" w:eastAsia="Times New Roman" w:hAnsi="Times New Roman" w:cs="Times New Roman"/>
          <w:b/>
          <w:bCs/>
        </w:rPr>
        <w:t>Review PSM Guidance in Applicable OSHA Enforcement Memos</w:t>
      </w:r>
      <w:bookmarkEnd w:id="1"/>
      <w:r w:rsidRPr="00653E9B">
        <w:rPr>
          <w:rFonts w:ascii="Times New Roman" w:eastAsia="Times New Roman" w:hAnsi="Times New Roman" w:cs="Times New Roman"/>
        </w:rPr>
        <w:t xml:space="preserve"> </w:t>
      </w:r>
      <w:r w:rsidRPr="00653E9B">
        <w:rPr>
          <w:rFonts w:ascii="Times New Roman" w:eastAsia="Times New Roman" w:hAnsi="Times New Roman" w:cs="Times New Roman"/>
          <w:bCs/>
          <w:color w:val="000000"/>
        </w:rPr>
        <w:t xml:space="preserve">(see: </w:t>
      </w:r>
      <w:hyperlink r:id="rId9" w:history="1">
        <w:r w:rsidRPr="00653E9B">
          <w:rPr>
            <w:rFonts w:ascii="Times New Roman" w:eastAsia="Times New Roman" w:hAnsi="Times New Roman" w:cs="Times New Roman"/>
            <w:bCs/>
            <w:color w:val="0000FF"/>
            <w:u w:val="single"/>
          </w:rPr>
          <w:t>www.osha.gov/enforcement</w:t>
        </w:r>
      </w:hyperlink>
      <w:r w:rsidRPr="00653E9B">
        <w:rPr>
          <w:rFonts w:ascii="Times New Roman" w:eastAsia="Times New Roman" w:hAnsi="Times New Roman" w:cs="Times New Roman"/>
          <w:bCs/>
        </w:rPr>
        <w:t>; select the Enforcement Memos tab</w:t>
      </w:r>
      <w:r w:rsidRPr="00653E9B">
        <w:rPr>
          <w:rFonts w:ascii="Times New Roman" w:eastAsia="Times New Roman" w:hAnsi="Times New Roman" w:cs="Times New Roman"/>
          <w:bCs/>
          <w:color w:val="000000"/>
        </w:rPr>
        <w:t>).</w:t>
      </w:r>
    </w:p>
    <w:p w:rsidR="004948D1" w:rsidRPr="00653E9B" w:rsidP="004948D1" w14:paraId="363CD493" w14:textId="77777777">
      <w:pPr>
        <w:keepLines/>
        <w:widowControl w:val="0"/>
        <w:autoSpaceDE w:val="0"/>
        <w:autoSpaceDN w:val="0"/>
        <w:adjustRightInd w:val="0"/>
        <w:spacing w:after="0" w:line="240" w:lineRule="auto"/>
        <w:ind w:left="360"/>
        <w:rPr>
          <w:rFonts w:ascii="Times New Roman" w:eastAsia="Times New Roman" w:hAnsi="Times New Roman" w:cs="Times New Roman"/>
          <w:b/>
        </w:rPr>
      </w:pPr>
    </w:p>
    <w:p w:rsidR="004948D1" w:rsidRPr="00653E9B" w:rsidP="004948D1" w14:paraId="56B3D25C" w14:textId="77777777">
      <w:pPr>
        <w:keepLines/>
        <w:spacing w:after="0" w:line="240" w:lineRule="auto"/>
        <w:ind w:firstLine="360"/>
        <w:rPr>
          <w:rFonts w:ascii="Times New Roman" w:eastAsia="Times New Roman" w:hAnsi="Times New Roman" w:cs="Times New Roman"/>
          <w:bCs/>
          <w:color w:val="000000"/>
        </w:rPr>
      </w:pPr>
      <w:r w:rsidRPr="00653E9B">
        <w:rPr>
          <w:rFonts w:ascii="Times New Roman" w:eastAsia="Times New Roman" w:hAnsi="Times New Roman" w:cs="Times New Roman"/>
          <w:b/>
          <w:bCs/>
          <w:color w:val="000000"/>
        </w:rPr>
        <w:t>Findings</w:t>
      </w:r>
      <w:r w:rsidRPr="00653E9B">
        <w:rPr>
          <w:rFonts w:ascii="Times New Roman" w:eastAsia="Times New Roman" w:hAnsi="Times New Roman" w:cs="Times New Roman"/>
          <w:bCs/>
          <w:color w:val="000000"/>
        </w:rPr>
        <w:t>:</w:t>
      </w:r>
    </w:p>
    <w:p w:rsidR="004948D1" w:rsidRPr="00653E9B" w:rsidP="004948D1" w14:paraId="4B99EDC9" w14:textId="77777777">
      <w:pPr>
        <w:keepLines/>
        <w:spacing w:after="0" w:line="240" w:lineRule="auto"/>
        <w:ind w:firstLine="360"/>
        <w:rPr>
          <w:rFonts w:ascii="Times New Roman" w:eastAsia="Times New Roman" w:hAnsi="Times New Roman" w:cs="Times New Roman"/>
          <w:bCs/>
          <w:color w:val="000000"/>
        </w:rPr>
      </w:pPr>
    </w:p>
    <w:p w:rsidR="004948D1" w:rsidRPr="00653E9B" w:rsidP="004948D1" w14:paraId="6B44141B" w14:textId="77777777">
      <w:pPr>
        <w:keepLines/>
        <w:widowControl w:val="0"/>
        <w:numPr>
          <w:ilvl w:val="0"/>
          <w:numId w:val="1"/>
        </w:numPr>
        <w:autoSpaceDE w:val="0"/>
        <w:autoSpaceDN w:val="0"/>
        <w:adjustRightInd w:val="0"/>
        <w:spacing w:after="0" w:line="240" w:lineRule="auto"/>
        <w:ind w:left="360"/>
        <w:rPr>
          <w:rFonts w:ascii="Times New Roman" w:eastAsia="Calibri" w:hAnsi="Times New Roman" w:cs="Times New Roman"/>
        </w:rPr>
      </w:pPr>
      <w:bookmarkStart w:id="2" w:name="_Toc474391242"/>
      <w:r w:rsidRPr="00653E9B">
        <w:rPr>
          <w:rFonts w:ascii="Times New Roman" w:eastAsia="Times New Roman" w:hAnsi="Times New Roman" w:cs="Times New Roman"/>
          <w:b/>
          <w:bCs/>
        </w:rPr>
        <w:t>Verify PSM Applicability</w:t>
      </w:r>
      <w:bookmarkEnd w:id="2"/>
      <w:r w:rsidRPr="00653E9B">
        <w:rPr>
          <w:rFonts w:ascii="Times New Roman" w:eastAsia="Times New Roman" w:hAnsi="Times New Roman" w:cs="Times New Roman"/>
          <w:b/>
          <w:bCs/>
          <w:color w:val="000000"/>
        </w:rPr>
        <w:t xml:space="preserve"> – </w:t>
      </w:r>
      <w:r w:rsidRPr="00653E9B">
        <w:rPr>
          <w:rFonts w:ascii="Times New Roman" w:eastAsia="Times New Roman" w:hAnsi="Times New Roman" w:cs="Times New Roman"/>
          <w:bCs/>
          <w:color w:val="000000"/>
        </w:rPr>
        <w:t>Provide details on the scope and applicability of the PSM standard to the establishment.</w:t>
      </w:r>
      <w:bookmarkStart w:id="3" w:name="_Attachment_B:_PSM"/>
      <w:bookmarkStart w:id="4" w:name="_Attachment_B:_PSM_1"/>
      <w:bookmarkStart w:id="5" w:name="_Appendix_C:_PSM"/>
      <w:bookmarkStart w:id="6" w:name="1910.119(h)(3)(ii)"/>
      <w:bookmarkStart w:id="7" w:name="1910.119(h)(3)(iii)"/>
      <w:bookmarkStart w:id="8" w:name="1910.119(h)(3)(iv)"/>
      <w:bookmarkStart w:id="9" w:name="1910.119(h)(3)(v)"/>
      <w:bookmarkEnd w:id="3"/>
      <w:bookmarkEnd w:id="4"/>
      <w:bookmarkEnd w:id="5"/>
      <w:bookmarkEnd w:id="6"/>
      <w:bookmarkEnd w:id="7"/>
      <w:bookmarkEnd w:id="8"/>
      <w:bookmarkEnd w:id="9"/>
    </w:p>
    <w:p w:rsidR="004948D1" w:rsidRPr="00653E9B" w:rsidP="004948D1" w14:paraId="2DC432B7" w14:textId="77777777">
      <w:pPr>
        <w:keepLines/>
        <w:widowControl w:val="0"/>
        <w:tabs>
          <w:tab w:val="left" w:pos="230"/>
          <w:tab w:val="left" w:pos="3600"/>
        </w:tabs>
        <w:autoSpaceDE w:val="0"/>
        <w:autoSpaceDN w:val="0"/>
        <w:adjustRightInd w:val="0"/>
        <w:spacing w:after="0" w:line="240" w:lineRule="auto"/>
        <w:ind w:left="360"/>
        <w:rPr>
          <w:rFonts w:ascii="Times New Roman" w:eastAsia="Calibri" w:hAnsi="Times New Roman" w:cs="Times New Roman"/>
        </w:rPr>
      </w:pPr>
      <w:bookmarkStart w:id="10" w:name="_Attachment_C:_Qualification"/>
      <w:bookmarkStart w:id="11" w:name="_Appendix_D:_Qualification"/>
      <w:bookmarkStart w:id="12" w:name="_Attachment_D:_Guidance"/>
      <w:bookmarkStart w:id="13" w:name="_Appendix_E:_Guidance"/>
      <w:bookmarkStart w:id="14" w:name="_Attachment_E:_On-site"/>
      <w:bookmarkStart w:id="15" w:name="_Appendix_F:_On-site"/>
      <w:bookmarkStart w:id="16" w:name="_Appendix_D:_On-Site"/>
      <w:bookmarkStart w:id="17" w:name="_Attachment_D:_Process"/>
      <w:bookmarkEnd w:id="10"/>
      <w:bookmarkEnd w:id="11"/>
      <w:bookmarkEnd w:id="12"/>
      <w:bookmarkEnd w:id="13"/>
      <w:bookmarkEnd w:id="14"/>
      <w:bookmarkEnd w:id="15"/>
      <w:bookmarkEnd w:id="16"/>
      <w:bookmarkEnd w:id="17"/>
    </w:p>
    <w:p w:rsidR="004948D1" w:rsidRPr="00653E9B" w:rsidP="004948D1" w14:paraId="5ADA6754" w14:textId="77777777">
      <w:pPr>
        <w:keepLines/>
        <w:widowControl w:val="0"/>
        <w:autoSpaceDE w:val="0"/>
        <w:autoSpaceDN w:val="0"/>
        <w:adjustRightInd w:val="0"/>
        <w:spacing w:after="0" w:line="240" w:lineRule="auto"/>
        <w:ind w:left="360"/>
        <w:rPr>
          <w:rFonts w:ascii="Times New Roman" w:eastAsia="Calibri" w:hAnsi="Times New Roman" w:cs="Times New Roman"/>
        </w:rPr>
      </w:pPr>
      <w:r w:rsidRPr="00653E9B">
        <w:rPr>
          <w:rFonts w:ascii="Times New Roman" w:eastAsia="Calibri" w:hAnsi="Times New Roman" w:cs="Times New Roman"/>
          <w:b/>
        </w:rPr>
        <w:t>Findings</w:t>
      </w:r>
      <w:r w:rsidRPr="00653E9B">
        <w:rPr>
          <w:rFonts w:ascii="Times New Roman" w:eastAsia="Calibri" w:hAnsi="Times New Roman" w:cs="Times New Roman"/>
        </w:rPr>
        <w:t xml:space="preserve">: </w:t>
      </w:r>
    </w:p>
    <w:p w:rsidR="004948D1" w:rsidRPr="00653E9B" w:rsidP="004948D1" w14:paraId="07BADAFC" w14:textId="77777777">
      <w:pPr>
        <w:spacing w:after="0" w:line="240" w:lineRule="auto"/>
        <w:jc w:val="center"/>
        <w:rPr>
          <w:rFonts w:ascii="Times New Roman" w:eastAsia="Calibri" w:hAnsi="Times New Roman" w:cs="Times New Roman"/>
        </w:rPr>
      </w:pPr>
    </w:p>
    <w:p w:rsidR="004948D1" w:rsidRPr="00653E9B" w:rsidP="004948D1" w14:paraId="266FA461" w14:textId="77777777">
      <w:pPr>
        <w:spacing w:after="0" w:line="240" w:lineRule="auto"/>
        <w:jc w:val="center"/>
        <w:rPr>
          <w:rFonts w:ascii="Times New Roman" w:eastAsia="Calibri" w:hAnsi="Times New Roman" w:cs="Times New Roman"/>
        </w:rPr>
      </w:pPr>
    </w:p>
    <w:p w:rsidR="004948D1" w:rsidRPr="00653E9B" w:rsidP="004948D1" w14:paraId="2401E4DF" w14:textId="77777777">
      <w:pPr>
        <w:spacing w:after="0" w:line="240" w:lineRule="auto"/>
        <w:jc w:val="center"/>
        <w:rPr>
          <w:rFonts w:ascii="Times New Roman" w:eastAsia="Calibri" w:hAnsi="Times New Roman" w:cs="Times New Roman"/>
        </w:rPr>
      </w:pPr>
    </w:p>
    <w:p w:rsidR="004948D1" w:rsidRPr="00653E9B" w:rsidP="004948D1" w14:paraId="77B60B5C" w14:textId="77777777">
      <w:pPr>
        <w:spacing w:after="0" w:line="240" w:lineRule="auto"/>
        <w:jc w:val="center"/>
        <w:rPr>
          <w:rFonts w:ascii="Times New Roman" w:eastAsia="Calibri" w:hAnsi="Times New Roman" w:cs="Times New Roman"/>
        </w:rPr>
      </w:pPr>
    </w:p>
    <w:p w:rsidR="004948D1" w:rsidRPr="00653E9B" w:rsidP="004948D1" w14:paraId="1DDECC26" w14:textId="77777777">
      <w:pPr>
        <w:spacing w:after="0" w:line="240" w:lineRule="auto"/>
        <w:jc w:val="center"/>
        <w:rPr>
          <w:rFonts w:ascii="Times New Roman" w:eastAsia="Calibri" w:hAnsi="Times New Roman" w:cs="Times New Roman"/>
        </w:rPr>
      </w:pPr>
    </w:p>
    <w:p w:rsidR="004948D1" w:rsidRPr="00653E9B" w:rsidP="004948D1" w14:paraId="074A8DDF" w14:textId="77777777">
      <w:pPr>
        <w:spacing w:after="0" w:line="240" w:lineRule="auto"/>
        <w:jc w:val="center"/>
        <w:rPr>
          <w:rFonts w:ascii="Times New Roman" w:eastAsia="Calibri" w:hAnsi="Times New Roman" w:cs="Times New Roman"/>
        </w:rPr>
      </w:pPr>
    </w:p>
    <w:p w:rsidR="004948D1" w:rsidRPr="00653E9B" w:rsidP="004948D1" w14:paraId="5231631A" w14:textId="77777777">
      <w:pPr>
        <w:spacing w:after="0" w:line="240" w:lineRule="auto"/>
        <w:jc w:val="center"/>
        <w:rPr>
          <w:rFonts w:ascii="Times New Roman" w:eastAsia="Calibri" w:hAnsi="Times New Roman" w:cs="Times New Roman"/>
        </w:rPr>
      </w:pPr>
    </w:p>
    <w:p w:rsidR="004948D1" w:rsidRPr="00653E9B" w:rsidP="004948D1" w14:paraId="4BB3B409" w14:textId="77777777">
      <w:pPr>
        <w:spacing w:after="0" w:line="240" w:lineRule="auto"/>
        <w:jc w:val="center"/>
        <w:rPr>
          <w:rFonts w:ascii="Times New Roman" w:eastAsia="Calibri" w:hAnsi="Times New Roman" w:cs="Times New Roman"/>
        </w:rPr>
      </w:pPr>
    </w:p>
    <w:p w:rsidR="004948D1" w:rsidRPr="00653E9B" w:rsidP="004948D1" w14:paraId="480EA412" w14:textId="77777777">
      <w:pPr>
        <w:spacing w:after="0" w:line="240" w:lineRule="auto"/>
        <w:jc w:val="center"/>
        <w:rPr>
          <w:rFonts w:ascii="Times New Roman" w:eastAsia="Calibri" w:hAnsi="Times New Roman" w:cs="Times New Roman"/>
        </w:rPr>
      </w:pPr>
    </w:p>
    <w:p w:rsidR="004948D1" w:rsidRPr="00653E9B" w:rsidP="004948D1" w14:paraId="74B92878" w14:textId="77777777">
      <w:pPr>
        <w:spacing w:after="0" w:line="240" w:lineRule="auto"/>
        <w:jc w:val="center"/>
        <w:rPr>
          <w:rFonts w:ascii="Times New Roman" w:eastAsia="Calibri" w:hAnsi="Times New Roman" w:cs="Times New Roman"/>
        </w:rPr>
      </w:pPr>
    </w:p>
    <w:p w:rsidR="004948D1" w:rsidRPr="00653E9B" w:rsidP="004948D1" w14:paraId="7E526CF1" w14:textId="77777777">
      <w:pPr>
        <w:spacing w:after="0" w:line="240" w:lineRule="auto"/>
        <w:jc w:val="center"/>
        <w:rPr>
          <w:rFonts w:ascii="Times New Roman" w:eastAsia="Calibri" w:hAnsi="Times New Roman" w:cs="Times New Roman"/>
        </w:rPr>
      </w:pPr>
    </w:p>
    <w:p w:rsidR="004948D1" w:rsidRPr="00653E9B" w:rsidP="004948D1" w14:paraId="3B2A4260" w14:textId="77777777">
      <w:pPr>
        <w:spacing w:after="0" w:line="240" w:lineRule="auto"/>
        <w:jc w:val="center"/>
        <w:rPr>
          <w:rFonts w:ascii="Times New Roman" w:eastAsia="Calibri" w:hAnsi="Times New Roman" w:cs="Times New Roman"/>
        </w:rPr>
      </w:pPr>
    </w:p>
    <w:p w:rsidR="004948D1" w:rsidRPr="00653E9B" w:rsidP="004948D1" w14:paraId="5F413B35" w14:textId="77777777">
      <w:pPr>
        <w:spacing w:after="0" w:line="240" w:lineRule="auto"/>
        <w:jc w:val="center"/>
        <w:rPr>
          <w:rFonts w:ascii="Times New Roman" w:eastAsia="Calibri" w:hAnsi="Times New Roman" w:cs="Times New Roman"/>
        </w:rPr>
      </w:pPr>
    </w:p>
    <w:p w:rsidR="004948D1" w:rsidP="004948D1" w14:paraId="64895464" w14:textId="77777777"/>
    <w:p w:rsidR="003B69C7" w14:paraId="4BE34F6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48D1" w:rsidP="004948D1" w14:paraId="4104C2E7" w14:textId="77777777">
      <w:pPr>
        <w:spacing w:after="0" w:line="240" w:lineRule="auto"/>
      </w:pPr>
      <w:r>
        <w:separator/>
      </w:r>
    </w:p>
  </w:footnote>
  <w:footnote w:type="continuationSeparator" w:id="1">
    <w:p w:rsidR="004948D1" w:rsidP="004948D1" w14:paraId="75733AFC" w14:textId="77777777">
      <w:pPr>
        <w:spacing w:after="0" w:line="240" w:lineRule="auto"/>
      </w:pPr>
      <w:r>
        <w:continuationSeparator/>
      </w:r>
    </w:p>
  </w:footnote>
  <w:footnote w:id="2">
    <w:p w:rsidR="004948D1" w:rsidRPr="00732FB7" w:rsidP="004948D1" w14:paraId="03776F00" w14:textId="77777777">
      <w:pPr>
        <w:spacing w:after="0" w:line="240" w:lineRule="auto"/>
        <w:rPr>
          <w:rFonts w:ascii="Times New Roman" w:eastAsia="Times New Roman" w:hAnsi="Times New Roman" w:cs="Times New Roman"/>
          <w:b/>
        </w:rPr>
      </w:pPr>
      <w:r w:rsidRPr="00732FB7">
        <w:rPr>
          <w:rStyle w:val="FootnoteReference"/>
          <w:rFonts w:ascii="Times New Roman" w:hAnsi="Times New Roman" w:cs="Times New Roman"/>
        </w:rPr>
        <w:footnoteRef/>
      </w:r>
      <w:r w:rsidRPr="00732FB7">
        <w:rPr>
          <w:rFonts w:ascii="Times New Roman" w:hAnsi="Times New Roman" w:cs="Times New Roman"/>
        </w:rPr>
        <w:t xml:space="preserve"> </w:t>
      </w:r>
      <w:r w:rsidRPr="00732FB7">
        <w:rPr>
          <w:rFonts w:ascii="Times New Roman" w:eastAsia="Times New Roman" w:hAnsi="Times New Roman" w:cs="Times New Roman"/>
        </w:rPr>
        <w:t xml:space="preserve">Chemicals listed in 29 CFR 1910.119, Appendix </w:t>
      </w:r>
      <w:r>
        <w:rPr>
          <w:rFonts w:ascii="Times New Roman" w:eastAsia="Times New Roman" w:hAnsi="Times New Roman" w:cs="Times New Roman"/>
        </w:rPr>
        <w:t>A</w:t>
      </w:r>
      <w:r w:rsidRPr="00732FB7">
        <w:rPr>
          <w:rFonts w:ascii="Times New Roman" w:eastAsia="Times New Roman" w:hAnsi="Times New Roman" w:cs="Times New Roman"/>
        </w:rPr>
        <w:t>, at or above the threshold quantity set by OSHA; or a flammable liquid or gas in a quantity of 10,000 pounds or more; or used in the manufacture of explosives or pyrotechnics as defined in 29 CFR 1910.109.</w:t>
      </w:r>
    </w:p>
    <w:p w:rsidR="004948D1" w:rsidP="004948D1" w14:paraId="17EA1158"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F1422"/>
    <w:multiLevelType w:val="hybridMultilevel"/>
    <w:tmpl w:val="B6CC3B88"/>
    <w:lvl w:ilvl="0">
      <w:start w:val="1"/>
      <w:numFmt w:val="decimal"/>
      <w:lvlText w:val="(%1)"/>
      <w:lvlJc w:val="left"/>
      <w:pPr>
        <w:ind w:left="1260" w:hanging="360"/>
      </w:pPr>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1C553D3"/>
    <w:multiLevelType w:val="hybridMultilevel"/>
    <w:tmpl w:val="E9BEB6B0"/>
    <w:lvl w:ilvl="0">
      <w:start w:val="1"/>
      <w:numFmt w:val="bullet"/>
      <w:lvlText w:val="o"/>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009155">
    <w:abstractNumId w:val="0"/>
  </w:num>
  <w:num w:numId="2" w16cid:durableId="26142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D1"/>
    <w:rsid w:val="003B69C7"/>
    <w:rsid w:val="004948D1"/>
    <w:rsid w:val="00653E9B"/>
    <w:rsid w:val="006E02B1"/>
    <w:rsid w:val="00732FB7"/>
    <w:rsid w:val="007909F4"/>
    <w:rsid w:val="007B1398"/>
    <w:rsid w:val="008C1A5A"/>
    <w:rsid w:val="009E6573"/>
    <w:rsid w:val="00B85F0C"/>
    <w:rsid w:val="00BF36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3BEA8E"/>
  <w15:chartTrackingRefBased/>
  <w15:docId w15:val="{EE989EBC-9A3B-4DE4-852A-36E757A2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4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8D1"/>
    <w:rPr>
      <w:sz w:val="20"/>
      <w:szCs w:val="20"/>
    </w:rPr>
  </w:style>
  <w:style w:type="character" w:styleId="FootnoteReference">
    <w:name w:val="footnote reference"/>
    <w:basedOn w:val="DefaultParagraphFont"/>
    <w:uiPriority w:val="99"/>
    <w:semiHidden/>
    <w:unhideWhenUsed/>
    <w:rsid w:val="00494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osha.gov/pls/oshaweb/owadisp.show_document?p_table=INTERPRETATIONS&amp;p_id=25058" TargetMode="External" /><Relationship Id="rId6" Type="http://schemas.openxmlformats.org/officeDocument/2006/relationships/hyperlink" Target="https://www.osha.gov/pls/oshaweb/owadisp.show_document?p_table=INTERPRETATIONS&amp;p_id=21406" TargetMode="External" /><Relationship Id="rId7" Type="http://schemas.openxmlformats.org/officeDocument/2006/relationships/hyperlink" Target="https://www.osha.gov/pls/oshaweb/owadisp.show_document?p_table=INTERPRETATIONS&amp;p_id=24501" TargetMode="External" /><Relationship Id="rId8" Type="http://schemas.openxmlformats.org/officeDocument/2006/relationships/hyperlink" Target="https://www.osha.gov/laws-regs/standardinterpretations/2003-03-14" TargetMode="External" /><Relationship Id="rId9" Type="http://schemas.openxmlformats.org/officeDocument/2006/relationships/hyperlink" Target="http://www.osha.gov/enforce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3724</Characters>
  <Application>Microsoft Office Word</Application>
  <DocSecurity>0</DocSecurity>
  <Lines>31</Lines>
  <Paragraphs>8</Paragraphs>
  <ScaleCrop>false</ScaleCrop>
  <Company>U.S. Department of Labor</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Farquah, Opeyemi - OSHA</cp:lastModifiedBy>
  <cp:revision>1</cp:revision>
  <dcterms:created xsi:type="dcterms:W3CDTF">2023-04-26T14:47:00Z</dcterms:created>
  <dcterms:modified xsi:type="dcterms:W3CDTF">2023-04-26T15:00:00Z</dcterms:modified>
</cp:coreProperties>
</file>