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A00" w:rsidP="001D42AC" w14:paraId="041AC8FD" w14:textId="23C727A0">
      <w:pPr>
        <w:tabs>
          <w:tab w:val="center" w:pos="4680"/>
        </w:tabs>
        <w:jc w:val="center"/>
        <w:rPr>
          <w:rFonts w:ascii="Times New Roman" w:hAnsi="Times New Roman"/>
          <w:b/>
          <w:bCs/>
        </w:rPr>
      </w:pPr>
      <w:r w:rsidRPr="003F5BDC">
        <w:rPr>
          <w:rFonts w:ascii="Times New Roman" w:hAnsi="Times New Roman"/>
          <w:b/>
          <w:bCs/>
        </w:rPr>
        <w:t>SUPPORTING STATEMENT</w:t>
      </w:r>
    </w:p>
    <w:p w:rsidR="00076593" w:rsidRPr="003F5BDC" w:rsidP="001D42AC" w14:paraId="2A47F081" w14:textId="586FA7CA">
      <w:pPr>
        <w:tabs>
          <w:tab w:val="center" w:pos="4680"/>
        </w:tabs>
        <w:jc w:val="center"/>
        <w:rPr>
          <w:rFonts w:ascii="Times New Roman" w:hAnsi="Times New Roman"/>
          <w:b/>
          <w:bCs/>
        </w:rPr>
      </w:pPr>
      <w:r>
        <w:rPr>
          <w:rFonts w:ascii="Times New Roman" w:hAnsi="Times New Roman"/>
          <w:b/>
          <w:bCs/>
        </w:rPr>
        <w:t>Internal Revenue Service (IRS)</w:t>
      </w:r>
    </w:p>
    <w:p w:rsidR="002F2D13" w:rsidP="002F2D13" w14:paraId="02A61F1B" w14:textId="45F1910B">
      <w:pPr>
        <w:tabs>
          <w:tab w:val="center" w:pos="4680"/>
        </w:tabs>
        <w:jc w:val="center"/>
        <w:rPr>
          <w:rFonts w:ascii="Times New Roman" w:hAnsi="Times New Roman"/>
          <w:b/>
          <w:bCs/>
        </w:rPr>
      </w:pPr>
      <w:r w:rsidRPr="0069068E">
        <w:rPr>
          <w:rFonts w:ascii="Times New Roman" w:hAnsi="Times New Roman"/>
          <w:b/>
          <w:bCs/>
        </w:rPr>
        <w:t xml:space="preserve">Form </w:t>
      </w:r>
      <w:r w:rsidR="00161CE2">
        <w:rPr>
          <w:rFonts w:ascii="Times New Roman" w:hAnsi="Times New Roman"/>
          <w:b/>
          <w:bCs/>
        </w:rPr>
        <w:t>8936</w:t>
      </w:r>
      <w:r>
        <w:rPr>
          <w:rFonts w:ascii="Times New Roman" w:hAnsi="Times New Roman"/>
          <w:b/>
          <w:bCs/>
        </w:rPr>
        <w:t>,</w:t>
      </w:r>
      <w:r w:rsidR="00161CE2">
        <w:rPr>
          <w:rFonts w:ascii="Times New Roman" w:hAnsi="Times New Roman"/>
          <w:b/>
          <w:bCs/>
        </w:rPr>
        <w:t xml:space="preserve"> </w:t>
      </w:r>
      <w:r w:rsidR="008A56F5">
        <w:rPr>
          <w:rFonts w:ascii="Times New Roman" w:hAnsi="Times New Roman"/>
          <w:b/>
          <w:bCs/>
        </w:rPr>
        <w:t xml:space="preserve">Clean Vehicle </w:t>
      </w:r>
      <w:r w:rsidRPr="00161CE2">
        <w:rPr>
          <w:rFonts w:ascii="Times New Roman" w:hAnsi="Times New Roman"/>
          <w:b/>
          <w:bCs/>
        </w:rPr>
        <w:t>Credit</w:t>
      </w:r>
      <w:r w:rsidR="008A56F5">
        <w:rPr>
          <w:rFonts w:ascii="Times New Roman" w:hAnsi="Times New Roman"/>
          <w:b/>
          <w:bCs/>
        </w:rPr>
        <w:t>s</w:t>
      </w:r>
    </w:p>
    <w:p w:rsidR="0015572D" w:rsidRPr="002F2D13" w:rsidP="00526958" w14:paraId="6550BE14" w14:textId="77777777">
      <w:pPr>
        <w:tabs>
          <w:tab w:val="center" w:pos="4680"/>
        </w:tabs>
        <w:jc w:val="center"/>
        <w:rPr>
          <w:rFonts w:ascii="Times New Roman" w:hAnsi="Times New Roman"/>
          <w:b/>
          <w:bCs/>
        </w:rPr>
      </w:pPr>
      <w:r w:rsidRPr="002F2D13">
        <w:rPr>
          <w:rFonts w:ascii="Times New Roman" w:hAnsi="Times New Roman"/>
          <w:b/>
          <w:bCs/>
        </w:rPr>
        <w:t>OMB #</w:t>
      </w:r>
      <w:r w:rsidRPr="002F2D13">
        <w:rPr>
          <w:rFonts w:ascii="Times New Roman" w:hAnsi="Times New Roman"/>
          <w:b/>
          <w:bCs/>
        </w:rPr>
        <w:t xml:space="preserve"> </w:t>
      </w:r>
      <w:r w:rsidRPr="002F2D13" w:rsidR="00161CE2">
        <w:rPr>
          <w:rFonts w:ascii="Times New Roman" w:hAnsi="Times New Roman"/>
          <w:b/>
          <w:bCs/>
        </w:rPr>
        <w:t>1545-2137</w:t>
      </w:r>
    </w:p>
    <w:p w:rsidR="003F5BDC" w:rsidRPr="0015572D" w:rsidP="001D42AC" w14:paraId="54813BD0" w14:textId="77777777">
      <w:pPr>
        <w:tabs>
          <w:tab w:val="center" w:pos="4680"/>
        </w:tabs>
        <w:jc w:val="center"/>
        <w:rPr>
          <w:rFonts w:ascii="Times New Roman" w:hAnsi="Times New Roman"/>
          <w:b/>
          <w:bCs/>
        </w:rPr>
      </w:pPr>
    </w:p>
    <w:p w:rsidR="000B1A00" w:rsidRPr="0015572D" w:rsidP="0015572D" w14:paraId="3720C48C"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CIRCUMSTANCES NECESSITATING COLLECTION OF INFORMATION</w:t>
      </w:r>
    </w:p>
    <w:p w:rsidR="000B1A00" w:rsidRPr="0015572D" w:rsidP="0015572D" w14:paraId="7F210074" w14:textId="77777777">
      <w:pPr>
        <w:tabs>
          <w:tab w:val="num" w:pos="540"/>
        </w:tabs>
        <w:ind w:left="540" w:hanging="540"/>
        <w:rPr>
          <w:rFonts w:ascii="Times New Roman" w:hAnsi="Times New Roman"/>
        </w:rPr>
      </w:pPr>
    </w:p>
    <w:p w:rsidR="00FC08C8" w:rsidP="00161CE2" w14:paraId="18B34130" w14:textId="278F32C9">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 xml:space="preserve">The </w:t>
      </w:r>
      <w:r w:rsidRPr="00A50BA4" w:rsidR="00161CE2">
        <w:rPr>
          <w:rFonts w:ascii="Times New Roman" w:hAnsi="Times New Roman"/>
        </w:rPr>
        <w:t xml:space="preserve">Energy Improvement and Extension Act of 2008 </w:t>
      </w:r>
      <w:r w:rsidRPr="00CC30BE" w:rsidR="00161CE2">
        <w:rPr>
          <w:rFonts w:ascii="Times New Roman" w:hAnsi="Times New Roman"/>
        </w:rPr>
        <w:t>added</w:t>
      </w:r>
      <w:r w:rsidRPr="00A50BA4" w:rsidR="00161CE2">
        <w:rPr>
          <w:rFonts w:ascii="Times New Roman" w:hAnsi="Times New Roman"/>
        </w:rPr>
        <w:t xml:space="preserve"> § 30D of the Internal Revenue Code </w:t>
      </w:r>
      <w:r w:rsidRPr="00A50BA4" w:rsidR="004C73D8">
        <w:rPr>
          <w:rFonts w:ascii="Times New Roman" w:hAnsi="Times New Roman"/>
        </w:rPr>
        <w:t xml:space="preserve">(IRC) </w:t>
      </w:r>
      <w:r w:rsidRPr="00A50BA4" w:rsidR="00161CE2">
        <w:rPr>
          <w:rFonts w:ascii="Times New Roman" w:hAnsi="Times New Roman"/>
        </w:rPr>
        <w:t xml:space="preserve">to authorize a credit for new qualified plug-in electric drive motor vehicles.  </w:t>
      </w:r>
      <w:r w:rsidRPr="00897ADC" w:rsidR="00A50BA4">
        <w:rPr>
          <w:rFonts w:ascii="Times New Roman" w:hAnsi="Times New Roman"/>
        </w:rPr>
        <w:t xml:space="preserve">Section 30D has been amended several times since its enactment, most recently by </w:t>
      </w:r>
      <w:bookmarkStart w:id="0" w:name="_Hlk112407385"/>
      <w:r w:rsidRPr="00897ADC" w:rsidR="00A50BA4">
        <w:rPr>
          <w:rFonts w:ascii="Times New Roman" w:hAnsi="Times New Roman"/>
        </w:rPr>
        <w:t>§ 13401 of Public Law 117-169, 136 Stat. 1818 (August 16, 2022), commonly known as the Inflation Reduction Act of 2022</w:t>
      </w:r>
      <w:bookmarkEnd w:id="0"/>
      <w:r w:rsidRPr="00897ADC" w:rsidR="00A50BA4">
        <w:rPr>
          <w:rFonts w:ascii="Times New Roman" w:hAnsi="Times New Roman"/>
        </w:rPr>
        <w:t xml:space="preserve"> (</w:t>
      </w:r>
      <w:r w:rsidRPr="00897ADC" w:rsidR="00A50BA4">
        <w:rPr>
          <w:rFonts w:ascii="Times New Roman" w:hAnsi="Times New Roman"/>
          <w:lang w:val="en"/>
        </w:rPr>
        <w:t>IRA)</w:t>
      </w:r>
      <w:r w:rsidRPr="00A50BA4" w:rsidR="00A50BA4">
        <w:rPr>
          <w:rFonts w:ascii="Times New Roman" w:hAnsi="Times New Roman"/>
          <w:lang w:val="en"/>
        </w:rPr>
        <w:t xml:space="preserve"> and </w:t>
      </w:r>
      <w:r w:rsidR="00C060E5">
        <w:rPr>
          <w:rFonts w:ascii="Times New Roman" w:hAnsi="Times New Roman"/>
          <w:lang w:val="en"/>
        </w:rPr>
        <w:t>provides a credit for</w:t>
      </w:r>
      <w:r w:rsidRPr="00A50BA4" w:rsidR="00A50BA4">
        <w:rPr>
          <w:rFonts w:ascii="Times New Roman" w:hAnsi="Times New Roman"/>
          <w:lang w:val="en"/>
        </w:rPr>
        <w:t xml:space="preserve"> clean new vehicles</w:t>
      </w:r>
      <w:r w:rsidRPr="00897ADC" w:rsidR="00A50BA4">
        <w:rPr>
          <w:rFonts w:ascii="Times New Roman" w:hAnsi="Times New Roman"/>
        </w:rPr>
        <w:t>.</w:t>
      </w:r>
      <w:r w:rsidRPr="00A50BA4" w:rsidR="00A50BA4">
        <w:rPr>
          <w:rFonts w:ascii="Times New Roman" w:hAnsi="Times New Roman"/>
        </w:rPr>
        <w:t xml:space="preserve">  </w:t>
      </w:r>
      <w:r w:rsidRPr="00897ADC" w:rsidR="00A50BA4">
        <w:rPr>
          <w:rFonts w:ascii="Times New Roman" w:hAnsi="Times New Roman"/>
        </w:rPr>
        <w:t xml:space="preserve">Section 13402 of the IRA added § 25E to the Code and provides a credit for </w:t>
      </w:r>
      <w:r w:rsidRPr="00897ADC" w:rsidR="00790847">
        <w:rPr>
          <w:rFonts w:ascii="Times New Roman" w:hAnsi="Times New Roman"/>
        </w:rPr>
        <w:t>previously owned</w:t>
      </w:r>
      <w:r w:rsidRPr="00897ADC" w:rsidR="00A50BA4">
        <w:rPr>
          <w:rFonts w:ascii="Times New Roman" w:hAnsi="Times New Roman"/>
        </w:rPr>
        <w:t xml:space="preserve"> clean vehicles.  Section 13403(a) of the IRA added new § 45W to the </w:t>
      </w:r>
      <w:r w:rsidRPr="00897ADC" w:rsidR="00790847">
        <w:rPr>
          <w:rFonts w:ascii="Times New Roman" w:hAnsi="Times New Roman"/>
        </w:rPr>
        <w:t>Code and</w:t>
      </w:r>
      <w:r w:rsidRPr="00897ADC" w:rsidR="00A50BA4">
        <w:rPr>
          <w:rFonts w:ascii="Times New Roman" w:hAnsi="Times New Roman"/>
        </w:rPr>
        <w:t xml:space="preserve"> provides a credit for qualified commercial clean vehicles. </w:t>
      </w:r>
      <w:r w:rsidRPr="00A50BA4" w:rsidR="00A50BA4">
        <w:rPr>
          <w:rFonts w:ascii="Times New Roman" w:hAnsi="Times New Roman"/>
        </w:rPr>
        <w:t xml:space="preserve">  </w:t>
      </w:r>
      <w:r w:rsidRPr="00C060E5" w:rsidR="00161CE2">
        <w:rPr>
          <w:rFonts w:ascii="Times New Roman" w:hAnsi="Times New Roman"/>
        </w:rPr>
        <w:t>This</w:t>
      </w:r>
      <w:r w:rsidRPr="00A50BA4" w:rsidR="00161CE2">
        <w:rPr>
          <w:rFonts w:ascii="Times New Roman" w:hAnsi="Times New Roman"/>
        </w:rPr>
        <w:t xml:space="preserve"> </w:t>
      </w:r>
      <w:r w:rsidRPr="00A50BA4" w:rsidR="005F6AB2">
        <w:rPr>
          <w:rFonts w:ascii="Times New Roman" w:hAnsi="Times New Roman"/>
        </w:rPr>
        <w:t>revenue procedure</w:t>
      </w:r>
      <w:r w:rsidRPr="00A50BA4" w:rsidR="00161CE2">
        <w:rPr>
          <w:rFonts w:ascii="Times New Roman" w:hAnsi="Times New Roman"/>
        </w:rPr>
        <w:t xml:space="preserve"> provides procedures for a vehicle manufacturer to certify that </w:t>
      </w:r>
      <w:r w:rsidR="00C6597B">
        <w:rPr>
          <w:rFonts w:ascii="Times New Roman" w:hAnsi="Times New Roman"/>
        </w:rPr>
        <w:t xml:space="preserve">they are a qualified manufacturer of such </w:t>
      </w:r>
      <w:r w:rsidR="00790847">
        <w:rPr>
          <w:rFonts w:ascii="Times New Roman" w:hAnsi="Times New Roman"/>
        </w:rPr>
        <w:t>vehicles and</w:t>
      </w:r>
      <w:r w:rsidR="00C6597B">
        <w:rPr>
          <w:rFonts w:ascii="Times New Roman" w:hAnsi="Times New Roman"/>
        </w:rPr>
        <w:t xml:space="preserve"> submit reports that </w:t>
      </w:r>
      <w:r w:rsidRPr="00C6597B" w:rsidR="00161CE2">
        <w:rPr>
          <w:rFonts w:ascii="Times New Roman" w:hAnsi="Times New Roman"/>
        </w:rPr>
        <w:t xml:space="preserve">a motor vehicle meets certain requirements for the </w:t>
      </w:r>
      <w:r w:rsidR="00AD0649">
        <w:rPr>
          <w:rFonts w:ascii="Times New Roman" w:hAnsi="Times New Roman"/>
        </w:rPr>
        <w:t>clean</w:t>
      </w:r>
      <w:r w:rsidRPr="00161CE2" w:rsidR="00161CE2">
        <w:rPr>
          <w:rFonts w:ascii="Times New Roman" w:hAnsi="Times New Roman"/>
        </w:rPr>
        <w:t xml:space="preserve"> vehicle credit</w:t>
      </w:r>
      <w:r w:rsidR="00C6597B">
        <w:rPr>
          <w:rFonts w:ascii="Times New Roman" w:hAnsi="Times New Roman"/>
        </w:rPr>
        <w:t>(</w:t>
      </w:r>
      <w:r w:rsidR="00AD0649">
        <w:rPr>
          <w:rFonts w:ascii="Times New Roman" w:hAnsi="Times New Roman"/>
        </w:rPr>
        <w:t>s</w:t>
      </w:r>
      <w:r w:rsidR="00C6597B">
        <w:rPr>
          <w:rFonts w:ascii="Times New Roman" w:hAnsi="Times New Roman"/>
        </w:rPr>
        <w:t>)</w:t>
      </w:r>
      <w:r w:rsidR="00AD0649">
        <w:rPr>
          <w:rFonts w:ascii="Times New Roman" w:hAnsi="Times New Roman"/>
        </w:rPr>
        <w:t xml:space="preserve"> available under sections 30D, 45W, and</w:t>
      </w:r>
      <w:r w:rsidR="00C6597B">
        <w:rPr>
          <w:rFonts w:ascii="Times New Roman" w:hAnsi="Times New Roman"/>
        </w:rPr>
        <w:t>/or</w:t>
      </w:r>
      <w:r w:rsidR="00AD0649">
        <w:rPr>
          <w:rFonts w:ascii="Times New Roman" w:hAnsi="Times New Roman"/>
        </w:rPr>
        <w:t xml:space="preserve"> 25E</w:t>
      </w:r>
      <w:r w:rsidRPr="00161CE2" w:rsidR="00161CE2">
        <w:rPr>
          <w:rFonts w:ascii="Times New Roman" w:hAnsi="Times New Roman"/>
        </w:rPr>
        <w:t xml:space="preserve">, to </w:t>
      </w:r>
      <w:r w:rsidR="00AD0649">
        <w:rPr>
          <w:rFonts w:ascii="Times New Roman" w:hAnsi="Times New Roman"/>
        </w:rPr>
        <w:t>report</w:t>
      </w:r>
      <w:r w:rsidRPr="00161CE2" w:rsidR="00161CE2">
        <w:rPr>
          <w:rFonts w:ascii="Times New Roman" w:hAnsi="Times New Roman"/>
        </w:rPr>
        <w:t xml:space="preserve"> the amount of the credit available with respect to the motor vehicle</w:t>
      </w:r>
      <w:r w:rsidR="00C6597B">
        <w:rPr>
          <w:rFonts w:ascii="Times New Roman" w:hAnsi="Times New Roman"/>
        </w:rPr>
        <w:t>, and for sellers to report the sales of such vehicles</w:t>
      </w:r>
      <w:r w:rsidRPr="00161CE2" w:rsidR="00161CE2">
        <w:rPr>
          <w:rFonts w:ascii="Times New Roman" w:hAnsi="Times New Roman"/>
        </w:rPr>
        <w:t xml:space="preserve">. </w:t>
      </w:r>
    </w:p>
    <w:p w:rsidR="00161CE2" w:rsidRPr="00161CE2" w:rsidP="00161CE2" w14:paraId="301B5AED" w14:textId="393B975B">
      <w:pPr>
        <w:tabs>
          <w:tab w:val="num" w:pos="540"/>
        </w:tabs>
        <w:ind w:left="540" w:hanging="540"/>
        <w:rPr>
          <w:rFonts w:ascii="Times New Roman" w:hAnsi="Times New Roman"/>
        </w:rPr>
      </w:pPr>
      <w:r>
        <w:rPr>
          <w:rFonts w:ascii="Times New Roman" w:hAnsi="Times New Roman"/>
        </w:rPr>
        <w:tab/>
      </w:r>
      <w:r w:rsidR="005F6AB2">
        <w:rPr>
          <w:rFonts w:ascii="Times New Roman" w:hAnsi="Times New Roman"/>
        </w:rPr>
        <w:t>Revenue Procedure 20</w:t>
      </w:r>
      <w:r w:rsidR="00377415">
        <w:rPr>
          <w:rFonts w:ascii="Times New Roman" w:hAnsi="Times New Roman"/>
        </w:rPr>
        <w:t>2</w:t>
      </w:r>
      <w:r w:rsidR="005F6AB2">
        <w:rPr>
          <w:rFonts w:ascii="Times New Roman" w:hAnsi="Times New Roman"/>
        </w:rPr>
        <w:t>2-</w:t>
      </w:r>
      <w:r w:rsidR="00D52439">
        <w:rPr>
          <w:rFonts w:ascii="Times New Roman" w:hAnsi="Times New Roman"/>
        </w:rPr>
        <w:t>42</w:t>
      </w:r>
      <w:r w:rsidRPr="00161CE2">
        <w:rPr>
          <w:rFonts w:ascii="Times New Roman" w:hAnsi="Times New Roman"/>
        </w:rPr>
        <w:t xml:space="preserve"> also provides guidance to taxpayers who purchase motor vehicles regarding the conditions under which they may rely on the vehicle manufacturer’s certification.</w:t>
      </w:r>
    </w:p>
    <w:p w:rsidR="00161CE2" w:rsidRPr="00161CE2" w:rsidP="00161CE2" w14:paraId="247C0872" w14:textId="77777777">
      <w:pPr>
        <w:tabs>
          <w:tab w:val="num" w:pos="540"/>
        </w:tabs>
        <w:ind w:left="540" w:hanging="540"/>
        <w:rPr>
          <w:rFonts w:ascii="Times New Roman" w:hAnsi="Times New Roman"/>
        </w:rPr>
      </w:pPr>
    </w:p>
    <w:p w:rsidR="00161CE2" w:rsidRPr="00161CE2" w:rsidP="00161CE2" w14:paraId="455CC8CB" w14:textId="232F912A">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 xml:space="preserve">Under the procedures prescribed in </w:t>
      </w:r>
      <w:r w:rsidRPr="00161CE2" w:rsidR="00FE3627">
        <w:rPr>
          <w:rFonts w:ascii="Times New Roman" w:hAnsi="Times New Roman"/>
        </w:rPr>
        <w:t>th</w:t>
      </w:r>
      <w:r w:rsidR="00FE3627">
        <w:rPr>
          <w:rFonts w:ascii="Times New Roman" w:hAnsi="Times New Roman"/>
        </w:rPr>
        <w:t xml:space="preserve">is </w:t>
      </w:r>
      <w:r w:rsidR="005F6AB2">
        <w:rPr>
          <w:rFonts w:ascii="Times New Roman" w:hAnsi="Times New Roman"/>
        </w:rPr>
        <w:t>revenue procedure</w:t>
      </w:r>
      <w:r w:rsidRPr="00161CE2">
        <w:rPr>
          <w:rFonts w:ascii="Times New Roman" w:hAnsi="Times New Roman"/>
        </w:rPr>
        <w:t xml:space="preserve">, a manufacturer submits to the </w:t>
      </w:r>
      <w:r w:rsidR="00FB7B02">
        <w:rPr>
          <w:rFonts w:ascii="Times New Roman" w:hAnsi="Times New Roman"/>
        </w:rPr>
        <w:t>IRS</w:t>
      </w:r>
      <w:r w:rsidRPr="00161CE2">
        <w:rPr>
          <w:rFonts w:ascii="Times New Roman" w:hAnsi="Times New Roman"/>
        </w:rPr>
        <w:t xml:space="preserve">, under penalties of perjury, a certification containing certain information relevant to the determination that a particular make, model, and model year of motor vehicle qualifies for the new </w:t>
      </w:r>
      <w:r w:rsidR="00F66B8C">
        <w:rPr>
          <w:rFonts w:ascii="Times New Roman" w:hAnsi="Times New Roman"/>
        </w:rPr>
        <w:t>clean</w:t>
      </w:r>
      <w:r w:rsidRPr="00161CE2">
        <w:rPr>
          <w:rFonts w:ascii="Times New Roman" w:hAnsi="Times New Roman"/>
        </w:rPr>
        <w:t xml:space="preserve"> vehicle credit, as well as the amount of the credit.  After reviewing the original signed certification, the </w:t>
      </w:r>
      <w:r w:rsidR="007A1548">
        <w:rPr>
          <w:rFonts w:ascii="Times New Roman" w:hAnsi="Times New Roman"/>
        </w:rPr>
        <w:t>IRS</w:t>
      </w:r>
      <w:r w:rsidRPr="00161CE2">
        <w:rPr>
          <w:rFonts w:ascii="Times New Roman" w:hAnsi="Times New Roman"/>
        </w:rPr>
        <w:t xml:space="preserve"> will issue an acknowledgement letter stating whether purchasers may rely on the certification.  The acknowledgment letter, however, will not constitute a determination by the </w:t>
      </w:r>
      <w:r w:rsidR="007A1548">
        <w:rPr>
          <w:rFonts w:ascii="Times New Roman" w:hAnsi="Times New Roman"/>
        </w:rPr>
        <w:t>IRS</w:t>
      </w:r>
      <w:r w:rsidRPr="00161CE2">
        <w:rPr>
          <w:rFonts w:ascii="Times New Roman" w:hAnsi="Times New Roman"/>
        </w:rPr>
        <w:t xml:space="preserve"> that a vehicle qualifies for a credit, or that the amount of the credit is correct. If a manufacturer files an erroneous certification</w:t>
      </w:r>
      <w:r w:rsidR="007951A1">
        <w:rPr>
          <w:rFonts w:ascii="Times New Roman" w:hAnsi="Times New Roman"/>
        </w:rPr>
        <w:t>,</w:t>
      </w:r>
      <w:r w:rsidRPr="00161CE2">
        <w:rPr>
          <w:rFonts w:ascii="Times New Roman" w:hAnsi="Times New Roman"/>
        </w:rPr>
        <w:t xml:space="preserve"> the manufacturer’s right to provide a certification to future purchasers of vehicles will be withdrawn.  However, purchasers may continue to rely on the certification for vehicles they acquired before the date of withdrawal (including in cases in which the vehicle is not placed in service and the credit is not claimed until after the withdrawal).</w:t>
      </w:r>
    </w:p>
    <w:p w:rsidR="00161CE2" w:rsidRPr="00161CE2" w:rsidP="00161CE2" w14:paraId="138FE340" w14:textId="77777777">
      <w:pPr>
        <w:tabs>
          <w:tab w:val="num" w:pos="540"/>
        </w:tabs>
        <w:ind w:left="540" w:hanging="540"/>
        <w:rPr>
          <w:rFonts w:ascii="Times New Roman" w:hAnsi="Times New Roman"/>
        </w:rPr>
      </w:pPr>
    </w:p>
    <w:p w:rsidR="00161CE2" w:rsidP="00161CE2" w14:paraId="120DB704" w14:textId="32ED4F5E">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For tax years beginning after 2008, 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r w:rsidR="001E3FD4">
        <w:rPr>
          <w:rFonts w:ascii="Times New Roman" w:hAnsi="Times New Roman"/>
        </w:rPr>
        <w:t xml:space="preserve"> For tax year beginning after 2022, Form 8936-A and Schedule 1 (Form 8936-A) are used to figure the </w:t>
      </w:r>
      <w:r w:rsidRPr="001E3FD4" w:rsidR="001E3FD4">
        <w:rPr>
          <w:rFonts w:ascii="Times New Roman" w:hAnsi="Times New Roman"/>
        </w:rPr>
        <w:t>Qualified Commercial Clean Vehicle Credit</w:t>
      </w:r>
      <w:r w:rsidR="001E3FD4">
        <w:rPr>
          <w:rFonts w:ascii="Times New Roman" w:hAnsi="Times New Roman"/>
        </w:rPr>
        <w:t xml:space="preserve">. </w:t>
      </w:r>
    </w:p>
    <w:p w:rsidR="00076593" w:rsidP="00161CE2" w14:paraId="550A94C0" w14:textId="0E54E59C">
      <w:pPr>
        <w:tabs>
          <w:tab w:val="num" w:pos="540"/>
        </w:tabs>
        <w:ind w:left="540" w:hanging="540"/>
        <w:rPr>
          <w:rFonts w:ascii="Times New Roman" w:hAnsi="Times New Roman"/>
        </w:rPr>
      </w:pPr>
    </w:p>
    <w:p w:rsidR="00CB347B" w:rsidP="00CB347B" w14:paraId="51B545F7" w14:textId="4A5F30FF">
      <w:pPr>
        <w:pStyle w:val="ListParagraph"/>
        <w:ind w:left="540"/>
        <w:rPr>
          <w:rFonts w:ascii="Times New Roman" w:hAnsi="Times New Roman"/>
        </w:rPr>
      </w:pPr>
      <w:r>
        <w:rPr>
          <w:rFonts w:ascii="Times New Roman" w:hAnsi="Times New Roman"/>
        </w:rPr>
        <w:t xml:space="preserve">IRS created Form 15400 to report the following: </w:t>
      </w:r>
    </w:p>
    <w:p w:rsidR="00CB347B" w:rsidP="00CB347B" w14:paraId="1CFED861" w14:textId="77777777">
      <w:pPr>
        <w:pStyle w:val="ListParagraph"/>
        <w:ind w:left="540"/>
        <w:rPr>
          <w:rFonts w:ascii="Times New Roman" w:hAnsi="Times New Roman"/>
        </w:rPr>
      </w:pPr>
    </w:p>
    <w:p w:rsidR="00161CE2" w:rsidP="00793B73" w14:paraId="3332C0BD" w14:textId="2FFAEA40">
      <w:pPr>
        <w:pStyle w:val="ListParagraph"/>
        <w:numPr>
          <w:ilvl w:val="0"/>
          <w:numId w:val="10"/>
        </w:numPr>
        <w:rPr>
          <w:rFonts w:ascii="Times New Roman" w:hAnsi="Times New Roman"/>
        </w:rPr>
      </w:pPr>
      <w:r w:rsidRPr="0088207E">
        <w:rPr>
          <w:rFonts w:ascii="Times New Roman" w:hAnsi="Times New Roman"/>
        </w:rPr>
        <w:t xml:space="preserve">Sellers of new clean vehicles are required to file this completed with the IRS and </w:t>
      </w:r>
      <w:r w:rsidRPr="0088207E">
        <w:rPr>
          <w:rFonts w:ascii="Times New Roman" w:hAnsi="Times New Roman"/>
        </w:rPr>
        <w:t xml:space="preserve">furnish to the buyer/taxpayer </w:t>
      </w:r>
      <w:r w:rsidRPr="00AA1B9C">
        <w:rPr>
          <w:rFonts w:ascii="Times New Roman" w:hAnsi="Times New Roman"/>
        </w:rPr>
        <w:t>for</w:t>
      </w:r>
      <w:r w:rsidRPr="0088207E">
        <w:rPr>
          <w:rFonts w:ascii="Times New Roman" w:hAnsi="Times New Roman"/>
        </w:rPr>
        <w:t xml:space="preserve"> a vehicle to be eligible for a clean vehicle credit under section 30D.</w:t>
      </w:r>
      <w:r>
        <w:rPr>
          <w:rFonts w:ascii="Times New Roman" w:hAnsi="Times New Roman"/>
        </w:rPr>
        <w:t xml:space="preserve"> </w:t>
      </w:r>
    </w:p>
    <w:p w:rsidR="00983321" w:rsidRPr="00E678B2" w:rsidP="00E678B2" w14:paraId="456167E5" w14:textId="5CE743D8">
      <w:pPr>
        <w:pStyle w:val="ListParagraph"/>
        <w:numPr>
          <w:ilvl w:val="0"/>
          <w:numId w:val="10"/>
        </w:numPr>
        <w:rPr>
          <w:rFonts w:ascii="Times New Roman" w:hAnsi="Times New Roman"/>
        </w:rPr>
      </w:pPr>
      <w:r w:rsidRPr="0088207E">
        <w:rPr>
          <w:rFonts w:ascii="Times New Roman" w:hAnsi="Times New Roman"/>
        </w:rPr>
        <w:t>Dealers selling previously-owned clean vehicles are required file a report the information to the Internal Revenue Service (IRS) and furnish to the buyer/taxpayer for a vehicle to be eligible for a clean vehicle credit under section 25E.</w:t>
      </w:r>
    </w:p>
    <w:p w:rsidR="00983321" w:rsidRPr="00AA1B9C" w:rsidP="00E678B2" w14:paraId="396CA6F4" w14:textId="77777777">
      <w:pPr>
        <w:tabs>
          <w:tab w:val="num" w:pos="540"/>
        </w:tabs>
        <w:ind w:left="540"/>
        <w:rPr>
          <w:rFonts w:ascii="Times New Roman" w:hAnsi="Times New Roman"/>
        </w:rPr>
      </w:pPr>
    </w:p>
    <w:p w:rsidR="007C31ED" w:rsidP="00767407" w14:paraId="3CFF8547" w14:textId="40D178FF">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The likely respondents are individual, households, businesses, and other for-profits.</w:t>
      </w:r>
    </w:p>
    <w:p w:rsidR="007C31ED" w:rsidP="0015572D" w14:paraId="31710C87" w14:textId="77777777">
      <w:pPr>
        <w:tabs>
          <w:tab w:val="num" w:pos="540"/>
        </w:tabs>
        <w:ind w:left="540" w:hanging="540"/>
        <w:rPr>
          <w:rFonts w:ascii="Times New Roman" w:hAnsi="Times New Roman"/>
        </w:rPr>
      </w:pPr>
    </w:p>
    <w:p w:rsidR="000B1A00" w:rsidRPr="0015572D" w:rsidP="0015572D" w14:paraId="36E8FFC9"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DATA</w:t>
      </w:r>
      <w:r w:rsidRPr="0015572D">
        <w:rPr>
          <w:rFonts w:ascii="Times New Roman" w:hAnsi="Times New Roman"/>
        </w:rPr>
        <w:t xml:space="preserve"> </w:t>
      </w:r>
    </w:p>
    <w:p w:rsidR="000B1A00" w:rsidRPr="0015572D" w:rsidP="0015572D" w14:paraId="23A98695" w14:textId="77777777">
      <w:pPr>
        <w:tabs>
          <w:tab w:val="num" w:pos="540"/>
        </w:tabs>
        <w:ind w:left="540" w:hanging="540"/>
        <w:rPr>
          <w:rFonts w:ascii="Times New Roman" w:hAnsi="Times New Roman"/>
        </w:rPr>
      </w:pPr>
    </w:p>
    <w:p w:rsidR="001068D7" w:rsidP="0015572D" w14:paraId="399CBD53" w14:textId="45260296">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The data will be used by (1) manufacturers to certify that</w:t>
      </w:r>
      <w:r w:rsidR="007D0202">
        <w:rPr>
          <w:rFonts w:ascii="Times New Roman" w:hAnsi="Times New Roman"/>
        </w:rPr>
        <w:t xml:space="preserve"> they are qualified manufacturers</w:t>
      </w:r>
      <w:r w:rsidR="00120CB8">
        <w:rPr>
          <w:rFonts w:ascii="Times New Roman" w:hAnsi="Times New Roman"/>
        </w:rPr>
        <w:t>; (2)</w:t>
      </w:r>
      <w:r w:rsidR="007D0202">
        <w:rPr>
          <w:rFonts w:ascii="Times New Roman" w:hAnsi="Times New Roman"/>
        </w:rPr>
        <w:t xml:space="preserve"> that</w:t>
      </w:r>
      <w:r w:rsidRPr="00161CE2" w:rsidR="00161CE2">
        <w:rPr>
          <w:rFonts w:ascii="Times New Roman" w:hAnsi="Times New Roman"/>
        </w:rPr>
        <w:t xml:space="preserve"> a particular make, model, and model year</w:t>
      </w:r>
      <w:r w:rsidR="00120CB8">
        <w:rPr>
          <w:rFonts w:ascii="Times New Roman" w:hAnsi="Times New Roman"/>
        </w:rPr>
        <w:t xml:space="preserve"> and/or VIN</w:t>
      </w:r>
      <w:r w:rsidRPr="00161CE2" w:rsidR="00161CE2">
        <w:rPr>
          <w:rFonts w:ascii="Times New Roman" w:hAnsi="Times New Roman"/>
        </w:rPr>
        <w:t xml:space="preserve"> of motor vehicle is a </w:t>
      </w:r>
      <w:r w:rsidR="007D0202">
        <w:rPr>
          <w:rFonts w:ascii="Times New Roman" w:hAnsi="Times New Roman"/>
        </w:rPr>
        <w:t xml:space="preserve">qualified </w:t>
      </w:r>
      <w:r w:rsidRPr="00161CE2" w:rsidR="00161CE2">
        <w:rPr>
          <w:rFonts w:ascii="Times New Roman" w:hAnsi="Times New Roman"/>
        </w:rPr>
        <w:t>vehicle that meets the requirements of §</w:t>
      </w:r>
      <w:r w:rsidRPr="00161CE2" w:rsidR="007D0202">
        <w:rPr>
          <w:rFonts w:ascii="Times New Roman" w:hAnsi="Times New Roman"/>
        </w:rPr>
        <w:t>§</w:t>
      </w:r>
      <w:r w:rsidRPr="00161CE2" w:rsidR="00161CE2">
        <w:rPr>
          <w:rFonts w:ascii="Times New Roman" w:hAnsi="Times New Roman"/>
        </w:rPr>
        <w:t xml:space="preserve"> 30D,</w:t>
      </w:r>
      <w:r w:rsidR="007D0202">
        <w:rPr>
          <w:rFonts w:ascii="Times New Roman" w:hAnsi="Times New Roman"/>
        </w:rPr>
        <w:t xml:space="preserve"> 45W, and/or 25E,</w:t>
      </w:r>
      <w:r w:rsidRPr="00161CE2" w:rsidR="00161CE2">
        <w:rPr>
          <w:rFonts w:ascii="Times New Roman" w:hAnsi="Times New Roman"/>
        </w:rPr>
        <w:t xml:space="preserve"> and also the amount of the credit allowable with respect to the motor vehicle; (</w:t>
      </w:r>
      <w:r w:rsidR="00120CB8">
        <w:rPr>
          <w:rFonts w:ascii="Times New Roman" w:hAnsi="Times New Roman"/>
        </w:rPr>
        <w:t>3</w:t>
      </w:r>
      <w:r w:rsidRPr="00161CE2" w:rsidR="00161CE2">
        <w:rPr>
          <w:rFonts w:ascii="Times New Roman" w:hAnsi="Times New Roman"/>
        </w:rPr>
        <w:t>) the data will be used to notify purchasers of these motor vehicles if the vehicles qualify for the credit and the amount of the credit.</w:t>
      </w:r>
    </w:p>
    <w:p w:rsidR="00CC30BE" w:rsidP="0015572D" w14:paraId="5E3E0F3B" w14:textId="0DDB2301">
      <w:pPr>
        <w:tabs>
          <w:tab w:val="num" w:pos="540"/>
        </w:tabs>
        <w:ind w:left="540" w:hanging="540"/>
        <w:rPr>
          <w:rFonts w:ascii="Times New Roman" w:hAnsi="Times New Roman"/>
        </w:rPr>
      </w:pPr>
    </w:p>
    <w:p w:rsidR="00CC30BE" w:rsidRPr="00CC30BE" w:rsidP="00CC30BE" w14:paraId="7DB294D1" w14:textId="6DE71CC9">
      <w:pPr>
        <w:tabs>
          <w:tab w:val="num" w:pos="540"/>
        </w:tabs>
        <w:ind w:left="540" w:hanging="540"/>
        <w:rPr>
          <w:rFonts w:ascii="Times New Roman" w:hAnsi="Times New Roman"/>
        </w:rPr>
      </w:pPr>
      <w:r>
        <w:rPr>
          <w:rFonts w:ascii="Times New Roman" w:hAnsi="Times New Roman"/>
        </w:rPr>
        <w:tab/>
      </w:r>
      <w:r w:rsidRPr="00CC30BE">
        <w:rPr>
          <w:rFonts w:ascii="Times New Roman" w:hAnsi="Times New Roman"/>
        </w:rPr>
        <w:t xml:space="preserve">The IRS will use the information to monitor and validate claims for the </w:t>
      </w:r>
      <w:r w:rsidRPr="00C6597B">
        <w:rPr>
          <w:rFonts w:ascii="Times New Roman" w:hAnsi="Times New Roman"/>
        </w:rPr>
        <w:t xml:space="preserve">requirements for the </w:t>
      </w:r>
      <w:r>
        <w:rPr>
          <w:rFonts w:ascii="Times New Roman" w:hAnsi="Times New Roman"/>
        </w:rPr>
        <w:t>clean</w:t>
      </w:r>
      <w:r w:rsidRPr="00161CE2">
        <w:rPr>
          <w:rFonts w:ascii="Times New Roman" w:hAnsi="Times New Roman"/>
        </w:rPr>
        <w:t xml:space="preserve"> vehicle credit</w:t>
      </w:r>
      <w:r>
        <w:rPr>
          <w:rFonts w:ascii="Times New Roman" w:hAnsi="Times New Roman"/>
        </w:rPr>
        <w:t>(s).</w:t>
      </w:r>
    </w:p>
    <w:p w:rsidR="0015572D" w:rsidRPr="0015572D" w:rsidP="0015572D" w14:paraId="4D17DFA9" w14:textId="77777777">
      <w:pPr>
        <w:pStyle w:val="Level1"/>
        <w:numPr>
          <w:ilvl w:val="0"/>
          <w:numId w:val="0"/>
        </w:numPr>
        <w:tabs>
          <w:tab w:val="left" w:pos="-1440"/>
        </w:tabs>
        <w:ind w:left="540"/>
        <w:rPr>
          <w:rFonts w:ascii="Times New Roman" w:hAnsi="Times New Roman"/>
        </w:rPr>
      </w:pPr>
    </w:p>
    <w:p w:rsidR="000B1A00" w:rsidRPr="0069068E" w:rsidP="0015572D" w14:paraId="27EC2D50"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IMPROVED INFORMATION TECHNOLOGY TO REDUCE BURDEN</w:t>
      </w:r>
    </w:p>
    <w:p w:rsidR="0069068E" w:rsidP="0069068E" w14:paraId="2A932484" w14:textId="77777777">
      <w:pPr>
        <w:pStyle w:val="Level1"/>
        <w:numPr>
          <w:ilvl w:val="0"/>
          <w:numId w:val="0"/>
        </w:numPr>
        <w:tabs>
          <w:tab w:val="left" w:pos="-1440"/>
        </w:tabs>
        <w:ind w:left="720" w:hanging="720"/>
        <w:rPr>
          <w:rFonts w:ascii="Times New Roman" w:hAnsi="Times New Roman"/>
          <w:u w:val="single"/>
        </w:rPr>
      </w:pPr>
    </w:p>
    <w:p w:rsidR="002F2FF9" w:rsidRPr="002F2FF9" w:rsidP="002F2FF9" w14:paraId="31989ABB" w14:textId="33C223AB">
      <w:pPr>
        <w:ind w:left="540"/>
        <w:rPr>
          <w:rFonts w:ascii="Times New Roman" w:hAnsi="Times New Roman"/>
        </w:rPr>
      </w:pPr>
      <w:r w:rsidRPr="00D106E9">
        <w:rPr>
          <w:rFonts w:ascii="Times New Roman" w:hAnsi="Times New Roman"/>
        </w:rPr>
        <w:t xml:space="preserve">We are currently offering electronic filing of </w:t>
      </w:r>
      <w:r w:rsidRPr="00161CE2" w:rsidR="00161CE2">
        <w:rPr>
          <w:rFonts w:ascii="Times New Roman" w:hAnsi="Times New Roman"/>
        </w:rPr>
        <w:t>Form 8936</w:t>
      </w:r>
      <w:r w:rsidR="002F5CFA">
        <w:rPr>
          <w:rFonts w:ascii="Times New Roman" w:hAnsi="Times New Roman"/>
        </w:rPr>
        <w:t xml:space="preserve"> and 8936-A</w:t>
      </w:r>
      <w:r>
        <w:rPr>
          <w:rFonts w:ascii="Times New Roman" w:hAnsi="Times New Roman"/>
        </w:rPr>
        <w:t>.</w:t>
      </w:r>
      <w:r>
        <w:rPr>
          <w:rFonts w:ascii="Times New Roman" w:hAnsi="Times New Roman"/>
        </w:rPr>
        <w:t xml:space="preserve"> </w:t>
      </w:r>
      <w:r w:rsidR="002307A6">
        <w:rPr>
          <w:rFonts w:ascii="Times New Roman" w:hAnsi="Times New Roman"/>
        </w:rPr>
        <w:t xml:space="preserve"> F</w:t>
      </w:r>
      <w:r w:rsidRPr="002F2FF9">
        <w:rPr>
          <w:rFonts w:ascii="Times New Roman" w:hAnsi="Times New Roman"/>
        </w:rPr>
        <w:t xml:space="preserve">or </w:t>
      </w:r>
      <w:r w:rsidR="002F5CFA">
        <w:rPr>
          <w:rFonts w:ascii="Times New Roman" w:hAnsi="Times New Roman"/>
        </w:rPr>
        <w:t>Rev</w:t>
      </w:r>
      <w:r w:rsidR="00377415">
        <w:rPr>
          <w:rFonts w:ascii="Times New Roman" w:hAnsi="Times New Roman"/>
        </w:rPr>
        <w:t>enue</w:t>
      </w:r>
      <w:r w:rsidR="002F5CFA">
        <w:rPr>
          <w:rFonts w:ascii="Times New Roman" w:hAnsi="Times New Roman"/>
        </w:rPr>
        <w:t xml:space="preserve"> Proc</w:t>
      </w:r>
      <w:r w:rsidR="00377415">
        <w:rPr>
          <w:rFonts w:ascii="Times New Roman" w:hAnsi="Times New Roman"/>
        </w:rPr>
        <w:t>edure</w:t>
      </w:r>
      <w:r w:rsidR="002F5CFA">
        <w:rPr>
          <w:rFonts w:ascii="Times New Roman" w:hAnsi="Times New Roman"/>
        </w:rPr>
        <w:t xml:space="preserve"> 2022</w:t>
      </w:r>
      <w:r w:rsidRPr="001E3FD4" w:rsidR="002F5CFA">
        <w:rPr>
          <w:rFonts w:ascii="Times New Roman" w:hAnsi="Times New Roman"/>
        </w:rPr>
        <w:t>-</w:t>
      </w:r>
      <w:r w:rsidRPr="001E3FD4" w:rsidR="00D52439">
        <w:rPr>
          <w:rFonts w:ascii="Times New Roman" w:hAnsi="Times New Roman"/>
        </w:rPr>
        <w:t>42</w:t>
      </w:r>
      <w:r w:rsidRPr="002F2FF9">
        <w:rPr>
          <w:rFonts w:ascii="Times New Roman" w:hAnsi="Times New Roman"/>
        </w:rPr>
        <w:t xml:space="preserve"> requirements</w:t>
      </w:r>
      <w:r w:rsidR="002307A6">
        <w:rPr>
          <w:rFonts w:ascii="Times New Roman" w:hAnsi="Times New Roman"/>
        </w:rPr>
        <w:t xml:space="preserve">, </w:t>
      </w:r>
      <w:r w:rsidR="00183C44">
        <w:rPr>
          <w:rFonts w:ascii="Times New Roman" w:hAnsi="Times New Roman"/>
        </w:rPr>
        <w:t xml:space="preserve">IRS provides </w:t>
      </w:r>
      <w:r w:rsidR="007D0202">
        <w:rPr>
          <w:rFonts w:ascii="Times New Roman" w:hAnsi="Times New Roman"/>
        </w:rPr>
        <w:t xml:space="preserve">email addresses </w:t>
      </w:r>
      <w:r w:rsidR="00183C44">
        <w:rPr>
          <w:rFonts w:ascii="Times New Roman" w:hAnsi="Times New Roman"/>
        </w:rPr>
        <w:t xml:space="preserve">where filers </w:t>
      </w:r>
      <w:r w:rsidR="007D0202">
        <w:rPr>
          <w:rFonts w:ascii="Times New Roman" w:hAnsi="Times New Roman"/>
        </w:rPr>
        <w:t xml:space="preserve">can submit their required </w:t>
      </w:r>
      <w:r w:rsidR="00983321">
        <w:rPr>
          <w:rFonts w:ascii="Times New Roman" w:hAnsi="Times New Roman"/>
        </w:rPr>
        <w:t>reports</w:t>
      </w:r>
      <w:r w:rsidR="00183C44">
        <w:rPr>
          <w:rFonts w:ascii="Times New Roman" w:hAnsi="Times New Roman"/>
        </w:rPr>
        <w:t>.</w:t>
      </w:r>
      <w:r w:rsidR="00983321">
        <w:rPr>
          <w:rFonts w:ascii="Times New Roman" w:hAnsi="Times New Roman"/>
        </w:rPr>
        <w:t xml:space="preserve"> </w:t>
      </w:r>
      <w:r w:rsidR="0088566C">
        <w:rPr>
          <w:rFonts w:ascii="Times New Roman" w:hAnsi="Times New Roman"/>
        </w:rPr>
        <w:t xml:space="preserve">IRS is in the process to develop </w:t>
      </w:r>
      <w:r w:rsidR="007D0202">
        <w:rPr>
          <w:rFonts w:ascii="Times New Roman" w:hAnsi="Times New Roman"/>
        </w:rPr>
        <w:t>a submission portal for future tax years</w:t>
      </w:r>
      <w:r w:rsidRPr="002F2FF9">
        <w:rPr>
          <w:rFonts w:ascii="Times New Roman" w:hAnsi="Times New Roman"/>
        </w:rPr>
        <w:t>.</w:t>
      </w:r>
    </w:p>
    <w:p w:rsidR="000B1A00" w:rsidRPr="0015572D" w:rsidP="0015572D" w14:paraId="344CD4DD" w14:textId="77777777">
      <w:pPr>
        <w:tabs>
          <w:tab w:val="num" w:pos="540"/>
        </w:tabs>
        <w:ind w:left="540" w:hanging="540"/>
        <w:rPr>
          <w:rFonts w:ascii="Times New Roman" w:hAnsi="Times New Roman"/>
        </w:rPr>
      </w:pPr>
    </w:p>
    <w:p w:rsidR="000B1A00" w:rsidRPr="0015572D" w:rsidP="0069068E" w14:paraId="028F044C" w14:textId="77777777">
      <w:pPr>
        <w:tabs>
          <w:tab w:val="num" w:pos="540"/>
        </w:tabs>
        <w:ind w:left="540" w:hanging="540"/>
        <w:rPr>
          <w:rFonts w:ascii="Times New Roman" w:hAnsi="Times New Roman"/>
        </w:rPr>
      </w:pPr>
      <w:r>
        <w:rPr>
          <w:rFonts w:ascii="Times New Roman" w:hAnsi="Times New Roman"/>
        </w:rPr>
        <w:t>4.</w:t>
      </w:r>
      <w:r w:rsidR="0015572D">
        <w:rPr>
          <w:rFonts w:ascii="Times New Roman" w:hAnsi="Times New Roman"/>
        </w:rPr>
        <w:tab/>
      </w:r>
      <w:r w:rsidRPr="0015572D">
        <w:rPr>
          <w:rFonts w:ascii="Times New Roman" w:hAnsi="Times New Roman"/>
          <w:u w:val="single"/>
        </w:rPr>
        <w:t>EFFORTS TO IDENTIFY DUPLICATION</w:t>
      </w:r>
    </w:p>
    <w:p w:rsidR="000B1A00" w:rsidRPr="0015572D" w:rsidP="0015572D" w14:paraId="43A47B33" w14:textId="77777777">
      <w:pPr>
        <w:tabs>
          <w:tab w:val="num" w:pos="540"/>
        </w:tabs>
        <w:ind w:left="540" w:hanging="540"/>
        <w:rPr>
          <w:rFonts w:ascii="Times New Roman" w:hAnsi="Times New Roman"/>
        </w:rPr>
      </w:pPr>
    </w:p>
    <w:p w:rsidR="000B1A00" w:rsidRPr="009168BF" w:rsidP="009168BF" w14:paraId="18173816" w14:textId="05E99673">
      <w:pPr>
        <w:tabs>
          <w:tab w:val="left" w:pos="540"/>
        </w:tabs>
        <w:ind w:left="540" w:hanging="540"/>
        <w:rPr>
          <w:rFonts w:ascii="Times New Roman" w:hAnsi="Times New Roman"/>
        </w:rPr>
      </w:pPr>
      <w:r>
        <w:rPr>
          <w:rFonts w:ascii="Times New Roman" w:hAnsi="Times New Roman"/>
        </w:rPr>
        <w:tab/>
      </w:r>
      <w:r w:rsidRPr="009168BF" w:rsidR="009168BF">
        <w:rPr>
          <w:rFonts w:ascii="Times New Roman" w:hAnsi="Times New Roman"/>
        </w:rPr>
        <w:t>The information obtained through this collection is unique and is not already available or use or adaption from another source.</w:t>
      </w:r>
    </w:p>
    <w:p w:rsidR="00B40702" w:rsidP="0015572D" w14:paraId="4DCF6554" w14:textId="77777777">
      <w:pPr>
        <w:tabs>
          <w:tab w:val="num" w:pos="540"/>
        </w:tabs>
        <w:ind w:left="540" w:hanging="540"/>
        <w:rPr>
          <w:rFonts w:ascii="Times New Roman" w:hAnsi="Times New Roman"/>
        </w:rPr>
      </w:pPr>
    </w:p>
    <w:p w:rsidR="000B1A00" w:rsidRPr="0015572D" w:rsidP="00B40702" w14:paraId="286F3058" w14:textId="77777777">
      <w:pPr>
        <w:tabs>
          <w:tab w:val="num" w:pos="540"/>
        </w:tabs>
        <w:ind w:left="540" w:hanging="540"/>
        <w:rPr>
          <w:rFonts w:ascii="Times New Roman" w:hAnsi="Times New Roman"/>
        </w:rPr>
      </w:pPr>
      <w:r>
        <w:rPr>
          <w:rFonts w:ascii="Times New Roman" w:hAnsi="Times New Roman"/>
        </w:rPr>
        <w:t xml:space="preserve">5.      </w:t>
      </w:r>
      <w:r w:rsidRPr="0015572D">
        <w:rPr>
          <w:rFonts w:ascii="Times New Roman" w:hAnsi="Times New Roman"/>
          <w:u w:val="single"/>
        </w:rPr>
        <w:t>METHODS TO MINIMIZE BURDEN ON SMALL BUSINESSES OR OTHER</w:t>
      </w:r>
      <w:r w:rsidR="0015572D">
        <w:rPr>
          <w:rFonts w:ascii="Times New Roman" w:hAnsi="Times New Roman"/>
          <w:u w:val="single"/>
        </w:rPr>
        <w:t xml:space="preserve"> </w:t>
      </w:r>
      <w:r w:rsidRPr="0015572D">
        <w:rPr>
          <w:rFonts w:ascii="Times New Roman" w:hAnsi="Times New Roman"/>
          <w:u w:val="single"/>
        </w:rPr>
        <w:t>SMALL ENTITIES</w:t>
      </w:r>
    </w:p>
    <w:p w:rsidR="000B1A00" w:rsidRPr="0015572D" w:rsidP="0015572D" w14:paraId="4C9E57DD" w14:textId="77777777">
      <w:pPr>
        <w:tabs>
          <w:tab w:val="num" w:pos="540"/>
        </w:tabs>
        <w:ind w:left="540" w:hanging="540"/>
        <w:rPr>
          <w:rFonts w:ascii="Times New Roman" w:hAnsi="Times New Roman"/>
        </w:rPr>
      </w:pPr>
    </w:p>
    <w:p w:rsidR="00012E5D" w:rsidP="00012E5D" w14:paraId="0325F4BD" w14:textId="25A219EB">
      <w:pPr>
        <w:ind w:left="540"/>
        <w:rPr>
          <w:rFonts w:ascii="Times New Roman" w:hAnsi="Times New Roman"/>
          <w:color w:val="000000"/>
          <w:szCs w:val="22"/>
        </w:rPr>
      </w:pPr>
      <w:r w:rsidRPr="00012E5D">
        <w:rPr>
          <w:rFonts w:ascii="Times New Roman" w:hAnsi="Times New Roman"/>
          <w:color w:val="000000"/>
          <w:szCs w:val="22"/>
        </w:rPr>
        <w:t>There is no burden on small businesses or entities by this collection due to the</w:t>
      </w:r>
      <w:r w:rsidR="002F5CFA">
        <w:rPr>
          <w:rFonts w:ascii="Times New Roman" w:hAnsi="Times New Roman"/>
          <w:color w:val="000000"/>
          <w:szCs w:val="22"/>
        </w:rPr>
        <w:t xml:space="preserve"> </w:t>
      </w:r>
      <w:r w:rsidRPr="00012E5D">
        <w:rPr>
          <w:rFonts w:ascii="Times New Roman" w:hAnsi="Times New Roman"/>
          <w:color w:val="000000"/>
          <w:szCs w:val="22"/>
        </w:rPr>
        <w:t xml:space="preserve">inapplicability of the authorizing statute to this type of entity.  </w:t>
      </w:r>
    </w:p>
    <w:p w:rsidR="00377415" w:rsidP="00012E5D" w14:paraId="56C917AC" w14:textId="34A26365">
      <w:pPr>
        <w:ind w:left="540"/>
        <w:rPr>
          <w:rFonts w:ascii="Times New Roman" w:hAnsi="Times New Roman"/>
          <w:color w:val="000000"/>
          <w:szCs w:val="22"/>
        </w:rPr>
      </w:pPr>
    </w:p>
    <w:p w:rsidR="00377415" w:rsidRPr="0040528D" w:rsidP="00012E5D" w14:paraId="54CBE525" w14:textId="59CDAB88">
      <w:pPr>
        <w:ind w:left="540"/>
        <w:rPr>
          <w:rFonts w:ascii="Times New Roman" w:hAnsi="Times New Roman"/>
        </w:rPr>
      </w:pPr>
      <w:r>
        <w:rPr>
          <w:rFonts w:ascii="Times New Roman" w:hAnsi="Times New Roman"/>
          <w:color w:val="000000"/>
          <w:szCs w:val="22"/>
        </w:rPr>
        <w:t xml:space="preserve">Regarding Revenue Procedure 2022-42, the collection of information is not expected to have a burden on small businesses. Since sellers and dealers of new and </w:t>
      </w:r>
      <w:r w:rsidR="0088298B">
        <w:rPr>
          <w:rFonts w:ascii="Times New Roman" w:hAnsi="Times New Roman"/>
          <w:color w:val="000000"/>
          <w:szCs w:val="22"/>
        </w:rPr>
        <w:t>previously owned</w:t>
      </w:r>
      <w:r>
        <w:rPr>
          <w:rFonts w:ascii="Times New Roman" w:hAnsi="Times New Roman"/>
          <w:color w:val="000000"/>
          <w:szCs w:val="22"/>
        </w:rPr>
        <w:t xml:space="preserve"> clean vehicles are only required to report such sales once a year, the burden to a small business is minimal.</w:t>
      </w:r>
    </w:p>
    <w:p w:rsidR="00526958" w:rsidP="0015572D" w14:paraId="4807A2EE" w14:textId="6B62B196">
      <w:pPr>
        <w:tabs>
          <w:tab w:val="num" w:pos="540"/>
        </w:tabs>
        <w:ind w:left="540" w:hanging="540"/>
        <w:rPr>
          <w:rFonts w:ascii="Times New Roman" w:hAnsi="Times New Roman"/>
        </w:rPr>
      </w:pPr>
    </w:p>
    <w:p w:rsidR="000B1A00" w:rsidP="00526958" w14:paraId="680268CA" w14:textId="77777777">
      <w:pPr>
        <w:tabs>
          <w:tab w:val="num" w:pos="540"/>
        </w:tabs>
        <w:ind w:left="540" w:hanging="540"/>
        <w:rPr>
          <w:rFonts w:ascii="Times New Roman" w:hAnsi="Times New Roman"/>
          <w:u w:val="single"/>
        </w:rPr>
      </w:pPr>
      <w:r>
        <w:rPr>
          <w:rFonts w:ascii="Times New Roman" w:hAnsi="Times New Roman"/>
        </w:rPr>
        <w:t xml:space="preserve">6.      </w:t>
      </w:r>
      <w:r w:rsidRPr="00F435FF">
        <w:rPr>
          <w:rFonts w:ascii="Times New Roman" w:hAnsi="Times New Roman"/>
          <w:u w:val="single"/>
        </w:rPr>
        <w:t>CONSEQUENCES</w:t>
      </w:r>
      <w:r w:rsidRPr="0015572D">
        <w:rPr>
          <w:rFonts w:ascii="Times New Roman" w:hAnsi="Times New Roman"/>
          <w:u w:val="single"/>
        </w:rPr>
        <w:t xml:space="preserve"> OF LESS FREQUENT COLLECTION ON FEDERAL PROGRAMS OR POLICY ACTIVITIES</w:t>
      </w:r>
    </w:p>
    <w:p w:rsidR="00904190" w:rsidP="00526958" w14:paraId="3F7AEF8A" w14:textId="77777777">
      <w:pPr>
        <w:tabs>
          <w:tab w:val="num" w:pos="540"/>
        </w:tabs>
        <w:ind w:left="540" w:hanging="540"/>
        <w:rPr>
          <w:rFonts w:ascii="Times New Roman" w:hAnsi="Times New Roman"/>
          <w:u w:val="single"/>
        </w:rPr>
      </w:pPr>
    </w:p>
    <w:p w:rsidR="00687B32" w:rsidP="00F435FF" w14:paraId="6A445905" w14:textId="3EB04F98">
      <w:pPr>
        <w:ind w:left="540"/>
        <w:rPr>
          <w:rFonts w:ascii="Times New Roman" w:hAnsi="Times New Roman"/>
        </w:rPr>
      </w:pPr>
      <w:r w:rsidRPr="00F435FF">
        <w:rPr>
          <w:rFonts w:ascii="Times New Roman" w:hAnsi="Times New Roman"/>
        </w:rPr>
        <w:t>The information required is needed to verify compliance with the</w:t>
      </w:r>
      <w:r w:rsidR="004C73D8">
        <w:rPr>
          <w:rFonts w:ascii="Times New Roman" w:hAnsi="Times New Roman"/>
        </w:rPr>
        <w:t xml:space="preserve"> IRC and</w:t>
      </w:r>
      <w:r w:rsidRPr="00F435FF">
        <w:rPr>
          <w:rFonts w:ascii="Times New Roman" w:hAnsi="Times New Roman"/>
        </w:rPr>
        <w:t xml:space="preserve"> Treasury Regulations. A less frequent collection of taxes and tax information could adversely affect </w:t>
      </w:r>
      <w:r w:rsidRPr="00F435FF">
        <w:rPr>
          <w:rFonts w:ascii="Times New Roman" w:hAnsi="Times New Roman"/>
        </w:rPr>
        <w:t xml:space="preserve">the government’s effectiveness and would reduce the oversight of the public in ensuring compliance with </w:t>
      </w:r>
      <w:r w:rsidR="004C73D8">
        <w:rPr>
          <w:rFonts w:ascii="Times New Roman" w:hAnsi="Times New Roman"/>
        </w:rPr>
        <w:t xml:space="preserve">the </w:t>
      </w:r>
      <w:r w:rsidRPr="00F435FF">
        <w:rPr>
          <w:rFonts w:ascii="Times New Roman" w:hAnsi="Times New Roman"/>
        </w:rPr>
        <w:t>IRC and hinder the IRS from meeting its mission.</w:t>
      </w:r>
      <w:r w:rsidRPr="00687B32">
        <w:rPr>
          <w:rFonts w:ascii="Times New Roman" w:hAnsi="Times New Roman"/>
        </w:rPr>
        <w:t xml:space="preserve"> </w:t>
      </w:r>
    </w:p>
    <w:p w:rsidR="00687B32" w:rsidRPr="00904190" w:rsidP="0015572D" w14:paraId="5B18177D" w14:textId="77777777">
      <w:pPr>
        <w:tabs>
          <w:tab w:val="num" w:pos="540"/>
        </w:tabs>
        <w:ind w:left="540" w:hanging="540"/>
        <w:rPr>
          <w:rFonts w:ascii="Times New Roman" w:hAnsi="Times New Roman"/>
        </w:rPr>
      </w:pPr>
      <w:r>
        <w:rPr>
          <w:rFonts w:ascii="Times New Roman" w:hAnsi="Times New Roman"/>
        </w:rPr>
        <w:t xml:space="preserve">         </w:t>
      </w:r>
      <w:r w:rsidR="00EB76CE">
        <w:rPr>
          <w:rFonts w:ascii="Times New Roman" w:hAnsi="Times New Roman"/>
        </w:rPr>
        <w:t xml:space="preserve"> </w:t>
      </w:r>
    </w:p>
    <w:p w:rsidR="000B1A00" w:rsidP="0015572D" w14:paraId="464A0E38" w14:textId="77777777">
      <w:pPr>
        <w:tabs>
          <w:tab w:val="num" w:pos="540"/>
        </w:tabs>
        <w:ind w:left="540" w:hanging="540"/>
        <w:rPr>
          <w:rFonts w:ascii="Times New Roman" w:hAnsi="Times New Roman"/>
          <w:u w:val="single"/>
        </w:rPr>
      </w:pPr>
      <w:r>
        <w:rPr>
          <w:rFonts w:ascii="Times New Roman" w:hAnsi="Times New Roman"/>
        </w:rPr>
        <w:t>7</w:t>
      </w:r>
      <w:r w:rsidRPr="0015572D">
        <w:rPr>
          <w:rFonts w:ascii="Times New Roman" w:hAnsi="Times New Roman"/>
        </w:rPr>
        <w:t>.</w:t>
      </w:r>
      <w:r>
        <w:rPr>
          <w:rFonts w:ascii="Times New Roman" w:hAnsi="Times New Roman"/>
        </w:rPr>
        <w:t xml:space="preserve">      </w:t>
      </w:r>
      <w:r w:rsidRPr="0015572D">
        <w:rPr>
          <w:rFonts w:ascii="Times New Roman" w:hAnsi="Times New Roman"/>
          <w:u w:val="single"/>
        </w:rPr>
        <w:t>SPECIAL CIRCUMSTANCES REQUIRING DATA COLLECTION TO BE</w:t>
      </w:r>
      <w:r w:rsidR="0015572D">
        <w:rPr>
          <w:rFonts w:ascii="Times New Roman" w:hAnsi="Times New Roman"/>
          <w:u w:val="single"/>
        </w:rPr>
        <w:t xml:space="preserve"> </w:t>
      </w:r>
      <w:r w:rsidRPr="0015572D">
        <w:rPr>
          <w:rFonts w:ascii="Times New Roman" w:hAnsi="Times New Roman"/>
          <w:u w:val="single"/>
        </w:rPr>
        <w:t>INCONSISTENT WITH GUIDELINES IN 5 CFR 1320.5(d)(2)</w:t>
      </w:r>
    </w:p>
    <w:p w:rsidR="00526958" w:rsidRPr="0015572D" w:rsidP="0015572D" w14:paraId="22106532" w14:textId="77777777">
      <w:pPr>
        <w:tabs>
          <w:tab w:val="num" w:pos="540"/>
        </w:tabs>
        <w:ind w:left="540" w:hanging="540"/>
        <w:rPr>
          <w:rFonts w:ascii="Times New Roman" w:hAnsi="Times New Roman"/>
        </w:rPr>
      </w:pPr>
    </w:p>
    <w:p w:rsidR="000B1A00" w:rsidP="0015572D" w14:paraId="6A06E363"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There are no special circumstances requiring data collection to be inconsistent with Guidelines in 5 CFR 1320.5(d)(2).</w:t>
      </w:r>
    </w:p>
    <w:p w:rsidR="00526958" w:rsidP="0015572D" w14:paraId="254E3DF5" w14:textId="77777777">
      <w:pPr>
        <w:tabs>
          <w:tab w:val="num" w:pos="540"/>
        </w:tabs>
        <w:ind w:left="540" w:hanging="540"/>
        <w:rPr>
          <w:rFonts w:ascii="Times New Roman" w:hAnsi="Times New Roman"/>
        </w:rPr>
      </w:pPr>
    </w:p>
    <w:p w:rsidR="000B1A00" w:rsidRPr="0015572D" w:rsidP="00526958" w14:paraId="45ABB68C" w14:textId="77777777">
      <w:pPr>
        <w:tabs>
          <w:tab w:val="num" w:pos="540"/>
        </w:tabs>
        <w:ind w:left="540" w:hanging="540"/>
        <w:rPr>
          <w:rFonts w:ascii="Times New Roman" w:hAnsi="Times New Roman"/>
        </w:rPr>
      </w:pPr>
      <w:r>
        <w:rPr>
          <w:rFonts w:ascii="Times New Roman" w:hAnsi="Times New Roman"/>
        </w:rPr>
        <w:t xml:space="preserve">8.      </w:t>
      </w:r>
      <w:r w:rsidRPr="0015572D">
        <w:rPr>
          <w:rFonts w:ascii="Times New Roman" w:hAnsi="Times New Roman"/>
          <w:u w:val="single"/>
        </w:rPr>
        <w:t>CONSULTATION WITH INDIVIDUALS OUTSIDE OF THE AGENCY ON</w:t>
      </w:r>
      <w:r w:rsidR="0015572D">
        <w:rPr>
          <w:rFonts w:ascii="Times New Roman" w:hAnsi="Times New Roman"/>
          <w:u w:val="single"/>
        </w:rPr>
        <w:t xml:space="preserve"> </w:t>
      </w:r>
      <w:r w:rsidRPr="0015572D">
        <w:rPr>
          <w:rFonts w:ascii="Times New Roman" w:hAnsi="Times New Roman"/>
          <w:u w:val="single"/>
        </w:rPr>
        <w:t>AVAILABILITY OF DATA, FREQUENCY OF COLLECTION, CLARITY</w:t>
      </w:r>
      <w:r w:rsidR="0015572D">
        <w:rPr>
          <w:rFonts w:ascii="Times New Roman" w:hAnsi="Times New Roman"/>
          <w:u w:val="single"/>
        </w:rPr>
        <w:t xml:space="preserve"> </w:t>
      </w:r>
      <w:r w:rsidRPr="0015572D">
        <w:rPr>
          <w:rFonts w:ascii="Times New Roman" w:hAnsi="Times New Roman"/>
          <w:u w:val="single"/>
        </w:rPr>
        <w:t>OF INSTRUCTIONS AND FORMS, AND DATA ELEMENTS</w:t>
      </w:r>
    </w:p>
    <w:p w:rsidR="000B1A00" w:rsidRPr="0015572D" w:rsidP="0015572D" w14:paraId="6786EAD4" w14:textId="77777777">
      <w:pPr>
        <w:tabs>
          <w:tab w:val="num" w:pos="540"/>
        </w:tabs>
        <w:ind w:left="540" w:hanging="540"/>
        <w:rPr>
          <w:rFonts w:ascii="Times New Roman" w:hAnsi="Times New Roman"/>
        </w:rPr>
      </w:pPr>
    </w:p>
    <w:p w:rsidR="007C31ED" w:rsidP="00A37774" w14:paraId="45D196B0" w14:textId="5EECD8CC">
      <w:pPr>
        <w:tabs>
          <w:tab w:val="num" w:pos="540"/>
        </w:tabs>
        <w:ind w:left="540" w:hanging="540"/>
        <w:rPr>
          <w:rFonts w:ascii="Times New Roman" w:hAnsi="Times New Roman"/>
        </w:rPr>
      </w:pPr>
      <w:r>
        <w:rPr>
          <w:rFonts w:ascii="Times New Roman" w:hAnsi="Times New Roman"/>
        </w:rPr>
        <w:tab/>
      </w:r>
      <w:r w:rsidR="00A37774">
        <w:rPr>
          <w:rFonts w:ascii="Times New Roman" w:hAnsi="Times New Roman"/>
        </w:rPr>
        <w:t>The IRS is coordinating with the Department of Energy and Department of Transportation, particularly as it relates to qualified manufacturers reporting vehicle identification numbers.</w:t>
      </w:r>
      <w:r w:rsidRPr="0015572D" w:rsidR="00D0557F">
        <w:rPr>
          <w:rFonts w:ascii="Times New Roman" w:hAnsi="Times New Roman"/>
        </w:rPr>
        <w:t xml:space="preserve"> </w:t>
      </w:r>
    </w:p>
    <w:p w:rsidR="00D4271C" w:rsidP="00A37774" w14:paraId="2F2B05A4" w14:textId="77777777">
      <w:pPr>
        <w:tabs>
          <w:tab w:val="num" w:pos="540"/>
        </w:tabs>
        <w:ind w:left="540" w:hanging="540"/>
        <w:rPr>
          <w:rFonts w:ascii="Times New Roman" w:hAnsi="Times New Roman"/>
        </w:rPr>
      </w:pPr>
    </w:p>
    <w:p w:rsidR="00432DFA" w:rsidP="00A37774" w14:paraId="3532461B" w14:textId="43D0B70A">
      <w:pPr>
        <w:tabs>
          <w:tab w:val="num" w:pos="540"/>
        </w:tabs>
        <w:ind w:left="540" w:hanging="540"/>
        <w:rPr>
          <w:rFonts w:ascii="Times New Roman" w:hAnsi="Times New Roman"/>
        </w:rPr>
      </w:pPr>
      <w:r>
        <w:rPr>
          <w:rFonts w:ascii="Times New Roman" w:hAnsi="Times New Roman"/>
        </w:rPr>
        <w:tab/>
      </w:r>
      <w:r w:rsidRPr="00D4271C">
        <w:rPr>
          <w:rFonts w:ascii="Times New Roman" w:hAnsi="Times New Roman"/>
        </w:rPr>
        <w:t xml:space="preserve">In response to the Federal Register notice dated </w:t>
      </w:r>
      <w:r>
        <w:rPr>
          <w:rFonts w:ascii="Times New Roman" w:hAnsi="Times New Roman"/>
        </w:rPr>
        <w:t>December 30, 2022</w:t>
      </w:r>
      <w:r w:rsidRPr="00D4271C">
        <w:rPr>
          <w:rFonts w:ascii="Times New Roman" w:hAnsi="Times New Roman"/>
        </w:rPr>
        <w:t>, 8</w:t>
      </w:r>
      <w:r>
        <w:rPr>
          <w:rFonts w:ascii="Times New Roman" w:hAnsi="Times New Roman"/>
        </w:rPr>
        <w:t>7</w:t>
      </w:r>
      <w:r w:rsidRPr="00D4271C">
        <w:rPr>
          <w:rFonts w:ascii="Times New Roman" w:hAnsi="Times New Roman"/>
        </w:rPr>
        <w:t xml:space="preserve"> FR </w:t>
      </w:r>
      <w:r>
        <w:rPr>
          <w:rFonts w:ascii="Times New Roman" w:hAnsi="Times New Roman"/>
        </w:rPr>
        <w:t>80578</w:t>
      </w:r>
      <w:r w:rsidRPr="00D4271C">
        <w:rPr>
          <w:rFonts w:ascii="Times New Roman" w:hAnsi="Times New Roman"/>
        </w:rPr>
        <w:t xml:space="preserve">, </w:t>
      </w:r>
      <w:r>
        <w:rPr>
          <w:rFonts w:ascii="Times New Roman" w:hAnsi="Times New Roman"/>
        </w:rPr>
        <w:t>IRS</w:t>
      </w:r>
      <w:r w:rsidRPr="00D4271C">
        <w:rPr>
          <w:rFonts w:ascii="Times New Roman" w:hAnsi="Times New Roman"/>
        </w:rPr>
        <w:t xml:space="preserve"> received </w:t>
      </w:r>
      <w:r>
        <w:rPr>
          <w:rFonts w:ascii="Times New Roman" w:hAnsi="Times New Roman"/>
        </w:rPr>
        <w:t>7090</w:t>
      </w:r>
      <w:r w:rsidRPr="00D4271C">
        <w:rPr>
          <w:rFonts w:ascii="Times New Roman" w:hAnsi="Times New Roman"/>
        </w:rPr>
        <w:t xml:space="preserve"> comment</w:t>
      </w:r>
      <w:r>
        <w:rPr>
          <w:rFonts w:ascii="Times New Roman" w:hAnsi="Times New Roman"/>
        </w:rPr>
        <w:t>s</w:t>
      </w:r>
      <w:r w:rsidRPr="00D4271C">
        <w:rPr>
          <w:rFonts w:ascii="Times New Roman" w:hAnsi="Times New Roman"/>
        </w:rPr>
        <w:t xml:space="preserve"> from </w:t>
      </w:r>
      <w:r>
        <w:rPr>
          <w:rFonts w:ascii="Times New Roman" w:hAnsi="Times New Roman"/>
        </w:rPr>
        <w:t>the public related to Form 8936, 8936-A and Rev. Proc. 20</w:t>
      </w:r>
      <w:r w:rsidR="00793B73">
        <w:rPr>
          <w:rFonts w:ascii="Times New Roman" w:hAnsi="Times New Roman"/>
        </w:rPr>
        <w:t>22-42.</w:t>
      </w:r>
      <w:r w:rsidRPr="00D4271C">
        <w:rPr>
          <w:rFonts w:ascii="Times New Roman" w:hAnsi="Times New Roman"/>
        </w:rPr>
        <w:t xml:space="preserve"> The full </w:t>
      </w:r>
      <w:r w:rsidR="00793B73">
        <w:rPr>
          <w:rFonts w:ascii="Times New Roman" w:hAnsi="Times New Roman"/>
        </w:rPr>
        <w:t xml:space="preserve">list of </w:t>
      </w:r>
      <w:r w:rsidRPr="00D4271C">
        <w:rPr>
          <w:rFonts w:ascii="Times New Roman" w:hAnsi="Times New Roman"/>
        </w:rPr>
        <w:t>comment</w:t>
      </w:r>
      <w:r w:rsidR="00793B73">
        <w:rPr>
          <w:rFonts w:ascii="Times New Roman" w:hAnsi="Times New Roman"/>
        </w:rPr>
        <w:t>s</w:t>
      </w:r>
      <w:r w:rsidRPr="00D4271C">
        <w:rPr>
          <w:rFonts w:ascii="Times New Roman" w:hAnsi="Times New Roman"/>
        </w:rPr>
        <w:t xml:space="preserve"> will be included with</w:t>
      </w:r>
      <w:r w:rsidR="00793B73">
        <w:rPr>
          <w:rFonts w:ascii="Times New Roman" w:hAnsi="Times New Roman"/>
        </w:rPr>
        <w:t xml:space="preserve"> the </w:t>
      </w:r>
      <w:r w:rsidRPr="00D4271C">
        <w:rPr>
          <w:rFonts w:ascii="Times New Roman" w:hAnsi="Times New Roman"/>
        </w:rPr>
        <w:t>submission to the Office of Management and Budget (OMB)</w:t>
      </w:r>
      <w:r w:rsidR="00793B73">
        <w:rPr>
          <w:rFonts w:ascii="Times New Roman" w:hAnsi="Times New Roman"/>
        </w:rPr>
        <w:t>, see supporting documents</w:t>
      </w:r>
      <w:r w:rsidRPr="00D4271C">
        <w:rPr>
          <w:rFonts w:ascii="Times New Roman" w:hAnsi="Times New Roman"/>
        </w:rPr>
        <w:t>. The summary of the comment</w:t>
      </w:r>
      <w:r w:rsidR="00793B73">
        <w:rPr>
          <w:rFonts w:ascii="Times New Roman" w:hAnsi="Times New Roman"/>
        </w:rPr>
        <w:t>s</w:t>
      </w:r>
      <w:r w:rsidRPr="00D4271C">
        <w:rPr>
          <w:rFonts w:ascii="Times New Roman" w:hAnsi="Times New Roman"/>
        </w:rPr>
        <w:t xml:space="preserve"> and the IRS response are below.</w:t>
      </w:r>
    </w:p>
    <w:p w:rsidR="00432DFA" w:rsidP="00A37774" w14:paraId="04758CDA" w14:textId="2CA92970">
      <w:pPr>
        <w:tabs>
          <w:tab w:val="num" w:pos="540"/>
        </w:tabs>
        <w:ind w:left="540" w:hanging="540"/>
        <w:rPr>
          <w:rFonts w:ascii="Times New Roman" w:hAnsi="Times New Roman"/>
        </w:rPr>
      </w:pPr>
    </w:p>
    <w:p w:rsidR="00432DFA" w:rsidRPr="00432DFA" w:rsidP="00432DFA" w14:paraId="37A3D1ED"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Broaden the Interpretation: SUV and Sedans</w:t>
      </w:r>
    </w:p>
    <w:p w:rsidR="00432DFA" w:rsidRPr="00432DFA" w:rsidP="00432DFA" w14:paraId="22B943BF"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3868B747" w14:textId="77777777">
      <w:pPr>
        <w:numPr>
          <w:ilvl w:val="2"/>
          <w:numId w:val="6"/>
        </w:numPr>
        <w:tabs>
          <w:tab w:val="num" w:pos="540"/>
        </w:tabs>
        <w:ind w:hanging="540"/>
        <w:rPr>
          <w:rFonts w:ascii="Times New Roman" w:hAnsi="Times New Roman"/>
        </w:rPr>
      </w:pPr>
      <w:r w:rsidRPr="00432DFA">
        <w:rPr>
          <w:rFonts w:ascii="Times New Roman" w:hAnsi="Times New Roman"/>
        </w:rPr>
        <w:t>Many commenters (~5,000) requested that the definition of sport utility vehicle (SUV), as well as sedan, be modified to allow more vehicles to be considered an SUV.   The majority of these commenters specifically pointed to one of the Tesla Model Y trims that had five seats instead of seven, which under Notice 2022-1 was considered a sedan and thus subject to a lower manufacturer’s suggested retail price (MSRP) limitation than if it had been considered an SUV.</w:t>
      </w:r>
    </w:p>
    <w:p w:rsidR="00432DFA" w:rsidRPr="00432DFA" w:rsidP="00432DFA" w14:paraId="244BDDCF"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0D891ED3" w14:textId="77777777">
      <w:pPr>
        <w:numPr>
          <w:ilvl w:val="2"/>
          <w:numId w:val="6"/>
        </w:numPr>
        <w:tabs>
          <w:tab w:val="num" w:pos="540"/>
        </w:tabs>
        <w:ind w:hanging="540"/>
        <w:rPr>
          <w:rFonts w:ascii="Times New Roman" w:hAnsi="Times New Roman"/>
        </w:rPr>
      </w:pPr>
      <w:r w:rsidRPr="00432DFA">
        <w:rPr>
          <w:rFonts w:ascii="Times New Roman" w:hAnsi="Times New Roman"/>
        </w:rPr>
        <w:t xml:space="preserve">On February 3, 2023, the IRS and Treasury issued Notice 2023-16, which modified the vehicle classification definitions set forth in Notice 2023-1.  These modifications had the effect of broadening the definition of what is considered an SUV.  Pursuant to Notice 2023-16 the five-seat Tesla Model Y is considered an SUV and is subject to a higher MSRP limitation than if it were considered a sedan.  These modified vehicle classification definitions were restated in the Notice of Proposed Rulemaking for Section 30D, available at: </w:t>
      </w:r>
      <w:hyperlink r:id="rId8" w:history="1">
        <w:r w:rsidRPr="00432DFA">
          <w:rPr>
            <w:rStyle w:val="Hyperlink"/>
            <w:rFonts w:ascii="Times New Roman" w:hAnsi="Times New Roman"/>
          </w:rPr>
          <w:t>Federal Register :: Public Inspection: Section 30D New Clean Vehicle Credit</w:t>
        </w:r>
      </w:hyperlink>
    </w:p>
    <w:p w:rsidR="00432DFA" w:rsidRPr="00432DFA" w:rsidP="00432DFA" w14:paraId="60704936"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4EB57E2C" w14:textId="77777777">
      <w:pPr>
        <w:numPr>
          <w:ilvl w:val="2"/>
          <w:numId w:val="6"/>
        </w:numPr>
        <w:tabs>
          <w:tab w:val="num" w:pos="540"/>
        </w:tabs>
        <w:ind w:hanging="540"/>
        <w:rPr>
          <w:rFonts w:ascii="Times New Roman" w:hAnsi="Times New Roman"/>
        </w:rPr>
      </w:pPr>
      <w:r w:rsidRPr="00432DFA">
        <w:rPr>
          <w:rFonts w:ascii="Times New Roman" w:hAnsi="Times New Roman"/>
        </w:rPr>
        <w:t>Because the definitions are set forth in Notice 2023-16 and the Proposed Regulations, Forms 8936 and 8936-A do not need to be changed, but the instructions to such forms may include references to such guidance for reference.</w:t>
      </w:r>
    </w:p>
    <w:p w:rsidR="00432DFA" w:rsidRPr="00432DFA" w:rsidP="00432DFA" w14:paraId="23B64ADB"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Broaden the Interpretation: Bicycles, Autocycles, Motorcycles, and 3-wheeled vehicles</w:t>
      </w:r>
    </w:p>
    <w:p w:rsidR="00432DFA" w:rsidRPr="00432DFA" w:rsidP="00432DFA" w14:paraId="23628A7A"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166738C6" w14:textId="77777777">
      <w:pPr>
        <w:numPr>
          <w:ilvl w:val="2"/>
          <w:numId w:val="6"/>
        </w:numPr>
        <w:tabs>
          <w:tab w:val="num" w:pos="540"/>
        </w:tabs>
        <w:ind w:hanging="540"/>
        <w:rPr>
          <w:rFonts w:ascii="Times New Roman" w:hAnsi="Times New Roman"/>
        </w:rPr>
      </w:pPr>
      <w:r w:rsidRPr="00432DFA">
        <w:rPr>
          <w:rFonts w:ascii="Times New Roman" w:hAnsi="Times New Roman"/>
        </w:rPr>
        <w:t>Many commenters (~261) requested that electric bicycles, autocycles, motorcycles, and other two- and three-wheeled vehicles should qualify for the clean vehicle credit.  Some argued that these modes of transportation decreased reliance on internal combustion vehicles, and others pointed out that these vehicles often had smaller or more efficient batteries after factoring in the weight and range of the vehicles.</w:t>
      </w:r>
    </w:p>
    <w:p w:rsidR="00432DFA" w:rsidRPr="00432DFA" w:rsidP="00432DFA" w14:paraId="10F9BE3A"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580376AF" w14:textId="77777777">
      <w:pPr>
        <w:numPr>
          <w:ilvl w:val="2"/>
          <w:numId w:val="6"/>
        </w:numPr>
        <w:tabs>
          <w:tab w:val="num" w:pos="540"/>
        </w:tabs>
        <w:ind w:hanging="540"/>
        <w:rPr>
          <w:rFonts w:ascii="Times New Roman" w:hAnsi="Times New Roman"/>
        </w:rPr>
      </w:pPr>
      <w:r w:rsidRPr="00432DFA">
        <w:rPr>
          <w:rFonts w:ascii="Times New Roman" w:hAnsi="Times New Roman"/>
        </w:rPr>
        <w:t>Under former section 30D(g), certain two- and three-wheeled vehicles qualified for a credit under section 30D.  However, those</w:t>
      </w:r>
      <w:r w:rsidRPr="00432DFA">
        <w:rPr>
          <w:rFonts w:ascii="Times New Roman" w:hAnsi="Times New Roman"/>
        </w:rPr>
        <w:t xml:space="preserve"> provisions were not extended and expired effective January 1, 2022.  Section 30D(d)(2), as amended by the Inflation Reduction Act (IRA) specifically defines a qualifying vehicle as one that has at least four (4) wheels, and the IRA did not include reference to electric bicycles, autocycles, motorcycles, or other three-wheeled electric vehicles.  </w:t>
      </w:r>
      <w:r w:rsidRPr="00432DFA">
        <w:rPr>
          <w:rFonts w:ascii="Times New Roman" w:hAnsi="Times New Roman"/>
        </w:rPr>
        <w:t xml:space="preserve">Because the Code is clear that two- and three-wheeled vehicles do not qualify for the clean vehicle credit under section 30D, the IRS and Treasury do not have discretion to allow them.  </w:t>
      </w:r>
    </w:p>
    <w:p w:rsidR="00432DFA" w:rsidRPr="00432DFA" w:rsidP="00432DFA" w14:paraId="17ECF995"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792F9314"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312A712F"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Modified Adjusted Gross Income (Modified AGI)</w:t>
      </w:r>
    </w:p>
    <w:p w:rsidR="00432DFA" w:rsidRPr="00432DFA" w:rsidP="00432DFA" w14:paraId="4444E8EC"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22A87F33" w14:textId="77777777">
      <w:pPr>
        <w:numPr>
          <w:ilvl w:val="2"/>
          <w:numId w:val="6"/>
        </w:numPr>
        <w:tabs>
          <w:tab w:val="num" w:pos="540"/>
        </w:tabs>
        <w:ind w:hanging="540"/>
        <w:rPr>
          <w:rFonts w:ascii="Times New Roman" w:hAnsi="Times New Roman"/>
        </w:rPr>
      </w:pPr>
      <w:r w:rsidRPr="00432DFA">
        <w:rPr>
          <w:rFonts w:ascii="Times New Roman" w:hAnsi="Times New Roman"/>
        </w:rPr>
        <w:t xml:space="preserve">Approximately 30 commenters requested that the modified AGI limitation be increased or removed in determining what taxpayers may qualify to claim the credit.  Some argued that the policy of the credit was to incentivize the uptake and use of clean vehicles and promote cleaner energy, so the personal income of the user should not be relevant.  </w:t>
      </w:r>
    </w:p>
    <w:p w:rsidR="00432DFA" w:rsidRPr="00432DFA" w:rsidP="00432DFA" w14:paraId="35249CB9" w14:textId="77777777">
      <w:pPr>
        <w:numPr>
          <w:ilvl w:val="2"/>
          <w:numId w:val="6"/>
        </w:numPr>
        <w:tabs>
          <w:tab w:val="num" w:pos="540"/>
        </w:tabs>
        <w:ind w:hanging="540"/>
        <w:rPr>
          <w:rFonts w:ascii="Times New Roman" w:hAnsi="Times New Roman"/>
        </w:rPr>
      </w:pPr>
      <w:r w:rsidRPr="00432DFA">
        <w:rPr>
          <w:rFonts w:ascii="Times New Roman" w:hAnsi="Times New Roman"/>
        </w:rPr>
        <w:t>Other commenters, however, disagreed with the premise of credits for electric vehicles as a subsidy to those with higher incomes. Their main argument was that electric vehicles are expensive, and the taxpayer most able to afford an electric vehicle is a higher income taxpayer, likely with higher adjusted gross incomes. These commenters sought ways to make electric vehicles more affordable to lower- and middle-income taxpayers.</w:t>
      </w:r>
    </w:p>
    <w:p w:rsidR="00432DFA" w:rsidRPr="00432DFA" w:rsidP="00432DFA" w14:paraId="589D2CD6"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20CE0076" w14:textId="77777777">
      <w:pPr>
        <w:numPr>
          <w:ilvl w:val="2"/>
          <w:numId w:val="6"/>
        </w:numPr>
        <w:tabs>
          <w:tab w:val="num" w:pos="540"/>
        </w:tabs>
        <w:ind w:hanging="540"/>
        <w:rPr>
          <w:rFonts w:ascii="Times New Roman" w:hAnsi="Times New Roman"/>
        </w:rPr>
      </w:pPr>
      <w:r w:rsidRPr="00432DFA">
        <w:rPr>
          <w:rFonts w:ascii="Times New Roman" w:hAnsi="Times New Roman"/>
        </w:rPr>
        <w:t>Congress set forth the Modified AGI requirements in Section 30D(f)(10).  Because the Code is clear, the IRS and Treasury do not have discretion to change or disregard the limitations.</w:t>
      </w:r>
    </w:p>
    <w:p w:rsidR="00432DFA" w:rsidRPr="00432DFA" w:rsidP="00432DFA" w14:paraId="19F465DE"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4FF4B590"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79E62CD3"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Manufacturer’s Suggested Retail Price (MSRP)</w:t>
      </w:r>
    </w:p>
    <w:p w:rsidR="00432DFA" w:rsidRPr="00432DFA" w:rsidP="00432DFA" w14:paraId="0E52A0DA"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12F18AF6" w14:textId="77777777">
      <w:pPr>
        <w:numPr>
          <w:ilvl w:val="2"/>
          <w:numId w:val="6"/>
        </w:numPr>
        <w:tabs>
          <w:tab w:val="num" w:pos="540"/>
        </w:tabs>
        <w:ind w:hanging="540"/>
        <w:rPr>
          <w:rFonts w:ascii="Times New Roman" w:hAnsi="Times New Roman"/>
        </w:rPr>
      </w:pPr>
      <w:r w:rsidRPr="00432DFA">
        <w:rPr>
          <w:rFonts w:ascii="Times New Roman" w:hAnsi="Times New Roman"/>
        </w:rPr>
        <w:t xml:space="preserve">Approximately twenty commenters submitted comments related to the MSRP limitations on certain classes of vehicles.  Some thought the limitations would stifle a manufacturer’s willingness to make qualifying </w:t>
      </w:r>
      <w:r w:rsidRPr="00432DFA">
        <w:rPr>
          <w:rFonts w:ascii="Times New Roman" w:hAnsi="Times New Roman"/>
        </w:rPr>
        <w:t>vehicles, and others suggested that the policy of getting more clean vehicles on the road should take priority over the price limit.  Most commenters wanted the MSRP limitation to be raised or eliminated entirely, particularly the $55,000 cap on sedans when compared to the $80,000 cap on vans, SUVs, and trucks.  Other commenters suggested that a higher credit value should go to vehicles with lower MSRPs, with the credit value reducing as the MSRP increases to promote greater adoption of clean vehicles by drivers.</w:t>
      </w:r>
    </w:p>
    <w:p w:rsidR="00432DFA" w:rsidRPr="00432DFA" w:rsidP="00432DFA" w14:paraId="576CC8F2"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0365D3FE" w14:textId="77777777">
      <w:pPr>
        <w:numPr>
          <w:ilvl w:val="2"/>
          <w:numId w:val="6"/>
        </w:numPr>
        <w:tabs>
          <w:tab w:val="num" w:pos="540"/>
        </w:tabs>
        <w:ind w:hanging="540"/>
        <w:rPr>
          <w:rFonts w:ascii="Times New Roman" w:hAnsi="Times New Roman"/>
        </w:rPr>
      </w:pPr>
      <w:r w:rsidRPr="00432DFA">
        <w:rPr>
          <w:rFonts w:ascii="Times New Roman" w:hAnsi="Times New Roman"/>
        </w:rPr>
        <w:t>Congress set forth the MSRP limitations in Section 30D(f)(11).  Because the Code is clear, the IRS and Treasury do not have discretion to change or disregard the limitations.  However, Notice 2023-16, as well as the Proposed Regulations under Section 30D, have provided definitions of vehicle classifications so manufacturers and purchasers of the vehicles will have greater confidence as to their vehicle’s classification, and therefore its MSRP limitation.</w:t>
      </w:r>
    </w:p>
    <w:p w:rsidR="00432DFA" w:rsidRPr="00432DFA" w:rsidP="00432DFA" w14:paraId="74827636"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4BFDE5A2"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665F66F8"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Hybrids and other Plug-In Vehicles</w:t>
      </w:r>
    </w:p>
    <w:p w:rsidR="00432DFA" w:rsidRPr="00432DFA" w:rsidP="00432DFA" w14:paraId="74FE203E"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5427D6CB" w14:textId="77777777">
      <w:pPr>
        <w:numPr>
          <w:ilvl w:val="2"/>
          <w:numId w:val="6"/>
        </w:numPr>
        <w:tabs>
          <w:tab w:val="num" w:pos="540"/>
        </w:tabs>
        <w:ind w:hanging="540"/>
        <w:rPr>
          <w:rFonts w:ascii="Times New Roman" w:hAnsi="Times New Roman"/>
        </w:rPr>
      </w:pPr>
      <w:r w:rsidRPr="00432DFA">
        <w:rPr>
          <w:rFonts w:ascii="Times New Roman" w:hAnsi="Times New Roman"/>
        </w:rPr>
        <w:t>Approximately 350 commenters provided comments regarding the eligibility of plug-in and other hybrid vehicles.  The majority of these commenters suggested that because plug-in and other hybrid vehicles that were not fully electric but still had an internal combustion engine and therefore contribute to carbon emissions, they either not qualify for any tax credit, or alternatively qualify for a significantly reduced amount.</w:t>
      </w:r>
    </w:p>
    <w:p w:rsidR="00432DFA" w:rsidRPr="00432DFA" w:rsidP="00432DFA" w14:paraId="176815B8"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0F1603DF" w14:textId="77777777">
      <w:pPr>
        <w:numPr>
          <w:ilvl w:val="2"/>
          <w:numId w:val="6"/>
        </w:numPr>
        <w:tabs>
          <w:tab w:val="num" w:pos="540"/>
        </w:tabs>
        <w:ind w:hanging="540"/>
        <w:rPr>
          <w:rFonts w:ascii="Times New Roman" w:hAnsi="Times New Roman"/>
        </w:rPr>
      </w:pPr>
      <w:r w:rsidRPr="00432DFA">
        <w:rPr>
          <w:rFonts w:ascii="Times New Roman" w:hAnsi="Times New Roman"/>
        </w:rPr>
        <w:t>Congress set forth the battery capacity requirement of 7 kilowatt hours in section 30D(d)(1)(F)(i).  Because the Code is clear that the battery capacity of a vehicle must be at least 7 kilowatt hours and does not impose further requirements that a vehicle must be completely electric to qualify for the credit, the IRS and Treasury do not have discretion to impose a more rigorous requirement to establish entitlement to the credit.</w:t>
      </w:r>
    </w:p>
    <w:p w:rsidR="00432DFA" w:rsidRPr="00432DFA" w:rsidP="00432DFA" w14:paraId="5A9F3530"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28C84E9A"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277C2D75"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Broaden the Interpretation: All Electric Vehicles</w:t>
      </w:r>
    </w:p>
    <w:p w:rsidR="00432DFA" w:rsidRPr="00432DFA" w:rsidP="00432DFA" w14:paraId="61E8AE3B"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3670E746" w14:textId="77777777">
      <w:pPr>
        <w:numPr>
          <w:ilvl w:val="2"/>
          <w:numId w:val="6"/>
        </w:numPr>
        <w:tabs>
          <w:tab w:val="num" w:pos="540"/>
        </w:tabs>
        <w:ind w:hanging="540"/>
        <w:rPr>
          <w:rFonts w:ascii="Times New Roman" w:hAnsi="Times New Roman"/>
        </w:rPr>
      </w:pPr>
      <w:r w:rsidRPr="00432DFA">
        <w:rPr>
          <w:rFonts w:ascii="Times New Roman" w:hAnsi="Times New Roman"/>
        </w:rPr>
        <w:t xml:space="preserve">Approximately 100 commenters submitted comments urging the allowance of the credit to all electric vehicles and not just those that satisfy the final assembly in North America requirement, MSRP limitations, or otherwise comply with the critical minerals and battery component requirements.  They suggested that the underlying policy goals of increasing the adoption of clean vehicles and phasing out reliance on internal combustion vehicles should take priority.  These commenters highlighted the fact that several of the purely electric vehicles may not qualify for the credits despite being </w:t>
      </w:r>
      <w:r w:rsidRPr="00432DFA">
        <w:rPr>
          <w:rFonts w:ascii="Times New Roman" w:hAnsi="Times New Roman"/>
        </w:rPr>
        <w:t>cleaner or more efficient than hybrids or plug-in vehicles, and often suggested that hybrid or plug-in vehicles should not be entitled to a tax credit, or sometimes half of the available credit.</w:t>
      </w:r>
    </w:p>
    <w:p w:rsidR="00432DFA" w:rsidRPr="00432DFA" w:rsidP="00432DFA" w14:paraId="24653A1B"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5A72D0D5" w14:textId="77777777">
      <w:pPr>
        <w:numPr>
          <w:ilvl w:val="2"/>
          <w:numId w:val="6"/>
        </w:numPr>
        <w:tabs>
          <w:tab w:val="num" w:pos="540"/>
        </w:tabs>
        <w:ind w:hanging="540"/>
        <w:rPr>
          <w:rFonts w:ascii="Times New Roman" w:hAnsi="Times New Roman"/>
        </w:rPr>
      </w:pPr>
      <w:r w:rsidRPr="00432DFA">
        <w:rPr>
          <w:rFonts w:ascii="Times New Roman" w:hAnsi="Times New Roman"/>
        </w:rPr>
        <w:t>Congress set forth the requirements for final assembly in North America in section 30D(d)(1)(G), MSRP in section 30D(f)(11), and the critical minerals and battery components in section 30D(e).  Because the Code is clear, the IRS and Treasury do not have the discretion to overlook, modify, or fail to enforce these requirements.</w:t>
      </w:r>
    </w:p>
    <w:p w:rsidR="00432DFA" w:rsidRPr="00E60C3B" w:rsidP="00432DFA" w14:paraId="01C26FF9" w14:textId="7BFBA344">
      <w:pPr>
        <w:numPr>
          <w:ilvl w:val="1"/>
          <w:numId w:val="6"/>
        </w:numPr>
        <w:tabs>
          <w:tab w:val="num" w:pos="540"/>
        </w:tabs>
        <w:ind w:hanging="540"/>
        <w:rPr>
          <w:rFonts w:ascii="Times New Roman" w:hAnsi="Times New Roman"/>
        </w:rPr>
      </w:pPr>
      <w:r w:rsidRPr="008A56F5">
        <w:rPr>
          <w:rFonts w:ascii="Times New Roman" w:hAnsi="Times New Roman"/>
        </w:rPr>
        <w:t>How Form 8936 or 8936-A is Affected</w:t>
      </w:r>
    </w:p>
    <w:p w:rsidR="00536EAD" w:rsidRPr="008A56F5" w:rsidP="00536EAD" w14:paraId="7E785F42" w14:textId="77777777">
      <w:pPr>
        <w:numPr>
          <w:ilvl w:val="2"/>
          <w:numId w:val="6"/>
        </w:numPr>
        <w:tabs>
          <w:tab w:val="num" w:pos="540"/>
        </w:tabs>
        <w:ind w:hanging="540"/>
        <w:rPr>
          <w:rFonts w:ascii="Times New Roman" w:hAnsi="Times New Roman"/>
        </w:rPr>
      </w:pPr>
      <w:r w:rsidRPr="008A56F5">
        <w:rPr>
          <w:rFonts w:ascii="Times New Roman" w:hAnsi="Times New Roman"/>
        </w:rPr>
        <w:t>No changes will be made to Form 8936 nor 8936-A as a result of these comments.</w:t>
      </w:r>
    </w:p>
    <w:p w:rsidR="00432DFA" w:rsidRPr="00432DFA" w:rsidP="00432DFA" w14:paraId="1B4E48D9"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Individual Carryforward or Refundability of Credit</w:t>
      </w:r>
    </w:p>
    <w:p w:rsidR="00432DFA" w:rsidRPr="00432DFA" w:rsidP="00432DFA" w14:paraId="254D78D0"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28209516" w14:textId="77777777">
      <w:pPr>
        <w:numPr>
          <w:ilvl w:val="2"/>
          <w:numId w:val="6"/>
        </w:numPr>
        <w:tabs>
          <w:tab w:val="num" w:pos="540"/>
        </w:tabs>
        <w:ind w:hanging="540"/>
        <w:rPr>
          <w:rFonts w:ascii="Times New Roman" w:hAnsi="Times New Roman"/>
        </w:rPr>
      </w:pPr>
      <w:r w:rsidRPr="00432DFA">
        <w:rPr>
          <w:rFonts w:ascii="Times New Roman" w:hAnsi="Times New Roman"/>
        </w:rPr>
        <w:t>Some commenters suggested that the clean vehicle credits should be allowed to be carried forward if the full amount is not able to be used in the year in which the qualifying vehicle is placed in service.  They argued that this is especially helpful for low- and middle-income purchases who may not otherwise have a tax liability of at least $7,500.</w:t>
      </w:r>
    </w:p>
    <w:p w:rsidR="00432DFA" w:rsidRPr="00432DFA" w:rsidP="00432DFA" w14:paraId="05043873"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0DF643E2" w14:textId="77777777">
      <w:pPr>
        <w:numPr>
          <w:ilvl w:val="2"/>
          <w:numId w:val="6"/>
        </w:numPr>
        <w:tabs>
          <w:tab w:val="num" w:pos="540"/>
        </w:tabs>
        <w:ind w:hanging="540"/>
        <w:rPr>
          <w:rFonts w:ascii="Times New Roman" w:hAnsi="Times New Roman"/>
        </w:rPr>
      </w:pPr>
      <w:r w:rsidRPr="00432DFA">
        <w:rPr>
          <w:rFonts w:ascii="Times New Roman" w:hAnsi="Times New Roman"/>
        </w:rPr>
        <w:t>Some Internal Revenue Code sections provide that a credit may be carried forward to future tax years, such as section 23(c), Adoption Expenses.  Sections 30D and 25E do not provide a carryforward provision for individuals.  Business taxpayers may carry the credit forward under sections 30D to the extent the property is of a character subject to an allowance for depreciation and is treated as a credit listed in section 38(b) and not allowed under section 30D(a).  Consequently, these tax credits are not able to be carried forward by individuals.</w:t>
      </w:r>
    </w:p>
    <w:p w:rsidR="00432DFA" w:rsidRPr="00432DFA" w:rsidP="00432DFA" w14:paraId="3B97001B" w14:textId="77777777">
      <w:pPr>
        <w:numPr>
          <w:ilvl w:val="2"/>
          <w:numId w:val="6"/>
        </w:numPr>
        <w:tabs>
          <w:tab w:val="num" w:pos="540"/>
        </w:tabs>
        <w:ind w:hanging="540"/>
        <w:rPr>
          <w:rFonts w:ascii="Times New Roman" w:hAnsi="Times New Roman"/>
        </w:rPr>
      </w:pPr>
      <w:r w:rsidRPr="00432DFA">
        <w:rPr>
          <w:rFonts w:ascii="Times New Roman" w:hAnsi="Times New Roman"/>
        </w:rPr>
        <w:t>Some Internal Revenue Code sections provide that a credit may be refundable, such as section 24(d), Child Tax Credit.   Sections 30D, 25E, and 45W do not provide refundability provisions.  Accordingly, these tax credits are not refundable.</w:t>
      </w:r>
    </w:p>
    <w:p w:rsidR="00432DFA" w:rsidRPr="00432DFA" w:rsidP="00432DFA" w14:paraId="2AEBDED5"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35D04EBF"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1369C62A"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Point of Sale</w:t>
      </w:r>
    </w:p>
    <w:p w:rsidR="00432DFA" w:rsidRPr="00432DFA" w:rsidP="00432DFA" w14:paraId="5BE3E564"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50E406A4" w14:textId="77777777">
      <w:pPr>
        <w:numPr>
          <w:ilvl w:val="2"/>
          <w:numId w:val="6"/>
        </w:numPr>
        <w:tabs>
          <w:tab w:val="num" w:pos="540"/>
        </w:tabs>
        <w:ind w:hanging="540"/>
        <w:rPr>
          <w:rFonts w:ascii="Times New Roman" w:hAnsi="Times New Roman"/>
        </w:rPr>
      </w:pPr>
      <w:r w:rsidRPr="00432DFA">
        <w:rPr>
          <w:rFonts w:ascii="Times New Roman" w:hAnsi="Times New Roman"/>
        </w:rPr>
        <w:t>Some commenters suggested that the credit should be available at the point of sale rather than requiring taxpayers to wait until they file their tax return, which may delay the receipt of the credit by a year or more after the date the vehicle is placed in service.</w:t>
      </w:r>
    </w:p>
    <w:p w:rsidR="00432DFA" w:rsidRPr="00432DFA" w:rsidP="00432DFA" w14:paraId="56DFAF32"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5E510766" w14:textId="77777777">
      <w:pPr>
        <w:numPr>
          <w:ilvl w:val="2"/>
          <w:numId w:val="6"/>
        </w:numPr>
        <w:tabs>
          <w:tab w:val="num" w:pos="540"/>
        </w:tabs>
        <w:ind w:hanging="540"/>
        <w:rPr>
          <w:rFonts w:ascii="Times New Roman" w:hAnsi="Times New Roman"/>
        </w:rPr>
      </w:pPr>
      <w:r w:rsidRPr="00432DFA">
        <w:rPr>
          <w:rFonts w:ascii="Times New Roman" w:hAnsi="Times New Roman"/>
        </w:rPr>
        <w:t xml:space="preserve">For tax years beginning after December 31, 2023, taxpayers will be able to elect to transfer the credit to an eligible entity, such as a registered dealer. If such an election is made, the dealership may agree to lower the price of the vehicle such that the value of the credit would effectively be received </w:t>
      </w:r>
      <w:r w:rsidRPr="00432DFA">
        <w:rPr>
          <w:rFonts w:ascii="Times New Roman" w:hAnsi="Times New Roman"/>
        </w:rPr>
        <w:t>by the purchasing taxpayer at the time of the sale.</w:t>
      </w:r>
    </w:p>
    <w:p w:rsidR="00432DFA" w:rsidRPr="00432DFA" w:rsidP="00432DFA" w14:paraId="6595C605"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3DDA9239"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05285779"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Pro-Union Comments</w:t>
      </w:r>
    </w:p>
    <w:p w:rsidR="00432DFA" w:rsidRPr="00432DFA" w:rsidP="00432DFA" w14:paraId="77B06A5C"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45ED4E79" w14:textId="77777777">
      <w:pPr>
        <w:numPr>
          <w:ilvl w:val="2"/>
          <w:numId w:val="6"/>
        </w:numPr>
        <w:tabs>
          <w:tab w:val="num" w:pos="540"/>
        </w:tabs>
        <w:ind w:hanging="540"/>
        <w:rPr>
          <w:rFonts w:ascii="Times New Roman" w:hAnsi="Times New Roman"/>
        </w:rPr>
      </w:pPr>
      <w:r w:rsidRPr="00432DFA">
        <w:rPr>
          <w:rFonts w:ascii="Times New Roman" w:hAnsi="Times New Roman"/>
        </w:rPr>
        <w:t>One commenter praised the law for recognizing the importance of North American assembly and domestic manufacturing and listed various vehicles likely to qualify for a clean vehicle credit that are made at plants in the United States.  The commenter suggested that labor law reform would be beneficial, though acknowledged this was beyond the scope of the Revenue Procedure and PRA estimates.  The commenter noted wage and benefit differences between workers represented by a union and those who are not.</w:t>
      </w:r>
    </w:p>
    <w:p w:rsidR="00432DFA" w:rsidRPr="00432DFA" w:rsidP="00432DFA" w14:paraId="3BE845F5"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58D0A537" w14:textId="77777777">
      <w:pPr>
        <w:numPr>
          <w:ilvl w:val="2"/>
          <w:numId w:val="6"/>
        </w:numPr>
        <w:tabs>
          <w:tab w:val="num" w:pos="540"/>
        </w:tabs>
        <w:ind w:hanging="540"/>
        <w:rPr>
          <w:rFonts w:ascii="Times New Roman" w:hAnsi="Times New Roman"/>
        </w:rPr>
      </w:pPr>
      <w:r w:rsidRPr="00432DFA">
        <w:rPr>
          <w:rFonts w:ascii="Times New Roman" w:hAnsi="Times New Roman"/>
        </w:rPr>
        <w:t>This comment does not suggest any changes to the administration of the clean vehicle credits or Forms 8936 or 8936-A so the IRS makes no response</w:t>
      </w:r>
    </w:p>
    <w:p w:rsidR="00432DFA" w:rsidRPr="00432DFA" w:rsidP="00432DFA" w14:paraId="575F0752"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73A8B48B"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2A233DF2"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The Law is Flawed</w:t>
      </w:r>
    </w:p>
    <w:p w:rsidR="00432DFA" w:rsidRPr="00432DFA" w:rsidP="00432DFA" w14:paraId="250C33B9" w14:textId="77777777">
      <w:pPr>
        <w:numPr>
          <w:ilvl w:val="1"/>
          <w:numId w:val="6"/>
        </w:numPr>
        <w:tabs>
          <w:tab w:val="num" w:pos="540"/>
        </w:tabs>
        <w:ind w:hanging="540"/>
        <w:rPr>
          <w:rFonts w:ascii="Times New Roman" w:hAnsi="Times New Roman"/>
        </w:rPr>
      </w:pPr>
      <w:r w:rsidRPr="00432DFA">
        <w:rPr>
          <w:rFonts w:ascii="Times New Roman" w:hAnsi="Times New Roman"/>
        </w:rPr>
        <w:t>Summary of Comments</w:t>
      </w:r>
    </w:p>
    <w:p w:rsidR="00432DFA" w:rsidRPr="00432DFA" w:rsidP="00432DFA" w14:paraId="60290CA2" w14:textId="77777777">
      <w:pPr>
        <w:numPr>
          <w:ilvl w:val="2"/>
          <w:numId w:val="6"/>
        </w:numPr>
        <w:tabs>
          <w:tab w:val="num" w:pos="540"/>
        </w:tabs>
        <w:ind w:hanging="540"/>
        <w:rPr>
          <w:rFonts w:ascii="Times New Roman" w:hAnsi="Times New Roman"/>
        </w:rPr>
      </w:pPr>
      <w:r w:rsidRPr="00432DFA">
        <w:rPr>
          <w:rFonts w:ascii="Times New Roman" w:hAnsi="Times New Roman"/>
        </w:rPr>
        <w:t>Several commenters objected to the existence of the credit for clean vehicles as an inequitable subsidy for those with high enough income to be able to afford the vehicles in the first place.  Some suggested other tax credits may be more beneficial, such as a childcare tax credit or a first-time homebuyer credit.</w:t>
      </w:r>
    </w:p>
    <w:p w:rsidR="00432DFA" w:rsidRPr="00432DFA" w:rsidP="00432DFA" w14:paraId="21D6872F"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3E0CD1DE" w14:textId="77777777">
      <w:pPr>
        <w:numPr>
          <w:ilvl w:val="2"/>
          <w:numId w:val="6"/>
        </w:numPr>
        <w:tabs>
          <w:tab w:val="num" w:pos="540"/>
        </w:tabs>
        <w:ind w:hanging="540"/>
        <w:rPr>
          <w:rFonts w:ascii="Times New Roman" w:hAnsi="Times New Roman"/>
        </w:rPr>
      </w:pPr>
      <w:r w:rsidRPr="00432DFA">
        <w:rPr>
          <w:rFonts w:ascii="Times New Roman" w:hAnsi="Times New Roman"/>
        </w:rPr>
        <w:t>Section 30D (as well as sections 25E and 45W) was passed into law by Congress.  It is the IRS and Treasury’s job to administer the law as enacted.  The IRS does not have discretion to disallow legal tax credits or enact other tax credits outside of those enacted by Congress.</w:t>
      </w:r>
    </w:p>
    <w:p w:rsidR="00432DFA" w:rsidRPr="00432DFA" w:rsidP="00432DFA" w14:paraId="0CDC098B"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7066CF71" w14:textId="77777777">
      <w:pPr>
        <w:numPr>
          <w:ilvl w:val="2"/>
          <w:numId w:val="6"/>
        </w:numPr>
        <w:tabs>
          <w:tab w:val="num" w:pos="540"/>
        </w:tabs>
        <w:ind w:hanging="540"/>
        <w:rPr>
          <w:rFonts w:ascii="Times New Roman" w:hAnsi="Times New Roman"/>
        </w:rPr>
      </w:pPr>
      <w:r w:rsidRPr="00432DFA">
        <w:rPr>
          <w:rFonts w:ascii="Times New Roman" w:hAnsi="Times New Roman"/>
        </w:rPr>
        <w:t>No changes will be made to Form 8936 nor 8936-A as a result of these comments.</w:t>
      </w:r>
    </w:p>
    <w:p w:rsidR="00432DFA" w:rsidRPr="00432DFA" w:rsidP="00432DFA" w14:paraId="333119DD"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2022 Tax Forms</w:t>
      </w:r>
    </w:p>
    <w:p w:rsidR="00432DFA" w:rsidRPr="00432DFA" w:rsidP="00432DFA" w14:paraId="7DB9F7D7" w14:textId="77777777">
      <w:pPr>
        <w:numPr>
          <w:ilvl w:val="1"/>
          <w:numId w:val="6"/>
        </w:numPr>
        <w:tabs>
          <w:tab w:val="num" w:pos="540"/>
        </w:tabs>
        <w:ind w:hanging="540"/>
        <w:rPr>
          <w:rFonts w:ascii="Times New Roman" w:hAnsi="Times New Roman"/>
        </w:rPr>
      </w:pPr>
      <w:r w:rsidRPr="00432DFA">
        <w:rPr>
          <w:rFonts w:ascii="Times New Roman" w:hAnsi="Times New Roman"/>
        </w:rPr>
        <w:t xml:space="preserve">Summary of Comments – </w:t>
      </w:r>
    </w:p>
    <w:p w:rsidR="00432DFA" w:rsidRPr="00432DFA" w:rsidP="00432DFA" w14:paraId="6265FB06" w14:textId="60BEE88D">
      <w:pPr>
        <w:numPr>
          <w:ilvl w:val="2"/>
          <w:numId w:val="6"/>
        </w:numPr>
        <w:tabs>
          <w:tab w:val="num" w:pos="540"/>
        </w:tabs>
        <w:ind w:hanging="540"/>
        <w:rPr>
          <w:rFonts w:ascii="Times New Roman" w:hAnsi="Times New Roman"/>
        </w:rPr>
      </w:pPr>
      <w:r w:rsidRPr="00432DFA">
        <w:rPr>
          <w:rFonts w:ascii="Times New Roman" w:hAnsi="Times New Roman"/>
        </w:rPr>
        <w:t xml:space="preserve">One commenter requested The IRS modify Form 8936 to include specific instructions for Line 3 for tax year 2022 to specify that, unless covered by the Transition Rule, qualified plug-in electric drive motor vehicles placed in service between August 17, 2022, and December 31, </w:t>
      </w:r>
      <w:r w:rsidRPr="00432DFA" w:rsidR="00536EAD">
        <w:rPr>
          <w:rFonts w:ascii="Times New Roman" w:hAnsi="Times New Roman"/>
        </w:rPr>
        <w:t>2022,</w:t>
      </w:r>
      <w:r w:rsidRPr="00432DFA">
        <w:rPr>
          <w:rFonts w:ascii="Times New Roman" w:hAnsi="Times New Roman"/>
        </w:rPr>
        <w:t xml:space="preserve"> must meet a North American final assembly requirement to be credit eligible.</w:t>
      </w:r>
    </w:p>
    <w:p w:rsidR="00432DFA" w:rsidRPr="00432DFA" w:rsidP="00432DFA" w14:paraId="7D5C0232"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4DCD4361" w14:textId="0B59C0DC">
      <w:pPr>
        <w:numPr>
          <w:ilvl w:val="2"/>
          <w:numId w:val="6"/>
        </w:numPr>
        <w:tabs>
          <w:tab w:val="num" w:pos="540"/>
        </w:tabs>
        <w:ind w:hanging="540"/>
        <w:rPr>
          <w:rFonts w:ascii="Times New Roman" w:hAnsi="Times New Roman"/>
        </w:rPr>
      </w:pPr>
      <w:r w:rsidRPr="00432DFA">
        <w:rPr>
          <w:rFonts w:ascii="Times New Roman" w:hAnsi="Times New Roman"/>
        </w:rPr>
        <w:t xml:space="preserve">We agree that this comment will ease administration and </w:t>
      </w:r>
      <w:r w:rsidR="008A56F5">
        <w:rPr>
          <w:rFonts w:ascii="Times New Roman" w:hAnsi="Times New Roman"/>
        </w:rPr>
        <w:t xml:space="preserve">consider </w:t>
      </w:r>
      <w:r w:rsidRPr="00432DFA">
        <w:rPr>
          <w:rFonts w:ascii="Times New Roman" w:hAnsi="Times New Roman"/>
        </w:rPr>
        <w:t>will such recommendation to amend the Form 8936</w:t>
      </w:r>
      <w:r w:rsidR="00536EAD">
        <w:rPr>
          <w:rFonts w:ascii="Times New Roman" w:hAnsi="Times New Roman"/>
        </w:rPr>
        <w:t>.</w:t>
      </w:r>
      <w:r w:rsidRPr="00432DFA">
        <w:rPr>
          <w:rFonts w:ascii="Times New Roman" w:hAnsi="Times New Roman"/>
        </w:rPr>
        <w:t xml:space="preserve"> </w:t>
      </w:r>
    </w:p>
    <w:p w:rsidR="00432DFA" w:rsidRPr="00432DFA" w:rsidP="00432DFA" w14:paraId="569ECCF5"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2529C259" w14:textId="3AC150EB">
      <w:pPr>
        <w:numPr>
          <w:ilvl w:val="2"/>
          <w:numId w:val="6"/>
        </w:numPr>
        <w:tabs>
          <w:tab w:val="num" w:pos="540"/>
        </w:tabs>
        <w:ind w:hanging="540"/>
        <w:rPr>
          <w:rFonts w:ascii="Times New Roman" w:hAnsi="Times New Roman"/>
        </w:rPr>
      </w:pPr>
      <w:r>
        <w:rPr>
          <w:rFonts w:ascii="Times New Roman" w:hAnsi="Times New Roman"/>
        </w:rPr>
        <w:t xml:space="preserve">IRS </w:t>
      </w:r>
      <w:r w:rsidR="009341B7">
        <w:rPr>
          <w:rFonts w:ascii="Times New Roman" w:hAnsi="Times New Roman"/>
        </w:rPr>
        <w:t xml:space="preserve">has updated the instructions to address the transition rule. </w:t>
      </w:r>
    </w:p>
    <w:p w:rsidR="00432DFA" w:rsidRPr="00432DFA" w:rsidP="00432DFA" w14:paraId="4E11A706" w14:textId="77777777">
      <w:pPr>
        <w:numPr>
          <w:ilvl w:val="0"/>
          <w:numId w:val="6"/>
        </w:numPr>
        <w:tabs>
          <w:tab w:val="num" w:pos="540"/>
        </w:tabs>
        <w:ind w:hanging="540"/>
        <w:rPr>
          <w:rFonts w:ascii="Times New Roman" w:hAnsi="Times New Roman"/>
        </w:rPr>
      </w:pPr>
      <w:r w:rsidRPr="00432DFA">
        <w:rPr>
          <w:rFonts w:ascii="Times New Roman" w:hAnsi="Times New Roman"/>
        </w:rPr>
        <w:t>Commenter Category – 2023 Tax Forms</w:t>
      </w:r>
    </w:p>
    <w:p w:rsidR="00432DFA" w:rsidRPr="00432DFA" w:rsidP="00432DFA" w14:paraId="16417117" w14:textId="77777777">
      <w:pPr>
        <w:numPr>
          <w:ilvl w:val="1"/>
          <w:numId w:val="6"/>
        </w:numPr>
        <w:tabs>
          <w:tab w:val="num" w:pos="540"/>
        </w:tabs>
        <w:ind w:hanging="540"/>
        <w:rPr>
          <w:rFonts w:ascii="Times New Roman" w:hAnsi="Times New Roman"/>
        </w:rPr>
      </w:pPr>
      <w:r w:rsidRPr="00432DFA">
        <w:rPr>
          <w:rFonts w:ascii="Times New Roman" w:hAnsi="Times New Roman"/>
        </w:rPr>
        <w:t xml:space="preserve">Summary of Comments – </w:t>
      </w:r>
    </w:p>
    <w:p w:rsidR="00432DFA" w:rsidRPr="00432DFA" w:rsidP="00432DFA" w14:paraId="679C4603" w14:textId="77777777">
      <w:pPr>
        <w:numPr>
          <w:ilvl w:val="2"/>
          <w:numId w:val="6"/>
        </w:numPr>
        <w:tabs>
          <w:tab w:val="num" w:pos="540"/>
        </w:tabs>
        <w:ind w:hanging="540"/>
        <w:rPr>
          <w:rFonts w:ascii="Times New Roman" w:hAnsi="Times New Roman"/>
        </w:rPr>
      </w:pPr>
      <w:r w:rsidRPr="00432DFA">
        <w:rPr>
          <w:rFonts w:ascii="Times New Roman" w:hAnsi="Times New Roman"/>
        </w:rPr>
        <w:t>One commenter requested the IRS eliminate Line 4a in the tax year 2023 and later Form 8936 and the corresponding information in the tax year 2023 and later Form 8936 Instructions pertaining to two-wheeled vehicles because the credit for such vehicles expired in 2022.  The commenter also suggested the IRS eliminate Line 4b because manufacturer credit phaseouts/caps were eliminated by the IRA for New Clean Vehicles purchased and placed into service after 2022.   Finally, the commenter recommended the IRS commensurately adjust its information collection burden estimates to reflect both a decline in Form 8936 filings associated with elimination of the two-wheeled vehicle credit, and an increase in section 30D claims resulting from elimination of the credit phaseouts/caps.</w:t>
      </w:r>
    </w:p>
    <w:p w:rsidR="00432DFA" w:rsidRPr="00432DFA" w:rsidP="00432DFA" w14:paraId="7136C5F1" w14:textId="77777777">
      <w:pPr>
        <w:numPr>
          <w:ilvl w:val="2"/>
          <w:numId w:val="6"/>
        </w:numPr>
        <w:tabs>
          <w:tab w:val="num" w:pos="540"/>
        </w:tabs>
        <w:ind w:hanging="540"/>
        <w:rPr>
          <w:rFonts w:ascii="Times New Roman" w:hAnsi="Times New Roman"/>
        </w:rPr>
      </w:pPr>
      <w:r w:rsidRPr="00432DFA">
        <w:rPr>
          <w:rFonts w:ascii="Times New Roman" w:hAnsi="Times New Roman"/>
        </w:rPr>
        <w:t>One commenter recommended the IRS amend Form 8936-A, regarding credits under section 45W, to redesign Schedule 1 to allow for the reporting of at least two vehicle purchases in a manner akin to Form 8936 because commercial fleet and lessor purchasers are more likely to place multiple vehicles in service in a tax year than individuals or households will be with respect to the Section 30D or Section 25E credits.  Further, the commenter recommended the Instructions for Line 9 of the Form 8936-A Schedule be amended to incorporate guidance issued by the IRS on incremental cost.  Finally, the commenter suggested the IRS add “for tax-exempt entities” between the words “exception” and “discussed” in the second sentence of Question 4c on Schedule 1, as well as between “exception” and “applies” on the last line of Question 4c.</w:t>
      </w:r>
    </w:p>
    <w:p w:rsidR="00432DFA" w:rsidRPr="00432DFA" w:rsidP="00432DFA" w14:paraId="5D549B1F" w14:textId="77777777">
      <w:pPr>
        <w:numPr>
          <w:ilvl w:val="2"/>
          <w:numId w:val="6"/>
        </w:numPr>
        <w:tabs>
          <w:tab w:val="num" w:pos="540"/>
        </w:tabs>
        <w:ind w:hanging="540"/>
        <w:rPr>
          <w:rFonts w:ascii="Times New Roman" w:hAnsi="Times New Roman"/>
        </w:rPr>
      </w:pPr>
      <w:r w:rsidRPr="00432DFA">
        <w:rPr>
          <w:rFonts w:ascii="Times New Roman" w:hAnsi="Times New Roman"/>
        </w:rPr>
        <w:t>One commenter recommended the IRS create a new Form 8936-B in respect of previously-owned clean vehicles eligible for a credit under section 25E, and that such form include the vehicle’s year, make, model, VIN, purchase price, and date placed in service, and other information such as a MAGI limitation worksheet.  The commenter suggested that separate forms for credits under section 30D and 25E would prevent undue burdens and complexities compared to if both credits were claimed on the same form.</w:t>
      </w:r>
    </w:p>
    <w:p w:rsidR="00432DFA" w:rsidRPr="00432DFA" w:rsidP="00432DFA" w14:paraId="11CFD5BF" w14:textId="77777777">
      <w:pPr>
        <w:numPr>
          <w:ilvl w:val="1"/>
          <w:numId w:val="6"/>
        </w:numPr>
        <w:tabs>
          <w:tab w:val="num" w:pos="540"/>
        </w:tabs>
        <w:ind w:hanging="540"/>
        <w:rPr>
          <w:rFonts w:ascii="Times New Roman" w:hAnsi="Times New Roman"/>
        </w:rPr>
      </w:pPr>
      <w:r w:rsidRPr="00432DFA">
        <w:rPr>
          <w:rFonts w:ascii="Times New Roman" w:hAnsi="Times New Roman"/>
        </w:rPr>
        <w:t>IRS Response</w:t>
      </w:r>
    </w:p>
    <w:p w:rsidR="00432DFA" w:rsidRPr="00432DFA" w:rsidP="00432DFA" w14:paraId="6D47BFEC" w14:textId="254A2DF3">
      <w:pPr>
        <w:numPr>
          <w:ilvl w:val="2"/>
          <w:numId w:val="6"/>
        </w:numPr>
        <w:tabs>
          <w:tab w:val="num" w:pos="540"/>
        </w:tabs>
        <w:ind w:hanging="540"/>
        <w:rPr>
          <w:rFonts w:ascii="Times New Roman" w:hAnsi="Times New Roman"/>
        </w:rPr>
      </w:pPr>
      <w:r w:rsidRPr="00432DFA">
        <w:rPr>
          <w:rFonts w:ascii="Times New Roman" w:hAnsi="Times New Roman"/>
        </w:rPr>
        <w:t xml:space="preserve">We agree that this comment will ease administration and will </w:t>
      </w:r>
      <w:r w:rsidR="00DA2CFD">
        <w:rPr>
          <w:rFonts w:ascii="Times New Roman" w:hAnsi="Times New Roman"/>
        </w:rPr>
        <w:t xml:space="preserve">consider </w:t>
      </w:r>
      <w:r w:rsidRPr="00432DFA">
        <w:rPr>
          <w:rFonts w:ascii="Times New Roman" w:hAnsi="Times New Roman"/>
        </w:rPr>
        <w:t>such recommendation to amend the Form 8936 and related forms for 2023 and future years.</w:t>
      </w:r>
    </w:p>
    <w:p w:rsidR="00432DFA" w:rsidRPr="00432DFA" w:rsidP="00432DFA" w14:paraId="749AC222" w14:textId="77777777">
      <w:pPr>
        <w:numPr>
          <w:ilvl w:val="1"/>
          <w:numId w:val="6"/>
        </w:numPr>
        <w:tabs>
          <w:tab w:val="num" w:pos="540"/>
        </w:tabs>
        <w:ind w:hanging="540"/>
        <w:rPr>
          <w:rFonts w:ascii="Times New Roman" w:hAnsi="Times New Roman"/>
        </w:rPr>
      </w:pPr>
      <w:r w:rsidRPr="00432DFA">
        <w:rPr>
          <w:rFonts w:ascii="Times New Roman" w:hAnsi="Times New Roman"/>
        </w:rPr>
        <w:t>How Form 8936 or 8936-A is Affected</w:t>
      </w:r>
    </w:p>
    <w:p w:rsidR="00432DFA" w:rsidRPr="00432DFA" w:rsidP="00432DFA" w14:paraId="701686DD" w14:textId="2FFCCA18">
      <w:pPr>
        <w:numPr>
          <w:ilvl w:val="2"/>
          <w:numId w:val="6"/>
        </w:numPr>
        <w:tabs>
          <w:tab w:val="num" w:pos="540"/>
        </w:tabs>
        <w:ind w:hanging="540"/>
        <w:rPr>
          <w:rFonts w:ascii="Times New Roman" w:hAnsi="Times New Roman"/>
        </w:rPr>
      </w:pPr>
      <w:r>
        <w:rPr>
          <w:rFonts w:ascii="Times New Roman" w:hAnsi="Times New Roman"/>
        </w:rPr>
        <w:t xml:space="preserve">IRS </w:t>
      </w:r>
      <w:r w:rsidR="009341B7">
        <w:rPr>
          <w:rFonts w:ascii="Times New Roman" w:hAnsi="Times New Roman"/>
        </w:rPr>
        <w:t xml:space="preserve">has </w:t>
      </w:r>
      <w:r>
        <w:rPr>
          <w:rFonts w:ascii="Times New Roman" w:hAnsi="Times New Roman"/>
        </w:rPr>
        <w:t>take</w:t>
      </w:r>
      <w:r w:rsidR="009341B7">
        <w:rPr>
          <w:rFonts w:ascii="Times New Roman" w:hAnsi="Times New Roman"/>
        </w:rPr>
        <w:t>n</w:t>
      </w:r>
      <w:r>
        <w:rPr>
          <w:rFonts w:ascii="Times New Roman" w:hAnsi="Times New Roman"/>
        </w:rPr>
        <w:t xml:space="preserve"> these </w:t>
      </w:r>
      <w:r w:rsidRPr="00432DFA">
        <w:rPr>
          <w:rFonts w:ascii="Times New Roman" w:hAnsi="Times New Roman"/>
        </w:rPr>
        <w:t>suggestion</w:t>
      </w:r>
      <w:r>
        <w:rPr>
          <w:rFonts w:ascii="Times New Roman" w:hAnsi="Times New Roman"/>
        </w:rPr>
        <w:t>s</w:t>
      </w:r>
      <w:r w:rsidRPr="00432DFA">
        <w:rPr>
          <w:rFonts w:ascii="Times New Roman" w:hAnsi="Times New Roman"/>
        </w:rPr>
        <w:t xml:space="preserve"> </w:t>
      </w:r>
      <w:r w:rsidR="009341B7">
        <w:rPr>
          <w:rFonts w:ascii="Times New Roman" w:hAnsi="Times New Roman"/>
        </w:rPr>
        <w:t xml:space="preserve">in </w:t>
      </w:r>
      <w:r w:rsidRPr="00432DFA">
        <w:rPr>
          <w:rFonts w:ascii="Times New Roman" w:hAnsi="Times New Roman"/>
        </w:rPr>
        <w:t xml:space="preserve">consideration and </w:t>
      </w:r>
      <w:r w:rsidR="009341B7">
        <w:rPr>
          <w:rFonts w:ascii="Times New Roman" w:hAnsi="Times New Roman"/>
        </w:rPr>
        <w:t xml:space="preserve">partially </w:t>
      </w:r>
      <w:r w:rsidRPr="00432DFA">
        <w:rPr>
          <w:rFonts w:ascii="Times New Roman" w:hAnsi="Times New Roman"/>
        </w:rPr>
        <w:t>adopt</w:t>
      </w:r>
      <w:r w:rsidR="009341B7">
        <w:rPr>
          <w:rFonts w:ascii="Times New Roman" w:hAnsi="Times New Roman"/>
        </w:rPr>
        <w:t>ed them</w:t>
      </w:r>
      <w:r w:rsidRPr="00432DFA">
        <w:rPr>
          <w:rFonts w:ascii="Times New Roman" w:hAnsi="Times New Roman"/>
        </w:rPr>
        <w:t xml:space="preserve"> in the 2023 Form 8936 and related forms.</w:t>
      </w:r>
    </w:p>
    <w:p w:rsidR="007C31ED" w:rsidP="0015572D" w14:paraId="41586889" w14:textId="77777777">
      <w:pPr>
        <w:tabs>
          <w:tab w:val="num" w:pos="540"/>
        </w:tabs>
        <w:ind w:left="540" w:hanging="540"/>
        <w:rPr>
          <w:rFonts w:ascii="Times New Roman" w:hAnsi="Times New Roman"/>
        </w:rPr>
      </w:pPr>
    </w:p>
    <w:p w:rsidR="000B1A00" w:rsidRPr="0015572D" w:rsidP="00526958" w14:paraId="310E2217" w14:textId="77777777">
      <w:pPr>
        <w:tabs>
          <w:tab w:val="num" w:pos="540"/>
        </w:tabs>
        <w:ind w:left="540" w:hanging="540"/>
        <w:rPr>
          <w:rFonts w:ascii="Times New Roman" w:hAnsi="Times New Roman"/>
        </w:rPr>
      </w:pPr>
      <w:r>
        <w:rPr>
          <w:rFonts w:ascii="Times New Roman" w:hAnsi="Times New Roman"/>
        </w:rPr>
        <w:t xml:space="preserve">9.      </w:t>
      </w:r>
      <w:r w:rsidRPr="0015572D">
        <w:rPr>
          <w:rFonts w:ascii="Times New Roman" w:hAnsi="Times New Roman"/>
          <w:u w:val="single"/>
        </w:rPr>
        <w:t>EXPLANATION OF DECISION TO PROVIDE ANY PAYMENT OR GIFT TO</w:t>
      </w:r>
      <w:r w:rsidR="0015572D">
        <w:rPr>
          <w:rFonts w:ascii="Times New Roman" w:hAnsi="Times New Roman"/>
          <w:u w:val="single"/>
        </w:rPr>
        <w:t xml:space="preserve"> </w:t>
      </w:r>
      <w:r w:rsidRPr="0015572D">
        <w:rPr>
          <w:rFonts w:ascii="Times New Roman" w:hAnsi="Times New Roman"/>
          <w:u w:val="single"/>
        </w:rPr>
        <w:t>RESPONDENTS</w:t>
      </w:r>
    </w:p>
    <w:p w:rsidR="000B1A00" w:rsidRPr="0015572D" w:rsidP="0015572D" w14:paraId="063EA78C" w14:textId="77777777">
      <w:pPr>
        <w:tabs>
          <w:tab w:val="num" w:pos="540"/>
        </w:tabs>
        <w:ind w:left="540" w:hanging="540"/>
        <w:rPr>
          <w:rFonts w:ascii="Times New Roman" w:hAnsi="Times New Roman"/>
        </w:rPr>
      </w:pPr>
    </w:p>
    <w:p w:rsidR="000B1A00" w:rsidP="0015572D" w14:paraId="2CAE5B82"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No payment or gift has been provided to any respondents.</w:t>
      </w:r>
    </w:p>
    <w:p w:rsidR="00526958" w:rsidP="0015572D" w14:paraId="37F9662A" w14:textId="77777777">
      <w:pPr>
        <w:tabs>
          <w:tab w:val="num" w:pos="540"/>
        </w:tabs>
        <w:ind w:left="540" w:hanging="540"/>
        <w:rPr>
          <w:rFonts w:ascii="Times New Roman" w:hAnsi="Times New Roman"/>
        </w:rPr>
      </w:pPr>
    </w:p>
    <w:p w:rsidR="000B1A00" w:rsidRPr="0015572D" w:rsidP="00526958" w14:paraId="75D12E39" w14:textId="77777777">
      <w:pPr>
        <w:tabs>
          <w:tab w:val="num" w:pos="540"/>
        </w:tabs>
        <w:ind w:left="540" w:hanging="540"/>
        <w:rPr>
          <w:rFonts w:ascii="Times New Roman" w:hAnsi="Times New Roman"/>
        </w:rPr>
      </w:pPr>
      <w:r>
        <w:rPr>
          <w:rFonts w:ascii="Times New Roman" w:hAnsi="Times New Roman"/>
        </w:rPr>
        <w:t xml:space="preserve">10.   </w:t>
      </w:r>
      <w:r w:rsidRPr="0015572D">
        <w:rPr>
          <w:rFonts w:ascii="Times New Roman" w:hAnsi="Times New Roman"/>
          <w:u w:val="single"/>
        </w:rPr>
        <w:t>ASSURANCE OF CONFIDENTIALITY OF RESPONSES</w:t>
      </w:r>
    </w:p>
    <w:p w:rsidR="000B1A00" w:rsidRPr="0015572D" w:rsidP="0015572D" w14:paraId="74E74028" w14:textId="77777777">
      <w:pPr>
        <w:tabs>
          <w:tab w:val="num" w:pos="540"/>
        </w:tabs>
        <w:ind w:left="540" w:hanging="540"/>
        <w:rPr>
          <w:rFonts w:ascii="Times New Roman" w:hAnsi="Times New Roman"/>
        </w:rPr>
      </w:pPr>
    </w:p>
    <w:p w:rsidR="000B1A00" w:rsidP="00D106E9" w14:paraId="66953DAF" w14:textId="77B6CEC7">
      <w:pPr>
        <w:tabs>
          <w:tab w:val="num" w:pos="540"/>
        </w:tabs>
        <w:ind w:left="540" w:right="-180" w:hanging="540"/>
        <w:rPr>
          <w:rFonts w:ascii="Times New Roman" w:hAnsi="Times New Roman"/>
        </w:rPr>
      </w:pPr>
      <w:r>
        <w:rPr>
          <w:rFonts w:ascii="Times New Roman" w:hAnsi="Times New Roman"/>
        </w:rPr>
        <w:tab/>
      </w:r>
      <w:r w:rsidRPr="0015572D">
        <w:rPr>
          <w:rFonts w:ascii="Times New Roman" w:hAnsi="Times New Roman"/>
        </w:rPr>
        <w:t>Generally, tax returns and tax return information are confidential as required by</w:t>
      </w:r>
      <w:r w:rsidR="00FB7B02">
        <w:rPr>
          <w:rFonts w:ascii="Times New Roman" w:hAnsi="Times New Roman"/>
        </w:rPr>
        <w:t xml:space="preserve"> 2</w:t>
      </w:r>
      <w:r w:rsidRPr="0015572D">
        <w:rPr>
          <w:rFonts w:ascii="Times New Roman" w:hAnsi="Times New Roman"/>
        </w:rPr>
        <w:t>6 USC 6103.</w:t>
      </w:r>
    </w:p>
    <w:p w:rsidR="00526958" w:rsidP="0015572D" w14:paraId="066C45DC" w14:textId="77777777">
      <w:pPr>
        <w:tabs>
          <w:tab w:val="num" w:pos="540"/>
        </w:tabs>
        <w:ind w:left="540" w:hanging="540"/>
        <w:rPr>
          <w:rFonts w:ascii="Times New Roman" w:hAnsi="Times New Roman"/>
        </w:rPr>
      </w:pPr>
    </w:p>
    <w:p w:rsidR="000B1A00" w:rsidP="00526958" w14:paraId="02C0AFE3" w14:textId="77777777">
      <w:pPr>
        <w:tabs>
          <w:tab w:val="num" w:pos="540"/>
        </w:tabs>
        <w:ind w:left="540" w:hanging="540"/>
        <w:rPr>
          <w:rFonts w:ascii="Times New Roman" w:hAnsi="Times New Roman"/>
          <w:u w:val="single"/>
        </w:rPr>
      </w:pPr>
      <w:r>
        <w:rPr>
          <w:rFonts w:ascii="Times New Roman" w:hAnsi="Times New Roman"/>
        </w:rPr>
        <w:t xml:space="preserve">11.   </w:t>
      </w:r>
      <w:r w:rsidRPr="0015572D">
        <w:rPr>
          <w:rFonts w:ascii="Times New Roman" w:hAnsi="Times New Roman"/>
          <w:u w:val="single"/>
        </w:rPr>
        <w:t>JUSTIFICATION OF SENSITIVE QUESTIONS</w:t>
      </w:r>
    </w:p>
    <w:p w:rsidR="00DF2B23" w:rsidP="00526958" w14:paraId="35285C53" w14:textId="77777777">
      <w:pPr>
        <w:tabs>
          <w:tab w:val="num" w:pos="540"/>
        </w:tabs>
        <w:ind w:left="540" w:hanging="540"/>
        <w:rPr>
          <w:rFonts w:ascii="Times New Roman" w:hAnsi="Times New Roman"/>
          <w:u w:val="single"/>
        </w:rPr>
      </w:pPr>
    </w:p>
    <w:p w:rsidR="0037129C" w14:paraId="606A5EBB" w14:textId="50D51066">
      <w:pPr>
        <w:tabs>
          <w:tab w:val="num" w:pos="540"/>
        </w:tabs>
        <w:ind w:left="540" w:hanging="540"/>
        <w:rPr>
          <w:rFonts w:ascii="Times New Roman" w:hAnsi="Times New Roman"/>
        </w:rPr>
      </w:pPr>
      <w:r w:rsidRPr="0037129C">
        <w:rPr>
          <w:rFonts w:ascii="Times New Roman" w:hAnsi="Times New Roman"/>
        </w:rPr>
        <w:t xml:space="preserve">        </w:t>
      </w:r>
      <w:r>
        <w:rPr>
          <w:rFonts w:ascii="Times New Roman" w:hAnsi="Times New Roman"/>
        </w:rPr>
        <w:t xml:space="preserve"> </w:t>
      </w:r>
      <w:r w:rsidRPr="0037129C">
        <w:rPr>
          <w:rFonts w:ascii="Times New Roman" w:hAnsi="Times New Roman"/>
        </w:rPr>
        <w:t>A privacy impact assessment (PIA) has been conducted for information collected under this request as part of the “</w:t>
      </w:r>
      <w:r>
        <w:rPr>
          <w:rFonts w:ascii="Times New Roman" w:hAnsi="Times New Roman"/>
        </w:rPr>
        <w:t>Individual</w:t>
      </w:r>
      <w:r w:rsidRPr="0037129C">
        <w:rPr>
          <w:rFonts w:ascii="Times New Roman" w:hAnsi="Times New Roman"/>
        </w:rPr>
        <w:t xml:space="preserve"> Master File (</w:t>
      </w:r>
      <w:r>
        <w:rPr>
          <w:rFonts w:ascii="Times New Roman" w:hAnsi="Times New Roman"/>
        </w:rPr>
        <w:t>I</w:t>
      </w:r>
      <w:r w:rsidRPr="0037129C">
        <w:rPr>
          <w:rFonts w:ascii="Times New Roman" w:hAnsi="Times New Roman"/>
        </w:rPr>
        <w:t>MF)” system and a Privacy Act System of Records notice (SORN) has been issued for this system under</w:t>
      </w:r>
      <w:r>
        <w:rPr>
          <w:rFonts w:ascii="Times New Roman" w:hAnsi="Times New Roman"/>
        </w:rPr>
        <w:t>:</w:t>
      </w:r>
      <w:r w:rsidRPr="00161CE2" w:rsidR="00161CE2">
        <w:t xml:space="preserve"> </w:t>
      </w:r>
      <w:r w:rsidRPr="00161CE2" w:rsidR="00161CE2">
        <w:rPr>
          <w:rFonts w:ascii="Times New Roman" w:hAnsi="Times New Roman"/>
        </w:rPr>
        <w:t>IRS Treas/IRS 24.046 BMF, and Treas/IRS 34.047 audit trail and security records</w:t>
      </w:r>
      <w:r>
        <w:rPr>
          <w:rFonts w:ascii="Times New Roman" w:hAnsi="Times New Roman"/>
        </w:rPr>
        <w:t xml:space="preserve">. </w:t>
      </w:r>
      <w:r w:rsidRPr="0037129C">
        <w:rPr>
          <w:rFonts w:ascii="Times New Roman" w:hAnsi="Times New Roman"/>
        </w:rPr>
        <w:t>The Internal Revenue Service PIAs can be found at</w:t>
      </w:r>
      <w:r w:rsidR="00BD3F10">
        <w:rPr>
          <w:rFonts w:ascii="Times New Roman" w:hAnsi="Times New Roman"/>
        </w:rPr>
        <w:t xml:space="preserve"> </w:t>
      </w:r>
      <w:hyperlink r:id="rId9" w:history="1">
        <w:r w:rsidRPr="00BD3F10" w:rsidR="00BD3F10">
          <w:rPr>
            <w:rStyle w:val="Hyperlink"/>
            <w:rFonts w:ascii="Times New Roman" w:hAnsi="Times New Roman"/>
          </w:rPr>
          <w:t>https://www.irs.gov/uac/Privacy-Impact-Assessments-PIA</w:t>
        </w:r>
      </w:hyperlink>
      <w:r>
        <w:rPr>
          <w:rFonts w:ascii="Times New Roman" w:hAnsi="Times New Roman"/>
        </w:rPr>
        <w:t xml:space="preserve"> . </w:t>
      </w:r>
    </w:p>
    <w:p w:rsidR="0037129C" w:rsidP="0037129C" w14:paraId="6BC121A5" w14:textId="77777777">
      <w:pPr>
        <w:tabs>
          <w:tab w:val="num" w:pos="540"/>
        </w:tabs>
        <w:ind w:left="540" w:hanging="540"/>
        <w:rPr>
          <w:rFonts w:ascii="Times New Roman" w:hAnsi="Times New Roman"/>
        </w:rPr>
      </w:pPr>
    </w:p>
    <w:p w:rsidR="000B1A00" w:rsidP="0015572D" w14:paraId="6B349E7D" w14:textId="77777777">
      <w:pPr>
        <w:tabs>
          <w:tab w:val="num" w:pos="540"/>
        </w:tabs>
        <w:ind w:left="540" w:hanging="540"/>
        <w:rPr>
          <w:rFonts w:ascii="Times New Roman" w:hAnsi="Times New Roman"/>
        </w:rPr>
      </w:pPr>
      <w:r>
        <w:rPr>
          <w:rFonts w:ascii="Times New Roman" w:hAnsi="Times New Roman"/>
        </w:rPr>
        <w:t xml:space="preserve">         </w:t>
      </w:r>
      <w:r w:rsidRPr="0037129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15572D">
        <w:rPr>
          <w:rFonts w:ascii="Times New Roman" w:hAnsi="Times New Roman"/>
        </w:rPr>
        <w:tab/>
      </w:r>
    </w:p>
    <w:p w:rsidR="00526958" w:rsidP="0015572D" w14:paraId="5CB122CF" w14:textId="77777777">
      <w:pPr>
        <w:tabs>
          <w:tab w:val="num" w:pos="540"/>
        </w:tabs>
        <w:ind w:left="540" w:hanging="540"/>
        <w:rPr>
          <w:rFonts w:ascii="Times New Roman" w:hAnsi="Times New Roman"/>
        </w:rPr>
      </w:pPr>
    </w:p>
    <w:p w:rsidR="000B1A00" w:rsidRPr="0015572D" w:rsidP="00526958" w14:paraId="129153B7" w14:textId="77777777">
      <w:pPr>
        <w:tabs>
          <w:tab w:val="num" w:pos="540"/>
        </w:tabs>
        <w:ind w:left="540" w:hanging="540"/>
        <w:rPr>
          <w:rFonts w:ascii="Times New Roman" w:hAnsi="Times New Roman"/>
          <w:u w:val="single"/>
        </w:rPr>
      </w:pPr>
      <w:r>
        <w:rPr>
          <w:rFonts w:ascii="Times New Roman" w:hAnsi="Times New Roman"/>
        </w:rPr>
        <w:t xml:space="preserve">12.   </w:t>
      </w:r>
      <w:r w:rsidRPr="0015572D">
        <w:rPr>
          <w:rFonts w:ascii="Times New Roman" w:hAnsi="Times New Roman"/>
          <w:u w:val="single"/>
        </w:rPr>
        <w:t>ESTIMATED BURDEN OF INFORMATION COLLECTION</w:t>
      </w:r>
    </w:p>
    <w:p w:rsidR="000B1A00" w:rsidP="0015572D" w14:paraId="6C455843" w14:textId="73F3ED33">
      <w:pPr>
        <w:tabs>
          <w:tab w:val="num" w:pos="540"/>
        </w:tabs>
        <w:ind w:left="540" w:hanging="540"/>
        <w:rPr>
          <w:rFonts w:ascii="Times New Roman" w:hAnsi="Times New Roman"/>
          <w:u w:val="single"/>
        </w:rPr>
      </w:pPr>
    </w:p>
    <w:p w:rsidR="004C73D8" w:rsidP="00D106E9" w14:paraId="6FDFA3E0" w14:textId="771D59F9">
      <w:pPr>
        <w:tabs>
          <w:tab w:val="num" w:pos="540"/>
        </w:tabs>
        <w:ind w:left="540"/>
        <w:rPr>
          <w:rFonts w:ascii="Times New Roman" w:hAnsi="Times New Roman"/>
        </w:rPr>
      </w:pPr>
      <w:r w:rsidRPr="00D106E9">
        <w:rPr>
          <w:rFonts w:ascii="Times New Roman" w:hAnsi="Times New Roman"/>
        </w:rPr>
        <w:t xml:space="preserve">The time needed to complete and file the </w:t>
      </w:r>
      <w:r>
        <w:rPr>
          <w:rFonts w:ascii="Times New Roman" w:hAnsi="Times New Roman"/>
        </w:rPr>
        <w:t>Form 8936</w:t>
      </w:r>
      <w:r w:rsidRPr="00D106E9">
        <w:rPr>
          <w:rFonts w:ascii="Times New Roman" w:hAnsi="Times New Roman"/>
        </w:rPr>
        <w:t xml:space="preserve"> </w:t>
      </w:r>
      <w:r w:rsidR="00B64D10">
        <w:rPr>
          <w:rFonts w:ascii="Times New Roman" w:hAnsi="Times New Roman"/>
        </w:rPr>
        <w:t xml:space="preserve">and Form 8936-A </w:t>
      </w:r>
      <w:r w:rsidRPr="00D106E9">
        <w:rPr>
          <w:rFonts w:ascii="Times New Roman" w:hAnsi="Times New Roman"/>
        </w:rPr>
        <w:t xml:space="preserve">will vary depending on individual circumstances. </w:t>
      </w:r>
      <w:r>
        <w:rPr>
          <w:rFonts w:ascii="Times New Roman" w:hAnsi="Times New Roman"/>
        </w:rPr>
        <w:t xml:space="preserve">The estimated burden for individual filers is capture under OMB control number 1545-0074 and business filers is capture under OMB control number 1545-0123. The estimated burden for estate and trust filers is captured under </w:t>
      </w:r>
      <w:r w:rsidRPr="00D106E9">
        <w:rPr>
          <w:rFonts w:ascii="Times New Roman" w:hAnsi="Times New Roman"/>
        </w:rPr>
        <w:t>OMB control number 1545-2</w:t>
      </w:r>
      <w:r>
        <w:rPr>
          <w:rFonts w:ascii="Times New Roman" w:hAnsi="Times New Roman"/>
        </w:rPr>
        <w:t>137</w:t>
      </w:r>
      <w:r w:rsidRPr="00D106E9">
        <w:rPr>
          <w:rFonts w:ascii="Times New Roman" w:hAnsi="Times New Roman"/>
        </w:rPr>
        <w:t>.</w:t>
      </w:r>
      <w:r w:rsidR="00867715">
        <w:rPr>
          <w:rFonts w:ascii="Times New Roman" w:hAnsi="Times New Roman"/>
        </w:rPr>
        <w:t xml:space="preserve">  </w:t>
      </w:r>
    </w:p>
    <w:p w:rsidR="00867715" w:rsidP="00D106E9" w14:paraId="3C11A476" w14:textId="68BEB6CC">
      <w:pPr>
        <w:tabs>
          <w:tab w:val="num" w:pos="540"/>
        </w:tabs>
        <w:ind w:left="540"/>
        <w:rPr>
          <w:rFonts w:ascii="Times New Roman" w:hAnsi="Times New Roman"/>
        </w:rPr>
      </w:pPr>
    </w:p>
    <w:p w:rsidR="00867715" w:rsidP="00D106E9" w14:paraId="7777952F" w14:textId="1E646A70">
      <w:pPr>
        <w:tabs>
          <w:tab w:val="num" w:pos="540"/>
        </w:tabs>
        <w:ind w:left="540"/>
        <w:rPr>
          <w:rFonts w:ascii="Times New Roman" w:hAnsi="Times New Roman"/>
        </w:rPr>
      </w:pPr>
      <w:r>
        <w:rPr>
          <w:rFonts w:ascii="Times New Roman" w:hAnsi="Times New Roman"/>
        </w:rPr>
        <w:t xml:space="preserve">The burden for Form 15400 for </w:t>
      </w:r>
      <w:r w:rsidR="0018132C">
        <w:rPr>
          <w:rFonts w:ascii="Times New Roman" w:hAnsi="Times New Roman"/>
        </w:rPr>
        <w:t>all</w:t>
      </w:r>
      <w:r>
        <w:rPr>
          <w:rFonts w:ascii="Times New Roman" w:hAnsi="Times New Roman"/>
        </w:rPr>
        <w:t xml:space="preserve"> filers is </w:t>
      </w:r>
      <w:r w:rsidR="00173E6D">
        <w:rPr>
          <w:rFonts w:ascii="Times New Roman" w:hAnsi="Times New Roman"/>
        </w:rPr>
        <w:t>accounted for</w:t>
      </w:r>
      <w:r>
        <w:rPr>
          <w:rFonts w:ascii="Times New Roman" w:hAnsi="Times New Roman"/>
        </w:rPr>
        <w:t xml:space="preserve"> within </w:t>
      </w:r>
      <w:r w:rsidR="00777375">
        <w:rPr>
          <w:rFonts w:ascii="Times New Roman" w:hAnsi="Times New Roman"/>
        </w:rPr>
        <w:t>1545-2137</w:t>
      </w:r>
      <w:r w:rsidR="00AC2C83">
        <w:rPr>
          <w:rFonts w:ascii="Times New Roman" w:hAnsi="Times New Roman"/>
        </w:rPr>
        <w:t>.</w:t>
      </w:r>
    </w:p>
    <w:p w:rsidR="005B01FF" w:rsidRPr="0015572D" w:rsidP="00E60C3B" w14:paraId="3B57F8CD" w14:textId="77777777">
      <w:pPr>
        <w:tabs>
          <w:tab w:val="num" w:pos="540"/>
        </w:tabs>
        <w:rPr>
          <w:rFonts w:ascii="Times New Roman" w:hAnsi="Times New Roman"/>
        </w:rPr>
      </w:pPr>
      <w:r>
        <w:rPr>
          <w:rFonts w:ascii="Times New Roman" w:hAnsi="Times New Roman"/>
        </w:rPr>
        <w:tab/>
      </w:r>
    </w:p>
    <w:tbl>
      <w:tblPr>
        <w:tblW w:w="9630" w:type="dxa"/>
        <w:tblInd w:w="530" w:type="dxa"/>
        <w:tblLayout w:type="fixed"/>
        <w:tblLook w:val="04A0"/>
      </w:tblPr>
      <w:tblGrid>
        <w:gridCol w:w="1080"/>
        <w:gridCol w:w="2430"/>
        <w:gridCol w:w="1260"/>
        <w:gridCol w:w="1170"/>
        <w:gridCol w:w="1260"/>
        <w:gridCol w:w="1080"/>
        <w:gridCol w:w="1350"/>
      </w:tblGrid>
      <w:tr w14:paraId="43922A8B" w14:textId="77777777" w:rsidTr="00E60C3B">
        <w:tblPrEx>
          <w:tblW w:w="9630" w:type="dxa"/>
          <w:tblInd w:w="530" w:type="dxa"/>
          <w:tblLayout w:type="fixed"/>
          <w:tblLook w:val="04A0"/>
        </w:tblPrEx>
        <w:trPr>
          <w:trHeight w:val="67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38F0B10E" w14:textId="5DF60F78">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Form</w:t>
            </w:r>
          </w:p>
        </w:tc>
        <w:tc>
          <w:tcPr>
            <w:tcW w:w="2430" w:type="dxa"/>
            <w:tcBorders>
              <w:top w:val="single" w:sz="8" w:space="0" w:color="auto"/>
              <w:left w:val="nil"/>
              <w:bottom w:val="single" w:sz="8" w:space="0" w:color="auto"/>
              <w:right w:val="single" w:sz="8" w:space="0" w:color="auto"/>
            </w:tcBorders>
            <w:noWrap/>
            <w:vAlign w:val="center"/>
            <w:hideMark/>
          </w:tcPr>
          <w:p w:rsidR="008606D8" w:rsidRPr="002F2FF9" w14:paraId="04C5451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Description</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1EF88FD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8606D8" w:rsidRPr="002F2FF9" w14:paraId="37E14139" w14:textId="547F331C">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xml:space="preserve"># Responses </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578FE6A5"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8606D8" w:rsidRPr="002F2FF9" w14:paraId="469037F6"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Hours Per Response</w:t>
            </w:r>
          </w:p>
        </w:tc>
        <w:tc>
          <w:tcPr>
            <w:tcW w:w="1350" w:type="dxa"/>
            <w:tcBorders>
              <w:top w:val="single" w:sz="8" w:space="0" w:color="auto"/>
              <w:left w:val="nil"/>
              <w:bottom w:val="single" w:sz="8" w:space="0" w:color="auto"/>
              <w:right w:val="single" w:sz="8" w:space="0" w:color="auto"/>
            </w:tcBorders>
            <w:vAlign w:val="center"/>
            <w:hideMark/>
          </w:tcPr>
          <w:p w:rsidR="008606D8" w:rsidRPr="002F2FF9" w14:paraId="25BFA10D"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Burden</w:t>
            </w:r>
          </w:p>
        </w:tc>
      </w:tr>
      <w:tr w14:paraId="69F6827D"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EA6128" w:rsidRPr="002F2FF9" w:rsidP="00D13D53" w14:paraId="227E7BE8"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Notice 2009-89</w:t>
            </w:r>
          </w:p>
        </w:tc>
        <w:tc>
          <w:tcPr>
            <w:tcW w:w="2430" w:type="dxa"/>
            <w:tcBorders>
              <w:top w:val="single" w:sz="8" w:space="0" w:color="auto"/>
              <w:left w:val="single" w:sz="8" w:space="0" w:color="auto"/>
              <w:bottom w:val="single" w:sz="8" w:space="0" w:color="auto"/>
              <w:right w:val="single" w:sz="8" w:space="0" w:color="auto"/>
            </w:tcBorders>
            <w:vAlign w:val="center"/>
            <w:hideMark/>
          </w:tcPr>
          <w:p w:rsidR="00EA6128" w:rsidRPr="002F2FF9" w:rsidP="00D13D53" w14:paraId="69642F26" w14:textId="77777777">
            <w:pPr>
              <w:keepNext/>
              <w:keepLines/>
              <w:rPr>
                <w:rFonts w:ascii="Arial Narrow" w:hAnsi="Arial Narrow"/>
                <w:color w:val="000000"/>
                <w:sz w:val="20"/>
                <w:szCs w:val="20"/>
              </w:rPr>
            </w:pPr>
            <w:r w:rsidRPr="002F2FF9">
              <w:rPr>
                <w:rFonts w:ascii="Arial Narrow" w:hAnsi="Arial Narrow"/>
                <w:color w:val="000000"/>
                <w:sz w:val="20"/>
                <w:szCs w:val="20"/>
              </w:rPr>
              <w:t>New 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EA6128" w:rsidRPr="002F2FF9" w:rsidP="00D13D53" w14:paraId="4371A3AA"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12</w:t>
            </w:r>
          </w:p>
        </w:tc>
        <w:tc>
          <w:tcPr>
            <w:tcW w:w="1170" w:type="dxa"/>
            <w:tcBorders>
              <w:top w:val="single" w:sz="8" w:space="0" w:color="auto"/>
              <w:left w:val="nil"/>
              <w:bottom w:val="single" w:sz="8" w:space="0" w:color="auto"/>
              <w:right w:val="single" w:sz="8" w:space="0" w:color="auto"/>
            </w:tcBorders>
            <w:noWrap/>
            <w:vAlign w:val="center"/>
            <w:hideMark/>
          </w:tcPr>
          <w:p w:rsidR="00EA6128" w:rsidRPr="002F2FF9" w:rsidP="00D13D53" w14:paraId="79A088F2"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EA6128" w:rsidRPr="002F2FF9" w:rsidP="00D13D53" w14:paraId="1EB2A41A"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12</w:t>
            </w:r>
          </w:p>
        </w:tc>
        <w:tc>
          <w:tcPr>
            <w:tcW w:w="1080" w:type="dxa"/>
            <w:tcBorders>
              <w:top w:val="single" w:sz="8" w:space="0" w:color="auto"/>
              <w:left w:val="nil"/>
              <w:bottom w:val="single" w:sz="8" w:space="0" w:color="auto"/>
              <w:right w:val="single" w:sz="8" w:space="0" w:color="auto"/>
            </w:tcBorders>
            <w:noWrap/>
            <w:vAlign w:val="center"/>
            <w:hideMark/>
          </w:tcPr>
          <w:p w:rsidR="00EA6128" w:rsidRPr="002F2FF9" w:rsidP="00D13D53" w14:paraId="464E3A68"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 xml:space="preserve"> 23.33 hr.</w:t>
            </w:r>
          </w:p>
        </w:tc>
        <w:tc>
          <w:tcPr>
            <w:tcW w:w="1350" w:type="dxa"/>
            <w:tcBorders>
              <w:top w:val="single" w:sz="8" w:space="0" w:color="auto"/>
              <w:left w:val="nil"/>
              <w:bottom w:val="single" w:sz="8" w:space="0" w:color="auto"/>
              <w:right w:val="single" w:sz="8" w:space="0" w:color="auto"/>
            </w:tcBorders>
            <w:noWrap/>
            <w:vAlign w:val="center"/>
            <w:hideMark/>
          </w:tcPr>
          <w:p w:rsidR="00EA6128" w:rsidRPr="002F2FF9" w:rsidP="00D13D53" w14:paraId="42239421"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280 hrs</w:t>
            </w:r>
            <w:r>
              <w:rPr>
                <w:rFonts w:ascii="Arial Narrow" w:hAnsi="Arial Narrow"/>
                <w:color w:val="000000"/>
                <w:sz w:val="20"/>
                <w:szCs w:val="20"/>
              </w:rPr>
              <w:t>.</w:t>
            </w:r>
          </w:p>
        </w:tc>
      </w:tr>
      <w:tr w14:paraId="7B3D37E3"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5976E086" w14:textId="12EBB7C9">
            <w:pPr>
              <w:keepNext/>
              <w:keepLines/>
              <w:jc w:val="center"/>
              <w:rPr>
                <w:rFonts w:ascii="Arial Narrow" w:hAnsi="Arial Narrow"/>
                <w:color w:val="000000"/>
                <w:sz w:val="20"/>
                <w:szCs w:val="20"/>
              </w:rPr>
            </w:pPr>
            <w:r w:rsidRPr="002F2FF9">
              <w:rPr>
                <w:rFonts w:ascii="Arial Narrow" w:hAnsi="Arial Narrow"/>
                <w:color w:val="000000"/>
                <w:sz w:val="20"/>
                <w:szCs w:val="20"/>
              </w:rPr>
              <w:t>8936</w:t>
            </w:r>
            <w:r w:rsidR="00C36786">
              <w:rPr>
                <w:rFonts w:ascii="Arial Narrow" w:hAnsi="Arial Narrow"/>
                <w:color w:val="000000"/>
                <w:sz w:val="20"/>
                <w:szCs w:val="20"/>
              </w:rPr>
              <w:t xml:space="preserve"> and Sch A</w:t>
            </w:r>
          </w:p>
        </w:tc>
        <w:tc>
          <w:tcPr>
            <w:tcW w:w="2430" w:type="dxa"/>
            <w:tcBorders>
              <w:top w:val="single" w:sz="8" w:space="0" w:color="auto"/>
              <w:left w:val="single" w:sz="8" w:space="0" w:color="auto"/>
              <w:bottom w:val="single" w:sz="8" w:space="0" w:color="auto"/>
              <w:right w:val="single" w:sz="8" w:space="0" w:color="auto"/>
            </w:tcBorders>
            <w:vAlign w:val="center"/>
            <w:hideMark/>
          </w:tcPr>
          <w:p w:rsidR="008606D8" w:rsidRPr="002F2FF9" w14:paraId="40906034" w14:textId="77777777">
            <w:pPr>
              <w:keepNext/>
              <w:keepLines/>
              <w:rPr>
                <w:rFonts w:ascii="Arial Narrow" w:hAnsi="Arial Narrow"/>
                <w:color w:val="000000"/>
                <w:sz w:val="20"/>
                <w:szCs w:val="20"/>
              </w:rPr>
            </w:pPr>
            <w:r w:rsidRPr="002F2FF9">
              <w:rPr>
                <w:rFonts w:ascii="Arial Narrow" w:hAnsi="Arial Narrow"/>
                <w:color w:val="000000"/>
                <w:sz w:val="20"/>
                <w:szCs w:val="20"/>
              </w:rPr>
              <w:t>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7DC77777"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hideMark/>
          </w:tcPr>
          <w:p w:rsidR="008606D8" w:rsidRPr="002F2FF9" w14:paraId="683F027E"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544F9C20"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w:t>
            </w:r>
            <w:r w:rsidRPr="002F2FF9">
              <w:rPr>
                <w:rFonts w:ascii="Arial Narrow" w:hAnsi="Arial Narrow"/>
                <w:color w:val="000000"/>
                <w:sz w:val="20"/>
                <w:szCs w:val="20"/>
              </w:rPr>
              <w:t>00</w:t>
            </w:r>
          </w:p>
        </w:tc>
        <w:tc>
          <w:tcPr>
            <w:tcW w:w="1080" w:type="dxa"/>
            <w:tcBorders>
              <w:top w:val="single" w:sz="8" w:space="0" w:color="auto"/>
              <w:left w:val="nil"/>
              <w:bottom w:val="single" w:sz="8" w:space="0" w:color="auto"/>
              <w:right w:val="single" w:sz="8" w:space="0" w:color="auto"/>
            </w:tcBorders>
            <w:noWrap/>
            <w:vAlign w:val="center"/>
            <w:hideMark/>
          </w:tcPr>
          <w:p w:rsidR="008606D8" w:rsidRPr="002F2FF9" w14:paraId="0D25573D" w14:textId="0D541FBC">
            <w:pPr>
              <w:keepNext/>
              <w:keepLines/>
              <w:jc w:val="center"/>
              <w:rPr>
                <w:rFonts w:ascii="Arial Narrow" w:hAnsi="Arial Narrow"/>
                <w:color w:val="000000"/>
                <w:sz w:val="20"/>
                <w:szCs w:val="20"/>
              </w:rPr>
            </w:pPr>
            <w:r>
              <w:rPr>
                <w:rFonts w:ascii="Arial Narrow" w:hAnsi="Arial Narrow"/>
                <w:color w:val="000000"/>
                <w:sz w:val="20"/>
                <w:szCs w:val="20"/>
              </w:rPr>
              <w:t>6.14</w:t>
            </w:r>
            <w:r w:rsidRPr="002F2FF9">
              <w:rPr>
                <w:rFonts w:ascii="Arial Narrow" w:hAnsi="Arial Narrow"/>
                <w:color w:val="000000"/>
                <w:sz w:val="20"/>
                <w:szCs w:val="20"/>
              </w:rPr>
              <w:t xml:space="preserve"> hr. </w:t>
            </w:r>
          </w:p>
        </w:tc>
        <w:tc>
          <w:tcPr>
            <w:tcW w:w="1350" w:type="dxa"/>
            <w:tcBorders>
              <w:top w:val="single" w:sz="8" w:space="0" w:color="auto"/>
              <w:left w:val="nil"/>
              <w:bottom w:val="single" w:sz="8" w:space="0" w:color="auto"/>
              <w:right w:val="single" w:sz="8" w:space="0" w:color="auto"/>
            </w:tcBorders>
            <w:noWrap/>
            <w:vAlign w:val="center"/>
            <w:hideMark/>
          </w:tcPr>
          <w:p w:rsidR="008606D8" w:rsidRPr="002F2FF9" w14:paraId="6C9069F1" w14:textId="718C5D55">
            <w:pPr>
              <w:keepNext/>
              <w:keepLines/>
              <w:jc w:val="center"/>
              <w:rPr>
                <w:rFonts w:ascii="Arial Narrow" w:hAnsi="Arial Narrow"/>
                <w:color w:val="000000"/>
                <w:sz w:val="20"/>
                <w:szCs w:val="20"/>
              </w:rPr>
            </w:pPr>
            <w:r>
              <w:rPr>
                <w:rFonts w:ascii="Arial Narrow" w:hAnsi="Arial Narrow"/>
                <w:color w:val="000000"/>
                <w:sz w:val="20"/>
                <w:szCs w:val="20"/>
              </w:rPr>
              <w:t>3,070</w:t>
            </w:r>
            <w:r w:rsidRPr="002F2FF9">
              <w:rPr>
                <w:rFonts w:ascii="Arial Narrow" w:hAnsi="Arial Narrow"/>
                <w:color w:val="000000"/>
                <w:sz w:val="20"/>
                <w:szCs w:val="20"/>
              </w:rPr>
              <w:t xml:space="preserve"> hrs</w:t>
            </w:r>
            <w:r w:rsidR="002F2FF9">
              <w:rPr>
                <w:rFonts w:ascii="Arial Narrow" w:hAnsi="Arial Narrow"/>
                <w:color w:val="000000"/>
                <w:sz w:val="20"/>
                <w:szCs w:val="20"/>
              </w:rPr>
              <w:t>.</w:t>
            </w:r>
          </w:p>
        </w:tc>
      </w:tr>
      <w:tr w14:paraId="56CDA049"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EA6128" w:rsidRPr="002F2FF9" w:rsidP="00D13D53" w14:paraId="28BD749F" w14:textId="77777777">
            <w:pPr>
              <w:keepNext/>
              <w:keepLines/>
              <w:jc w:val="center"/>
              <w:rPr>
                <w:rFonts w:ascii="Arial Narrow" w:hAnsi="Arial Narrow"/>
                <w:color w:val="000000"/>
                <w:sz w:val="20"/>
                <w:szCs w:val="20"/>
              </w:rPr>
            </w:pPr>
            <w:r>
              <w:rPr>
                <w:rFonts w:ascii="Arial Narrow" w:hAnsi="Arial Narrow"/>
                <w:color w:val="000000"/>
                <w:sz w:val="20"/>
                <w:szCs w:val="20"/>
              </w:rPr>
              <w:t>15400</w:t>
            </w:r>
          </w:p>
        </w:tc>
        <w:tc>
          <w:tcPr>
            <w:tcW w:w="2430" w:type="dxa"/>
            <w:tcBorders>
              <w:top w:val="single" w:sz="8" w:space="0" w:color="auto"/>
              <w:left w:val="single" w:sz="8" w:space="0" w:color="auto"/>
              <w:bottom w:val="single" w:sz="8" w:space="0" w:color="auto"/>
              <w:right w:val="single" w:sz="8" w:space="0" w:color="auto"/>
            </w:tcBorders>
            <w:vAlign w:val="center"/>
          </w:tcPr>
          <w:p w:rsidR="00EA6128" w:rsidRPr="005D1889" w:rsidP="00D13D53" w14:paraId="072FD19B" w14:textId="23085B87">
            <w:pPr>
              <w:keepNext/>
              <w:keepLines/>
              <w:rPr>
                <w:rFonts w:ascii="Arial Narrow" w:hAnsi="Arial Narrow"/>
                <w:color w:val="000000"/>
                <w:sz w:val="20"/>
                <w:szCs w:val="20"/>
              </w:rPr>
            </w:pPr>
            <w:r>
              <w:rPr>
                <w:rFonts w:ascii="Arial Narrow" w:hAnsi="Arial Narrow"/>
                <w:color w:val="000000"/>
                <w:sz w:val="20"/>
                <w:szCs w:val="20"/>
              </w:rPr>
              <w:t>New Clean Vehicle Seller Report</w:t>
            </w:r>
            <w:r w:rsidR="0088566C">
              <w:rPr>
                <w:rFonts w:ascii="Arial Narrow" w:hAnsi="Arial Narrow"/>
                <w:color w:val="000000"/>
                <w:sz w:val="20"/>
                <w:szCs w:val="20"/>
              </w:rPr>
              <w:t xml:space="preserve"> (Rev Proc 2022-42)</w:t>
            </w:r>
          </w:p>
        </w:tc>
        <w:tc>
          <w:tcPr>
            <w:tcW w:w="1260" w:type="dxa"/>
            <w:tcBorders>
              <w:top w:val="single" w:sz="8" w:space="0" w:color="auto"/>
              <w:left w:val="nil"/>
              <w:bottom w:val="single" w:sz="8" w:space="0" w:color="auto"/>
              <w:right w:val="single" w:sz="8" w:space="0" w:color="auto"/>
            </w:tcBorders>
            <w:noWrap/>
            <w:vAlign w:val="center"/>
          </w:tcPr>
          <w:p w:rsidR="00EA6128" w:rsidRPr="002F2FF9" w:rsidP="00D13D53" w14:paraId="5088D29E" w14:textId="77777777">
            <w:pPr>
              <w:keepNext/>
              <w:keepLines/>
              <w:jc w:val="center"/>
              <w:rPr>
                <w:rFonts w:ascii="Arial Narrow" w:hAnsi="Arial Narrow"/>
                <w:color w:val="000000"/>
                <w:sz w:val="20"/>
                <w:szCs w:val="20"/>
              </w:rPr>
            </w:pPr>
            <w:r>
              <w:rPr>
                <w:rFonts w:ascii="Arial Narrow" w:hAnsi="Arial Narrow"/>
                <w:color w:val="000000"/>
                <w:sz w:val="20"/>
                <w:szCs w:val="20"/>
              </w:rPr>
              <w:t>52,165</w:t>
            </w:r>
          </w:p>
        </w:tc>
        <w:tc>
          <w:tcPr>
            <w:tcW w:w="1170" w:type="dxa"/>
            <w:tcBorders>
              <w:top w:val="single" w:sz="8" w:space="0" w:color="auto"/>
              <w:left w:val="nil"/>
              <w:bottom w:val="single" w:sz="8" w:space="0" w:color="auto"/>
              <w:right w:val="single" w:sz="8" w:space="0" w:color="auto"/>
            </w:tcBorders>
            <w:noWrap/>
            <w:vAlign w:val="center"/>
          </w:tcPr>
          <w:p w:rsidR="00EA6128" w:rsidRPr="002F2FF9" w:rsidP="00D13D53" w14:paraId="2C04D0CA" w14:textId="30E57A2B">
            <w:pPr>
              <w:keepNext/>
              <w:keepLines/>
              <w:jc w:val="center"/>
              <w:rPr>
                <w:rFonts w:ascii="Arial Narrow" w:hAnsi="Arial Narrow"/>
                <w:color w:val="000000"/>
                <w:sz w:val="20"/>
                <w:szCs w:val="20"/>
              </w:rPr>
            </w:pPr>
            <w:r>
              <w:rPr>
                <w:rFonts w:ascii="Arial Narrow" w:hAnsi="Arial Narrow"/>
                <w:color w:val="000000"/>
                <w:sz w:val="20"/>
                <w:szCs w:val="20"/>
              </w:rPr>
              <w:t>4.7158</w:t>
            </w:r>
          </w:p>
        </w:tc>
        <w:tc>
          <w:tcPr>
            <w:tcW w:w="1260" w:type="dxa"/>
            <w:tcBorders>
              <w:top w:val="single" w:sz="8" w:space="0" w:color="auto"/>
              <w:left w:val="nil"/>
              <w:bottom w:val="single" w:sz="8" w:space="0" w:color="auto"/>
              <w:right w:val="single" w:sz="8" w:space="0" w:color="auto"/>
            </w:tcBorders>
            <w:noWrap/>
            <w:vAlign w:val="center"/>
          </w:tcPr>
          <w:p w:rsidR="00EA6128" w:rsidRPr="002F2FF9" w:rsidP="00D13D53" w14:paraId="4FCAA39B" w14:textId="6E8C99DC">
            <w:pPr>
              <w:keepNext/>
              <w:keepLines/>
              <w:jc w:val="center"/>
              <w:rPr>
                <w:rFonts w:ascii="Arial Narrow" w:hAnsi="Arial Narrow"/>
                <w:color w:val="000000"/>
                <w:sz w:val="20"/>
                <w:szCs w:val="20"/>
              </w:rPr>
            </w:pPr>
            <w:r>
              <w:rPr>
                <w:rFonts w:ascii="Arial Narrow" w:hAnsi="Arial Narrow"/>
                <w:color w:val="000000"/>
                <w:sz w:val="20"/>
                <w:szCs w:val="20"/>
              </w:rPr>
              <w:t>246,000</w:t>
            </w:r>
          </w:p>
        </w:tc>
        <w:tc>
          <w:tcPr>
            <w:tcW w:w="1080" w:type="dxa"/>
            <w:tcBorders>
              <w:top w:val="single" w:sz="8" w:space="0" w:color="auto"/>
              <w:left w:val="nil"/>
              <w:bottom w:val="single" w:sz="8" w:space="0" w:color="auto"/>
              <w:right w:val="single" w:sz="8" w:space="0" w:color="auto"/>
            </w:tcBorders>
            <w:noWrap/>
            <w:vAlign w:val="center"/>
          </w:tcPr>
          <w:p w:rsidR="00EA6128" w:rsidRPr="002F2FF9" w:rsidP="00D13D53" w14:paraId="2BF3636D" w14:textId="22F78FC0">
            <w:pPr>
              <w:keepNext/>
              <w:keepLines/>
              <w:jc w:val="center"/>
              <w:rPr>
                <w:rFonts w:ascii="Arial Narrow" w:hAnsi="Arial Narrow"/>
                <w:color w:val="000000"/>
                <w:sz w:val="20"/>
                <w:szCs w:val="20"/>
              </w:rPr>
            </w:pPr>
            <w:r>
              <w:rPr>
                <w:rFonts w:ascii="Arial Narrow" w:hAnsi="Arial Narrow"/>
                <w:color w:val="000000"/>
                <w:sz w:val="20"/>
                <w:szCs w:val="20"/>
              </w:rPr>
              <w:t>2.</w:t>
            </w:r>
            <w:r w:rsidR="007F614D">
              <w:rPr>
                <w:rFonts w:ascii="Arial Narrow" w:hAnsi="Arial Narrow"/>
                <w:color w:val="000000"/>
                <w:sz w:val="20"/>
                <w:szCs w:val="20"/>
              </w:rPr>
              <w:t>45 hr.</w:t>
            </w:r>
          </w:p>
        </w:tc>
        <w:tc>
          <w:tcPr>
            <w:tcW w:w="1350" w:type="dxa"/>
            <w:tcBorders>
              <w:top w:val="single" w:sz="8" w:space="0" w:color="auto"/>
              <w:left w:val="nil"/>
              <w:bottom w:val="single" w:sz="8" w:space="0" w:color="auto"/>
              <w:right w:val="single" w:sz="8" w:space="0" w:color="auto"/>
            </w:tcBorders>
            <w:noWrap/>
            <w:vAlign w:val="center"/>
          </w:tcPr>
          <w:p w:rsidR="00EA6128" w:rsidRPr="002F2FF9" w:rsidP="00D13D53" w14:paraId="333A1893" w14:textId="6EEC9B96">
            <w:pPr>
              <w:keepNext/>
              <w:keepLines/>
              <w:jc w:val="center"/>
              <w:rPr>
                <w:rFonts w:ascii="Arial Narrow" w:hAnsi="Arial Narrow"/>
                <w:color w:val="000000"/>
                <w:sz w:val="20"/>
                <w:szCs w:val="20"/>
              </w:rPr>
            </w:pPr>
            <w:r>
              <w:rPr>
                <w:rFonts w:ascii="Arial Narrow" w:hAnsi="Arial Narrow"/>
                <w:color w:val="000000"/>
                <w:sz w:val="20"/>
                <w:szCs w:val="20"/>
              </w:rPr>
              <w:t>602,700</w:t>
            </w:r>
            <w:r>
              <w:rPr>
                <w:rFonts w:ascii="Arial Narrow" w:hAnsi="Arial Narrow"/>
                <w:color w:val="000000"/>
                <w:sz w:val="20"/>
                <w:szCs w:val="20"/>
              </w:rPr>
              <w:t xml:space="preserve"> hrs.</w:t>
            </w:r>
          </w:p>
        </w:tc>
      </w:tr>
      <w:tr w14:paraId="28029335"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4451E4" w:rsidRPr="00B64D10" w14:paraId="1E20F0A7" w14:textId="3EA90AAE">
            <w:pPr>
              <w:keepNext/>
              <w:keepLines/>
              <w:jc w:val="center"/>
              <w:rPr>
                <w:rFonts w:ascii="Arial Narrow" w:hAnsi="Arial Narrow"/>
                <w:color w:val="000000"/>
                <w:sz w:val="20"/>
                <w:szCs w:val="20"/>
              </w:rPr>
            </w:pPr>
            <w:r w:rsidRPr="00B64D10">
              <w:rPr>
                <w:rFonts w:ascii="Arial Narrow" w:hAnsi="Arial Narrow"/>
                <w:color w:val="000000"/>
                <w:sz w:val="20"/>
                <w:szCs w:val="20"/>
              </w:rPr>
              <w:t>8936-A</w:t>
            </w:r>
            <w:r w:rsidR="005D1889">
              <w:rPr>
                <w:rFonts w:ascii="Arial Narrow" w:hAnsi="Arial Narrow"/>
                <w:color w:val="000000"/>
                <w:sz w:val="20"/>
                <w:szCs w:val="20"/>
              </w:rPr>
              <w:t xml:space="preserve"> and Sch 1</w:t>
            </w:r>
          </w:p>
        </w:tc>
        <w:tc>
          <w:tcPr>
            <w:tcW w:w="2430" w:type="dxa"/>
            <w:tcBorders>
              <w:top w:val="single" w:sz="8" w:space="0" w:color="auto"/>
              <w:left w:val="single" w:sz="8" w:space="0" w:color="auto"/>
              <w:bottom w:val="single" w:sz="8" w:space="0" w:color="auto"/>
              <w:right w:val="single" w:sz="8" w:space="0" w:color="auto"/>
            </w:tcBorders>
            <w:vAlign w:val="center"/>
          </w:tcPr>
          <w:p w:rsidR="004451E4" w:rsidRPr="00B64D10" w:rsidP="00B64D10" w14:paraId="70BD07F6" w14:textId="11B960FC">
            <w:pPr>
              <w:keepNext/>
              <w:keepLines/>
              <w:rPr>
                <w:rFonts w:ascii="Arial Narrow" w:hAnsi="Arial Narrow"/>
                <w:color w:val="000000"/>
                <w:sz w:val="20"/>
                <w:szCs w:val="20"/>
              </w:rPr>
            </w:pPr>
            <w:r w:rsidRPr="00B64D10">
              <w:rPr>
                <w:rFonts w:ascii="Arial Narrow" w:hAnsi="Arial Narrow"/>
                <w:color w:val="000000"/>
                <w:sz w:val="20"/>
                <w:szCs w:val="20"/>
              </w:rPr>
              <w:t>Qualified Commercial Clean Vehicle Credit</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1EE76BA5" w14:textId="4C5CA2FA">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170" w:type="dxa"/>
            <w:tcBorders>
              <w:top w:val="single" w:sz="8" w:space="0" w:color="auto"/>
              <w:left w:val="nil"/>
              <w:bottom w:val="single" w:sz="8" w:space="0" w:color="auto"/>
              <w:right w:val="single" w:sz="8" w:space="0" w:color="auto"/>
            </w:tcBorders>
            <w:noWrap/>
            <w:vAlign w:val="center"/>
          </w:tcPr>
          <w:p w:rsidR="004451E4" w:rsidRPr="002F2FF9" w14:paraId="2F195569" w14:textId="581A49E4">
            <w:pPr>
              <w:keepNext/>
              <w:keepLines/>
              <w:jc w:val="center"/>
              <w:rPr>
                <w:rFonts w:ascii="Arial Narrow" w:hAnsi="Arial Narrow"/>
                <w:color w:val="000000"/>
                <w:sz w:val="20"/>
                <w:szCs w:val="20"/>
              </w:rPr>
            </w:pPr>
            <w:r>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79EE6705" w14:textId="5E90A8F9">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080" w:type="dxa"/>
            <w:tcBorders>
              <w:top w:val="single" w:sz="8" w:space="0" w:color="auto"/>
              <w:left w:val="nil"/>
              <w:bottom w:val="single" w:sz="8" w:space="0" w:color="auto"/>
              <w:right w:val="single" w:sz="8" w:space="0" w:color="auto"/>
            </w:tcBorders>
            <w:noWrap/>
            <w:vAlign w:val="center"/>
          </w:tcPr>
          <w:p w:rsidR="004451E4" w:rsidRPr="002F2FF9" w14:paraId="49F32EC4" w14:textId="397FA18F">
            <w:pPr>
              <w:keepNext/>
              <w:keepLines/>
              <w:jc w:val="center"/>
              <w:rPr>
                <w:rFonts w:ascii="Arial Narrow" w:hAnsi="Arial Narrow"/>
                <w:color w:val="000000"/>
                <w:sz w:val="20"/>
                <w:szCs w:val="20"/>
              </w:rPr>
            </w:pPr>
            <w:r>
              <w:rPr>
                <w:rFonts w:ascii="Arial Narrow" w:hAnsi="Arial Narrow"/>
                <w:color w:val="000000"/>
                <w:sz w:val="20"/>
                <w:szCs w:val="20"/>
              </w:rPr>
              <w:t>2.90 hr</w:t>
            </w:r>
            <w:r w:rsidR="00FA5B6D">
              <w:rPr>
                <w:rFonts w:ascii="Arial Narrow" w:hAnsi="Arial Narrow"/>
                <w:color w:val="000000"/>
                <w:sz w:val="20"/>
                <w:szCs w:val="20"/>
              </w:rPr>
              <w:t>.</w:t>
            </w:r>
          </w:p>
        </w:tc>
        <w:tc>
          <w:tcPr>
            <w:tcW w:w="1350" w:type="dxa"/>
            <w:tcBorders>
              <w:top w:val="single" w:sz="8" w:space="0" w:color="auto"/>
              <w:left w:val="nil"/>
              <w:bottom w:val="single" w:sz="8" w:space="0" w:color="auto"/>
              <w:right w:val="single" w:sz="8" w:space="0" w:color="auto"/>
            </w:tcBorders>
            <w:noWrap/>
            <w:vAlign w:val="center"/>
          </w:tcPr>
          <w:p w:rsidR="004451E4" w:rsidRPr="002F2FF9" w14:paraId="1155EA1A" w14:textId="6041F89C">
            <w:pPr>
              <w:keepNext/>
              <w:keepLines/>
              <w:jc w:val="center"/>
              <w:rPr>
                <w:rFonts w:ascii="Arial Narrow" w:hAnsi="Arial Narrow"/>
                <w:color w:val="000000"/>
                <w:sz w:val="20"/>
                <w:szCs w:val="20"/>
              </w:rPr>
            </w:pPr>
            <w:r>
              <w:rPr>
                <w:rFonts w:ascii="Arial Narrow" w:hAnsi="Arial Narrow"/>
                <w:color w:val="000000"/>
                <w:sz w:val="20"/>
                <w:szCs w:val="20"/>
              </w:rPr>
              <w:t>37</w:t>
            </w:r>
            <w:r w:rsidR="0044052C">
              <w:rPr>
                <w:rFonts w:ascii="Arial Narrow" w:hAnsi="Arial Narrow"/>
                <w:color w:val="000000"/>
                <w:sz w:val="20"/>
                <w:szCs w:val="20"/>
              </w:rPr>
              <w:t>4</w:t>
            </w:r>
            <w:r>
              <w:rPr>
                <w:rFonts w:ascii="Arial Narrow" w:hAnsi="Arial Narrow"/>
                <w:color w:val="000000"/>
                <w:sz w:val="20"/>
                <w:szCs w:val="20"/>
              </w:rPr>
              <w:t xml:space="preserve"> hrs.</w:t>
            </w:r>
          </w:p>
        </w:tc>
      </w:tr>
      <w:tr w14:paraId="20BC068C"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610587" w:rsidRPr="002F2FF9" w14:paraId="7E520DA4" w14:textId="220D3B7A">
            <w:pPr>
              <w:keepNext/>
              <w:keepLines/>
              <w:jc w:val="center"/>
              <w:rPr>
                <w:rFonts w:ascii="Arial Narrow" w:hAnsi="Arial Narrow"/>
                <w:color w:val="000000"/>
                <w:sz w:val="20"/>
                <w:szCs w:val="20"/>
              </w:rPr>
            </w:pPr>
            <w:r>
              <w:rPr>
                <w:rFonts w:ascii="Arial Narrow" w:hAnsi="Arial Narrow"/>
                <w:color w:val="000000"/>
                <w:sz w:val="20"/>
                <w:szCs w:val="20"/>
              </w:rPr>
              <w:t>Rev Proc 2022-42</w:t>
            </w:r>
          </w:p>
        </w:tc>
        <w:tc>
          <w:tcPr>
            <w:tcW w:w="2430" w:type="dxa"/>
            <w:tcBorders>
              <w:top w:val="single" w:sz="8" w:space="0" w:color="auto"/>
              <w:left w:val="single" w:sz="8" w:space="0" w:color="auto"/>
              <w:bottom w:val="single" w:sz="8" w:space="0" w:color="auto"/>
              <w:right w:val="single" w:sz="8" w:space="0" w:color="auto"/>
            </w:tcBorders>
            <w:vAlign w:val="center"/>
          </w:tcPr>
          <w:p w:rsidR="00610587" w:rsidRPr="005D1889" w14:paraId="2CE23674" w14:textId="6249E4BF">
            <w:pPr>
              <w:keepNext/>
              <w:keepLines/>
              <w:rPr>
                <w:rFonts w:ascii="Arial Narrow" w:hAnsi="Arial Narrow"/>
                <w:color w:val="000000"/>
                <w:sz w:val="20"/>
                <w:szCs w:val="20"/>
              </w:rPr>
            </w:pPr>
            <w:r w:rsidRPr="005D1889">
              <w:rPr>
                <w:rFonts w:ascii="Arial Narrow" w:hAnsi="Arial Narrow"/>
                <w:color w:val="000000"/>
                <w:sz w:val="20"/>
                <w:szCs w:val="20"/>
              </w:rPr>
              <w:t>Qualified Manufacturers and Sellers of Clean Vehicles</w:t>
            </w:r>
            <w:r w:rsidR="00EE69AF">
              <w:rPr>
                <w:rFonts w:ascii="Arial Narrow" w:hAnsi="Arial Narrow"/>
                <w:color w:val="000000"/>
                <w:sz w:val="20"/>
                <w:szCs w:val="20"/>
              </w:rPr>
              <w:t xml:space="preserve"> – monthly reports </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7D4FCCF0" w14:textId="6541B128">
            <w:pPr>
              <w:keepNext/>
              <w:keepLines/>
              <w:jc w:val="center"/>
              <w:rPr>
                <w:rFonts w:ascii="Arial Narrow" w:hAnsi="Arial Narrow"/>
                <w:color w:val="000000"/>
                <w:sz w:val="20"/>
                <w:szCs w:val="20"/>
              </w:rPr>
            </w:pPr>
            <w:r>
              <w:rPr>
                <w:rFonts w:ascii="Arial Narrow" w:hAnsi="Arial Narrow"/>
                <w:color w:val="000000"/>
                <w:sz w:val="20"/>
                <w:szCs w:val="20"/>
              </w:rPr>
              <w:t>150</w:t>
            </w:r>
          </w:p>
        </w:tc>
        <w:tc>
          <w:tcPr>
            <w:tcW w:w="1170" w:type="dxa"/>
            <w:tcBorders>
              <w:top w:val="single" w:sz="8" w:space="0" w:color="auto"/>
              <w:left w:val="nil"/>
              <w:bottom w:val="single" w:sz="8" w:space="0" w:color="auto"/>
              <w:right w:val="single" w:sz="8" w:space="0" w:color="auto"/>
            </w:tcBorders>
            <w:noWrap/>
            <w:vAlign w:val="center"/>
          </w:tcPr>
          <w:p w:rsidR="00610587" w:rsidRPr="002F2FF9" w14:paraId="79761A5B" w14:textId="0DB20C4A">
            <w:pPr>
              <w:keepNext/>
              <w:keepLines/>
              <w:jc w:val="center"/>
              <w:rPr>
                <w:rFonts w:ascii="Arial Narrow" w:hAnsi="Arial Narrow"/>
                <w:color w:val="000000"/>
                <w:sz w:val="20"/>
                <w:szCs w:val="20"/>
              </w:rPr>
            </w:pPr>
            <w:r>
              <w:rPr>
                <w:rFonts w:ascii="Arial Narrow" w:hAnsi="Arial Narrow"/>
                <w:color w:val="000000"/>
                <w:sz w:val="20"/>
                <w:szCs w:val="20"/>
              </w:rPr>
              <w:t>12</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42DE08F9" w14:textId="2212C0F9">
            <w:pPr>
              <w:keepNext/>
              <w:keepLines/>
              <w:jc w:val="center"/>
              <w:rPr>
                <w:rFonts w:ascii="Arial Narrow" w:hAnsi="Arial Narrow"/>
                <w:color w:val="000000"/>
                <w:sz w:val="20"/>
                <w:szCs w:val="20"/>
              </w:rPr>
            </w:pPr>
            <w:r>
              <w:rPr>
                <w:rFonts w:ascii="Arial Narrow" w:hAnsi="Arial Narrow"/>
                <w:color w:val="000000"/>
                <w:sz w:val="20"/>
                <w:szCs w:val="20"/>
              </w:rPr>
              <w:t>1,800</w:t>
            </w:r>
          </w:p>
        </w:tc>
        <w:tc>
          <w:tcPr>
            <w:tcW w:w="1080" w:type="dxa"/>
            <w:tcBorders>
              <w:top w:val="single" w:sz="8" w:space="0" w:color="auto"/>
              <w:left w:val="nil"/>
              <w:bottom w:val="single" w:sz="8" w:space="0" w:color="auto"/>
              <w:right w:val="single" w:sz="8" w:space="0" w:color="auto"/>
            </w:tcBorders>
            <w:noWrap/>
            <w:vAlign w:val="center"/>
          </w:tcPr>
          <w:p w:rsidR="00610587" w:rsidRPr="002F2FF9" w14:paraId="5B0B124B" w14:textId="215637B0">
            <w:pPr>
              <w:keepNext/>
              <w:keepLines/>
              <w:jc w:val="center"/>
              <w:rPr>
                <w:rFonts w:ascii="Arial Narrow" w:hAnsi="Arial Narrow"/>
                <w:color w:val="000000"/>
                <w:sz w:val="20"/>
                <w:szCs w:val="20"/>
              </w:rPr>
            </w:pPr>
            <w:r>
              <w:rPr>
                <w:rFonts w:ascii="Arial Narrow" w:hAnsi="Arial Narrow"/>
                <w:color w:val="000000"/>
                <w:sz w:val="20"/>
                <w:szCs w:val="20"/>
              </w:rPr>
              <w:t>15 min (.25)</w:t>
            </w:r>
          </w:p>
        </w:tc>
        <w:tc>
          <w:tcPr>
            <w:tcW w:w="1350" w:type="dxa"/>
            <w:tcBorders>
              <w:top w:val="single" w:sz="8" w:space="0" w:color="auto"/>
              <w:left w:val="nil"/>
              <w:bottom w:val="single" w:sz="8" w:space="0" w:color="auto"/>
              <w:right w:val="single" w:sz="8" w:space="0" w:color="auto"/>
            </w:tcBorders>
            <w:noWrap/>
            <w:vAlign w:val="center"/>
          </w:tcPr>
          <w:p w:rsidR="00610587" w:rsidRPr="002F2FF9" w14:paraId="52C9BF48" w14:textId="6F53A044">
            <w:pPr>
              <w:keepNext/>
              <w:keepLines/>
              <w:jc w:val="center"/>
              <w:rPr>
                <w:rFonts w:ascii="Arial Narrow" w:hAnsi="Arial Narrow"/>
                <w:color w:val="000000"/>
                <w:sz w:val="20"/>
                <w:szCs w:val="20"/>
              </w:rPr>
            </w:pPr>
            <w:r>
              <w:rPr>
                <w:rFonts w:ascii="Arial Narrow" w:hAnsi="Arial Narrow"/>
                <w:color w:val="000000"/>
                <w:sz w:val="20"/>
                <w:szCs w:val="20"/>
              </w:rPr>
              <w:t>450</w:t>
            </w:r>
            <w:r w:rsidR="00FE2D4A">
              <w:rPr>
                <w:rFonts w:ascii="Arial Narrow" w:hAnsi="Arial Narrow"/>
                <w:color w:val="000000"/>
                <w:sz w:val="20"/>
                <w:szCs w:val="20"/>
              </w:rPr>
              <w:t xml:space="preserve"> hrs.</w:t>
            </w:r>
          </w:p>
        </w:tc>
      </w:tr>
      <w:tr w14:paraId="6E343BFE"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161CE2" w:rsidRPr="00B64D10" w14:paraId="127B2FA3" w14:textId="77777777">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TOTAL</w:t>
            </w:r>
          </w:p>
        </w:tc>
        <w:tc>
          <w:tcPr>
            <w:tcW w:w="2430" w:type="dxa"/>
            <w:tcBorders>
              <w:top w:val="single" w:sz="8" w:space="0" w:color="auto"/>
              <w:left w:val="single" w:sz="8" w:space="0" w:color="auto"/>
              <w:bottom w:val="single" w:sz="8" w:space="0" w:color="auto"/>
              <w:right w:val="single" w:sz="8" w:space="0" w:color="auto"/>
            </w:tcBorders>
            <w:vAlign w:val="center"/>
          </w:tcPr>
          <w:p w:rsidR="00161CE2" w:rsidRPr="00B64D10" w14:paraId="1ADF40CE" w14:textId="77777777">
            <w:pPr>
              <w:keepNext/>
              <w:keepLines/>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01C5E858" w14:textId="30305678">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5</w:t>
            </w:r>
            <w:r w:rsidR="00B64D10">
              <w:rPr>
                <w:rFonts w:ascii="Arial Narrow" w:hAnsi="Arial Narrow"/>
                <w:b/>
                <w:bCs/>
                <w:color w:val="000000"/>
                <w:sz w:val="20"/>
                <w:szCs w:val="20"/>
              </w:rPr>
              <w:t>2,806</w:t>
            </w:r>
          </w:p>
        </w:tc>
        <w:tc>
          <w:tcPr>
            <w:tcW w:w="1170" w:type="dxa"/>
            <w:tcBorders>
              <w:top w:val="single" w:sz="8" w:space="0" w:color="auto"/>
              <w:left w:val="nil"/>
              <w:bottom w:val="single" w:sz="8" w:space="0" w:color="auto"/>
              <w:right w:val="single" w:sz="8" w:space="0" w:color="auto"/>
            </w:tcBorders>
            <w:noWrap/>
            <w:vAlign w:val="center"/>
          </w:tcPr>
          <w:p w:rsidR="00161CE2" w:rsidRPr="00B64D10" w14:paraId="206F32B7" w14:textId="77777777">
            <w:pPr>
              <w:keepNext/>
              <w:keepLines/>
              <w:jc w:val="center"/>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64F9598B" w14:textId="2BBDD4F0">
            <w:pPr>
              <w:keepNext/>
              <w:keepLines/>
              <w:jc w:val="center"/>
              <w:rPr>
                <w:rFonts w:ascii="Arial Narrow" w:hAnsi="Arial Narrow"/>
                <w:b/>
                <w:bCs/>
                <w:color w:val="000000"/>
                <w:sz w:val="20"/>
                <w:szCs w:val="20"/>
              </w:rPr>
            </w:pPr>
            <w:r>
              <w:rPr>
                <w:rFonts w:ascii="Arial Narrow" w:hAnsi="Arial Narrow"/>
                <w:b/>
                <w:bCs/>
                <w:color w:val="000000"/>
                <w:sz w:val="20"/>
                <w:szCs w:val="20"/>
              </w:rPr>
              <w:t>248,441</w:t>
            </w:r>
          </w:p>
        </w:tc>
        <w:tc>
          <w:tcPr>
            <w:tcW w:w="1080" w:type="dxa"/>
            <w:tcBorders>
              <w:top w:val="single" w:sz="8" w:space="0" w:color="auto"/>
              <w:left w:val="nil"/>
              <w:bottom w:val="single" w:sz="8" w:space="0" w:color="auto"/>
              <w:right w:val="single" w:sz="8" w:space="0" w:color="auto"/>
            </w:tcBorders>
            <w:noWrap/>
            <w:vAlign w:val="center"/>
          </w:tcPr>
          <w:p w:rsidR="00161CE2" w:rsidRPr="00B64D10" w14:paraId="4CED09C7" w14:textId="223667E2">
            <w:pPr>
              <w:keepNext/>
              <w:keepLines/>
              <w:jc w:val="center"/>
              <w:rPr>
                <w:rFonts w:ascii="Arial Narrow" w:hAnsi="Arial Narrow"/>
                <w:b/>
                <w:bCs/>
                <w:color w:val="000000"/>
                <w:sz w:val="20"/>
                <w:szCs w:val="20"/>
              </w:rPr>
            </w:pPr>
            <w:r>
              <w:rPr>
                <w:rFonts w:ascii="Arial Narrow" w:hAnsi="Arial Narrow"/>
                <w:b/>
                <w:bCs/>
                <w:color w:val="000000"/>
                <w:sz w:val="20"/>
                <w:szCs w:val="20"/>
              </w:rPr>
              <w:t>varies</w:t>
            </w:r>
          </w:p>
        </w:tc>
        <w:tc>
          <w:tcPr>
            <w:tcW w:w="1350" w:type="dxa"/>
            <w:tcBorders>
              <w:top w:val="single" w:sz="8" w:space="0" w:color="auto"/>
              <w:left w:val="nil"/>
              <w:bottom w:val="single" w:sz="8" w:space="0" w:color="auto"/>
              <w:right w:val="single" w:sz="8" w:space="0" w:color="auto"/>
            </w:tcBorders>
            <w:noWrap/>
            <w:vAlign w:val="center"/>
          </w:tcPr>
          <w:p w:rsidR="00161CE2" w:rsidRPr="00B64D10" w14:paraId="3C9D00CB" w14:textId="4DA343FE">
            <w:pPr>
              <w:keepNext/>
              <w:keepLines/>
              <w:jc w:val="center"/>
              <w:rPr>
                <w:rFonts w:ascii="Arial Narrow" w:hAnsi="Arial Narrow"/>
                <w:b/>
                <w:bCs/>
                <w:color w:val="000000"/>
                <w:sz w:val="20"/>
                <w:szCs w:val="20"/>
              </w:rPr>
            </w:pPr>
            <w:r>
              <w:rPr>
                <w:rFonts w:ascii="Arial Narrow" w:hAnsi="Arial Narrow"/>
                <w:b/>
                <w:bCs/>
                <w:color w:val="000000"/>
                <w:sz w:val="20"/>
                <w:szCs w:val="20"/>
              </w:rPr>
              <w:t>606,</w:t>
            </w:r>
            <w:r w:rsidR="00AD50E3">
              <w:rPr>
                <w:rFonts w:ascii="Arial Narrow" w:hAnsi="Arial Narrow"/>
                <w:b/>
                <w:bCs/>
                <w:color w:val="000000"/>
                <w:sz w:val="20"/>
                <w:szCs w:val="20"/>
              </w:rPr>
              <w:t>874</w:t>
            </w:r>
            <w:r w:rsidRPr="00B64D10" w:rsidR="00086274">
              <w:rPr>
                <w:rFonts w:ascii="Arial Narrow" w:hAnsi="Arial Narrow"/>
                <w:b/>
                <w:bCs/>
                <w:color w:val="000000"/>
                <w:sz w:val="20"/>
                <w:szCs w:val="20"/>
              </w:rPr>
              <w:t xml:space="preserve"> hrs</w:t>
            </w:r>
            <w:r w:rsidRPr="00B64D10" w:rsidR="00B64D10">
              <w:rPr>
                <w:rFonts w:ascii="Arial Narrow" w:hAnsi="Arial Narrow"/>
                <w:b/>
                <w:bCs/>
                <w:color w:val="000000"/>
                <w:sz w:val="20"/>
                <w:szCs w:val="20"/>
              </w:rPr>
              <w:t>.</w:t>
            </w:r>
          </w:p>
        </w:tc>
      </w:tr>
    </w:tbl>
    <w:p w:rsidR="00526958" w:rsidP="0015572D" w14:paraId="64EE6DB7" w14:textId="58EB00B9">
      <w:pPr>
        <w:tabs>
          <w:tab w:val="num" w:pos="540"/>
        </w:tabs>
        <w:ind w:left="540" w:hanging="540"/>
        <w:rPr>
          <w:rFonts w:ascii="Times New Roman" w:hAnsi="Times New Roman"/>
        </w:rPr>
      </w:pPr>
    </w:p>
    <w:p w:rsidR="009249BB" w:rsidRPr="00D106E9" w:rsidP="009249BB" w14:paraId="0918C11E" w14:textId="3184D60B">
      <w:pPr>
        <w:tabs>
          <w:tab w:val="num" w:pos="540"/>
        </w:tabs>
        <w:ind w:left="540"/>
        <w:rPr>
          <w:rFonts w:ascii="Times New Roman" w:hAnsi="Times New Roman"/>
        </w:rPr>
      </w:pPr>
      <w:r>
        <w:rPr>
          <w:rFonts w:ascii="Times New Roman" w:hAnsi="Times New Roman"/>
        </w:rPr>
        <w:t xml:space="preserve">The burden table includes the reporting, recordkeeping, and third-party disclosure requirements for each of these items. </w:t>
      </w:r>
    </w:p>
    <w:p w:rsidR="00AD0A3F" w:rsidP="009249BB" w14:paraId="1421390A" w14:textId="77777777">
      <w:pPr>
        <w:tabs>
          <w:tab w:val="num" w:pos="540"/>
        </w:tabs>
        <w:rPr>
          <w:rFonts w:ascii="Times New Roman" w:hAnsi="Times New Roman"/>
        </w:rPr>
      </w:pPr>
    </w:p>
    <w:p w:rsidR="000B1A00" w:rsidRPr="0015572D" w:rsidP="00526958" w14:paraId="29F3FBCB" w14:textId="77777777">
      <w:pPr>
        <w:tabs>
          <w:tab w:val="num" w:pos="540"/>
        </w:tabs>
        <w:ind w:left="540" w:hanging="540"/>
        <w:rPr>
          <w:rFonts w:ascii="Times New Roman" w:hAnsi="Times New Roman"/>
        </w:rPr>
      </w:pPr>
      <w:r>
        <w:rPr>
          <w:rFonts w:ascii="Times New Roman" w:hAnsi="Times New Roman"/>
        </w:rPr>
        <w:t xml:space="preserve">13.    </w:t>
      </w:r>
      <w:r w:rsidRPr="0015572D">
        <w:rPr>
          <w:rFonts w:ascii="Times New Roman" w:hAnsi="Times New Roman"/>
          <w:u w:val="single"/>
        </w:rPr>
        <w:t>ESTIMATED TOTAL ANNUAL COST BURDEN TO RESPONDENTS</w:t>
      </w:r>
    </w:p>
    <w:p w:rsidR="000B1A00" w:rsidRPr="0015572D" w:rsidP="0015572D" w14:paraId="100F6D52" w14:textId="77777777">
      <w:pPr>
        <w:tabs>
          <w:tab w:val="num" w:pos="540"/>
        </w:tabs>
        <w:ind w:left="540" w:hanging="540"/>
        <w:rPr>
          <w:rFonts w:ascii="Times New Roman" w:hAnsi="Times New Roman"/>
        </w:rPr>
      </w:pPr>
    </w:p>
    <w:p w:rsidR="007C31ED" w:rsidP="00A37774" w14:paraId="372AA4E7" w14:textId="365A7E9E">
      <w:pPr>
        <w:tabs>
          <w:tab w:val="left" w:pos="540"/>
        </w:tabs>
        <w:ind w:left="540" w:hanging="540"/>
        <w:rPr>
          <w:rFonts w:ascii="Times New Roman" w:hAnsi="Times New Roman"/>
        </w:rPr>
      </w:pPr>
      <w:r>
        <w:rPr>
          <w:rFonts w:ascii="Times New Roman" w:hAnsi="Times New Roman"/>
        </w:rPr>
        <w:tab/>
      </w:r>
      <w:r w:rsidRPr="008606D8" w:rsidR="008606D8">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DC4238" w:rsidP="0015572D" w14:paraId="7C45B540" w14:textId="77777777">
      <w:pPr>
        <w:tabs>
          <w:tab w:val="num" w:pos="540"/>
        </w:tabs>
        <w:ind w:left="540" w:hanging="540"/>
        <w:rPr>
          <w:rFonts w:ascii="Times New Roman" w:hAnsi="Times New Roman"/>
        </w:rPr>
      </w:pPr>
    </w:p>
    <w:p w:rsidR="000B1A00" w:rsidRPr="0015572D" w:rsidP="00526958" w14:paraId="19474EDD" w14:textId="77777777">
      <w:pPr>
        <w:tabs>
          <w:tab w:val="num" w:pos="540"/>
        </w:tabs>
        <w:ind w:left="540" w:hanging="540"/>
        <w:rPr>
          <w:rFonts w:ascii="Times New Roman" w:hAnsi="Times New Roman"/>
        </w:rPr>
      </w:pPr>
      <w:r>
        <w:rPr>
          <w:rFonts w:ascii="Times New Roman" w:hAnsi="Times New Roman"/>
        </w:rPr>
        <w:t xml:space="preserve">14.    </w:t>
      </w:r>
      <w:r w:rsidRPr="0015572D">
        <w:rPr>
          <w:rFonts w:ascii="Times New Roman" w:hAnsi="Times New Roman"/>
          <w:u w:val="single"/>
        </w:rPr>
        <w:t>ESTIMATED ANNUALIZED COST TO THE FEDERAL GOVERNMENT</w:t>
      </w:r>
    </w:p>
    <w:p w:rsidR="000B1A00" w:rsidRPr="0015572D" w:rsidP="0015572D" w14:paraId="5FA93C71" w14:textId="77777777">
      <w:pPr>
        <w:tabs>
          <w:tab w:val="num" w:pos="540"/>
        </w:tabs>
        <w:ind w:left="540" w:hanging="540"/>
        <w:rPr>
          <w:rFonts w:ascii="Times New Roman" w:hAnsi="Times New Roman"/>
        </w:rPr>
      </w:pPr>
    </w:p>
    <w:p w:rsidR="00086274" w:rsidRPr="00086274" w:rsidP="00086274" w14:paraId="7A8091D1" w14:textId="0CEA5D5A">
      <w:pPr>
        <w:tabs>
          <w:tab w:val="num" w:pos="540"/>
        </w:tabs>
        <w:ind w:left="540" w:hanging="540"/>
        <w:rPr>
          <w:rFonts w:ascii="Times New Roman" w:hAnsi="Times New Roman"/>
        </w:rPr>
      </w:pPr>
      <w:r>
        <w:rPr>
          <w:rFonts w:ascii="Times New Roman" w:hAnsi="Times New Roman"/>
        </w:rPr>
        <w:tab/>
      </w:r>
      <w:r w:rsidRPr="00086274">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687274">
        <w:rPr>
          <w:rFonts w:ascii="Times New Roman" w:hAnsi="Times New Roman"/>
        </w:rPr>
        <w:t>-</w:t>
      </w:r>
      <w:r w:rsidRPr="00086274">
        <w:rPr>
          <w:rFonts w:ascii="Times New Roman" w:hAnsi="Times New Roman"/>
        </w:rPr>
        <w:t xml:space="preserve">up expenses, operating and maintenance expenses, and distribution of the product that collects the information.  </w:t>
      </w:r>
    </w:p>
    <w:p w:rsidR="00086274" w:rsidRPr="00086274" w:rsidP="00086274" w14:paraId="3166E5CE" w14:textId="77777777">
      <w:pPr>
        <w:tabs>
          <w:tab w:val="num" w:pos="540"/>
        </w:tabs>
        <w:ind w:left="540" w:hanging="540"/>
        <w:rPr>
          <w:rFonts w:ascii="Times New Roman" w:hAnsi="Times New Roman"/>
        </w:rPr>
      </w:pPr>
    </w:p>
    <w:p w:rsidR="00086274" w:rsidRPr="00086274" w:rsidP="00086274" w14:paraId="538AD272" w14:textId="160C0516">
      <w:pPr>
        <w:tabs>
          <w:tab w:val="num" w:pos="540"/>
        </w:tabs>
        <w:ind w:left="540" w:hanging="540"/>
        <w:rPr>
          <w:rFonts w:ascii="Times New Roman" w:hAnsi="Times New Roman"/>
        </w:rPr>
      </w:pPr>
      <w:r>
        <w:rPr>
          <w:rFonts w:ascii="Times New Roman" w:hAnsi="Times New Roman"/>
        </w:rPr>
        <w:t xml:space="preserve">         </w:t>
      </w:r>
      <w:r w:rsidRPr="00086274">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086274" w:rsidR="00BD3F10">
        <w:rPr>
          <w:rFonts w:ascii="Times New Roman" w:hAnsi="Times New Roman"/>
        </w:rPr>
        <w:t>as</w:t>
      </w:r>
      <w:r w:rsidRPr="00086274">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w:t>
      </w:r>
      <w:r w:rsidRPr="00086274">
        <w:rPr>
          <w:rFonts w:ascii="Times New Roman" w:hAnsi="Times New Roman"/>
        </w:rPr>
        <w:t>National Distribution Center, libraries</w:t>
      </w:r>
      <w:r w:rsidR="00687274">
        <w:rPr>
          <w:rFonts w:ascii="Times New Roman" w:hAnsi="Times New Roman"/>
        </w:rPr>
        <w:t>,</w:t>
      </w:r>
      <w:r w:rsidRPr="00086274">
        <w:rPr>
          <w:rFonts w:ascii="Times New Roman" w:hAnsi="Times New Roman"/>
        </w:rPr>
        <w:t xml:space="preserve"> and other outlets. The result is the Government cost estimate per product.</w:t>
      </w:r>
    </w:p>
    <w:p w:rsidR="00086274" w:rsidRPr="00086274" w:rsidP="00086274" w14:paraId="0FB84B9D" w14:textId="77777777">
      <w:pPr>
        <w:tabs>
          <w:tab w:val="num" w:pos="540"/>
        </w:tabs>
        <w:ind w:left="540" w:hanging="540"/>
        <w:rPr>
          <w:rFonts w:ascii="Times New Roman" w:hAnsi="Times New Roman"/>
        </w:rPr>
      </w:pPr>
    </w:p>
    <w:p w:rsidR="00125E3B" w:rsidP="00086274" w14:paraId="2C39849A" w14:textId="1ABD49B4">
      <w:pPr>
        <w:tabs>
          <w:tab w:val="num" w:pos="540"/>
        </w:tabs>
        <w:ind w:left="540" w:hanging="540"/>
        <w:rPr>
          <w:rFonts w:ascii="Times New Roman" w:hAnsi="Times New Roman"/>
        </w:rPr>
      </w:pPr>
      <w:r>
        <w:rPr>
          <w:rFonts w:ascii="Times New Roman" w:hAnsi="Times New Roman"/>
        </w:rPr>
        <w:t xml:space="preserve">         </w:t>
      </w:r>
      <w:r w:rsidRPr="00086274" w:rsidR="00086274">
        <w:rPr>
          <w:rFonts w:ascii="Times New Roman" w:hAnsi="Times New Roman"/>
        </w:rPr>
        <w:t xml:space="preserve">The government cost estimate for this collection is </w:t>
      </w:r>
      <w:r w:rsidR="00687274">
        <w:rPr>
          <w:rFonts w:ascii="Times New Roman" w:hAnsi="Times New Roman"/>
        </w:rPr>
        <w:t>summarized in the table below.</w:t>
      </w:r>
    </w:p>
    <w:p w:rsidR="00687274" w:rsidP="00086274" w14:paraId="5188DB6D" w14:textId="77777777">
      <w:pPr>
        <w:tabs>
          <w:tab w:val="num" w:pos="540"/>
        </w:tabs>
        <w:ind w:left="540" w:hanging="540"/>
        <w:rPr>
          <w:rFonts w:ascii="Times New Roman" w:hAnsi="Times New Roman"/>
        </w:rPr>
      </w:pPr>
    </w:p>
    <w:tbl>
      <w:tblPr>
        <w:tblW w:w="9106" w:type="dxa"/>
        <w:tblInd w:w="530" w:type="dxa"/>
        <w:tblCellMar>
          <w:left w:w="0" w:type="dxa"/>
          <w:right w:w="0" w:type="dxa"/>
        </w:tblCellMar>
        <w:tblLook w:val="04A0"/>
      </w:tblPr>
      <w:tblGrid>
        <w:gridCol w:w="2137"/>
        <w:gridCol w:w="2497"/>
        <w:gridCol w:w="342"/>
        <w:gridCol w:w="1432"/>
        <w:gridCol w:w="353"/>
        <w:gridCol w:w="2322"/>
        <w:gridCol w:w="23"/>
      </w:tblGrid>
      <w:tr w14:paraId="4A977DAB"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7D85C32D" w14:textId="77777777">
            <w:pPr>
              <w:keepNext/>
              <w:jc w:val="center"/>
              <w:rPr>
                <w:rFonts w:ascii="Times New Roman" w:hAnsi="Times New Roman"/>
                <w:b/>
                <w:sz w:val="22"/>
                <w:szCs w:val="22"/>
              </w:rPr>
            </w:pPr>
            <w:r w:rsidRPr="006B4615">
              <w:rPr>
                <w:rFonts w:ascii="Times New Roman" w:hAnsi="Times New Roman"/>
                <w:b/>
                <w:sz w:val="22"/>
                <w:szCs w:val="22"/>
              </w:rPr>
              <w:t>Product</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0F9D8A3D" w14:textId="77777777">
            <w:pPr>
              <w:keepNext/>
              <w:jc w:val="center"/>
              <w:rPr>
                <w:rFonts w:ascii="Times New Roman" w:hAnsi="Times New Roman"/>
                <w:b/>
                <w:sz w:val="22"/>
                <w:szCs w:val="22"/>
              </w:rPr>
            </w:pPr>
            <w:r w:rsidRPr="006B4615">
              <w:rPr>
                <w:rFonts w:ascii="Times New Roman" w:hAnsi="Times New Roman"/>
                <w:b/>
                <w:sz w:val="22"/>
                <w:szCs w:val="22"/>
              </w:rPr>
              <w:t>Aggregate Cost per Product (factor applied)</w:t>
            </w:r>
          </w:p>
        </w:tc>
        <w:tc>
          <w:tcPr>
            <w:tcW w:w="3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6B4615" w:rsidP="000D43AE" w14:paraId="29CD076D" w14:textId="77777777">
            <w:pPr>
              <w:keepNext/>
              <w:jc w:val="center"/>
              <w:rPr>
                <w:rFonts w:ascii="Times New Roman" w:hAnsi="Times New Roman"/>
                <w:b/>
                <w:sz w:val="22"/>
                <w:szCs w:val="22"/>
              </w:rPr>
            </w:pP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39A29C17" w14:textId="77777777">
            <w:pPr>
              <w:keepNext/>
              <w:jc w:val="center"/>
              <w:rPr>
                <w:rFonts w:ascii="Times New Roman" w:hAnsi="Times New Roman"/>
                <w:b/>
                <w:sz w:val="22"/>
                <w:szCs w:val="22"/>
              </w:rPr>
            </w:pPr>
            <w:r w:rsidRPr="006B4615">
              <w:rPr>
                <w:rFonts w:ascii="Times New Roman" w:hAnsi="Times New Roman"/>
                <w:b/>
                <w:sz w:val="22"/>
                <w:szCs w:val="22"/>
              </w:rPr>
              <w:t>Printing and Distribution</w:t>
            </w:r>
          </w:p>
        </w:tc>
        <w:tc>
          <w:tcPr>
            <w:tcW w:w="3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6B4615" w:rsidP="000D43AE" w14:paraId="2E4B00BD" w14:textId="77777777">
            <w:pPr>
              <w:keepNext/>
              <w:jc w:val="center"/>
              <w:rPr>
                <w:rFonts w:ascii="Times New Roman" w:hAnsi="Times New Roman"/>
                <w:b/>
                <w:sz w:val="22"/>
                <w:szCs w:val="22"/>
              </w:rPr>
            </w:pP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0E681919" w14:textId="5697006F">
            <w:pPr>
              <w:keepNext/>
              <w:jc w:val="center"/>
              <w:rPr>
                <w:rFonts w:ascii="Times New Roman" w:hAnsi="Times New Roman"/>
                <w:b/>
                <w:sz w:val="22"/>
                <w:szCs w:val="22"/>
              </w:rPr>
            </w:pPr>
            <w:r w:rsidRPr="006B4615">
              <w:rPr>
                <w:rFonts w:ascii="Times New Roman" w:hAnsi="Times New Roman"/>
                <w:b/>
                <w:sz w:val="22"/>
                <w:szCs w:val="22"/>
              </w:rPr>
              <w:t>Government Cost Estimate per Product</w:t>
            </w:r>
          </w:p>
        </w:tc>
      </w:tr>
      <w:tr w14:paraId="359E434A"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30BCDBB1" w14:textId="57AEF2D2">
            <w:pPr>
              <w:keepNext/>
              <w:numPr>
                <w:ilvl w:val="12"/>
                <w:numId w:val="0"/>
              </w:numPr>
              <w:rPr>
                <w:rFonts w:ascii="Times New Roman" w:hAnsi="Times New Roman"/>
                <w:sz w:val="22"/>
                <w:szCs w:val="22"/>
              </w:rPr>
            </w:pPr>
            <w:r w:rsidRPr="006B4615">
              <w:rPr>
                <w:rFonts w:ascii="Times New Roman" w:hAnsi="Times New Roman"/>
                <w:sz w:val="22"/>
                <w:szCs w:val="22"/>
              </w:rPr>
              <w:t>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5844F595" w14:textId="0B7434D4">
            <w:pPr>
              <w:keepNext/>
              <w:jc w:val="center"/>
              <w:rPr>
                <w:rFonts w:ascii="Times New Roman" w:hAnsi="Times New Roman"/>
                <w:sz w:val="22"/>
                <w:szCs w:val="22"/>
              </w:rPr>
            </w:pPr>
            <w:r>
              <w:rPr>
                <w:rFonts w:ascii="Times New Roman" w:hAnsi="Times New Roman"/>
                <w:sz w:val="22"/>
                <w:szCs w:val="22"/>
              </w:rPr>
              <w:t>60,356</w:t>
            </w:r>
          </w:p>
        </w:tc>
        <w:tc>
          <w:tcPr>
            <w:tcW w:w="34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88E3EA0" w14:textId="77777777">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340576BD" w14:textId="77777777">
            <w:pPr>
              <w:keepNext/>
              <w:jc w:val="center"/>
              <w:rPr>
                <w:rFonts w:ascii="Times New Roman" w:hAnsi="Times New Roman"/>
                <w:sz w:val="22"/>
                <w:szCs w:val="22"/>
              </w:rPr>
            </w:pPr>
            <w:r w:rsidRPr="006B4615">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50A8F8BE" w14:textId="77777777">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7D5B60D2" w14:textId="041B5C6C">
            <w:pPr>
              <w:keepNext/>
              <w:jc w:val="center"/>
              <w:rPr>
                <w:rFonts w:ascii="Times New Roman" w:hAnsi="Times New Roman"/>
                <w:sz w:val="22"/>
                <w:szCs w:val="22"/>
              </w:rPr>
            </w:pPr>
            <w:r>
              <w:rPr>
                <w:rFonts w:ascii="Times New Roman" w:hAnsi="Times New Roman"/>
                <w:sz w:val="22"/>
                <w:szCs w:val="22"/>
              </w:rPr>
              <w:t>60,356</w:t>
            </w:r>
          </w:p>
        </w:tc>
      </w:tr>
      <w:tr w14:paraId="302594FF"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B4615" w:rsidRPr="006B4615" w:rsidP="000D43AE" w14:paraId="581FD722" w14:textId="38C1938E">
            <w:pPr>
              <w:keepNext/>
              <w:numPr>
                <w:ilvl w:val="12"/>
                <w:numId w:val="0"/>
              </w:numPr>
              <w:rPr>
                <w:rFonts w:ascii="Times New Roman" w:hAnsi="Times New Roman"/>
                <w:sz w:val="22"/>
                <w:szCs w:val="22"/>
              </w:rPr>
            </w:pPr>
            <w:r w:rsidRPr="006B4615">
              <w:rPr>
                <w:rFonts w:ascii="Times New Roman" w:hAnsi="Times New Roman"/>
                <w:bCs/>
                <w:sz w:val="22"/>
                <w:szCs w:val="22"/>
              </w:rPr>
              <w:t>Sch A (Form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588D271D" w14:textId="28B53F94">
            <w:pPr>
              <w:keepNext/>
              <w:jc w:val="center"/>
              <w:rPr>
                <w:rFonts w:ascii="Times New Roman" w:hAnsi="Times New Roman"/>
                <w:sz w:val="22"/>
                <w:szCs w:val="22"/>
              </w:rPr>
            </w:pPr>
            <w:r>
              <w:rPr>
                <w:rFonts w:ascii="Times New Roman" w:hAnsi="Times New Roman"/>
                <w:sz w:val="22"/>
                <w:szCs w:val="22"/>
              </w:rPr>
              <w:t>60,356</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3A2275BA" w14:textId="754690D0">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570B3384" w14:textId="3C66962A">
            <w:pPr>
              <w:keepNext/>
              <w:jc w:val="center"/>
              <w:rPr>
                <w:rFonts w:ascii="Times New Roman" w:hAnsi="Times New Roman"/>
                <w:sz w:val="22"/>
                <w:szCs w:val="22"/>
              </w:rPr>
            </w:pPr>
            <w:r>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63C42BB6" w14:textId="2F2E80C9">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77CDE05F" w14:textId="4C54C7EA">
            <w:pPr>
              <w:keepNext/>
              <w:jc w:val="center"/>
              <w:rPr>
                <w:rFonts w:ascii="Times New Roman" w:hAnsi="Times New Roman"/>
                <w:sz w:val="22"/>
                <w:szCs w:val="22"/>
              </w:rPr>
            </w:pPr>
            <w:r>
              <w:rPr>
                <w:rFonts w:ascii="Times New Roman" w:hAnsi="Times New Roman"/>
                <w:sz w:val="22"/>
                <w:szCs w:val="22"/>
              </w:rPr>
              <w:t>60,356</w:t>
            </w:r>
          </w:p>
        </w:tc>
      </w:tr>
      <w:tr w14:paraId="5CF7B41F"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87274" w:rsidRPr="006B4615" w:rsidP="000D43AE" w14:paraId="2010A1EF" w14:textId="0212FA1E">
            <w:pPr>
              <w:keepNext/>
              <w:numPr>
                <w:ilvl w:val="12"/>
                <w:numId w:val="0"/>
              </w:numPr>
              <w:rPr>
                <w:rFonts w:ascii="Times New Roman" w:hAnsi="Times New Roman"/>
                <w:sz w:val="22"/>
                <w:szCs w:val="22"/>
              </w:rPr>
            </w:pPr>
            <w:r w:rsidRPr="006B4615">
              <w:rPr>
                <w:rFonts w:ascii="Times New Roman" w:hAnsi="Times New Roman"/>
                <w:sz w:val="22"/>
                <w:szCs w:val="22"/>
              </w:rPr>
              <w:t>Instr. 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39212245" w14:textId="6B8629DB">
            <w:pPr>
              <w:keepNext/>
              <w:jc w:val="center"/>
              <w:rPr>
                <w:rFonts w:ascii="Times New Roman" w:hAnsi="Times New Roman"/>
                <w:sz w:val="22"/>
                <w:szCs w:val="22"/>
              </w:rPr>
            </w:pPr>
            <w:r>
              <w:rPr>
                <w:rFonts w:ascii="Times New Roman" w:hAnsi="Times New Roman"/>
                <w:sz w:val="22"/>
                <w:szCs w:val="22"/>
              </w:rPr>
              <w:t>10,059</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472C7FBE" w14:textId="10682D2B">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112D6B3A" w14:textId="07997F26">
            <w:pPr>
              <w:keepNext/>
              <w:jc w:val="center"/>
              <w:rPr>
                <w:rFonts w:ascii="Times New Roman" w:hAnsi="Times New Roman"/>
                <w:sz w:val="22"/>
                <w:szCs w:val="22"/>
              </w:rPr>
            </w:pPr>
            <w:r w:rsidRPr="006B4615">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16774353" w14:textId="26AF94F2">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785E83EB" w14:textId="1500AC33">
            <w:pPr>
              <w:keepNext/>
              <w:jc w:val="center"/>
              <w:rPr>
                <w:rFonts w:ascii="Times New Roman" w:hAnsi="Times New Roman"/>
                <w:sz w:val="22"/>
                <w:szCs w:val="22"/>
              </w:rPr>
            </w:pPr>
            <w:r>
              <w:rPr>
                <w:rFonts w:ascii="Times New Roman" w:hAnsi="Times New Roman"/>
                <w:sz w:val="22"/>
                <w:szCs w:val="22"/>
              </w:rPr>
              <w:t>10,059</w:t>
            </w:r>
          </w:p>
        </w:tc>
      </w:tr>
      <w:tr w14:paraId="5C418936"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0BB" w:rsidP="000D43AE" w14:paraId="7DA170D7" w14:textId="3040DB3A">
            <w:pPr>
              <w:keepNext/>
              <w:rPr>
                <w:rFonts w:ascii="Times New Roman" w:hAnsi="Times New Roman"/>
                <w:bCs/>
                <w:sz w:val="22"/>
                <w:szCs w:val="22"/>
              </w:rPr>
            </w:pPr>
            <w:r>
              <w:rPr>
                <w:rFonts w:ascii="Times New Roman" w:hAnsi="Times New Roman"/>
                <w:bCs/>
                <w:sz w:val="22"/>
                <w:szCs w:val="22"/>
              </w:rPr>
              <w:t>Form 8936-A</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3572DD7B" w14:textId="55DADAE5">
            <w:pPr>
              <w:keepNext/>
              <w:jc w:val="center"/>
              <w:rPr>
                <w:rFonts w:ascii="Times New Roman" w:hAnsi="Times New Roman"/>
                <w:bCs/>
                <w:sz w:val="22"/>
                <w:szCs w:val="22"/>
              </w:rPr>
            </w:pPr>
            <w:r>
              <w:rPr>
                <w:rFonts w:ascii="Times New Roman" w:hAnsi="Times New Roman"/>
                <w:bCs/>
                <w:sz w:val="22"/>
                <w:szCs w:val="22"/>
              </w:rPr>
              <w:t>55,326</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12A7932D" w14:textId="3534EF23">
            <w:pPr>
              <w:keepNext/>
              <w:jc w:val="center"/>
              <w:rPr>
                <w:rFonts w:ascii="Times New Roman" w:hAnsi="Times New Roman"/>
                <w:bCs/>
                <w:sz w:val="22"/>
                <w:szCs w:val="22"/>
              </w:rPr>
            </w:pPr>
            <w:r>
              <w:rPr>
                <w:rFonts w:ascii="Times New Roman" w:hAnsi="Times New Roman"/>
                <w:bCs/>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41C5D082" w14:textId="39B5EE60">
            <w:pPr>
              <w:keepNext/>
              <w:jc w:val="center"/>
              <w:rPr>
                <w:rFonts w:ascii="Times New Roman" w:hAnsi="Times New Roman"/>
                <w:bCs/>
                <w:sz w:val="22"/>
                <w:szCs w:val="22"/>
              </w:rPr>
            </w:pPr>
            <w:r>
              <w:rPr>
                <w:rFonts w:ascii="Times New Roman" w:hAnsi="Times New Roman"/>
                <w:bCs/>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5CDCD6AE" w14:textId="26560C18">
            <w:pPr>
              <w:keepNext/>
              <w:jc w:val="center"/>
              <w:rPr>
                <w:rFonts w:ascii="Times New Roman" w:hAnsi="Times New Roman"/>
                <w:bCs/>
                <w:sz w:val="22"/>
                <w:szCs w:val="22"/>
              </w:rPr>
            </w:pPr>
            <w:r>
              <w:rPr>
                <w:rFonts w:ascii="Times New Roman" w:hAnsi="Times New Roman"/>
                <w:bCs/>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1F24A7AE" w14:textId="480C7023">
            <w:pPr>
              <w:keepNext/>
              <w:jc w:val="center"/>
              <w:rPr>
                <w:rFonts w:ascii="Times New Roman" w:hAnsi="Times New Roman"/>
                <w:bCs/>
                <w:sz w:val="22"/>
                <w:szCs w:val="22"/>
              </w:rPr>
            </w:pPr>
            <w:r>
              <w:rPr>
                <w:rFonts w:ascii="Times New Roman" w:hAnsi="Times New Roman"/>
                <w:bCs/>
                <w:sz w:val="22"/>
                <w:szCs w:val="22"/>
              </w:rPr>
              <w:t>55,326</w:t>
            </w:r>
          </w:p>
        </w:tc>
      </w:tr>
      <w:tr w14:paraId="369DEAB3"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0BB" w:rsidP="000D43AE" w14:paraId="5939D600" w14:textId="2739A9E2">
            <w:pPr>
              <w:keepNext/>
              <w:rPr>
                <w:rFonts w:ascii="Times New Roman" w:hAnsi="Times New Roman"/>
                <w:bCs/>
                <w:sz w:val="22"/>
                <w:szCs w:val="22"/>
              </w:rPr>
            </w:pPr>
            <w:r>
              <w:rPr>
                <w:rFonts w:ascii="Times New Roman" w:hAnsi="Times New Roman"/>
                <w:bCs/>
                <w:sz w:val="22"/>
                <w:szCs w:val="22"/>
              </w:rPr>
              <w:t>Sch 1 (Form 8936-A)</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1AD3A1BB" w14:textId="2036CC9A">
            <w:pPr>
              <w:keepNext/>
              <w:jc w:val="center"/>
              <w:rPr>
                <w:rFonts w:ascii="Times New Roman" w:hAnsi="Times New Roman"/>
                <w:bCs/>
                <w:sz w:val="22"/>
                <w:szCs w:val="22"/>
              </w:rPr>
            </w:pPr>
            <w:r>
              <w:rPr>
                <w:rFonts w:ascii="Times New Roman" w:hAnsi="Times New Roman"/>
                <w:bCs/>
                <w:sz w:val="22"/>
                <w:szCs w:val="22"/>
              </w:rPr>
              <w:t>55,326</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43F053B5" w14:textId="52EEF9E2">
            <w:pPr>
              <w:keepNext/>
              <w:jc w:val="center"/>
              <w:rPr>
                <w:rFonts w:ascii="Times New Roman" w:hAnsi="Times New Roman"/>
                <w:bCs/>
                <w:sz w:val="22"/>
                <w:szCs w:val="22"/>
              </w:rPr>
            </w:pPr>
            <w:r>
              <w:rPr>
                <w:rFonts w:ascii="Times New Roman" w:hAnsi="Times New Roman"/>
                <w:bCs/>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75C8193F" w14:textId="35B136F9">
            <w:pPr>
              <w:keepNext/>
              <w:jc w:val="center"/>
              <w:rPr>
                <w:rFonts w:ascii="Times New Roman" w:hAnsi="Times New Roman"/>
                <w:bCs/>
                <w:sz w:val="22"/>
                <w:szCs w:val="22"/>
              </w:rPr>
            </w:pPr>
            <w:r>
              <w:rPr>
                <w:rFonts w:ascii="Times New Roman" w:hAnsi="Times New Roman"/>
                <w:bCs/>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187D8591" w14:textId="0B456F2F">
            <w:pPr>
              <w:keepNext/>
              <w:jc w:val="center"/>
              <w:rPr>
                <w:rFonts w:ascii="Times New Roman" w:hAnsi="Times New Roman"/>
                <w:bCs/>
                <w:sz w:val="22"/>
                <w:szCs w:val="22"/>
              </w:rPr>
            </w:pPr>
            <w:r>
              <w:rPr>
                <w:rFonts w:ascii="Times New Roman" w:hAnsi="Times New Roman"/>
                <w:bCs/>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8D30BB" w:rsidP="000D43AE" w14:paraId="2279D2EF" w14:textId="7153FA46">
            <w:pPr>
              <w:keepNext/>
              <w:jc w:val="center"/>
              <w:rPr>
                <w:rFonts w:ascii="Times New Roman" w:hAnsi="Times New Roman"/>
                <w:bCs/>
                <w:sz w:val="22"/>
                <w:szCs w:val="22"/>
              </w:rPr>
            </w:pPr>
            <w:r>
              <w:rPr>
                <w:rFonts w:ascii="Times New Roman" w:hAnsi="Times New Roman"/>
                <w:bCs/>
                <w:sz w:val="22"/>
                <w:szCs w:val="22"/>
              </w:rPr>
              <w:t>55,326</w:t>
            </w:r>
          </w:p>
        </w:tc>
      </w:tr>
      <w:tr w14:paraId="0F3BD171" w14:textId="77777777" w:rsidTr="00793B73">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128" w:rsidP="000D43AE" w14:paraId="0C2E4F3A" w14:textId="52525C3A">
            <w:pPr>
              <w:keepNext/>
              <w:rPr>
                <w:rFonts w:ascii="Times New Roman" w:hAnsi="Times New Roman"/>
                <w:bCs/>
                <w:sz w:val="22"/>
                <w:szCs w:val="22"/>
              </w:rPr>
            </w:pPr>
            <w:r>
              <w:rPr>
                <w:rFonts w:ascii="Times New Roman" w:hAnsi="Times New Roman"/>
                <w:bCs/>
                <w:sz w:val="22"/>
                <w:szCs w:val="22"/>
              </w:rPr>
              <w:t>Instr. Form 8936-A</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A6128" w:rsidP="000D43AE" w14:paraId="67A21C7D" w14:textId="6B89053A">
            <w:pPr>
              <w:keepNext/>
              <w:jc w:val="center"/>
              <w:rPr>
                <w:rFonts w:ascii="Times New Roman" w:hAnsi="Times New Roman"/>
                <w:bCs/>
                <w:sz w:val="22"/>
                <w:szCs w:val="22"/>
              </w:rPr>
            </w:pPr>
            <w:r>
              <w:rPr>
                <w:rFonts w:ascii="Times New Roman" w:hAnsi="Times New Roman"/>
                <w:bCs/>
                <w:sz w:val="22"/>
                <w:szCs w:val="22"/>
              </w:rPr>
              <w:t>7,5</w:t>
            </w:r>
            <w:r w:rsidR="006444B2">
              <w:rPr>
                <w:rFonts w:ascii="Times New Roman" w:hAnsi="Times New Roman"/>
                <w:bCs/>
                <w:sz w:val="22"/>
                <w:szCs w:val="22"/>
              </w:rPr>
              <w:t>44</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EA6128" w:rsidP="000D43AE" w14:paraId="512BDEFF" w14:textId="525749F4">
            <w:pPr>
              <w:keepNext/>
              <w:jc w:val="center"/>
              <w:rPr>
                <w:rFonts w:ascii="Times New Roman" w:hAnsi="Times New Roman"/>
                <w:bCs/>
                <w:sz w:val="22"/>
                <w:szCs w:val="22"/>
              </w:rPr>
            </w:pPr>
            <w:r>
              <w:rPr>
                <w:rFonts w:ascii="Times New Roman" w:hAnsi="Times New Roman"/>
                <w:bCs/>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EA6128" w:rsidP="000D43AE" w14:paraId="1B16B295" w14:textId="47B873BB">
            <w:pPr>
              <w:keepNext/>
              <w:jc w:val="center"/>
              <w:rPr>
                <w:rFonts w:ascii="Times New Roman" w:hAnsi="Times New Roman"/>
                <w:bCs/>
                <w:sz w:val="22"/>
                <w:szCs w:val="22"/>
              </w:rPr>
            </w:pPr>
            <w:r>
              <w:rPr>
                <w:rFonts w:ascii="Times New Roman" w:hAnsi="Times New Roman"/>
                <w:bCs/>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EA6128" w:rsidP="000D43AE" w14:paraId="50CDBEB7" w14:textId="60FEA846">
            <w:pPr>
              <w:keepNext/>
              <w:jc w:val="center"/>
              <w:rPr>
                <w:rFonts w:ascii="Times New Roman" w:hAnsi="Times New Roman"/>
                <w:bCs/>
                <w:sz w:val="22"/>
                <w:szCs w:val="22"/>
              </w:rPr>
            </w:pPr>
            <w:r>
              <w:rPr>
                <w:rFonts w:ascii="Times New Roman" w:hAnsi="Times New Roman"/>
                <w:bCs/>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EA6128" w:rsidP="000D43AE" w14:paraId="001A625A" w14:textId="4AF20638">
            <w:pPr>
              <w:keepNext/>
              <w:jc w:val="center"/>
              <w:rPr>
                <w:rFonts w:ascii="Times New Roman" w:hAnsi="Times New Roman"/>
                <w:bCs/>
                <w:sz w:val="22"/>
                <w:szCs w:val="22"/>
              </w:rPr>
            </w:pPr>
            <w:r>
              <w:rPr>
                <w:rFonts w:ascii="Times New Roman" w:hAnsi="Times New Roman"/>
                <w:bCs/>
                <w:sz w:val="22"/>
                <w:szCs w:val="22"/>
              </w:rPr>
              <w:t>7,5</w:t>
            </w:r>
            <w:r w:rsidR="006444B2">
              <w:rPr>
                <w:rFonts w:ascii="Times New Roman" w:hAnsi="Times New Roman"/>
                <w:bCs/>
                <w:sz w:val="22"/>
                <w:szCs w:val="22"/>
              </w:rPr>
              <w:t>44</w:t>
            </w:r>
          </w:p>
        </w:tc>
      </w:tr>
      <w:tr w14:paraId="1516DCBB"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0FFF" w:rsidRPr="00800FFF" w:rsidP="000D43AE" w14:paraId="712978AB" w14:textId="0915FBBC">
            <w:pPr>
              <w:keepNext/>
              <w:rPr>
                <w:rFonts w:ascii="Times New Roman" w:hAnsi="Times New Roman"/>
                <w:bCs/>
                <w:sz w:val="22"/>
                <w:szCs w:val="22"/>
              </w:rPr>
            </w:pPr>
            <w:r>
              <w:rPr>
                <w:rFonts w:ascii="Times New Roman" w:hAnsi="Times New Roman"/>
                <w:bCs/>
                <w:sz w:val="22"/>
                <w:szCs w:val="22"/>
              </w:rPr>
              <w:t xml:space="preserve">Form </w:t>
            </w:r>
            <w:r w:rsidR="00076593">
              <w:rPr>
                <w:rFonts w:ascii="Times New Roman" w:hAnsi="Times New Roman"/>
                <w:bCs/>
                <w:sz w:val="22"/>
                <w:szCs w:val="22"/>
              </w:rPr>
              <w:t>15400</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800FFF" w:rsidRPr="00800FFF" w:rsidP="000D43AE" w14:paraId="5F072ECE" w14:textId="3DB53076">
            <w:pPr>
              <w:keepNext/>
              <w:jc w:val="center"/>
              <w:rPr>
                <w:rFonts w:ascii="Times New Roman" w:hAnsi="Times New Roman"/>
                <w:bCs/>
                <w:sz w:val="22"/>
                <w:szCs w:val="22"/>
              </w:rPr>
            </w:pPr>
            <w:r>
              <w:rPr>
                <w:rFonts w:ascii="Times New Roman" w:hAnsi="Times New Roman"/>
                <w:bCs/>
                <w:sz w:val="22"/>
                <w:szCs w:val="22"/>
              </w:rPr>
              <w:t>1</w:t>
            </w:r>
            <w:r w:rsidR="008D30BB">
              <w:rPr>
                <w:rFonts w:ascii="Times New Roman" w:hAnsi="Times New Roman"/>
                <w:bCs/>
                <w:sz w:val="22"/>
                <w:szCs w:val="22"/>
              </w:rPr>
              <w:t>7,730</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800FFF" w:rsidRPr="00800FFF" w:rsidP="000D43AE" w14:paraId="319B8A40" w14:textId="22D83D2A">
            <w:pPr>
              <w:keepNext/>
              <w:jc w:val="center"/>
              <w:rPr>
                <w:rFonts w:ascii="Times New Roman" w:hAnsi="Times New Roman"/>
                <w:bCs/>
                <w:sz w:val="22"/>
                <w:szCs w:val="22"/>
              </w:rPr>
            </w:pPr>
            <w:r>
              <w:rPr>
                <w:rFonts w:ascii="Times New Roman" w:hAnsi="Times New Roman"/>
                <w:bCs/>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800FFF" w:rsidRPr="00800FFF" w:rsidP="000D43AE" w14:paraId="371384EE" w14:textId="5CAF33CC">
            <w:pPr>
              <w:keepNext/>
              <w:jc w:val="center"/>
              <w:rPr>
                <w:rFonts w:ascii="Times New Roman" w:hAnsi="Times New Roman"/>
                <w:bCs/>
                <w:sz w:val="22"/>
                <w:szCs w:val="22"/>
              </w:rPr>
            </w:pPr>
            <w:r>
              <w:rPr>
                <w:rFonts w:ascii="Times New Roman" w:hAnsi="Times New Roman"/>
                <w:bCs/>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800FFF" w:rsidRPr="00800FFF" w:rsidP="000D43AE" w14:paraId="02DF6379" w14:textId="48630B26">
            <w:pPr>
              <w:keepNext/>
              <w:jc w:val="center"/>
              <w:rPr>
                <w:rFonts w:ascii="Times New Roman" w:hAnsi="Times New Roman"/>
                <w:bCs/>
                <w:sz w:val="22"/>
                <w:szCs w:val="22"/>
              </w:rPr>
            </w:pPr>
            <w:r>
              <w:rPr>
                <w:rFonts w:ascii="Times New Roman" w:hAnsi="Times New Roman"/>
                <w:bCs/>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800FFF" w:rsidRPr="00800FFF" w:rsidP="000D43AE" w14:paraId="4EF7D799" w14:textId="6B110165">
            <w:pPr>
              <w:keepNext/>
              <w:jc w:val="center"/>
              <w:rPr>
                <w:rFonts w:ascii="Times New Roman" w:hAnsi="Times New Roman"/>
                <w:bCs/>
                <w:sz w:val="22"/>
                <w:szCs w:val="22"/>
              </w:rPr>
            </w:pPr>
            <w:r>
              <w:rPr>
                <w:rFonts w:ascii="Times New Roman" w:hAnsi="Times New Roman"/>
                <w:bCs/>
                <w:sz w:val="22"/>
                <w:szCs w:val="22"/>
              </w:rPr>
              <w:t>1</w:t>
            </w:r>
            <w:r w:rsidR="008D30BB">
              <w:rPr>
                <w:rFonts w:ascii="Times New Roman" w:hAnsi="Times New Roman"/>
                <w:bCs/>
                <w:sz w:val="22"/>
                <w:szCs w:val="22"/>
              </w:rPr>
              <w:t>7,730</w:t>
            </w:r>
          </w:p>
        </w:tc>
      </w:tr>
      <w:tr w14:paraId="0FE82882"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6B4615" w:rsidP="000D43AE" w14:paraId="1388300C" w14:textId="381E175C">
            <w:pPr>
              <w:keepNext/>
              <w:rPr>
                <w:rFonts w:ascii="Times New Roman" w:hAnsi="Times New Roman"/>
                <w:b/>
                <w:sz w:val="22"/>
                <w:szCs w:val="22"/>
              </w:rPr>
            </w:pPr>
            <w:r w:rsidRPr="006B4615">
              <w:rPr>
                <w:rFonts w:ascii="Times New Roman" w:hAnsi="Times New Roman"/>
                <w:b/>
                <w:sz w:val="22"/>
                <w:szCs w:val="22"/>
              </w:rPr>
              <w:t>Total</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AA7FEBE" w14:textId="27989666">
            <w:pPr>
              <w:keepNext/>
              <w:jc w:val="center"/>
              <w:rPr>
                <w:rFonts w:ascii="Times New Roman" w:hAnsi="Times New Roman"/>
                <w:b/>
                <w:sz w:val="22"/>
                <w:szCs w:val="22"/>
              </w:rPr>
            </w:pPr>
            <w:r>
              <w:rPr>
                <w:rFonts w:ascii="Times New Roman" w:hAnsi="Times New Roman"/>
                <w:b/>
                <w:sz w:val="22"/>
                <w:szCs w:val="22"/>
              </w:rPr>
              <w:t>266,697</w:t>
            </w:r>
          </w:p>
        </w:tc>
        <w:tc>
          <w:tcPr>
            <w:tcW w:w="34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49E4BCAE" w14:textId="77777777">
            <w:pPr>
              <w:keepNext/>
              <w:jc w:val="center"/>
              <w:rPr>
                <w:rFonts w:ascii="Times New Roman" w:hAnsi="Times New Roman"/>
                <w:b/>
                <w:sz w:val="22"/>
                <w:szCs w:val="22"/>
              </w:rPr>
            </w:pPr>
            <w:r w:rsidRPr="006B4615">
              <w:rPr>
                <w:rFonts w:ascii="Times New Roman" w:hAnsi="Times New Roman"/>
                <w:b/>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7272A23" w14:textId="77777777">
            <w:pPr>
              <w:keepNext/>
              <w:jc w:val="center"/>
              <w:rPr>
                <w:rFonts w:ascii="Times New Roman" w:hAnsi="Times New Roman"/>
                <w:b/>
                <w:sz w:val="22"/>
                <w:szCs w:val="22"/>
              </w:rPr>
            </w:pPr>
            <w:r w:rsidRPr="006B4615">
              <w:rPr>
                <w:rFonts w:ascii="Times New Roman" w:hAnsi="Times New Roman"/>
                <w:b/>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64887321" w14:textId="77777777">
            <w:pPr>
              <w:keepNext/>
              <w:jc w:val="center"/>
              <w:rPr>
                <w:rFonts w:ascii="Times New Roman" w:hAnsi="Times New Roman"/>
                <w:b/>
                <w:sz w:val="22"/>
                <w:szCs w:val="22"/>
              </w:rPr>
            </w:pPr>
            <w:r w:rsidRPr="006B4615">
              <w:rPr>
                <w:rFonts w:ascii="Times New Roman" w:hAnsi="Times New Roman"/>
                <w:b/>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1B5A0D6" w14:textId="0BCCF65C">
            <w:pPr>
              <w:keepNext/>
              <w:jc w:val="center"/>
              <w:rPr>
                <w:rFonts w:ascii="Times New Roman" w:hAnsi="Times New Roman"/>
                <w:b/>
                <w:sz w:val="22"/>
                <w:szCs w:val="22"/>
              </w:rPr>
            </w:pPr>
            <w:r>
              <w:rPr>
                <w:rFonts w:ascii="Times New Roman" w:hAnsi="Times New Roman"/>
                <w:b/>
                <w:sz w:val="22"/>
                <w:szCs w:val="22"/>
              </w:rPr>
              <w:t>266,697</w:t>
            </w:r>
          </w:p>
        </w:tc>
      </w:tr>
      <w:tr w14:paraId="76E94FA8" w14:textId="77777777" w:rsidTr="00E60C3B">
        <w:tblPrEx>
          <w:tblW w:w="9106" w:type="dxa"/>
          <w:tblInd w:w="530" w:type="dxa"/>
          <w:tblCellMar>
            <w:left w:w="0" w:type="dxa"/>
            <w:right w:w="0" w:type="dxa"/>
          </w:tblCellMar>
          <w:tblLook w:val="04A0"/>
        </w:tblPrEx>
        <w:tc>
          <w:tcPr>
            <w:tcW w:w="910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6B4615" w:rsidP="000D43AE" w14:paraId="5866B2E1" w14:textId="10413358">
            <w:pPr>
              <w:keepNext/>
              <w:rPr>
                <w:rFonts w:ascii="Times New Roman" w:hAnsi="Times New Roman"/>
                <w:sz w:val="22"/>
                <w:szCs w:val="22"/>
              </w:rPr>
            </w:pPr>
            <w:r w:rsidRPr="006B4615">
              <w:rPr>
                <w:rFonts w:ascii="Times New Roman" w:hAnsi="Times New Roman"/>
                <w:sz w:val="20"/>
                <w:szCs w:val="20"/>
              </w:rPr>
              <w:t>Table costs are based on 2021 actuals obtained from IRS Chief Financial Officer and Media and Publications</w:t>
            </w:r>
          </w:p>
        </w:tc>
      </w:tr>
    </w:tbl>
    <w:p w:rsidR="00526958" w:rsidP="0015572D" w14:paraId="35A0D51F" w14:textId="77777777">
      <w:pPr>
        <w:tabs>
          <w:tab w:val="num" w:pos="540"/>
        </w:tabs>
        <w:ind w:left="540" w:hanging="540"/>
        <w:rPr>
          <w:rFonts w:ascii="Times New Roman" w:hAnsi="Times New Roman"/>
        </w:rPr>
      </w:pPr>
    </w:p>
    <w:p w:rsidR="000B1A00" w:rsidRPr="0015572D" w:rsidP="00526958" w14:paraId="761CE38B" w14:textId="77777777">
      <w:pPr>
        <w:tabs>
          <w:tab w:val="num" w:pos="540"/>
        </w:tabs>
        <w:ind w:left="540" w:hanging="540"/>
        <w:rPr>
          <w:rFonts w:ascii="Times New Roman" w:hAnsi="Times New Roman"/>
        </w:rPr>
      </w:pPr>
      <w:r>
        <w:rPr>
          <w:rFonts w:ascii="Times New Roman" w:hAnsi="Times New Roman"/>
        </w:rPr>
        <w:t xml:space="preserve">15.   </w:t>
      </w:r>
      <w:r w:rsidRPr="0015572D">
        <w:rPr>
          <w:rFonts w:ascii="Times New Roman" w:hAnsi="Times New Roman"/>
          <w:u w:val="single"/>
        </w:rPr>
        <w:t>REASONS FOR CHANGE IN BURDEN</w:t>
      </w:r>
    </w:p>
    <w:p w:rsidR="000B1A00" w:rsidP="0015572D" w14:paraId="4D52512B" w14:textId="6EC1C7A6">
      <w:pPr>
        <w:tabs>
          <w:tab w:val="num" w:pos="540"/>
        </w:tabs>
        <w:ind w:left="540" w:hanging="540"/>
        <w:rPr>
          <w:rFonts w:ascii="Times New Roman" w:hAnsi="Times New Roman"/>
        </w:rPr>
      </w:pPr>
    </w:p>
    <w:p w:rsidR="00051BB1" w:rsidP="006444B2" w14:paraId="4C04A66F" w14:textId="5113F08D">
      <w:pPr>
        <w:tabs>
          <w:tab w:val="num" w:pos="540"/>
        </w:tabs>
        <w:ind w:left="540" w:hanging="540"/>
        <w:rPr>
          <w:rFonts w:ascii="Times New Roman" w:hAnsi="Times New Roman"/>
        </w:rPr>
      </w:pPr>
      <w:r>
        <w:rPr>
          <w:rFonts w:ascii="Times New Roman" w:hAnsi="Times New Roman"/>
        </w:rPr>
        <w:tab/>
      </w:r>
      <w:r>
        <w:rPr>
          <w:rFonts w:ascii="Times New Roman" w:hAnsi="Times New Roman"/>
        </w:rPr>
        <w:t>IRS created Form 15400 (Rev. Proc. 2022-42) to provide a template to filers for Clean Vehicles Sellers Reports. This template standardizes and simplifies the information to be the provide to the IRS and for third-party disclosures. These changes increase the burden by 193,835 responses and 589,659 burden hours due to Agency Estimate</w:t>
      </w:r>
      <w:r w:rsidR="007D6DB5">
        <w:rPr>
          <w:rFonts w:ascii="Times New Roman" w:hAnsi="Times New Roman"/>
        </w:rPr>
        <w:t>s</w:t>
      </w:r>
      <w:r>
        <w:rPr>
          <w:rFonts w:ascii="Times New Roman" w:hAnsi="Times New Roman"/>
        </w:rPr>
        <w:t xml:space="preserve">. </w:t>
      </w:r>
    </w:p>
    <w:p w:rsidR="00051BB1" w:rsidP="006444B2" w14:paraId="7DEABE7B" w14:textId="77777777">
      <w:pPr>
        <w:tabs>
          <w:tab w:val="num" w:pos="540"/>
        </w:tabs>
        <w:ind w:left="540" w:hanging="540"/>
        <w:rPr>
          <w:rFonts w:ascii="Times New Roman" w:hAnsi="Times New Roman"/>
        </w:rPr>
      </w:pPr>
    </w:p>
    <w:p w:rsidR="00051BB1" w:rsidP="0070696F" w14:paraId="032847A1" w14:textId="741EC3DC">
      <w:pPr>
        <w:tabs>
          <w:tab w:val="num" w:pos="540"/>
        </w:tabs>
        <w:ind w:left="540" w:hanging="540"/>
        <w:rPr>
          <w:rFonts w:ascii="Times New Roman" w:hAnsi="Times New Roman"/>
        </w:rPr>
      </w:pPr>
      <w:r>
        <w:rPr>
          <w:rFonts w:ascii="Times New Roman" w:hAnsi="Times New Roman"/>
        </w:rPr>
        <w:tab/>
        <w:t xml:space="preserve">IRS also revised Form 8936 and Schedule A (Form 8936) which </w:t>
      </w:r>
      <w:r w:rsidR="005B0627">
        <w:rPr>
          <w:rFonts w:ascii="Times New Roman" w:hAnsi="Times New Roman"/>
        </w:rPr>
        <w:t xml:space="preserve">increase the burden by </w:t>
      </w:r>
      <w:r>
        <w:rPr>
          <w:rFonts w:ascii="Times New Roman" w:hAnsi="Times New Roman"/>
        </w:rPr>
        <w:t>395 hours</w:t>
      </w:r>
      <w:r w:rsidR="005B0627">
        <w:rPr>
          <w:rFonts w:ascii="Times New Roman" w:hAnsi="Times New Roman"/>
        </w:rPr>
        <w:t xml:space="preserve"> due to Agency Discretion. </w:t>
      </w:r>
      <w:r w:rsidR="00CA7035">
        <w:rPr>
          <w:rFonts w:ascii="Times New Roman" w:hAnsi="Times New Roman"/>
        </w:rPr>
        <w:t xml:space="preserve">The </w:t>
      </w:r>
      <w:r w:rsidR="0070696F">
        <w:rPr>
          <w:rFonts w:ascii="Times New Roman" w:hAnsi="Times New Roman"/>
        </w:rPr>
        <w:t xml:space="preserve">majority of the </w:t>
      </w:r>
      <w:r w:rsidR="00CA7035">
        <w:rPr>
          <w:rFonts w:ascii="Times New Roman" w:hAnsi="Times New Roman"/>
        </w:rPr>
        <w:t xml:space="preserve">estimated burden for these forms continues to be capture under OMB control number 1545-0074 for individual filers and 1545-0123 for business filers. </w:t>
      </w:r>
    </w:p>
    <w:p w:rsidR="005B0627" w:rsidRPr="0015572D" w:rsidP="006444B2" w14:paraId="3061F2E1" w14:textId="77777777">
      <w:pPr>
        <w:tabs>
          <w:tab w:val="num" w:pos="540"/>
        </w:tabs>
        <w:ind w:left="540" w:hanging="540"/>
        <w:rPr>
          <w:rFonts w:ascii="Times New Roman" w:hAnsi="Times New Roman"/>
        </w:rPr>
      </w:pPr>
    </w:p>
    <w:p w:rsidR="00432DFA" w:rsidP="00E60C3B" w14:paraId="35F6F2FC" w14:textId="77777777">
      <w:pPr>
        <w:tabs>
          <w:tab w:val="num" w:pos="540"/>
        </w:tabs>
        <w:ind w:left="540" w:hanging="540"/>
        <w:rPr>
          <w:rFonts w:ascii="Times New Roman" w:hAnsi="Times New Roman"/>
        </w:rPr>
      </w:pPr>
    </w:p>
    <w:tbl>
      <w:tblPr>
        <w:tblW w:w="4861" w:type="pct"/>
        <w:tblInd w:w="26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309"/>
        <w:gridCol w:w="1309"/>
        <w:gridCol w:w="1310"/>
        <w:gridCol w:w="1312"/>
        <w:gridCol w:w="1310"/>
        <w:gridCol w:w="1310"/>
        <w:gridCol w:w="1312"/>
      </w:tblGrid>
      <w:tr w14:paraId="7ADA8E70" w14:textId="77777777" w:rsidTr="0070052A">
        <w:tblPrEx>
          <w:tblW w:w="4861" w:type="pct"/>
          <w:tblInd w:w="26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0EC3C389" w14:textId="77777777">
            <w:pPr>
              <w:jc w:val="center"/>
              <w:rPr>
                <w:rFonts w:ascii="Times New Roman" w:hAnsi="Times New Roman"/>
                <w:b/>
                <w:bCs/>
                <w:color w:val="000000"/>
                <w:sz w:val="20"/>
                <w:szCs w:val="20"/>
              </w:rPr>
            </w:pPr>
            <w:r w:rsidRPr="006B4615">
              <w:rPr>
                <w:rFonts w:ascii="Times New Roman" w:hAnsi="Times New Roman"/>
                <w:sz w:val="20"/>
                <w:szCs w:val="20"/>
              </w:rPr>
              <w:br w:type="page"/>
            </w:r>
            <w:r w:rsidRPr="006B4615">
              <w:rPr>
                <w:rFonts w:ascii="Times New Roman" w:hAnsi="Times New Roman"/>
                <w:b/>
                <w:bCs/>
                <w:color w:val="000000"/>
                <w:sz w:val="20"/>
                <w:szCs w:val="20"/>
              </w:rPr>
              <w:t> </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07311ACA" w14:textId="77777777">
            <w:pPr>
              <w:jc w:val="center"/>
              <w:rPr>
                <w:rFonts w:ascii="Times New Roman" w:hAnsi="Times New Roman"/>
                <w:b/>
                <w:bCs/>
                <w:color w:val="000000"/>
                <w:sz w:val="20"/>
                <w:szCs w:val="20"/>
              </w:rPr>
            </w:pPr>
            <w:r w:rsidRPr="006B4615">
              <w:rPr>
                <w:rFonts w:ascii="Times New Roman" w:hAnsi="Times New Roman"/>
                <w:b/>
                <w:bCs/>
                <w:color w:val="000000"/>
                <w:sz w:val="20"/>
                <w:szCs w:val="20"/>
              </w:rPr>
              <w:t>Requested</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01DD7DD2" w14:textId="2D670712">
            <w:pPr>
              <w:jc w:val="center"/>
              <w:rPr>
                <w:rFonts w:ascii="Times New Roman" w:hAnsi="Times New Roman"/>
                <w:b/>
                <w:bCs/>
                <w:color w:val="000000"/>
                <w:sz w:val="20"/>
                <w:szCs w:val="20"/>
              </w:rPr>
            </w:pPr>
            <w:r w:rsidRPr="006B4615">
              <w:rPr>
                <w:rFonts w:ascii="Times New Roman" w:hAnsi="Times New Roman"/>
                <w:b/>
                <w:bCs/>
                <w:color w:val="000000"/>
                <w:sz w:val="20"/>
                <w:szCs w:val="20"/>
              </w:rPr>
              <w:t>Program Change Due</w:t>
            </w:r>
            <w:r w:rsidR="0070052A">
              <w:rPr>
                <w:rFonts w:ascii="Times New Roman" w:hAnsi="Times New Roman"/>
                <w:b/>
                <w:bCs/>
                <w:color w:val="000000"/>
                <w:sz w:val="20"/>
                <w:szCs w:val="20"/>
              </w:rPr>
              <w:t xml:space="preserve"> </w:t>
            </w:r>
            <w:r w:rsidRPr="006B4615">
              <w:rPr>
                <w:rFonts w:ascii="Times New Roman" w:hAnsi="Times New Roman"/>
                <w:b/>
                <w:bCs/>
                <w:color w:val="000000"/>
                <w:sz w:val="20"/>
                <w:szCs w:val="20"/>
              </w:rPr>
              <w:t xml:space="preserve"> to New Statute</w:t>
            </w:r>
          </w:p>
        </w:tc>
        <w:tc>
          <w:tcPr>
            <w:tcW w:w="715"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29308AE0" w14:textId="6E5E4A73">
            <w:pPr>
              <w:jc w:val="center"/>
              <w:rPr>
                <w:rFonts w:ascii="Times New Roman" w:hAnsi="Times New Roman"/>
                <w:b/>
                <w:bCs/>
                <w:color w:val="000000"/>
                <w:sz w:val="20"/>
                <w:szCs w:val="20"/>
              </w:rPr>
            </w:pPr>
            <w:r w:rsidRPr="006B4615">
              <w:rPr>
                <w:rFonts w:ascii="Times New Roman" w:hAnsi="Times New Roman"/>
                <w:b/>
                <w:bCs/>
                <w:color w:val="000000"/>
                <w:sz w:val="20"/>
                <w:szCs w:val="20"/>
              </w:rPr>
              <w:t xml:space="preserve">Program Change Due </w:t>
            </w:r>
            <w:r w:rsidR="0070052A">
              <w:rPr>
                <w:rFonts w:ascii="Times New Roman" w:hAnsi="Times New Roman"/>
                <w:b/>
                <w:bCs/>
                <w:color w:val="000000"/>
                <w:sz w:val="20"/>
                <w:szCs w:val="20"/>
              </w:rPr>
              <w:t xml:space="preserve"> </w:t>
            </w:r>
            <w:r w:rsidRPr="006B4615">
              <w:rPr>
                <w:rFonts w:ascii="Times New Roman" w:hAnsi="Times New Roman"/>
                <w:b/>
                <w:bCs/>
                <w:color w:val="000000"/>
                <w:sz w:val="20"/>
                <w:szCs w:val="20"/>
              </w:rPr>
              <w:t>to Agency Discretion</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464C85F3" w14:textId="14552B1A">
            <w:pPr>
              <w:jc w:val="center"/>
              <w:rPr>
                <w:rFonts w:ascii="Times New Roman" w:hAnsi="Times New Roman"/>
                <w:b/>
                <w:bCs/>
                <w:color w:val="000000"/>
                <w:sz w:val="20"/>
                <w:szCs w:val="20"/>
              </w:rPr>
            </w:pPr>
            <w:r w:rsidRPr="006B4615">
              <w:rPr>
                <w:rFonts w:ascii="Times New Roman" w:hAnsi="Times New Roman"/>
                <w:b/>
                <w:bCs/>
                <w:color w:val="000000"/>
                <w:sz w:val="20"/>
                <w:szCs w:val="20"/>
              </w:rPr>
              <w:t xml:space="preserve">Change Due </w:t>
            </w:r>
            <w:r w:rsidR="0070052A">
              <w:rPr>
                <w:rFonts w:ascii="Times New Roman" w:hAnsi="Times New Roman"/>
                <w:b/>
                <w:bCs/>
                <w:color w:val="000000"/>
                <w:sz w:val="20"/>
                <w:szCs w:val="20"/>
              </w:rPr>
              <w:t xml:space="preserve"> </w:t>
            </w:r>
            <w:r w:rsidRPr="006B4615">
              <w:rPr>
                <w:rFonts w:ascii="Times New Roman" w:hAnsi="Times New Roman"/>
                <w:b/>
                <w:bCs/>
                <w:color w:val="000000"/>
                <w:sz w:val="20"/>
                <w:szCs w:val="20"/>
              </w:rPr>
              <w:t>to Adjustment in Agency Estimate</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00BB8C34" w14:textId="3E96091A">
            <w:pPr>
              <w:jc w:val="center"/>
              <w:rPr>
                <w:rFonts w:ascii="Times New Roman" w:hAnsi="Times New Roman"/>
                <w:b/>
                <w:bCs/>
                <w:color w:val="000000"/>
                <w:sz w:val="20"/>
                <w:szCs w:val="20"/>
              </w:rPr>
            </w:pPr>
            <w:r w:rsidRPr="006B4615">
              <w:rPr>
                <w:rFonts w:ascii="Times New Roman" w:hAnsi="Times New Roman"/>
                <w:b/>
                <w:bCs/>
                <w:color w:val="000000"/>
                <w:sz w:val="20"/>
                <w:szCs w:val="20"/>
              </w:rPr>
              <w:t>Change Due</w:t>
            </w:r>
            <w:r w:rsidR="0070052A">
              <w:rPr>
                <w:rFonts w:ascii="Times New Roman" w:hAnsi="Times New Roman"/>
                <w:b/>
                <w:bCs/>
                <w:color w:val="000000"/>
                <w:sz w:val="20"/>
                <w:szCs w:val="20"/>
              </w:rPr>
              <w:t xml:space="preserve"> </w:t>
            </w:r>
            <w:r w:rsidRPr="006B4615">
              <w:rPr>
                <w:rFonts w:ascii="Times New Roman" w:hAnsi="Times New Roman"/>
                <w:b/>
                <w:bCs/>
                <w:color w:val="000000"/>
                <w:sz w:val="20"/>
                <w:szCs w:val="20"/>
              </w:rPr>
              <w:t xml:space="preserve"> to Potential Violation of the PRA</w:t>
            </w:r>
          </w:p>
        </w:tc>
        <w:tc>
          <w:tcPr>
            <w:tcW w:w="715" w:type="pct"/>
            <w:tcBorders>
              <w:top w:val="outset" w:sz="6" w:space="0" w:color="auto"/>
              <w:left w:val="outset" w:sz="6" w:space="0" w:color="auto"/>
              <w:bottom w:val="outset" w:sz="6" w:space="0" w:color="auto"/>
              <w:right w:val="outset" w:sz="6" w:space="0" w:color="auto"/>
            </w:tcBorders>
            <w:vAlign w:val="center"/>
            <w:hideMark/>
          </w:tcPr>
          <w:p w:rsidR="002F5CFA" w:rsidRPr="006B4615" w:rsidP="000E0EA2" w14:paraId="35FE60F6" w14:textId="77777777">
            <w:pPr>
              <w:jc w:val="center"/>
              <w:rPr>
                <w:rFonts w:ascii="Times New Roman" w:hAnsi="Times New Roman"/>
                <w:b/>
                <w:bCs/>
                <w:color w:val="000000"/>
                <w:sz w:val="20"/>
                <w:szCs w:val="20"/>
              </w:rPr>
            </w:pPr>
            <w:r w:rsidRPr="006B4615">
              <w:rPr>
                <w:rFonts w:ascii="Times New Roman" w:hAnsi="Times New Roman"/>
                <w:b/>
                <w:bCs/>
                <w:color w:val="000000"/>
                <w:sz w:val="20"/>
                <w:szCs w:val="20"/>
              </w:rPr>
              <w:t>Previously Approved</w:t>
            </w:r>
          </w:p>
        </w:tc>
      </w:tr>
      <w:tr w14:paraId="4D9867F4" w14:textId="77777777" w:rsidTr="00E60C3B">
        <w:tblPrEx>
          <w:tblW w:w="4861" w:type="pct"/>
          <w:tblInd w:w="262" w:type="dxa"/>
          <w:tblLayout w:type="fixed"/>
          <w:tblCellMar>
            <w:top w:w="15" w:type="dxa"/>
            <w:left w:w="15" w:type="dxa"/>
            <w:bottom w:w="15" w:type="dxa"/>
            <w:right w:w="15" w:type="dxa"/>
          </w:tblCellMar>
          <w:tblLook w:val="04A0"/>
        </w:tblPrEx>
        <w:tc>
          <w:tcPr>
            <w:tcW w:w="714" w:type="pct"/>
            <w:tcBorders>
              <w:top w:val="outset" w:sz="6" w:space="0" w:color="auto"/>
              <w:left w:val="outset" w:sz="6" w:space="0" w:color="auto"/>
              <w:bottom w:val="outset" w:sz="6" w:space="0" w:color="auto"/>
              <w:right w:val="outset" w:sz="6" w:space="0" w:color="auto"/>
            </w:tcBorders>
            <w:hideMark/>
          </w:tcPr>
          <w:p w:rsidR="002F5CFA" w:rsidRPr="006B4615" w:rsidP="000E0EA2" w14:paraId="2D975886" w14:textId="77777777">
            <w:pPr>
              <w:rPr>
                <w:rFonts w:ascii="Times New Roman" w:hAnsi="Times New Roman"/>
                <w:color w:val="000000"/>
                <w:sz w:val="20"/>
                <w:szCs w:val="20"/>
              </w:rPr>
            </w:pPr>
            <w:r w:rsidRPr="006B4615">
              <w:rPr>
                <w:rFonts w:ascii="Times New Roman" w:hAnsi="Times New Roman"/>
                <w:color w:val="000000"/>
                <w:sz w:val="20"/>
                <w:szCs w:val="20"/>
              </w:rPr>
              <w:t>Annual Number of Responses</w:t>
            </w:r>
          </w:p>
        </w:tc>
        <w:tc>
          <w:tcPr>
            <w:tcW w:w="714"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222BCDA5" w14:textId="29EFB030">
            <w:pPr>
              <w:jc w:val="center"/>
              <w:rPr>
                <w:rFonts w:ascii="Times New Roman" w:hAnsi="Times New Roman"/>
                <w:color w:val="000000"/>
                <w:sz w:val="20"/>
                <w:szCs w:val="20"/>
              </w:rPr>
            </w:pPr>
            <w:r>
              <w:rPr>
                <w:rFonts w:ascii="Times New Roman" w:hAnsi="Times New Roman"/>
                <w:color w:val="000000"/>
                <w:sz w:val="20"/>
                <w:szCs w:val="20"/>
              </w:rPr>
              <w:t>248,441</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057CF8EE" w14:textId="2FCF51E1">
            <w:pPr>
              <w:jc w:val="center"/>
              <w:rPr>
                <w:rFonts w:ascii="Times New Roman" w:hAnsi="Times New Roman"/>
                <w:color w:val="000000"/>
                <w:sz w:val="20"/>
                <w:szCs w:val="20"/>
              </w:rPr>
            </w:pPr>
            <w:r w:rsidRPr="006B4615">
              <w:rPr>
                <w:rFonts w:ascii="Times New Roman" w:hAnsi="Times New Roman"/>
                <w:color w:val="000000"/>
                <w:sz w:val="20"/>
                <w:szCs w:val="20"/>
              </w:rPr>
              <w:t>0</w:t>
            </w:r>
          </w:p>
        </w:tc>
        <w:tc>
          <w:tcPr>
            <w:tcW w:w="715"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2666689A" w14:textId="1ACF9F3D">
            <w:pPr>
              <w:jc w:val="center"/>
              <w:rPr>
                <w:rFonts w:ascii="Times New Roman" w:hAnsi="Times New Roman"/>
                <w:color w:val="000000"/>
                <w:sz w:val="20"/>
                <w:szCs w:val="20"/>
              </w:rPr>
            </w:pPr>
            <w:r>
              <w:rPr>
                <w:rFonts w:ascii="Times New Roman" w:hAnsi="Times New Roman"/>
                <w:color w:val="000000"/>
                <w:sz w:val="20"/>
                <w:szCs w:val="20"/>
              </w:rPr>
              <w:t>0</w:t>
            </w:r>
          </w:p>
        </w:tc>
        <w:tc>
          <w:tcPr>
            <w:tcW w:w="714"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41C7A0E1" w14:textId="2A1CA354">
            <w:pPr>
              <w:jc w:val="center"/>
              <w:rPr>
                <w:rFonts w:ascii="Times New Roman" w:hAnsi="Times New Roman"/>
                <w:color w:val="000000"/>
                <w:sz w:val="20"/>
                <w:szCs w:val="20"/>
              </w:rPr>
            </w:pPr>
            <w:r>
              <w:rPr>
                <w:rFonts w:ascii="Times New Roman" w:hAnsi="Times New Roman"/>
                <w:color w:val="000000"/>
                <w:sz w:val="20"/>
                <w:szCs w:val="20"/>
              </w:rPr>
              <w:t>193,835</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2273B5C7" w14:textId="5478609A">
            <w:pPr>
              <w:jc w:val="center"/>
              <w:rPr>
                <w:rFonts w:ascii="Times New Roman" w:hAnsi="Times New Roman"/>
                <w:color w:val="000000"/>
                <w:sz w:val="20"/>
                <w:szCs w:val="20"/>
              </w:rPr>
            </w:pPr>
            <w:r w:rsidRPr="006B4615">
              <w:rPr>
                <w:rFonts w:ascii="Times New Roman" w:hAnsi="Times New Roman"/>
                <w:color w:val="000000"/>
                <w:sz w:val="20"/>
                <w:szCs w:val="20"/>
              </w:rPr>
              <w:t>0</w:t>
            </w:r>
          </w:p>
        </w:tc>
        <w:tc>
          <w:tcPr>
            <w:tcW w:w="715"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4C114532" w14:textId="65ED1723">
            <w:pPr>
              <w:jc w:val="center"/>
              <w:rPr>
                <w:rFonts w:ascii="Times New Roman" w:hAnsi="Times New Roman"/>
                <w:color w:val="000000"/>
                <w:sz w:val="20"/>
                <w:szCs w:val="20"/>
              </w:rPr>
            </w:pPr>
            <w:r w:rsidRPr="006B4615">
              <w:rPr>
                <w:rFonts w:ascii="Times New Roman" w:hAnsi="Times New Roman"/>
                <w:color w:val="000000"/>
                <w:sz w:val="20"/>
                <w:szCs w:val="20"/>
              </w:rPr>
              <w:t>54,606</w:t>
            </w:r>
          </w:p>
        </w:tc>
      </w:tr>
      <w:tr w14:paraId="672857CA" w14:textId="77777777" w:rsidTr="00E60C3B">
        <w:tblPrEx>
          <w:tblW w:w="4861" w:type="pct"/>
          <w:tblInd w:w="262" w:type="dxa"/>
          <w:tblLayout w:type="fixed"/>
          <w:tblCellMar>
            <w:top w:w="15" w:type="dxa"/>
            <w:left w:w="15" w:type="dxa"/>
            <w:bottom w:w="15" w:type="dxa"/>
            <w:right w:w="15" w:type="dxa"/>
          </w:tblCellMar>
          <w:tblLook w:val="04A0"/>
        </w:tblPrEx>
        <w:tc>
          <w:tcPr>
            <w:tcW w:w="714" w:type="pct"/>
            <w:tcBorders>
              <w:top w:val="outset" w:sz="6" w:space="0" w:color="auto"/>
              <w:left w:val="outset" w:sz="6" w:space="0" w:color="auto"/>
              <w:bottom w:val="outset" w:sz="6" w:space="0" w:color="auto"/>
              <w:right w:val="outset" w:sz="6" w:space="0" w:color="auto"/>
            </w:tcBorders>
            <w:hideMark/>
          </w:tcPr>
          <w:p w:rsidR="002F5CFA" w:rsidRPr="006B4615" w:rsidP="000E0EA2" w14:paraId="6AD8DED8" w14:textId="797F0367">
            <w:pPr>
              <w:rPr>
                <w:rFonts w:ascii="Times New Roman" w:hAnsi="Times New Roman"/>
                <w:color w:val="000000"/>
                <w:sz w:val="20"/>
                <w:szCs w:val="20"/>
              </w:rPr>
            </w:pPr>
            <w:r w:rsidRPr="006B4615">
              <w:rPr>
                <w:rFonts w:ascii="Times New Roman" w:hAnsi="Times New Roman"/>
                <w:color w:val="000000"/>
                <w:sz w:val="20"/>
                <w:szCs w:val="20"/>
              </w:rPr>
              <w:t>Annual Time Burden (Hr</w:t>
            </w:r>
            <w:r w:rsidRPr="006B4615" w:rsidR="00E44A97">
              <w:rPr>
                <w:rFonts w:ascii="Times New Roman" w:hAnsi="Times New Roman"/>
                <w:color w:val="000000"/>
                <w:sz w:val="20"/>
                <w:szCs w:val="20"/>
              </w:rPr>
              <w:t>.</w:t>
            </w:r>
            <w:r w:rsidRPr="006B4615">
              <w:rPr>
                <w:rFonts w:ascii="Times New Roman" w:hAnsi="Times New Roman"/>
                <w:color w:val="000000"/>
                <w:sz w:val="20"/>
                <w:szCs w:val="20"/>
              </w:rPr>
              <w:t>)</w:t>
            </w:r>
          </w:p>
        </w:tc>
        <w:tc>
          <w:tcPr>
            <w:tcW w:w="714"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1CE9F131" w14:textId="72A7B993">
            <w:pPr>
              <w:jc w:val="center"/>
              <w:rPr>
                <w:rFonts w:ascii="Times New Roman" w:hAnsi="Times New Roman"/>
                <w:color w:val="000000"/>
                <w:sz w:val="20"/>
                <w:szCs w:val="20"/>
              </w:rPr>
            </w:pPr>
            <w:r>
              <w:rPr>
                <w:rFonts w:ascii="Times New Roman" w:hAnsi="Times New Roman"/>
                <w:color w:val="000000"/>
                <w:sz w:val="20"/>
                <w:szCs w:val="20"/>
              </w:rPr>
              <w:t>606,479</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55D6ADDB" w14:textId="71B67AC1">
            <w:pPr>
              <w:jc w:val="center"/>
              <w:rPr>
                <w:rFonts w:ascii="Times New Roman" w:hAnsi="Times New Roman"/>
                <w:color w:val="000000"/>
                <w:sz w:val="20"/>
                <w:szCs w:val="20"/>
              </w:rPr>
            </w:pPr>
            <w:r w:rsidRPr="006B4615">
              <w:rPr>
                <w:rFonts w:ascii="Times New Roman" w:hAnsi="Times New Roman"/>
                <w:color w:val="000000"/>
                <w:sz w:val="20"/>
                <w:szCs w:val="20"/>
              </w:rPr>
              <w:t>0</w:t>
            </w:r>
          </w:p>
        </w:tc>
        <w:tc>
          <w:tcPr>
            <w:tcW w:w="715"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27D88839" w14:textId="6A58E5D1">
            <w:pPr>
              <w:jc w:val="center"/>
              <w:rPr>
                <w:rFonts w:ascii="Times New Roman" w:hAnsi="Times New Roman"/>
                <w:color w:val="000000"/>
                <w:sz w:val="20"/>
                <w:szCs w:val="20"/>
              </w:rPr>
            </w:pPr>
            <w:r>
              <w:rPr>
                <w:rFonts w:ascii="Times New Roman" w:hAnsi="Times New Roman"/>
                <w:color w:val="000000"/>
                <w:sz w:val="20"/>
                <w:szCs w:val="20"/>
              </w:rPr>
              <w:t>395</w:t>
            </w:r>
          </w:p>
        </w:tc>
        <w:tc>
          <w:tcPr>
            <w:tcW w:w="714"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38EEA822" w14:textId="6F757424">
            <w:pPr>
              <w:jc w:val="center"/>
              <w:rPr>
                <w:rFonts w:ascii="Times New Roman" w:hAnsi="Times New Roman"/>
                <w:color w:val="000000"/>
                <w:sz w:val="20"/>
                <w:szCs w:val="20"/>
              </w:rPr>
            </w:pPr>
            <w:r>
              <w:rPr>
                <w:rFonts w:ascii="Times New Roman" w:hAnsi="Times New Roman"/>
                <w:color w:val="000000"/>
                <w:sz w:val="20"/>
                <w:szCs w:val="20"/>
              </w:rPr>
              <w:t>589,659</w:t>
            </w:r>
          </w:p>
        </w:tc>
        <w:tc>
          <w:tcPr>
            <w:tcW w:w="714" w:type="pct"/>
            <w:tcBorders>
              <w:top w:val="outset" w:sz="6" w:space="0" w:color="auto"/>
              <w:left w:val="outset" w:sz="6" w:space="0" w:color="auto"/>
              <w:bottom w:val="outset" w:sz="6" w:space="0" w:color="auto"/>
              <w:right w:val="outset" w:sz="6" w:space="0" w:color="auto"/>
            </w:tcBorders>
            <w:vAlign w:val="center"/>
            <w:hideMark/>
          </w:tcPr>
          <w:p w:rsidR="002F5CFA" w:rsidRPr="006B4615" w:rsidP="002F5CFA" w14:paraId="36B4E762" w14:textId="2045F62F">
            <w:pPr>
              <w:jc w:val="center"/>
              <w:rPr>
                <w:rFonts w:ascii="Times New Roman" w:hAnsi="Times New Roman"/>
                <w:color w:val="000000"/>
                <w:sz w:val="20"/>
                <w:szCs w:val="20"/>
              </w:rPr>
            </w:pPr>
            <w:r w:rsidRPr="006B4615">
              <w:rPr>
                <w:rFonts w:ascii="Times New Roman" w:hAnsi="Times New Roman"/>
                <w:color w:val="000000"/>
                <w:sz w:val="20"/>
                <w:szCs w:val="20"/>
              </w:rPr>
              <w:t>0</w:t>
            </w:r>
          </w:p>
        </w:tc>
        <w:tc>
          <w:tcPr>
            <w:tcW w:w="715" w:type="pct"/>
            <w:tcBorders>
              <w:top w:val="outset" w:sz="6" w:space="0" w:color="auto"/>
              <w:left w:val="outset" w:sz="6" w:space="0" w:color="auto"/>
              <w:bottom w:val="outset" w:sz="6" w:space="0" w:color="auto"/>
              <w:right w:val="outset" w:sz="6" w:space="0" w:color="auto"/>
            </w:tcBorders>
            <w:vAlign w:val="center"/>
          </w:tcPr>
          <w:p w:rsidR="002F5CFA" w:rsidRPr="006B4615" w:rsidP="002F5CFA" w14:paraId="551D7BEF" w14:textId="5353893F">
            <w:pPr>
              <w:jc w:val="center"/>
              <w:rPr>
                <w:rFonts w:ascii="Times New Roman" w:hAnsi="Times New Roman"/>
                <w:color w:val="000000"/>
                <w:sz w:val="20"/>
                <w:szCs w:val="20"/>
              </w:rPr>
            </w:pPr>
            <w:r w:rsidRPr="006B4615">
              <w:rPr>
                <w:rFonts w:ascii="Times New Roman" w:hAnsi="Times New Roman"/>
                <w:color w:val="000000"/>
                <w:sz w:val="20"/>
                <w:szCs w:val="20"/>
              </w:rPr>
              <w:t>16,820</w:t>
            </w:r>
          </w:p>
        </w:tc>
      </w:tr>
    </w:tbl>
    <w:p w:rsidR="002F5CFA" w:rsidRPr="00676404" w:rsidP="002F5CFA" w14:paraId="072A5BC8" w14:textId="77777777">
      <w:pPr>
        <w:rPr>
          <w:rFonts w:ascii="Calibri" w:hAnsi="Calibri" w:cs="Calibri"/>
          <w:sz w:val="22"/>
        </w:rPr>
      </w:pPr>
    </w:p>
    <w:p w:rsidR="000351FD" w:rsidRPr="0015572D" w:rsidP="00D106E9" w14:paraId="38F65570" w14:textId="77777777">
      <w:pPr>
        <w:widowControl/>
        <w:tabs>
          <w:tab w:val="left" w:pos="540"/>
        </w:tabs>
        <w:spacing w:line="242" w:lineRule="auto"/>
        <w:rPr>
          <w:rFonts w:ascii="Times New Roman" w:hAnsi="Times New Roman"/>
        </w:rPr>
      </w:pPr>
    </w:p>
    <w:p w:rsidR="000B1A00" w:rsidRPr="0015572D" w:rsidP="00526958" w14:paraId="5D386CE6"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16.    </w:t>
      </w:r>
      <w:r w:rsidRPr="0015572D">
        <w:rPr>
          <w:rFonts w:ascii="Times New Roman" w:hAnsi="Times New Roman"/>
          <w:u w:val="single"/>
        </w:rPr>
        <w:t>PLANS FOR TABULATION, STATISTICAL ANALYSIS AND PUBLICATION</w:t>
      </w:r>
    </w:p>
    <w:p w:rsidR="000B1A00" w:rsidRPr="0015572D" w:rsidP="0015572D" w14:paraId="58B68AC5" w14:textId="77777777">
      <w:pPr>
        <w:tabs>
          <w:tab w:val="num" w:pos="540"/>
        </w:tabs>
        <w:ind w:left="540" w:hanging="540"/>
        <w:rPr>
          <w:rFonts w:ascii="Times New Roman" w:hAnsi="Times New Roman"/>
        </w:rPr>
      </w:pPr>
    </w:p>
    <w:p w:rsidR="009168BF" w:rsidRPr="0015572D" w:rsidP="0015572D" w14:paraId="6DF691E3" w14:textId="77777777">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plans for tabulation, statistical analysis</w:t>
      </w:r>
      <w:r w:rsidR="008606D8">
        <w:rPr>
          <w:rFonts w:ascii="Times New Roman" w:hAnsi="Times New Roman"/>
        </w:rPr>
        <w:t>,</w:t>
      </w:r>
      <w:r w:rsidRPr="00DC4238" w:rsidR="00DC4238">
        <w:rPr>
          <w:rFonts w:ascii="Times New Roman" w:hAnsi="Times New Roman"/>
        </w:rPr>
        <w:t xml:space="preserve"> and publication.</w:t>
      </w:r>
    </w:p>
    <w:p w:rsidR="000B1A00" w:rsidRPr="0015572D" w:rsidP="0015572D" w14:paraId="2747A801" w14:textId="77777777">
      <w:pPr>
        <w:tabs>
          <w:tab w:val="num" w:pos="540"/>
        </w:tabs>
        <w:ind w:left="540" w:hanging="540"/>
        <w:rPr>
          <w:rFonts w:ascii="Times New Roman" w:hAnsi="Times New Roman"/>
        </w:rPr>
      </w:pPr>
    </w:p>
    <w:p w:rsidR="000B1A00" w:rsidRPr="0015572D" w:rsidP="00526958" w14:paraId="0304EFA1"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17.    </w:t>
      </w:r>
      <w:r w:rsidRPr="0015572D">
        <w:rPr>
          <w:rFonts w:ascii="Times New Roman" w:hAnsi="Times New Roman"/>
          <w:u w:val="single"/>
        </w:rPr>
        <w:t>REASONS WHY DISPLAYING THE OMB EXPIRATION DATE IS</w:t>
      </w:r>
      <w:r w:rsidR="0015572D">
        <w:rPr>
          <w:rFonts w:ascii="Times New Roman" w:hAnsi="Times New Roman"/>
          <w:u w:val="single"/>
        </w:rPr>
        <w:t xml:space="preserve"> </w:t>
      </w:r>
      <w:r w:rsidRPr="0015572D">
        <w:rPr>
          <w:rFonts w:ascii="Times New Roman" w:hAnsi="Times New Roman"/>
          <w:u w:val="single"/>
        </w:rPr>
        <w:t>INAPPROPRIATE</w:t>
      </w:r>
    </w:p>
    <w:p w:rsidR="000B1A00" w:rsidRPr="0015572D" w:rsidP="0015572D" w14:paraId="6F69AEFB" w14:textId="77777777">
      <w:pPr>
        <w:tabs>
          <w:tab w:val="num" w:pos="540"/>
        </w:tabs>
        <w:ind w:left="540" w:hanging="540"/>
        <w:rPr>
          <w:rFonts w:ascii="Times New Roman" w:hAnsi="Times New Roman"/>
        </w:rPr>
      </w:pPr>
    </w:p>
    <w:p w:rsidR="008606D8" w:rsidRPr="00D106E9" w:rsidP="008606D8" w14:paraId="446AB591" w14:textId="10D980DE">
      <w:pPr>
        <w:tabs>
          <w:tab w:val="left" w:pos="540"/>
        </w:tabs>
        <w:ind w:left="540"/>
        <w:rPr>
          <w:rFonts w:ascii="Times New Roman" w:hAnsi="Times New Roman"/>
        </w:rPr>
      </w:pPr>
      <w:r w:rsidRPr="00D106E9">
        <w:rPr>
          <w:rFonts w:ascii="Times New Roman" w:hAnsi="Times New Roman"/>
          <w:szCs w:val="28"/>
        </w:rPr>
        <w:t xml:space="preserve">IRS believes that displaying the OMB expiration date is inappropriate because it could cause confusion by leading taxpayers to believe that the </w:t>
      </w:r>
      <w:r w:rsidRPr="00D106E9" w:rsidR="00012E5D">
        <w:rPr>
          <w:rFonts w:ascii="Times New Roman" w:hAnsi="Times New Roman"/>
          <w:szCs w:val="28"/>
        </w:rPr>
        <w:t>form</w:t>
      </w:r>
      <w:r w:rsidRPr="00D106E9">
        <w:rPr>
          <w:rFonts w:ascii="Times New Roman" w:hAnsi="Times New Roman"/>
          <w:szCs w:val="28"/>
        </w:rPr>
        <w:t xml:space="preserve"> sunsets as of the expiration date. Taxpayers are not likely to be aware that the </w:t>
      </w:r>
      <w:r w:rsidRPr="00D106E9" w:rsidR="00F90446">
        <w:rPr>
          <w:rFonts w:ascii="Times New Roman" w:hAnsi="Times New Roman"/>
          <w:szCs w:val="28"/>
        </w:rPr>
        <w:t xml:space="preserve">IRS </w:t>
      </w:r>
      <w:r w:rsidRPr="00D106E9">
        <w:rPr>
          <w:rFonts w:ascii="Times New Roman" w:hAnsi="Times New Roman"/>
          <w:szCs w:val="28"/>
        </w:rPr>
        <w:t>intends to request renewal of the OMB approval and obtain a new expiration date before the old one expires.</w:t>
      </w:r>
    </w:p>
    <w:p w:rsidR="000B1A00" w:rsidRPr="0015572D" w:rsidP="0015572D" w14:paraId="4CC4591C" w14:textId="77777777">
      <w:pPr>
        <w:tabs>
          <w:tab w:val="num" w:pos="540"/>
        </w:tabs>
        <w:ind w:left="540" w:hanging="540"/>
        <w:rPr>
          <w:rFonts w:ascii="Times New Roman" w:hAnsi="Times New Roman"/>
        </w:rPr>
      </w:pPr>
    </w:p>
    <w:p w:rsidR="000B1A00" w:rsidRPr="0015572D" w:rsidP="00526958" w14:paraId="239B746B"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18.   </w:t>
      </w:r>
      <w:r w:rsidRPr="0015572D">
        <w:rPr>
          <w:rFonts w:ascii="Times New Roman" w:hAnsi="Times New Roman"/>
          <w:u w:val="single"/>
        </w:rPr>
        <w:t>EXCEPTIONS TO THE CERTIFICATION STATEMENT</w:t>
      </w:r>
    </w:p>
    <w:p w:rsidR="000B1A00" w:rsidRPr="0015572D" w:rsidP="0015572D" w14:paraId="1DCE0045" w14:textId="77777777">
      <w:pPr>
        <w:tabs>
          <w:tab w:val="num" w:pos="540"/>
        </w:tabs>
        <w:ind w:left="540" w:hanging="540"/>
        <w:rPr>
          <w:rFonts w:ascii="Times New Roman" w:hAnsi="Times New Roman"/>
        </w:rPr>
      </w:pPr>
    </w:p>
    <w:p w:rsidR="000B1A00" w:rsidRPr="0015572D" w:rsidP="0015572D" w14:paraId="02ED10EA" w14:textId="4381A4C6">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exceptions to the certification statement</w:t>
      </w:r>
      <w:r w:rsidR="00012E5D">
        <w:rPr>
          <w:rFonts w:ascii="Times New Roman" w:hAnsi="Times New Roman"/>
        </w:rPr>
        <w:t xml:space="preserve"> for this collection</w:t>
      </w:r>
      <w:r w:rsidRPr="00DC4238" w:rsidR="00DC4238">
        <w:rPr>
          <w:rFonts w:ascii="Times New Roman" w:hAnsi="Times New Roman"/>
        </w:rPr>
        <w:t>.</w:t>
      </w:r>
    </w:p>
    <w:p w:rsidR="00CF7DC0" w:rsidP="0015572D" w14:paraId="4670B641" w14:textId="77CBDF52">
      <w:pPr>
        <w:tabs>
          <w:tab w:val="num" w:pos="540"/>
        </w:tabs>
        <w:ind w:left="540" w:hanging="540"/>
        <w:rPr>
          <w:rFonts w:ascii="Times New Roman" w:hAnsi="Times New Roman"/>
        </w:rPr>
      </w:pPr>
    </w:p>
    <w:p w:rsidR="00783087" w:rsidP="0015572D" w14:paraId="634344D3" w14:textId="77777777">
      <w:pPr>
        <w:tabs>
          <w:tab w:val="num" w:pos="540"/>
        </w:tabs>
        <w:ind w:left="540" w:hanging="540"/>
        <w:rPr>
          <w:rFonts w:ascii="Times New Roman" w:hAnsi="Times New Roman"/>
        </w:rPr>
      </w:pPr>
    </w:p>
    <w:p w:rsidR="000B1A00" w:rsidRPr="0015572D" w:rsidP="0015572D" w14:paraId="54D09BB8" w14:textId="3779B71B">
      <w:pPr>
        <w:tabs>
          <w:tab w:val="num" w:pos="720"/>
        </w:tabs>
        <w:ind w:left="720" w:hanging="720"/>
        <w:rPr>
          <w:rFonts w:ascii="Times New Roman" w:hAnsi="Times New Roman"/>
        </w:rPr>
      </w:pPr>
      <w:r w:rsidRPr="00E60C3B">
        <w:rPr>
          <w:rFonts w:ascii="Times New Roman" w:hAnsi="Times New Roman"/>
        </w:rPr>
        <w:tab/>
      </w:r>
      <w:r w:rsidRPr="0015572D">
        <w:rPr>
          <w:rFonts w:ascii="Times New Roman" w:hAnsi="Times New Roman"/>
          <w:u w:val="single"/>
        </w:rPr>
        <w:t>Note:</w:t>
      </w:r>
      <w:r w:rsidR="0015572D">
        <w:rPr>
          <w:rFonts w:ascii="Times New Roman" w:hAnsi="Times New Roman"/>
        </w:rPr>
        <w:tab/>
      </w:r>
      <w:r w:rsidRPr="0015572D">
        <w:rPr>
          <w:rFonts w:ascii="Times New Roman" w:hAnsi="Times New Roman"/>
        </w:rPr>
        <w:t>The following paragraph applies to all of the collections of information in this submission:</w:t>
      </w:r>
    </w:p>
    <w:p w:rsidR="000B1A00" w:rsidRPr="0015572D" w:rsidP="0015572D" w14:paraId="61F2C08D" w14:textId="77777777">
      <w:pPr>
        <w:tabs>
          <w:tab w:val="num" w:pos="720"/>
        </w:tabs>
        <w:ind w:left="720" w:hanging="720"/>
        <w:rPr>
          <w:rFonts w:ascii="Times New Roman" w:hAnsi="Times New Roman"/>
        </w:rPr>
      </w:pPr>
    </w:p>
    <w:p w:rsidR="00E97A44" w:rsidRPr="0015572D" w:rsidP="00D106E9" w14:paraId="646BFF2B" w14:textId="0331761B">
      <w:pPr>
        <w:tabs>
          <w:tab w:val="num" w:pos="720"/>
        </w:tabs>
        <w:ind w:left="720" w:hanging="720"/>
        <w:rPr>
          <w:rFonts w:ascii="Times New Roman" w:hAnsi="Times New Roman"/>
        </w:rPr>
      </w:pPr>
      <w:r>
        <w:rPr>
          <w:rFonts w:ascii="Times New Roman" w:hAnsi="Times New Roman"/>
        </w:rPr>
        <w:tab/>
      </w:r>
      <w:r w:rsidRPr="0015572D" w:rsidR="000B1A00">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D106E9">
      <w:footerReference w:type="default" r:id="rId10"/>
      <w:type w:val="continuous"/>
      <w:pgSz w:w="12240" w:h="15840"/>
      <w:pgMar w:top="1350" w:right="135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2D" w:rsidRPr="0015572D" w14:paraId="4DB5C623" w14:textId="77777777">
    <w:pPr>
      <w:pStyle w:val="Footer"/>
      <w:jc w:val="right"/>
      <w:rPr>
        <w:rFonts w:ascii="Times New Roman" w:hAnsi="Times New Roman"/>
      </w:rPr>
    </w:pPr>
    <w:r w:rsidRPr="0015572D">
      <w:rPr>
        <w:rFonts w:ascii="Times New Roman" w:hAnsi="Times New Roman"/>
      </w:rPr>
      <w:fldChar w:fldCharType="begin"/>
    </w:r>
    <w:r w:rsidRPr="0015572D">
      <w:rPr>
        <w:rFonts w:ascii="Times New Roman" w:hAnsi="Times New Roman"/>
      </w:rPr>
      <w:instrText xml:space="preserve"> PAGE   \* MERGEFORMAT </w:instrText>
    </w:r>
    <w:r w:rsidRPr="0015572D">
      <w:rPr>
        <w:rFonts w:ascii="Times New Roman" w:hAnsi="Times New Roman"/>
      </w:rPr>
      <w:fldChar w:fldCharType="separate"/>
    </w:r>
    <w:r w:rsidR="00E579E5">
      <w:rPr>
        <w:rFonts w:ascii="Times New Roman" w:hAnsi="Times New Roman"/>
        <w:noProof/>
      </w:rPr>
      <w:t>1</w:t>
    </w:r>
    <w:r w:rsidRPr="0015572D">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E07D8A"/>
    <w:multiLevelType w:val="hybridMultilevel"/>
    <w:tmpl w:val="CA64DF7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40B5033"/>
    <w:multiLevelType w:val="hybridMultilevel"/>
    <w:tmpl w:val="0894835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F11843"/>
    <w:multiLevelType w:val="multilevel"/>
    <w:tmpl w:val="08948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D215AD"/>
    <w:multiLevelType w:val="hybridMultilevel"/>
    <w:tmpl w:val="689C994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EC1FB0"/>
    <w:multiLevelType w:val="hybridMultilevel"/>
    <w:tmpl w:val="D722C3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60974A4F"/>
    <w:multiLevelType w:val="hybridMultilevel"/>
    <w:tmpl w:val="F48434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7A875792"/>
    <w:multiLevelType w:val="hybridMultilevel"/>
    <w:tmpl w:val="E51877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682593">
    <w:abstractNumId w:val="0"/>
  </w:num>
  <w:num w:numId="2" w16cid:durableId="862940831">
    <w:abstractNumId w:val="2"/>
  </w:num>
  <w:num w:numId="3" w16cid:durableId="1608469008">
    <w:abstractNumId w:val="3"/>
  </w:num>
  <w:num w:numId="4" w16cid:durableId="993412468">
    <w:abstractNumId w:val="6"/>
  </w:num>
  <w:num w:numId="5" w16cid:durableId="1605769064">
    <w:abstractNumId w:val="5"/>
  </w:num>
  <w:num w:numId="6" w16cid:durableId="98647026">
    <w:abstractNumId w:val="9"/>
  </w:num>
  <w:num w:numId="7" w16cid:durableId="91364075">
    <w:abstractNumId w:val="7"/>
  </w:num>
  <w:num w:numId="8" w16cid:durableId="1010915244">
    <w:abstractNumId w:val="4"/>
  </w:num>
  <w:num w:numId="9" w16cid:durableId="60832154">
    <w:abstractNumId w:val="1"/>
  </w:num>
  <w:num w:numId="10" w16cid:durableId="1066611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2E5D"/>
    <w:rsid w:val="0001588C"/>
    <w:rsid w:val="0002016A"/>
    <w:rsid w:val="000220CA"/>
    <w:rsid w:val="000351FD"/>
    <w:rsid w:val="00042C6E"/>
    <w:rsid w:val="00051BB1"/>
    <w:rsid w:val="00057E5A"/>
    <w:rsid w:val="0006402F"/>
    <w:rsid w:val="00076593"/>
    <w:rsid w:val="00086274"/>
    <w:rsid w:val="000B1A00"/>
    <w:rsid w:val="000C1F3E"/>
    <w:rsid w:val="000D43AE"/>
    <w:rsid w:val="000E0EA2"/>
    <w:rsid w:val="001068D7"/>
    <w:rsid w:val="00116AF3"/>
    <w:rsid w:val="00120CB8"/>
    <w:rsid w:val="00125E3B"/>
    <w:rsid w:val="00150B2E"/>
    <w:rsid w:val="0015572D"/>
    <w:rsid w:val="00161CE2"/>
    <w:rsid w:val="00173E6D"/>
    <w:rsid w:val="0018132C"/>
    <w:rsid w:val="00182FE2"/>
    <w:rsid w:val="00183C44"/>
    <w:rsid w:val="001D42AC"/>
    <w:rsid w:val="001E3FD4"/>
    <w:rsid w:val="001E512A"/>
    <w:rsid w:val="001F32C1"/>
    <w:rsid w:val="0021203B"/>
    <w:rsid w:val="00221A0A"/>
    <w:rsid w:val="0022274B"/>
    <w:rsid w:val="00225327"/>
    <w:rsid w:val="002307A6"/>
    <w:rsid w:val="0024327E"/>
    <w:rsid w:val="0025032E"/>
    <w:rsid w:val="002635AE"/>
    <w:rsid w:val="002645FC"/>
    <w:rsid w:val="00265A2F"/>
    <w:rsid w:val="00272D95"/>
    <w:rsid w:val="00284D68"/>
    <w:rsid w:val="002A67A3"/>
    <w:rsid w:val="002D08D0"/>
    <w:rsid w:val="002F2D13"/>
    <w:rsid w:val="002F2FF9"/>
    <w:rsid w:val="002F37CB"/>
    <w:rsid w:val="002F5CFA"/>
    <w:rsid w:val="00335542"/>
    <w:rsid w:val="00360DC1"/>
    <w:rsid w:val="0037129C"/>
    <w:rsid w:val="0037255B"/>
    <w:rsid w:val="00377415"/>
    <w:rsid w:val="003859AC"/>
    <w:rsid w:val="0038756A"/>
    <w:rsid w:val="00390C12"/>
    <w:rsid w:val="00391152"/>
    <w:rsid w:val="003C7CD1"/>
    <w:rsid w:val="003D1FEE"/>
    <w:rsid w:val="003D2FE0"/>
    <w:rsid w:val="003E1BF1"/>
    <w:rsid w:val="003F2BAF"/>
    <w:rsid w:val="003F5BDC"/>
    <w:rsid w:val="0040528D"/>
    <w:rsid w:val="00416EEA"/>
    <w:rsid w:val="00432DFA"/>
    <w:rsid w:val="0043339E"/>
    <w:rsid w:val="0044052C"/>
    <w:rsid w:val="004451E4"/>
    <w:rsid w:val="00462404"/>
    <w:rsid w:val="004C73D8"/>
    <w:rsid w:val="004E11F4"/>
    <w:rsid w:val="004F275F"/>
    <w:rsid w:val="00526958"/>
    <w:rsid w:val="00536EAD"/>
    <w:rsid w:val="0054445A"/>
    <w:rsid w:val="005B01FF"/>
    <w:rsid w:val="005B0627"/>
    <w:rsid w:val="005D1889"/>
    <w:rsid w:val="005E1256"/>
    <w:rsid w:val="005F6AB2"/>
    <w:rsid w:val="006045E3"/>
    <w:rsid w:val="00610587"/>
    <w:rsid w:val="006444B2"/>
    <w:rsid w:val="00676404"/>
    <w:rsid w:val="00687274"/>
    <w:rsid w:val="00687B32"/>
    <w:rsid w:val="0069068E"/>
    <w:rsid w:val="006A7719"/>
    <w:rsid w:val="006B01C4"/>
    <w:rsid w:val="006B4615"/>
    <w:rsid w:val="006E22C3"/>
    <w:rsid w:val="006E34F5"/>
    <w:rsid w:val="006E40AA"/>
    <w:rsid w:val="006E74F6"/>
    <w:rsid w:val="006F054D"/>
    <w:rsid w:val="0070052A"/>
    <w:rsid w:val="0070696F"/>
    <w:rsid w:val="00717ECE"/>
    <w:rsid w:val="00757CAB"/>
    <w:rsid w:val="00764893"/>
    <w:rsid w:val="00767407"/>
    <w:rsid w:val="00777375"/>
    <w:rsid w:val="00780900"/>
    <w:rsid w:val="00783087"/>
    <w:rsid w:val="00790847"/>
    <w:rsid w:val="00793B73"/>
    <w:rsid w:val="007951A1"/>
    <w:rsid w:val="007A1548"/>
    <w:rsid w:val="007C31ED"/>
    <w:rsid w:val="007D0202"/>
    <w:rsid w:val="007D297E"/>
    <w:rsid w:val="007D6DB5"/>
    <w:rsid w:val="007E25FC"/>
    <w:rsid w:val="007F614D"/>
    <w:rsid w:val="00800FFF"/>
    <w:rsid w:val="00804BD7"/>
    <w:rsid w:val="008063D7"/>
    <w:rsid w:val="008459E6"/>
    <w:rsid w:val="00851527"/>
    <w:rsid w:val="008606D8"/>
    <w:rsid w:val="00867715"/>
    <w:rsid w:val="0088207E"/>
    <w:rsid w:val="0088298B"/>
    <w:rsid w:val="0088566C"/>
    <w:rsid w:val="00885FC0"/>
    <w:rsid w:val="00885FC1"/>
    <w:rsid w:val="00890D05"/>
    <w:rsid w:val="00897ADC"/>
    <w:rsid w:val="008A56F5"/>
    <w:rsid w:val="008D30BB"/>
    <w:rsid w:val="008F5950"/>
    <w:rsid w:val="00904190"/>
    <w:rsid w:val="009139FB"/>
    <w:rsid w:val="00915104"/>
    <w:rsid w:val="009168BF"/>
    <w:rsid w:val="009249BB"/>
    <w:rsid w:val="009341B7"/>
    <w:rsid w:val="00943F34"/>
    <w:rsid w:val="00964098"/>
    <w:rsid w:val="00983321"/>
    <w:rsid w:val="0098618B"/>
    <w:rsid w:val="009A42B7"/>
    <w:rsid w:val="009B70A4"/>
    <w:rsid w:val="009D01C7"/>
    <w:rsid w:val="009D50B5"/>
    <w:rsid w:val="00A015A1"/>
    <w:rsid w:val="00A30C99"/>
    <w:rsid w:val="00A31BCC"/>
    <w:rsid w:val="00A37774"/>
    <w:rsid w:val="00A50A94"/>
    <w:rsid w:val="00A50BA4"/>
    <w:rsid w:val="00A72DA9"/>
    <w:rsid w:val="00A7542F"/>
    <w:rsid w:val="00A901A4"/>
    <w:rsid w:val="00A979EA"/>
    <w:rsid w:val="00AA034E"/>
    <w:rsid w:val="00AA1B9C"/>
    <w:rsid w:val="00AB3457"/>
    <w:rsid w:val="00AC2C83"/>
    <w:rsid w:val="00AC4A88"/>
    <w:rsid w:val="00AD0649"/>
    <w:rsid w:val="00AD0A3F"/>
    <w:rsid w:val="00AD50E3"/>
    <w:rsid w:val="00B23C81"/>
    <w:rsid w:val="00B26D20"/>
    <w:rsid w:val="00B34216"/>
    <w:rsid w:val="00B40702"/>
    <w:rsid w:val="00B6078B"/>
    <w:rsid w:val="00B64D10"/>
    <w:rsid w:val="00B72A8B"/>
    <w:rsid w:val="00BA6044"/>
    <w:rsid w:val="00BB78FE"/>
    <w:rsid w:val="00BC1574"/>
    <w:rsid w:val="00BC363F"/>
    <w:rsid w:val="00BD3F10"/>
    <w:rsid w:val="00C060E5"/>
    <w:rsid w:val="00C36786"/>
    <w:rsid w:val="00C6597B"/>
    <w:rsid w:val="00C7012B"/>
    <w:rsid w:val="00C85B1A"/>
    <w:rsid w:val="00C87023"/>
    <w:rsid w:val="00CA7035"/>
    <w:rsid w:val="00CB347B"/>
    <w:rsid w:val="00CB5847"/>
    <w:rsid w:val="00CB780E"/>
    <w:rsid w:val="00CC1BB4"/>
    <w:rsid w:val="00CC30BE"/>
    <w:rsid w:val="00CC6F0A"/>
    <w:rsid w:val="00CD0AA5"/>
    <w:rsid w:val="00CF7DC0"/>
    <w:rsid w:val="00D0557F"/>
    <w:rsid w:val="00D106E9"/>
    <w:rsid w:val="00D13D53"/>
    <w:rsid w:val="00D31C8D"/>
    <w:rsid w:val="00D35A65"/>
    <w:rsid w:val="00D41ED6"/>
    <w:rsid w:val="00D4271C"/>
    <w:rsid w:val="00D43349"/>
    <w:rsid w:val="00D52439"/>
    <w:rsid w:val="00D74287"/>
    <w:rsid w:val="00D91A47"/>
    <w:rsid w:val="00D94845"/>
    <w:rsid w:val="00D97670"/>
    <w:rsid w:val="00DA2CFD"/>
    <w:rsid w:val="00DC4238"/>
    <w:rsid w:val="00DF2B23"/>
    <w:rsid w:val="00E002A6"/>
    <w:rsid w:val="00E0673E"/>
    <w:rsid w:val="00E06DCC"/>
    <w:rsid w:val="00E077E0"/>
    <w:rsid w:val="00E1650A"/>
    <w:rsid w:val="00E2035F"/>
    <w:rsid w:val="00E20F90"/>
    <w:rsid w:val="00E23747"/>
    <w:rsid w:val="00E44A97"/>
    <w:rsid w:val="00E579E5"/>
    <w:rsid w:val="00E60C3B"/>
    <w:rsid w:val="00E652FD"/>
    <w:rsid w:val="00E678B2"/>
    <w:rsid w:val="00E73EA5"/>
    <w:rsid w:val="00E76AB8"/>
    <w:rsid w:val="00E97A44"/>
    <w:rsid w:val="00EA6128"/>
    <w:rsid w:val="00EB76CE"/>
    <w:rsid w:val="00EC4875"/>
    <w:rsid w:val="00EC5499"/>
    <w:rsid w:val="00EE38D9"/>
    <w:rsid w:val="00EE69AF"/>
    <w:rsid w:val="00EF4205"/>
    <w:rsid w:val="00EF4537"/>
    <w:rsid w:val="00F435FF"/>
    <w:rsid w:val="00F47658"/>
    <w:rsid w:val="00F66B8C"/>
    <w:rsid w:val="00F87C81"/>
    <w:rsid w:val="00F90446"/>
    <w:rsid w:val="00FA2EE8"/>
    <w:rsid w:val="00FA42AA"/>
    <w:rsid w:val="00FA5B6D"/>
    <w:rsid w:val="00FB7B02"/>
    <w:rsid w:val="00FC08C8"/>
    <w:rsid w:val="00FD075F"/>
    <w:rsid w:val="00FD093D"/>
    <w:rsid w:val="00FD160A"/>
    <w:rsid w:val="00FD4E0D"/>
    <w:rsid w:val="00FE2D4A"/>
    <w:rsid w:val="00FE3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433C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paragraph" w:styleId="BalloonText">
    <w:name w:val="Balloon Text"/>
    <w:basedOn w:val="Normal"/>
    <w:semiHidden/>
    <w:rsid w:val="00885FC0"/>
    <w:rPr>
      <w:rFonts w:ascii="Tahoma" w:hAnsi="Tahoma" w:cs="Tahoma"/>
      <w:sz w:val="16"/>
      <w:szCs w:val="16"/>
    </w:rPr>
  </w:style>
  <w:style w:type="character" w:customStyle="1" w:styleId="FooterChar">
    <w:name w:val="Footer Char"/>
    <w:link w:val="Footer"/>
    <w:uiPriority w:val="99"/>
    <w:rsid w:val="0015572D"/>
    <w:rPr>
      <w:rFonts w:ascii="Courier" w:hAnsi="Courier"/>
      <w:sz w:val="24"/>
      <w:szCs w:val="24"/>
    </w:rPr>
  </w:style>
  <w:style w:type="character" w:styleId="CommentReference">
    <w:name w:val="annotation reference"/>
    <w:basedOn w:val="DefaultParagraphFont"/>
    <w:uiPriority w:val="99"/>
    <w:rsid w:val="007A1548"/>
    <w:rPr>
      <w:sz w:val="16"/>
      <w:szCs w:val="16"/>
    </w:rPr>
  </w:style>
  <w:style w:type="paragraph" w:styleId="CommentText">
    <w:name w:val="annotation text"/>
    <w:basedOn w:val="Normal"/>
    <w:link w:val="CommentTextChar"/>
    <w:uiPriority w:val="99"/>
    <w:rsid w:val="007A1548"/>
    <w:rPr>
      <w:sz w:val="20"/>
      <w:szCs w:val="20"/>
    </w:rPr>
  </w:style>
  <w:style w:type="character" w:customStyle="1" w:styleId="CommentTextChar">
    <w:name w:val="Comment Text Char"/>
    <w:basedOn w:val="DefaultParagraphFont"/>
    <w:link w:val="CommentText"/>
    <w:uiPriority w:val="99"/>
    <w:rsid w:val="007A1548"/>
    <w:rPr>
      <w:rFonts w:ascii="Courier" w:hAnsi="Courier"/>
    </w:rPr>
  </w:style>
  <w:style w:type="paragraph" w:styleId="CommentSubject">
    <w:name w:val="annotation subject"/>
    <w:basedOn w:val="CommentText"/>
    <w:next w:val="CommentText"/>
    <w:link w:val="CommentSubjectChar"/>
    <w:rsid w:val="007A1548"/>
    <w:rPr>
      <w:b/>
      <w:bCs/>
    </w:rPr>
  </w:style>
  <w:style w:type="character" w:customStyle="1" w:styleId="CommentSubjectChar">
    <w:name w:val="Comment Subject Char"/>
    <w:basedOn w:val="CommentTextChar"/>
    <w:link w:val="CommentSubject"/>
    <w:rsid w:val="007A1548"/>
    <w:rPr>
      <w:rFonts w:ascii="Courier" w:hAnsi="Courier"/>
      <w:b/>
      <w:bCs/>
    </w:rPr>
  </w:style>
  <w:style w:type="character" w:styleId="UnresolvedMention">
    <w:name w:val="Unresolved Mention"/>
    <w:basedOn w:val="DefaultParagraphFont"/>
    <w:uiPriority w:val="99"/>
    <w:semiHidden/>
    <w:unhideWhenUsed/>
    <w:rsid w:val="00BD3F10"/>
    <w:rPr>
      <w:color w:val="605E5C"/>
      <w:shd w:val="clear" w:color="auto" w:fill="E1DFDD"/>
    </w:rPr>
  </w:style>
  <w:style w:type="paragraph" w:styleId="Revision">
    <w:name w:val="Revision"/>
    <w:hidden/>
    <w:uiPriority w:val="99"/>
    <w:semiHidden/>
    <w:rsid w:val="00076593"/>
    <w:rPr>
      <w:rFonts w:ascii="Courier" w:hAnsi="Courier"/>
      <w:sz w:val="24"/>
      <w:szCs w:val="24"/>
    </w:rPr>
  </w:style>
  <w:style w:type="paragraph" w:styleId="ListParagraph">
    <w:name w:val="List Paragraph"/>
    <w:basedOn w:val="Normal"/>
    <w:uiPriority w:val="34"/>
    <w:qFormat/>
    <w:rsid w:val="00AA1B9C"/>
    <w:pPr>
      <w:ind w:left="720"/>
      <w:contextualSpacing/>
    </w:pPr>
  </w:style>
  <w:style w:type="paragraph" w:customStyle="1" w:styleId="Default">
    <w:name w:val="Default"/>
    <w:rsid w:val="00AA1B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public-inspection/2023-06822/section-30d-new-clean-vehicle-credit" TargetMode="External" /><Relationship Id="rId9" Type="http://schemas.openxmlformats.org/officeDocument/2006/relationships/hyperlink" Target="https://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C253C-6BE3-4B2D-A589-88EEE6BB2D92}">
  <ds:schemaRefs>
    <ds:schemaRef ds:uri="http://schemas.microsoft.com/sharepoint/v3/contenttype/forms"/>
  </ds:schemaRefs>
</ds:datastoreItem>
</file>

<file path=customXml/itemProps2.xml><?xml version="1.0" encoding="utf-8"?>
<ds:datastoreItem xmlns:ds="http://schemas.openxmlformats.org/officeDocument/2006/customXml" ds:itemID="{5B7A7C4B-5FEF-438C-AE37-08CF7B51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74925-29D1-46CA-960E-0C6AB037EB60}">
  <ds:schemaRefs>
    <ds:schemaRef ds:uri="http://schemas.openxmlformats.org/officeDocument/2006/bibliography"/>
  </ds:schemaRefs>
</ds:datastoreItem>
</file>

<file path=customXml/itemProps4.xml><?xml version="1.0" encoding="utf-8"?>
<ds:datastoreItem xmlns:ds="http://schemas.openxmlformats.org/officeDocument/2006/customXml" ds:itemID="{1BCFA896-6E49-4622-83EA-A9DA91F520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4497</Words>
  <Characters>23752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revision>1</cp:revision>
  <cp:lastPrinted>2006-05-05T17:10:00Z</cp:lastPrinted>
  <dcterms:created xsi:type="dcterms:W3CDTF">2023-06-28T20:31:00Z</dcterms:created>
  <dcterms:modified xsi:type="dcterms:W3CDTF">2023-06-28T20:35:00Z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ies>
</file>