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7B61" w:rsidP="006A03B3" w14:paraId="597D3BB9" w14:textId="2974A5C0">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8F7B61" w:rsidP="002F4C5D" w14:paraId="34690BA3" w14:textId="77777777">
      <w:pPr>
        <w:numPr>
          <w:ilvl w:val="12"/>
          <w:numId w:val="0"/>
        </w:numPr>
        <w:ind w:left="360"/>
        <w:rPr>
          <w:szCs w:val="24"/>
        </w:rPr>
      </w:pPr>
    </w:p>
    <w:p w:rsidR="00914986" w:rsidRPr="00914986" w:rsidP="00813709" w14:paraId="5563636F" w14:textId="0F2E8D9B">
      <w:pPr>
        <w:ind w:left="360"/>
        <w:rPr>
          <w:bCs/>
          <w:i/>
        </w:rPr>
      </w:pPr>
      <w:r w:rsidRPr="00914986">
        <w:rPr>
          <w:bCs/>
          <w:i/>
        </w:rPr>
        <w:t>REAL ID Act and Notice of Proposed Rulemaking</w:t>
      </w:r>
    </w:p>
    <w:p w:rsidR="00914986" w:rsidP="00813709" w14:paraId="66AF7CB1" w14:textId="614C883D">
      <w:pPr>
        <w:ind w:left="360"/>
        <w:rPr>
          <w:bCs/>
        </w:rPr>
      </w:pPr>
    </w:p>
    <w:p w:rsidR="00297CDE" w:rsidRPr="00C40801" w:rsidP="00813709" w14:paraId="3CF0477A" w14:textId="759E4FAC">
      <w:pPr>
        <w:ind w:left="360"/>
        <w:rPr>
          <w:rFonts w:cs="Times New Roman"/>
        </w:rPr>
      </w:pPr>
      <w:r w:rsidRPr="00FA4B18">
        <w:rPr>
          <w:bCs/>
        </w:rPr>
        <w:t xml:space="preserve">The </w:t>
      </w:r>
      <w:r w:rsidRPr="00D12C9B">
        <w:rPr>
          <w:bCs/>
        </w:rPr>
        <w:t xml:space="preserve">REAL ID Act of 2005 (the Act) prohibits </w:t>
      </w:r>
      <w:r w:rsidR="0094774A">
        <w:rPr>
          <w:bCs/>
        </w:rPr>
        <w:t>F</w:t>
      </w:r>
      <w:r w:rsidRPr="00D12C9B" w:rsidR="0094774A">
        <w:rPr>
          <w:bCs/>
        </w:rPr>
        <w:t xml:space="preserve">ederal </w:t>
      </w:r>
      <w:r w:rsidRPr="00D12C9B">
        <w:rPr>
          <w:bCs/>
        </w:rPr>
        <w:t xml:space="preserve">agencies from accepting </w:t>
      </w:r>
      <w:r w:rsidR="0094774A">
        <w:rPr>
          <w:bCs/>
        </w:rPr>
        <w:t>S</w:t>
      </w:r>
      <w:r w:rsidRPr="00D12C9B" w:rsidR="0094774A">
        <w:rPr>
          <w:bCs/>
        </w:rPr>
        <w:t>tate</w:t>
      </w:r>
      <w:r w:rsidRPr="00D12C9B">
        <w:rPr>
          <w:bCs/>
        </w:rPr>
        <w:t xml:space="preserve">-issued drivers’ licenses or identification cards </w:t>
      </w:r>
      <w:r w:rsidR="00506D3A">
        <w:rPr>
          <w:bCs/>
        </w:rPr>
        <w:t>(</w:t>
      </w:r>
      <w:r w:rsidR="00C94EC3">
        <w:rPr>
          <w:bCs/>
        </w:rPr>
        <w:t>DL/ID</w:t>
      </w:r>
      <w:r w:rsidR="00506D3A">
        <w:rPr>
          <w:bCs/>
        </w:rPr>
        <w:t xml:space="preserve">) </w:t>
      </w:r>
      <w:r w:rsidRPr="00D12C9B">
        <w:rPr>
          <w:bCs/>
        </w:rPr>
        <w:t>for official purpose</w:t>
      </w:r>
      <w:r w:rsidR="00C94EC3">
        <w:rPr>
          <w:bCs/>
        </w:rPr>
        <w:t>s</w:t>
      </w:r>
      <w:r w:rsidRPr="00D12C9B">
        <w:rPr>
          <w:bCs/>
        </w:rPr>
        <w:t xml:space="preserve"> – defined by the Act as boarding commercial aircraft, accessing </w:t>
      </w:r>
      <w:r w:rsidR="000C31E3">
        <w:rPr>
          <w:bCs/>
        </w:rPr>
        <w:t>Federal</w:t>
      </w:r>
      <w:r w:rsidRPr="00D12C9B">
        <w:rPr>
          <w:bCs/>
        </w:rPr>
        <w:t xml:space="preserve"> facilities, entering nuclear power plants</w:t>
      </w:r>
      <w:r w:rsidR="00F661DD">
        <w:rPr>
          <w:bCs/>
        </w:rPr>
        <w:t>, and any other purposes as determined by the Secretary</w:t>
      </w:r>
      <w:r w:rsidRPr="00D12C9B">
        <w:rPr>
          <w:bCs/>
        </w:rPr>
        <w:t xml:space="preserve"> – unless the </w:t>
      </w:r>
      <w:r w:rsidR="00ED7D24">
        <w:rPr>
          <w:bCs/>
        </w:rPr>
        <w:t>DL/ID</w:t>
      </w:r>
      <w:r w:rsidRPr="00D12C9B">
        <w:rPr>
          <w:bCs/>
        </w:rPr>
        <w:t xml:space="preserve"> is issued by a </w:t>
      </w:r>
      <w:r w:rsidR="0094774A">
        <w:rPr>
          <w:bCs/>
        </w:rPr>
        <w:t>S</w:t>
      </w:r>
      <w:r w:rsidRPr="00D12C9B" w:rsidR="0094774A">
        <w:rPr>
          <w:bCs/>
        </w:rPr>
        <w:t xml:space="preserve">tate </w:t>
      </w:r>
      <w:r w:rsidRPr="00D12C9B">
        <w:rPr>
          <w:bCs/>
        </w:rPr>
        <w:t>that meets the requirements set forth in the Act.</w:t>
      </w:r>
      <w:r>
        <w:rPr>
          <w:rStyle w:val="FootnoteReference"/>
          <w:bCs/>
        </w:rPr>
        <w:footnoteReference w:id="3"/>
      </w:r>
      <w:r w:rsidRPr="00D12C9B">
        <w:rPr>
          <w:bCs/>
        </w:rPr>
        <w:t xml:space="preserve">  The regulations, which DHS issued in January 2008, establish the minimum standards that </w:t>
      </w:r>
      <w:r w:rsidR="005A1B0A">
        <w:rPr>
          <w:bCs/>
        </w:rPr>
        <w:t>S</w:t>
      </w:r>
      <w:r w:rsidRPr="00D12C9B">
        <w:rPr>
          <w:bCs/>
        </w:rPr>
        <w:t>tates must meet to comply with the Act.</w:t>
      </w:r>
      <w:r>
        <w:rPr>
          <w:rStyle w:val="FootnoteReference"/>
          <w:bCs/>
        </w:rPr>
        <w:footnoteReference w:id="4"/>
      </w:r>
      <w:r w:rsidRPr="00D12C9B">
        <w:rPr>
          <w:bCs/>
        </w:rPr>
        <w:t xml:space="preserve">  These include requirements for presentation and verification of documents to establish identity and lawful status, standards for document issuance and security, and physical security requirements for driver’s license production facilities.  </w:t>
      </w:r>
      <w:r w:rsidR="00D320FE">
        <w:rPr>
          <w:szCs w:val="24"/>
        </w:rPr>
        <w:t>In addition, under</w:t>
      </w:r>
      <w:r w:rsidR="00506D3A">
        <w:rPr>
          <w:szCs w:val="24"/>
        </w:rPr>
        <w:t xml:space="preserve"> the regulation</w:t>
      </w:r>
      <w:r w:rsidR="00E35084">
        <w:rPr>
          <w:szCs w:val="24"/>
        </w:rPr>
        <w:t>s</w:t>
      </w:r>
      <w:r w:rsidR="00506D3A">
        <w:rPr>
          <w:szCs w:val="24"/>
        </w:rPr>
        <w:t xml:space="preserve">, </w:t>
      </w:r>
      <w:r w:rsidRPr="00490F3B" w:rsidR="00506D3A">
        <w:rPr>
          <w:szCs w:val="24"/>
        </w:rPr>
        <w:t xml:space="preserve">beginning May </w:t>
      </w:r>
      <w:r w:rsidRPr="00490F3B" w:rsidR="00490F3B">
        <w:rPr>
          <w:szCs w:val="24"/>
        </w:rPr>
        <w:t>7</w:t>
      </w:r>
      <w:r w:rsidRPr="00490F3B" w:rsidR="00506D3A">
        <w:rPr>
          <w:szCs w:val="24"/>
        </w:rPr>
        <w:t>, 202</w:t>
      </w:r>
      <w:r w:rsidR="00490F3B">
        <w:rPr>
          <w:szCs w:val="24"/>
        </w:rPr>
        <w:t>5</w:t>
      </w:r>
      <w:r w:rsidR="00506D3A">
        <w:rPr>
          <w:szCs w:val="24"/>
        </w:rPr>
        <w:t xml:space="preserve">, Federal agencies </w:t>
      </w:r>
      <w:r w:rsidRPr="189AAE92">
        <w:rPr>
          <w:rFonts w:cs="Times New Roman"/>
        </w:rPr>
        <w:t>will be prohibited from accepting a State-issued card for official purposes unless the card is compliant with the REAL ID Act and regulation</w:t>
      </w:r>
      <w:r w:rsidR="00BA6389">
        <w:rPr>
          <w:rFonts w:cs="Times New Roman"/>
        </w:rPr>
        <w:t>s</w:t>
      </w:r>
      <w:r w:rsidRPr="189AAE92">
        <w:rPr>
          <w:rFonts w:cs="Times New Roman"/>
        </w:rPr>
        <w:t>.</w:t>
      </w:r>
      <w:r>
        <w:rPr>
          <w:rStyle w:val="FootnoteReference"/>
        </w:rPr>
        <w:footnoteReference w:id="5"/>
      </w:r>
      <w:r w:rsidRPr="189AAE92">
        <w:rPr>
          <w:rFonts w:cs="Times New Roman"/>
        </w:rPr>
        <w:t xml:space="preserve"> </w:t>
      </w:r>
      <w:r>
        <w:rPr>
          <w:rFonts w:cs="Times New Roman"/>
        </w:rPr>
        <w:t xml:space="preserve">This is known as “card-based enforcement.”  </w:t>
      </w:r>
    </w:p>
    <w:p w:rsidR="00506D3A" w:rsidP="00813709" w14:paraId="4BDFBFCA" w14:textId="77777777">
      <w:pPr>
        <w:ind w:left="360"/>
        <w:rPr>
          <w:szCs w:val="24"/>
        </w:rPr>
      </w:pPr>
    </w:p>
    <w:p w:rsidR="00580760" w:rsidP="00813709" w14:paraId="28F33A3F" w14:textId="77777777">
      <w:pPr>
        <w:ind w:left="360"/>
        <w:rPr>
          <w:szCs w:val="24"/>
        </w:rPr>
      </w:pPr>
      <w:r>
        <w:rPr>
          <w:szCs w:val="24"/>
          <w:lang w:val="en"/>
        </w:rPr>
        <w:t>As b</w:t>
      </w:r>
      <w:r w:rsidRPr="00F87AB0">
        <w:rPr>
          <w:szCs w:val="24"/>
          <w:lang w:val="en"/>
        </w:rPr>
        <w:t>oth the REAL ID Act and regulation</w:t>
      </w:r>
      <w:r w:rsidR="00BA6389">
        <w:rPr>
          <w:szCs w:val="24"/>
          <w:lang w:val="en"/>
        </w:rPr>
        <w:t>s</w:t>
      </w:r>
      <w:r w:rsidRPr="00F87AB0">
        <w:rPr>
          <w:szCs w:val="24"/>
          <w:lang w:val="en"/>
        </w:rPr>
        <w:t xml:space="preserve"> were issued before the inception of </w:t>
      </w:r>
      <w:r w:rsidRPr="00F87AB0">
        <w:rPr>
          <w:szCs w:val="24"/>
          <w:lang w:val="en"/>
        </w:rPr>
        <w:t>mDLs</w:t>
      </w:r>
      <w:r w:rsidRPr="00F87AB0">
        <w:rPr>
          <w:szCs w:val="24"/>
          <w:lang w:val="en"/>
        </w:rPr>
        <w:t>, the</w:t>
      </w:r>
      <w:r>
        <w:rPr>
          <w:szCs w:val="24"/>
          <w:lang w:val="en"/>
        </w:rPr>
        <w:t xml:space="preserve">y </w:t>
      </w:r>
      <w:r w:rsidRPr="00F87AB0">
        <w:rPr>
          <w:szCs w:val="24"/>
          <w:lang w:val="en"/>
        </w:rPr>
        <w:t xml:space="preserve">do not </w:t>
      </w:r>
      <w:r>
        <w:rPr>
          <w:szCs w:val="24"/>
          <w:lang w:val="en"/>
        </w:rPr>
        <w:t xml:space="preserve">address </w:t>
      </w:r>
      <w:r w:rsidR="00685003">
        <w:rPr>
          <w:szCs w:val="24"/>
          <w:lang w:val="en"/>
        </w:rPr>
        <w:t>digital versions of State-issued driver’s licenses or State-issued identification cards, which are known collectively as “mobile driver’s licenses” (</w:t>
      </w:r>
      <w:r w:rsidR="00685003">
        <w:rPr>
          <w:szCs w:val="24"/>
          <w:lang w:val="en"/>
        </w:rPr>
        <w:t>mDLs</w:t>
      </w:r>
      <w:r w:rsidR="00685003">
        <w:rPr>
          <w:szCs w:val="24"/>
          <w:lang w:val="en"/>
        </w:rPr>
        <w:t>)</w:t>
      </w:r>
      <w:r w:rsidRPr="00F87AB0">
        <w:rPr>
          <w:szCs w:val="24"/>
          <w:lang w:val="en"/>
        </w:rPr>
        <w:t>.</w:t>
      </w:r>
      <w:r w:rsidR="00ED7D24">
        <w:rPr>
          <w:szCs w:val="24"/>
          <w:lang w:val="en"/>
        </w:rPr>
        <w:t xml:space="preserve">  </w:t>
      </w:r>
      <w:r w:rsidR="00E35084">
        <w:rPr>
          <w:szCs w:val="24"/>
          <w:lang w:val="en"/>
        </w:rPr>
        <w:t>In December 2020, t</w:t>
      </w:r>
      <w:r w:rsidRPr="00ED7D24" w:rsidR="00ED7D24">
        <w:rPr>
          <w:szCs w:val="24"/>
          <w:lang w:val="en"/>
        </w:rPr>
        <w:t>he REAL ID Modernization</w:t>
      </w:r>
      <w:r w:rsidRPr="00F87AB0">
        <w:rPr>
          <w:szCs w:val="24"/>
          <w:lang w:val="en"/>
        </w:rPr>
        <w:t xml:space="preserve"> </w:t>
      </w:r>
      <w:r w:rsidR="00ED7D24">
        <w:rPr>
          <w:szCs w:val="24"/>
          <w:lang w:val="en"/>
        </w:rPr>
        <w:t xml:space="preserve">Act </w:t>
      </w:r>
      <w:r w:rsidRPr="00923D55" w:rsidR="00ED7D24">
        <w:t xml:space="preserve">clarified that </w:t>
      </w:r>
      <w:r w:rsidRPr="00923D55" w:rsidR="00ED7D24">
        <w:t>mDLs</w:t>
      </w:r>
      <w:r w:rsidRPr="00923D55" w:rsidR="00ED7D24">
        <w:t xml:space="preserve"> are subject to REAL ID requirements by amending the definitions of “driver’s license” and “identification card” to specifically include </w:t>
      </w:r>
      <w:r w:rsidRPr="00923D55" w:rsidR="00ED7D24">
        <w:t>mDLs</w:t>
      </w:r>
      <w:r w:rsidRPr="00923D55" w:rsidR="00ED7D24">
        <w:t xml:space="preserve"> that have been issued in accordance with regulations prescribed by the Secretary.</w:t>
      </w:r>
      <w:r>
        <w:rPr>
          <w:rStyle w:val="FootnoteReference"/>
        </w:rPr>
        <w:footnoteReference w:id="6"/>
      </w:r>
      <w:r w:rsidRPr="00923D55" w:rsidR="00ED7D24">
        <w:t xml:space="preserve">  </w:t>
      </w:r>
      <w:r w:rsidR="00685003">
        <w:rPr>
          <w:szCs w:val="24"/>
          <w:lang w:val="en"/>
        </w:rPr>
        <w:t xml:space="preserve">Although </w:t>
      </w:r>
      <w:r w:rsidR="003129A6">
        <w:rPr>
          <w:szCs w:val="24"/>
          <w:lang w:val="en"/>
        </w:rPr>
        <w:t>t</w:t>
      </w:r>
      <w:r w:rsidR="003129A6">
        <w:rPr>
          <w:bCs/>
        </w:rPr>
        <w:t>he</w:t>
      </w:r>
      <w:r w:rsidR="00685003">
        <w:rPr>
          <w:bCs/>
        </w:rPr>
        <w:t xml:space="preserve"> </w:t>
      </w:r>
      <w:r w:rsidR="00E35084">
        <w:rPr>
          <w:bCs/>
        </w:rPr>
        <w:t xml:space="preserve">current </w:t>
      </w:r>
      <w:r w:rsidR="00685003">
        <w:rPr>
          <w:bCs/>
        </w:rPr>
        <w:t>regulation</w:t>
      </w:r>
      <w:r w:rsidR="00ED7D24">
        <w:rPr>
          <w:bCs/>
        </w:rPr>
        <w:t>s</w:t>
      </w:r>
      <w:r w:rsidR="00685003">
        <w:rPr>
          <w:bCs/>
        </w:rPr>
        <w:t xml:space="preserve"> set forth</w:t>
      </w:r>
      <w:r w:rsidR="007A4233">
        <w:rPr>
          <w:bCs/>
        </w:rPr>
        <w:t xml:space="preserve"> </w:t>
      </w:r>
      <w:r w:rsidR="00685003">
        <w:rPr>
          <w:bCs/>
        </w:rPr>
        <w:t>card</w:t>
      </w:r>
      <w:r w:rsidR="007A4233">
        <w:rPr>
          <w:bCs/>
        </w:rPr>
        <w:t xml:space="preserve"> security requirements</w:t>
      </w:r>
      <w:r w:rsidR="00685003">
        <w:rPr>
          <w:bCs/>
        </w:rPr>
        <w:t xml:space="preserve">, such as </w:t>
      </w:r>
      <w:r w:rsidR="007A4233">
        <w:rPr>
          <w:szCs w:val="24"/>
        </w:rPr>
        <w:t>physical security features</w:t>
      </w:r>
      <w:r w:rsidR="00685003">
        <w:rPr>
          <w:szCs w:val="24"/>
        </w:rPr>
        <w:t xml:space="preserve"> to deter fraud and tampering</w:t>
      </w:r>
      <w:r w:rsidR="00A744F8">
        <w:rPr>
          <w:szCs w:val="24"/>
        </w:rPr>
        <w:t>,</w:t>
      </w:r>
      <w:r>
        <w:rPr>
          <w:rStyle w:val="FootnoteReference"/>
          <w:szCs w:val="24"/>
        </w:rPr>
        <w:footnoteReference w:id="7"/>
      </w:r>
      <w:r w:rsidR="00685003">
        <w:rPr>
          <w:szCs w:val="24"/>
        </w:rPr>
        <w:t xml:space="preserve"> many of these requirements do not apply to </w:t>
      </w:r>
      <w:r w:rsidR="00685003">
        <w:rPr>
          <w:szCs w:val="24"/>
        </w:rPr>
        <w:t>mDLs</w:t>
      </w:r>
      <w:r w:rsidR="00685003">
        <w:rPr>
          <w:szCs w:val="24"/>
        </w:rPr>
        <w:t xml:space="preserve">, which prevents States from issuing REAL ID-compliant </w:t>
      </w:r>
      <w:r w:rsidR="00685003">
        <w:rPr>
          <w:szCs w:val="24"/>
        </w:rPr>
        <w:t>mDLs</w:t>
      </w:r>
      <w:r w:rsidR="00685003">
        <w:rPr>
          <w:szCs w:val="24"/>
        </w:rPr>
        <w:t xml:space="preserve">.  </w:t>
      </w:r>
    </w:p>
    <w:p w:rsidR="00580760" w:rsidP="00813709" w14:paraId="383B7D8A" w14:textId="77777777">
      <w:pPr>
        <w:ind w:left="360"/>
        <w:rPr>
          <w:szCs w:val="24"/>
        </w:rPr>
      </w:pPr>
    </w:p>
    <w:p w:rsidR="0064148D" w:rsidRPr="00531453" w:rsidP="00813709" w14:paraId="61CD7DB9" w14:textId="1BB98BF9">
      <w:pPr>
        <w:ind w:left="360"/>
        <w:rPr>
          <w:rFonts w:cs="Times New Roman"/>
        </w:rPr>
      </w:pPr>
      <w:r>
        <w:rPr>
          <w:szCs w:val="24"/>
        </w:rPr>
        <w:t>A</w:t>
      </w:r>
      <w:r w:rsidR="00ED7D24">
        <w:rPr>
          <w:szCs w:val="24"/>
        </w:rPr>
        <w:t xml:space="preserve">ccordingly, </w:t>
      </w:r>
      <w:r w:rsidR="00492EBB">
        <w:rPr>
          <w:szCs w:val="24"/>
        </w:rPr>
        <w:t xml:space="preserve">DHS is conducting a rulemaking to amend the regulations to address </w:t>
      </w:r>
      <w:r w:rsidR="00492EBB">
        <w:rPr>
          <w:szCs w:val="24"/>
        </w:rPr>
        <w:t>mDLs</w:t>
      </w:r>
      <w:r w:rsidR="00492EBB">
        <w:rPr>
          <w:szCs w:val="24"/>
        </w:rPr>
        <w:t xml:space="preserve">.  </w:t>
      </w:r>
      <w:r w:rsidR="002C2136">
        <w:rPr>
          <w:szCs w:val="24"/>
        </w:rPr>
        <w:t xml:space="preserve">DHS is conducting this rulemaking incrementally, in two phases.  </w:t>
      </w:r>
      <w:r>
        <w:rPr>
          <w:szCs w:val="24"/>
        </w:rPr>
        <w:t xml:space="preserve">In its first phase, </w:t>
      </w:r>
      <w:r>
        <w:rPr>
          <w:rFonts w:cs="Times New Roman"/>
        </w:rPr>
        <w:t>DHS</w:t>
      </w:r>
      <w:r w:rsidRPr="4F28CF06">
        <w:rPr>
          <w:rFonts w:cs="Times New Roman"/>
        </w:rPr>
        <w:t xml:space="preserve"> </w:t>
      </w:r>
      <w:r w:rsidR="006F7CD0">
        <w:rPr>
          <w:rFonts w:cs="Times New Roman"/>
        </w:rPr>
        <w:t>is publishing a Notice of Proposed Rulemaking (NPRM)</w:t>
      </w:r>
      <w:r w:rsidRPr="4F28CF06">
        <w:rPr>
          <w:rFonts w:cs="Times New Roman"/>
        </w:rPr>
        <w:t xml:space="preserve"> to amend the REAL ID regulation</w:t>
      </w:r>
      <w:r w:rsidR="00E35084">
        <w:rPr>
          <w:rFonts w:cs="Times New Roman"/>
        </w:rPr>
        <w:t>s</w:t>
      </w:r>
      <w:r w:rsidRPr="4F28CF06">
        <w:rPr>
          <w:rFonts w:cs="Times New Roman"/>
        </w:rPr>
        <w:t xml:space="preserve"> to waive</w:t>
      </w:r>
      <w:r>
        <w:rPr>
          <w:rFonts w:cs="Times New Roman"/>
        </w:rPr>
        <w:t>, on a</w:t>
      </w:r>
      <w:r w:rsidRPr="4F28CF06">
        <w:rPr>
          <w:rFonts w:cs="Times New Roman"/>
        </w:rPr>
        <w:t xml:space="preserve"> temporary </w:t>
      </w:r>
      <w:r>
        <w:rPr>
          <w:rFonts w:cs="Times New Roman"/>
        </w:rPr>
        <w:t xml:space="preserve">and State-by-State basis, </w:t>
      </w:r>
      <w:r w:rsidRPr="4F28CF06">
        <w:rPr>
          <w:rFonts w:cs="Times New Roman"/>
        </w:rPr>
        <w:t xml:space="preserve">the </w:t>
      </w:r>
      <w:r w:rsidR="006F7CD0">
        <w:rPr>
          <w:rFonts w:cs="Times New Roman"/>
        </w:rPr>
        <w:t>card-based requirement in Sec. 37.5(b)</w:t>
      </w:r>
      <w:r w:rsidRPr="4F28CF06">
        <w:rPr>
          <w:rFonts w:cs="Times New Roman"/>
        </w:rPr>
        <w:t>.</w:t>
      </w:r>
      <w:r>
        <w:rPr>
          <w:rFonts w:cs="Times New Roman"/>
        </w:rPr>
        <w:t xml:space="preserve"> </w:t>
      </w:r>
      <w:r w:rsidRPr="4F28CF06">
        <w:rPr>
          <w:rFonts w:cs="Times New Roman"/>
        </w:rPr>
        <w:t xml:space="preserve"> </w:t>
      </w:r>
      <w:r w:rsidRPr="4F28CF06">
        <w:rPr>
          <w:rFonts w:cs="Times New Roman"/>
          <w:spacing w:val="-2"/>
        </w:rPr>
        <w:t xml:space="preserve">The </w:t>
      </w:r>
      <w:r>
        <w:rPr>
          <w:rFonts w:cs="Times New Roman"/>
          <w:spacing w:val="-2"/>
        </w:rPr>
        <w:t xml:space="preserve">temporary </w:t>
      </w:r>
      <w:r w:rsidRPr="4F28CF06">
        <w:rPr>
          <w:rFonts w:cs="Times New Roman"/>
          <w:spacing w:val="-2"/>
        </w:rPr>
        <w:t>waiver enabled by this rule</w:t>
      </w:r>
      <w:r w:rsidRPr="307FF2D4">
        <w:rPr>
          <w:rFonts w:cs="Times New Roman"/>
        </w:rPr>
        <w:t xml:space="preserve"> would</w:t>
      </w:r>
      <w:r w:rsidRPr="4F28CF06">
        <w:rPr>
          <w:rFonts w:cs="Times New Roman"/>
          <w:spacing w:val="-2"/>
        </w:rPr>
        <w:t xml:space="preserve"> </w:t>
      </w:r>
      <w:r>
        <w:rPr>
          <w:rFonts w:cs="Times New Roman"/>
        </w:rPr>
        <w:t>permit</w:t>
      </w:r>
      <w:r w:rsidRPr="4F28CF06">
        <w:rPr>
          <w:rFonts w:cs="Times New Roman"/>
          <w:spacing w:val="-2"/>
        </w:rPr>
        <w:t xml:space="preserve"> </w:t>
      </w:r>
      <w:r>
        <w:rPr>
          <w:rFonts w:cs="Times New Roman"/>
          <w:spacing w:val="-2"/>
        </w:rPr>
        <w:t>Federal</w:t>
      </w:r>
      <w:r w:rsidRPr="4F28CF06">
        <w:rPr>
          <w:rFonts w:cs="Times New Roman"/>
          <w:spacing w:val="-2"/>
        </w:rPr>
        <w:t xml:space="preserve"> agencies</w:t>
      </w:r>
      <w:r w:rsidRPr="4F28CF06">
        <w:rPr>
          <w:rFonts w:cs="Times New Roman"/>
        </w:rPr>
        <w:t xml:space="preserve">, at their discretion, </w:t>
      </w:r>
      <w:r w:rsidRPr="4F28CF06">
        <w:rPr>
          <w:rFonts w:cs="Times New Roman"/>
          <w:spacing w:val="-2"/>
        </w:rPr>
        <w:t>to continue accepting</w:t>
      </w:r>
      <w:r w:rsidR="00813709">
        <w:rPr>
          <w:rFonts w:cs="Times New Roman"/>
          <w:spacing w:val="-2"/>
        </w:rPr>
        <w:t>,</w:t>
      </w:r>
      <w:r w:rsidRPr="4F28CF06">
        <w:rPr>
          <w:rFonts w:cs="Times New Roman"/>
          <w:spacing w:val="-2"/>
        </w:rPr>
        <w:t xml:space="preserve"> </w:t>
      </w:r>
      <w:r>
        <w:rPr>
          <w:rFonts w:cs="Times New Roman"/>
          <w:spacing w:val="-2"/>
        </w:rPr>
        <w:t>for official purposes</w:t>
      </w:r>
      <w:r w:rsidR="00E60021">
        <w:rPr>
          <w:rFonts w:cs="Times New Roman"/>
          <w:spacing w:val="-2"/>
        </w:rPr>
        <w:t xml:space="preserve"> as defined in the Act and regulation</w:t>
      </w:r>
      <w:r w:rsidR="00230499">
        <w:rPr>
          <w:rFonts w:cs="Times New Roman"/>
          <w:spacing w:val="-2"/>
        </w:rPr>
        <w:t>s</w:t>
      </w:r>
      <w:r>
        <w:rPr>
          <w:rFonts w:cs="Times New Roman"/>
          <w:spacing w:val="-2"/>
        </w:rPr>
        <w:t xml:space="preserve">, </w:t>
      </w:r>
      <w:r w:rsidRPr="307FF2D4">
        <w:rPr>
          <w:rFonts w:cs="Times New Roman"/>
        </w:rPr>
        <w:t>mDLs</w:t>
      </w:r>
      <w:r>
        <w:t xml:space="preserve"> (1) from individuals who have been issued a valid and unexpired REAL ID-compliant physical driver’s license or identification card, </w:t>
      </w:r>
      <w:r w:rsidR="00580760">
        <w:t xml:space="preserve">and </w:t>
      </w:r>
      <w:r>
        <w:t xml:space="preserve">(2) issued by States that DHS has determined to be REAL ID-compliant to whom DHS has issued a waiver.  In </w:t>
      </w:r>
      <w:r w:rsidR="00E35084">
        <w:t xml:space="preserve">the </w:t>
      </w:r>
      <w:r>
        <w:t>second phase</w:t>
      </w:r>
      <w:r w:rsidR="00E60021">
        <w:t xml:space="preserve"> rulemaking</w:t>
      </w:r>
      <w:r>
        <w:t xml:space="preserve">, </w:t>
      </w:r>
      <w:r>
        <w:rPr>
          <w:rFonts w:cs="Times New Roman"/>
        </w:rPr>
        <w:t xml:space="preserve">DHS intends to issue comprehensive requirements for </w:t>
      </w:r>
      <w:r>
        <w:rPr>
          <w:rFonts w:cs="Times New Roman"/>
        </w:rPr>
        <w:t>mDLs</w:t>
      </w:r>
      <w:r>
        <w:rPr>
          <w:rFonts w:cs="Times New Roman"/>
        </w:rPr>
        <w:t xml:space="preserve"> after emerging</w:t>
      </w:r>
      <w:r w:rsidR="00C11A92">
        <w:rPr>
          <w:rFonts w:cs="Times New Roman"/>
        </w:rPr>
        <w:t xml:space="preserve"> industry</w:t>
      </w:r>
      <w:r>
        <w:rPr>
          <w:rFonts w:cs="Times New Roman"/>
        </w:rPr>
        <w:t xml:space="preserve"> standards </w:t>
      </w:r>
      <w:r w:rsidR="00C11A92">
        <w:rPr>
          <w:rFonts w:cs="Times New Roman"/>
        </w:rPr>
        <w:t xml:space="preserve">and Federal guidelines </w:t>
      </w:r>
      <w:r>
        <w:rPr>
          <w:rFonts w:cs="Times New Roman"/>
        </w:rPr>
        <w:t>are finalized, and at that time would repeal the waiver provisions established in this rule.</w:t>
      </w:r>
      <w:r w:rsidR="002C2136">
        <w:rPr>
          <w:rFonts w:cs="Times New Roman"/>
        </w:rPr>
        <w:t xml:space="preserve">  This dual-phased rulemaking is necessary because </w:t>
      </w:r>
      <w:r w:rsidR="00E35084">
        <w:rPr>
          <w:rFonts w:cs="Times New Roman"/>
        </w:rPr>
        <w:t xml:space="preserve">DHS believes </w:t>
      </w:r>
      <w:r w:rsidR="002C2136">
        <w:rPr>
          <w:rFonts w:cs="Times New Roman"/>
        </w:rPr>
        <w:t>it</w:t>
      </w:r>
      <w:r w:rsidR="00E35084">
        <w:rPr>
          <w:rFonts w:cs="Times New Roman"/>
        </w:rPr>
        <w:t xml:space="preserve"> is</w:t>
      </w:r>
      <w:r w:rsidR="002C2136">
        <w:rPr>
          <w:rFonts w:cs="Times New Roman"/>
        </w:rPr>
        <w:t xml:space="preserve"> premature to issue comprehensive requirements </w:t>
      </w:r>
      <w:r w:rsidR="00E35084">
        <w:rPr>
          <w:rFonts w:cs="Times New Roman"/>
        </w:rPr>
        <w:t>while multiple standards and guidelines are pending</w:t>
      </w:r>
      <w:r w:rsidR="002C2136">
        <w:rPr>
          <w:rFonts w:cs="Times New Roman"/>
        </w:rPr>
        <w:t>.</w:t>
      </w:r>
    </w:p>
    <w:p w:rsidR="00506D3A" w:rsidRPr="00F87AB0" w:rsidP="00813709" w14:paraId="235D1E24" w14:textId="77777777">
      <w:pPr>
        <w:ind w:left="360" w:firstLine="720"/>
        <w:rPr>
          <w:szCs w:val="24"/>
        </w:rPr>
      </w:pPr>
    </w:p>
    <w:p w:rsidR="00655E76" w:rsidP="00914986" w14:paraId="4860A829" w14:textId="77777777">
      <w:pPr>
        <w:ind w:left="360"/>
        <w:rPr>
          <w:rFonts w:cs="Times New Roman"/>
        </w:rPr>
      </w:pPr>
      <w:r>
        <w:t xml:space="preserve">New section 37.7 of the proposed rule would establish a limited and temporary process for DHS to issue to States a waiver that exempts their </w:t>
      </w:r>
      <w:r>
        <w:t>mDLs</w:t>
      </w:r>
      <w:r>
        <w:t xml:space="preserve"> </w:t>
      </w:r>
      <w:r w:rsidRPr="00D320FE">
        <w:t xml:space="preserve">from meeting the card-based compliance requirement of section 37.5(b).  </w:t>
      </w:r>
      <w:r w:rsidRPr="189AAE92">
        <w:rPr>
          <w:rFonts w:cs="Times New Roman"/>
        </w:rPr>
        <w:t xml:space="preserve">This waiver would authorize Federal agencies to accept a State’s </w:t>
      </w:r>
      <w:r w:rsidRPr="189AAE92">
        <w:rPr>
          <w:rFonts w:cs="Times New Roman"/>
        </w:rPr>
        <w:t>mDL</w:t>
      </w:r>
      <w:r w:rsidRPr="189AAE92">
        <w:rPr>
          <w:rFonts w:cs="Times New Roman"/>
        </w:rPr>
        <w:t xml:space="preserve"> for official purposes, but only if in addition to the waiver, the </w:t>
      </w:r>
      <w:r w:rsidRPr="189AAE92">
        <w:rPr>
          <w:rFonts w:cs="Times New Roman"/>
        </w:rPr>
        <w:t>mDL</w:t>
      </w:r>
      <w:r w:rsidRPr="189AAE92">
        <w:rPr>
          <w:rFonts w:cs="Times New Roman"/>
        </w:rPr>
        <w:t xml:space="preserve"> holder has been issued a valid and unexpired REAL ID-compliant physical card </w:t>
      </w:r>
      <w:r>
        <w:t xml:space="preserve">by a </w:t>
      </w:r>
      <w:r w:rsidRPr="189AAE92">
        <w:rPr>
          <w:rFonts w:cs="Times New Roman"/>
          <w:color w:val="000000" w:themeColor="text1"/>
        </w:rPr>
        <w:t>State that is otherwise in full compliance with applicable REAL ID requirements</w:t>
      </w:r>
      <w:r w:rsidRPr="189AAE92">
        <w:rPr>
          <w:rFonts w:cs="Times New Roman"/>
        </w:rPr>
        <w:t>.  The certificate of waiver would include the dates of effectiveness</w:t>
      </w:r>
      <w:r>
        <w:rPr>
          <w:rFonts w:cs="Times New Roman"/>
        </w:rPr>
        <w:t xml:space="preserve"> and</w:t>
      </w:r>
      <w:r w:rsidRPr="189AAE92">
        <w:rPr>
          <w:rFonts w:cs="Times New Roman"/>
        </w:rPr>
        <w:t xml:space="preserve"> expiration, and </w:t>
      </w:r>
      <w:r>
        <w:rPr>
          <w:rFonts w:cs="Times New Roman"/>
        </w:rPr>
        <w:t xml:space="preserve">any </w:t>
      </w:r>
      <w:r w:rsidRPr="189AAE92">
        <w:rPr>
          <w:rFonts w:cs="Times New Roman"/>
        </w:rPr>
        <w:t>other terms and conditions</w:t>
      </w:r>
      <w:r>
        <w:rPr>
          <w:rFonts w:cs="Times New Roman"/>
        </w:rPr>
        <w:t xml:space="preserve"> as necessary, and would be valid for three years</w:t>
      </w:r>
      <w:r w:rsidRPr="189AAE92">
        <w:rPr>
          <w:rFonts w:cs="Times New Roman"/>
        </w:rPr>
        <w:t>.</w:t>
      </w:r>
      <w:r>
        <w:rPr>
          <w:rFonts w:cs="Times New Roman"/>
        </w:rPr>
        <w:t xml:space="preserve">  </w:t>
      </w:r>
      <w:r w:rsidRPr="189AAE92">
        <w:rPr>
          <w:rFonts w:cs="Times New Roman"/>
        </w:rPr>
        <w:t xml:space="preserve">The waiver would also require a State </w:t>
      </w:r>
      <w:r>
        <w:rPr>
          <w:rFonts w:cs="Times New Roman"/>
        </w:rPr>
        <w:t>that</w:t>
      </w:r>
      <w:r w:rsidRPr="189AAE92">
        <w:rPr>
          <w:rFonts w:cs="Times New Roman"/>
        </w:rPr>
        <w:t xml:space="preserve"> receives a waiver to continue complying with all requirements of the REAL ID Act</w:t>
      </w:r>
      <w:r>
        <w:rPr>
          <w:rFonts w:cs="Times New Roman"/>
        </w:rPr>
        <w:t xml:space="preserve">, 6 CFR 37.51(a), and any terms and conditions </w:t>
      </w:r>
      <w:r w:rsidRPr="001F6DDA">
        <w:rPr>
          <w:rFonts w:cs="Times New Roman"/>
        </w:rPr>
        <w:t>specified in the certificate of waiver.</w:t>
      </w:r>
    </w:p>
    <w:p w:rsidR="00655E76" w:rsidP="00914986" w14:paraId="0E4E4B3B" w14:textId="77777777">
      <w:pPr>
        <w:ind w:left="360"/>
        <w:rPr>
          <w:rFonts w:cs="Times New Roman"/>
        </w:rPr>
      </w:pPr>
    </w:p>
    <w:p w:rsidR="00914986" w:rsidP="00914986" w14:paraId="43BEF671" w14:textId="39019F70">
      <w:pPr>
        <w:ind w:left="360"/>
      </w:pPr>
      <w:r w:rsidRPr="00E06C48">
        <w:t xml:space="preserve">The proposed changes would apply to </w:t>
      </w:r>
      <w:r>
        <w:t xml:space="preserve">State driver’s licensing agencies issuing </w:t>
      </w:r>
      <w:r>
        <w:t>mDLs</w:t>
      </w:r>
      <w:r>
        <w:t xml:space="preserve"> who seek a temporary waiver from DHS for their </w:t>
      </w:r>
      <w:r>
        <w:t>mDLs</w:t>
      </w:r>
      <w:r>
        <w:t xml:space="preserve">.  The </w:t>
      </w:r>
      <w:r w:rsidRPr="00215F7E">
        <w:t xml:space="preserve">waiver would enable Federal agencies to accept such </w:t>
      </w:r>
      <w:r w:rsidRPr="00215F7E">
        <w:t>mDLs</w:t>
      </w:r>
      <w:r w:rsidRPr="00215F7E">
        <w:t xml:space="preserve"> for official purposes, defined in the REAL ID Act as accessing Federal facilities, entering nuclear power plants, boarding </w:t>
      </w:r>
      <w:r>
        <w:t>Federal</w:t>
      </w:r>
      <w:r w:rsidRPr="00215F7E">
        <w:t>ly regulated commercial aircraft,</w:t>
      </w:r>
      <w:r>
        <w:t xml:space="preserve"> </w:t>
      </w:r>
      <w:r w:rsidRPr="189AAE92">
        <w:rPr>
          <w:rFonts w:cs="Times New Roman"/>
        </w:rPr>
        <w:t>and any other purposes that the Secretary shall determine</w:t>
      </w:r>
      <w:r w:rsidRPr="00E06C48">
        <w:t xml:space="preserve">. </w:t>
      </w:r>
      <w:r>
        <w:t xml:space="preserve"> Any Federal agency that chooses to accept </w:t>
      </w:r>
      <w:r>
        <w:t>mDLs</w:t>
      </w:r>
      <w:r>
        <w:t xml:space="preserve"> for official purposes </w:t>
      </w:r>
      <w:r w:rsidRPr="003D7A2C">
        <w:t>must</w:t>
      </w:r>
      <w:r>
        <w:t xml:space="preserve"> procure a reader in order to receive an individual’s identity data.  The proposed rule would not impose any requirements on: States that do not seek a waiver for </w:t>
      </w:r>
      <w:r>
        <w:t>mDLs</w:t>
      </w:r>
      <w:r>
        <w:t xml:space="preserve">; non-State issuers of other forms of digital identification; or Federal agencies that choose not to accept </w:t>
      </w:r>
      <w:r>
        <w:t>mDLs</w:t>
      </w:r>
      <w:r>
        <w:t>.</w:t>
      </w:r>
    </w:p>
    <w:p w:rsidR="00914986" w:rsidP="00914986" w14:paraId="7A4BE851" w14:textId="77777777">
      <w:pPr>
        <w:pStyle w:val="ListParagraph"/>
        <w:ind w:left="1440"/>
        <w:contextualSpacing w:val="0"/>
      </w:pPr>
    </w:p>
    <w:p w:rsidR="00BB7CB2" w:rsidRPr="001E1612" w:rsidP="0052786F" w14:paraId="465A0F30" w14:textId="77777777">
      <w:pPr>
        <w:numPr>
          <w:ilvl w:val="12"/>
          <w:numId w:val="0"/>
        </w:numPr>
        <w:ind w:left="360"/>
        <w:rPr>
          <w:bCs/>
          <w:i/>
        </w:rPr>
      </w:pPr>
      <w:r w:rsidRPr="001E1612">
        <w:rPr>
          <w:bCs/>
          <w:i/>
        </w:rPr>
        <w:t>Mobile Driver’s Licenses Generally</w:t>
      </w:r>
    </w:p>
    <w:p w:rsidR="001E1612" w:rsidP="00813709" w14:paraId="0805828D" w14:textId="77777777">
      <w:pPr>
        <w:ind w:left="360"/>
        <w:rPr>
          <w:bCs/>
        </w:rPr>
      </w:pPr>
    </w:p>
    <w:p w:rsidR="001E1612" w:rsidP="00813709" w14:paraId="566E1418" w14:textId="54C67896">
      <w:pPr>
        <w:ind w:left="360"/>
      </w:pPr>
      <w:r>
        <w:rPr>
          <w:rFonts w:cs="Times New Roman"/>
          <w:spacing w:val="-2"/>
        </w:rPr>
        <w:t xml:space="preserve">An </w:t>
      </w:r>
      <w:r>
        <w:t>mDL</w:t>
      </w:r>
      <w:r>
        <w:t xml:space="preserve"> </w:t>
      </w:r>
      <w:r w:rsidRPr="00F95819">
        <w:t>is generally recognized as the digital representation of an individual</w:t>
      </w:r>
      <w:r w:rsidR="00107C28">
        <w:t>’s</w:t>
      </w:r>
      <w:r w:rsidRPr="00F95819">
        <w:t xml:space="preserve"> identity information contained on a </w:t>
      </w:r>
      <w:r>
        <w:t>S</w:t>
      </w:r>
      <w:r w:rsidRPr="00F95819">
        <w:t xml:space="preserve">tate-issued physical </w:t>
      </w:r>
      <w:r w:rsidR="00107C28">
        <w:t>DL/ID</w:t>
      </w:r>
      <w:r w:rsidRPr="00F95819">
        <w:t>.</w:t>
      </w:r>
      <w:r>
        <w:rPr>
          <w:rStyle w:val="FootnoteReference"/>
        </w:rPr>
        <w:footnoteReference w:id="8"/>
      </w:r>
      <w:r w:rsidRPr="00F95819">
        <w:t xml:space="preserve"> </w:t>
      </w:r>
      <w:r>
        <w:t xml:space="preserve"> An </w:t>
      </w:r>
      <w:r>
        <w:t>mDL</w:t>
      </w:r>
      <w:r>
        <w:t xml:space="preserve"> </w:t>
      </w:r>
      <w:r w:rsidRPr="00F95819">
        <w:t>may be stored on a diverse range of portable or mobile electronic devices, such as smartphones, smartwatches, and storage devices</w:t>
      </w:r>
      <w:r>
        <w:t xml:space="preserve"> containing memory</w:t>
      </w:r>
      <w:r w:rsidRPr="00F95819">
        <w:t>.</w:t>
      </w:r>
      <w:r>
        <w:t xml:space="preserve"> </w:t>
      </w:r>
      <w:r w:rsidRPr="00F95819">
        <w:t xml:space="preserve"> Like a physical </w:t>
      </w:r>
      <w:r>
        <w:t>card</w:t>
      </w:r>
      <w:r w:rsidRPr="00F95819">
        <w:t xml:space="preserve">, </w:t>
      </w:r>
      <w:r w:rsidRPr="00F95819">
        <w:t>mDL</w:t>
      </w:r>
      <w:r w:rsidRPr="00F95819">
        <w:t xml:space="preserve"> data </w:t>
      </w:r>
      <w:r>
        <w:t>originates from</w:t>
      </w:r>
      <w:r w:rsidRPr="00F95819">
        <w:t xml:space="preserve"> identity information </w:t>
      </w:r>
      <w:r>
        <w:t xml:space="preserve">about an individual that is </w:t>
      </w:r>
      <w:r w:rsidRPr="00F95819">
        <w:t xml:space="preserve">maintained in the database of a </w:t>
      </w:r>
      <w:r>
        <w:t>S</w:t>
      </w:r>
      <w:r w:rsidRPr="00F95819">
        <w:t xml:space="preserve">tate </w:t>
      </w:r>
      <w:r>
        <w:t>driver’s licensing agency</w:t>
      </w:r>
      <w:r w:rsidRPr="00F95819">
        <w:t xml:space="preserve">.  </w:t>
      </w:r>
    </w:p>
    <w:p w:rsidR="00757D5E" w:rsidP="00813709" w14:paraId="5805B163" w14:textId="77777777">
      <w:pPr>
        <w:ind w:left="360"/>
      </w:pPr>
    </w:p>
    <w:p w:rsidR="00F44D07" w:rsidP="00813709" w14:paraId="4D34E667" w14:textId="4DA4C746">
      <w:pPr>
        <w:ind w:left="360"/>
      </w:pPr>
      <w:r w:rsidRPr="00C11A92">
        <w:t xml:space="preserve">Mobile driver’s license issuance is proliferating rapidly among States, with nearly half of all States piloting, issuing, or considering </w:t>
      </w:r>
      <w:r w:rsidRPr="00C11A92">
        <w:t>mDLs</w:t>
      </w:r>
      <w:r w:rsidRPr="00C11A92">
        <w:t xml:space="preserve">.  As of </w:t>
      </w:r>
      <w:r w:rsidRPr="00C11A92" w:rsidR="00C11A92">
        <w:t>the date of this document</w:t>
      </w:r>
      <w:r w:rsidRPr="00C11A92">
        <w:t xml:space="preserve">, at least </w:t>
      </w:r>
      <w:r w:rsidRPr="00C11A92" w:rsidR="00C11A92">
        <w:t xml:space="preserve">eight </w:t>
      </w:r>
      <w:r w:rsidRPr="00C11A92">
        <w:t xml:space="preserve">States (Arizona, Colorado, Delaware, Louisiana, </w:t>
      </w:r>
      <w:r w:rsidRPr="00C11A92" w:rsidR="00C11A92">
        <w:t xml:space="preserve">Maryland, </w:t>
      </w:r>
      <w:r w:rsidRPr="00C11A92">
        <w:t>Mississippi, Oklahoma</w:t>
      </w:r>
      <w:r w:rsidRPr="00C11A92" w:rsidR="00C11A92">
        <w:t>, and Utah</w:t>
      </w:r>
      <w:r w:rsidRPr="00C11A92">
        <w:t xml:space="preserve">) are issuing </w:t>
      </w:r>
      <w:r w:rsidRPr="00C11A92">
        <w:t>mDLs</w:t>
      </w:r>
      <w:r w:rsidRPr="00C11A92">
        <w:t xml:space="preserve">, and </w:t>
      </w:r>
      <w:r w:rsidR="006811D9">
        <w:t>three</w:t>
      </w:r>
      <w:r w:rsidRPr="00C11A92" w:rsidR="006811D9">
        <w:t xml:space="preserve"> </w:t>
      </w:r>
      <w:r w:rsidRPr="00C11A92">
        <w:t xml:space="preserve">States (Florida, Iowa, Utah) are currently piloting or have piloted </w:t>
      </w:r>
      <w:r w:rsidRPr="00C11A92">
        <w:t>mDLs</w:t>
      </w:r>
      <w:r w:rsidRPr="00C11A92">
        <w:t xml:space="preserve">.  Additionally, at least 17 States (California, District of Columbia, Georgia, Hawaii, Illinois, Indiana, Kentucky, Michigan, Missouri, New Jersey, New York, North Dakota, Pennsylvania, Puerto Rico, Tennessee, Texas, and Wyoming) have indicated they are studying </w:t>
      </w:r>
      <w:r w:rsidRPr="00C11A92">
        <w:t>mDLs</w:t>
      </w:r>
      <w:r w:rsidRPr="00C11A92">
        <w:t xml:space="preserve"> or considering enabling legislation.</w:t>
      </w:r>
      <w:r w:rsidRPr="00F44D07">
        <w:t xml:space="preserve">  </w:t>
      </w:r>
    </w:p>
    <w:p w:rsidR="001E1612" w:rsidP="0052786F" w14:paraId="4C510842" w14:textId="77777777">
      <w:pPr>
        <w:numPr>
          <w:ilvl w:val="12"/>
          <w:numId w:val="0"/>
        </w:numPr>
        <w:ind w:left="360"/>
        <w:rPr>
          <w:bCs/>
        </w:rPr>
      </w:pPr>
    </w:p>
    <w:p w:rsidR="001E1612" w:rsidP="00E34586" w14:paraId="40F2DA4B" w14:textId="0FA69F70">
      <w:pPr>
        <w:ind w:left="360"/>
        <w:rPr>
          <w:i/>
        </w:rPr>
      </w:pPr>
      <w:r w:rsidRPr="00E34586">
        <w:rPr>
          <w:i/>
        </w:rPr>
        <w:t xml:space="preserve">Collections of </w:t>
      </w:r>
      <w:r w:rsidR="00D316D5">
        <w:rPr>
          <w:i/>
        </w:rPr>
        <w:t>I</w:t>
      </w:r>
      <w:r w:rsidRPr="00E34586">
        <w:rPr>
          <w:i/>
        </w:rPr>
        <w:t xml:space="preserve">nformation </w:t>
      </w:r>
      <w:r w:rsidR="00D316D5">
        <w:rPr>
          <w:i/>
        </w:rPr>
        <w:t>U</w:t>
      </w:r>
      <w:r w:rsidRPr="00E34586">
        <w:rPr>
          <w:i/>
        </w:rPr>
        <w:t>nder this NPRM</w:t>
      </w:r>
      <w:r w:rsidR="004D2EDA">
        <w:rPr>
          <w:i/>
        </w:rPr>
        <w:t>: States</w:t>
      </w:r>
    </w:p>
    <w:p w:rsidR="00E34586" w:rsidRPr="00E34586" w:rsidP="00E34586" w14:paraId="4720329B" w14:textId="77777777">
      <w:pPr>
        <w:ind w:left="360"/>
        <w:rPr>
          <w:i/>
        </w:rPr>
      </w:pPr>
    </w:p>
    <w:p w:rsidR="007D63DF" w:rsidP="0052786F" w14:paraId="59E248D6" w14:textId="1A5D69ED">
      <w:pPr>
        <w:numPr>
          <w:ilvl w:val="12"/>
          <w:numId w:val="0"/>
        </w:numPr>
        <w:ind w:left="360"/>
        <w:rPr>
          <w:bCs/>
        </w:rPr>
      </w:pPr>
      <w:r>
        <w:rPr>
          <w:bCs/>
        </w:rPr>
        <w:t>T</w:t>
      </w:r>
      <w:r w:rsidR="003C01FC">
        <w:rPr>
          <w:bCs/>
        </w:rPr>
        <w:t xml:space="preserve">he NPRM proposes </w:t>
      </w:r>
      <w:r w:rsidR="00D316D5">
        <w:rPr>
          <w:bCs/>
        </w:rPr>
        <w:t xml:space="preserve">various </w:t>
      </w:r>
      <w:r w:rsidR="003C01FC">
        <w:rPr>
          <w:bCs/>
        </w:rPr>
        <w:t xml:space="preserve">collections of information </w:t>
      </w:r>
      <w:r>
        <w:rPr>
          <w:bCs/>
        </w:rPr>
        <w:t xml:space="preserve">from States that are </w:t>
      </w:r>
      <w:r w:rsidR="003C01FC">
        <w:rPr>
          <w:bCs/>
        </w:rPr>
        <w:t xml:space="preserve">subject to the </w:t>
      </w:r>
      <w:r>
        <w:rPr>
          <w:bCs/>
        </w:rPr>
        <w:t>Paperwork Reduction Act (</w:t>
      </w:r>
      <w:r w:rsidR="003C01FC">
        <w:rPr>
          <w:bCs/>
        </w:rPr>
        <w:t>PRA</w:t>
      </w:r>
      <w:r>
        <w:rPr>
          <w:bCs/>
        </w:rPr>
        <w:t>)</w:t>
      </w:r>
      <w:r w:rsidR="00E34586">
        <w:rPr>
          <w:bCs/>
        </w:rPr>
        <w:t xml:space="preserve">.  States will be required to submit information to DHS as part of their applications for a certificate of waiver for </w:t>
      </w:r>
      <w:r w:rsidR="00E34586">
        <w:rPr>
          <w:bCs/>
        </w:rPr>
        <w:t>mDLs</w:t>
      </w:r>
      <w:r w:rsidR="00D316D5">
        <w:rPr>
          <w:bCs/>
        </w:rPr>
        <w:t>,</w:t>
      </w:r>
      <w:r w:rsidR="00094125">
        <w:rPr>
          <w:bCs/>
        </w:rPr>
        <w:t xml:space="preserve"> </w:t>
      </w:r>
      <w:r w:rsidR="00D316D5">
        <w:rPr>
          <w:bCs/>
        </w:rPr>
        <w:t xml:space="preserve">in </w:t>
      </w:r>
      <w:r w:rsidR="00094125">
        <w:rPr>
          <w:bCs/>
        </w:rPr>
        <w:t xml:space="preserve">compliance with </w:t>
      </w:r>
      <w:r w:rsidR="00D316D5">
        <w:rPr>
          <w:bCs/>
        </w:rPr>
        <w:t>reporting requirements</w:t>
      </w:r>
      <w:r w:rsidR="00094125">
        <w:rPr>
          <w:bCs/>
        </w:rPr>
        <w:t>, and in response to DHS notices of suspension and termination</w:t>
      </w:r>
      <w:r w:rsidR="00E34586">
        <w:rPr>
          <w:bCs/>
        </w:rPr>
        <w:t>.</w:t>
      </w:r>
      <w:r w:rsidR="00D316D5">
        <w:rPr>
          <w:bCs/>
        </w:rPr>
        <w:t xml:space="preserve">  </w:t>
      </w:r>
    </w:p>
    <w:p w:rsidR="00D316D5" w:rsidP="0052786F" w14:paraId="43A1309C" w14:textId="0312FA8B">
      <w:pPr>
        <w:numPr>
          <w:ilvl w:val="12"/>
          <w:numId w:val="0"/>
        </w:numPr>
        <w:ind w:left="360"/>
        <w:rPr>
          <w:bCs/>
        </w:rPr>
      </w:pPr>
    </w:p>
    <w:p w:rsidR="008F7B61" w:rsidRPr="00094125" w:rsidP="00C908B4" w14:paraId="3FAD3DE2" w14:textId="43D28EC6">
      <w:pPr>
        <w:rPr>
          <w:szCs w:val="24"/>
        </w:rPr>
      </w:pPr>
      <w:r w:rsidRPr="00094125">
        <w:rPr>
          <w:bCs/>
        </w:rPr>
        <w:tab/>
        <w:t xml:space="preserve">(a) </w:t>
      </w:r>
      <w:r w:rsidR="00CE48D0">
        <w:rPr>
          <w:bCs/>
        </w:rPr>
        <w:t xml:space="preserve">Submission of Initial </w:t>
      </w:r>
      <w:r w:rsidRPr="00094125">
        <w:rPr>
          <w:bCs/>
        </w:rPr>
        <w:t xml:space="preserve">Application </w:t>
      </w:r>
      <w:r w:rsidR="00093F98">
        <w:rPr>
          <w:bCs/>
        </w:rPr>
        <w:t>and Audit Report</w:t>
      </w:r>
    </w:p>
    <w:p w:rsidR="00F44D07" w:rsidP="00813709" w14:paraId="742BE5F5" w14:textId="77777777">
      <w:pPr>
        <w:numPr>
          <w:ilvl w:val="12"/>
          <w:numId w:val="0"/>
        </w:numPr>
        <w:ind w:left="360"/>
        <w:rPr>
          <w:i/>
          <w:szCs w:val="24"/>
        </w:rPr>
      </w:pPr>
    </w:p>
    <w:p w:rsidR="009777B6" w:rsidP="00813709" w14:paraId="7263C5C3" w14:textId="12BC363C">
      <w:pPr>
        <w:ind w:left="360"/>
        <w:rPr>
          <w:rFonts w:eastAsia="Calibri" w:cs="Times New Roman"/>
          <w:szCs w:val="24"/>
        </w:rPr>
      </w:pPr>
      <w:r w:rsidRPr="00093F98">
        <w:t xml:space="preserve">A State </w:t>
      </w:r>
      <w:r w:rsidRPr="00093F98" w:rsidR="00C908B4">
        <w:t xml:space="preserve">seeking a certificate of waiver must follow the application process set forth in </w:t>
      </w:r>
      <w:r w:rsidRPr="00093F98" w:rsidR="00655E76">
        <w:t>new section 37.9</w:t>
      </w:r>
      <w:r w:rsidRPr="00093F98" w:rsidR="00311D79">
        <w:t>(a)</w:t>
      </w:r>
      <w:r w:rsidRPr="00093F98" w:rsidR="00655E76">
        <w:t xml:space="preserve"> of </w:t>
      </w:r>
      <w:r w:rsidRPr="00093F98" w:rsidR="00C908B4">
        <w:t xml:space="preserve">the </w:t>
      </w:r>
      <w:r w:rsidRPr="00093F98" w:rsidR="00655E76">
        <w:t>proposed rule</w:t>
      </w:r>
      <w:r w:rsidRPr="00093F98">
        <w:t>.</w:t>
      </w:r>
      <w:r w:rsidRPr="00093F98" w:rsidR="00655E76">
        <w:t xml:space="preserve">  </w:t>
      </w:r>
      <w:r w:rsidR="00093F98">
        <w:t>Specifically, a</w:t>
      </w:r>
      <w:r w:rsidRPr="00093F98" w:rsidR="001A7EA3">
        <w:t xml:space="preserve"> State must file a complete application as set forth in sections 37.10(a) and (b)</w:t>
      </w:r>
      <w:r w:rsidRPr="00093F98" w:rsidR="00290EB3">
        <w:t xml:space="preserve"> of the proposed rule</w:t>
      </w:r>
      <w:r w:rsidRPr="00093F98" w:rsidR="001A7EA3">
        <w:t>.  Section 37.10(a) (and accompanying Appendix A) set</w:t>
      </w:r>
      <w:r w:rsidR="00093F98">
        <w:t>s</w:t>
      </w:r>
      <w:r w:rsidRPr="00093F98" w:rsidR="001A7EA3">
        <w:t xml:space="preserve"> forth all information, documents, and data that a </w:t>
      </w:r>
      <w:r w:rsidRPr="00093F98" w:rsidR="009B48E3">
        <w:t>St</w:t>
      </w:r>
      <w:r w:rsidRPr="00093F98" w:rsidR="001A7EA3">
        <w:t>ate mu</w:t>
      </w:r>
      <w:r w:rsidRPr="00093F98" w:rsidR="009B48E3">
        <w:t>st</w:t>
      </w:r>
      <w:r w:rsidRPr="00093F98" w:rsidR="001A7EA3">
        <w:t xml:space="preserve"> include in its application, and section 37.10(b) require</w:t>
      </w:r>
      <w:r w:rsidR="00093F98">
        <w:t>s</w:t>
      </w:r>
      <w:r w:rsidRPr="00093F98" w:rsidR="001A7EA3">
        <w:t xml:space="preserve"> a State to submit a</w:t>
      </w:r>
      <w:r w:rsidRPr="001A7EA3" w:rsidR="001A7EA3">
        <w:t xml:space="preserve"> report prepared by an independent auditor verifying the accuracy of the information provided by the </w:t>
      </w:r>
      <w:r w:rsidR="009B48E3">
        <w:t>St</w:t>
      </w:r>
      <w:r w:rsidRPr="001A7EA3" w:rsidR="001A7EA3">
        <w:t xml:space="preserve">ate in response to section 37.10(a).  </w:t>
      </w:r>
      <w:r w:rsidRPr="004A30A6" w:rsidR="001A7EA3">
        <w:rPr>
          <w:rFonts w:eastAsia="Calibri" w:cs="Times New Roman"/>
          <w:szCs w:val="24"/>
        </w:rPr>
        <w:t>To assi</w:t>
      </w:r>
      <w:r w:rsidR="009B48E3">
        <w:rPr>
          <w:rFonts w:eastAsia="Calibri" w:cs="Times New Roman"/>
          <w:szCs w:val="24"/>
        </w:rPr>
        <w:t>st</w:t>
      </w:r>
      <w:r w:rsidR="001068FD">
        <w:rPr>
          <w:rFonts w:eastAsia="Calibri" w:cs="Times New Roman"/>
          <w:szCs w:val="24"/>
        </w:rPr>
        <w:t xml:space="preserve"> </w:t>
      </w:r>
      <w:r w:rsidRPr="004A30A6" w:rsidR="001A7EA3">
        <w:rPr>
          <w:rFonts w:eastAsia="Calibri" w:cs="Times New Roman"/>
          <w:szCs w:val="24"/>
        </w:rPr>
        <w:t>States that are considering applying for a waiver, DHS has developed guidelines, entitled, “Mobile Driver’s License Waiver Application Guidance,” which provide non-binding recommendations of some ways that States can meet the application requirements set forth in the rule.</w:t>
      </w:r>
      <w:r w:rsidR="001A7EA3">
        <w:rPr>
          <w:rFonts w:eastAsia="Calibri" w:cs="Times New Roman"/>
          <w:szCs w:val="24"/>
        </w:rPr>
        <w:t xml:space="preserve">  </w:t>
      </w:r>
    </w:p>
    <w:p w:rsidR="009777B6" w:rsidP="00813709" w14:paraId="78A6B210" w14:textId="77777777">
      <w:pPr>
        <w:ind w:left="360"/>
      </w:pPr>
    </w:p>
    <w:p w:rsidR="00311D79" w:rsidP="00311D79" w14:paraId="36F06ACB" w14:textId="1D02CC31">
      <w:pPr>
        <w:ind w:left="360"/>
      </w:pPr>
      <w:r w:rsidRPr="00CA7F82">
        <w:rPr>
          <w:rFonts w:cs="Times New Roman"/>
        </w:rPr>
        <w:t xml:space="preserve">New </w:t>
      </w:r>
      <w:r>
        <w:rPr>
          <w:rFonts w:cs="Times New Roman"/>
        </w:rPr>
        <w:t>s</w:t>
      </w:r>
      <w:r w:rsidRPr="00CA7F82">
        <w:rPr>
          <w:rFonts w:cs="Times New Roman"/>
        </w:rPr>
        <w:t>ection 37.9(</w:t>
      </w:r>
      <w:r>
        <w:rPr>
          <w:rFonts w:cs="Times New Roman"/>
        </w:rPr>
        <w:t>b</w:t>
      </w:r>
      <w:r w:rsidRPr="00CA7F82">
        <w:rPr>
          <w:rFonts w:cs="Times New Roman"/>
        </w:rPr>
        <w:t>) e</w:t>
      </w:r>
      <w:r>
        <w:rPr>
          <w:rFonts w:cs="Times New Roman"/>
        </w:rPr>
        <w:t>st</w:t>
      </w:r>
      <w:r w:rsidRPr="00CA7F82">
        <w:rPr>
          <w:rFonts w:cs="Times New Roman"/>
        </w:rPr>
        <w:t>ablish</w:t>
      </w:r>
      <w:r w:rsidR="00093F98">
        <w:rPr>
          <w:rFonts w:cs="Times New Roman"/>
        </w:rPr>
        <w:t>es</w:t>
      </w:r>
      <w:r w:rsidRPr="00CA7F82">
        <w:rPr>
          <w:rFonts w:cs="Times New Roman"/>
        </w:rPr>
        <w:t xml:space="preserve"> a timeline for </w:t>
      </w:r>
      <w:r>
        <w:rPr>
          <w:rFonts w:cs="Times New Roman"/>
        </w:rPr>
        <w:t xml:space="preserve">DHS to issue </w:t>
      </w:r>
      <w:r w:rsidRPr="00CA7F82">
        <w:rPr>
          <w:rFonts w:cs="Times New Roman"/>
        </w:rPr>
        <w:t xml:space="preserve">decisions on a waiver application.  Under this </w:t>
      </w:r>
      <w:r w:rsidR="00093F98">
        <w:rPr>
          <w:rFonts w:cs="Times New Roman"/>
        </w:rPr>
        <w:t>section</w:t>
      </w:r>
      <w:r w:rsidRPr="00CA7F82">
        <w:rPr>
          <w:rFonts w:cs="Times New Roman"/>
        </w:rPr>
        <w:t xml:space="preserve">, DHS would endeavor to provide a decision on initial applications within 60 days, but not longer than 90 days.  </w:t>
      </w:r>
      <w:r w:rsidRPr="00CA7F82">
        <w:t xml:space="preserve">DHS would provide three types of notice: approved, insufficient, or denied.  </w:t>
      </w:r>
      <w:r w:rsidRPr="00CA7F82">
        <w:rPr>
          <w:rFonts w:cs="Times New Roman"/>
        </w:rPr>
        <w:t>States that are granted a waiver would be included in a list of State-</w:t>
      </w:r>
      <w:r w:rsidRPr="00CA7F82">
        <w:rPr>
          <w:rFonts w:cs="Times New Roman"/>
        </w:rPr>
        <w:t>mDLs</w:t>
      </w:r>
      <w:r w:rsidRPr="00CA7F82">
        <w:rPr>
          <w:rFonts w:cs="Times New Roman"/>
        </w:rPr>
        <w:t xml:space="preserve"> approved for Federal use, published by DHS </w:t>
      </w:r>
      <w:r>
        <w:rPr>
          <w:rFonts w:cs="Times New Roman"/>
        </w:rPr>
        <w:t xml:space="preserve">at </w:t>
      </w:r>
      <w:r w:rsidRPr="00CA7F82">
        <w:rPr>
          <w:rFonts w:cs="Times New Roman"/>
        </w:rPr>
        <w:t>www.dhs.gov/real-id/</w:t>
      </w:r>
      <w:r>
        <w:rPr>
          <w:rFonts w:cs="Times New Roman"/>
        </w:rPr>
        <w:t>mDL</w:t>
      </w:r>
      <w:r w:rsidRPr="00CA7F82">
        <w:rPr>
          <w:rFonts w:cs="Times New Roman"/>
        </w:rPr>
        <w:t xml:space="preserve">.  </w:t>
      </w:r>
      <w:r w:rsidRPr="001A7EA3" w:rsidR="001A7EA3">
        <w:t xml:space="preserve"> </w:t>
      </w:r>
    </w:p>
    <w:p w:rsidR="00311D79" w:rsidP="00311D79" w14:paraId="3A5DE02B" w14:textId="77777777">
      <w:pPr>
        <w:ind w:left="360"/>
      </w:pPr>
    </w:p>
    <w:p w:rsidR="003F7A30" w:rsidRPr="00CE48D0" w:rsidP="003F7A30" w14:paraId="4AB4B81B" w14:textId="0F60355E">
      <w:pPr>
        <w:ind w:left="360"/>
        <w:rPr>
          <w:rFonts w:cs="Times New Roman"/>
        </w:rPr>
      </w:pPr>
      <w:r w:rsidRPr="00CE48D0">
        <w:rPr>
          <w:rFonts w:cs="Times New Roman"/>
        </w:rPr>
        <w:tab/>
      </w:r>
      <w:r w:rsidRPr="00CE48D0" w:rsidR="00CE48D0">
        <w:rPr>
          <w:rFonts w:cs="Times New Roman"/>
        </w:rPr>
        <w:t xml:space="preserve">(b) </w:t>
      </w:r>
      <w:r w:rsidRPr="00CE48D0">
        <w:rPr>
          <w:rFonts w:cs="Times New Roman"/>
        </w:rPr>
        <w:t>Supplemental Submission</w:t>
      </w:r>
      <w:r w:rsidRPr="00CE48D0" w:rsidR="004D2EDA">
        <w:rPr>
          <w:rFonts w:cs="Times New Roman"/>
        </w:rPr>
        <w:t>s</w:t>
      </w:r>
    </w:p>
    <w:p w:rsidR="003F7A30" w:rsidP="003F7A30" w14:paraId="37DD3FF5" w14:textId="77777777">
      <w:pPr>
        <w:ind w:left="360"/>
        <w:rPr>
          <w:rFonts w:cs="Times New Roman"/>
        </w:rPr>
      </w:pPr>
    </w:p>
    <w:p w:rsidR="003F7A30" w:rsidRPr="00093F98" w:rsidP="003F7A30" w14:paraId="31246F47" w14:textId="614D5E2E">
      <w:pPr>
        <w:ind w:left="360"/>
      </w:pPr>
      <w:r w:rsidRPr="00093F98">
        <w:rPr>
          <w:rFonts w:cs="Times New Roman"/>
        </w:rPr>
        <w:t xml:space="preserve">DHS may notify a State that its application is insufficient upon finding that an application did not respond to certain information or contains other deficiencies.  In this instance, DHS would provide </w:t>
      </w:r>
      <w:r w:rsidR="00093F98">
        <w:rPr>
          <w:rFonts w:cs="Times New Roman"/>
        </w:rPr>
        <w:t xml:space="preserve">States </w:t>
      </w:r>
      <w:r w:rsidRPr="00093F98">
        <w:rPr>
          <w:rFonts w:cs="Times New Roman"/>
        </w:rPr>
        <w:t xml:space="preserve">an explanation of such deficiencies and afford </w:t>
      </w:r>
      <w:r w:rsidR="00093F98">
        <w:rPr>
          <w:rFonts w:cs="Times New Roman"/>
        </w:rPr>
        <w:t>them</w:t>
      </w:r>
      <w:r w:rsidRPr="00093F98" w:rsidR="00093F98">
        <w:rPr>
          <w:rFonts w:cs="Times New Roman"/>
        </w:rPr>
        <w:t xml:space="preserve"> </w:t>
      </w:r>
      <w:r w:rsidRPr="00093F98">
        <w:rPr>
          <w:rFonts w:cs="Times New Roman"/>
        </w:rPr>
        <w:t xml:space="preserve">an opportunity to address deficiencies and </w:t>
      </w:r>
      <w:r w:rsidR="00093F98">
        <w:rPr>
          <w:rFonts w:cs="Times New Roman"/>
        </w:rPr>
        <w:t>submit supplemental information</w:t>
      </w:r>
      <w:r w:rsidRPr="00093F98">
        <w:rPr>
          <w:rFonts w:cs="Times New Roman"/>
        </w:rPr>
        <w:t xml:space="preserve">.  DHS would permit States to submit multiple amended </w:t>
      </w:r>
      <w:r w:rsidRPr="00093F98">
        <w:rPr>
          <w:rFonts w:cs="Times New Roman"/>
        </w:rPr>
        <w:t>applications</w:t>
      </w:r>
      <w:r w:rsidRPr="00093F98">
        <w:rPr>
          <w:rFonts w:cs="Times New Roman"/>
        </w:rPr>
        <w:t xml:space="preserve"> if necessary, with the intent of working with States individually to enable their </w:t>
      </w:r>
      <w:r w:rsidRPr="00093F98">
        <w:rPr>
          <w:rFonts w:cs="Times New Roman"/>
        </w:rPr>
        <w:t>mDLs</w:t>
      </w:r>
      <w:r w:rsidRPr="00093F98">
        <w:rPr>
          <w:rFonts w:cs="Times New Roman"/>
        </w:rPr>
        <w:t xml:space="preserve"> to comply with waiver criteria.  </w:t>
      </w:r>
      <w:r w:rsidRPr="00093F98">
        <w:t xml:space="preserve">States would have 60 days to submit supplemental information.  </w:t>
      </w:r>
    </w:p>
    <w:p w:rsidR="003F7A30" w:rsidRPr="00093F98" w:rsidP="003F7A30" w14:paraId="00D01934" w14:textId="74E5E8DE">
      <w:pPr>
        <w:ind w:left="360"/>
      </w:pPr>
    </w:p>
    <w:p w:rsidR="00CE48D0" w:rsidRPr="00093F98" w:rsidP="003F7A30" w14:paraId="624F65DC" w14:textId="77777777">
      <w:pPr>
        <w:ind w:left="360"/>
      </w:pPr>
      <w:r w:rsidRPr="00093F98">
        <w:tab/>
        <w:t>(c)  Request for Reconsideration of Denied Application</w:t>
      </w:r>
    </w:p>
    <w:p w:rsidR="003F7A30" w:rsidRPr="00093F98" w:rsidP="003F7A30" w14:paraId="5E91320E" w14:textId="77777777">
      <w:pPr>
        <w:ind w:left="360"/>
      </w:pPr>
    </w:p>
    <w:p w:rsidR="00B11FA2" w:rsidRPr="00093F98" w:rsidP="00351A66" w14:paraId="705B00F9" w14:textId="7C813E47">
      <w:pPr>
        <w:ind w:left="360"/>
      </w:pPr>
      <w:r w:rsidRPr="00093F98">
        <w:rPr>
          <w:rFonts w:cs="Times New Roman"/>
        </w:rPr>
        <w:t xml:space="preserve">If DHS denies an application, </w:t>
      </w:r>
      <w:r w:rsidRPr="00093F98" w:rsidR="00CA7F82">
        <w:rPr>
          <w:rFonts w:cs="Times New Roman"/>
        </w:rPr>
        <w:t xml:space="preserve">DHS </w:t>
      </w:r>
      <w:r w:rsidRPr="00093F98">
        <w:rPr>
          <w:rFonts w:cs="Times New Roman"/>
        </w:rPr>
        <w:t>would</w:t>
      </w:r>
      <w:r w:rsidRPr="00093F98">
        <w:rPr>
          <w:rFonts w:cs="Times New Roman"/>
        </w:rPr>
        <w:t xml:space="preserve"> provide </w:t>
      </w:r>
      <w:r w:rsidR="00093F98">
        <w:rPr>
          <w:rFonts w:cs="Times New Roman"/>
        </w:rPr>
        <w:t xml:space="preserve">States </w:t>
      </w:r>
      <w:r w:rsidRPr="00093F98">
        <w:rPr>
          <w:rFonts w:cs="Times New Roman"/>
        </w:rPr>
        <w:t xml:space="preserve">the specific grounds for the basis of the denial and afford </w:t>
      </w:r>
      <w:r w:rsidR="00093F98">
        <w:rPr>
          <w:rFonts w:cs="Times New Roman"/>
        </w:rPr>
        <w:t>them</w:t>
      </w:r>
      <w:r w:rsidRPr="00093F98" w:rsidR="00093F98">
        <w:rPr>
          <w:rFonts w:cs="Times New Roman"/>
        </w:rPr>
        <w:t xml:space="preserve"> </w:t>
      </w:r>
      <w:r w:rsidRPr="00093F98">
        <w:rPr>
          <w:rFonts w:cs="Times New Roman"/>
        </w:rPr>
        <w:t xml:space="preserve">an opportunity to </w:t>
      </w:r>
      <w:r w:rsidRPr="00093F98">
        <w:t xml:space="preserve">seek reconsideration of a denied application.  </w:t>
      </w:r>
      <w:r w:rsidR="00093F98">
        <w:t xml:space="preserve">A </w:t>
      </w:r>
      <w:r w:rsidRPr="00093F98" w:rsidR="003F7A30">
        <w:t xml:space="preserve">State would have 90 days to file a request for reconsideration, explaining what corrective actions it intends to implement, or explain why the denial is incorrect.  </w:t>
      </w:r>
    </w:p>
    <w:p w:rsidR="00CE48D0" w:rsidRPr="00093F98" w:rsidP="00351A66" w14:paraId="22D13197" w14:textId="77777777">
      <w:pPr>
        <w:ind w:left="360"/>
      </w:pPr>
    </w:p>
    <w:p w:rsidR="00CE48D0" w:rsidRPr="00CE48D0" w:rsidP="00CE48D0" w14:paraId="0E2CE03E" w14:textId="053F1279">
      <w:pPr>
        <w:ind w:left="360"/>
      </w:pPr>
      <w:r w:rsidRPr="00CE48D0">
        <w:tab/>
        <w:t>(d) Re-Application</w:t>
      </w:r>
    </w:p>
    <w:p w:rsidR="003F7A30" w:rsidP="00351A66" w14:paraId="1B0FDF69" w14:textId="5AC3F59B">
      <w:pPr>
        <w:ind w:left="360"/>
      </w:pPr>
    </w:p>
    <w:p w:rsidR="003F7A30" w:rsidP="00351A66" w14:paraId="2AB2288E" w14:textId="10EA8E6A">
      <w:pPr>
        <w:ind w:left="360"/>
        <w:rPr>
          <w:rFonts w:cs="Times New Roman"/>
        </w:rPr>
      </w:pPr>
      <w:r>
        <w:t xml:space="preserve">A </w:t>
      </w:r>
      <w:r w:rsidR="00CE48D0">
        <w:t xml:space="preserve">State whose request for reconsideration has been denied may </w:t>
      </w:r>
      <w:r w:rsidR="00E62708">
        <w:t xml:space="preserve">choose to </w:t>
      </w:r>
      <w:r w:rsidR="00CE48D0">
        <w:t xml:space="preserve">submit a new application.  In addition, </w:t>
      </w:r>
      <w:r w:rsidRPr="00E62708" w:rsidR="00CE48D0">
        <w:rPr>
          <w:rFonts w:cs="Times New Roman"/>
        </w:rPr>
        <w:t>a</w:t>
      </w:r>
      <w:r w:rsidRPr="00E62708">
        <w:rPr>
          <w:rFonts w:cs="Times New Roman"/>
        </w:rPr>
        <w:t xml:space="preserve"> State that seeks to renew a certificate of waiver that has expired must submit a new application</w:t>
      </w:r>
      <w:r>
        <w:rPr>
          <w:rFonts w:cs="Times New Roman"/>
        </w:rPr>
        <w:t xml:space="preserve">.  </w:t>
      </w:r>
      <w:r w:rsidR="00C06417">
        <w:rPr>
          <w:rFonts w:cs="Times New Roman"/>
        </w:rPr>
        <w:t>As discussed in paragraph (g), below, a State to whom DHS has issued a final suspension or termination may apply for a new waiver.</w:t>
      </w:r>
    </w:p>
    <w:p w:rsidR="003F7A30" w:rsidRPr="00094125" w:rsidP="00351A66" w14:paraId="2229FD77" w14:textId="3160C3C9">
      <w:pPr>
        <w:ind w:left="360"/>
      </w:pPr>
    </w:p>
    <w:p w:rsidR="003F7A30" w:rsidRPr="00094125" w:rsidP="00094125" w14:paraId="6843C897" w14:textId="11662C5D">
      <w:pPr>
        <w:ind w:left="720"/>
      </w:pPr>
      <w:r w:rsidRPr="00094125">
        <w:t>(</w:t>
      </w:r>
      <w:r w:rsidR="00CE48D0">
        <w:t>e</w:t>
      </w:r>
      <w:r w:rsidRPr="00094125">
        <w:t xml:space="preserve">) Reporting </w:t>
      </w:r>
      <w:r w:rsidR="0023767F">
        <w:t>of Significant Modification</w:t>
      </w:r>
      <w:r w:rsidR="00D67DE6">
        <w:t>s</w:t>
      </w:r>
      <w:r w:rsidR="00093F98">
        <w:t xml:space="preserve"> to </w:t>
      </w:r>
      <w:r w:rsidR="00093F98">
        <w:t>mDL</w:t>
      </w:r>
      <w:r w:rsidR="00093F98">
        <w:t xml:space="preserve"> Issuance Processes</w:t>
      </w:r>
    </w:p>
    <w:p w:rsidR="0011336E" w:rsidP="00351A66" w14:paraId="6E414B1D" w14:textId="77777777">
      <w:pPr>
        <w:ind w:left="360"/>
        <w:rPr>
          <w:rFonts w:cs="Times New Roman"/>
        </w:rPr>
      </w:pPr>
    </w:p>
    <w:p w:rsidR="008336DB" w:rsidRPr="00093F98" w:rsidP="00761210" w14:paraId="33CFA076" w14:textId="4718A5AD">
      <w:pPr>
        <w:ind w:left="360"/>
        <w:rPr>
          <w:rFonts w:eastAsia="Calibri" w:cs="Times New Roman"/>
          <w:szCs w:val="24"/>
        </w:rPr>
      </w:pPr>
      <w:r w:rsidRPr="00093F98">
        <w:rPr>
          <w:rFonts w:cs="Times New Roman"/>
        </w:rPr>
        <w:t>Under n</w:t>
      </w:r>
      <w:r w:rsidRPr="00093F98" w:rsidR="0078711D">
        <w:rPr>
          <w:rFonts w:cs="Times New Roman"/>
        </w:rPr>
        <w:t>ew s</w:t>
      </w:r>
      <w:r w:rsidRPr="00093F98">
        <w:rPr>
          <w:rFonts w:cs="Times New Roman"/>
        </w:rPr>
        <w:t>ection 37.9(e)(2)</w:t>
      </w:r>
      <w:r w:rsidRPr="00093F98">
        <w:rPr>
          <w:rFonts w:cs="Times New Roman"/>
        </w:rPr>
        <w:t>,</w:t>
      </w:r>
      <w:r w:rsidRPr="00093F98">
        <w:rPr>
          <w:rFonts w:cs="Times New Roman"/>
        </w:rPr>
        <w:t xml:space="preserve"> </w:t>
      </w:r>
      <w:r w:rsidRPr="00093F98">
        <w:rPr>
          <w:rFonts w:eastAsia="Calibri" w:cs="Times New Roman"/>
          <w:szCs w:val="24"/>
        </w:rPr>
        <w:t xml:space="preserve">a State must report to DHS if the State, after receiving a certificate of waiver, makes significant modifications to its </w:t>
      </w:r>
      <w:r w:rsidRPr="00093F98">
        <w:rPr>
          <w:rFonts w:eastAsia="Calibri" w:cs="Times New Roman"/>
          <w:szCs w:val="24"/>
        </w:rPr>
        <w:t>mDL</w:t>
      </w:r>
      <w:r w:rsidRPr="00093F98">
        <w:rPr>
          <w:rFonts w:eastAsia="Calibri" w:cs="Times New Roman"/>
          <w:szCs w:val="24"/>
        </w:rPr>
        <w:t xml:space="preserve"> issuance processes that differ in a material way from information that the State provided in its application.  </w:t>
      </w:r>
      <w:r w:rsidRPr="00093F98">
        <w:rPr>
          <w:rFonts w:eastAsia="Calibri" w:cs="Times New Roman"/>
          <w:szCs w:val="24"/>
        </w:rPr>
        <w:t>States</w:t>
      </w:r>
      <w:r w:rsidRPr="00093F98">
        <w:rPr>
          <w:rFonts w:eastAsia="Calibri" w:cs="Times New Roman"/>
          <w:szCs w:val="24"/>
        </w:rPr>
        <w:t xml:space="preserve"> </w:t>
      </w:r>
      <w:r w:rsidRPr="00093F98">
        <w:rPr>
          <w:rFonts w:eastAsia="Calibri" w:cs="Times New Roman"/>
          <w:szCs w:val="24"/>
        </w:rPr>
        <w:t xml:space="preserve">must provide </w:t>
      </w:r>
      <w:r w:rsidRPr="00093F98" w:rsidR="00301B1C">
        <w:rPr>
          <w:rFonts w:eastAsia="Calibri" w:cs="Times New Roman"/>
          <w:szCs w:val="24"/>
        </w:rPr>
        <w:t>written notice of</w:t>
      </w:r>
      <w:r w:rsidRPr="00093F98">
        <w:rPr>
          <w:rFonts w:eastAsia="Calibri" w:cs="Times New Roman"/>
          <w:szCs w:val="24"/>
        </w:rPr>
        <w:t xml:space="preserve"> such changes </w:t>
      </w:r>
      <w:r w:rsidRPr="00093F98" w:rsidR="00301B1C">
        <w:rPr>
          <w:rFonts w:eastAsia="Calibri" w:cs="Times New Roman"/>
          <w:szCs w:val="24"/>
        </w:rPr>
        <w:t>to DHS at www.dhs.gov/real-id/mDL 60</w:t>
      </w:r>
      <w:r w:rsidRPr="00093F98">
        <w:rPr>
          <w:rFonts w:eastAsia="Calibri" w:cs="Times New Roman"/>
          <w:szCs w:val="24"/>
        </w:rPr>
        <w:t xml:space="preserve"> days </w:t>
      </w:r>
      <w:r w:rsidRPr="00093F98" w:rsidR="00301B1C">
        <w:rPr>
          <w:rFonts w:eastAsia="Calibri" w:cs="Times New Roman"/>
          <w:szCs w:val="24"/>
        </w:rPr>
        <w:t xml:space="preserve">before </w:t>
      </w:r>
      <w:r w:rsidRPr="00093F98">
        <w:rPr>
          <w:rFonts w:eastAsia="Calibri" w:cs="Times New Roman"/>
          <w:szCs w:val="24"/>
        </w:rPr>
        <w:t xml:space="preserve">implementing </w:t>
      </w:r>
      <w:r w:rsidRPr="00093F98" w:rsidR="00301B1C">
        <w:rPr>
          <w:rFonts w:eastAsia="Calibri" w:cs="Times New Roman"/>
          <w:szCs w:val="24"/>
        </w:rPr>
        <w:t xml:space="preserve">such </w:t>
      </w:r>
      <w:r w:rsidRPr="00093F98">
        <w:rPr>
          <w:rFonts w:eastAsia="Calibri" w:cs="Times New Roman"/>
          <w:szCs w:val="24"/>
        </w:rPr>
        <w:t xml:space="preserve">changes.  This requirement is intended to apply to changes that may undermine the bases under which DHS granted a waiver.  The reporting requirement is not intended to apply to routine, low-level changes, such as software updates and patches.  </w:t>
      </w:r>
    </w:p>
    <w:p w:rsidR="008336DB" w:rsidRPr="00093F98" w:rsidP="00761210" w14:paraId="3F4B8DF5" w14:textId="77777777">
      <w:pPr>
        <w:ind w:left="360"/>
        <w:rPr>
          <w:rFonts w:eastAsia="Calibri" w:cs="Times New Roman"/>
          <w:szCs w:val="24"/>
        </w:rPr>
      </w:pPr>
    </w:p>
    <w:p w:rsidR="00CE48D0" w:rsidRPr="00093F98" w:rsidP="00CE48D0" w14:paraId="41AB2100" w14:textId="6A356A12">
      <w:pPr>
        <w:ind w:left="720"/>
      </w:pPr>
      <w:r w:rsidRPr="00093F98">
        <w:t>(f) Reporting of Discovery of Significant Cyber Incident or Breach</w:t>
      </w:r>
    </w:p>
    <w:p w:rsidR="00CE48D0" w:rsidRPr="00093F98" w:rsidP="00094125" w14:paraId="38B2B527" w14:textId="77777777">
      <w:pPr>
        <w:ind w:left="360"/>
        <w:rPr>
          <w:rFonts w:cs="Times New Roman"/>
        </w:rPr>
      </w:pPr>
    </w:p>
    <w:p w:rsidR="00094125" w:rsidRPr="00093F98" w:rsidP="00094125" w14:paraId="1FA85AAD" w14:textId="51EA3330">
      <w:pPr>
        <w:ind w:left="360"/>
        <w:rPr>
          <w:rFonts w:cs="Times New Roman"/>
        </w:rPr>
      </w:pPr>
      <w:r w:rsidRPr="00093F98">
        <w:rPr>
          <w:rFonts w:cs="Times New Roman"/>
        </w:rPr>
        <w:t xml:space="preserve">Under section 8.6 of Appendix A, States are required to provide written notice to DHS at www.dhs.gov/real-id/mDL within 72 hours of the discovery of a significant cyber incident or breach which may compromise the integrity of </w:t>
      </w:r>
      <w:r w:rsidR="00C06417">
        <w:rPr>
          <w:bCs/>
        </w:rPr>
        <w:t xml:space="preserve">State </w:t>
      </w:r>
      <w:r w:rsidRPr="00CA2315" w:rsidR="00C06417">
        <w:rPr>
          <w:bCs/>
        </w:rPr>
        <w:t>Certificate Systems</w:t>
      </w:r>
      <w:r w:rsidRPr="00093F98">
        <w:rPr>
          <w:rFonts w:cs="Times New Roman"/>
        </w:rPr>
        <w:t xml:space="preserve">.  </w:t>
      </w:r>
    </w:p>
    <w:p w:rsidR="00094125" w:rsidRPr="00093F98" w:rsidP="00094125" w14:paraId="227EAC26" w14:textId="77777777">
      <w:pPr>
        <w:ind w:left="360"/>
        <w:rPr>
          <w:rFonts w:cs="Times New Roman"/>
        </w:rPr>
      </w:pPr>
    </w:p>
    <w:p w:rsidR="00094125" w:rsidRPr="00093F98" w:rsidP="00094125" w14:paraId="5350B6A5" w14:textId="20BA888A">
      <w:pPr>
        <w:ind w:left="360"/>
        <w:rPr>
          <w:rFonts w:cs="Times New Roman"/>
        </w:rPr>
      </w:pPr>
      <w:r w:rsidRPr="00093F98">
        <w:rPr>
          <w:rFonts w:cs="Times New Roman"/>
        </w:rPr>
        <w:tab/>
        <w:t>(</w:t>
      </w:r>
      <w:r w:rsidRPr="00093F98" w:rsidR="00CE48D0">
        <w:rPr>
          <w:rFonts w:cs="Times New Roman"/>
        </w:rPr>
        <w:t>g</w:t>
      </w:r>
      <w:r w:rsidRPr="00093F98">
        <w:rPr>
          <w:rFonts w:cs="Times New Roman"/>
        </w:rPr>
        <w:t>)</w:t>
      </w:r>
      <w:r w:rsidRPr="00093F98">
        <w:t xml:space="preserve"> Responses to DHS Notices of Suspension and Termination</w:t>
      </w:r>
      <w:r w:rsidRPr="00093F98">
        <w:rPr>
          <w:rFonts w:cs="Times New Roman"/>
        </w:rPr>
        <w:t xml:space="preserve"> </w:t>
      </w:r>
    </w:p>
    <w:p w:rsidR="00094125" w:rsidRPr="00093F98" w:rsidP="00094125" w14:paraId="6541D19A" w14:textId="77777777">
      <w:pPr>
        <w:ind w:left="360"/>
        <w:rPr>
          <w:rFonts w:cs="Times New Roman"/>
        </w:rPr>
      </w:pPr>
    </w:p>
    <w:p w:rsidR="004D2EDA" w:rsidRPr="00093F98" w:rsidP="004D2EDA" w14:paraId="160D8D61" w14:textId="2F14D047">
      <w:pPr>
        <w:ind w:left="360"/>
        <w:rPr>
          <w:rFonts w:cs="Times New Roman"/>
        </w:rPr>
      </w:pPr>
      <w:r w:rsidRPr="00093F98">
        <w:rPr>
          <w:rFonts w:cs="Times New Roman"/>
        </w:rPr>
        <w:t>New section 37.9(e)(4) of the proposed rule set</w:t>
      </w:r>
      <w:r w:rsidR="00093F98">
        <w:rPr>
          <w:rFonts w:cs="Times New Roman"/>
        </w:rPr>
        <w:t>s</w:t>
      </w:r>
      <w:r w:rsidRPr="00093F98">
        <w:rPr>
          <w:rFonts w:cs="Times New Roman"/>
        </w:rPr>
        <w:t xml:space="preserve"> forth processes for suspension of certificates of waiver.  DHS may suspend a certificate of waiver if DHS determines that a State: (1) failed to comply with any terms and conditions specified in the certificate of waiver, (2) failed to comply with reporting requirements, or (3) issues </w:t>
      </w:r>
      <w:r w:rsidRPr="00093F98">
        <w:rPr>
          <w:rFonts w:cs="Times New Roman"/>
        </w:rPr>
        <w:t>mDLs</w:t>
      </w:r>
      <w:r w:rsidRPr="00093F98">
        <w:rPr>
          <w:rFonts w:cs="Times New Roman"/>
        </w:rPr>
        <w:t xml:space="preserve"> in a manner that is not consistent with the information the State provided in its application.  Before suspending a waiver for these reasons, DHS will provide such State written notice via email that it intends to suspend its waiver, along with an explanation of the reasons, information on how the State may address the deficiencies.  States will have 30 days to respond, and DHS will respond to the State via email within 30 days.  DHS may withdraw the suspension notice, issue a final suspension, or request additional information from the State.  </w:t>
      </w:r>
    </w:p>
    <w:p w:rsidR="004D2EDA" w:rsidRPr="00093F98" w:rsidP="004D2EDA" w14:paraId="5BA26D26" w14:textId="77777777">
      <w:pPr>
        <w:ind w:left="360"/>
        <w:rPr>
          <w:rFonts w:cs="Times New Roman"/>
        </w:rPr>
      </w:pPr>
    </w:p>
    <w:p w:rsidR="00B1012D" w:rsidRPr="00093F98" w:rsidP="00761210" w14:paraId="4B411C08" w14:textId="4C870BD5">
      <w:pPr>
        <w:ind w:left="360"/>
        <w:rPr>
          <w:rFonts w:cs="Times New Roman"/>
        </w:rPr>
      </w:pPr>
      <w:r w:rsidRPr="00093F98">
        <w:rPr>
          <w:rFonts w:cs="Times New Roman"/>
        </w:rPr>
        <w:t xml:space="preserve">In addition, </w:t>
      </w:r>
      <w:r w:rsidRPr="00093F98" w:rsidR="00094125">
        <w:rPr>
          <w:rFonts w:cs="Times New Roman"/>
        </w:rPr>
        <w:t xml:space="preserve">DHS may suspend a waiver at any time upon discovery of imminent or serious threats to security, privacy, or data integrity, such as cyber-attacks and other events that </w:t>
      </w:r>
      <w:r w:rsidRPr="00093F98" w:rsidR="00094125">
        <w:rPr>
          <w:rFonts w:cs="Times New Roman"/>
        </w:rPr>
        <w:t xml:space="preserve">cause serious harm to Federal agencies, such as cyber-attacks on a State’s </w:t>
      </w:r>
      <w:r w:rsidRPr="00093F98" w:rsidR="00094125">
        <w:rPr>
          <w:rFonts w:cs="Times New Roman"/>
        </w:rPr>
        <w:t>mDL</w:t>
      </w:r>
      <w:r w:rsidRPr="00093F98" w:rsidR="00094125">
        <w:rPr>
          <w:rFonts w:cs="Times New Roman"/>
        </w:rPr>
        <w:t xml:space="preserve"> issuance </w:t>
      </w:r>
      <w:r w:rsidR="00093F98">
        <w:rPr>
          <w:rFonts w:cs="Times New Roman"/>
        </w:rPr>
        <w:t>processes</w:t>
      </w:r>
      <w:r w:rsidRPr="00093F98" w:rsidR="00093F98">
        <w:rPr>
          <w:rFonts w:cs="Times New Roman"/>
        </w:rPr>
        <w:t xml:space="preserve"> </w:t>
      </w:r>
      <w:r w:rsidRPr="00093F98" w:rsidR="00094125">
        <w:rPr>
          <w:rFonts w:cs="Times New Roman"/>
        </w:rPr>
        <w:t xml:space="preserve">that compromise the integrity of its </w:t>
      </w:r>
      <w:r w:rsidRPr="00093F98" w:rsidR="00094125">
        <w:rPr>
          <w:rFonts w:cs="Times New Roman"/>
        </w:rPr>
        <w:t>mDLs</w:t>
      </w:r>
      <w:r w:rsidRPr="00093F98" w:rsidR="00094125">
        <w:rPr>
          <w:rFonts w:cs="Times New Roman"/>
        </w:rPr>
        <w:t>.</w:t>
      </w:r>
      <w:r w:rsidRPr="00093F98">
        <w:rPr>
          <w:rFonts w:cs="Times New Roman"/>
        </w:rPr>
        <w:t xml:space="preserve">  </w:t>
      </w:r>
      <w:r w:rsidRPr="00093F98" w:rsidR="00094125">
        <w:rPr>
          <w:rFonts w:cs="Times New Roman"/>
        </w:rPr>
        <w:t>If DHS determines such suspension is necessary, DHS will provide written notice via email to each State whose certificate of waiver is affected, as soon as practicable after discovery of the triggering event, providing an explanation for the suspension, as well as an estimated timeframe for resumption of the validity of the certificate of waiver.</w:t>
      </w:r>
      <w:r w:rsidRPr="00093F98">
        <w:rPr>
          <w:rFonts w:cs="Times New Roman"/>
        </w:rPr>
        <w:t xml:space="preserve">  A State that has been issued a final suspension may seek to apply for a new certificate of waiver by submitting a new application.</w:t>
      </w:r>
    </w:p>
    <w:p w:rsidR="008336DB" w:rsidRPr="00093F98" w:rsidP="00761210" w14:paraId="03A2F906" w14:textId="77777777">
      <w:pPr>
        <w:ind w:left="360"/>
        <w:rPr>
          <w:rFonts w:cs="Times New Roman"/>
          <w:i/>
        </w:rPr>
      </w:pPr>
    </w:p>
    <w:p w:rsidR="0078711D" w:rsidRPr="00093F98" w:rsidP="00761210" w14:paraId="1E3816C0" w14:textId="2F8BB4C2">
      <w:pPr>
        <w:ind w:left="360"/>
        <w:rPr>
          <w:rFonts w:cs="Times New Roman"/>
        </w:rPr>
      </w:pPr>
      <w:r w:rsidRPr="00093F98">
        <w:rPr>
          <w:rFonts w:cs="Times New Roman"/>
        </w:rPr>
        <w:t xml:space="preserve">New section 37.9(e)(5) proposes that DHS may terminate a certificate of waiver </w:t>
      </w:r>
      <w:r w:rsidRPr="00093F98" w:rsidR="006F5386">
        <w:rPr>
          <w:rFonts w:cs="Times New Roman"/>
        </w:rPr>
        <w:t>for specified</w:t>
      </w:r>
      <w:r w:rsidRPr="00093F98">
        <w:rPr>
          <w:rFonts w:cs="Times New Roman"/>
        </w:rPr>
        <w:t xml:space="preserve"> violations, including: (1) failure to comply with REAL ID requirements in section 37.51(a) of this part, (2) </w:t>
      </w:r>
      <w:r w:rsidRPr="00093F98" w:rsidR="00301B1C">
        <w:rPr>
          <w:rFonts w:cs="Times New Roman"/>
        </w:rPr>
        <w:t>egregious violations</w:t>
      </w:r>
      <w:r w:rsidRPr="00093F98">
        <w:rPr>
          <w:rFonts w:cs="Times New Roman"/>
        </w:rPr>
        <w:t xml:space="preserve"> of any terms and conditions specified in the certificate of waiver that the State is unwilling to cure, (3) </w:t>
      </w:r>
      <w:r w:rsidRPr="00093F98" w:rsidR="00301B1C">
        <w:rPr>
          <w:rFonts w:cs="Times New Roman"/>
        </w:rPr>
        <w:t xml:space="preserve">egregious </w:t>
      </w:r>
      <w:r w:rsidRPr="00093F98">
        <w:rPr>
          <w:rFonts w:cs="Times New Roman"/>
        </w:rPr>
        <w:t>violation of reporting requirements</w:t>
      </w:r>
      <w:r w:rsidRPr="00093F98" w:rsidR="009777B6">
        <w:rPr>
          <w:rFonts w:cs="Times New Roman"/>
        </w:rPr>
        <w:t xml:space="preserve"> </w:t>
      </w:r>
      <w:r w:rsidRPr="00093F98">
        <w:rPr>
          <w:rFonts w:cs="Times New Roman"/>
        </w:rPr>
        <w:t xml:space="preserve">that the State is unwilling to cure, and (4) providing false information in its waiver application.  Before terminating a certificate of waiver, DHS would </w:t>
      </w:r>
      <w:r w:rsidRPr="00093F98" w:rsidR="00301B1C">
        <w:rPr>
          <w:rFonts w:cs="Times New Roman"/>
        </w:rPr>
        <w:t>provide via email written</w:t>
      </w:r>
      <w:r w:rsidRPr="00093F98">
        <w:rPr>
          <w:rFonts w:cs="Times New Roman"/>
        </w:rPr>
        <w:t xml:space="preserve"> notice of intent to terminate, including findings supporting the termination and an opportunity to present information.  A State would have seven days to respond to the notice, and DHS would respond </w:t>
      </w:r>
      <w:r w:rsidRPr="00093F98" w:rsidR="00301B1C">
        <w:rPr>
          <w:rFonts w:cs="Times New Roman"/>
        </w:rPr>
        <w:t xml:space="preserve">via email </w:t>
      </w:r>
      <w:r w:rsidRPr="00093F98">
        <w:rPr>
          <w:rFonts w:cs="Times New Roman"/>
        </w:rPr>
        <w:t>within 30 days.  A State whose certificate of waiver has been terminated may apply for a new certificate of waiver by submitting a new application.</w:t>
      </w:r>
    </w:p>
    <w:p w:rsidR="00914986" w:rsidRPr="0078711D" w:rsidP="00761210" w14:paraId="5CB39AD7" w14:textId="77777777">
      <w:pPr>
        <w:ind w:left="360"/>
        <w:rPr>
          <w:rFonts w:cs="Times New Roman"/>
        </w:rPr>
      </w:pPr>
    </w:p>
    <w:p w:rsidR="008F7B61" w:rsidP="006A03B3" w14:paraId="2B2F8EAB" w14:textId="5CD58AF9">
      <w:pPr>
        <w:keepNext/>
        <w:numPr>
          <w:ilvl w:val="0"/>
          <w:numId w:val="1"/>
        </w:numPr>
        <w:tabs>
          <w:tab w:val="left" w:pos="360"/>
        </w:tabs>
        <w:rPr>
          <w:b/>
          <w:i/>
        </w:rPr>
      </w:pPr>
      <w:r w:rsidRPr="004D2EDA">
        <w:rPr>
          <w:i/>
        </w:rPr>
        <w:t xml:space="preserve"> </w:t>
      </w:r>
      <w:r>
        <w:rPr>
          <w:b/>
          <w:i/>
        </w:rPr>
        <w:t>Indicate how, by whom, and for what purpose the information is to be used.  Except for a new collection, indicate the actual use the agency has made of the information received from the current collection.</w:t>
      </w:r>
    </w:p>
    <w:p w:rsidR="008F7B61" w:rsidP="00650E64" w14:paraId="5A80EF11" w14:textId="77777777">
      <w:pPr>
        <w:numPr>
          <w:ilvl w:val="12"/>
          <w:numId w:val="0"/>
        </w:numPr>
        <w:ind w:left="360"/>
      </w:pPr>
    </w:p>
    <w:p w:rsidR="00CA2315" w:rsidP="00A44A89" w14:paraId="4E641A86" w14:textId="419871AE">
      <w:pPr>
        <w:ind w:left="360"/>
        <w:rPr>
          <w:rStyle w:val="RegEvalTextChar"/>
        </w:rPr>
      </w:pPr>
      <w:r>
        <w:t>As discussed above, t</w:t>
      </w:r>
      <w:r w:rsidRPr="00EA5465" w:rsidR="00EA5465">
        <w:t xml:space="preserve">he proposed rule would establish a limited and temporary process for States to apply to DHS for a certificate of waiver that would exempt their </w:t>
      </w:r>
      <w:r w:rsidRPr="00EA5465" w:rsidR="00EA5465">
        <w:t>mDLs</w:t>
      </w:r>
      <w:r w:rsidRPr="00EA5465" w:rsidR="00EA5465">
        <w:t xml:space="preserve"> from meeting the card-based compliance requirement of section 37.5(b).  The collection of the information will enable DHS to issue a waiver to States, which would </w:t>
      </w:r>
      <w:r w:rsidRPr="00EA5465" w:rsidR="00EA5465">
        <w:rPr>
          <w:rFonts w:cs="Times New Roman"/>
        </w:rPr>
        <w:t xml:space="preserve">authorize Federal agencies to accept, at their discretion, a State’s </w:t>
      </w:r>
      <w:r w:rsidRPr="00EA5465" w:rsidR="00EA5465">
        <w:rPr>
          <w:rFonts w:cs="Times New Roman"/>
        </w:rPr>
        <w:t>mDL</w:t>
      </w:r>
      <w:r w:rsidRPr="00EA5465" w:rsidR="00EA5465">
        <w:rPr>
          <w:rFonts w:cs="Times New Roman"/>
        </w:rPr>
        <w:t xml:space="preserve"> for official purposes.  </w:t>
      </w:r>
      <w:r w:rsidRPr="00A44A89" w:rsidR="00A44A89">
        <w:t>DHS will use all of the submitted documentation to evaluate a State’s request for a waiver.</w:t>
      </w:r>
      <w:r w:rsidR="00A32438">
        <w:t xml:space="preserve">  </w:t>
      </w:r>
      <w:r w:rsidR="00A44A89">
        <w:t xml:space="preserve">The proposed rule would </w:t>
      </w:r>
      <w:r w:rsidRPr="189AAE92" w:rsidR="00A44A89">
        <w:rPr>
          <w:rStyle w:val="RegEvalTextChar"/>
        </w:rPr>
        <w:t xml:space="preserve">require the </w:t>
      </w:r>
      <w:r>
        <w:rPr>
          <w:rStyle w:val="RegEvalTextChar"/>
        </w:rPr>
        <w:t xml:space="preserve">following information collections from States: </w:t>
      </w:r>
    </w:p>
    <w:p w:rsidR="00CA2315" w:rsidP="00A44A89" w14:paraId="5DFFB4B0" w14:textId="77777777">
      <w:pPr>
        <w:ind w:left="360"/>
        <w:rPr>
          <w:rStyle w:val="RegEvalTextChar"/>
        </w:rPr>
      </w:pPr>
    </w:p>
    <w:p w:rsidR="00CA2315" w:rsidP="00CE48D0" w14:paraId="57E9AA36" w14:textId="696CECA7">
      <w:pPr>
        <w:pStyle w:val="ListParagraph"/>
        <w:numPr>
          <w:ilvl w:val="0"/>
          <w:numId w:val="24"/>
        </w:numPr>
        <w:rPr>
          <w:rStyle w:val="RegEvalTextChar"/>
        </w:rPr>
      </w:pPr>
      <w:r>
        <w:rPr>
          <w:rStyle w:val="RegEvalTextChar"/>
        </w:rPr>
        <w:t>S</w:t>
      </w:r>
      <w:r w:rsidRPr="189AAE92" w:rsidR="00A44A89">
        <w:rPr>
          <w:rStyle w:val="RegEvalTextChar"/>
        </w:rPr>
        <w:t xml:space="preserve">ubmission of an </w:t>
      </w:r>
      <w:r w:rsidR="0028166C">
        <w:rPr>
          <w:rStyle w:val="RegEvalTextChar"/>
        </w:rPr>
        <w:t>initial</w:t>
      </w:r>
      <w:r w:rsidRPr="189AAE92" w:rsidR="0028166C">
        <w:rPr>
          <w:rStyle w:val="RegEvalTextChar"/>
        </w:rPr>
        <w:t xml:space="preserve"> </w:t>
      </w:r>
      <w:r w:rsidRPr="189AAE92" w:rsidR="00A44A89">
        <w:rPr>
          <w:rStyle w:val="RegEvalTextChar"/>
        </w:rPr>
        <w:t>waiver application</w:t>
      </w:r>
      <w:r w:rsidR="00CE48D0">
        <w:rPr>
          <w:rStyle w:val="RegEvalTextChar"/>
        </w:rPr>
        <w:t xml:space="preserve">, including </w:t>
      </w:r>
      <w:r w:rsidR="00093F98">
        <w:rPr>
          <w:rStyle w:val="RegEvalTextChar"/>
        </w:rPr>
        <w:t>audit</w:t>
      </w:r>
      <w:r w:rsidR="00CE48D0">
        <w:rPr>
          <w:rStyle w:val="RegEvalTextChar"/>
        </w:rPr>
        <w:t xml:space="preserve"> report</w:t>
      </w:r>
      <w:r w:rsidR="00A32438">
        <w:rPr>
          <w:rStyle w:val="RegEvalTextChar"/>
        </w:rPr>
        <w:t>;</w:t>
      </w:r>
    </w:p>
    <w:p w:rsidR="00CA2315" w:rsidP="00CA2315" w14:paraId="346AD4EE" w14:textId="268826E8">
      <w:pPr>
        <w:pStyle w:val="ListParagraph"/>
        <w:numPr>
          <w:ilvl w:val="0"/>
          <w:numId w:val="24"/>
        </w:numPr>
        <w:rPr>
          <w:rStyle w:val="RegEvalTextChar"/>
        </w:rPr>
      </w:pPr>
      <w:r>
        <w:rPr>
          <w:rStyle w:val="RegEvalTextChar"/>
        </w:rPr>
        <w:t>Supplemental submissions for</w:t>
      </w:r>
      <w:r w:rsidRPr="189AAE92">
        <w:rPr>
          <w:rStyle w:val="RegEvalTextChar"/>
        </w:rPr>
        <w:t xml:space="preserve"> </w:t>
      </w:r>
      <w:r w:rsidRPr="189AAE92" w:rsidR="00A44A89">
        <w:rPr>
          <w:rStyle w:val="RegEvalTextChar"/>
        </w:rPr>
        <w:t>application</w:t>
      </w:r>
      <w:r>
        <w:rPr>
          <w:rStyle w:val="RegEvalTextChar"/>
        </w:rPr>
        <w:t>s</w:t>
      </w:r>
      <w:r w:rsidRPr="189AAE92" w:rsidR="00A44A89">
        <w:rPr>
          <w:rStyle w:val="RegEvalTextChar"/>
        </w:rPr>
        <w:t xml:space="preserve"> deemed insufficient</w:t>
      </w:r>
      <w:r w:rsidR="00A32438">
        <w:rPr>
          <w:rStyle w:val="RegEvalTextChar"/>
        </w:rPr>
        <w:t>;</w:t>
      </w:r>
    </w:p>
    <w:p w:rsidR="00A32438" w:rsidP="00CA2315" w14:paraId="3A23D07D" w14:textId="40AEA2F8">
      <w:pPr>
        <w:pStyle w:val="ListParagraph"/>
        <w:numPr>
          <w:ilvl w:val="0"/>
          <w:numId w:val="24"/>
        </w:numPr>
        <w:rPr>
          <w:rStyle w:val="RegEvalTextChar"/>
        </w:rPr>
      </w:pPr>
      <w:r>
        <w:rPr>
          <w:rStyle w:val="RegEvalTextChar"/>
        </w:rPr>
        <w:t>Requests for reconsideration of applications subject to a notice of denial;</w:t>
      </w:r>
    </w:p>
    <w:p w:rsidR="00CA2315" w:rsidP="00CA2315" w14:paraId="0C795E64" w14:textId="63A20C2C">
      <w:pPr>
        <w:pStyle w:val="ListParagraph"/>
        <w:numPr>
          <w:ilvl w:val="0"/>
          <w:numId w:val="24"/>
        </w:numPr>
        <w:rPr>
          <w:rStyle w:val="RegEvalTextChar"/>
        </w:rPr>
      </w:pPr>
      <w:r>
        <w:rPr>
          <w:rStyle w:val="RegEvalTextChar"/>
        </w:rPr>
        <w:t>S</w:t>
      </w:r>
      <w:r w:rsidR="0028166C">
        <w:rPr>
          <w:rStyle w:val="RegEvalTextChar"/>
        </w:rPr>
        <w:t xml:space="preserve">ubmission of a new application </w:t>
      </w:r>
      <w:r w:rsidR="00914986">
        <w:rPr>
          <w:rStyle w:val="RegEvalTextChar"/>
        </w:rPr>
        <w:t>for</w:t>
      </w:r>
      <w:r w:rsidR="00C06417">
        <w:rPr>
          <w:rStyle w:val="RegEvalTextChar"/>
        </w:rPr>
        <w:t>:</w:t>
      </w:r>
      <w:r w:rsidR="00914986">
        <w:rPr>
          <w:rStyle w:val="RegEvalTextChar"/>
        </w:rPr>
        <w:t xml:space="preserve"> </w:t>
      </w:r>
      <w:r>
        <w:rPr>
          <w:rStyle w:val="RegEvalTextChar"/>
        </w:rPr>
        <w:t xml:space="preserve">initial applications that have been denied, to renew an expired </w:t>
      </w:r>
      <w:r w:rsidRPr="189AAE92">
        <w:rPr>
          <w:rStyle w:val="RegEvalTextChar"/>
        </w:rPr>
        <w:t>waiver</w:t>
      </w:r>
      <w:r>
        <w:rPr>
          <w:rStyle w:val="RegEvalTextChar"/>
        </w:rPr>
        <w:t>, or</w:t>
      </w:r>
      <w:r w:rsidRPr="189AAE92">
        <w:rPr>
          <w:rStyle w:val="RegEvalTextChar"/>
        </w:rPr>
        <w:t xml:space="preserve"> </w:t>
      </w:r>
      <w:r w:rsidR="00914986">
        <w:rPr>
          <w:rStyle w:val="RegEvalTextChar"/>
        </w:rPr>
        <w:t xml:space="preserve">waivers that have been </w:t>
      </w:r>
      <w:r w:rsidR="00C06417">
        <w:rPr>
          <w:rStyle w:val="RegEvalTextChar"/>
        </w:rPr>
        <w:t xml:space="preserve">suspended or </w:t>
      </w:r>
      <w:r w:rsidR="00914986">
        <w:rPr>
          <w:rStyle w:val="RegEvalTextChar"/>
        </w:rPr>
        <w:t>terminated</w:t>
      </w:r>
      <w:r w:rsidR="00C06417">
        <w:rPr>
          <w:rStyle w:val="RegEvalTextChar"/>
        </w:rPr>
        <w:t>;</w:t>
      </w:r>
    </w:p>
    <w:p w:rsidR="00CA2315" w:rsidP="00CA2315" w14:paraId="107EE8C2" w14:textId="07414CF9">
      <w:pPr>
        <w:pStyle w:val="ListParagraph"/>
        <w:numPr>
          <w:ilvl w:val="0"/>
          <w:numId w:val="24"/>
        </w:numPr>
        <w:rPr>
          <w:rStyle w:val="RegEvalTextChar"/>
        </w:rPr>
      </w:pPr>
      <w:r>
        <w:rPr>
          <w:rStyle w:val="RegEvalTextChar"/>
        </w:rPr>
        <w:t xml:space="preserve">Reporting requirements for </w:t>
      </w:r>
      <w:r w:rsidRPr="00CA2315" w:rsidR="0028166C">
        <w:rPr>
          <w:rFonts w:eastAsia="Calibri" w:cs="Times New Roman"/>
          <w:szCs w:val="24"/>
        </w:rPr>
        <w:t xml:space="preserve">significant modifications that a State makes to its </w:t>
      </w:r>
      <w:r w:rsidRPr="00CA2315" w:rsidR="0028166C">
        <w:rPr>
          <w:rFonts w:eastAsia="Calibri" w:cs="Times New Roman"/>
          <w:szCs w:val="24"/>
        </w:rPr>
        <w:t>mDL</w:t>
      </w:r>
      <w:r w:rsidRPr="00CA2315" w:rsidR="0028166C">
        <w:rPr>
          <w:rFonts w:eastAsia="Calibri" w:cs="Times New Roman"/>
          <w:szCs w:val="24"/>
        </w:rPr>
        <w:t xml:space="preserve"> issuance processes that materially differ from information that the State provided in its application that was the basis of an issued waiver</w:t>
      </w:r>
      <w:r w:rsidR="00C06417">
        <w:rPr>
          <w:rFonts w:eastAsia="Calibri" w:cs="Times New Roman"/>
          <w:szCs w:val="24"/>
        </w:rPr>
        <w:t>;</w:t>
      </w:r>
      <w:r w:rsidRPr="189AAE92" w:rsidR="00A44A89">
        <w:rPr>
          <w:rStyle w:val="RegEvalTextChar"/>
        </w:rPr>
        <w:t xml:space="preserve">  </w:t>
      </w:r>
    </w:p>
    <w:p w:rsidR="00CA2315" w:rsidP="00CA2315" w14:paraId="2DC9C078" w14:textId="36B63CCA">
      <w:pPr>
        <w:pStyle w:val="ListParagraph"/>
        <w:numPr>
          <w:ilvl w:val="0"/>
          <w:numId w:val="24"/>
        </w:numPr>
        <w:rPr>
          <w:rStyle w:val="RegEvalTextChar"/>
        </w:rPr>
      </w:pPr>
      <w:r w:rsidRPr="00CA2315">
        <w:rPr>
          <w:bCs/>
        </w:rPr>
        <w:t xml:space="preserve">Reporting requirements for discovery of a significant cyber incident or breach which may compromise the integrity of </w:t>
      </w:r>
      <w:r>
        <w:rPr>
          <w:bCs/>
        </w:rPr>
        <w:t xml:space="preserve">State </w:t>
      </w:r>
      <w:r w:rsidRPr="00CA2315">
        <w:rPr>
          <w:bCs/>
        </w:rPr>
        <w:t>Certificate Systems</w:t>
      </w:r>
      <w:r w:rsidR="00C06417">
        <w:rPr>
          <w:bCs/>
        </w:rPr>
        <w:t>; and</w:t>
      </w:r>
    </w:p>
    <w:p w:rsidR="00CA2315" w:rsidP="00CA2315" w14:paraId="68317D44" w14:textId="708973ED">
      <w:pPr>
        <w:pStyle w:val="ListParagraph"/>
        <w:numPr>
          <w:ilvl w:val="0"/>
          <w:numId w:val="24"/>
        </w:numPr>
        <w:rPr>
          <w:rStyle w:val="RegEvalTextChar"/>
        </w:rPr>
      </w:pPr>
      <w:r>
        <w:rPr>
          <w:bCs/>
        </w:rPr>
        <w:t>Responses to DHS notices of suspension or termination</w:t>
      </w:r>
      <w:r w:rsidR="00C06417">
        <w:rPr>
          <w:bCs/>
        </w:rPr>
        <w:t>.</w:t>
      </w:r>
    </w:p>
    <w:p w:rsidR="00A32438" w:rsidP="00CA2315" w14:paraId="3A0DD6AD" w14:textId="2BAAB983">
      <w:pPr>
        <w:ind w:left="360"/>
        <w:rPr>
          <w:rStyle w:val="RegEvalTextChar"/>
        </w:rPr>
      </w:pPr>
    </w:p>
    <w:p w:rsidR="00751167" w:rsidP="00751167" w14:paraId="1C9209A8" w14:textId="6F32B01D">
      <w:pPr>
        <w:ind w:left="360"/>
        <w:rPr>
          <w:rStyle w:val="RegEvalTextChar"/>
        </w:rPr>
      </w:pPr>
      <w:r>
        <w:rPr>
          <w:rStyle w:val="RegEvalTextChar"/>
        </w:rPr>
        <w:tab/>
      </w:r>
      <w:r w:rsidRPr="189AAE92">
        <w:rPr>
          <w:rStyle w:val="RegEvalTextChar"/>
        </w:rPr>
        <w:t xml:space="preserve">All of </w:t>
      </w:r>
      <w:r w:rsidR="008B13FE">
        <w:rPr>
          <w:rStyle w:val="RegEvalTextChar"/>
        </w:rPr>
        <w:t xml:space="preserve">the </w:t>
      </w:r>
      <w:r>
        <w:rPr>
          <w:rStyle w:val="RegEvalTextChar"/>
        </w:rPr>
        <w:t xml:space="preserve">items above </w:t>
      </w:r>
      <w:r w:rsidR="00C06417">
        <w:rPr>
          <w:rStyle w:val="RegEvalTextChar"/>
        </w:rPr>
        <w:t>are</w:t>
      </w:r>
      <w:r w:rsidRPr="189AAE92">
        <w:rPr>
          <w:rStyle w:val="RegEvalTextChar"/>
        </w:rPr>
        <w:t xml:space="preserve"> considered new information collections.  </w:t>
      </w:r>
    </w:p>
    <w:p w:rsidR="00751167" w:rsidP="00751167" w14:paraId="524365F9" w14:textId="77777777">
      <w:pPr>
        <w:ind w:left="360"/>
        <w:rPr>
          <w:rStyle w:val="RegEvalTextChar"/>
        </w:rPr>
      </w:pPr>
    </w:p>
    <w:p w:rsidR="008F7B61" w:rsidRPr="00D12C9B" w:rsidP="006A03B3" w14:paraId="1667A7D2" w14:textId="677CCADD">
      <w:pPr>
        <w:keepNext/>
        <w:numPr>
          <w:ilvl w:val="0"/>
          <w:numId w:val="1"/>
        </w:numPr>
        <w:tabs>
          <w:tab w:val="left" w:pos="360"/>
        </w:tabs>
        <w:rPr>
          <w:b/>
          <w:i/>
        </w:rPr>
      </w:pPr>
      <w:r w:rsidRPr="00D12C9B">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12C9B">
        <w:rPr>
          <w:rFonts w:ascii="Courier New" w:hAnsi="Courier New"/>
          <w:snapToGrid w:val="0"/>
        </w:rPr>
        <w:t xml:space="preserve">  </w:t>
      </w:r>
      <w:r w:rsidRPr="00D12C9B">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8F7B61" w:rsidRPr="00D12C9B" w:rsidP="007460E9" w14:paraId="219DF377" w14:textId="77777777">
      <w:pPr>
        <w:keepNext/>
        <w:numPr>
          <w:ilvl w:val="12"/>
          <w:numId w:val="0"/>
        </w:numPr>
        <w:spacing w:line="360" w:lineRule="auto"/>
        <w:ind w:left="360"/>
      </w:pPr>
    </w:p>
    <w:p w:rsidR="008F7B61" w:rsidRPr="005C609B" w:rsidP="00C168BF" w14:paraId="4391DD58" w14:textId="6A95F352">
      <w:pPr>
        <w:numPr>
          <w:ilvl w:val="12"/>
          <w:numId w:val="0"/>
        </w:numPr>
        <w:ind w:left="360"/>
      </w:pPr>
      <w:r w:rsidRPr="001E55FF">
        <w:t xml:space="preserve">In </w:t>
      </w:r>
      <w:r w:rsidRPr="001E55FF">
        <w:t xml:space="preserve">compliance with GPEA, </w:t>
      </w:r>
      <w:r w:rsidR="009B48E3">
        <w:t>St</w:t>
      </w:r>
      <w:r w:rsidRPr="001E55FF" w:rsidR="00E0193D">
        <w:t xml:space="preserve">ates will be permitted to electronically submit the information for their </w:t>
      </w:r>
      <w:r w:rsidRPr="001E55FF">
        <w:t>waiver applications</w:t>
      </w:r>
      <w:r w:rsidRPr="001E55FF" w:rsidR="00E0193D">
        <w:t xml:space="preserve">.  </w:t>
      </w:r>
      <w:r w:rsidRPr="001E55FF">
        <w:t xml:space="preserve">The final rule does not define specific format submission requirements for </w:t>
      </w:r>
      <w:r w:rsidR="008B3715">
        <w:t>States</w:t>
      </w:r>
      <w:r w:rsidRPr="001E55FF">
        <w:t xml:space="preserve">.  </w:t>
      </w:r>
      <w:r w:rsidRPr="001E55FF" w:rsidR="00E0193D">
        <w:t xml:space="preserve">States will be permitted to submit electronic signatures but must keep the original signature on file.  </w:t>
      </w:r>
    </w:p>
    <w:p w:rsidR="008F7B61" w:rsidRPr="00D12C9B" w:rsidP="007460E9" w14:paraId="4DE54CE3" w14:textId="77777777">
      <w:pPr>
        <w:numPr>
          <w:ilvl w:val="12"/>
          <w:numId w:val="0"/>
        </w:numPr>
        <w:spacing w:line="360" w:lineRule="auto"/>
      </w:pPr>
      <w:bookmarkStart w:id="0" w:name="OLE_LINK5"/>
      <w:bookmarkStart w:id="1" w:name="OLE_LINK6"/>
    </w:p>
    <w:bookmarkEnd w:id="0"/>
    <w:bookmarkEnd w:id="1"/>
    <w:p w:rsidR="008F7B61" w:rsidRPr="00D12C9B" w:rsidP="006A03B3" w14:paraId="70C38B16" w14:textId="77777777">
      <w:pPr>
        <w:keepNext/>
        <w:numPr>
          <w:ilvl w:val="0"/>
          <w:numId w:val="1"/>
        </w:numPr>
        <w:tabs>
          <w:tab w:val="left" w:pos="360"/>
        </w:tabs>
        <w:rPr>
          <w:b/>
          <w:i/>
        </w:rPr>
      </w:pPr>
      <w:r w:rsidRPr="00D12C9B">
        <w:rPr>
          <w:b/>
          <w:i/>
        </w:rPr>
        <w:t>Describe efforts to identify duplication.  Show specifically why any similar information already available cannot be used or modified for use for the purpose(s) described in Item 2 above.</w:t>
      </w:r>
    </w:p>
    <w:p w:rsidR="008F7B61" w:rsidRPr="00D12C9B" w:rsidP="00BF5D36" w14:paraId="18BBB70B" w14:textId="77777777">
      <w:pPr>
        <w:keepNext/>
        <w:numPr>
          <w:ilvl w:val="12"/>
          <w:numId w:val="0"/>
        </w:numPr>
        <w:ind w:left="360"/>
      </w:pPr>
    </w:p>
    <w:p w:rsidR="008F7B61" w:rsidRPr="00D12C9B" w:rsidP="00A07A22" w14:paraId="7469D1C6" w14:textId="113DA27E">
      <w:pPr>
        <w:keepNext/>
        <w:numPr>
          <w:ilvl w:val="12"/>
          <w:numId w:val="0"/>
        </w:numPr>
        <w:ind w:left="360"/>
      </w:pPr>
      <w:r w:rsidRPr="00D12C9B">
        <w:t xml:space="preserve">This information will be collected directly from the </w:t>
      </w:r>
      <w:r w:rsidR="00D73AE8">
        <w:t>S</w:t>
      </w:r>
      <w:r w:rsidRPr="00D12C9B">
        <w:t xml:space="preserve">tates to assist DHS in making determinations </w:t>
      </w:r>
      <w:r w:rsidR="00463EAE">
        <w:t>on applications for a temporary certificate of waiver</w:t>
      </w:r>
      <w:r w:rsidR="008F3008">
        <w:t xml:space="preserve">.  This information </w:t>
      </w:r>
      <w:r w:rsidRPr="00D12C9B">
        <w:t>is not otherwise available</w:t>
      </w:r>
      <w:r w:rsidR="008F3008">
        <w:t xml:space="preserve"> to DHS</w:t>
      </w:r>
      <w:r w:rsidRPr="00D12C9B">
        <w:t xml:space="preserve">. </w:t>
      </w:r>
    </w:p>
    <w:p w:rsidR="008F7B61" w:rsidRPr="00D12C9B" w:rsidP="002F4C5D" w14:paraId="1AA17C4A" w14:textId="77777777">
      <w:pPr>
        <w:numPr>
          <w:ilvl w:val="12"/>
          <w:numId w:val="0"/>
        </w:numPr>
        <w:spacing w:line="360" w:lineRule="auto"/>
      </w:pPr>
    </w:p>
    <w:p w:rsidR="008F7B61" w:rsidRPr="00D12C9B" w:rsidP="006A03B3" w14:paraId="4029D0F7" w14:textId="67E4F44E">
      <w:pPr>
        <w:keepNext/>
        <w:numPr>
          <w:ilvl w:val="0"/>
          <w:numId w:val="1"/>
        </w:numPr>
        <w:tabs>
          <w:tab w:val="left" w:pos="360"/>
        </w:tabs>
        <w:rPr>
          <w:b/>
          <w:i/>
        </w:rPr>
      </w:pPr>
      <w:r w:rsidRPr="00D12C9B">
        <w:rPr>
          <w:b/>
          <w:i/>
        </w:rPr>
        <w:t>If the collection of information has a significant impact on a substantial number of small businesses or other small entities (Item 5 of the Paperwork Reduction Act submission form), describe the methods used to minimize burden.</w:t>
      </w:r>
    </w:p>
    <w:p w:rsidR="008F7B61" w:rsidRPr="00D12C9B" w:rsidP="00650E64" w14:paraId="1F426268" w14:textId="77777777">
      <w:pPr>
        <w:numPr>
          <w:ilvl w:val="12"/>
          <w:numId w:val="0"/>
        </w:numPr>
        <w:ind w:left="360"/>
      </w:pPr>
    </w:p>
    <w:p w:rsidR="008F7B61" w:rsidRPr="00D12C9B" w:rsidP="00650E64" w14:paraId="50C5FEFB" w14:textId="1FC0DCB2">
      <w:pPr>
        <w:numPr>
          <w:ilvl w:val="12"/>
          <w:numId w:val="0"/>
        </w:numPr>
        <w:ind w:left="360"/>
      </w:pPr>
      <w:r w:rsidRPr="00D12C9B">
        <w:t xml:space="preserve">The information collection discussed in this analysis applies to </w:t>
      </w:r>
      <w:r w:rsidR="009B48E3">
        <w:t>St</w:t>
      </w:r>
      <w:r w:rsidRPr="00D12C9B" w:rsidR="008F3008">
        <w:t>ates</w:t>
      </w:r>
      <w:r w:rsidRPr="00D12C9B">
        <w:t xml:space="preserve">, </w:t>
      </w:r>
      <w:r w:rsidR="009B48E3">
        <w:t>St</w:t>
      </w:r>
      <w:r w:rsidRPr="00D12C9B" w:rsidR="008F3008">
        <w:t xml:space="preserve">ate </w:t>
      </w:r>
      <w:r w:rsidRPr="00D12C9B">
        <w:t>agencies, and certain employees involved in process</w:t>
      </w:r>
      <w:r w:rsidR="00463EAE">
        <w:t xml:space="preserve"> to apply for a temporary certificate of waiver</w:t>
      </w:r>
      <w:r w:rsidRPr="00D12C9B">
        <w:t>.  Therefore, it is DHS’s belief that the information collection does not have a significant impact on a substantial number of small businesses</w:t>
      </w:r>
      <w:r w:rsidR="00F54241">
        <w:t xml:space="preserve"> or other small entities</w:t>
      </w:r>
      <w:r w:rsidRPr="00D12C9B">
        <w:t xml:space="preserve">.  </w:t>
      </w:r>
    </w:p>
    <w:p w:rsidR="008F7B61" w:rsidRPr="00D12C9B" w:rsidP="007460E9" w14:paraId="56D3BCCC" w14:textId="77777777">
      <w:pPr>
        <w:numPr>
          <w:ilvl w:val="12"/>
          <w:numId w:val="0"/>
        </w:numPr>
        <w:spacing w:line="360" w:lineRule="auto"/>
      </w:pPr>
    </w:p>
    <w:p w:rsidR="008F7B61" w:rsidRPr="00D12C9B" w:rsidP="006A03B3" w14:paraId="13FEC13E" w14:textId="6F8DCA24">
      <w:pPr>
        <w:keepNext/>
        <w:numPr>
          <w:ilvl w:val="0"/>
          <w:numId w:val="1"/>
        </w:numPr>
        <w:tabs>
          <w:tab w:val="left" w:pos="360"/>
        </w:tabs>
        <w:rPr>
          <w:b/>
          <w:i/>
        </w:rPr>
      </w:pPr>
      <w:r w:rsidRPr="00D12C9B">
        <w:rPr>
          <w:b/>
          <w:i/>
        </w:rPr>
        <w:t>Describe the consequence to Federal program or policy activities if the collection is not conducted or is conducted less frequently, as well as any technical or legal obstacles to reducing burden.</w:t>
      </w:r>
    </w:p>
    <w:p w:rsidR="008F7B61" w:rsidRPr="00D12C9B" w:rsidP="00650E64" w14:paraId="2F4826EA" w14:textId="77777777">
      <w:pPr>
        <w:numPr>
          <w:ilvl w:val="12"/>
          <w:numId w:val="0"/>
        </w:numPr>
        <w:ind w:left="360"/>
      </w:pPr>
    </w:p>
    <w:p w:rsidR="001E55FF" w:rsidP="00650E64" w14:paraId="7E09AC1B" w14:textId="3FD0C664">
      <w:pPr>
        <w:numPr>
          <w:ilvl w:val="12"/>
          <w:numId w:val="0"/>
        </w:numPr>
        <w:ind w:left="360"/>
        <w:rPr>
          <w:rFonts w:cs="Times New Roman"/>
        </w:rPr>
      </w:pPr>
      <w:r w:rsidRPr="00EA5465">
        <w:t xml:space="preserve">The collection of the information will enable DHS to issue a waiver to States, which would </w:t>
      </w:r>
      <w:r w:rsidRPr="00EA5465">
        <w:rPr>
          <w:rFonts w:cs="Times New Roman"/>
        </w:rPr>
        <w:t xml:space="preserve">authorize Federal agencies to accept, at their discretion, a State’s </w:t>
      </w:r>
      <w:r w:rsidRPr="00EA5465">
        <w:rPr>
          <w:rFonts w:cs="Times New Roman"/>
        </w:rPr>
        <w:t>mDL</w:t>
      </w:r>
      <w:r w:rsidRPr="00EA5465">
        <w:rPr>
          <w:rFonts w:cs="Times New Roman"/>
        </w:rPr>
        <w:t xml:space="preserve"> for official purposes.  </w:t>
      </w:r>
      <w:r>
        <w:rPr>
          <w:rFonts w:cs="Times New Roman"/>
        </w:rPr>
        <w:t xml:space="preserve">Without this information collection, </w:t>
      </w:r>
      <w:r w:rsidR="003E5FCF">
        <w:rPr>
          <w:rFonts w:cs="Times New Roman"/>
        </w:rPr>
        <w:t>under</w:t>
      </w:r>
      <w:r w:rsidR="00286CF7">
        <w:rPr>
          <w:rFonts w:cs="Times New Roman"/>
        </w:rPr>
        <w:t xml:space="preserve"> 6 CFR 37.5(b), </w:t>
      </w:r>
      <w:r w:rsidR="00286CF7">
        <w:rPr>
          <w:rFonts w:cs="Times New Roman"/>
        </w:rPr>
        <w:t>mDLs</w:t>
      </w:r>
      <w:r w:rsidR="00286CF7">
        <w:rPr>
          <w:rFonts w:cs="Times New Roman"/>
        </w:rPr>
        <w:t xml:space="preserve"> issued by </w:t>
      </w:r>
      <w:r>
        <w:rPr>
          <w:rFonts w:cs="Times New Roman"/>
        </w:rPr>
        <w:t xml:space="preserve">States </w:t>
      </w:r>
      <w:r>
        <w:rPr>
          <w:rFonts w:cs="Times New Roman"/>
        </w:rPr>
        <w:t>will be</w:t>
      </w:r>
      <w:r w:rsidR="00286CF7">
        <w:rPr>
          <w:rFonts w:cs="Times New Roman"/>
        </w:rPr>
        <w:t xml:space="preserve"> not</w:t>
      </w:r>
      <w:r>
        <w:rPr>
          <w:rFonts w:cs="Times New Roman"/>
        </w:rPr>
        <w:t xml:space="preserve"> </w:t>
      </w:r>
      <w:r w:rsidR="00286CF7">
        <w:rPr>
          <w:rFonts w:cs="Times New Roman"/>
        </w:rPr>
        <w:t>be</w:t>
      </w:r>
      <w:r w:rsidR="00286CF7">
        <w:rPr>
          <w:rFonts w:cs="Times New Roman"/>
        </w:rPr>
        <w:t xml:space="preserve"> accepted by </w:t>
      </w:r>
      <w:r w:rsidR="003E5FCF">
        <w:rPr>
          <w:rFonts w:cs="Times New Roman"/>
        </w:rPr>
        <w:t>F</w:t>
      </w:r>
      <w:r w:rsidR="00286CF7">
        <w:rPr>
          <w:rFonts w:cs="Times New Roman"/>
        </w:rPr>
        <w:t xml:space="preserve">ederal agencies for official purposes </w:t>
      </w:r>
      <w:r w:rsidRPr="004A30A6">
        <w:rPr>
          <w:rFonts w:cs="Times New Roman"/>
        </w:rPr>
        <w:t xml:space="preserve">beginning May </w:t>
      </w:r>
      <w:r w:rsidRPr="004A30A6" w:rsidR="004A30A6">
        <w:rPr>
          <w:rFonts w:cs="Times New Roman"/>
        </w:rPr>
        <w:t>7</w:t>
      </w:r>
      <w:r w:rsidRPr="004A30A6">
        <w:rPr>
          <w:rFonts w:cs="Times New Roman"/>
        </w:rPr>
        <w:t xml:space="preserve">, </w:t>
      </w:r>
      <w:r w:rsidRPr="004A30A6" w:rsidR="004A30A6">
        <w:rPr>
          <w:rFonts w:cs="Times New Roman"/>
        </w:rPr>
        <w:t>2025</w:t>
      </w:r>
      <w:r w:rsidRPr="004A30A6">
        <w:rPr>
          <w:rFonts w:cs="Times New Roman"/>
        </w:rPr>
        <w:t xml:space="preserve">. </w:t>
      </w:r>
      <w:r w:rsidRPr="004A30A6" w:rsidR="001D631A">
        <w:rPr>
          <w:rFonts w:cs="Times New Roman"/>
        </w:rPr>
        <w:t xml:space="preserve">As discussed in response to </w:t>
      </w:r>
      <w:r w:rsidR="002F0B1C">
        <w:rPr>
          <w:rFonts w:cs="Times New Roman"/>
        </w:rPr>
        <w:t>Q</w:t>
      </w:r>
      <w:r w:rsidRPr="004A30A6" w:rsidR="001D631A">
        <w:rPr>
          <w:rFonts w:cs="Times New Roman"/>
        </w:rPr>
        <w:t xml:space="preserve">uestion 1 above, </w:t>
      </w:r>
      <w:r w:rsidRPr="004A30A6" w:rsidR="001D631A">
        <w:rPr>
          <w:rFonts w:cs="Times New Roman"/>
        </w:rPr>
        <w:t>mDLs</w:t>
      </w:r>
      <w:r w:rsidRPr="004A30A6" w:rsidR="001D631A">
        <w:rPr>
          <w:rFonts w:cs="Times New Roman"/>
        </w:rPr>
        <w:t xml:space="preserve"> potentially provide significant security benefits to Federal agencies.  Without this information collection, Federal agencies would be prohibited from accepting </w:t>
      </w:r>
      <w:r w:rsidRPr="004A30A6" w:rsidR="001D631A">
        <w:rPr>
          <w:rFonts w:cs="Times New Roman"/>
        </w:rPr>
        <w:t>mDLs</w:t>
      </w:r>
      <w:r w:rsidRPr="004A30A6" w:rsidR="001D631A">
        <w:rPr>
          <w:rFonts w:cs="Times New Roman"/>
        </w:rPr>
        <w:t xml:space="preserve"> on May </w:t>
      </w:r>
      <w:r w:rsidRPr="004A30A6" w:rsidR="004A30A6">
        <w:rPr>
          <w:rFonts w:cs="Times New Roman"/>
        </w:rPr>
        <w:t>7</w:t>
      </w:r>
      <w:r w:rsidRPr="004A30A6" w:rsidR="001D631A">
        <w:rPr>
          <w:rFonts w:cs="Times New Roman"/>
        </w:rPr>
        <w:t xml:space="preserve">, </w:t>
      </w:r>
      <w:r w:rsidRPr="004A30A6" w:rsidR="004A30A6">
        <w:rPr>
          <w:rFonts w:cs="Times New Roman"/>
        </w:rPr>
        <w:t>2025</w:t>
      </w:r>
      <w:r w:rsidRPr="004A30A6" w:rsidR="001D631A">
        <w:rPr>
          <w:rFonts w:cs="Times New Roman"/>
        </w:rPr>
        <w:t>, thereby depriving them of this potential security enhancement.</w:t>
      </w:r>
    </w:p>
    <w:p w:rsidR="001D631A" w:rsidP="00650E64" w14:paraId="541C847D" w14:textId="77777777">
      <w:pPr>
        <w:numPr>
          <w:ilvl w:val="12"/>
          <w:numId w:val="0"/>
        </w:numPr>
        <w:ind w:left="360"/>
        <w:rPr>
          <w:rFonts w:cs="Times New Roman"/>
        </w:rPr>
      </w:pPr>
    </w:p>
    <w:p w:rsidR="001D631A" w:rsidP="00650E64" w14:paraId="651392D7" w14:textId="5C5E066D">
      <w:pPr>
        <w:numPr>
          <w:ilvl w:val="12"/>
          <w:numId w:val="0"/>
        </w:numPr>
        <w:ind w:left="360"/>
        <w:rPr>
          <w:rFonts w:cs="Times New Roman"/>
        </w:rPr>
      </w:pPr>
      <w:r>
        <w:rPr>
          <w:rFonts w:cs="Times New Roman"/>
        </w:rPr>
        <w:t xml:space="preserve">The proposed rule, and therefore this collection, also supports DHS’s commitment to Executive Order 14058 </w:t>
      </w:r>
      <w:r w:rsidRPr="001D631A">
        <w:rPr>
          <w:rFonts w:cs="Times New Roman"/>
        </w:rPr>
        <w:t xml:space="preserve">of December 13, 2021 (Transforming Federal Customer Experience and Service Delivery </w:t>
      </w:r>
      <w:r>
        <w:rPr>
          <w:rFonts w:cs="Times New Roman"/>
        </w:rPr>
        <w:t xml:space="preserve">to Rebuild Trust in Government).  This EO </w:t>
      </w:r>
      <w:r w:rsidRPr="001D631A">
        <w:rPr>
          <w:rFonts w:cs="Times New Roman"/>
        </w:rPr>
        <w:t xml:space="preserve">focused on enhancing the of technology “to modernize Government and implement services that are simple to use, accessible, equitable, protective, transparent, and responsive for all people of the United States.”  The Secretary of Homeland Security has specifically committed to testing the use of </w:t>
      </w:r>
      <w:r>
        <w:rPr>
          <w:rFonts w:cs="Times New Roman"/>
        </w:rPr>
        <w:t>mDLs</w:t>
      </w:r>
      <w:r w:rsidRPr="001D631A">
        <w:rPr>
          <w:rFonts w:cs="Times New Roman"/>
        </w:rPr>
        <w:t xml:space="preserve"> </w:t>
      </w:r>
      <w:r>
        <w:rPr>
          <w:rFonts w:cs="Times New Roman"/>
        </w:rPr>
        <w:t xml:space="preserve">to </w:t>
      </w:r>
      <w:r w:rsidRPr="001D631A">
        <w:rPr>
          <w:rFonts w:cs="Times New Roman"/>
        </w:rPr>
        <w:t>establish identity at airport security checkpoints</w:t>
      </w:r>
      <w:r>
        <w:rPr>
          <w:rFonts w:cs="Times New Roman"/>
        </w:rPr>
        <w:t xml:space="preserve">, which would </w:t>
      </w:r>
      <w:r w:rsidRPr="001D631A">
        <w:rPr>
          <w:rFonts w:cs="Times New Roman"/>
        </w:rPr>
        <w:t>provide the public with increased convenience</w:t>
      </w:r>
      <w:r>
        <w:rPr>
          <w:rFonts w:cs="Times New Roman"/>
        </w:rPr>
        <w:t xml:space="preserve"> from reduced wait times</w:t>
      </w:r>
      <w:r w:rsidRPr="001D631A">
        <w:rPr>
          <w:rFonts w:cs="Times New Roman"/>
        </w:rPr>
        <w:t xml:space="preserve">, security, privacy, and health benefits from “contact-free” identity verification.  </w:t>
      </w:r>
    </w:p>
    <w:p w:rsidR="001E55FF" w:rsidP="00650E64" w14:paraId="3AF51D5E" w14:textId="77777777">
      <w:pPr>
        <w:numPr>
          <w:ilvl w:val="12"/>
          <w:numId w:val="0"/>
        </w:numPr>
        <w:ind w:left="360"/>
        <w:rPr>
          <w:rFonts w:cs="Times New Roman"/>
        </w:rPr>
      </w:pPr>
    </w:p>
    <w:p w:rsidR="008F7B61" w:rsidRPr="00D12C9B" w:rsidP="006A03B3" w14:paraId="68748220" w14:textId="0F3B8129">
      <w:pPr>
        <w:keepNext/>
        <w:numPr>
          <w:ilvl w:val="0"/>
          <w:numId w:val="1"/>
        </w:numPr>
        <w:tabs>
          <w:tab w:val="left" w:pos="360"/>
        </w:tabs>
        <w:rPr>
          <w:b/>
          <w:i/>
        </w:rPr>
      </w:pPr>
      <w:r w:rsidRPr="00D12C9B">
        <w:rPr>
          <w:b/>
          <w:i/>
        </w:rPr>
        <w:t>Explain any special circumstances that require the collection to be conducted in a manner inconsistent with the general information collection guidelines in 5 CFR 1320.5(d)(2).</w:t>
      </w:r>
    </w:p>
    <w:p w:rsidR="008F7B61" w:rsidRPr="00D12C9B" w:rsidP="00754324" w14:paraId="58B103CE" w14:textId="77777777">
      <w:pPr>
        <w:numPr>
          <w:ilvl w:val="12"/>
          <w:numId w:val="0"/>
        </w:numPr>
        <w:ind w:left="360"/>
      </w:pPr>
    </w:p>
    <w:p w:rsidR="008F7B61" w:rsidRPr="00D12C9B" w:rsidP="0038134A" w14:paraId="19EBCB2F" w14:textId="407320B3">
      <w:pPr>
        <w:pStyle w:val="BodyTextIndent"/>
      </w:pPr>
      <w:r w:rsidRPr="00FF4F47">
        <w:t>This collection is conducted consistent with the information collection guidelines, except for those in 5 CFR 1320.5(d)(2)(i).  This collection requires respondents to report information to the agency more often than quarterly.  Quarterly reporting would not meet the security needs that is the basis for this information collection.</w:t>
      </w:r>
    </w:p>
    <w:p w:rsidR="008F7B61" w:rsidRPr="00D12C9B" w:rsidP="007460E9" w14:paraId="05DE7948" w14:textId="77777777">
      <w:pPr>
        <w:numPr>
          <w:ilvl w:val="12"/>
          <w:numId w:val="0"/>
        </w:numPr>
        <w:spacing w:line="360" w:lineRule="auto"/>
      </w:pPr>
    </w:p>
    <w:p w:rsidR="008F7B61" w:rsidP="006A03B3" w14:paraId="42DF8344" w14:textId="3B828AF4">
      <w:pPr>
        <w:keepNext/>
        <w:numPr>
          <w:ilvl w:val="0"/>
          <w:numId w:val="1"/>
        </w:numPr>
        <w:tabs>
          <w:tab w:val="left" w:pos="360"/>
        </w:tabs>
        <w:rPr>
          <w:b/>
          <w:i/>
        </w:rPr>
      </w:pPr>
      <w:r w:rsidRPr="00D12C9B">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D12C9B">
        <w:rPr>
          <w:b/>
          <w:i/>
          <w:u w:val="single"/>
        </w:rPr>
        <w:t>Federal Register</w:t>
      </w:r>
      <w:r w:rsidRPr="00D12C9B">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11FA2" w:rsidRPr="00D12C9B" w:rsidP="00B11FA2" w14:paraId="13BBA5D1" w14:textId="77777777">
      <w:pPr>
        <w:keepNext/>
        <w:tabs>
          <w:tab w:val="left" w:pos="360"/>
        </w:tabs>
        <w:ind w:left="360"/>
        <w:rPr>
          <w:b/>
          <w:i/>
        </w:rPr>
      </w:pPr>
    </w:p>
    <w:p w:rsidR="00985776" w:rsidP="00985776" w14:paraId="20D4FBCC" w14:textId="288074F0">
      <w:pPr>
        <w:pStyle w:val="ListParagraph"/>
        <w:ind w:left="360"/>
        <w:rPr>
          <w:rFonts w:cs="Times New Roman"/>
          <w:color w:val="auto"/>
          <w:szCs w:val="24"/>
        </w:rPr>
      </w:pPr>
      <w:r>
        <w:rPr>
          <w:rFonts w:cs="Times New Roman"/>
          <w:color w:val="auto"/>
          <w:szCs w:val="24"/>
        </w:rPr>
        <w:t>In April 2021, DHS issued a Request for Information</w:t>
      </w:r>
      <w:r>
        <w:rPr>
          <w:rStyle w:val="FootnoteReference"/>
          <w:color w:val="auto"/>
          <w:szCs w:val="24"/>
        </w:rPr>
        <w:footnoteReference w:id="9"/>
      </w:r>
      <w:r>
        <w:rPr>
          <w:rFonts w:cs="Times New Roman"/>
          <w:color w:val="auto"/>
          <w:szCs w:val="24"/>
        </w:rPr>
        <w:t xml:space="preserve"> (</w:t>
      </w:r>
      <w:r w:rsidRPr="00985776">
        <w:rPr>
          <w:rFonts w:cs="Times New Roman"/>
          <w:color w:val="auto"/>
          <w:szCs w:val="24"/>
        </w:rPr>
        <w:t>RFI</w:t>
      </w:r>
      <w:r>
        <w:rPr>
          <w:rFonts w:cs="Times New Roman"/>
          <w:color w:val="auto"/>
          <w:szCs w:val="24"/>
        </w:rPr>
        <w:t>)</w:t>
      </w:r>
      <w:r w:rsidRPr="00985776">
        <w:rPr>
          <w:rFonts w:cs="Times New Roman"/>
          <w:color w:val="auto"/>
          <w:szCs w:val="24"/>
        </w:rPr>
        <w:t xml:space="preserve"> announcing DHS’s intent to commence future rulemaking to set the minimum technical requirements and security standards for </w:t>
      </w:r>
      <w:r w:rsidRPr="00985776">
        <w:rPr>
          <w:rFonts w:cs="Times New Roman"/>
          <w:color w:val="auto"/>
          <w:szCs w:val="24"/>
        </w:rPr>
        <w:t>mDLs</w:t>
      </w:r>
      <w:r w:rsidRPr="00985776">
        <w:rPr>
          <w:rFonts w:cs="Times New Roman"/>
          <w:color w:val="auto"/>
          <w:szCs w:val="24"/>
        </w:rPr>
        <w:t xml:space="preserve"> to enable Federal agencies to accept </w:t>
      </w:r>
      <w:r w:rsidRPr="00985776">
        <w:rPr>
          <w:rFonts w:cs="Times New Roman"/>
          <w:color w:val="auto"/>
          <w:szCs w:val="24"/>
        </w:rPr>
        <w:t>mDLs</w:t>
      </w:r>
      <w:r w:rsidRPr="00985776">
        <w:rPr>
          <w:rFonts w:cs="Times New Roman"/>
          <w:color w:val="auto"/>
          <w:szCs w:val="24"/>
        </w:rPr>
        <w:t xml:space="preserve"> for official purposes.  The RFI requested comments and information to inform DHS’s rulemaking.   In June 2021, DHS held a public meeting</w:t>
      </w:r>
      <w:r>
        <w:rPr>
          <w:rStyle w:val="FootnoteReference"/>
          <w:color w:val="auto"/>
          <w:szCs w:val="24"/>
        </w:rPr>
        <w:footnoteReference w:id="10"/>
      </w:r>
      <w:r w:rsidRPr="00985776">
        <w:rPr>
          <w:rFonts w:cs="Times New Roman"/>
          <w:color w:val="auto"/>
          <w:szCs w:val="24"/>
        </w:rPr>
        <w:t xml:space="preserve"> to provide an additional forum for </w:t>
      </w:r>
      <w:r w:rsidRPr="00985776">
        <w:rPr>
          <w:rFonts w:cs="Times New Roman"/>
          <w:color w:val="auto"/>
          <w:szCs w:val="24"/>
        </w:rPr>
        <w:t>comment</w:t>
      </w:r>
      <w:r>
        <w:rPr>
          <w:rFonts w:cs="Times New Roman"/>
          <w:color w:val="auto"/>
          <w:szCs w:val="24"/>
        </w:rPr>
        <w:t>, and</w:t>
      </w:r>
      <w:r>
        <w:rPr>
          <w:rFonts w:cs="Times New Roman"/>
          <w:color w:val="auto"/>
          <w:szCs w:val="24"/>
        </w:rPr>
        <w:t xml:space="preserve"> extended the comment period</w:t>
      </w:r>
      <w:r w:rsidRPr="00985776">
        <w:rPr>
          <w:rFonts w:cs="Times New Roman"/>
          <w:color w:val="auto"/>
          <w:szCs w:val="24"/>
        </w:rPr>
        <w:t>.  In response to comments at the public meeting concerning the importance of public access to an indu</w:t>
      </w:r>
      <w:r w:rsidR="009B48E3">
        <w:rPr>
          <w:rFonts w:cs="Times New Roman"/>
          <w:color w:val="auto"/>
          <w:szCs w:val="24"/>
        </w:rPr>
        <w:t>st</w:t>
      </w:r>
      <w:r w:rsidRPr="00985776">
        <w:rPr>
          <w:rFonts w:cs="Times New Roman"/>
          <w:color w:val="auto"/>
          <w:szCs w:val="24"/>
        </w:rPr>
        <w:t xml:space="preserve">ry-developed </w:t>
      </w:r>
      <w:r w:rsidR="009B48E3">
        <w:rPr>
          <w:rFonts w:cs="Times New Roman"/>
          <w:color w:val="auto"/>
          <w:szCs w:val="24"/>
        </w:rPr>
        <w:t>st</w:t>
      </w:r>
      <w:r w:rsidRPr="00985776">
        <w:rPr>
          <w:rFonts w:cs="Times New Roman"/>
          <w:color w:val="auto"/>
          <w:szCs w:val="24"/>
        </w:rPr>
        <w:t>andard referenced in the RFI, DHS subsequently published a notice</w:t>
      </w:r>
      <w:r>
        <w:rPr>
          <w:rStyle w:val="FootnoteReference"/>
          <w:color w:val="auto"/>
          <w:szCs w:val="24"/>
        </w:rPr>
        <w:footnoteReference w:id="11"/>
      </w:r>
      <w:r w:rsidRPr="00985776">
        <w:rPr>
          <w:rFonts w:cs="Times New Roman"/>
          <w:color w:val="auto"/>
          <w:szCs w:val="24"/>
        </w:rPr>
        <w:t xml:space="preserve"> in the </w:t>
      </w:r>
      <w:r w:rsidRPr="00985776">
        <w:rPr>
          <w:rFonts w:cs="Times New Roman"/>
          <w:i/>
          <w:color w:val="auto"/>
          <w:szCs w:val="24"/>
        </w:rPr>
        <w:t>Federal Regi</w:t>
      </w:r>
      <w:r w:rsidR="009B48E3">
        <w:rPr>
          <w:rFonts w:cs="Times New Roman"/>
          <w:i/>
          <w:color w:val="auto"/>
          <w:szCs w:val="24"/>
        </w:rPr>
        <w:t>st</w:t>
      </w:r>
      <w:r w:rsidRPr="00985776">
        <w:rPr>
          <w:rFonts w:cs="Times New Roman"/>
          <w:i/>
          <w:color w:val="auto"/>
          <w:szCs w:val="24"/>
        </w:rPr>
        <w:t>er</w:t>
      </w:r>
      <w:r w:rsidRPr="00985776">
        <w:rPr>
          <w:rFonts w:cs="Times New Roman"/>
          <w:color w:val="auto"/>
          <w:szCs w:val="24"/>
        </w:rPr>
        <w:t xml:space="preserve"> to facilitate access to the </w:t>
      </w:r>
      <w:r w:rsidR="009B48E3">
        <w:rPr>
          <w:rFonts w:cs="Times New Roman"/>
          <w:color w:val="auto"/>
          <w:szCs w:val="24"/>
        </w:rPr>
        <w:t>st</w:t>
      </w:r>
      <w:r w:rsidRPr="00985776">
        <w:rPr>
          <w:rFonts w:cs="Times New Roman"/>
          <w:color w:val="auto"/>
          <w:szCs w:val="24"/>
        </w:rPr>
        <w:t>andard</w:t>
      </w:r>
      <w:r>
        <w:rPr>
          <w:rFonts w:cs="Times New Roman"/>
          <w:color w:val="auto"/>
          <w:szCs w:val="24"/>
        </w:rPr>
        <w:t>, and further extended the comment period</w:t>
      </w:r>
      <w:r w:rsidRPr="00985776">
        <w:rPr>
          <w:rFonts w:cs="Times New Roman"/>
          <w:color w:val="auto"/>
          <w:szCs w:val="24"/>
        </w:rPr>
        <w:t>.  The RFI reque</w:t>
      </w:r>
      <w:r w:rsidR="009B48E3">
        <w:rPr>
          <w:rFonts w:cs="Times New Roman"/>
          <w:color w:val="auto"/>
          <w:szCs w:val="24"/>
        </w:rPr>
        <w:t>st</w:t>
      </w:r>
      <w:r w:rsidRPr="00985776">
        <w:rPr>
          <w:rFonts w:cs="Times New Roman"/>
          <w:color w:val="auto"/>
          <w:szCs w:val="24"/>
        </w:rPr>
        <w:t xml:space="preserve">ed comments on 13 specific topics, including: potential security risks arising from </w:t>
      </w:r>
      <w:r w:rsidRPr="00985776">
        <w:rPr>
          <w:rFonts w:cs="Times New Roman"/>
          <w:color w:val="auto"/>
          <w:szCs w:val="24"/>
        </w:rPr>
        <w:t>mDL</w:t>
      </w:r>
      <w:r w:rsidRPr="00985776">
        <w:rPr>
          <w:rFonts w:cs="Times New Roman"/>
          <w:color w:val="auto"/>
          <w:szCs w:val="24"/>
        </w:rPr>
        <w:t xml:space="preserve"> usage and mitigating solutions, potential privacy concerns or benefits associated with </w:t>
      </w:r>
      <w:r w:rsidRPr="00985776">
        <w:rPr>
          <w:rFonts w:cs="Times New Roman"/>
          <w:color w:val="auto"/>
          <w:szCs w:val="24"/>
        </w:rPr>
        <w:t>mDL</w:t>
      </w:r>
      <w:r w:rsidRPr="00985776">
        <w:rPr>
          <w:rFonts w:cs="Times New Roman"/>
          <w:color w:val="auto"/>
          <w:szCs w:val="24"/>
        </w:rPr>
        <w:t xml:space="preserve"> transactions, the maturity of certain indu</w:t>
      </w:r>
      <w:r w:rsidR="009B48E3">
        <w:rPr>
          <w:rFonts w:cs="Times New Roman"/>
          <w:color w:val="auto"/>
          <w:szCs w:val="24"/>
        </w:rPr>
        <w:t>st</w:t>
      </w:r>
      <w:r w:rsidRPr="00985776">
        <w:rPr>
          <w:rFonts w:cs="Times New Roman"/>
          <w:color w:val="auto"/>
          <w:szCs w:val="24"/>
        </w:rPr>
        <w:t xml:space="preserve">ry </w:t>
      </w:r>
      <w:r w:rsidR="009B48E3">
        <w:rPr>
          <w:rFonts w:cs="Times New Roman"/>
          <w:color w:val="auto"/>
          <w:szCs w:val="24"/>
        </w:rPr>
        <w:t>st</w:t>
      </w:r>
      <w:r w:rsidRPr="00985776">
        <w:rPr>
          <w:rFonts w:cs="Times New Roman"/>
          <w:color w:val="auto"/>
          <w:szCs w:val="24"/>
        </w:rPr>
        <w:t>andards and the appropriateness of DHS’s adoption of them, co</w:t>
      </w:r>
      <w:r w:rsidR="009B48E3">
        <w:rPr>
          <w:rFonts w:cs="Times New Roman"/>
          <w:color w:val="auto"/>
          <w:szCs w:val="24"/>
        </w:rPr>
        <w:t>st</w:t>
      </w:r>
      <w:r w:rsidRPr="00985776">
        <w:rPr>
          <w:rFonts w:cs="Times New Roman"/>
          <w:color w:val="auto"/>
          <w:szCs w:val="24"/>
        </w:rPr>
        <w:t xml:space="preserve">s to individuals to obtain </w:t>
      </w:r>
      <w:r w:rsidRPr="00985776">
        <w:rPr>
          <w:rFonts w:cs="Times New Roman"/>
          <w:color w:val="auto"/>
          <w:szCs w:val="24"/>
        </w:rPr>
        <w:t>mDLs</w:t>
      </w:r>
      <w:r w:rsidRPr="00985776">
        <w:rPr>
          <w:rFonts w:cs="Times New Roman"/>
          <w:color w:val="auto"/>
          <w:szCs w:val="24"/>
        </w:rPr>
        <w:t xml:space="preserve">, and various technical topics associated with </w:t>
      </w:r>
      <w:r w:rsidRPr="00985776">
        <w:rPr>
          <w:rFonts w:cs="Times New Roman"/>
          <w:color w:val="auto"/>
          <w:szCs w:val="24"/>
        </w:rPr>
        <w:t>mDL</w:t>
      </w:r>
      <w:r w:rsidRPr="00985776">
        <w:rPr>
          <w:rFonts w:cs="Times New Roman"/>
          <w:color w:val="auto"/>
          <w:szCs w:val="24"/>
        </w:rPr>
        <w:t xml:space="preserve"> issuance and communications.  </w:t>
      </w:r>
    </w:p>
    <w:p w:rsidR="00985776" w:rsidP="00985776" w14:paraId="25CC95C8" w14:textId="77777777">
      <w:pPr>
        <w:pStyle w:val="ListParagraph"/>
        <w:ind w:left="360"/>
        <w:rPr>
          <w:rFonts w:cs="Times New Roman"/>
          <w:color w:val="auto"/>
          <w:szCs w:val="24"/>
        </w:rPr>
      </w:pPr>
    </w:p>
    <w:p w:rsidR="00985776" w:rsidP="00985776" w14:paraId="349AD6E0" w14:textId="04BDC4AC">
      <w:pPr>
        <w:pStyle w:val="ListParagraph"/>
        <w:ind w:left="360"/>
        <w:rPr>
          <w:rFonts w:cs="Times New Roman"/>
          <w:color w:val="auto"/>
          <w:szCs w:val="24"/>
        </w:rPr>
      </w:pPr>
      <w:r w:rsidRPr="00985776">
        <w:rPr>
          <w:rFonts w:cs="Times New Roman"/>
          <w:color w:val="auto"/>
          <w:szCs w:val="24"/>
        </w:rPr>
        <w:t xml:space="preserve">DHS received roughly 60 comments to the RFI from a diverse group of </w:t>
      </w:r>
      <w:r w:rsidR="009B48E3">
        <w:rPr>
          <w:rFonts w:cs="Times New Roman"/>
          <w:color w:val="auto"/>
          <w:szCs w:val="24"/>
        </w:rPr>
        <w:t>st</w:t>
      </w:r>
      <w:r w:rsidRPr="00985776">
        <w:rPr>
          <w:rFonts w:cs="Times New Roman"/>
          <w:color w:val="auto"/>
          <w:szCs w:val="24"/>
        </w:rPr>
        <w:t>akeholders, including advocacy groups representing varied intere</w:t>
      </w:r>
      <w:r w:rsidR="009B48E3">
        <w:rPr>
          <w:rFonts w:cs="Times New Roman"/>
          <w:color w:val="auto"/>
          <w:szCs w:val="24"/>
        </w:rPr>
        <w:t>st</w:t>
      </w:r>
      <w:r w:rsidRPr="00985776">
        <w:rPr>
          <w:rFonts w:cs="Times New Roman"/>
          <w:color w:val="auto"/>
          <w:szCs w:val="24"/>
        </w:rPr>
        <w:t xml:space="preserve">s, individuals, </w:t>
      </w:r>
      <w:r w:rsidR="009B48E3">
        <w:rPr>
          <w:rFonts w:cs="Times New Roman"/>
          <w:color w:val="auto"/>
          <w:szCs w:val="24"/>
        </w:rPr>
        <w:t>St</w:t>
      </w:r>
      <w:r w:rsidRPr="00985776">
        <w:rPr>
          <w:rFonts w:cs="Times New Roman"/>
          <w:color w:val="auto"/>
          <w:szCs w:val="24"/>
        </w:rPr>
        <w:t>ate government agencies, trade associations, and indu</w:t>
      </w:r>
      <w:r w:rsidR="009B48E3">
        <w:rPr>
          <w:rFonts w:cs="Times New Roman"/>
          <w:color w:val="auto"/>
          <w:szCs w:val="24"/>
        </w:rPr>
        <w:t>st</w:t>
      </w:r>
      <w:r w:rsidRPr="00985776">
        <w:rPr>
          <w:rFonts w:cs="Times New Roman"/>
          <w:color w:val="auto"/>
          <w:szCs w:val="24"/>
        </w:rPr>
        <w:t>ry.  An analysis of comments received showed that topics of intere</w:t>
      </w:r>
      <w:r w:rsidR="009B48E3">
        <w:rPr>
          <w:rFonts w:cs="Times New Roman"/>
          <w:color w:val="auto"/>
          <w:szCs w:val="24"/>
        </w:rPr>
        <w:t>st</w:t>
      </w:r>
      <w:r w:rsidRPr="00985776">
        <w:rPr>
          <w:rFonts w:cs="Times New Roman"/>
          <w:color w:val="auto"/>
          <w:szCs w:val="24"/>
        </w:rPr>
        <w:t xml:space="preserve"> to </w:t>
      </w:r>
      <w:r w:rsidR="009B48E3">
        <w:rPr>
          <w:rFonts w:cs="Times New Roman"/>
          <w:color w:val="auto"/>
          <w:szCs w:val="24"/>
        </w:rPr>
        <w:t>st</w:t>
      </w:r>
      <w:r w:rsidRPr="00985776">
        <w:rPr>
          <w:rFonts w:cs="Times New Roman"/>
          <w:color w:val="auto"/>
          <w:szCs w:val="24"/>
        </w:rPr>
        <w:t xml:space="preserve">akeholders concerned: the need for </w:t>
      </w:r>
      <w:r w:rsidR="009B48E3">
        <w:rPr>
          <w:rFonts w:cs="Times New Roman"/>
          <w:color w:val="auto"/>
          <w:szCs w:val="24"/>
        </w:rPr>
        <w:t>st</w:t>
      </w:r>
      <w:r w:rsidRPr="00985776">
        <w:rPr>
          <w:rFonts w:cs="Times New Roman"/>
          <w:color w:val="auto"/>
          <w:szCs w:val="24"/>
        </w:rPr>
        <w:t xml:space="preserve">andardization and/or Federal guidance, potential benefits to the public from </w:t>
      </w:r>
      <w:r w:rsidRPr="00985776">
        <w:rPr>
          <w:rFonts w:cs="Times New Roman"/>
          <w:color w:val="auto"/>
          <w:szCs w:val="24"/>
        </w:rPr>
        <w:t>mDLs</w:t>
      </w:r>
      <w:r w:rsidRPr="00985776">
        <w:rPr>
          <w:rFonts w:cs="Times New Roman"/>
          <w:color w:val="auto"/>
          <w:szCs w:val="24"/>
        </w:rPr>
        <w:t xml:space="preserve"> generally, and the appropriateness of </w:t>
      </w:r>
      <w:r>
        <w:rPr>
          <w:rFonts w:cs="Times New Roman"/>
          <w:color w:val="auto"/>
          <w:szCs w:val="24"/>
        </w:rPr>
        <w:t>certain indu</w:t>
      </w:r>
      <w:r w:rsidR="009B48E3">
        <w:rPr>
          <w:rFonts w:cs="Times New Roman"/>
          <w:color w:val="auto"/>
          <w:szCs w:val="24"/>
        </w:rPr>
        <w:t>st</w:t>
      </w:r>
      <w:r>
        <w:rPr>
          <w:rFonts w:cs="Times New Roman"/>
          <w:color w:val="auto"/>
          <w:szCs w:val="24"/>
        </w:rPr>
        <w:t xml:space="preserve">ry </w:t>
      </w:r>
      <w:r w:rsidR="009B48E3">
        <w:rPr>
          <w:rFonts w:cs="Times New Roman"/>
          <w:color w:val="auto"/>
          <w:szCs w:val="24"/>
        </w:rPr>
        <w:t>st</w:t>
      </w:r>
      <w:r w:rsidRPr="00985776">
        <w:rPr>
          <w:rFonts w:cs="Times New Roman"/>
          <w:color w:val="auto"/>
          <w:szCs w:val="24"/>
        </w:rPr>
        <w:t xml:space="preserve">andards as a </w:t>
      </w:r>
      <w:r w:rsidR="009B48E3">
        <w:rPr>
          <w:rFonts w:cs="Times New Roman"/>
          <w:color w:val="auto"/>
          <w:szCs w:val="24"/>
        </w:rPr>
        <w:t>st</w:t>
      </w:r>
      <w:r w:rsidRPr="00985776">
        <w:rPr>
          <w:rFonts w:cs="Times New Roman"/>
          <w:color w:val="auto"/>
          <w:szCs w:val="24"/>
        </w:rPr>
        <w:t xml:space="preserve">arting point for regulatory requirements.   </w:t>
      </w:r>
    </w:p>
    <w:p w:rsidR="00985776" w:rsidP="00985776" w14:paraId="33321236" w14:textId="77777777">
      <w:pPr>
        <w:pStyle w:val="ListParagraph"/>
        <w:ind w:left="360"/>
        <w:rPr>
          <w:rFonts w:cs="Times New Roman"/>
          <w:color w:val="auto"/>
          <w:szCs w:val="24"/>
        </w:rPr>
      </w:pPr>
    </w:p>
    <w:p w:rsidR="00985776" w:rsidP="00985776" w14:paraId="22F17C5C" w14:textId="369DE21B">
      <w:pPr>
        <w:pStyle w:val="ListParagraph"/>
        <w:ind w:left="360"/>
        <w:rPr>
          <w:rFonts w:cs="Times New Roman"/>
          <w:color w:val="auto"/>
          <w:szCs w:val="24"/>
        </w:rPr>
      </w:pPr>
      <w:r w:rsidRPr="00985776">
        <w:rPr>
          <w:rFonts w:cs="Times New Roman"/>
          <w:color w:val="auto"/>
          <w:szCs w:val="24"/>
        </w:rPr>
        <w:t xml:space="preserve">DHS </w:t>
      </w:r>
      <w:r>
        <w:rPr>
          <w:rFonts w:cs="Times New Roman"/>
          <w:color w:val="auto"/>
          <w:szCs w:val="24"/>
        </w:rPr>
        <w:t xml:space="preserve">has </w:t>
      </w:r>
      <w:r w:rsidRPr="00985776">
        <w:rPr>
          <w:rFonts w:cs="Times New Roman"/>
          <w:color w:val="auto"/>
          <w:szCs w:val="24"/>
        </w:rPr>
        <w:t xml:space="preserve">also conducted extensive outreach and engagement with affected </w:t>
      </w:r>
      <w:r w:rsidR="009B48E3">
        <w:rPr>
          <w:rFonts w:cs="Times New Roman"/>
          <w:color w:val="auto"/>
          <w:szCs w:val="24"/>
        </w:rPr>
        <w:t>st</w:t>
      </w:r>
      <w:r w:rsidRPr="00985776">
        <w:rPr>
          <w:rFonts w:cs="Times New Roman"/>
          <w:color w:val="auto"/>
          <w:szCs w:val="24"/>
        </w:rPr>
        <w:t xml:space="preserve">akeholders, including </w:t>
      </w:r>
      <w:r w:rsidR="009B48E3">
        <w:rPr>
          <w:rFonts w:cs="Times New Roman"/>
          <w:color w:val="auto"/>
          <w:szCs w:val="24"/>
        </w:rPr>
        <w:t>St</w:t>
      </w:r>
      <w:r w:rsidRPr="00985776">
        <w:rPr>
          <w:rFonts w:cs="Times New Roman"/>
          <w:color w:val="auto"/>
          <w:szCs w:val="24"/>
        </w:rPr>
        <w:t>ates, indu</w:t>
      </w:r>
      <w:r w:rsidR="009B48E3">
        <w:rPr>
          <w:rFonts w:cs="Times New Roman"/>
          <w:color w:val="auto"/>
          <w:szCs w:val="24"/>
        </w:rPr>
        <w:t>st</w:t>
      </w:r>
      <w:r w:rsidRPr="00985776">
        <w:rPr>
          <w:rFonts w:cs="Times New Roman"/>
          <w:color w:val="auto"/>
          <w:szCs w:val="24"/>
        </w:rPr>
        <w:t xml:space="preserve">ry, and individuals. </w:t>
      </w:r>
      <w:r>
        <w:rPr>
          <w:rFonts w:cs="Times New Roman"/>
          <w:color w:val="auto"/>
          <w:szCs w:val="24"/>
        </w:rPr>
        <w:t xml:space="preserve"> In addition,</w:t>
      </w:r>
      <w:r w:rsidRPr="00985776">
        <w:rPr>
          <w:rFonts w:cs="Times New Roman"/>
          <w:color w:val="auto"/>
          <w:szCs w:val="24"/>
        </w:rPr>
        <w:t xml:space="preserve"> DHS conducted a roundtable discussion on privacy considerations with non-profit organizations representing varied intere</w:t>
      </w:r>
      <w:r w:rsidR="009B48E3">
        <w:rPr>
          <w:rFonts w:cs="Times New Roman"/>
          <w:color w:val="auto"/>
          <w:szCs w:val="24"/>
        </w:rPr>
        <w:t>st</w:t>
      </w:r>
      <w:r w:rsidRPr="00985776">
        <w:rPr>
          <w:rFonts w:cs="Times New Roman"/>
          <w:color w:val="auto"/>
          <w:szCs w:val="24"/>
        </w:rPr>
        <w:t>s.</w:t>
      </w:r>
    </w:p>
    <w:p w:rsidR="00DF0521" w:rsidP="00985776" w14:paraId="2AD7CC01" w14:textId="77777777">
      <w:pPr>
        <w:pStyle w:val="ListParagraph"/>
        <w:ind w:left="360"/>
        <w:rPr>
          <w:rFonts w:cs="Times New Roman"/>
          <w:color w:val="auto"/>
          <w:szCs w:val="24"/>
        </w:rPr>
      </w:pPr>
    </w:p>
    <w:p w:rsidR="00DF0521" w:rsidRPr="00985776" w:rsidP="00985776" w14:paraId="05576E63" w14:textId="179E2559">
      <w:pPr>
        <w:pStyle w:val="ListParagraph"/>
        <w:ind w:left="360"/>
        <w:rPr>
          <w:rFonts w:cs="Times New Roman"/>
          <w:color w:val="auto"/>
          <w:szCs w:val="24"/>
        </w:rPr>
      </w:pPr>
      <w:r>
        <w:rPr>
          <w:rFonts w:cs="Times New Roman"/>
          <w:color w:val="auto"/>
          <w:szCs w:val="24"/>
        </w:rPr>
        <w:t>DHS published a</w:t>
      </w:r>
      <w:r w:rsidR="001F2259">
        <w:rPr>
          <w:rFonts w:cs="Times New Roman"/>
          <w:color w:val="auto"/>
          <w:szCs w:val="24"/>
        </w:rPr>
        <w:t xml:space="preserve">n NPRM, </w:t>
      </w:r>
      <w:r w:rsidR="00DB6484">
        <w:rPr>
          <w:rFonts w:cs="Times New Roman"/>
          <w:color w:val="auto"/>
          <w:szCs w:val="24"/>
        </w:rPr>
        <w:t>seeking comments on 9 specific topics as well as general comments on the NPRM.</w:t>
      </w:r>
      <w:r w:rsidR="00DB6484">
        <w:rPr>
          <w:rFonts w:cs="Times New Roman"/>
          <w:color w:val="auto"/>
          <w:szCs w:val="24"/>
        </w:rPr>
        <w:t xml:space="preserve">  </w:t>
      </w:r>
      <w:r w:rsidRPr="00434E08" w:rsidR="00DB6484">
        <w:rPr>
          <w:rFonts w:cs="Times New Roman"/>
          <w:i/>
          <w:iCs/>
          <w:color w:val="auto"/>
          <w:szCs w:val="24"/>
        </w:rPr>
        <w:t xml:space="preserve">See </w:t>
      </w:r>
      <w:r w:rsidR="00434E08">
        <w:t>88 FR 60056</w:t>
      </w:r>
      <w:r w:rsidR="00434E08">
        <w:t xml:space="preserve"> (August 30</w:t>
      </w:r>
      <w:r w:rsidR="00F202D8">
        <w:t xml:space="preserve">, </w:t>
      </w:r>
      <w:r w:rsidR="00434E08">
        <w:t>2023)</w:t>
      </w:r>
      <w:r w:rsidR="00F202D8">
        <w:t>.</w:t>
      </w:r>
    </w:p>
    <w:p w:rsidR="00985776" w:rsidRPr="00D12C9B" w:rsidP="00960997" w14:paraId="253C87A0" w14:textId="77777777">
      <w:pPr>
        <w:pStyle w:val="ListParagraph"/>
        <w:ind w:left="360"/>
      </w:pPr>
    </w:p>
    <w:p w:rsidR="008F7B61" w:rsidRPr="005C609B" w:rsidP="006A03B3" w14:paraId="1E2BD36D" w14:textId="77777777">
      <w:pPr>
        <w:keepNext/>
        <w:numPr>
          <w:ilvl w:val="0"/>
          <w:numId w:val="1"/>
        </w:numPr>
        <w:tabs>
          <w:tab w:val="left" w:pos="360"/>
        </w:tabs>
        <w:rPr>
          <w:b/>
          <w:i/>
        </w:rPr>
      </w:pPr>
      <w:r w:rsidRPr="005C609B">
        <w:rPr>
          <w:b/>
          <w:i/>
        </w:rPr>
        <w:t>Explain any decision to provide any payment or gift to respondents, other than remuneration of contractors or grantees.</w:t>
      </w:r>
    </w:p>
    <w:p w:rsidR="008F7B61" w:rsidRPr="00D12C9B" w:rsidP="0047710A" w14:paraId="125ACF52" w14:textId="77777777">
      <w:pPr>
        <w:numPr>
          <w:ilvl w:val="12"/>
          <w:numId w:val="0"/>
        </w:numPr>
        <w:spacing w:line="360" w:lineRule="auto"/>
        <w:ind w:left="360"/>
        <w:outlineLvl w:val="0"/>
      </w:pPr>
    </w:p>
    <w:p w:rsidR="008F7B61" w:rsidP="00D9343C" w14:paraId="40D044A5" w14:textId="4EFB4779">
      <w:pPr>
        <w:numPr>
          <w:ilvl w:val="12"/>
          <w:numId w:val="0"/>
        </w:numPr>
        <w:ind w:left="360"/>
        <w:outlineLvl w:val="0"/>
      </w:pPr>
      <w:r w:rsidRPr="00D12C9B">
        <w:t>DHS will not provide any payment or gift to respondents.</w:t>
      </w:r>
    </w:p>
    <w:p w:rsidR="008F06A0" w:rsidRPr="00D12C9B" w:rsidP="0047710A" w14:paraId="18F1C3A7" w14:textId="0C39F74E">
      <w:pPr>
        <w:numPr>
          <w:ilvl w:val="12"/>
          <w:numId w:val="0"/>
        </w:numPr>
        <w:spacing w:line="360" w:lineRule="auto"/>
        <w:ind w:left="360"/>
        <w:outlineLvl w:val="0"/>
      </w:pPr>
    </w:p>
    <w:p w:rsidR="008F7B61" w:rsidRPr="00D12C9B" w:rsidP="006A03B3" w14:paraId="10E64F34" w14:textId="61F7F4B5">
      <w:pPr>
        <w:keepNext/>
        <w:numPr>
          <w:ilvl w:val="0"/>
          <w:numId w:val="1"/>
        </w:numPr>
        <w:tabs>
          <w:tab w:val="left" w:pos="360"/>
        </w:tabs>
        <w:rPr>
          <w:b/>
          <w:i/>
        </w:rPr>
      </w:pPr>
      <w:r w:rsidRPr="00D12C9B">
        <w:rPr>
          <w:b/>
          <w:i/>
        </w:rPr>
        <w:t xml:space="preserve">Describe any assurance of confidentiality provided to respondents and the basis for the assurance in </w:t>
      </w:r>
      <w:r w:rsidR="009B48E3">
        <w:rPr>
          <w:b/>
          <w:i/>
        </w:rPr>
        <w:t>st</w:t>
      </w:r>
      <w:r w:rsidRPr="00D12C9B">
        <w:rPr>
          <w:b/>
          <w:i/>
        </w:rPr>
        <w:t>atute, regulation, or agency policy.</w:t>
      </w:r>
    </w:p>
    <w:p w:rsidR="008F7B61" w:rsidRPr="00D12C9B" w:rsidP="004657B4" w14:paraId="6E792886" w14:textId="77777777">
      <w:pPr>
        <w:ind w:left="360"/>
        <w:rPr>
          <w:rFonts w:cs="Times New Roman"/>
          <w:color w:val="auto"/>
          <w:szCs w:val="24"/>
        </w:rPr>
      </w:pPr>
    </w:p>
    <w:p w:rsidR="008F7B61" w:rsidRPr="00D12C9B" w:rsidP="004657B4" w14:paraId="39148415" w14:textId="692D7F8C">
      <w:pPr>
        <w:ind w:left="360"/>
        <w:rPr>
          <w:rFonts w:cs="Times New Roman"/>
          <w:color w:val="auto"/>
          <w:szCs w:val="24"/>
        </w:rPr>
      </w:pPr>
      <w:r>
        <w:rPr>
          <w:rFonts w:cs="Times New Roman"/>
          <w:color w:val="auto"/>
          <w:szCs w:val="24"/>
        </w:rPr>
        <w:t>While there is no assurance of confidentiality, i</w:t>
      </w:r>
      <w:r w:rsidRPr="00D12C9B">
        <w:rPr>
          <w:rFonts w:cs="Times New Roman"/>
          <w:color w:val="auto"/>
          <w:szCs w:val="24"/>
        </w:rPr>
        <w:t xml:space="preserve">nformation provided will be protected from disclosure to the extent appropriate under applicable provisions of the Freedom of Information Act, the Privacy Act of 1974, the Driver’s Privacy Protection Act, as well as DHS’s Privacy Impact Assessment for the REAL ID Act.   </w:t>
      </w:r>
    </w:p>
    <w:p w:rsidR="008F7B61" w:rsidRPr="00D12C9B" w:rsidP="007460E9" w14:paraId="631BE694" w14:textId="77777777">
      <w:pPr>
        <w:keepNext/>
        <w:numPr>
          <w:ilvl w:val="12"/>
          <w:numId w:val="0"/>
        </w:numPr>
        <w:spacing w:line="360" w:lineRule="auto"/>
        <w:ind w:left="360"/>
      </w:pPr>
    </w:p>
    <w:p w:rsidR="008F7B61" w:rsidRPr="00D12C9B" w:rsidP="006A03B3" w14:paraId="4069AA83" w14:textId="6FFB702C">
      <w:pPr>
        <w:keepNext/>
        <w:numPr>
          <w:ilvl w:val="0"/>
          <w:numId w:val="1"/>
        </w:numPr>
        <w:tabs>
          <w:tab w:val="left" w:pos="360"/>
        </w:tabs>
        <w:rPr>
          <w:b/>
          <w:i/>
        </w:rPr>
      </w:pPr>
      <w:r w:rsidRPr="00D12C9B">
        <w:rPr>
          <w:b/>
          <w:i/>
        </w:rPr>
        <w:t>Provide additional ju</w:t>
      </w:r>
      <w:r w:rsidR="009B48E3">
        <w:rPr>
          <w:b/>
          <w:i/>
        </w:rPr>
        <w:t>st</w:t>
      </w:r>
      <w:r w:rsidRPr="00D12C9B">
        <w:rPr>
          <w:b/>
          <w:i/>
        </w:rPr>
        <w:t>ification for any que</w:t>
      </w:r>
      <w:r w:rsidR="009B48E3">
        <w:rPr>
          <w:b/>
          <w:i/>
        </w:rPr>
        <w:t>st</w:t>
      </w:r>
      <w:r w:rsidRPr="00D12C9B">
        <w:rPr>
          <w:b/>
          <w:i/>
        </w:rPr>
        <w:t>ions of sensitive nature, such as sexual behavior and attitudes, religious beliefs, and other matters that are commonly considered private.</w:t>
      </w:r>
    </w:p>
    <w:p w:rsidR="008F7B61" w:rsidRPr="005C609B" w:rsidP="005507AC" w14:paraId="30BF28E6" w14:textId="77777777">
      <w:pPr>
        <w:numPr>
          <w:ilvl w:val="12"/>
          <w:numId w:val="0"/>
        </w:numPr>
        <w:ind w:left="360"/>
      </w:pPr>
    </w:p>
    <w:p w:rsidR="008F7B61" w:rsidP="0084194C" w14:paraId="3090DA12" w14:textId="37A84781">
      <w:pPr>
        <w:numPr>
          <w:ilvl w:val="12"/>
          <w:numId w:val="0"/>
        </w:numPr>
        <w:spacing w:line="360" w:lineRule="auto"/>
        <w:ind w:firstLine="360"/>
      </w:pPr>
      <w:r w:rsidRPr="005C609B">
        <w:t>DHS will not ask any que</w:t>
      </w:r>
      <w:r w:rsidR="009B48E3">
        <w:t>st</w:t>
      </w:r>
      <w:r w:rsidRPr="005C609B">
        <w:t>ions of a sensitive nature.</w:t>
      </w:r>
    </w:p>
    <w:p w:rsidR="008F06A0" w:rsidRPr="005C609B" w:rsidP="0084194C" w14:paraId="4DCBEF5D" w14:textId="77777777">
      <w:pPr>
        <w:numPr>
          <w:ilvl w:val="12"/>
          <w:numId w:val="0"/>
        </w:numPr>
        <w:spacing w:line="360" w:lineRule="auto"/>
        <w:ind w:firstLine="360"/>
      </w:pPr>
    </w:p>
    <w:p w:rsidR="008F7B61" w:rsidRPr="003E5FCF" w:rsidP="006A03B3" w14:paraId="400AA833" w14:textId="4FEE0D6D">
      <w:pPr>
        <w:keepNext/>
        <w:numPr>
          <w:ilvl w:val="0"/>
          <w:numId w:val="1"/>
        </w:numPr>
        <w:tabs>
          <w:tab w:val="left" w:pos="360"/>
        </w:tabs>
        <w:rPr>
          <w:b/>
          <w:i/>
        </w:rPr>
      </w:pPr>
      <w:r w:rsidRPr="003E5FCF">
        <w:rPr>
          <w:b/>
          <w:i/>
        </w:rPr>
        <w:t>Provide e</w:t>
      </w:r>
      <w:r w:rsidR="009B48E3">
        <w:rPr>
          <w:b/>
          <w:i/>
        </w:rPr>
        <w:t>st</w:t>
      </w:r>
      <w:r w:rsidRPr="003E5FCF">
        <w:rPr>
          <w:b/>
          <w:i/>
        </w:rPr>
        <w:t>imates of hour</w:t>
      </w:r>
      <w:r w:rsidR="00FB4DBF">
        <w:rPr>
          <w:b/>
          <w:i/>
        </w:rPr>
        <w:t xml:space="preserve"> and co</w:t>
      </w:r>
      <w:r w:rsidR="009B48E3">
        <w:rPr>
          <w:b/>
          <w:i/>
        </w:rPr>
        <w:t>st</w:t>
      </w:r>
      <w:r w:rsidRPr="003E5FCF">
        <w:rPr>
          <w:b/>
          <w:i/>
        </w:rPr>
        <w:t xml:space="preserve"> burden</w:t>
      </w:r>
      <w:r w:rsidR="00FB4DBF">
        <w:rPr>
          <w:b/>
          <w:i/>
        </w:rPr>
        <w:t>s</w:t>
      </w:r>
      <w:r w:rsidRPr="003E5FCF">
        <w:rPr>
          <w:b/>
          <w:i/>
        </w:rPr>
        <w:t xml:space="preserve"> of the collection of information.</w:t>
      </w:r>
    </w:p>
    <w:p w:rsidR="008F7B61" w:rsidRPr="003E5FCF" w:rsidP="00180627" w14:paraId="73E38730" w14:textId="77777777">
      <w:pPr>
        <w:keepNext/>
        <w:tabs>
          <w:tab w:val="left" w:pos="360"/>
        </w:tabs>
        <w:rPr>
          <w:b/>
          <w:i/>
        </w:rPr>
      </w:pPr>
    </w:p>
    <w:p w:rsidR="00FD5F84" w:rsidP="00FD5F84" w14:paraId="599ED522" w14:textId="77777777">
      <w:pPr>
        <w:ind w:left="360"/>
        <w:rPr>
          <w:rStyle w:val="RegEvalTextChar"/>
        </w:rPr>
      </w:pPr>
      <w:r>
        <w:t xml:space="preserve">The proposed rule would </w:t>
      </w:r>
      <w:r w:rsidRPr="189AAE92">
        <w:rPr>
          <w:rStyle w:val="RegEvalTextChar"/>
        </w:rPr>
        <w:t xml:space="preserve">require the </w:t>
      </w:r>
      <w:r>
        <w:rPr>
          <w:rStyle w:val="RegEvalTextChar"/>
        </w:rPr>
        <w:t xml:space="preserve">following information collections from States: </w:t>
      </w:r>
    </w:p>
    <w:p w:rsidR="00FD5F84" w:rsidP="00FD5F84" w14:paraId="3D635032" w14:textId="77777777">
      <w:pPr>
        <w:ind w:left="360"/>
        <w:rPr>
          <w:rStyle w:val="RegEvalTextChar"/>
        </w:rPr>
      </w:pPr>
    </w:p>
    <w:p w:rsidR="00D9343C" w:rsidP="00D9343C" w14:paraId="1F4FBE91" w14:textId="77777777">
      <w:pPr>
        <w:pStyle w:val="ListParagraph"/>
        <w:numPr>
          <w:ilvl w:val="0"/>
          <w:numId w:val="26"/>
        </w:numPr>
        <w:rPr>
          <w:rStyle w:val="RegEvalTextChar"/>
        </w:rPr>
      </w:pPr>
      <w:r>
        <w:rPr>
          <w:rStyle w:val="RegEvalTextChar"/>
        </w:rPr>
        <w:t>S</w:t>
      </w:r>
      <w:r w:rsidRPr="189AAE92">
        <w:rPr>
          <w:rStyle w:val="RegEvalTextChar"/>
        </w:rPr>
        <w:t xml:space="preserve">ubmission of an </w:t>
      </w:r>
      <w:r>
        <w:rPr>
          <w:rStyle w:val="RegEvalTextChar"/>
        </w:rPr>
        <w:t>initial</w:t>
      </w:r>
      <w:r w:rsidRPr="189AAE92">
        <w:rPr>
          <w:rStyle w:val="RegEvalTextChar"/>
        </w:rPr>
        <w:t xml:space="preserve"> waiver application</w:t>
      </w:r>
      <w:r>
        <w:rPr>
          <w:rStyle w:val="RegEvalTextChar"/>
        </w:rPr>
        <w:t>, including audit report;</w:t>
      </w:r>
    </w:p>
    <w:p w:rsidR="00D9343C" w:rsidP="00D9343C" w14:paraId="514E92DF" w14:textId="77777777">
      <w:pPr>
        <w:pStyle w:val="ListParagraph"/>
        <w:numPr>
          <w:ilvl w:val="0"/>
          <w:numId w:val="26"/>
        </w:numPr>
        <w:rPr>
          <w:rStyle w:val="RegEvalTextChar"/>
        </w:rPr>
      </w:pPr>
      <w:r>
        <w:rPr>
          <w:rStyle w:val="RegEvalTextChar"/>
        </w:rPr>
        <w:t>Supplemental submissions for</w:t>
      </w:r>
      <w:r w:rsidRPr="189AAE92">
        <w:rPr>
          <w:rStyle w:val="RegEvalTextChar"/>
        </w:rPr>
        <w:t xml:space="preserve"> application</w:t>
      </w:r>
      <w:r>
        <w:rPr>
          <w:rStyle w:val="RegEvalTextChar"/>
        </w:rPr>
        <w:t>s</w:t>
      </w:r>
      <w:r w:rsidRPr="189AAE92">
        <w:rPr>
          <w:rStyle w:val="RegEvalTextChar"/>
        </w:rPr>
        <w:t xml:space="preserve"> deemed insufficient</w:t>
      </w:r>
      <w:r>
        <w:rPr>
          <w:rStyle w:val="RegEvalTextChar"/>
        </w:rPr>
        <w:t>;</w:t>
      </w:r>
    </w:p>
    <w:p w:rsidR="00D9343C" w:rsidP="00D9343C" w14:paraId="4E6558D1" w14:textId="77777777">
      <w:pPr>
        <w:pStyle w:val="ListParagraph"/>
        <w:numPr>
          <w:ilvl w:val="0"/>
          <w:numId w:val="26"/>
        </w:numPr>
        <w:rPr>
          <w:rStyle w:val="RegEvalTextChar"/>
        </w:rPr>
      </w:pPr>
      <w:r>
        <w:rPr>
          <w:rStyle w:val="RegEvalTextChar"/>
        </w:rPr>
        <w:t>Requests for reconsideration of applications subject to a notice of denial;</w:t>
      </w:r>
    </w:p>
    <w:p w:rsidR="00D9343C" w:rsidP="00D9343C" w14:paraId="210D21AB" w14:textId="77777777">
      <w:pPr>
        <w:pStyle w:val="ListParagraph"/>
        <w:numPr>
          <w:ilvl w:val="0"/>
          <w:numId w:val="26"/>
        </w:numPr>
        <w:rPr>
          <w:rStyle w:val="RegEvalTextChar"/>
        </w:rPr>
      </w:pPr>
      <w:r>
        <w:rPr>
          <w:rStyle w:val="RegEvalTextChar"/>
        </w:rPr>
        <w:t xml:space="preserve">Submission of a new application for: initial applications that have been denied, to renew an expired </w:t>
      </w:r>
      <w:r w:rsidRPr="189AAE92">
        <w:rPr>
          <w:rStyle w:val="RegEvalTextChar"/>
        </w:rPr>
        <w:t>waiver</w:t>
      </w:r>
      <w:r>
        <w:rPr>
          <w:rStyle w:val="RegEvalTextChar"/>
        </w:rPr>
        <w:t>, or</w:t>
      </w:r>
      <w:r w:rsidRPr="189AAE92">
        <w:rPr>
          <w:rStyle w:val="RegEvalTextChar"/>
        </w:rPr>
        <w:t xml:space="preserve"> </w:t>
      </w:r>
      <w:r>
        <w:rPr>
          <w:rStyle w:val="RegEvalTextChar"/>
        </w:rPr>
        <w:t>waivers that have been suspended or terminated;</w:t>
      </w:r>
    </w:p>
    <w:p w:rsidR="00D9343C" w:rsidP="00D9343C" w14:paraId="0FD16B80" w14:textId="77777777">
      <w:pPr>
        <w:pStyle w:val="ListParagraph"/>
        <w:numPr>
          <w:ilvl w:val="0"/>
          <w:numId w:val="26"/>
        </w:numPr>
        <w:rPr>
          <w:rStyle w:val="RegEvalTextChar"/>
        </w:rPr>
      </w:pPr>
      <w:r>
        <w:rPr>
          <w:rStyle w:val="RegEvalTextChar"/>
        </w:rPr>
        <w:t xml:space="preserve">Reporting requirements for </w:t>
      </w:r>
      <w:r w:rsidRPr="00CA2315">
        <w:rPr>
          <w:rFonts w:eastAsia="Calibri" w:cs="Times New Roman"/>
          <w:szCs w:val="24"/>
        </w:rPr>
        <w:t xml:space="preserve">significant modifications that a State makes to its </w:t>
      </w:r>
      <w:r w:rsidRPr="00CA2315">
        <w:rPr>
          <w:rFonts w:eastAsia="Calibri" w:cs="Times New Roman"/>
          <w:szCs w:val="24"/>
        </w:rPr>
        <w:t>mDL</w:t>
      </w:r>
      <w:r w:rsidRPr="00CA2315">
        <w:rPr>
          <w:rFonts w:eastAsia="Calibri" w:cs="Times New Roman"/>
          <w:szCs w:val="24"/>
        </w:rPr>
        <w:t xml:space="preserve"> issuance processes that materially differ from information that the State provided in its application that was the basis of an issued waiver</w:t>
      </w:r>
      <w:r>
        <w:rPr>
          <w:rFonts w:eastAsia="Calibri" w:cs="Times New Roman"/>
          <w:szCs w:val="24"/>
        </w:rPr>
        <w:t>;</w:t>
      </w:r>
      <w:r w:rsidRPr="189AAE92">
        <w:rPr>
          <w:rStyle w:val="RegEvalTextChar"/>
        </w:rPr>
        <w:t xml:space="preserve">  </w:t>
      </w:r>
    </w:p>
    <w:p w:rsidR="00D9343C" w:rsidP="00D9343C" w14:paraId="7015C0D3" w14:textId="77777777">
      <w:pPr>
        <w:pStyle w:val="ListParagraph"/>
        <w:numPr>
          <w:ilvl w:val="0"/>
          <w:numId w:val="26"/>
        </w:numPr>
        <w:rPr>
          <w:rStyle w:val="RegEvalTextChar"/>
        </w:rPr>
      </w:pPr>
      <w:r w:rsidRPr="00CA2315">
        <w:rPr>
          <w:bCs/>
        </w:rPr>
        <w:t xml:space="preserve">Reporting requirements for discovery of a significant cyber incident or breach which may compromise the integrity of </w:t>
      </w:r>
      <w:r>
        <w:rPr>
          <w:bCs/>
        </w:rPr>
        <w:t xml:space="preserve">State </w:t>
      </w:r>
      <w:r w:rsidRPr="00CA2315">
        <w:rPr>
          <w:bCs/>
        </w:rPr>
        <w:t>Certificate Systems</w:t>
      </w:r>
      <w:r>
        <w:rPr>
          <w:bCs/>
        </w:rPr>
        <w:t>; and</w:t>
      </w:r>
    </w:p>
    <w:p w:rsidR="00D9343C" w:rsidP="00D9343C" w14:paraId="0D9348C1" w14:textId="77777777">
      <w:pPr>
        <w:pStyle w:val="ListParagraph"/>
        <w:numPr>
          <w:ilvl w:val="0"/>
          <w:numId w:val="26"/>
        </w:numPr>
        <w:rPr>
          <w:rStyle w:val="RegEvalTextChar"/>
        </w:rPr>
      </w:pPr>
      <w:r>
        <w:rPr>
          <w:bCs/>
        </w:rPr>
        <w:t>Responses to DHS notices of suspension or termination.</w:t>
      </w:r>
    </w:p>
    <w:p w:rsidR="00FD5F84" w:rsidP="00FD5F84" w14:paraId="6784D687" w14:textId="77777777">
      <w:pPr>
        <w:ind w:left="360"/>
        <w:rPr>
          <w:rStyle w:val="RegEvalTextChar"/>
        </w:rPr>
      </w:pPr>
    </w:p>
    <w:p w:rsidR="00BD430B" w:rsidP="00341316" w14:paraId="7D87FC17" w14:textId="1621D12E">
      <w:pPr>
        <w:ind w:left="360"/>
      </w:pPr>
      <w:r w:rsidRPr="00D82898">
        <w:t xml:space="preserve">All fifty </w:t>
      </w:r>
      <w:r w:rsidR="009B48E3">
        <w:t>St</w:t>
      </w:r>
      <w:r>
        <w:t>ate</w:t>
      </w:r>
      <w:r w:rsidRPr="00D82898">
        <w:t>s, the Di</w:t>
      </w:r>
      <w:r w:rsidR="009B48E3">
        <w:t>st</w:t>
      </w:r>
      <w:r w:rsidRPr="00D82898">
        <w:t xml:space="preserve">rict of Columbia, and five territories (collectively </w:t>
      </w:r>
      <w:r w:rsidR="000C31E3">
        <w:t>“S</w:t>
      </w:r>
      <w:r w:rsidR="009B48E3">
        <w:t>t</w:t>
      </w:r>
      <w:r w:rsidRPr="00D82898">
        <w:t>ates</w:t>
      </w:r>
      <w:r w:rsidR="000C31E3">
        <w:t>”</w:t>
      </w:r>
      <w:r w:rsidRPr="00D82898">
        <w:t>) are eligi</w:t>
      </w:r>
      <w:r>
        <w:t xml:space="preserve">ble to </w:t>
      </w:r>
      <w:r w:rsidR="00341316">
        <w:t xml:space="preserve">voluntarily </w:t>
      </w:r>
      <w:r>
        <w:t xml:space="preserve">apply for a </w:t>
      </w:r>
      <w:r>
        <w:t>mDL</w:t>
      </w:r>
      <w:r>
        <w:t xml:space="preserve"> waiver.  However, DHS</w:t>
      </w:r>
      <w:r w:rsidRPr="009E2EC7">
        <w:t xml:space="preserve"> assumes that not all </w:t>
      </w:r>
      <w:r w:rsidR="000C31E3">
        <w:t>State</w:t>
      </w:r>
      <w:r w:rsidRPr="009E2EC7">
        <w:t>s eligible</w:t>
      </w:r>
      <w:r>
        <w:t xml:space="preserve"> for the </w:t>
      </w:r>
      <w:r>
        <w:t>mDL</w:t>
      </w:r>
      <w:r>
        <w:t xml:space="preserve"> waiver would apply.</w:t>
      </w:r>
      <w:r w:rsidRPr="009E2EC7">
        <w:t xml:space="preserve"> </w:t>
      </w:r>
      <w:r>
        <w:t xml:space="preserve"> Some </w:t>
      </w:r>
      <w:r w:rsidR="000C31E3">
        <w:t>State</w:t>
      </w:r>
      <w:r>
        <w:t>s</w:t>
      </w:r>
      <w:r w:rsidRPr="009E2EC7">
        <w:t xml:space="preserve"> have not taken action towards </w:t>
      </w:r>
      <w:r w:rsidRPr="009E2EC7">
        <w:t>mDL</w:t>
      </w:r>
      <w:r w:rsidRPr="009E2EC7">
        <w:t xml:space="preserve"> implementation, </w:t>
      </w:r>
      <w:r>
        <w:t xml:space="preserve">and there may be </w:t>
      </w:r>
      <w:r w:rsidR="000C31E3">
        <w:t>State</w:t>
      </w:r>
      <w:r>
        <w:t xml:space="preserve">s </w:t>
      </w:r>
      <w:r w:rsidRPr="009E2EC7">
        <w:t xml:space="preserve">whose </w:t>
      </w:r>
      <w:r>
        <w:t>mDL</w:t>
      </w:r>
      <w:r>
        <w:t xml:space="preserve"> setup or philosophy would lend them towards </w:t>
      </w:r>
      <w:r w:rsidRPr="009E2EC7">
        <w:t>wait</w:t>
      </w:r>
      <w:r>
        <w:t>ing</w:t>
      </w:r>
      <w:r w:rsidRPr="009E2EC7">
        <w:t xml:space="preserve"> until the </w:t>
      </w:r>
      <w:r w:rsidRPr="009E2EC7">
        <w:t>mDL</w:t>
      </w:r>
      <w:r w:rsidRPr="009E2EC7">
        <w:t xml:space="preserve"> ecosy</w:t>
      </w:r>
      <w:r w:rsidR="009B48E3">
        <w:t>st</w:t>
      </w:r>
      <w:r w:rsidRPr="009E2EC7">
        <w:t>em is more fully developed</w:t>
      </w:r>
      <w:r>
        <w:t xml:space="preserve">.  </w:t>
      </w:r>
      <w:r w:rsidR="00341316">
        <w:t xml:space="preserve">As a result, </w:t>
      </w:r>
      <w:r>
        <w:t xml:space="preserve">DHS believes some, but not all, </w:t>
      </w:r>
      <w:r w:rsidR="000C31E3">
        <w:t>State</w:t>
      </w:r>
      <w:r>
        <w:t xml:space="preserve">s </w:t>
      </w:r>
      <w:r w:rsidR="00341316">
        <w:t>will</w:t>
      </w:r>
      <w:r>
        <w:t xml:space="preserve"> reque</w:t>
      </w:r>
      <w:r w:rsidR="009B48E3">
        <w:t>st</w:t>
      </w:r>
      <w:r>
        <w:t xml:space="preserve"> a </w:t>
      </w:r>
      <w:r>
        <w:t>mDL</w:t>
      </w:r>
      <w:r>
        <w:t xml:space="preserve"> waiver.</w:t>
      </w:r>
      <w:r w:rsidR="00341316">
        <w:t xml:space="preserve">  Specifically</w:t>
      </w:r>
      <w:r w:rsidRPr="009E2EC7">
        <w:t xml:space="preserve">, </w:t>
      </w:r>
      <w:r>
        <w:t>DHS</w:t>
      </w:r>
      <w:r w:rsidRPr="009E2EC7">
        <w:t xml:space="preserve"> assumes</w:t>
      </w:r>
      <w:r w:rsidRPr="00875D5E">
        <w:t xml:space="preserve"> </w:t>
      </w:r>
      <w:r>
        <w:t>15</w:t>
      </w:r>
      <w:r w:rsidRPr="00875D5E">
        <w:t xml:space="preserve"> </w:t>
      </w:r>
      <w:r w:rsidR="000C31E3">
        <w:t>State</w:t>
      </w:r>
      <w:r w:rsidRPr="00875D5E">
        <w:t xml:space="preserve">s would apply for a </w:t>
      </w:r>
      <w:r w:rsidRPr="00875D5E">
        <w:t>mDL</w:t>
      </w:r>
      <w:r w:rsidRPr="00875D5E">
        <w:t xml:space="preserve"> waiver in </w:t>
      </w:r>
      <w:r w:rsidR="00EE36A8">
        <w:t>y</w:t>
      </w:r>
      <w:r w:rsidRPr="00875D5E">
        <w:t xml:space="preserve">ear 1 of the analysis, </w:t>
      </w:r>
      <w:r>
        <w:t>10</w:t>
      </w:r>
      <w:r w:rsidRPr="00875D5E">
        <w:t xml:space="preserve"> </w:t>
      </w:r>
      <w:r w:rsidR="000C31E3">
        <w:t>State</w:t>
      </w:r>
      <w:r w:rsidRPr="00875D5E">
        <w:t xml:space="preserve">s in </w:t>
      </w:r>
      <w:r w:rsidR="00EE36A8">
        <w:t>y</w:t>
      </w:r>
      <w:r w:rsidRPr="00875D5E">
        <w:t xml:space="preserve">ear 2, and </w:t>
      </w:r>
      <w:r>
        <w:t>5</w:t>
      </w:r>
      <w:r w:rsidRPr="00875D5E">
        <w:t xml:space="preserve"> </w:t>
      </w:r>
      <w:r w:rsidR="000C31E3">
        <w:t>State</w:t>
      </w:r>
      <w:r>
        <w:t xml:space="preserve">s in </w:t>
      </w:r>
      <w:r w:rsidR="00EE36A8">
        <w:t>y</w:t>
      </w:r>
      <w:r>
        <w:t>ear</w:t>
      </w:r>
      <w:r w:rsidRPr="009E2EC7">
        <w:t xml:space="preserve"> 3</w:t>
      </w:r>
      <w:r w:rsidR="00952BDF">
        <w:t>, a total of 30 responses over a three</w:t>
      </w:r>
      <w:r w:rsidR="0085192D">
        <w:t>-</w:t>
      </w:r>
      <w:r w:rsidR="00952BDF">
        <w:t xml:space="preserve">year period and </w:t>
      </w:r>
      <w:r w:rsidR="00D259C8">
        <w:t xml:space="preserve">an average of </w:t>
      </w:r>
      <w:r w:rsidR="00952BDF">
        <w:t>10 annual responses</w:t>
      </w:r>
      <w:r w:rsidRPr="009E2EC7">
        <w:t>.</w:t>
      </w:r>
      <w:r>
        <w:t xml:space="preserve"> </w:t>
      </w:r>
    </w:p>
    <w:p w:rsidR="00BD430B" w:rsidP="00BD430B" w14:paraId="64DEF0B2" w14:textId="77777777">
      <w:pPr>
        <w:ind w:left="360"/>
      </w:pPr>
    </w:p>
    <w:p w:rsidR="00BD430B" w:rsidP="00BD430B" w14:paraId="57C4BDB2" w14:textId="6E1FDBA5">
      <w:pPr>
        <w:ind w:left="360"/>
      </w:pPr>
      <w:r w:rsidRPr="00680E8C">
        <w:t xml:space="preserve">After submission of the </w:t>
      </w:r>
      <w:r>
        <w:t>mDL</w:t>
      </w:r>
      <w:r>
        <w:t xml:space="preserve"> </w:t>
      </w:r>
      <w:r w:rsidRPr="00680E8C">
        <w:t xml:space="preserve">waiver application and </w:t>
      </w:r>
      <w:r>
        <w:t xml:space="preserve">a </w:t>
      </w:r>
      <w:r w:rsidRPr="00680E8C">
        <w:t>DHS review, DHS can make one of three determinations on the reque</w:t>
      </w:r>
      <w:r w:rsidR="009B48E3">
        <w:t>st</w:t>
      </w:r>
      <w:r w:rsidRPr="00680E8C">
        <w:t xml:space="preserve"> for a </w:t>
      </w:r>
      <w:r>
        <w:t>mDL</w:t>
      </w:r>
      <w:r>
        <w:t xml:space="preserve"> </w:t>
      </w:r>
      <w:r w:rsidRPr="00680E8C">
        <w:t xml:space="preserve">waiver: approval, insufficient, or denial. </w:t>
      </w:r>
      <w:r>
        <w:t xml:space="preserve"> </w:t>
      </w:r>
      <w:r w:rsidR="009B48E3">
        <w:t>St</w:t>
      </w:r>
      <w:r>
        <w:t>ates</w:t>
      </w:r>
      <w:r w:rsidRPr="00680E8C">
        <w:t xml:space="preserve"> </w:t>
      </w:r>
      <w:r w:rsidR="00341316">
        <w:t xml:space="preserve">can </w:t>
      </w:r>
      <w:r w:rsidRPr="00680E8C">
        <w:t>amend an insufficient waiver application and resubmit for DHS review</w:t>
      </w:r>
      <w:r w:rsidR="00B67394">
        <w:t xml:space="preserve"> or submit a new application if the initial application is denied</w:t>
      </w:r>
      <w:r w:rsidRPr="00680E8C">
        <w:t>.</w:t>
      </w:r>
      <w:r>
        <w:t xml:space="preserve">  </w:t>
      </w:r>
      <w:r w:rsidRPr="00680E8C">
        <w:t xml:space="preserve">DHS </w:t>
      </w:r>
      <w:r>
        <w:t>anticipates</w:t>
      </w:r>
      <w:r w:rsidRPr="00680E8C">
        <w:t xml:space="preserve"> all initial </w:t>
      </w:r>
      <w:r w:rsidRPr="00680E8C">
        <w:t>mDL</w:t>
      </w:r>
      <w:r w:rsidRPr="00680E8C">
        <w:t xml:space="preserve"> waiver applications would </w:t>
      </w:r>
      <w:r>
        <w:t>receive a determination of insufficient.</w:t>
      </w:r>
      <w:r w:rsidR="004D4198">
        <w:t xml:space="preserve"> </w:t>
      </w:r>
      <w:r>
        <w:t xml:space="preserve"> </w:t>
      </w:r>
      <w:r w:rsidR="00341316">
        <w:t xml:space="preserve">However, </w:t>
      </w:r>
      <w:r w:rsidRPr="00680E8C">
        <w:t xml:space="preserve">DHS intends to work with </w:t>
      </w:r>
      <w:r w:rsidR="000C31E3">
        <w:t>State</w:t>
      </w:r>
      <w:r w:rsidRPr="00680E8C">
        <w:t xml:space="preserve">s to meet the </w:t>
      </w:r>
      <w:r w:rsidRPr="00680E8C">
        <w:t>mDL</w:t>
      </w:r>
      <w:r w:rsidRPr="00680E8C">
        <w:t xml:space="preserve"> </w:t>
      </w:r>
      <w:r w:rsidR="00925D27">
        <w:t>application criteria</w:t>
      </w:r>
      <w:r>
        <w:t xml:space="preserve"> and as a result does not anticipate any applications being denied. </w:t>
      </w:r>
      <w:r w:rsidR="004D4198">
        <w:t xml:space="preserve"> </w:t>
      </w:r>
      <w:r w:rsidR="00B67394">
        <w:t xml:space="preserve">As a result, </w:t>
      </w:r>
      <w:r w:rsidR="00BE57CF">
        <w:t>States</w:t>
      </w:r>
      <w:r w:rsidR="00B67394">
        <w:t xml:space="preserve"> would not submit any new applications as a result of a denial or a request for reconsideration of a denied application.  However</w:t>
      </w:r>
      <w:r>
        <w:t xml:space="preserve">, </w:t>
      </w:r>
      <w:r w:rsidRPr="00680E8C">
        <w:t xml:space="preserve">DHS assumes </w:t>
      </w:r>
      <w:r>
        <w:t xml:space="preserve">only </w:t>
      </w:r>
      <w:r w:rsidRPr="00680E8C">
        <w:t>90 percent of applicants will resubmit</w:t>
      </w:r>
      <w:r>
        <w:t xml:space="preserve"> their</w:t>
      </w:r>
      <w:r w:rsidRPr="00680E8C">
        <w:t xml:space="preserve"> waiver applications initially deemed insufficient</w:t>
      </w:r>
      <w:r w:rsidR="00341316">
        <w:t xml:space="preserve"> with </w:t>
      </w:r>
      <w:r>
        <w:t>the remaining percentage of applicants not continu</w:t>
      </w:r>
      <w:r w:rsidR="00341316">
        <w:t>ing</w:t>
      </w:r>
      <w:r>
        <w:t xml:space="preserve"> to pursue a </w:t>
      </w:r>
      <w:r>
        <w:t>mDL</w:t>
      </w:r>
      <w:r>
        <w:t xml:space="preserve"> waiver and</w:t>
      </w:r>
      <w:r w:rsidRPr="00680E8C">
        <w:t xml:space="preserve"> wait</w:t>
      </w:r>
      <w:r w:rsidR="004D4198">
        <w:t>ing</w:t>
      </w:r>
      <w:r w:rsidRPr="00680E8C">
        <w:t xml:space="preserve"> until the </w:t>
      </w:r>
      <w:r w:rsidRPr="00680E8C">
        <w:t>mDL</w:t>
      </w:r>
      <w:r w:rsidRPr="00680E8C">
        <w:t xml:space="preserve"> environment </w:t>
      </w:r>
      <w:r>
        <w:t>is</w:t>
      </w:r>
      <w:r w:rsidRPr="00680E8C">
        <w:t xml:space="preserve"> more fully developed</w:t>
      </w:r>
      <w:r>
        <w:t xml:space="preserve">.  </w:t>
      </w:r>
      <w:r w:rsidR="00D259C8">
        <w:t>Therefore</w:t>
      </w:r>
      <w:r w:rsidR="00952BDF">
        <w:t xml:space="preserve">, </w:t>
      </w:r>
      <w:r w:rsidRPr="003B6A4B" w:rsidR="003B6A4B">
        <w:t>DHS assumes 1</w:t>
      </w:r>
      <w:r w:rsidR="003B6A4B">
        <w:t>3.</w:t>
      </w:r>
      <w:r w:rsidRPr="003B6A4B" w:rsidR="003B6A4B">
        <w:t xml:space="preserve">5 States would </w:t>
      </w:r>
      <w:r w:rsidRPr="00680E8C" w:rsidR="003B6A4B">
        <w:t>resubmit</w:t>
      </w:r>
      <w:r w:rsidR="003B6A4B">
        <w:t xml:space="preserve"> their</w:t>
      </w:r>
      <w:r w:rsidRPr="00680E8C" w:rsidR="003B6A4B">
        <w:t xml:space="preserve"> waiver </w:t>
      </w:r>
      <w:r w:rsidR="003B6A4B">
        <w:t>applications in year 1, 9</w:t>
      </w:r>
      <w:r w:rsidRPr="003B6A4B" w:rsidR="003B6A4B">
        <w:t xml:space="preserve"> States in year 2, and </w:t>
      </w:r>
      <w:r w:rsidR="003B6A4B">
        <w:t>4.</w:t>
      </w:r>
      <w:r w:rsidRPr="003B6A4B" w:rsidR="003B6A4B">
        <w:t>5 States in year 3</w:t>
      </w:r>
      <w:r w:rsidR="00952BDF">
        <w:t>, a total of 27 responses over a three</w:t>
      </w:r>
      <w:r w:rsidR="00F32E6F">
        <w:t>-</w:t>
      </w:r>
      <w:r w:rsidR="00952BDF">
        <w:t xml:space="preserve">year period and </w:t>
      </w:r>
      <w:r w:rsidR="00F32E6F">
        <w:t xml:space="preserve">an average of </w:t>
      </w:r>
      <w:r w:rsidR="00952BDF">
        <w:t>9 annual responses</w:t>
      </w:r>
      <w:r w:rsidRPr="003B6A4B" w:rsidR="003B6A4B">
        <w:t>.</w:t>
      </w:r>
    </w:p>
    <w:p w:rsidR="00BD430B" w:rsidP="00BD430B" w14:paraId="31AE381F" w14:textId="77777777">
      <w:pPr>
        <w:ind w:left="360"/>
      </w:pPr>
    </w:p>
    <w:p w:rsidR="00BD430B" w:rsidP="00BD430B" w14:paraId="03ABCAAB" w14:textId="6B869657">
      <w:pPr>
        <w:ind w:left="360"/>
      </w:pPr>
      <w:r>
        <w:t xml:space="preserve">A </w:t>
      </w:r>
      <w:r w:rsidR="000C31E3">
        <w:t>State</w:t>
      </w:r>
      <w:r>
        <w:t xml:space="preserve">’s </w:t>
      </w:r>
      <w:r>
        <w:t>mDL</w:t>
      </w:r>
      <w:r>
        <w:t xml:space="preserve"> waiver</w:t>
      </w:r>
      <w:r w:rsidRPr="00715EB5">
        <w:t xml:space="preserve"> would be </w:t>
      </w:r>
      <w:r>
        <w:t>valid for</w:t>
      </w:r>
      <w:r w:rsidRPr="00715EB5">
        <w:t xml:space="preserve"> three years</w:t>
      </w:r>
      <w:r>
        <w:t xml:space="preserve">.  </w:t>
      </w:r>
      <w:r>
        <w:rPr>
          <w:rStyle w:val="RegEvalTextChar"/>
        </w:rPr>
        <w:t xml:space="preserve">Therefore, </w:t>
      </w:r>
      <w:r w:rsidR="000C31E3">
        <w:rPr>
          <w:rStyle w:val="RegEvalTextChar"/>
        </w:rPr>
        <w:t>State</w:t>
      </w:r>
      <w:r w:rsidRPr="004800CE">
        <w:rPr>
          <w:rStyle w:val="RegEvalTextChar"/>
        </w:rPr>
        <w:t xml:space="preserve">s granted a </w:t>
      </w:r>
      <w:r w:rsidRPr="004800CE">
        <w:rPr>
          <w:rStyle w:val="RegEvalTextChar"/>
        </w:rPr>
        <w:t>mDL</w:t>
      </w:r>
      <w:r w:rsidRPr="004800CE">
        <w:rPr>
          <w:rStyle w:val="RegEvalTextChar"/>
        </w:rPr>
        <w:t xml:space="preserve"> waiver in Year 1 would </w:t>
      </w:r>
      <w:r>
        <w:rPr>
          <w:rStyle w:val="RegEvalTextChar"/>
        </w:rPr>
        <w:t xml:space="preserve">need to </w:t>
      </w:r>
      <w:r w:rsidR="00EF604C">
        <w:rPr>
          <w:rStyle w:val="RegEvalTextChar"/>
        </w:rPr>
        <w:t xml:space="preserve">submit a </w:t>
      </w:r>
      <w:r w:rsidR="00EF604C">
        <w:rPr>
          <w:rStyle w:val="RegEvalTextChar"/>
        </w:rPr>
        <w:t>mDL</w:t>
      </w:r>
      <w:r w:rsidR="00EF604C">
        <w:rPr>
          <w:rStyle w:val="RegEvalTextChar"/>
        </w:rPr>
        <w:t xml:space="preserve"> waiver reapplication</w:t>
      </w:r>
      <w:r w:rsidRPr="004800CE">
        <w:rPr>
          <w:rStyle w:val="RegEvalTextChar"/>
        </w:rPr>
        <w:t xml:space="preserve"> </w:t>
      </w:r>
      <w:r>
        <w:rPr>
          <w:rStyle w:val="RegEvalTextChar"/>
        </w:rPr>
        <w:t xml:space="preserve">in </w:t>
      </w:r>
      <w:r>
        <w:t>Year 4 of the analysis</w:t>
      </w:r>
      <w:r w:rsidR="00D41350">
        <w:t>.</w:t>
      </w:r>
    </w:p>
    <w:p w:rsidR="00BD430B" w:rsidP="00BD430B" w14:paraId="708AA795" w14:textId="77777777">
      <w:pPr>
        <w:ind w:left="360"/>
      </w:pPr>
    </w:p>
    <w:p w:rsidR="00BD430B" w:rsidP="00BD430B" w14:paraId="124BF871" w14:textId="639A7DAD">
      <w:pPr>
        <w:ind w:left="360"/>
      </w:pPr>
      <w:r w:rsidRPr="00715EB5">
        <w:t xml:space="preserve">DHS technology </w:t>
      </w:r>
      <w:r>
        <w:t>subject matter experts (</w:t>
      </w:r>
      <w:r w:rsidRPr="00715EB5">
        <w:t>SMEs</w:t>
      </w:r>
      <w:r>
        <w:t>)</w:t>
      </w:r>
      <w:r w:rsidRPr="00715EB5">
        <w:t xml:space="preserve"> e</w:t>
      </w:r>
      <w:r w:rsidR="009B48E3">
        <w:t>st</w:t>
      </w:r>
      <w:r w:rsidRPr="00715EB5">
        <w:t xml:space="preserve">imate that the </w:t>
      </w:r>
      <w:r w:rsidR="00F32E6F">
        <w:t xml:space="preserve">initial </w:t>
      </w:r>
      <w:r w:rsidRPr="00715EB5">
        <w:t>mDL</w:t>
      </w:r>
      <w:r w:rsidRPr="00715EB5">
        <w:t xml:space="preserve"> waiver application would take, on average, </w:t>
      </w:r>
      <w:r w:rsidR="00CE21B1">
        <w:t>20</w:t>
      </w:r>
      <w:r w:rsidRPr="00715EB5">
        <w:t xml:space="preserve"> hours to complete. </w:t>
      </w:r>
      <w:r>
        <w:t xml:space="preserve"> </w:t>
      </w:r>
      <w:r w:rsidRPr="00715EB5">
        <w:t>DHS also e</w:t>
      </w:r>
      <w:r w:rsidR="009B48E3">
        <w:t>st</w:t>
      </w:r>
      <w:r w:rsidRPr="00715EB5">
        <w:t xml:space="preserve">imates that </w:t>
      </w:r>
      <w:r w:rsidRPr="00715EB5">
        <w:t>mDL</w:t>
      </w:r>
      <w:r w:rsidRPr="00715EB5">
        <w:t xml:space="preserve"> waiver resubmissions would take 25 percent of the initial </w:t>
      </w:r>
      <w:r w:rsidRPr="00715EB5">
        <w:t>mDL</w:t>
      </w:r>
      <w:r w:rsidRPr="00715EB5">
        <w:t xml:space="preserve"> waiver application time</w:t>
      </w:r>
      <w:r>
        <w:t>,</w:t>
      </w:r>
      <w:r w:rsidRPr="00715EB5">
        <w:t xml:space="preserve"> which equates </w:t>
      </w:r>
      <w:r>
        <w:t xml:space="preserve">to </w:t>
      </w:r>
      <w:r w:rsidR="00CE21B1">
        <w:t>5</w:t>
      </w:r>
      <w:r>
        <w:t xml:space="preserve"> hours.</w:t>
      </w:r>
      <w:r>
        <w:rPr>
          <w:rStyle w:val="FootnoteReference"/>
        </w:rPr>
        <w:footnoteReference w:id="12"/>
      </w:r>
    </w:p>
    <w:p w:rsidR="00CE21B1" w:rsidP="00BD430B" w14:paraId="0786BD87" w14:textId="77777777">
      <w:pPr>
        <w:ind w:left="360"/>
      </w:pPr>
    </w:p>
    <w:p w:rsidR="00CE21B1" w:rsidP="00BD430B" w14:paraId="5721998A" w14:textId="71690315">
      <w:pPr>
        <w:ind w:left="360"/>
      </w:pPr>
      <w:r w:rsidRPr="00CE21B1">
        <w:t>DHS does not possess sufficient information to e</w:t>
      </w:r>
      <w:r w:rsidR="009B48E3">
        <w:t>st</w:t>
      </w:r>
      <w:r w:rsidRPr="00CE21B1">
        <w:t xml:space="preserve">imate the frequency </w:t>
      </w:r>
      <w:r w:rsidR="00DA7898">
        <w:t xml:space="preserve">of potential or actual suspensions or terminations of a State’s </w:t>
      </w:r>
      <w:r w:rsidR="00DA7898">
        <w:t>mDL</w:t>
      </w:r>
      <w:r w:rsidR="00DA7898">
        <w:t xml:space="preserve"> waiver or the frequency of reporting related to </w:t>
      </w:r>
      <w:r w:rsidRPr="00CE21B1">
        <w:t>material changes</w:t>
      </w:r>
      <w:r w:rsidR="00341316">
        <w:t xml:space="preserve"> </w:t>
      </w:r>
      <w:r w:rsidR="002E1BB0">
        <w:t xml:space="preserve">or threats to security, privacy, or data integrity.  </w:t>
      </w:r>
      <w:r w:rsidR="00BE57CF">
        <w:t xml:space="preserve">DHS assumes there would not be more than 9 collections related to reporting or responses to DHS notices of suspensions or terminations, and as such, these collections would not be subject to the PRA.  </w:t>
      </w:r>
      <w:r w:rsidR="00BE57CF">
        <w:t xml:space="preserve">Events related to reporting or waiver suspensions and terminations likely have a low probability of occurrence.  In addition, DHS estimates only 30 States would submit a </w:t>
      </w:r>
      <w:r w:rsidR="00BE57CF">
        <w:t>mDL</w:t>
      </w:r>
      <w:r w:rsidR="00BE57CF">
        <w:t xml:space="preserve"> waiver application over the three-year period.  </w:t>
      </w:r>
      <w:r w:rsidR="00DA7898">
        <w:t xml:space="preserve">DHS </w:t>
      </w:r>
      <w:r w:rsidR="00FE48F2">
        <w:t>will provide more</w:t>
      </w:r>
      <w:r w:rsidR="00EA0386">
        <w:t xml:space="preserve"> data on the frequency and burden of suspensions, terminations, and reporting </w:t>
      </w:r>
      <w:r w:rsidR="00FE48F2">
        <w:t>upon the renewal of this information collection.</w:t>
      </w:r>
    </w:p>
    <w:p w:rsidR="00BD430B" w:rsidP="00BD430B" w14:paraId="3F0C377F" w14:textId="77777777">
      <w:pPr>
        <w:ind w:left="360"/>
      </w:pPr>
    </w:p>
    <w:p w:rsidR="00BD430B" w:rsidP="00BD430B" w14:paraId="52B9E059" w14:textId="6A47161B">
      <w:pPr>
        <w:ind w:left="360"/>
        <w:rPr>
          <w:rFonts w:eastAsiaTheme="minorHAnsi"/>
        </w:rPr>
      </w:pPr>
      <w:r>
        <w:rPr>
          <w:rFonts w:eastAsiaTheme="minorHAnsi"/>
        </w:rPr>
        <w:t>DHS e</w:t>
      </w:r>
      <w:r w:rsidR="009B48E3">
        <w:rPr>
          <w:rFonts w:eastAsiaTheme="minorHAnsi"/>
        </w:rPr>
        <w:t>st</w:t>
      </w:r>
      <w:r>
        <w:rPr>
          <w:rFonts w:eastAsiaTheme="minorHAnsi"/>
        </w:rPr>
        <w:t>imates t</w:t>
      </w:r>
      <w:r w:rsidRPr="00FB51B1">
        <w:rPr>
          <w:rFonts w:eastAsiaTheme="minorHAnsi"/>
        </w:rPr>
        <w:t xml:space="preserve">he </w:t>
      </w:r>
      <w:r>
        <w:rPr>
          <w:rFonts w:eastAsiaTheme="minorHAnsi"/>
        </w:rPr>
        <w:t>total three-year</w:t>
      </w:r>
      <w:r w:rsidRPr="00FB51B1">
        <w:rPr>
          <w:rFonts w:eastAsiaTheme="minorHAnsi"/>
        </w:rPr>
        <w:t xml:space="preserve"> burden for </w:t>
      </w:r>
      <w:r>
        <w:rPr>
          <w:rFonts w:eastAsiaTheme="minorHAnsi"/>
        </w:rPr>
        <w:t>mDL</w:t>
      </w:r>
      <w:r>
        <w:rPr>
          <w:rFonts w:eastAsiaTheme="minorHAnsi"/>
        </w:rPr>
        <w:t xml:space="preserve"> waiver applicati</w:t>
      </w:r>
      <w:r w:rsidR="00EF604C">
        <w:rPr>
          <w:rFonts w:eastAsiaTheme="minorHAnsi"/>
        </w:rPr>
        <w:t xml:space="preserve">ons and </w:t>
      </w:r>
      <w:r w:rsidR="00EF604C">
        <w:rPr>
          <w:rFonts w:eastAsiaTheme="minorHAnsi"/>
        </w:rPr>
        <w:t>mDL</w:t>
      </w:r>
      <w:r w:rsidR="00EF604C">
        <w:rPr>
          <w:rFonts w:eastAsiaTheme="minorHAnsi"/>
        </w:rPr>
        <w:t xml:space="preserve"> waiver resubmissions</w:t>
      </w:r>
      <w:r w:rsidRPr="00FB51B1">
        <w:rPr>
          <w:rFonts w:eastAsiaTheme="minorHAnsi"/>
        </w:rPr>
        <w:t xml:space="preserve"> is </w:t>
      </w:r>
      <w:r>
        <w:rPr>
          <w:rFonts w:eastAsiaTheme="minorHAnsi"/>
        </w:rPr>
        <w:t>57</w:t>
      </w:r>
      <w:r w:rsidRPr="00FB51B1">
        <w:rPr>
          <w:rFonts w:eastAsiaTheme="minorHAnsi"/>
        </w:rPr>
        <w:t xml:space="preserve"> responses and </w:t>
      </w:r>
      <w:r w:rsidR="009C4AE9">
        <w:rPr>
          <w:rFonts w:eastAsiaTheme="minorHAnsi"/>
        </w:rPr>
        <w:t>735</w:t>
      </w:r>
      <w:r>
        <w:rPr>
          <w:rFonts w:eastAsiaTheme="minorHAnsi"/>
        </w:rPr>
        <w:t xml:space="preserve"> </w:t>
      </w:r>
      <w:r w:rsidRPr="00FB51B1">
        <w:rPr>
          <w:rFonts w:eastAsiaTheme="minorHAnsi"/>
        </w:rPr>
        <w:t>hours.</w:t>
      </w:r>
      <w:r>
        <w:rPr>
          <w:rFonts w:eastAsiaTheme="minorHAnsi"/>
        </w:rPr>
        <w:t xml:space="preserve">  DHS e</w:t>
      </w:r>
      <w:r w:rsidR="009B48E3">
        <w:rPr>
          <w:rFonts w:eastAsiaTheme="minorHAnsi"/>
        </w:rPr>
        <w:t>st</w:t>
      </w:r>
      <w:r>
        <w:rPr>
          <w:rFonts w:eastAsiaTheme="minorHAnsi"/>
        </w:rPr>
        <w:t xml:space="preserve">imates an average yearly burden of 19 responses and </w:t>
      </w:r>
      <w:r w:rsidR="009C4AE9">
        <w:rPr>
          <w:rFonts w:eastAsiaTheme="minorHAnsi"/>
        </w:rPr>
        <w:t>245</w:t>
      </w:r>
      <w:r>
        <w:rPr>
          <w:rFonts w:eastAsiaTheme="minorHAnsi"/>
        </w:rPr>
        <w:t xml:space="preserve"> hours. </w:t>
      </w:r>
    </w:p>
    <w:p w:rsidR="00BD430B" w:rsidP="00BD430B" w14:paraId="3FE08EAC" w14:textId="77777777">
      <w:pPr>
        <w:ind w:left="360"/>
        <w:rPr>
          <w:rFonts w:eastAsiaTheme="minorHAnsi"/>
        </w:rPr>
      </w:pPr>
    </w:p>
    <w:p w:rsidR="00BD430B" w:rsidRPr="00182B0F" w:rsidP="00BD430B" w14:paraId="24CE3C3F" w14:textId="6BEF17CA">
      <w:pPr>
        <w:ind w:left="360"/>
      </w:pPr>
      <w:r w:rsidRPr="00182B0F">
        <w:t>DHS assumes a weighted average hourly compensation rate of $</w:t>
      </w:r>
      <w:r w:rsidRPr="009857F5">
        <w:t>76.90</w:t>
      </w:r>
      <w:r>
        <w:rPr>
          <w:rStyle w:val="FootnoteReference"/>
        </w:rPr>
        <w:footnoteReference w:id="13"/>
      </w:r>
      <w:r w:rsidRPr="00182B0F">
        <w:t xml:space="preserve"> for the </w:t>
      </w:r>
      <w:r w:rsidR="000C31E3">
        <w:t>State</w:t>
      </w:r>
      <w:r w:rsidRPr="00182B0F">
        <w:t xml:space="preserve"> </w:t>
      </w:r>
      <w:r>
        <w:t>employees</w:t>
      </w:r>
      <w:r w:rsidRPr="00182B0F">
        <w:t xml:space="preserve"> that would submit the information collections. </w:t>
      </w:r>
      <w:r>
        <w:t xml:space="preserve"> </w:t>
      </w:r>
      <w:r w:rsidRPr="00182B0F">
        <w:t>DHS e</w:t>
      </w:r>
      <w:r w:rsidR="009B48E3">
        <w:t>st</w:t>
      </w:r>
      <w:r w:rsidRPr="00182B0F">
        <w:t xml:space="preserve">imates </w:t>
      </w:r>
      <w:r w:rsidR="000C31E3">
        <w:t>State</w:t>
      </w:r>
      <w:r w:rsidRPr="00182B0F">
        <w:t>s would incur a total co</w:t>
      </w:r>
      <w:r w:rsidR="009B48E3">
        <w:t>st</w:t>
      </w:r>
      <w:r w:rsidRPr="00182B0F">
        <w:t xml:space="preserve"> of $</w:t>
      </w:r>
      <w:r w:rsidR="009C4AE9">
        <w:t>56,518</w:t>
      </w:r>
      <w:r w:rsidRPr="00182B0F">
        <w:t xml:space="preserve"> to submit the information collections in the fir</w:t>
      </w:r>
      <w:r w:rsidR="009B48E3">
        <w:t>st</w:t>
      </w:r>
      <w:r w:rsidRPr="00182B0F">
        <w:t xml:space="preserve"> three years of the analysis. </w:t>
      </w:r>
      <w:r>
        <w:t xml:space="preserve"> </w:t>
      </w:r>
      <w:r w:rsidRPr="00182B0F">
        <w:t>This equates to an annual average co</w:t>
      </w:r>
      <w:r w:rsidR="009B48E3">
        <w:t>st</w:t>
      </w:r>
      <w:r w:rsidRPr="00182B0F">
        <w:t xml:space="preserve"> of $</w:t>
      </w:r>
      <w:r w:rsidR="009C4AE9">
        <w:t>18,839</w:t>
      </w:r>
      <w:r w:rsidRPr="00182B0F">
        <w:t>.</w:t>
      </w:r>
      <w:r w:rsidRPr="001E5CA1">
        <w:rPr>
          <w:rStyle w:val="RegEvalTextChar"/>
        </w:rPr>
        <w:t xml:space="preserve"> </w:t>
      </w:r>
      <w:r w:rsidR="009C4AE9">
        <w:rPr>
          <w:rStyle w:val="RegEvalTextChar"/>
        </w:rPr>
        <w:t xml:space="preserve"> </w:t>
      </w:r>
      <w:r>
        <w:rPr>
          <w:rStyle w:val="RegEvalTextChar"/>
        </w:rPr>
        <w:t>Details of the calculations can be found in the following table.</w:t>
      </w:r>
    </w:p>
    <w:p w:rsidR="00BD430B" w:rsidP="00BD430B" w14:paraId="16E9F59C" w14:textId="77777777">
      <w:pPr>
        <w:ind w:left="360"/>
      </w:pPr>
    </w:p>
    <w:p w:rsidR="00BD430B" w:rsidP="00BD430B" w14:paraId="28802868" w14:textId="1A2357C3">
      <w:pPr>
        <w:ind w:left="360"/>
        <w:rPr>
          <w:rFonts w:cs="Times New Roman"/>
          <w:b/>
          <w:color w:val="auto"/>
          <w:szCs w:val="24"/>
        </w:rPr>
      </w:pPr>
      <w:r>
        <w:rPr>
          <w:rFonts w:cs="Times New Roman"/>
          <w:b/>
          <w:color w:val="auto"/>
          <w:szCs w:val="24"/>
        </w:rPr>
        <w:t xml:space="preserve">Table 1: </w:t>
      </w:r>
      <w:r w:rsidRPr="00D83E64">
        <w:rPr>
          <w:rFonts w:cs="Times New Roman"/>
          <w:b/>
          <w:color w:val="auto"/>
          <w:szCs w:val="24"/>
        </w:rPr>
        <w:t>Information Collection Responses</w:t>
      </w:r>
      <w:r>
        <w:rPr>
          <w:rFonts w:cs="Times New Roman"/>
          <w:b/>
          <w:color w:val="auto"/>
          <w:szCs w:val="24"/>
        </w:rPr>
        <w:t xml:space="preserve">, </w:t>
      </w:r>
      <w:r w:rsidRPr="00D83E64">
        <w:rPr>
          <w:rFonts w:cs="Times New Roman"/>
          <w:b/>
          <w:color w:val="auto"/>
          <w:szCs w:val="24"/>
        </w:rPr>
        <w:t>Burden Hours</w:t>
      </w:r>
      <w:r>
        <w:rPr>
          <w:rFonts w:cs="Times New Roman"/>
          <w:b/>
          <w:color w:val="auto"/>
          <w:szCs w:val="24"/>
        </w:rPr>
        <w:t>, and Burden Co</w:t>
      </w:r>
      <w:r w:rsidR="009B48E3">
        <w:rPr>
          <w:rFonts w:cs="Times New Roman"/>
          <w:b/>
          <w:color w:val="auto"/>
          <w:szCs w:val="24"/>
        </w:rPr>
        <w:t>st</w:t>
      </w:r>
      <w:r>
        <w:rPr>
          <w:rFonts w:cs="Times New Roman"/>
          <w:b/>
          <w:color w:val="auto"/>
          <w:szCs w:val="24"/>
        </w:rPr>
        <w:t>s</w:t>
      </w:r>
    </w:p>
    <w:tbl>
      <w:tblPr>
        <w:tblW w:w="9035" w:type="dxa"/>
        <w:tblLook w:val="04A0"/>
      </w:tblPr>
      <w:tblGrid>
        <w:gridCol w:w="1077"/>
        <w:gridCol w:w="1343"/>
        <w:gridCol w:w="1472"/>
        <w:gridCol w:w="1228"/>
        <w:gridCol w:w="1440"/>
        <w:gridCol w:w="1255"/>
        <w:gridCol w:w="1220"/>
      </w:tblGrid>
      <w:tr w14:paraId="52BFADDD" w14:textId="77777777" w:rsidTr="006F6EEA">
        <w:tblPrEx>
          <w:tblW w:w="9035" w:type="dxa"/>
          <w:tblLook w:val="04A0"/>
        </w:tblPrEx>
        <w:trPr>
          <w:trHeight w:val="432"/>
        </w:trPr>
        <w:tc>
          <w:tcPr>
            <w:tcW w:w="107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D0E59" w:rsidRPr="00DD0E59" w:rsidP="00DD0E59" w14:paraId="7B149D73" w14:textId="77777777">
            <w:pPr>
              <w:jc w:val="center"/>
              <w:rPr>
                <w:rFonts w:cs="Times New Roman"/>
                <w:b/>
                <w:bCs/>
                <w:sz w:val="20"/>
              </w:rPr>
            </w:pPr>
            <w:r w:rsidRPr="00DD0E59">
              <w:rPr>
                <w:rFonts w:cs="Times New Roman"/>
                <w:b/>
                <w:bCs/>
                <w:sz w:val="20"/>
              </w:rPr>
              <w:t>Year</w:t>
            </w:r>
          </w:p>
        </w:tc>
        <w:tc>
          <w:tcPr>
            <w:tcW w:w="4043"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D0E59" w:rsidRPr="00DD0E59" w:rsidP="00DD0E59" w14:paraId="60E9498C" w14:textId="361BA0DF">
            <w:pPr>
              <w:jc w:val="center"/>
              <w:rPr>
                <w:rFonts w:cs="Times New Roman"/>
                <w:b/>
                <w:bCs/>
                <w:sz w:val="20"/>
              </w:rPr>
            </w:pPr>
            <w:r w:rsidRPr="00DD0E59">
              <w:rPr>
                <w:rFonts w:cs="Times New Roman"/>
                <w:b/>
                <w:bCs/>
                <w:sz w:val="20"/>
              </w:rPr>
              <w:t>Collection Activity</w:t>
            </w:r>
            <w:r>
              <w:rPr>
                <w:rStyle w:val="FootnoteReference"/>
                <w:b/>
                <w:bCs/>
                <w:sz w:val="20"/>
              </w:rPr>
              <w:footnoteReference w:id="14"/>
            </w:r>
          </w:p>
        </w:tc>
        <w:tc>
          <w:tcPr>
            <w:tcW w:w="1440" w:type="dxa"/>
            <w:vMerge w:val="restart"/>
            <w:tcBorders>
              <w:top w:val="single" w:sz="8" w:space="0" w:color="auto"/>
              <w:left w:val="single" w:sz="8" w:space="0" w:color="auto"/>
              <w:bottom w:val="nil"/>
              <w:right w:val="single" w:sz="8" w:space="0" w:color="auto"/>
            </w:tcBorders>
            <w:shd w:val="clear" w:color="auto" w:fill="auto"/>
            <w:vAlign w:val="center"/>
            <w:hideMark/>
          </w:tcPr>
          <w:p w:rsidR="00DD0E59" w:rsidRPr="00DD0E59" w:rsidP="00DD0E59" w14:paraId="70B77AF7" w14:textId="77777777">
            <w:pPr>
              <w:jc w:val="center"/>
              <w:rPr>
                <w:rFonts w:cs="Times New Roman"/>
                <w:b/>
                <w:bCs/>
                <w:sz w:val="20"/>
              </w:rPr>
            </w:pPr>
            <w:r w:rsidRPr="00DD0E59">
              <w:rPr>
                <w:rFonts w:cs="Times New Roman"/>
                <w:b/>
                <w:bCs/>
                <w:sz w:val="20"/>
              </w:rPr>
              <w:t>Total Burden Hours</w:t>
            </w:r>
          </w:p>
        </w:tc>
        <w:tc>
          <w:tcPr>
            <w:tcW w:w="125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D0E59" w:rsidRPr="00DD0E59" w:rsidP="00DD0E59" w14:paraId="49F54047" w14:textId="77777777">
            <w:pPr>
              <w:jc w:val="center"/>
              <w:rPr>
                <w:rFonts w:cs="Times New Roman"/>
                <w:b/>
                <w:bCs/>
                <w:sz w:val="20"/>
              </w:rPr>
            </w:pPr>
            <w:r w:rsidRPr="00DD0E59">
              <w:rPr>
                <w:rFonts w:cs="Times New Roman"/>
                <w:b/>
                <w:bCs/>
                <w:sz w:val="20"/>
              </w:rPr>
              <w:t>Wage Rate</w:t>
            </w:r>
          </w:p>
        </w:tc>
        <w:tc>
          <w:tcPr>
            <w:tcW w:w="122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DD0E59" w:rsidRPr="00DD0E59" w:rsidP="00DD0E59" w14:paraId="60AFC905" w14:textId="58EA885D">
            <w:pPr>
              <w:jc w:val="center"/>
              <w:rPr>
                <w:rFonts w:cs="Times New Roman"/>
                <w:b/>
                <w:bCs/>
                <w:sz w:val="20"/>
              </w:rPr>
            </w:pPr>
            <w:r w:rsidRPr="00DD0E59">
              <w:rPr>
                <w:rFonts w:cs="Times New Roman"/>
                <w:b/>
                <w:bCs/>
                <w:sz w:val="20"/>
              </w:rPr>
              <w:t>Time Burden Co</w:t>
            </w:r>
            <w:r w:rsidR="009B48E3">
              <w:rPr>
                <w:rFonts w:cs="Times New Roman"/>
                <w:b/>
                <w:bCs/>
                <w:sz w:val="20"/>
              </w:rPr>
              <w:t>st</w:t>
            </w:r>
          </w:p>
        </w:tc>
      </w:tr>
      <w:tr w14:paraId="66C3EEEE" w14:textId="77777777" w:rsidTr="006F6EEA">
        <w:tblPrEx>
          <w:tblW w:w="9035" w:type="dxa"/>
          <w:tblLook w:val="04A0"/>
        </w:tblPrEx>
        <w:trPr>
          <w:trHeight w:val="530"/>
        </w:trPr>
        <w:tc>
          <w:tcPr>
            <w:tcW w:w="1077" w:type="dxa"/>
            <w:vMerge/>
            <w:tcBorders>
              <w:top w:val="single" w:sz="8" w:space="0" w:color="auto"/>
              <w:left w:val="single" w:sz="8" w:space="0" w:color="auto"/>
              <w:bottom w:val="single" w:sz="8" w:space="0" w:color="000000"/>
              <w:right w:val="single" w:sz="8" w:space="0" w:color="auto"/>
            </w:tcBorders>
            <w:vAlign w:val="center"/>
            <w:hideMark/>
          </w:tcPr>
          <w:p w:rsidR="00DD0E59" w:rsidRPr="00DD0E59" w:rsidP="00DD0E59" w14:paraId="1E7DEA74" w14:textId="77777777">
            <w:pPr>
              <w:rPr>
                <w:rFonts w:cs="Times New Roman"/>
                <w:b/>
                <w:bCs/>
                <w:sz w:val="20"/>
              </w:rPr>
            </w:pPr>
          </w:p>
        </w:tc>
        <w:tc>
          <w:tcPr>
            <w:tcW w:w="1343" w:type="dxa"/>
            <w:tcBorders>
              <w:top w:val="nil"/>
              <w:left w:val="nil"/>
              <w:bottom w:val="nil"/>
              <w:right w:val="nil"/>
            </w:tcBorders>
            <w:shd w:val="clear" w:color="auto" w:fill="auto"/>
            <w:vAlign w:val="center"/>
            <w:hideMark/>
          </w:tcPr>
          <w:p w:rsidR="00DD0E59" w:rsidRPr="00DD0E59" w:rsidP="00DD0E59" w14:paraId="5F981E95" w14:textId="77777777">
            <w:pPr>
              <w:jc w:val="center"/>
              <w:rPr>
                <w:rFonts w:cs="Times New Roman"/>
                <w:b/>
                <w:bCs/>
                <w:sz w:val="20"/>
              </w:rPr>
            </w:pPr>
            <w:r w:rsidRPr="00DD0E59">
              <w:rPr>
                <w:rFonts w:cs="Times New Roman"/>
                <w:b/>
                <w:bCs/>
                <w:sz w:val="20"/>
              </w:rPr>
              <w:t>Waiver Applications</w:t>
            </w:r>
          </w:p>
        </w:tc>
        <w:tc>
          <w:tcPr>
            <w:tcW w:w="1472" w:type="dxa"/>
            <w:tcBorders>
              <w:top w:val="nil"/>
              <w:left w:val="single" w:sz="8" w:space="0" w:color="auto"/>
              <w:bottom w:val="nil"/>
              <w:right w:val="single" w:sz="8" w:space="0" w:color="auto"/>
            </w:tcBorders>
            <w:shd w:val="clear" w:color="auto" w:fill="auto"/>
            <w:vAlign w:val="center"/>
            <w:hideMark/>
          </w:tcPr>
          <w:p w:rsidR="00DD0E59" w:rsidRPr="00DD0E59" w:rsidP="00DD0E59" w14:paraId="69DA2E0A" w14:textId="77777777">
            <w:pPr>
              <w:jc w:val="center"/>
              <w:rPr>
                <w:rFonts w:cs="Times New Roman"/>
                <w:b/>
                <w:bCs/>
                <w:sz w:val="20"/>
              </w:rPr>
            </w:pPr>
            <w:r w:rsidRPr="00DD0E59">
              <w:rPr>
                <w:rFonts w:cs="Times New Roman"/>
                <w:b/>
                <w:bCs/>
                <w:sz w:val="20"/>
              </w:rPr>
              <w:t>Waiver Resubmissions</w:t>
            </w:r>
          </w:p>
        </w:tc>
        <w:tc>
          <w:tcPr>
            <w:tcW w:w="1228" w:type="dxa"/>
            <w:tcBorders>
              <w:top w:val="nil"/>
              <w:left w:val="nil"/>
              <w:bottom w:val="nil"/>
              <w:right w:val="nil"/>
            </w:tcBorders>
            <w:shd w:val="clear" w:color="auto" w:fill="auto"/>
            <w:vAlign w:val="center"/>
            <w:hideMark/>
          </w:tcPr>
          <w:p w:rsidR="00DD0E59" w:rsidRPr="00DD0E59" w:rsidP="00DD0E59" w14:paraId="722535C2" w14:textId="77777777">
            <w:pPr>
              <w:jc w:val="center"/>
              <w:rPr>
                <w:rFonts w:cs="Times New Roman"/>
                <w:b/>
                <w:bCs/>
                <w:sz w:val="20"/>
              </w:rPr>
            </w:pPr>
            <w:r w:rsidRPr="00DD0E59">
              <w:rPr>
                <w:rFonts w:cs="Times New Roman"/>
                <w:b/>
                <w:bCs/>
                <w:sz w:val="20"/>
              </w:rPr>
              <w:t>Total Responses</w:t>
            </w:r>
          </w:p>
        </w:tc>
        <w:tc>
          <w:tcPr>
            <w:tcW w:w="1440" w:type="dxa"/>
            <w:vMerge/>
            <w:tcBorders>
              <w:top w:val="single" w:sz="8" w:space="0" w:color="auto"/>
              <w:left w:val="single" w:sz="8" w:space="0" w:color="auto"/>
              <w:bottom w:val="nil"/>
              <w:right w:val="single" w:sz="8" w:space="0" w:color="auto"/>
            </w:tcBorders>
            <w:vAlign w:val="center"/>
            <w:hideMark/>
          </w:tcPr>
          <w:p w:rsidR="00DD0E59" w:rsidRPr="00DD0E59" w:rsidP="00DD0E59" w14:paraId="188C448C" w14:textId="77777777">
            <w:pPr>
              <w:rPr>
                <w:rFonts w:cs="Times New Roman"/>
                <w:b/>
                <w:bCs/>
                <w:sz w:val="20"/>
              </w:rPr>
            </w:pPr>
          </w:p>
        </w:tc>
        <w:tc>
          <w:tcPr>
            <w:tcW w:w="1255" w:type="dxa"/>
            <w:vMerge/>
            <w:tcBorders>
              <w:top w:val="single" w:sz="8" w:space="0" w:color="auto"/>
              <w:left w:val="single" w:sz="4" w:space="0" w:color="auto"/>
              <w:bottom w:val="single" w:sz="4" w:space="0" w:color="auto"/>
              <w:right w:val="single" w:sz="4" w:space="0" w:color="auto"/>
            </w:tcBorders>
            <w:vAlign w:val="center"/>
            <w:hideMark/>
          </w:tcPr>
          <w:p w:rsidR="00DD0E59" w:rsidRPr="00DD0E59" w:rsidP="00DD0E59" w14:paraId="582E6615" w14:textId="77777777">
            <w:pPr>
              <w:rPr>
                <w:rFonts w:cs="Times New Roman"/>
                <w:b/>
                <w:bCs/>
                <w:sz w:val="20"/>
              </w:rPr>
            </w:pPr>
          </w:p>
        </w:tc>
        <w:tc>
          <w:tcPr>
            <w:tcW w:w="1220" w:type="dxa"/>
            <w:vMerge/>
            <w:tcBorders>
              <w:top w:val="single" w:sz="8" w:space="0" w:color="auto"/>
              <w:left w:val="single" w:sz="4" w:space="0" w:color="auto"/>
              <w:bottom w:val="single" w:sz="4" w:space="0" w:color="auto"/>
              <w:right w:val="single" w:sz="8" w:space="0" w:color="auto"/>
            </w:tcBorders>
            <w:vAlign w:val="center"/>
            <w:hideMark/>
          </w:tcPr>
          <w:p w:rsidR="00DD0E59" w:rsidRPr="00DD0E59" w:rsidP="00DD0E59" w14:paraId="070F0874" w14:textId="77777777">
            <w:pPr>
              <w:rPr>
                <w:rFonts w:cs="Times New Roman"/>
                <w:b/>
                <w:bCs/>
                <w:sz w:val="20"/>
              </w:rPr>
            </w:pPr>
          </w:p>
        </w:tc>
      </w:tr>
      <w:tr w14:paraId="1418B2CE" w14:textId="77777777" w:rsidTr="006F6EEA">
        <w:tblPrEx>
          <w:tblW w:w="9035" w:type="dxa"/>
          <w:tblLook w:val="04A0"/>
        </w:tblPrEx>
        <w:trPr>
          <w:trHeight w:val="432"/>
        </w:trPr>
        <w:tc>
          <w:tcPr>
            <w:tcW w:w="1077" w:type="dxa"/>
            <w:vMerge/>
            <w:tcBorders>
              <w:top w:val="single" w:sz="8" w:space="0" w:color="auto"/>
              <w:left w:val="single" w:sz="8" w:space="0" w:color="auto"/>
              <w:bottom w:val="single" w:sz="8" w:space="0" w:color="000000"/>
              <w:right w:val="single" w:sz="8" w:space="0" w:color="auto"/>
            </w:tcBorders>
            <w:vAlign w:val="center"/>
            <w:hideMark/>
          </w:tcPr>
          <w:p w:rsidR="00DD0E59" w:rsidRPr="00DD0E59" w:rsidP="00DD0E59" w14:paraId="05B2016C" w14:textId="77777777">
            <w:pPr>
              <w:rPr>
                <w:rFonts w:cs="Times New Roman"/>
                <w:b/>
                <w:bCs/>
                <w:sz w:val="20"/>
              </w:rPr>
            </w:pPr>
          </w:p>
        </w:tc>
        <w:tc>
          <w:tcPr>
            <w:tcW w:w="1343" w:type="dxa"/>
            <w:tcBorders>
              <w:top w:val="single" w:sz="8" w:space="0" w:color="auto"/>
              <w:left w:val="nil"/>
              <w:bottom w:val="single" w:sz="8" w:space="0" w:color="auto"/>
              <w:right w:val="single" w:sz="8" w:space="0" w:color="auto"/>
            </w:tcBorders>
            <w:shd w:val="clear" w:color="auto" w:fill="auto"/>
            <w:noWrap/>
            <w:vAlign w:val="center"/>
            <w:hideMark/>
          </w:tcPr>
          <w:p w:rsidR="00DD0E59" w:rsidRPr="00DD0E59" w:rsidP="00DD0E59" w14:paraId="18ED415C" w14:textId="77777777">
            <w:pPr>
              <w:jc w:val="center"/>
              <w:rPr>
                <w:rFonts w:cs="Times New Roman"/>
                <w:sz w:val="20"/>
              </w:rPr>
            </w:pPr>
            <w:r w:rsidRPr="00DD0E59">
              <w:rPr>
                <w:rFonts w:cs="Times New Roman"/>
                <w:sz w:val="20"/>
              </w:rPr>
              <w:t>a</w:t>
            </w:r>
          </w:p>
        </w:tc>
        <w:tc>
          <w:tcPr>
            <w:tcW w:w="1472" w:type="dxa"/>
            <w:tcBorders>
              <w:top w:val="single" w:sz="8" w:space="0" w:color="auto"/>
              <w:left w:val="nil"/>
              <w:bottom w:val="single" w:sz="8" w:space="0" w:color="auto"/>
              <w:right w:val="single" w:sz="8" w:space="0" w:color="auto"/>
            </w:tcBorders>
            <w:shd w:val="clear" w:color="auto" w:fill="auto"/>
            <w:noWrap/>
            <w:vAlign w:val="center"/>
            <w:hideMark/>
          </w:tcPr>
          <w:p w:rsidR="00DD0E59" w:rsidRPr="00DD0E59" w:rsidP="00DD0E59" w14:paraId="60F137F1" w14:textId="77777777">
            <w:pPr>
              <w:jc w:val="center"/>
              <w:rPr>
                <w:rFonts w:cs="Times New Roman"/>
                <w:sz w:val="20"/>
              </w:rPr>
            </w:pPr>
            <w:r w:rsidRPr="00DD0E59">
              <w:rPr>
                <w:rFonts w:cs="Times New Roman"/>
                <w:sz w:val="20"/>
              </w:rPr>
              <w:t>b</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rsidR="00DD0E59" w:rsidRPr="00DD0E59" w:rsidP="00DD0E59" w14:paraId="20FC0A5E" w14:textId="77777777">
            <w:pPr>
              <w:jc w:val="center"/>
              <w:rPr>
                <w:rFonts w:cs="Times New Roman"/>
                <w:sz w:val="20"/>
              </w:rPr>
            </w:pPr>
            <w:r w:rsidRPr="00DD0E59">
              <w:rPr>
                <w:rFonts w:cs="Times New Roman"/>
                <w:sz w:val="20"/>
              </w:rPr>
              <w:t>c = a + b</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DD0E59" w:rsidRPr="00DD0E59" w:rsidP="00DD0E59" w14:paraId="00268E9F" w14:textId="77777777">
            <w:pPr>
              <w:jc w:val="center"/>
              <w:rPr>
                <w:rFonts w:cs="Times New Roman"/>
                <w:sz w:val="20"/>
              </w:rPr>
            </w:pPr>
            <w:r w:rsidRPr="00DD0E59">
              <w:rPr>
                <w:rFonts w:cs="Times New Roman"/>
                <w:sz w:val="20"/>
              </w:rPr>
              <w:t>d = (a×20) + (b×5)</w:t>
            </w:r>
          </w:p>
        </w:tc>
        <w:tc>
          <w:tcPr>
            <w:tcW w:w="1255" w:type="dxa"/>
            <w:tcBorders>
              <w:top w:val="single" w:sz="8" w:space="0" w:color="auto"/>
              <w:left w:val="nil"/>
              <w:bottom w:val="single" w:sz="8" w:space="0" w:color="auto"/>
              <w:right w:val="single" w:sz="8" w:space="0" w:color="auto"/>
            </w:tcBorders>
            <w:shd w:val="clear" w:color="auto" w:fill="auto"/>
            <w:vAlign w:val="center"/>
            <w:hideMark/>
          </w:tcPr>
          <w:p w:rsidR="00DD0E59" w:rsidRPr="00DD0E59" w:rsidP="00DD0E59" w14:paraId="623A0E66" w14:textId="77777777">
            <w:pPr>
              <w:jc w:val="center"/>
              <w:rPr>
                <w:rFonts w:cs="Times New Roman"/>
                <w:sz w:val="20"/>
              </w:rPr>
            </w:pPr>
            <w:r w:rsidRPr="00DD0E59">
              <w:rPr>
                <w:rFonts w:cs="Times New Roman"/>
                <w:sz w:val="20"/>
              </w:rPr>
              <w:t>e = $76.90</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DD0E59" w:rsidRPr="00DD0E59" w:rsidP="00DD0E59" w14:paraId="68475870" w14:textId="77777777">
            <w:pPr>
              <w:jc w:val="center"/>
              <w:rPr>
                <w:rFonts w:cs="Times New Roman"/>
                <w:sz w:val="20"/>
              </w:rPr>
            </w:pPr>
            <w:r w:rsidRPr="00DD0E59">
              <w:rPr>
                <w:rFonts w:cs="Times New Roman"/>
                <w:sz w:val="20"/>
              </w:rPr>
              <w:t>f = d × e</w:t>
            </w:r>
          </w:p>
        </w:tc>
      </w:tr>
      <w:tr w14:paraId="3B6A91B2" w14:textId="77777777" w:rsidTr="006F6EEA">
        <w:tblPrEx>
          <w:tblW w:w="9035" w:type="dxa"/>
          <w:tblLook w:val="04A0"/>
        </w:tblPrEx>
        <w:trPr>
          <w:trHeight w:val="288"/>
        </w:trPr>
        <w:tc>
          <w:tcPr>
            <w:tcW w:w="1077" w:type="dxa"/>
            <w:tcBorders>
              <w:top w:val="nil"/>
              <w:left w:val="single" w:sz="8" w:space="0" w:color="auto"/>
              <w:bottom w:val="single" w:sz="4" w:space="0" w:color="auto"/>
              <w:right w:val="single" w:sz="8" w:space="0" w:color="auto"/>
            </w:tcBorders>
            <w:shd w:val="clear" w:color="auto" w:fill="auto"/>
            <w:noWrap/>
            <w:vAlign w:val="bottom"/>
            <w:hideMark/>
          </w:tcPr>
          <w:p w:rsidR="00DD0E59" w:rsidRPr="00DD0E59" w:rsidP="00DD0E59" w14:paraId="129054D1" w14:textId="77777777">
            <w:pPr>
              <w:rPr>
                <w:rFonts w:cs="Times New Roman"/>
                <w:sz w:val="20"/>
              </w:rPr>
            </w:pPr>
            <w:r w:rsidRPr="00DD0E59">
              <w:rPr>
                <w:rFonts w:cs="Times New Roman"/>
                <w:sz w:val="20"/>
              </w:rPr>
              <w:t>Year 1</w:t>
            </w:r>
          </w:p>
        </w:tc>
        <w:tc>
          <w:tcPr>
            <w:tcW w:w="1343"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46129072" w14:textId="77777777">
            <w:pPr>
              <w:jc w:val="right"/>
              <w:rPr>
                <w:rFonts w:cs="Times New Roman"/>
                <w:sz w:val="20"/>
              </w:rPr>
            </w:pPr>
            <w:r w:rsidRPr="00DD0E59">
              <w:rPr>
                <w:rFonts w:cs="Times New Roman"/>
                <w:sz w:val="20"/>
              </w:rPr>
              <w:t>15</w:t>
            </w:r>
          </w:p>
        </w:tc>
        <w:tc>
          <w:tcPr>
            <w:tcW w:w="1472"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513C39EF" w14:textId="77777777">
            <w:pPr>
              <w:jc w:val="right"/>
              <w:rPr>
                <w:rFonts w:cs="Times New Roman"/>
                <w:sz w:val="20"/>
              </w:rPr>
            </w:pPr>
            <w:r w:rsidRPr="00DD0E59">
              <w:rPr>
                <w:rFonts w:cs="Times New Roman"/>
                <w:sz w:val="20"/>
              </w:rPr>
              <w:t>13.5</w:t>
            </w:r>
          </w:p>
        </w:tc>
        <w:tc>
          <w:tcPr>
            <w:tcW w:w="1228"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0E875B78" w14:textId="77777777">
            <w:pPr>
              <w:jc w:val="right"/>
              <w:rPr>
                <w:rFonts w:cs="Times New Roman"/>
                <w:sz w:val="20"/>
              </w:rPr>
            </w:pPr>
            <w:r w:rsidRPr="00DD0E59">
              <w:rPr>
                <w:rFonts w:cs="Times New Roman"/>
                <w:sz w:val="20"/>
              </w:rPr>
              <w:t>28.5</w:t>
            </w:r>
          </w:p>
        </w:tc>
        <w:tc>
          <w:tcPr>
            <w:tcW w:w="144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79CCD5AB" w14:textId="77777777">
            <w:pPr>
              <w:jc w:val="right"/>
              <w:rPr>
                <w:rFonts w:cs="Times New Roman"/>
                <w:sz w:val="20"/>
              </w:rPr>
            </w:pPr>
            <w:r w:rsidRPr="00DD0E59">
              <w:rPr>
                <w:rFonts w:cs="Times New Roman"/>
                <w:sz w:val="20"/>
              </w:rPr>
              <w:t>367.5</w:t>
            </w:r>
          </w:p>
        </w:tc>
        <w:tc>
          <w:tcPr>
            <w:tcW w:w="1255"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422E0179" w14:textId="77777777">
            <w:pPr>
              <w:jc w:val="right"/>
              <w:rPr>
                <w:rFonts w:cs="Times New Roman"/>
                <w:sz w:val="20"/>
              </w:rPr>
            </w:pPr>
            <w:r w:rsidRPr="00DD0E59">
              <w:rPr>
                <w:rFonts w:cs="Times New Roman"/>
                <w:sz w:val="20"/>
              </w:rPr>
              <w:t>$76.90</w:t>
            </w:r>
          </w:p>
        </w:tc>
        <w:tc>
          <w:tcPr>
            <w:tcW w:w="122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79FB5EA3" w14:textId="77777777">
            <w:pPr>
              <w:jc w:val="right"/>
              <w:rPr>
                <w:rFonts w:cs="Times New Roman"/>
                <w:sz w:val="20"/>
              </w:rPr>
            </w:pPr>
            <w:r w:rsidRPr="00DD0E59">
              <w:rPr>
                <w:rFonts w:cs="Times New Roman"/>
                <w:sz w:val="20"/>
              </w:rPr>
              <w:t>$28,259</w:t>
            </w:r>
          </w:p>
        </w:tc>
      </w:tr>
      <w:tr w14:paraId="337CCADB" w14:textId="77777777" w:rsidTr="006F6EEA">
        <w:tblPrEx>
          <w:tblW w:w="9035" w:type="dxa"/>
          <w:tblLook w:val="04A0"/>
        </w:tblPrEx>
        <w:trPr>
          <w:trHeight w:val="288"/>
        </w:trPr>
        <w:tc>
          <w:tcPr>
            <w:tcW w:w="1077" w:type="dxa"/>
            <w:tcBorders>
              <w:top w:val="nil"/>
              <w:left w:val="single" w:sz="8" w:space="0" w:color="auto"/>
              <w:bottom w:val="single" w:sz="4" w:space="0" w:color="auto"/>
              <w:right w:val="single" w:sz="8" w:space="0" w:color="auto"/>
            </w:tcBorders>
            <w:shd w:val="clear" w:color="auto" w:fill="auto"/>
            <w:noWrap/>
            <w:vAlign w:val="bottom"/>
            <w:hideMark/>
          </w:tcPr>
          <w:p w:rsidR="00DD0E59" w:rsidRPr="00DD0E59" w:rsidP="00DD0E59" w14:paraId="02642486" w14:textId="77777777">
            <w:pPr>
              <w:rPr>
                <w:rFonts w:cs="Times New Roman"/>
                <w:sz w:val="20"/>
              </w:rPr>
            </w:pPr>
            <w:r w:rsidRPr="00DD0E59">
              <w:rPr>
                <w:rFonts w:cs="Times New Roman"/>
                <w:sz w:val="20"/>
              </w:rPr>
              <w:t>Year 2</w:t>
            </w:r>
          </w:p>
        </w:tc>
        <w:tc>
          <w:tcPr>
            <w:tcW w:w="1343"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56D9C766" w14:textId="77777777">
            <w:pPr>
              <w:jc w:val="right"/>
              <w:rPr>
                <w:rFonts w:cs="Times New Roman"/>
                <w:sz w:val="20"/>
              </w:rPr>
            </w:pPr>
            <w:r w:rsidRPr="00DD0E59">
              <w:rPr>
                <w:rFonts w:cs="Times New Roman"/>
                <w:sz w:val="20"/>
              </w:rPr>
              <w:t>10</w:t>
            </w:r>
          </w:p>
        </w:tc>
        <w:tc>
          <w:tcPr>
            <w:tcW w:w="1472"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7BC38006" w14:textId="77777777">
            <w:pPr>
              <w:jc w:val="right"/>
              <w:rPr>
                <w:rFonts w:cs="Times New Roman"/>
                <w:sz w:val="20"/>
              </w:rPr>
            </w:pPr>
            <w:r w:rsidRPr="00DD0E59">
              <w:rPr>
                <w:rFonts w:cs="Times New Roman"/>
                <w:sz w:val="20"/>
              </w:rPr>
              <w:t>9</w:t>
            </w:r>
          </w:p>
        </w:tc>
        <w:tc>
          <w:tcPr>
            <w:tcW w:w="1228"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16137392" w14:textId="77777777">
            <w:pPr>
              <w:jc w:val="right"/>
              <w:rPr>
                <w:rFonts w:cs="Times New Roman"/>
                <w:sz w:val="20"/>
              </w:rPr>
            </w:pPr>
            <w:r w:rsidRPr="00DD0E59">
              <w:rPr>
                <w:rFonts w:cs="Times New Roman"/>
                <w:sz w:val="20"/>
              </w:rPr>
              <w:t>19</w:t>
            </w:r>
          </w:p>
        </w:tc>
        <w:tc>
          <w:tcPr>
            <w:tcW w:w="144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03457897" w14:textId="77777777">
            <w:pPr>
              <w:jc w:val="right"/>
              <w:rPr>
                <w:rFonts w:cs="Times New Roman"/>
                <w:sz w:val="20"/>
              </w:rPr>
            </w:pPr>
            <w:r w:rsidRPr="00DD0E59">
              <w:rPr>
                <w:rFonts w:cs="Times New Roman"/>
                <w:sz w:val="20"/>
              </w:rPr>
              <w:t>245.0</w:t>
            </w:r>
          </w:p>
        </w:tc>
        <w:tc>
          <w:tcPr>
            <w:tcW w:w="1255"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1B2FF673" w14:textId="77777777">
            <w:pPr>
              <w:jc w:val="right"/>
              <w:rPr>
                <w:rFonts w:cs="Times New Roman"/>
                <w:sz w:val="20"/>
              </w:rPr>
            </w:pPr>
            <w:r w:rsidRPr="00DD0E59">
              <w:rPr>
                <w:rFonts w:cs="Times New Roman"/>
                <w:sz w:val="20"/>
              </w:rPr>
              <w:t>$76.90</w:t>
            </w:r>
          </w:p>
        </w:tc>
        <w:tc>
          <w:tcPr>
            <w:tcW w:w="122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1A0E5919" w14:textId="77777777">
            <w:pPr>
              <w:jc w:val="right"/>
              <w:rPr>
                <w:rFonts w:cs="Times New Roman"/>
                <w:sz w:val="20"/>
              </w:rPr>
            </w:pPr>
            <w:r w:rsidRPr="00DD0E59">
              <w:rPr>
                <w:rFonts w:cs="Times New Roman"/>
                <w:sz w:val="20"/>
              </w:rPr>
              <w:t>$18,839</w:t>
            </w:r>
          </w:p>
        </w:tc>
      </w:tr>
      <w:tr w14:paraId="79936C76" w14:textId="77777777" w:rsidTr="006F6EEA">
        <w:tblPrEx>
          <w:tblW w:w="9035" w:type="dxa"/>
          <w:tblLook w:val="04A0"/>
        </w:tblPrEx>
        <w:trPr>
          <w:trHeight w:val="288"/>
        </w:trPr>
        <w:tc>
          <w:tcPr>
            <w:tcW w:w="1077" w:type="dxa"/>
            <w:tcBorders>
              <w:top w:val="nil"/>
              <w:left w:val="single" w:sz="8" w:space="0" w:color="auto"/>
              <w:bottom w:val="nil"/>
              <w:right w:val="single" w:sz="8" w:space="0" w:color="auto"/>
            </w:tcBorders>
            <w:shd w:val="clear" w:color="auto" w:fill="auto"/>
            <w:noWrap/>
            <w:vAlign w:val="bottom"/>
            <w:hideMark/>
          </w:tcPr>
          <w:p w:rsidR="00DD0E59" w:rsidRPr="00DD0E59" w:rsidP="00DD0E59" w14:paraId="557F04EE" w14:textId="77777777">
            <w:pPr>
              <w:rPr>
                <w:rFonts w:cs="Times New Roman"/>
                <w:sz w:val="20"/>
              </w:rPr>
            </w:pPr>
            <w:r w:rsidRPr="00DD0E59">
              <w:rPr>
                <w:rFonts w:cs="Times New Roman"/>
                <w:sz w:val="20"/>
              </w:rPr>
              <w:t>Year 3</w:t>
            </w:r>
          </w:p>
        </w:tc>
        <w:tc>
          <w:tcPr>
            <w:tcW w:w="1343" w:type="dxa"/>
            <w:tcBorders>
              <w:top w:val="nil"/>
              <w:left w:val="nil"/>
              <w:bottom w:val="nil"/>
              <w:right w:val="single" w:sz="8" w:space="0" w:color="auto"/>
            </w:tcBorders>
            <w:shd w:val="clear" w:color="auto" w:fill="auto"/>
            <w:noWrap/>
            <w:vAlign w:val="bottom"/>
            <w:hideMark/>
          </w:tcPr>
          <w:p w:rsidR="00DD0E59" w:rsidRPr="00DD0E59" w:rsidP="00DD0E59" w14:paraId="04ED0258" w14:textId="77777777">
            <w:pPr>
              <w:jc w:val="right"/>
              <w:rPr>
                <w:rFonts w:cs="Times New Roman"/>
                <w:sz w:val="20"/>
              </w:rPr>
            </w:pPr>
            <w:r w:rsidRPr="00DD0E59">
              <w:rPr>
                <w:rFonts w:cs="Times New Roman"/>
                <w:sz w:val="20"/>
              </w:rPr>
              <w:t>5</w:t>
            </w:r>
          </w:p>
        </w:tc>
        <w:tc>
          <w:tcPr>
            <w:tcW w:w="1472" w:type="dxa"/>
            <w:tcBorders>
              <w:top w:val="nil"/>
              <w:left w:val="nil"/>
              <w:bottom w:val="nil"/>
              <w:right w:val="single" w:sz="8" w:space="0" w:color="auto"/>
            </w:tcBorders>
            <w:shd w:val="clear" w:color="auto" w:fill="auto"/>
            <w:noWrap/>
            <w:vAlign w:val="bottom"/>
            <w:hideMark/>
          </w:tcPr>
          <w:p w:rsidR="00DD0E59" w:rsidRPr="00DD0E59" w:rsidP="00DD0E59" w14:paraId="137FA251" w14:textId="77777777">
            <w:pPr>
              <w:jc w:val="right"/>
              <w:rPr>
                <w:rFonts w:cs="Times New Roman"/>
                <w:sz w:val="20"/>
              </w:rPr>
            </w:pPr>
            <w:r w:rsidRPr="00DD0E59">
              <w:rPr>
                <w:rFonts w:cs="Times New Roman"/>
                <w:sz w:val="20"/>
              </w:rPr>
              <w:t>4.5</w:t>
            </w:r>
          </w:p>
        </w:tc>
        <w:tc>
          <w:tcPr>
            <w:tcW w:w="1228"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2282C7AF" w14:textId="77777777">
            <w:pPr>
              <w:jc w:val="right"/>
              <w:rPr>
                <w:rFonts w:cs="Times New Roman"/>
                <w:sz w:val="20"/>
              </w:rPr>
            </w:pPr>
            <w:r w:rsidRPr="00DD0E59">
              <w:rPr>
                <w:rFonts w:cs="Times New Roman"/>
                <w:sz w:val="20"/>
              </w:rPr>
              <w:t>9.5</w:t>
            </w:r>
          </w:p>
        </w:tc>
        <w:tc>
          <w:tcPr>
            <w:tcW w:w="144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0E333847" w14:textId="77777777">
            <w:pPr>
              <w:jc w:val="right"/>
              <w:rPr>
                <w:rFonts w:cs="Times New Roman"/>
                <w:sz w:val="20"/>
              </w:rPr>
            </w:pPr>
            <w:r w:rsidRPr="00DD0E59">
              <w:rPr>
                <w:rFonts w:cs="Times New Roman"/>
                <w:sz w:val="20"/>
              </w:rPr>
              <w:t>122.5</w:t>
            </w:r>
          </w:p>
        </w:tc>
        <w:tc>
          <w:tcPr>
            <w:tcW w:w="1255"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5E02BC01" w14:textId="77777777">
            <w:pPr>
              <w:jc w:val="right"/>
              <w:rPr>
                <w:rFonts w:cs="Times New Roman"/>
                <w:sz w:val="20"/>
              </w:rPr>
            </w:pPr>
            <w:r w:rsidRPr="00DD0E59">
              <w:rPr>
                <w:rFonts w:cs="Times New Roman"/>
                <w:sz w:val="20"/>
              </w:rPr>
              <w:t>$76.90</w:t>
            </w:r>
          </w:p>
        </w:tc>
        <w:tc>
          <w:tcPr>
            <w:tcW w:w="1220" w:type="dxa"/>
            <w:tcBorders>
              <w:top w:val="nil"/>
              <w:left w:val="nil"/>
              <w:bottom w:val="single" w:sz="4" w:space="0" w:color="auto"/>
              <w:right w:val="single" w:sz="8" w:space="0" w:color="auto"/>
            </w:tcBorders>
            <w:shd w:val="clear" w:color="auto" w:fill="auto"/>
            <w:noWrap/>
            <w:vAlign w:val="bottom"/>
            <w:hideMark/>
          </w:tcPr>
          <w:p w:rsidR="00DD0E59" w:rsidRPr="00DD0E59" w:rsidP="00DD0E59" w14:paraId="29F365C1" w14:textId="77777777">
            <w:pPr>
              <w:jc w:val="right"/>
              <w:rPr>
                <w:rFonts w:cs="Times New Roman"/>
                <w:sz w:val="20"/>
              </w:rPr>
            </w:pPr>
            <w:r w:rsidRPr="00DD0E59">
              <w:rPr>
                <w:rFonts w:cs="Times New Roman"/>
                <w:sz w:val="20"/>
              </w:rPr>
              <w:t>$9,420</w:t>
            </w:r>
          </w:p>
        </w:tc>
      </w:tr>
      <w:tr w14:paraId="5A59285C" w14:textId="77777777" w:rsidTr="006F6EEA">
        <w:tblPrEx>
          <w:tblW w:w="9035" w:type="dxa"/>
          <w:tblLook w:val="04A0"/>
        </w:tblPrEx>
        <w:trPr>
          <w:trHeight w:val="330"/>
        </w:trPr>
        <w:tc>
          <w:tcPr>
            <w:tcW w:w="1077"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D0E59" w:rsidRPr="00DD0E59" w:rsidP="00DD0E59" w14:paraId="27B4D26B" w14:textId="77777777">
            <w:pPr>
              <w:rPr>
                <w:rFonts w:cs="Times New Roman"/>
                <w:b/>
                <w:bCs/>
                <w:sz w:val="20"/>
              </w:rPr>
            </w:pPr>
            <w:r w:rsidRPr="00DD0E59">
              <w:rPr>
                <w:rFonts w:cs="Times New Roman"/>
                <w:b/>
                <w:bCs/>
                <w:sz w:val="20"/>
              </w:rPr>
              <w:t>Total</w:t>
            </w:r>
          </w:p>
        </w:tc>
        <w:tc>
          <w:tcPr>
            <w:tcW w:w="1343"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5EF92DE8" w14:textId="77777777">
            <w:pPr>
              <w:jc w:val="right"/>
              <w:rPr>
                <w:rFonts w:cs="Times New Roman"/>
                <w:b/>
                <w:bCs/>
                <w:sz w:val="20"/>
              </w:rPr>
            </w:pPr>
            <w:r w:rsidRPr="00DD0E59">
              <w:rPr>
                <w:rFonts w:cs="Times New Roman"/>
                <w:b/>
                <w:bCs/>
                <w:sz w:val="20"/>
              </w:rPr>
              <w:t>30</w:t>
            </w:r>
          </w:p>
        </w:tc>
        <w:tc>
          <w:tcPr>
            <w:tcW w:w="1472"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186311B9" w14:textId="77777777">
            <w:pPr>
              <w:jc w:val="right"/>
              <w:rPr>
                <w:rFonts w:cs="Times New Roman"/>
                <w:b/>
                <w:bCs/>
                <w:sz w:val="20"/>
              </w:rPr>
            </w:pPr>
            <w:r w:rsidRPr="00DD0E59">
              <w:rPr>
                <w:rFonts w:cs="Times New Roman"/>
                <w:b/>
                <w:bCs/>
                <w:sz w:val="20"/>
              </w:rPr>
              <w:t>27</w:t>
            </w:r>
          </w:p>
        </w:tc>
        <w:tc>
          <w:tcPr>
            <w:tcW w:w="1228"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2BABA406" w14:textId="77777777">
            <w:pPr>
              <w:jc w:val="right"/>
              <w:rPr>
                <w:rFonts w:cs="Times New Roman"/>
                <w:b/>
                <w:bCs/>
                <w:sz w:val="20"/>
              </w:rPr>
            </w:pPr>
            <w:r w:rsidRPr="00DD0E59">
              <w:rPr>
                <w:rFonts w:cs="Times New Roman"/>
                <w:b/>
                <w:bCs/>
                <w:sz w:val="20"/>
              </w:rPr>
              <w:t>57</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72C04E65" w14:textId="77777777">
            <w:pPr>
              <w:jc w:val="right"/>
              <w:rPr>
                <w:rFonts w:cs="Times New Roman"/>
                <w:b/>
                <w:bCs/>
                <w:sz w:val="20"/>
              </w:rPr>
            </w:pPr>
            <w:r w:rsidRPr="00DD0E59">
              <w:rPr>
                <w:rFonts w:cs="Times New Roman"/>
                <w:b/>
                <w:bCs/>
                <w:sz w:val="20"/>
              </w:rPr>
              <w:t>735.0</w:t>
            </w:r>
          </w:p>
        </w:tc>
        <w:tc>
          <w:tcPr>
            <w:tcW w:w="1255"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568C7F30" w14:textId="77777777">
            <w:pPr>
              <w:rPr>
                <w:rFonts w:cs="Times New Roman"/>
                <w:b/>
                <w:bCs/>
                <w:sz w:val="20"/>
              </w:rPr>
            </w:pPr>
            <w:r w:rsidRPr="00DD0E59">
              <w:rPr>
                <w:rFonts w:cs="Times New Roman"/>
                <w:b/>
                <w:bCs/>
                <w:sz w:val="20"/>
              </w:rPr>
              <w:t> </w:t>
            </w:r>
          </w:p>
        </w:tc>
        <w:tc>
          <w:tcPr>
            <w:tcW w:w="1220" w:type="dxa"/>
            <w:tcBorders>
              <w:top w:val="single" w:sz="8" w:space="0" w:color="auto"/>
              <w:left w:val="nil"/>
              <w:bottom w:val="single" w:sz="4" w:space="0" w:color="auto"/>
              <w:right w:val="single" w:sz="8" w:space="0" w:color="auto"/>
            </w:tcBorders>
            <w:shd w:val="clear" w:color="auto" w:fill="auto"/>
            <w:noWrap/>
            <w:vAlign w:val="bottom"/>
            <w:hideMark/>
          </w:tcPr>
          <w:p w:rsidR="00DD0E59" w:rsidRPr="00DD0E59" w:rsidP="00DD0E59" w14:paraId="66F83013" w14:textId="77777777">
            <w:pPr>
              <w:jc w:val="right"/>
              <w:rPr>
                <w:rFonts w:cs="Times New Roman"/>
                <w:b/>
                <w:bCs/>
                <w:sz w:val="20"/>
              </w:rPr>
            </w:pPr>
            <w:r w:rsidRPr="00DD0E59">
              <w:rPr>
                <w:rFonts w:cs="Times New Roman"/>
                <w:b/>
                <w:bCs/>
                <w:sz w:val="20"/>
              </w:rPr>
              <w:t>$56,518</w:t>
            </w:r>
          </w:p>
        </w:tc>
      </w:tr>
      <w:tr w14:paraId="2EAF40D4" w14:textId="77777777" w:rsidTr="006F6EEA">
        <w:tblPrEx>
          <w:tblW w:w="9035" w:type="dxa"/>
          <w:tblLook w:val="04A0"/>
        </w:tblPrEx>
        <w:trPr>
          <w:trHeight w:val="330"/>
        </w:trPr>
        <w:tc>
          <w:tcPr>
            <w:tcW w:w="1077" w:type="dxa"/>
            <w:tcBorders>
              <w:top w:val="nil"/>
              <w:left w:val="single" w:sz="8" w:space="0" w:color="auto"/>
              <w:bottom w:val="single" w:sz="8" w:space="0" w:color="auto"/>
              <w:right w:val="single" w:sz="8" w:space="0" w:color="auto"/>
            </w:tcBorders>
            <w:shd w:val="clear" w:color="auto" w:fill="auto"/>
            <w:noWrap/>
            <w:vAlign w:val="bottom"/>
            <w:hideMark/>
          </w:tcPr>
          <w:p w:rsidR="00DD0E59" w:rsidRPr="00DD0E59" w:rsidP="00DD0E59" w14:paraId="296E3AFF" w14:textId="77777777">
            <w:pPr>
              <w:rPr>
                <w:rFonts w:cs="Times New Roman"/>
                <w:b/>
                <w:bCs/>
                <w:sz w:val="20"/>
              </w:rPr>
            </w:pPr>
            <w:r w:rsidRPr="00DD0E59">
              <w:rPr>
                <w:rFonts w:cs="Times New Roman"/>
                <w:b/>
                <w:bCs/>
                <w:sz w:val="20"/>
              </w:rPr>
              <w:t xml:space="preserve">Average </w:t>
            </w:r>
          </w:p>
        </w:tc>
        <w:tc>
          <w:tcPr>
            <w:tcW w:w="1343"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04DA1FDB" w14:textId="77777777">
            <w:pPr>
              <w:jc w:val="right"/>
              <w:rPr>
                <w:rFonts w:cs="Times New Roman"/>
                <w:b/>
                <w:bCs/>
                <w:sz w:val="20"/>
              </w:rPr>
            </w:pPr>
            <w:r w:rsidRPr="00DD0E59">
              <w:rPr>
                <w:rFonts w:cs="Times New Roman"/>
                <w:b/>
                <w:bCs/>
                <w:sz w:val="20"/>
              </w:rPr>
              <w:t>10</w:t>
            </w:r>
          </w:p>
        </w:tc>
        <w:tc>
          <w:tcPr>
            <w:tcW w:w="1472"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3F04D885" w14:textId="77777777">
            <w:pPr>
              <w:jc w:val="right"/>
              <w:rPr>
                <w:rFonts w:cs="Times New Roman"/>
                <w:b/>
                <w:bCs/>
                <w:sz w:val="20"/>
              </w:rPr>
            </w:pPr>
            <w:r w:rsidRPr="00DD0E59">
              <w:rPr>
                <w:rFonts w:cs="Times New Roman"/>
                <w:b/>
                <w:bCs/>
                <w:sz w:val="20"/>
              </w:rPr>
              <w:t>9</w:t>
            </w:r>
          </w:p>
        </w:tc>
        <w:tc>
          <w:tcPr>
            <w:tcW w:w="1228"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37F3367E" w14:textId="77777777">
            <w:pPr>
              <w:jc w:val="right"/>
              <w:rPr>
                <w:rFonts w:cs="Times New Roman"/>
                <w:b/>
                <w:bCs/>
                <w:sz w:val="20"/>
              </w:rPr>
            </w:pPr>
            <w:r w:rsidRPr="00DD0E59">
              <w:rPr>
                <w:rFonts w:cs="Times New Roman"/>
                <w:b/>
                <w:bCs/>
                <w:sz w:val="20"/>
              </w:rPr>
              <w:t>19</w:t>
            </w:r>
          </w:p>
        </w:tc>
        <w:tc>
          <w:tcPr>
            <w:tcW w:w="1440"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087E40E4" w14:textId="77777777">
            <w:pPr>
              <w:jc w:val="right"/>
              <w:rPr>
                <w:rFonts w:cs="Times New Roman"/>
                <w:b/>
                <w:bCs/>
                <w:sz w:val="20"/>
              </w:rPr>
            </w:pPr>
            <w:r w:rsidRPr="00DD0E59">
              <w:rPr>
                <w:rFonts w:cs="Times New Roman"/>
                <w:b/>
                <w:bCs/>
                <w:sz w:val="20"/>
              </w:rPr>
              <w:t>245.0</w:t>
            </w:r>
          </w:p>
        </w:tc>
        <w:tc>
          <w:tcPr>
            <w:tcW w:w="1255"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6E8C1862" w14:textId="77777777">
            <w:pPr>
              <w:rPr>
                <w:rFonts w:cs="Times New Roman"/>
                <w:b/>
                <w:bCs/>
                <w:sz w:val="20"/>
              </w:rPr>
            </w:pPr>
            <w:r w:rsidRPr="00DD0E59">
              <w:rPr>
                <w:rFonts w:cs="Times New Roman"/>
                <w:b/>
                <w:bCs/>
                <w:sz w:val="20"/>
              </w:rPr>
              <w:t> </w:t>
            </w:r>
          </w:p>
        </w:tc>
        <w:tc>
          <w:tcPr>
            <w:tcW w:w="1220" w:type="dxa"/>
            <w:tcBorders>
              <w:top w:val="nil"/>
              <w:left w:val="nil"/>
              <w:bottom w:val="single" w:sz="8" w:space="0" w:color="auto"/>
              <w:right w:val="single" w:sz="8" w:space="0" w:color="auto"/>
            </w:tcBorders>
            <w:shd w:val="clear" w:color="auto" w:fill="auto"/>
            <w:noWrap/>
            <w:vAlign w:val="bottom"/>
            <w:hideMark/>
          </w:tcPr>
          <w:p w:rsidR="00DD0E59" w:rsidRPr="00DD0E59" w:rsidP="00DD0E59" w14:paraId="0F90523A" w14:textId="77777777">
            <w:pPr>
              <w:jc w:val="right"/>
              <w:rPr>
                <w:rFonts w:cs="Times New Roman"/>
                <w:b/>
                <w:bCs/>
                <w:sz w:val="20"/>
              </w:rPr>
            </w:pPr>
            <w:r w:rsidRPr="00DD0E59">
              <w:rPr>
                <w:rFonts w:cs="Times New Roman"/>
                <w:b/>
                <w:bCs/>
                <w:sz w:val="20"/>
              </w:rPr>
              <w:t>$18,839</w:t>
            </w:r>
          </w:p>
        </w:tc>
      </w:tr>
    </w:tbl>
    <w:p w:rsidR="00BD430B" w:rsidRPr="00182B0F" w:rsidP="00BD430B" w14:paraId="0EB7788A" w14:textId="77777777">
      <w:pPr>
        <w:ind w:left="360"/>
      </w:pPr>
    </w:p>
    <w:p w:rsidR="008F7B61" w:rsidRPr="003E5FCF" w:rsidP="006A03B3" w14:paraId="0EE004B0" w14:textId="2555DAB1">
      <w:pPr>
        <w:keepNext/>
        <w:numPr>
          <w:ilvl w:val="0"/>
          <w:numId w:val="1"/>
        </w:numPr>
        <w:tabs>
          <w:tab w:val="left" w:pos="360"/>
        </w:tabs>
        <w:rPr>
          <w:b/>
          <w:i/>
        </w:rPr>
      </w:pPr>
      <w:r w:rsidRPr="003E5FCF">
        <w:rPr>
          <w:b/>
          <w:i/>
        </w:rPr>
        <w:t>Provide an e</w:t>
      </w:r>
      <w:r w:rsidR="009B48E3">
        <w:rPr>
          <w:b/>
          <w:i/>
        </w:rPr>
        <w:t>st</w:t>
      </w:r>
      <w:r w:rsidRPr="003E5FCF">
        <w:rPr>
          <w:b/>
          <w:i/>
        </w:rPr>
        <w:t>imate of the total annual co</w:t>
      </w:r>
      <w:r w:rsidR="009B48E3">
        <w:rPr>
          <w:b/>
          <w:i/>
        </w:rPr>
        <w:t>st</w:t>
      </w:r>
      <w:r w:rsidRPr="003E5FCF">
        <w:rPr>
          <w:b/>
          <w:i/>
        </w:rPr>
        <w:t xml:space="preserve"> burden to respondents or </w:t>
      </w:r>
      <w:r w:rsidRPr="003E5FCF" w:rsidR="003129A6">
        <w:rPr>
          <w:b/>
          <w:i/>
        </w:rPr>
        <w:t>record-keepers</w:t>
      </w:r>
      <w:r w:rsidRPr="003E5FCF">
        <w:rPr>
          <w:b/>
          <w:i/>
        </w:rPr>
        <w:t xml:space="preserve"> resulting from the collection of information.</w:t>
      </w:r>
    </w:p>
    <w:p w:rsidR="008F7B61" w:rsidRPr="003E5FCF" w:rsidP="002F4C5D" w14:paraId="43208444" w14:textId="2D937D32">
      <w:pPr>
        <w:numPr>
          <w:ilvl w:val="12"/>
          <w:numId w:val="0"/>
        </w:numPr>
        <w:ind w:left="360"/>
        <w:outlineLvl w:val="0"/>
      </w:pPr>
      <w:r w:rsidRPr="003E5FCF">
        <w:tab/>
      </w:r>
      <w:r w:rsidR="00AC4A54">
        <w:t>`</w:t>
      </w:r>
    </w:p>
    <w:p w:rsidR="00FB4DBF" w:rsidRPr="003E5FCF" w:rsidP="004046DC" w14:paraId="517F049C" w14:textId="29171A38">
      <w:pPr>
        <w:ind w:left="360"/>
      </w:pPr>
      <w:r>
        <w:t>St</w:t>
      </w:r>
      <w:r w:rsidRPr="00AD70F3">
        <w:t xml:space="preserve">ates would </w:t>
      </w:r>
      <w:r>
        <w:t xml:space="preserve">also </w:t>
      </w:r>
      <w:r w:rsidRPr="00AD70F3">
        <w:t>incur co</w:t>
      </w:r>
      <w:r>
        <w:t>st</w:t>
      </w:r>
      <w:r w:rsidRPr="00AD70F3">
        <w:t xml:space="preserve">s associated with independent entity audits of their </w:t>
      </w:r>
      <w:r w:rsidRPr="00AD70F3">
        <w:t>mDL</w:t>
      </w:r>
      <w:r w:rsidRPr="00AD70F3">
        <w:t xml:space="preserve"> infra</w:t>
      </w:r>
      <w:r>
        <w:t>st</w:t>
      </w:r>
      <w:r w:rsidRPr="00AD70F3">
        <w:t xml:space="preserve">ructure.  </w:t>
      </w:r>
      <w:r>
        <w:t>St</w:t>
      </w:r>
      <w:r w:rsidRPr="00AD70F3">
        <w:t>ates would incur this co</w:t>
      </w:r>
      <w:r>
        <w:t>st</w:t>
      </w:r>
      <w:r w:rsidRPr="00AD70F3">
        <w:t xml:space="preserve"> for </w:t>
      </w:r>
      <w:r>
        <w:t>each</w:t>
      </w:r>
      <w:r w:rsidRPr="00AD70F3">
        <w:t xml:space="preserve"> initial </w:t>
      </w:r>
      <w:r w:rsidRPr="00AD70F3">
        <w:t>mDL</w:t>
      </w:r>
      <w:r w:rsidRPr="00AD70F3">
        <w:t xml:space="preserve"> waiver application.  DHS e</w:t>
      </w:r>
      <w:r>
        <w:t>st</w:t>
      </w:r>
      <w:r w:rsidRPr="00AD70F3">
        <w:t xml:space="preserve">imates this </w:t>
      </w:r>
      <w:r>
        <w:t xml:space="preserve">independent entity audit </w:t>
      </w:r>
      <w:r w:rsidRPr="00AD70F3">
        <w:t>co</w:t>
      </w:r>
      <w:r>
        <w:t>st</w:t>
      </w:r>
      <w:r w:rsidRPr="00AD70F3">
        <w:t xml:space="preserve"> at $32,500 per </w:t>
      </w:r>
      <w:r>
        <w:t>waiver application.</w:t>
      </w:r>
      <w:r w:rsidR="004D4198">
        <w:t xml:space="preserve"> </w:t>
      </w:r>
      <w:r>
        <w:t xml:space="preserve"> DHS </w:t>
      </w:r>
      <w:r>
        <w:t>e</w:t>
      </w:r>
      <w:r>
        <w:t>st</w:t>
      </w:r>
      <w:r>
        <w:t xml:space="preserve">imates </w:t>
      </w:r>
      <w:r w:rsidR="000C31E3">
        <w:t>State</w:t>
      </w:r>
      <w:r>
        <w:t>s would submit 30 waiver applications in the fir</w:t>
      </w:r>
      <w:r>
        <w:t>st</w:t>
      </w:r>
      <w:r>
        <w:t xml:space="preserve"> three years of the rule</w:t>
      </w:r>
      <w:r w:rsidRPr="00AD70F3">
        <w:t>, resulting in a total three-year co</w:t>
      </w:r>
      <w:r>
        <w:t>st</w:t>
      </w:r>
      <w:r w:rsidRPr="00AD70F3">
        <w:t xml:space="preserve"> of $0.98 million and an annual average co</w:t>
      </w:r>
      <w:r>
        <w:t>st</w:t>
      </w:r>
      <w:r w:rsidRPr="00AD70F3">
        <w:t xml:space="preserve"> of $0.33 million.</w:t>
      </w:r>
      <w:r>
        <w:rPr>
          <w:rStyle w:val="FootnoteReference"/>
        </w:rPr>
        <w:footnoteReference w:id="15"/>
      </w:r>
      <w:r w:rsidR="001B548F">
        <w:t xml:space="preserve"> </w:t>
      </w:r>
    </w:p>
    <w:p w:rsidR="008F7B61" w:rsidRPr="003E5FCF" w:rsidP="007460E9" w14:paraId="10E0C1B2" w14:textId="77777777">
      <w:pPr>
        <w:keepNext/>
        <w:numPr>
          <w:ilvl w:val="12"/>
          <w:numId w:val="0"/>
        </w:numPr>
        <w:spacing w:line="360" w:lineRule="auto"/>
        <w:ind w:left="360"/>
      </w:pPr>
    </w:p>
    <w:p w:rsidR="008F7B61" w:rsidRPr="003E5FCF" w:rsidP="006A03B3" w14:paraId="19738828" w14:textId="2EAE4E8A">
      <w:pPr>
        <w:keepNext/>
        <w:numPr>
          <w:ilvl w:val="0"/>
          <w:numId w:val="1"/>
        </w:numPr>
        <w:tabs>
          <w:tab w:val="left" w:pos="360"/>
        </w:tabs>
        <w:rPr>
          <w:b/>
          <w:i/>
        </w:rPr>
      </w:pPr>
      <w:r w:rsidRPr="003E5FCF">
        <w:rPr>
          <w:b/>
          <w:i/>
        </w:rPr>
        <w:t>Provide e</w:t>
      </w:r>
      <w:r w:rsidR="009B48E3">
        <w:rPr>
          <w:b/>
          <w:i/>
        </w:rPr>
        <w:t>st</w:t>
      </w:r>
      <w:r w:rsidRPr="003E5FCF">
        <w:rPr>
          <w:b/>
          <w:i/>
        </w:rPr>
        <w:t>imates of annualized co</w:t>
      </w:r>
      <w:r w:rsidR="009B48E3">
        <w:rPr>
          <w:b/>
          <w:i/>
        </w:rPr>
        <w:t>st</w:t>
      </w:r>
      <w:r w:rsidRPr="003E5FCF">
        <w:rPr>
          <w:b/>
          <w:i/>
        </w:rPr>
        <w:t xml:space="preserve"> to the Federal Government.  Also, provide a description of the method used to e</w:t>
      </w:r>
      <w:r w:rsidR="009B48E3">
        <w:rPr>
          <w:b/>
          <w:i/>
        </w:rPr>
        <w:t>st</w:t>
      </w:r>
      <w:r w:rsidRPr="003E5FCF">
        <w:rPr>
          <w:b/>
          <w:i/>
        </w:rPr>
        <w:t>imate co</w:t>
      </w:r>
      <w:r w:rsidR="009B48E3">
        <w:rPr>
          <w:b/>
          <w:i/>
        </w:rPr>
        <w:t>st</w:t>
      </w:r>
      <w:r w:rsidRPr="003E5FCF">
        <w:rPr>
          <w:b/>
          <w:i/>
        </w:rPr>
        <w:t>, and other expenses that would not have been incurred without this collection of information.</w:t>
      </w:r>
    </w:p>
    <w:p w:rsidR="008F7B61" w:rsidRPr="003E5FCF" w:rsidP="007B743C" w14:paraId="003B2CBE" w14:textId="77777777">
      <w:pPr>
        <w:keepNext/>
        <w:tabs>
          <w:tab w:val="left" w:pos="360"/>
        </w:tabs>
        <w:rPr>
          <w:b/>
          <w:i/>
        </w:rPr>
      </w:pPr>
    </w:p>
    <w:p w:rsidR="00E9184D" w:rsidRPr="00D12C9B" w:rsidP="0084194C" w14:paraId="79303010" w14:textId="43B6A19A">
      <w:pPr>
        <w:keepNext/>
        <w:tabs>
          <w:tab w:val="left" w:pos="360"/>
        </w:tabs>
        <w:ind w:left="360"/>
        <w:rPr>
          <w:b/>
        </w:rPr>
      </w:pPr>
      <w:r w:rsidRPr="00182B0F">
        <w:t>DHS technology SMEs e</w:t>
      </w:r>
      <w:r w:rsidR="009B48E3">
        <w:t>st</w:t>
      </w:r>
      <w:r w:rsidRPr="00182B0F">
        <w:t xml:space="preserve">imate it would take a DHS reviewer, on average, about 40 hours to complete an initial </w:t>
      </w:r>
      <w:r w:rsidRPr="00182B0F">
        <w:t>mDL</w:t>
      </w:r>
      <w:r w:rsidRPr="00182B0F">
        <w:t xml:space="preserve"> waiver application review and 10 hours to review a resubmitted </w:t>
      </w:r>
      <w:r w:rsidRPr="00182B0F">
        <w:t>mDL</w:t>
      </w:r>
      <w:r w:rsidRPr="00182B0F">
        <w:t xml:space="preserve"> waiver application that was initially insufficient. </w:t>
      </w:r>
      <w:r>
        <w:t xml:space="preserve"> </w:t>
      </w:r>
      <w:r w:rsidRPr="00182B0F">
        <w:t xml:space="preserve">DHS also assumes a reviewer compensation rate of </w:t>
      </w:r>
      <w:r w:rsidRPr="009857F5">
        <w:t>$71.10</w:t>
      </w:r>
      <w:r>
        <w:rPr>
          <w:rStyle w:val="FootnoteReference"/>
        </w:rPr>
        <w:footnoteReference w:id="16"/>
      </w:r>
      <w:r w:rsidRPr="00182B0F">
        <w:t xml:space="preserve"> per hour. </w:t>
      </w:r>
      <w:r>
        <w:t xml:space="preserve"> </w:t>
      </w:r>
      <w:r w:rsidRPr="00182B0F">
        <w:t>DHS e</w:t>
      </w:r>
      <w:r w:rsidR="009B48E3">
        <w:t>st</w:t>
      </w:r>
      <w:r w:rsidRPr="00182B0F">
        <w:t>imates DHS would incur a total co</w:t>
      </w:r>
      <w:r w:rsidR="009B48E3">
        <w:t>st</w:t>
      </w:r>
      <w:r w:rsidRPr="00182B0F">
        <w:t xml:space="preserve"> of $</w:t>
      </w:r>
      <w:r w:rsidR="006C6E0F">
        <w:t>104,511</w:t>
      </w:r>
      <w:r>
        <w:rPr>
          <w:rStyle w:val="FootnoteReference"/>
        </w:rPr>
        <w:footnoteReference w:id="17"/>
      </w:r>
      <w:r w:rsidRPr="00182B0F">
        <w:t xml:space="preserve"> in the fir</w:t>
      </w:r>
      <w:r w:rsidR="009B48E3">
        <w:t>st</w:t>
      </w:r>
      <w:r w:rsidRPr="00182B0F">
        <w:t xml:space="preserve"> three years of the analysis and an average annual co</w:t>
      </w:r>
      <w:r w:rsidR="009B48E3">
        <w:t>st</w:t>
      </w:r>
      <w:r w:rsidRPr="00182B0F">
        <w:t xml:space="preserve"> of $</w:t>
      </w:r>
      <w:r w:rsidR="006C6E0F">
        <w:t>34,837</w:t>
      </w:r>
      <w:r w:rsidRPr="00182B0F">
        <w:t>.</w:t>
      </w:r>
    </w:p>
    <w:p w:rsidR="008F7B61" w:rsidRPr="00D12C9B" w:rsidP="007B743C" w14:paraId="48B0DB1C" w14:textId="77777777">
      <w:pPr>
        <w:keepNext/>
        <w:tabs>
          <w:tab w:val="left" w:pos="360"/>
        </w:tabs>
        <w:rPr>
          <w:b/>
          <w:i/>
        </w:rPr>
      </w:pPr>
    </w:p>
    <w:p w:rsidR="008F7B61" w:rsidRPr="00D12C9B" w:rsidP="006A03B3" w14:paraId="43D2AECB" w14:textId="5062798B">
      <w:pPr>
        <w:keepNext/>
        <w:numPr>
          <w:ilvl w:val="0"/>
          <w:numId w:val="1"/>
        </w:numPr>
        <w:tabs>
          <w:tab w:val="left" w:pos="360"/>
        </w:tabs>
        <w:rPr>
          <w:b/>
          <w:i/>
        </w:rPr>
      </w:pPr>
      <w:r w:rsidRPr="00D12C9B">
        <w:rPr>
          <w:b/>
          <w:i/>
        </w:rPr>
        <w:t>Explain the reasons for any program changes or adju</w:t>
      </w:r>
      <w:r w:rsidR="009B48E3">
        <w:rPr>
          <w:b/>
          <w:i/>
        </w:rPr>
        <w:t>st</w:t>
      </w:r>
      <w:r w:rsidRPr="00D12C9B">
        <w:rPr>
          <w:b/>
          <w:i/>
        </w:rPr>
        <w:t>ments reported in Items 13 or 14 of the OMB Form 83-I.</w:t>
      </w:r>
    </w:p>
    <w:p w:rsidR="008F7B61" w:rsidRPr="00D12C9B" w:rsidP="007460E9" w14:paraId="048871A0" w14:textId="77777777">
      <w:pPr>
        <w:keepNext/>
        <w:numPr>
          <w:ilvl w:val="12"/>
          <w:numId w:val="0"/>
        </w:numPr>
        <w:spacing w:line="360" w:lineRule="auto"/>
        <w:ind w:left="360"/>
      </w:pPr>
    </w:p>
    <w:p w:rsidR="00EA38E8" w:rsidP="00EA38E8" w14:paraId="017BAC5E" w14:textId="11174627">
      <w:pPr>
        <w:numPr>
          <w:ilvl w:val="12"/>
          <w:numId w:val="0"/>
        </w:numPr>
        <w:ind w:left="360"/>
        <w:outlineLvl w:val="0"/>
      </w:pPr>
      <w:r>
        <w:t>There has been no program changes or new requirements e</w:t>
      </w:r>
      <w:r w:rsidR="009B48E3">
        <w:t>st</w:t>
      </w:r>
      <w:r>
        <w:t>ablished as a result of this collection reque</w:t>
      </w:r>
      <w:r w:rsidR="009B48E3">
        <w:t>st</w:t>
      </w:r>
      <w:r>
        <w:t xml:space="preserve">.  </w:t>
      </w:r>
    </w:p>
    <w:p w:rsidR="00EA38E8" w:rsidP="00EA38E8" w14:paraId="00905031" w14:textId="77777777">
      <w:pPr>
        <w:numPr>
          <w:ilvl w:val="12"/>
          <w:numId w:val="0"/>
        </w:numPr>
        <w:ind w:left="360"/>
        <w:outlineLvl w:val="0"/>
      </w:pPr>
    </w:p>
    <w:p w:rsidR="008F7B61" w:rsidRPr="000508BB" w:rsidP="006A03B3" w14:paraId="3B612A90" w14:textId="77777777">
      <w:pPr>
        <w:keepNext/>
        <w:numPr>
          <w:ilvl w:val="0"/>
          <w:numId w:val="1"/>
        </w:numPr>
        <w:tabs>
          <w:tab w:val="left" w:pos="360"/>
        </w:tabs>
        <w:rPr>
          <w:b/>
          <w:i/>
        </w:rPr>
      </w:pPr>
      <w:r w:rsidRPr="005C609B">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F7B61" w:rsidRPr="000508BB" w:rsidP="007460E9" w14:paraId="19AAB596" w14:textId="77777777">
      <w:pPr>
        <w:keepNext/>
        <w:numPr>
          <w:ilvl w:val="12"/>
          <w:numId w:val="0"/>
        </w:numPr>
        <w:spacing w:line="360" w:lineRule="auto"/>
        <w:ind w:left="360"/>
      </w:pPr>
    </w:p>
    <w:p w:rsidR="008F7B61" w:rsidRPr="000508BB" w:rsidP="00B11FA2" w14:paraId="4504E980" w14:textId="44EB119F">
      <w:pPr>
        <w:numPr>
          <w:ilvl w:val="12"/>
          <w:numId w:val="0"/>
        </w:numPr>
        <w:ind w:left="360"/>
        <w:outlineLvl w:val="0"/>
      </w:pPr>
      <w:r w:rsidRPr="000508BB">
        <w:t>DHS will not publish the results of this collection.</w:t>
      </w:r>
      <w:r w:rsidR="00B11FA2">
        <w:t xml:space="preserve">  DHS will only publish the names of </w:t>
      </w:r>
      <w:r w:rsidR="009B48E3">
        <w:t>St</w:t>
      </w:r>
      <w:r w:rsidR="00B11FA2">
        <w:t>ates that have been issued a certificate of waiver.</w:t>
      </w:r>
    </w:p>
    <w:p w:rsidR="008F7B61" w:rsidRPr="00D12C9B" w:rsidP="007460E9" w14:paraId="687E9B34" w14:textId="77777777">
      <w:pPr>
        <w:pStyle w:val="IndexHeading"/>
        <w:keepNext w:val="0"/>
        <w:numPr>
          <w:ilvl w:val="12"/>
          <w:numId w:val="0"/>
        </w:numPr>
        <w:spacing w:line="360" w:lineRule="auto"/>
        <w:rPr>
          <w:rFonts w:ascii="Times New Roman" w:hAnsi="Times New Roman"/>
          <w:spacing w:val="0"/>
        </w:rPr>
      </w:pPr>
    </w:p>
    <w:p w:rsidR="008F7B61" w:rsidRPr="00D12C9B" w:rsidP="006A03B3" w14:paraId="5C151393" w14:textId="77777777">
      <w:pPr>
        <w:keepNext/>
        <w:numPr>
          <w:ilvl w:val="0"/>
          <w:numId w:val="1"/>
        </w:numPr>
        <w:tabs>
          <w:tab w:val="left" w:pos="360"/>
        </w:tabs>
        <w:rPr>
          <w:b/>
          <w:i/>
        </w:rPr>
      </w:pPr>
      <w:r w:rsidRPr="00D12C9B">
        <w:rPr>
          <w:b/>
          <w:i/>
        </w:rPr>
        <w:t>If seeking approval to not display the expiration date for OMB approval of the information collection, explain the reasons why display would be inappropriate.</w:t>
      </w:r>
    </w:p>
    <w:p w:rsidR="008F7B61" w:rsidRPr="00D12C9B" w:rsidP="007460E9" w14:paraId="2F9CC7A5" w14:textId="77777777">
      <w:pPr>
        <w:keepNext/>
        <w:numPr>
          <w:ilvl w:val="12"/>
          <w:numId w:val="0"/>
        </w:numPr>
        <w:spacing w:line="360" w:lineRule="auto"/>
        <w:ind w:left="360"/>
      </w:pPr>
    </w:p>
    <w:p w:rsidR="008F7B61" w:rsidRPr="00D12C9B" w:rsidP="0084194C" w14:paraId="2CA3C53B" w14:textId="57D40B37">
      <w:pPr>
        <w:numPr>
          <w:ilvl w:val="12"/>
          <w:numId w:val="0"/>
        </w:numPr>
        <w:ind w:left="360"/>
        <w:outlineLvl w:val="0"/>
      </w:pPr>
      <w:r w:rsidRPr="00D12C9B">
        <w:t xml:space="preserve">All information gathered under this collection will be in formats governed by individual </w:t>
      </w:r>
      <w:r w:rsidR="009B48E3">
        <w:t>St</w:t>
      </w:r>
      <w:r w:rsidR="008B3715">
        <w:t xml:space="preserve">ate </w:t>
      </w:r>
      <w:r w:rsidRPr="00D12C9B">
        <w:t xml:space="preserve">requirements and formats, thus display of the OMB number would be inappropriate.  </w:t>
      </w:r>
    </w:p>
    <w:p w:rsidR="008F7B61" w:rsidRPr="00D12C9B" w:rsidP="007460E9" w14:paraId="21D23C6E" w14:textId="77777777">
      <w:pPr>
        <w:numPr>
          <w:ilvl w:val="12"/>
          <w:numId w:val="0"/>
        </w:numPr>
        <w:tabs>
          <w:tab w:val="left" w:pos="360"/>
        </w:tabs>
        <w:spacing w:line="360" w:lineRule="auto"/>
      </w:pPr>
    </w:p>
    <w:p w:rsidR="008F7B61" w:rsidRPr="00D12C9B" w:rsidP="006A03B3" w14:paraId="19651331" w14:textId="603044B5">
      <w:pPr>
        <w:keepNext/>
        <w:numPr>
          <w:ilvl w:val="0"/>
          <w:numId w:val="1"/>
        </w:numPr>
        <w:tabs>
          <w:tab w:val="left" w:pos="360"/>
        </w:tabs>
        <w:rPr>
          <w:b/>
          <w:i/>
        </w:rPr>
      </w:pPr>
      <w:r w:rsidRPr="00D12C9B">
        <w:rPr>
          <w:b/>
          <w:i/>
        </w:rPr>
        <w:t xml:space="preserve">Explain each exception to the certification </w:t>
      </w:r>
      <w:r w:rsidR="009B48E3">
        <w:rPr>
          <w:b/>
          <w:i/>
        </w:rPr>
        <w:t>st</w:t>
      </w:r>
      <w:r w:rsidRPr="00D12C9B">
        <w:rPr>
          <w:b/>
          <w:i/>
        </w:rPr>
        <w:t>atement identified in Item 19, “Certification for Paperwork Reduction Act Submissions,” of OMB Form 83-I.</w:t>
      </w:r>
    </w:p>
    <w:p w:rsidR="008F7B61" w:rsidRPr="00D12C9B" w:rsidP="007460E9" w14:paraId="559E005D" w14:textId="77777777">
      <w:pPr>
        <w:keepNext/>
        <w:numPr>
          <w:ilvl w:val="12"/>
          <w:numId w:val="0"/>
        </w:numPr>
        <w:spacing w:line="360" w:lineRule="auto"/>
        <w:ind w:left="360"/>
      </w:pPr>
    </w:p>
    <w:p w:rsidR="008F7B61" w:rsidP="0084194C" w14:paraId="2980C727" w14:textId="77777777">
      <w:pPr>
        <w:numPr>
          <w:ilvl w:val="12"/>
          <w:numId w:val="0"/>
        </w:numPr>
        <w:spacing w:line="360" w:lineRule="auto"/>
        <w:ind w:firstLine="360"/>
      </w:pPr>
      <w:r w:rsidRPr="00D12C9B">
        <w:t>DHS is not seeking any exceptions.</w:t>
      </w:r>
      <w:r>
        <w:t xml:space="preserve">  </w:t>
      </w:r>
    </w:p>
    <w:sectPr w:rsidSect="00830BF4">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rsidP="00C41323" w14:paraId="1B425D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94125" w14:paraId="5BFAEF7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485E06A2" w14:textId="77777777">
    <w:pPr>
      <w:pStyle w:val="Footer"/>
    </w:pPr>
  </w:p>
  <w:p w:rsidR="00094125" w14:paraId="5A31543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7517A7EF"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F2680" w14:paraId="26441765" w14:textId="77777777">
      <w:r>
        <w:separator/>
      </w:r>
    </w:p>
  </w:footnote>
  <w:footnote w:type="continuationSeparator" w:id="1">
    <w:p w:rsidR="00DF2680" w14:paraId="11D7B41A" w14:textId="77777777">
      <w:r>
        <w:continuationSeparator/>
      </w:r>
    </w:p>
  </w:footnote>
  <w:footnote w:type="continuationNotice" w:id="2">
    <w:p w:rsidR="00DF2680" w14:paraId="784F15A4" w14:textId="77777777"/>
  </w:footnote>
  <w:footnote w:id="3">
    <w:p w:rsidR="00094125" w14:paraId="5395B124" w14:textId="77777777">
      <w:pPr>
        <w:pStyle w:val="FootnoteText"/>
      </w:pPr>
      <w:r>
        <w:rPr>
          <w:rStyle w:val="FootnoteReference"/>
        </w:rPr>
        <w:footnoteRef/>
      </w:r>
      <w:r>
        <w:t xml:space="preserve"> </w:t>
      </w:r>
      <w:r w:rsidRPr="00813709">
        <w:t>The REAL ID Act of 2005—Title II of division B of the FY05 Emergency Supplemental Appropriations Act, as amended, Public La</w:t>
      </w:r>
      <w:r>
        <w:t>w 109– 13, 49 U.S.C. 30301 note</w:t>
      </w:r>
      <w:r w:rsidRPr="00813709">
        <w:t>.</w:t>
      </w:r>
    </w:p>
  </w:footnote>
  <w:footnote w:id="4">
    <w:p w:rsidR="00094125" w14:paraId="30B984BA" w14:textId="77777777">
      <w:pPr>
        <w:pStyle w:val="FootnoteText"/>
      </w:pPr>
      <w:r>
        <w:rPr>
          <w:rStyle w:val="FootnoteReference"/>
        </w:rPr>
        <w:footnoteRef/>
      </w:r>
      <w:r>
        <w:t xml:space="preserve"> </w:t>
      </w:r>
      <w:r w:rsidRPr="00813709">
        <w:rPr>
          <w:i/>
        </w:rPr>
        <w:t>See</w:t>
      </w:r>
      <w:r w:rsidRPr="00813709">
        <w:t xml:space="preserve"> 73 FR 5272 (Jan. 29, 2008)</w:t>
      </w:r>
      <w:r>
        <w:t xml:space="preserve"> </w:t>
      </w:r>
      <w:r w:rsidRPr="00813709">
        <w:t xml:space="preserve">and 6 CFR part 37.  </w:t>
      </w:r>
    </w:p>
  </w:footnote>
  <w:footnote w:id="5">
    <w:p w:rsidR="00094125" w:rsidRPr="002245A4" w:rsidP="00297CDE" w14:paraId="58259475" w14:textId="77777777">
      <w:pPr>
        <w:pStyle w:val="FootnoteText"/>
      </w:pPr>
      <w:r w:rsidRPr="002245A4">
        <w:rPr>
          <w:rStyle w:val="FootnoteReference"/>
        </w:rPr>
        <w:footnoteRef/>
      </w:r>
      <w:r w:rsidRPr="002245A4">
        <w:t xml:space="preserve"> </w:t>
      </w:r>
      <w:r w:rsidRPr="00813709">
        <w:rPr>
          <w:i/>
        </w:rPr>
        <w:t>See</w:t>
      </w:r>
      <w:r w:rsidRPr="002245A4">
        <w:t xml:space="preserve"> 6 CFR 37.5(b).</w:t>
      </w:r>
    </w:p>
  </w:footnote>
  <w:footnote w:id="6">
    <w:p w:rsidR="00094125" w:rsidRPr="0060792B" w:rsidP="00ED7D24" w14:paraId="34BD31E2" w14:textId="0EBD5353">
      <w:pPr>
        <w:pStyle w:val="FootnoteText"/>
      </w:pPr>
      <w:r w:rsidRPr="0060792B">
        <w:rPr>
          <w:rStyle w:val="FootnoteReference"/>
        </w:rPr>
        <w:footnoteRef/>
      </w:r>
      <w:r w:rsidRPr="0060792B">
        <w:t xml:space="preserve"> Sec. 1001 of the REAL ID Modernization Act, Title X of Division U of the Consolidated Appropriations Act, 2021, Pub. L. No. 116-260, 134 Stat. 2304</w:t>
      </w:r>
      <w:r>
        <w:t xml:space="preserve">, </w:t>
      </w:r>
      <w:r w:rsidRPr="00E60C53">
        <w:rPr>
          <w:i/>
          <w:iCs/>
        </w:rPr>
        <w:t>available at</w:t>
      </w:r>
      <w:r w:rsidRPr="00E60C53">
        <w:t xml:space="preserve"> </w:t>
      </w:r>
      <w:hyperlink r:id="rId1" w:anchor=":~:text=An%20act%20making%20consolidated%20appropriations,relief%2C%20and%20for%20other%20purposes." w:history="1">
        <w:r w:rsidRPr="00E60C53">
          <w:rPr>
            <w:rStyle w:val="Hyperlink"/>
          </w:rPr>
          <w:t>Public Law 116 - 260 - Consolidated Appropriations Act, 2021 - Content Details - (govinfo.gov)</w:t>
        </w:r>
      </w:hyperlink>
      <w:r w:rsidRPr="0060792B">
        <w:t>.</w:t>
      </w:r>
    </w:p>
  </w:footnote>
  <w:footnote w:id="7">
    <w:p w:rsidR="00094125" w14:paraId="592F7BB9" w14:textId="77777777">
      <w:pPr>
        <w:pStyle w:val="FootnoteText"/>
      </w:pPr>
      <w:r>
        <w:rPr>
          <w:rStyle w:val="FootnoteReference"/>
        </w:rPr>
        <w:footnoteRef/>
      </w:r>
      <w:r>
        <w:t xml:space="preserve"> 6 CFR §§ 37.15(c) &amp; 37.17(h).</w:t>
      </w:r>
    </w:p>
  </w:footnote>
  <w:footnote w:id="8">
    <w:p w:rsidR="00094125" w:rsidRPr="002245A4" w:rsidP="001E1612" w14:paraId="5A43FA8B" w14:textId="4BFE02AB">
      <w:pPr>
        <w:pStyle w:val="FootnoteText"/>
      </w:pPr>
      <w:r w:rsidRPr="002245A4">
        <w:rPr>
          <w:rStyle w:val="FootnoteReference"/>
        </w:rPr>
        <w:footnoteRef/>
      </w:r>
      <w:r w:rsidRPr="002245A4">
        <w:t xml:space="preserve"> A technical description of </w:t>
      </w:r>
      <w:r w:rsidRPr="002245A4">
        <w:t>mDLs</w:t>
      </w:r>
      <w:r w:rsidRPr="002245A4">
        <w:t xml:space="preserve"> as envisioned by the American Association of Motor Vehicle Admini</w:t>
      </w:r>
      <w:r>
        <w:t>st</w:t>
      </w:r>
      <w:r w:rsidRPr="002245A4">
        <w:t xml:space="preserve">rators may be found at https://www.aamva.org/Mobile-Drivers-License/.   </w:t>
      </w:r>
    </w:p>
  </w:footnote>
  <w:footnote w:id="9">
    <w:p w:rsidR="00094125" w14:paraId="51CF8D23" w14:textId="77777777">
      <w:pPr>
        <w:pStyle w:val="FootnoteText"/>
      </w:pPr>
      <w:r>
        <w:rPr>
          <w:rStyle w:val="FootnoteReference"/>
        </w:rPr>
        <w:footnoteRef/>
      </w:r>
      <w:r>
        <w:t xml:space="preserve"> </w:t>
      </w:r>
      <w:r w:rsidRPr="00985776">
        <w:t>86 FR 20320 (April 19, 2021).</w:t>
      </w:r>
    </w:p>
  </w:footnote>
  <w:footnote w:id="10">
    <w:p w:rsidR="00094125" w14:paraId="22665EE5" w14:textId="77777777">
      <w:pPr>
        <w:pStyle w:val="FootnoteText"/>
      </w:pPr>
      <w:r>
        <w:rPr>
          <w:rStyle w:val="FootnoteReference"/>
        </w:rPr>
        <w:footnoteRef/>
      </w:r>
      <w:r>
        <w:t xml:space="preserve"> </w:t>
      </w:r>
      <w:r w:rsidRPr="0060792B">
        <w:t>86 FR 31987 (June 16, 2021).</w:t>
      </w:r>
    </w:p>
  </w:footnote>
  <w:footnote w:id="11">
    <w:p w:rsidR="00094125" w14:paraId="4C532F3D" w14:textId="77777777">
      <w:pPr>
        <w:pStyle w:val="FootnoteText"/>
      </w:pPr>
      <w:r>
        <w:rPr>
          <w:rStyle w:val="FootnoteReference"/>
        </w:rPr>
        <w:footnoteRef/>
      </w:r>
      <w:r>
        <w:t xml:space="preserve"> </w:t>
      </w:r>
      <w:r w:rsidRPr="0060792B">
        <w:t>86 FR 51625 (Sept. 16, 2021).</w:t>
      </w:r>
    </w:p>
  </w:footnote>
  <w:footnote w:id="12">
    <w:p w:rsidR="00F32E6F" w14:paraId="11EF3C13" w14:textId="1D331EF6">
      <w:pPr>
        <w:pStyle w:val="FootnoteText"/>
      </w:pPr>
      <w:r>
        <w:rPr>
          <w:rStyle w:val="FootnoteReference"/>
        </w:rPr>
        <w:footnoteRef/>
      </w:r>
      <w:r>
        <w:t xml:space="preserve"> </w:t>
      </w:r>
      <w:r>
        <w:t>mDL</w:t>
      </w:r>
      <w:r>
        <w:t xml:space="preserve"> waiver resubmission burden = 20</w:t>
      </w:r>
      <w:r w:rsidRPr="00354625">
        <w:t xml:space="preserve"> hours [initial </w:t>
      </w:r>
      <w:r w:rsidRPr="00354625">
        <w:t>mDL</w:t>
      </w:r>
      <w:r w:rsidRPr="00354625">
        <w:t xml:space="preserve"> waiver application burden] x 0.25 = </w:t>
      </w:r>
      <w:r>
        <w:t>5</w:t>
      </w:r>
      <w:r w:rsidRPr="00354625">
        <w:t xml:space="preserve"> hours</w:t>
      </w:r>
      <w:r>
        <w:t>.</w:t>
      </w:r>
    </w:p>
  </w:footnote>
  <w:footnote w:id="13">
    <w:p w:rsidR="00094125" w14:paraId="199FCE43" w14:textId="0B50A6E8">
      <w:pPr>
        <w:pStyle w:val="FootnoteText"/>
      </w:pPr>
      <w:r>
        <w:rPr>
          <w:rStyle w:val="FootnoteReference"/>
        </w:rPr>
        <w:footnoteRef/>
      </w:r>
      <w:r>
        <w:t xml:space="preserve"> DHS uses the following fully-loaded, average hourly compensation rates for the labor categories within State government that would complete a </w:t>
      </w:r>
      <w:r>
        <w:t>mDL</w:t>
      </w:r>
      <w:r>
        <w:t xml:space="preserve"> waiver application: $64.62 for a solutions architect, $86.82 for an IT manager, $100.63 for the administrator of the Department of Motor Vehicles, and $74.34 for a lawyer. DHS estimates for a </w:t>
      </w:r>
      <w:r>
        <w:t>mDL</w:t>
      </w:r>
      <w:r>
        <w:t xml:space="preserve"> waiver application, a solutions architect and IT manager would each comprise 45 percent of the total time burden, while the administrator and lawyer would each account for 5 percent. DHS multiplies the average hourly compensation rates by the proportion of each labor category’s burden to complete a </w:t>
      </w:r>
      <w:r>
        <w:t>mDL</w:t>
      </w:r>
      <w:r>
        <w:t xml:space="preserve"> waiver application to calculate the weighted average hourly compensation per </w:t>
      </w:r>
      <w:r>
        <w:t>mDL</w:t>
      </w:r>
      <w:r>
        <w:t xml:space="preserve"> waiver application. $76.90 weighted average hourly compensation = ($64.62 per hour</w:t>
      </w:r>
      <w:r w:rsidRPr="009857F5">
        <w:t xml:space="preserve"> </w:t>
      </w:r>
      <w:r>
        <w:t>for solutions architect x 45 percent) + ($86.82 per hour</w:t>
      </w:r>
      <w:r w:rsidRPr="009857F5">
        <w:t xml:space="preserve"> </w:t>
      </w:r>
      <w:r>
        <w:t>for IT manager x 45 percent) + ($100.63 per hour</w:t>
      </w:r>
      <w:r w:rsidRPr="009857F5">
        <w:t xml:space="preserve"> </w:t>
      </w:r>
      <w:r>
        <w:t>for administrator x 5 percent)</w:t>
      </w:r>
      <w:r w:rsidRPr="009857F5">
        <w:t xml:space="preserve"> </w:t>
      </w:r>
      <w:r>
        <w:t>+ ($74.34 per hour for lawyer</w:t>
      </w:r>
      <w:r w:rsidRPr="009857F5">
        <w:t xml:space="preserve"> </w:t>
      </w:r>
      <w:r>
        <w:t>x 5 percent).</w:t>
      </w:r>
    </w:p>
  </w:footnote>
  <w:footnote w:id="14">
    <w:p w:rsidR="00D41350" w14:paraId="5CF74D3F" w14:textId="2D635069">
      <w:pPr>
        <w:pStyle w:val="FootnoteText"/>
      </w:pPr>
      <w:r>
        <w:rPr>
          <w:rStyle w:val="FootnoteReference"/>
        </w:rPr>
        <w:footnoteRef/>
      </w:r>
      <w:r>
        <w:t xml:space="preserve"> The table excludes all other information collections. </w:t>
      </w:r>
      <w:r w:rsidR="00BE57CF">
        <w:t>DHS assumes 9 or fewer collections o</w:t>
      </w:r>
      <w:r>
        <w:t xml:space="preserve">ver the three-year period for reconsideration, </w:t>
      </w:r>
      <w:r>
        <w:t>mDL</w:t>
      </w:r>
      <w:r>
        <w:t xml:space="preserve"> waiver reapplications, reporting of modifications, reporting of cyber incidents, and responses to DHS notices of suspension or termination. </w:t>
      </w:r>
    </w:p>
  </w:footnote>
  <w:footnote w:id="15">
    <w:p w:rsidR="00094125" w:rsidP="00FB4DBF" w14:paraId="2E480BE8" w14:textId="3146DF8B">
      <w:pPr>
        <w:pStyle w:val="FootnoteText"/>
      </w:pPr>
      <w:r>
        <w:rPr>
          <w:rStyle w:val="FootnoteReference"/>
        </w:rPr>
        <w:footnoteRef/>
      </w:r>
      <w:r>
        <w:t xml:space="preserve"> Total three-year audit cost of $0.98 million would equal the 30 waiver applications multiplied by the $32,500 audit cost per waiver application. The average annual audit cost of $0.33 million would equal the total three-year audit cost of $0.98 million divided by three.</w:t>
      </w:r>
    </w:p>
  </w:footnote>
  <w:footnote w:id="16">
    <w:p w:rsidR="00094125" w14:paraId="235F1649" w14:textId="06FAA474">
      <w:pPr>
        <w:pStyle w:val="FootnoteText"/>
      </w:pPr>
      <w:r>
        <w:rPr>
          <w:rStyle w:val="FootnoteReference"/>
        </w:rPr>
        <w:footnoteRef/>
      </w:r>
      <w:r>
        <w:t xml:space="preserve"> DHS assumes that the equivalent of a GS-13 employee would review </w:t>
      </w:r>
      <w:r>
        <w:t>mDL</w:t>
      </w:r>
      <w:r>
        <w:t xml:space="preserve"> waiver applications. DHS estimates an a</w:t>
      </w:r>
      <w:r w:rsidRPr="000649F9">
        <w:t xml:space="preserve">nnual </w:t>
      </w:r>
      <w:r>
        <w:t xml:space="preserve">fully-loaded </w:t>
      </w:r>
      <w:r w:rsidRPr="000649F9">
        <w:t>compensation of $</w:t>
      </w:r>
      <w:r>
        <w:t>148,377</w:t>
      </w:r>
      <w:r w:rsidRPr="000649F9">
        <w:t>, based on the sum of all Personnel Compensation and Benefits for GS-13 Employees</w:t>
      </w:r>
      <w:r>
        <w:t xml:space="preserve"> ($109,508 in wages and $38,869 in benefit compensation). DHS divides the annual fully-loaded compensation of $148,377 by 2,087 annual work hours to calculate an hourly compensation rate of $71.10.</w:t>
      </w:r>
    </w:p>
  </w:footnote>
  <w:footnote w:id="17">
    <w:p w:rsidR="00094125" w:rsidRPr="0070361C" w:rsidP="006A673A" w14:paraId="3CF31070" w14:textId="58839828">
      <w:pPr>
        <w:pStyle w:val="FootnoteText"/>
      </w:pPr>
      <w:r>
        <w:rPr>
          <w:rStyle w:val="FootnoteReference"/>
        </w:rPr>
        <w:footnoteRef/>
      </w:r>
      <w:r>
        <w:t xml:space="preserve"> Total DHS cost of $104,511 </w:t>
      </w:r>
      <w:r w:rsidRPr="0070361C">
        <w:t>=</w:t>
      </w:r>
      <w:r>
        <w:t xml:space="preserve"> ((30 total waiver applications </w:t>
      </w:r>
      <w:r w:rsidRPr="006274CA">
        <w:t>x</w:t>
      </w:r>
      <w:r w:rsidRPr="0070361C">
        <w:t xml:space="preserve"> </w:t>
      </w:r>
      <w:r>
        <w:t>40 hours) +</w:t>
      </w:r>
      <w:r w:rsidRPr="0070361C">
        <w:t xml:space="preserve"> </w:t>
      </w:r>
      <w:r>
        <w:t xml:space="preserve">(27 total waiver resubmissions </w:t>
      </w:r>
      <w:r w:rsidRPr="006274CA">
        <w:t>x</w:t>
      </w:r>
      <w:r w:rsidRPr="0070361C">
        <w:t xml:space="preserve"> </w:t>
      </w:r>
      <w:r>
        <w:t xml:space="preserve">10 hours)) </w:t>
      </w:r>
      <w:r w:rsidRPr="006274CA">
        <w:t>x $</w:t>
      </w:r>
      <w:r>
        <w:t>71.10 per hour</w:t>
      </w:r>
      <w:r w:rsidRPr="006274CA">
        <w:t>.</w:t>
      </w:r>
    </w:p>
    <w:p w:rsidR="00094125" w14:paraId="590E89F4" w14:textId="357A6F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59D0DB8C" w14:textId="2AF09E9C">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A45B77">
      <w:rPr>
        <w:rStyle w:val="PageNumber"/>
        <w:rFonts w:ascii="Times New Roman" w:hAnsi="Times New Roman"/>
        <w:noProof/>
        <w:sz w:val="24"/>
      </w:rPr>
      <w:t>4</w:t>
    </w:r>
    <w:r>
      <w:rPr>
        <w:rStyle w:val="PageNumber"/>
        <w:rFonts w:ascii="Times New Roman" w:hAnsi="Times New Roman"/>
        <w:sz w:val="24"/>
      </w:rPr>
      <w:fldChar w:fldCharType="end"/>
    </w:r>
  </w:p>
  <w:p w:rsidR="00094125" w:rsidRPr="00320387" w14:paraId="3C8372FC"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4125" w14:paraId="190D9EC2"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 xml:space="preserve">DRAFT DOCUMENT – PREDECISIONAL </w:t>
    </w:r>
  </w:p>
  <w:p w:rsidR="00094125" w14:paraId="3A903C10"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p>
  <w:p w:rsidR="00094125" w14:paraId="4A5D0582" w14:textId="285C86DF">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094125" w14:paraId="6DA921F1" w14:textId="77777777">
    <w:pPr>
      <w:jc w:val="center"/>
      <w:rPr>
        <w:rFonts w:cs="Times New Roman"/>
        <w:b/>
        <w:sz w:val="28"/>
      </w:rPr>
    </w:pPr>
  </w:p>
  <w:p w:rsidR="00094125" w14:paraId="0C8812F7" w14:textId="1A6CF8A2">
    <w:pPr>
      <w:jc w:val="center"/>
      <w:rPr>
        <w:rFonts w:cs="Times New Roman"/>
        <w:b/>
        <w:sz w:val="28"/>
      </w:rPr>
    </w:pPr>
    <w:r>
      <w:rPr>
        <w:b/>
      </w:rPr>
      <w:t>Minimum Standards for Driver’s licenses and Identification Cards Acceptable by Federal Agencies for Official Purposes</w:t>
    </w:r>
    <w:r>
      <w:rPr>
        <w:rFonts w:cs="Times New Roman"/>
        <w:b/>
        <w:sz w:val="28"/>
      </w:rPr>
      <w:t xml:space="preserve"> </w:t>
    </w:r>
  </w:p>
  <w:p w:rsidR="00094125" w:rsidP="000B7858" w14:paraId="5B4C3D4F" w14:textId="77777777">
    <w:pPr>
      <w:tabs>
        <w:tab w:val="left" w:pos="1240"/>
      </w:tabs>
      <w:rPr>
        <w:rFonts w:cs="Times New Roman"/>
        <w:b/>
        <w:sz w:val="28"/>
      </w:rPr>
    </w:pPr>
    <w:r>
      <w:rPr>
        <w:rFonts w:cs="Times New Roman"/>
        <w:b/>
        <w:sz w:val="28"/>
      </w:rPr>
      <w:tab/>
    </w:r>
  </w:p>
  <w:p w:rsidR="00094125" w14:paraId="16D8E6A7" w14:textId="77777777">
    <w:pPr>
      <w:jc w:val="center"/>
      <w:rPr>
        <w:rFonts w:cs="Times New Roman"/>
        <w:b/>
        <w:sz w:val="28"/>
      </w:rPr>
    </w:pPr>
    <w:r>
      <w:rPr>
        <w:rFonts w:cs="Times New Roman"/>
        <w:b/>
        <w:sz w:val="28"/>
      </w:rPr>
      <w:t>OMB Control No. _______</w:t>
    </w:r>
  </w:p>
  <w:p w:rsidR="00094125" w14:paraId="1A155E2D" w14:textId="77777777">
    <w:pPr>
      <w:jc w:val="center"/>
      <w:rPr>
        <w:rFonts w:cs="Times New Roman"/>
        <w:b/>
        <w:sz w:val="28"/>
      </w:rPr>
    </w:pPr>
  </w:p>
  <w:p w:rsidR="00094125" w14:paraId="40CA9F17" w14:textId="77777777">
    <w:pPr>
      <w:pStyle w:val="Header"/>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F0457"/>
    <w:multiLevelType w:val="hybridMultilevel"/>
    <w:tmpl w:val="2FCC1E9A"/>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
    <w:nsid w:val="0A796488"/>
    <w:multiLevelType w:val="hybridMultilevel"/>
    <w:tmpl w:val="6260760C"/>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735F85"/>
    <w:multiLevelType w:val="hybridMultilevel"/>
    <w:tmpl w:val="EBE094B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color w:val="auto"/>
      </w:rPr>
    </w:lvl>
    <w:lvl w:ilvl="2" w:tentative="1">
      <w:start w:val="1"/>
      <w:numFmt w:val="lowerRoman"/>
      <w:lvlText w:val="%3."/>
      <w:lvlJc w:val="right"/>
      <w:pPr>
        <w:tabs>
          <w:tab w:val="num" w:pos="1440"/>
        </w:tabs>
        <w:ind w:left="1440" w:hanging="180"/>
      </w:pPr>
      <w:rPr>
        <w:rFonts w:cs="Times New Roman"/>
      </w:rPr>
    </w:lvl>
    <w:lvl w:ilvl="3" w:tentative="1">
      <w:start w:val="1"/>
      <w:numFmt w:val="decimal"/>
      <w:lvlText w:val="%4."/>
      <w:lvlJc w:val="left"/>
      <w:pPr>
        <w:tabs>
          <w:tab w:val="num" w:pos="2160"/>
        </w:tabs>
        <w:ind w:left="2160" w:hanging="360"/>
      </w:pPr>
      <w:rPr>
        <w:rFonts w:cs="Times New Roman"/>
      </w:rPr>
    </w:lvl>
    <w:lvl w:ilvl="4" w:tentative="1">
      <w:start w:val="1"/>
      <w:numFmt w:val="lowerLetter"/>
      <w:lvlText w:val="%5."/>
      <w:lvlJc w:val="left"/>
      <w:pPr>
        <w:tabs>
          <w:tab w:val="num" w:pos="2880"/>
        </w:tabs>
        <w:ind w:left="2880" w:hanging="360"/>
      </w:pPr>
      <w:rPr>
        <w:rFonts w:cs="Times New Roman"/>
      </w:rPr>
    </w:lvl>
    <w:lvl w:ilvl="5" w:tentative="1">
      <w:start w:val="1"/>
      <w:numFmt w:val="lowerRoman"/>
      <w:lvlText w:val="%6."/>
      <w:lvlJc w:val="right"/>
      <w:pPr>
        <w:tabs>
          <w:tab w:val="num" w:pos="3600"/>
        </w:tabs>
        <w:ind w:left="3600" w:hanging="180"/>
      </w:pPr>
      <w:rPr>
        <w:rFonts w:cs="Times New Roman"/>
      </w:rPr>
    </w:lvl>
    <w:lvl w:ilvl="6" w:tentative="1">
      <w:start w:val="1"/>
      <w:numFmt w:val="decimal"/>
      <w:lvlText w:val="%7."/>
      <w:lvlJc w:val="left"/>
      <w:pPr>
        <w:tabs>
          <w:tab w:val="num" w:pos="4320"/>
        </w:tabs>
        <w:ind w:left="4320" w:hanging="360"/>
      </w:pPr>
      <w:rPr>
        <w:rFonts w:cs="Times New Roman"/>
      </w:rPr>
    </w:lvl>
    <w:lvl w:ilvl="7" w:tentative="1">
      <w:start w:val="1"/>
      <w:numFmt w:val="lowerLetter"/>
      <w:lvlText w:val="%8."/>
      <w:lvlJc w:val="left"/>
      <w:pPr>
        <w:tabs>
          <w:tab w:val="num" w:pos="5040"/>
        </w:tabs>
        <w:ind w:left="5040" w:hanging="360"/>
      </w:pPr>
      <w:rPr>
        <w:rFonts w:cs="Times New Roman"/>
      </w:rPr>
    </w:lvl>
    <w:lvl w:ilvl="8" w:tentative="1">
      <w:start w:val="1"/>
      <w:numFmt w:val="lowerRoman"/>
      <w:lvlText w:val="%9."/>
      <w:lvlJc w:val="right"/>
      <w:pPr>
        <w:tabs>
          <w:tab w:val="num" w:pos="5760"/>
        </w:tabs>
        <w:ind w:left="5760" w:hanging="180"/>
      </w:pPr>
      <w:rPr>
        <w:rFonts w:cs="Times New Roman"/>
      </w:rPr>
    </w:lvl>
  </w:abstractNum>
  <w:abstractNum w:abstractNumId="3">
    <w:nsid w:val="17A01030"/>
    <w:multiLevelType w:val="hybridMultilevel"/>
    <w:tmpl w:val="70E8D0C6"/>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5F0DC4"/>
    <w:multiLevelType w:val="singleLevel"/>
    <w:tmpl w:val="768E828A"/>
    <w:lvl w:ilvl="0">
      <w:start w:val="1"/>
      <w:numFmt w:val="decimal"/>
      <w:lvlText w:val="%1."/>
      <w:legacy w:legacy="1" w:legacySpace="0" w:legacyIndent="360"/>
      <w:lvlJc w:val="left"/>
      <w:pPr>
        <w:ind w:left="360" w:hanging="360"/>
      </w:pPr>
      <w:rPr>
        <w:rFonts w:cs="Times New Roman"/>
      </w:rPr>
    </w:lvl>
  </w:abstractNum>
  <w:abstractNum w:abstractNumId="5">
    <w:nsid w:val="1E943AED"/>
    <w:multiLevelType w:val="hybridMultilevel"/>
    <w:tmpl w:val="861ED3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2D8E6A40"/>
    <w:multiLevelType w:val="hybridMultilevel"/>
    <w:tmpl w:val="754A2F8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335C1F57"/>
    <w:multiLevelType w:val="multilevel"/>
    <w:tmpl w:val="79181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37CE1BCA"/>
    <w:multiLevelType w:val="hybridMultilevel"/>
    <w:tmpl w:val="B226F03C"/>
    <w:lvl w:ilvl="0">
      <w:start w:val="1"/>
      <w:numFmt w:val="decimal"/>
      <w:lvlText w:val="%1)"/>
      <w:lvlJc w:val="left"/>
      <w:pPr>
        <w:tabs>
          <w:tab w:val="num" w:pos="1080"/>
        </w:tabs>
        <w:ind w:left="1080" w:hanging="360"/>
      </w:pPr>
      <w:rPr>
        <w:rFonts w:cs="Times New Roman"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9">
    <w:nsid w:val="4134300A"/>
    <w:multiLevelType w:val="hybridMultilevel"/>
    <w:tmpl w:val="98D2543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41CD0B61"/>
    <w:multiLevelType w:val="hybridMultilevel"/>
    <w:tmpl w:val="7DE4FBD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421A2EDA"/>
    <w:multiLevelType w:val="hybridMultilevel"/>
    <w:tmpl w:val="FF98178A"/>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2">
    <w:nsid w:val="445373D3"/>
    <w:multiLevelType w:val="hybridMultilevel"/>
    <w:tmpl w:val="6C988B4C"/>
    <w:lvl w:ilvl="0">
      <w:start w:val="1"/>
      <w:numFmt w:val="decimal"/>
      <w:lvlText w:val="%1."/>
      <w:lvlJc w:val="left"/>
      <w:pPr>
        <w:tabs>
          <w:tab w:val="num" w:pos="1080"/>
        </w:tabs>
        <w:ind w:left="1080" w:hanging="360"/>
      </w:pPr>
      <w:rPr>
        <w:rFonts w:cs="Times New Roman"/>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3">
    <w:nsid w:val="4C4F3725"/>
    <w:multiLevelType w:val="hybridMultilevel"/>
    <w:tmpl w:val="3BDE250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4">
    <w:nsid w:val="518E78F8"/>
    <w:multiLevelType w:val="multilevel"/>
    <w:tmpl w:val="620E4FFA"/>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5">
    <w:nsid w:val="529C66F2"/>
    <w:multiLevelType w:val="hybridMultilevel"/>
    <w:tmpl w:val="2CCE569E"/>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6">
    <w:nsid w:val="55AE2BD1"/>
    <w:multiLevelType w:val="hybridMultilevel"/>
    <w:tmpl w:val="B2F4E66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7">
    <w:nsid w:val="55C107EB"/>
    <w:multiLevelType w:val="hybridMultilevel"/>
    <w:tmpl w:val="F2EA9E3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AD26EA7"/>
    <w:multiLevelType w:val="hybridMultilevel"/>
    <w:tmpl w:val="E4BEF68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5BDA0A1C"/>
    <w:multiLevelType w:val="hybridMultilevel"/>
    <w:tmpl w:val="D344635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5CBE1F7A"/>
    <w:multiLevelType w:val="hybridMultilevel"/>
    <w:tmpl w:val="A6582C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063102C"/>
    <w:multiLevelType w:val="hybridMultilevel"/>
    <w:tmpl w:val="B868DE4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615E269B"/>
    <w:multiLevelType w:val="hybridMultilevel"/>
    <w:tmpl w:val="607E23F8"/>
    <w:lvl w:ilvl="0">
      <w:start w:val="1"/>
      <w:numFmt w:val="lowerLetter"/>
      <w:lvlText w:val="(%1)"/>
      <w:lvlJc w:val="left"/>
      <w:pPr>
        <w:ind w:left="1080" w:hanging="360"/>
      </w:pPr>
      <w:rPr>
        <w:rFonts w:ascii="Times New Roman" w:eastAsia="MS Mincho" w:hAnsi="Times New Roman"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1B82E56"/>
    <w:multiLevelType w:val="hybridMultilevel"/>
    <w:tmpl w:val="607E23F8"/>
    <w:lvl w:ilvl="0">
      <w:start w:val="1"/>
      <w:numFmt w:val="lowerLetter"/>
      <w:lvlText w:val="(%1)"/>
      <w:lvlJc w:val="left"/>
      <w:pPr>
        <w:ind w:left="1080" w:hanging="360"/>
      </w:pPr>
      <w:rPr>
        <w:rFonts w:ascii="Times New Roman" w:eastAsia="MS Mincho" w:hAnsi="Times New Roman" w:cstheme="minorBid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625762E"/>
    <w:multiLevelType w:val="hybridMultilevel"/>
    <w:tmpl w:val="1298C16C"/>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6C042024"/>
    <w:multiLevelType w:val="hybridMultilevel"/>
    <w:tmpl w:val="1BEA3F2C"/>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638609383">
    <w:abstractNumId w:val="4"/>
  </w:num>
  <w:num w:numId="2" w16cid:durableId="1440953145">
    <w:abstractNumId w:val="25"/>
  </w:num>
  <w:num w:numId="3" w16cid:durableId="976958087">
    <w:abstractNumId w:val="14"/>
  </w:num>
  <w:num w:numId="4" w16cid:durableId="201939496">
    <w:abstractNumId w:val="6"/>
  </w:num>
  <w:num w:numId="5" w16cid:durableId="503595598">
    <w:abstractNumId w:val="13"/>
  </w:num>
  <w:num w:numId="6" w16cid:durableId="197553992">
    <w:abstractNumId w:val="10"/>
  </w:num>
  <w:num w:numId="7" w16cid:durableId="2089110568">
    <w:abstractNumId w:val="2"/>
  </w:num>
  <w:num w:numId="8" w16cid:durableId="823551976">
    <w:abstractNumId w:val="11"/>
  </w:num>
  <w:num w:numId="9" w16cid:durableId="1859464888">
    <w:abstractNumId w:val="7"/>
  </w:num>
  <w:num w:numId="10" w16cid:durableId="1938519553">
    <w:abstractNumId w:val="9"/>
  </w:num>
  <w:num w:numId="11" w16cid:durableId="2016299390">
    <w:abstractNumId w:val="12"/>
  </w:num>
  <w:num w:numId="12" w16cid:durableId="38363753">
    <w:abstractNumId w:val="18"/>
  </w:num>
  <w:num w:numId="13" w16cid:durableId="1023091767">
    <w:abstractNumId w:val="21"/>
  </w:num>
  <w:num w:numId="14" w16cid:durableId="1427966811">
    <w:abstractNumId w:val="15"/>
  </w:num>
  <w:num w:numId="15" w16cid:durableId="83380498">
    <w:abstractNumId w:val="16"/>
  </w:num>
  <w:num w:numId="16" w16cid:durableId="681011218">
    <w:abstractNumId w:val="19"/>
  </w:num>
  <w:num w:numId="17" w16cid:durableId="913978062">
    <w:abstractNumId w:val="8"/>
  </w:num>
  <w:num w:numId="18" w16cid:durableId="1513840768">
    <w:abstractNumId w:val="0"/>
  </w:num>
  <w:num w:numId="19" w16cid:durableId="1405835434">
    <w:abstractNumId w:val="5"/>
  </w:num>
  <w:num w:numId="20" w16cid:durableId="39980091">
    <w:abstractNumId w:val="20"/>
  </w:num>
  <w:num w:numId="21" w16cid:durableId="878319570">
    <w:abstractNumId w:val="3"/>
  </w:num>
  <w:num w:numId="22" w16cid:durableId="2005695426">
    <w:abstractNumId w:val="1"/>
  </w:num>
  <w:num w:numId="23" w16cid:durableId="1089155010">
    <w:abstractNumId w:val="24"/>
  </w:num>
  <w:num w:numId="24" w16cid:durableId="948123135">
    <w:abstractNumId w:val="22"/>
  </w:num>
  <w:num w:numId="25" w16cid:durableId="2052877476">
    <w:abstractNumId w:val="17"/>
  </w:num>
  <w:num w:numId="26" w16cid:durableId="3716142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F0E"/>
    <w:rsid w:val="00001416"/>
    <w:rsid w:val="000047FE"/>
    <w:rsid w:val="0001185E"/>
    <w:rsid w:val="0001206E"/>
    <w:rsid w:val="000136A9"/>
    <w:rsid w:val="000150B3"/>
    <w:rsid w:val="00021CF9"/>
    <w:rsid w:val="00024666"/>
    <w:rsid w:val="00025F05"/>
    <w:rsid w:val="00033C10"/>
    <w:rsid w:val="0003494C"/>
    <w:rsid w:val="0003538D"/>
    <w:rsid w:val="00036FFB"/>
    <w:rsid w:val="00040696"/>
    <w:rsid w:val="00043974"/>
    <w:rsid w:val="000442F5"/>
    <w:rsid w:val="00047438"/>
    <w:rsid w:val="00050888"/>
    <w:rsid w:val="000508BB"/>
    <w:rsid w:val="00055404"/>
    <w:rsid w:val="00063873"/>
    <w:rsid w:val="000649F9"/>
    <w:rsid w:val="0006533A"/>
    <w:rsid w:val="00070153"/>
    <w:rsid w:val="0007225F"/>
    <w:rsid w:val="00072A22"/>
    <w:rsid w:val="00073583"/>
    <w:rsid w:val="0007653A"/>
    <w:rsid w:val="000767D7"/>
    <w:rsid w:val="00076DD2"/>
    <w:rsid w:val="000776F1"/>
    <w:rsid w:val="0008123D"/>
    <w:rsid w:val="0008522C"/>
    <w:rsid w:val="00087F14"/>
    <w:rsid w:val="00090F94"/>
    <w:rsid w:val="000928DC"/>
    <w:rsid w:val="0009313F"/>
    <w:rsid w:val="0009394C"/>
    <w:rsid w:val="00093F98"/>
    <w:rsid w:val="00094125"/>
    <w:rsid w:val="0009652F"/>
    <w:rsid w:val="00096C79"/>
    <w:rsid w:val="00097688"/>
    <w:rsid w:val="000A4930"/>
    <w:rsid w:val="000A61A8"/>
    <w:rsid w:val="000A710A"/>
    <w:rsid w:val="000B09B8"/>
    <w:rsid w:val="000B2108"/>
    <w:rsid w:val="000B7858"/>
    <w:rsid w:val="000B7996"/>
    <w:rsid w:val="000C0FBE"/>
    <w:rsid w:val="000C31E3"/>
    <w:rsid w:val="000C491F"/>
    <w:rsid w:val="000C58AF"/>
    <w:rsid w:val="000C60AF"/>
    <w:rsid w:val="000C7766"/>
    <w:rsid w:val="000D0893"/>
    <w:rsid w:val="000D289B"/>
    <w:rsid w:val="000D34EF"/>
    <w:rsid w:val="000D5FC6"/>
    <w:rsid w:val="000D62B9"/>
    <w:rsid w:val="000E491F"/>
    <w:rsid w:val="000E4A64"/>
    <w:rsid w:val="000E7876"/>
    <w:rsid w:val="000F000B"/>
    <w:rsid w:val="000F15B6"/>
    <w:rsid w:val="000F54CA"/>
    <w:rsid w:val="00100CB3"/>
    <w:rsid w:val="00101933"/>
    <w:rsid w:val="00102B44"/>
    <w:rsid w:val="00106482"/>
    <w:rsid w:val="001068FD"/>
    <w:rsid w:val="00107C28"/>
    <w:rsid w:val="001102EE"/>
    <w:rsid w:val="0011336E"/>
    <w:rsid w:val="001161E7"/>
    <w:rsid w:val="00120A21"/>
    <w:rsid w:val="00120B58"/>
    <w:rsid w:val="001226CB"/>
    <w:rsid w:val="00132DBA"/>
    <w:rsid w:val="001401CE"/>
    <w:rsid w:val="00144601"/>
    <w:rsid w:val="00144F49"/>
    <w:rsid w:val="00147AB8"/>
    <w:rsid w:val="00147B9A"/>
    <w:rsid w:val="00151F68"/>
    <w:rsid w:val="00153060"/>
    <w:rsid w:val="00154657"/>
    <w:rsid w:val="0016010A"/>
    <w:rsid w:val="0016020F"/>
    <w:rsid w:val="0016109A"/>
    <w:rsid w:val="00166DC8"/>
    <w:rsid w:val="00180627"/>
    <w:rsid w:val="00181082"/>
    <w:rsid w:val="00182B0F"/>
    <w:rsid w:val="00183BA7"/>
    <w:rsid w:val="00183D16"/>
    <w:rsid w:val="00184758"/>
    <w:rsid w:val="001857B9"/>
    <w:rsid w:val="00186B75"/>
    <w:rsid w:val="00186C03"/>
    <w:rsid w:val="001909F4"/>
    <w:rsid w:val="0019213E"/>
    <w:rsid w:val="00193B62"/>
    <w:rsid w:val="001943B1"/>
    <w:rsid w:val="001961A0"/>
    <w:rsid w:val="00196847"/>
    <w:rsid w:val="00197B93"/>
    <w:rsid w:val="001A4806"/>
    <w:rsid w:val="001A4E97"/>
    <w:rsid w:val="001A5A0B"/>
    <w:rsid w:val="001A7125"/>
    <w:rsid w:val="001A7162"/>
    <w:rsid w:val="001A7EA3"/>
    <w:rsid w:val="001B15A2"/>
    <w:rsid w:val="001B2F30"/>
    <w:rsid w:val="001B548F"/>
    <w:rsid w:val="001C179F"/>
    <w:rsid w:val="001C17D4"/>
    <w:rsid w:val="001C2047"/>
    <w:rsid w:val="001C59A8"/>
    <w:rsid w:val="001D0478"/>
    <w:rsid w:val="001D09E3"/>
    <w:rsid w:val="001D0EAE"/>
    <w:rsid w:val="001D0ECE"/>
    <w:rsid w:val="001D214C"/>
    <w:rsid w:val="001D419E"/>
    <w:rsid w:val="001D584C"/>
    <w:rsid w:val="001D631A"/>
    <w:rsid w:val="001D7AE0"/>
    <w:rsid w:val="001D7F0C"/>
    <w:rsid w:val="001E1612"/>
    <w:rsid w:val="001E55FF"/>
    <w:rsid w:val="001E5CA1"/>
    <w:rsid w:val="001E7A90"/>
    <w:rsid w:val="001E7E7F"/>
    <w:rsid w:val="001F1577"/>
    <w:rsid w:val="001F1E3E"/>
    <w:rsid w:val="001F2259"/>
    <w:rsid w:val="001F4226"/>
    <w:rsid w:val="001F4BC5"/>
    <w:rsid w:val="001F5445"/>
    <w:rsid w:val="001F6DDA"/>
    <w:rsid w:val="00200CE4"/>
    <w:rsid w:val="002051C5"/>
    <w:rsid w:val="00215F7E"/>
    <w:rsid w:val="002175E2"/>
    <w:rsid w:val="002176CF"/>
    <w:rsid w:val="00217B9B"/>
    <w:rsid w:val="00217E84"/>
    <w:rsid w:val="002212A0"/>
    <w:rsid w:val="00222C9D"/>
    <w:rsid w:val="002245A4"/>
    <w:rsid w:val="00226FFE"/>
    <w:rsid w:val="0022785E"/>
    <w:rsid w:val="00230499"/>
    <w:rsid w:val="00230C7D"/>
    <w:rsid w:val="00236779"/>
    <w:rsid w:val="00237218"/>
    <w:rsid w:val="0023767F"/>
    <w:rsid w:val="00237F63"/>
    <w:rsid w:val="002418E0"/>
    <w:rsid w:val="0024466F"/>
    <w:rsid w:val="00244724"/>
    <w:rsid w:val="0024480B"/>
    <w:rsid w:val="0025192B"/>
    <w:rsid w:val="00252575"/>
    <w:rsid w:val="002559C5"/>
    <w:rsid w:val="00257AE9"/>
    <w:rsid w:val="00262808"/>
    <w:rsid w:val="00263523"/>
    <w:rsid w:val="0026420A"/>
    <w:rsid w:val="00265E5D"/>
    <w:rsid w:val="00266F5D"/>
    <w:rsid w:val="002731F2"/>
    <w:rsid w:val="00276EA0"/>
    <w:rsid w:val="0028166C"/>
    <w:rsid w:val="00283C66"/>
    <w:rsid w:val="00284353"/>
    <w:rsid w:val="00286CF7"/>
    <w:rsid w:val="00290146"/>
    <w:rsid w:val="00290EB3"/>
    <w:rsid w:val="0029118B"/>
    <w:rsid w:val="00292A6A"/>
    <w:rsid w:val="00293D7A"/>
    <w:rsid w:val="0029708F"/>
    <w:rsid w:val="002970B6"/>
    <w:rsid w:val="00297421"/>
    <w:rsid w:val="00297CDE"/>
    <w:rsid w:val="002A11D7"/>
    <w:rsid w:val="002A35A3"/>
    <w:rsid w:val="002A57DD"/>
    <w:rsid w:val="002A5E21"/>
    <w:rsid w:val="002B1F1B"/>
    <w:rsid w:val="002B3F06"/>
    <w:rsid w:val="002B7D67"/>
    <w:rsid w:val="002C2136"/>
    <w:rsid w:val="002C2FD5"/>
    <w:rsid w:val="002D0057"/>
    <w:rsid w:val="002D2EE7"/>
    <w:rsid w:val="002E0F63"/>
    <w:rsid w:val="002E1BB0"/>
    <w:rsid w:val="002E4103"/>
    <w:rsid w:val="002E77D5"/>
    <w:rsid w:val="002F0B1C"/>
    <w:rsid w:val="002F1A8E"/>
    <w:rsid w:val="002F4309"/>
    <w:rsid w:val="002F4C5D"/>
    <w:rsid w:val="00301B1C"/>
    <w:rsid w:val="00301D00"/>
    <w:rsid w:val="0030236A"/>
    <w:rsid w:val="0030237A"/>
    <w:rsid w:val="00304A68"/>
    <w:rsid w:val="00311D79"/>
    <w:rsid w:val="003129A6"/>
    <w:rsid w:val="003137EF"/>
    <w:rsid w:val="0031571D"/>
    <w:rsid w:val="00320024"/>
    <w:rsid w:val="00320387"/>
    <w:rsid w:val="00323D02"/>
    <w:rsid w:val="003249AD"/>
    <w:rsid w:val="003301F5"/>
    <w:rsid w:val="003328AB"/>
    <w:rsid w:val="00341316"/>
    <w:rsid w:val="003416F9"/>
    <w:rsid w:val="00350049"/>
    <w:rsid w:val="00351A66"/>
    <w:rsid w:val="0035360C"/>
    <w:rsid w:val="00353983"/>
    <w:rsid w:val="00354625"/>
    <w:rsid w:val="00354AF1"/>
    <w:rsid w:val="00360B74"/>
    <w:rsid w:val="00364529"/>
    <w:rsid w:val="0036711C"/>
    <w:rsid w:val="00370224"/>
    <w:rsid w:val="00372F14"/>
    <w:rsid w:val="00374BAC"/>
    <w:rsid w:val="00375086"/>
    <w:rsid w:val="0037514B"/>
    <w:rsid w:val="00376AA0"/>
    <w:rsid w:val="0037765D"/>
    <w:rsid w:val="0038134A"/>
    <w:rsid w:val="0038328A"/>
    <w:rsid w:val="0039167B"/>
    <w:rsid w:val="00391A01"/>
    <w:rsid w:val="00392ACD"/>
    <w:rsid w:val="00396F35"/>
    <w:rsid w:val="003A0967"/>
    <w:rsid w:val="003A317C"/>
    <w:rsid w:val="003A49A7"/>
    <w:rsid w:val="003A5714"/>
    <w:rsid w:val="003B0265"/>
    <w:rsid w:val="003B3489"/>
    <w:rsid w:val="003B6A4B"/>
    <w:rsid w:val="003C01FC"/>
    <w:rsid w:val="003C02FC"/>
    <w:rsid w:val="003C0435"/>
    <w:rsid w:val="003C0F11"/>
    <w:rsid w:val="003C16EC"/>
    <w:rsid w:val="003C4DE4"/>
    <w:rsid w:val="003D0050"/>
    <w:rsid w:val="003D168B"/>
    <w:rsid w:val="003D53BB"/>
    <w:rsid w:val="003D7A2C"/>
    <w:rsid w:val="003E1B97"/>
    <w:rsid w:val="003E5ACF"/>
    <w:rsid w:val="003E5FCF"/>
    <w:rsid w:val="003E7665"/>
    <w:rsid w:val="003F4681"/>
    <w:rsid w:val="003F7A30"/>
    <w:rsid w:val="00402499"/>
    <w:rsid w:val="004046DC"/>
    <w:rsid w:val="00404C4C"/>
    <w:rsid w:val="0040567D"/>
    <w:rsid w:val="004105C4"/>
    <w:rsid w:val="00410CDB"/>
    <w:rsid w:val="00411628"/>
    <w:rsid w:val="00413336"/>
    <w:rsid w:val="0041343C"/>
    <w:rsid w:val="00420908"/>
    <w:rsid w:val="00421601"/>
    <w:rsid w:val="00422970"/>
    <w:rsid w:val="00423803"/>
    <w:rsid w:val="004243D1"/>
    <w:rsid w:val="00426861"/>
    <w:rsid w:val="00426EA8"/>
    <w:rsid w:val="00430226"/>
    <w:rsid w:val="00431792"/>
    <w:rsid w:val="00431E37"/>
    <w:rsid w:val="004323AC"/>
    <w:rsid w:val="00434E08"/>
    <w:rsid w:val="0043578E"/>
    <w:rsid w:val="004361E3"/>
    <w:rsid w:val="00436885"/>
    <w:rsid w:val="0044006D"/>
    <w:rsid w:val="00440597"/>
    <w:rsid w:val="00441699"/>
    <w:rsid w:val="00441CFF"/>
    <w:rsid w:val="0044274E"/>
    <w:rsid w:val="004445B3"/>
    <w:rsid w:val="00450842"/>
    <w:rsid w:val="00456FCA"/>
    <w:rsid w:val="004573BE"/>
    <w:rsid w:val="00457F63"/>
    <w:rsid w:val="00461AC0"/>
    <w:rsid w:val="00463EAE"/>
    <w:rsid w:val="004657B4"/>
    <w:rsid w:val="0046785F"/>
    <w:rsid w:val="00467C96"/>
    <w:rsid w:val="0047006E"/>
    <w:rsid w:val="00472F84"/>
    <w:rsid w:val="0047710A"/>
    <w:rsid w:val="004800CE"/>
    <w:rsid w:val="00481A63"/>
    <w:rsid w:val="00481D72"/>
    <w:rsid w:val="00483CE7"/>
    <w:rsid w:val="00490F3B"/>
    <w:rsid w:val="00491606"/>
    <w:rsid w:val="0049164E"/>
    <w:rsid w:val="0049206A"/>
    <w:rsid w:val="00492EBB"/>
    <w:rsid w:val="00494B59"/>
    <w:rsid w:val="004A0A3D"/>
    <w:rsid w:val="004A1A84"/>
    <w:rsid w:val="004A30A6"/>
    <w:rsid w:val="004B4202"/>
    <w:rsid w:val="004B5628"/>
    <w:rsid w:val="004C082F"/>
    <w:rsid w:val="004C193F"/>
    <w:rsid w:val="004C1971"/>
    <w:rsid w:val="004C6BA1"/>
    <w:rsid w:val="004C7C5E"/>
    <w:rsid w:val="004D0A03"/>
    <w:rsid w:val="004D128F"/>
    <w:rsid w:val="004D2EDA"/>
    <w:rsid w:val="004D4198"/>
    <w:rsid w:val="004D4773"/>
    <w:rsid w:val="004D542F"/>
    <w:rsid w:val="004D5617"/>
    <w:rsid w:val="004E1DB8"/>
    <w:rsid w:val="004F1D05"/>
    <w:rsid w:val="004F205F"/>
    <w:rsid w:val="004F2227"/>
    <w:rsid w:val="004F3B4C"/>
    <w:rsid w:val="004F4468"/>
    <w:rsid w:val="004F5DBC"/>
    <w:rsid w:val="0050123F"/>
    <w:rsid w:val="00505F62"/>
    <w:rsid w:val="00506D3A"/>
    <w:rsid w:val="00507CCB"/>
    <w:rsid w:val="0051352A"/>
    <w:rsid w:val="005166ED"/>
    <w:rsid w:val="005167BD"/>
    <w:rsid w:val="00517656"/>
    <w:rsid w:val="0052282A"/>
    <w:rsid w:val="00525F2A"/>
    <w:rsid w:val="0052786F"/>
    <w:rsid w:val="00531453"/>
    <w:rsid w:val="0053203A"/>
    <w:rsid w:val="0053669D"/>
    <w:rsid w:val="00536A3E"/>
    <w:rsid w:val="005409F5"/>
    <w:rsid w:val="00543986"/>
    <w:rsid w:val="00544227"/>
    <w:rsid w:val="00547EAD"/>
    <w:rsid w:val="00550448"/>
    <w:rsid w:val="005507AC"/>
    <w:rsid w:val="00564694"/>
    <w:rsid w:val="00570554"/>
    <w:rsid w:val="0057264C"/>
    <w:rsid w:val="00573707"/>
    <w:rsid w:val="005748AA"/>
    <w:rsid w:val="00574C43"/>
    <w:rsid w:val="00580760"/>
    <w:rsid w:val="00584ED6"/>
    <w:rsid w:val="00585823"/>
    <w:rsid w:val="00585920"/>
    <w:rsid w:val="00586610"/>
    <w:rsid w:val="005867DD"/>
    <w:rsid w:val="00586B30"/>
    <w:rsid w:val="00587042"/>
    <w:rsid w:val="00591563"/>
    <w:rsid w:val="005919DB"/>
    <w:rsid w:val="005A1B0A"/>
    <w:rsid w:val="005A2158"/>
    <w:rsid w:val="005A45AD"/>
    <w:rsid w:val="005A5389"/>
    <w:rsid w:val="005B2BE0"/>
    <w:rsid w:val="005B378F"/>
    <w:rsid w:val="005B69BB"/>
    <w:rsid w:val="005C357E"/>
    <w:rsid w:val="005C5CED"/>
    <w:rsid w:val="005C5F7D"/>
    <w:rsid w:val="005C609B"/>
    <w:rsid w:val="005D0FEE"/>
    <w:rsid w:val="005D1DA2"/>
    <w:rsid w:val="005D2538"/>
    <w:rsid w:val="005D54AE"/>
    <w:rsid w:val="005D78BB"/>
    <w:rsid w:val="005E2682"/>
    <w:rsid w:val="005F0E04"/>
    <w:rsid w:val="005F1822"/>
    <w:rsid w:val="006043EE"/>
    <w:rsid w:val="0060443C"/>
    <w:rsid w:val="0060792B"/>
    <w:rsid w:val="00610E06"/>
    <w:rsid w:val="006111D0"/>
    <w:rsid w:val="00611C67"/>
    <w:rsid w:val="0061218D"/>
    <w:rsid w:val="00613586"/>
    <w:rsid w:val="0062519F"/>
    <w:rsid w:val="006274CA"/>
    <w:rsid w:val="00630C8F"/>
    <w:rsid w:val="0064148D"/>
    <w:rsid w:val="00644D4D"/>
    <w:rsid w:val="00646314"/>
    <w:rsid w:val="00646A55"/>
    <w:rsid w:val="00650E64"/>
    <w:rsid w:val="00651547"/>
    <w:rsid w:val="00655E76"/>
    <w:rsid w:val="00662B2A"/>
    <w:rsid w:val="0066511D"/>
    <w:rsid w:val="00665287"/>
    <w:rsid w:val="00672FBB"/>
    <w:rsid w:val="00677B1D"/>
    <w:rsid w:val="00680E8C"/>
    <w:rsid w:val="006811D9"/>
    <w:rsid w:val="00685003"/>
    <w:rsid w:val="00685437"/>
    <w:rsid w:val="00685D3B"/>
    <w:rsid w:val="00690C38"/>
    <w:rsid w:val="00692A8C"/>
    <w:rsid w:val="006933C1"/>
    <w:rsid w:val="0069655C"/>
    <w:rsid w:val="00696F20"/>
    <w:rsid w:val="006A03B3"/>
    <w:rsid w:val="006A6298"/>
    <w:rsid w:val="006A6631"/>
    <w:rsid w:val="006A673A"/>
    <w:rsid w:val="006B0389"/>
    <w:rsid w:val="006B271F"/>
    <w:rsid w:val="006B2A66"/>
    <w:rsid w:val="006B3A50"/>
    <w:rsid w:val="006C02C5"/>
    <w:rsid w:val="006C43D4"/>
    <w:rsid w:val="006C54FE"/>
    <w:rsid w:val="006C56B0"/>
    <w:rsid w:val="006C6369"/>
    <w:rsid w:val="006C6E0F"/>
    <w:rsid w:val="006E0F4C"/>
    <w:rsid w:val="006E1B61"/>
    <w:rsid w:val="006E3C19"/>
    <w:rsid w:val="006E4B9E"/>
    <w:rsid w:val="006E50ED"/>
    <w:rsid w:val="006E7775"/>
    <w:rsid w:val="006F52A1"/>
    <w:rsid w:val="006F5386"/>
    <w:rsid w:val="006F5898"/>
    <w:rsid w:val="006F627D"/>
    <w:rsid w:val="006F6EEA"/>
    <w:rsid w:val="006F7CD0"/>
    <w:rsid w:val="007002C5"/>
    <w:rsid w:val="0070361C"/>
    <w:rsid w:val="00703BB7"/>
    <w:rsid w:val="007077FD"/>
    <w:rsid w:val="00707C59"/>
    <w:rsid w:val="0071059A"/>
    <w:rsid w:val="00714F91"/>
    <w:rsid w:val="00715EB5"/>
    <w:rsid w:val="00724C45"/>
    <w:rsid w:val="00727D7B"/>
    <w:rsid w:val="00732FA0"/>
    <w:rsid w:val="00733636"/>
    <w:rsid w:val="00741F3B"/>
    <w:rsid w:val="00743194"/>
    <w:rsid w:val="00744945"/>
    <w:rsid w:val="00745FD3"/>
    <w:rsid w:val="007460E9"/>
    <w:rsid w:val="00746F63"/>
    <w:rsid w:val="00751167"/>
    <w:rsid w:val="00752F46"/>
    <w:rsid w:val="00754324"/>
    <w:rsid w:val="0075682F"/>
    <w:rsid w:val="00757D5E"/>
    <w:rsid w:val="00761210"/>
    <w:rsid w:val="0077219A"/>
    <w:rsid w:val="00773420"/>
    <w:rsid w:val="00774689"/>
    <w:rsid w:val="00775C49"/>
    <w:rsid w:val="0077642C"/>
    <w:rsid w:val="00776DBD"/>
    <w:rsid w:val="00777D1B"/>
    <w:rsid w:val="00780DFC"/>
    <w:rsid w:val="00783101"/>
    <w:rsid w:val="00786E3D"/>
    <w:rsid w:val="0078711D"/>
    <w:rsid w:val="00790F80"/>
    <w:rsid w:val="00791A5E"/>
    <w:rsid w:val="0079555E"/>
    <w:rsid w:val="00795B96"/>
    <w:rsid w:val="007A4233"/>
    <w:rsid w:val="007A59D4"/>
    <w:rsid w:val="007B2459"/>
    <w:rsid w:val="007B2F25"/>
    <w:rsid w:val="007B327F"/>
    <w:rsid w:val="007B6BB2"/>
    <w:rsid w:val="007B743C"/>
    <w:rsid w:val="007C2C9F"/>
    <w:rsid w:val="007C7A61"/>
    <w:rsid w:val="007D0FDD"/>
    <w:rsid w:val="007D164D"/>
    <w:rsid w:val="007D5EBD"/>
    <w:rsid w:val="007D63DF"/>
    <w:rsid w:val="007D6D4C"/>
    <w:rsid w:val="007E0D41"/>
    <w:rsid w:val="007E1810"/>
    <w:rsid w:val="007E436E"/>
    <w:rsid w:val="007E4A7A"/>
    <w:rsid w:val="007E5B7E"/>
    <w:rsid w:val="007F14B1"/>
    <w:rsid w:val="007F4FB2"/>
    <w:rsid w:val="00800166"/>
    <w:rsid w:val="008003F3"/>
    <w:rsid w:val="00806588"/>
    <w:rsid w:val="00807831"/>
    <w:rsid w:val="00813709"/>
    <w:rsid w:val="00814231"/>
    <w:rsid w:val="008165AD"/>
    <w:rsid w:val="00821131"/>
    <w:rsid w:val="008225CF"/>
    <w:rsid w:val="008227FC"/>
    <w:rsid w:val="00823EC4"/>
    <w:rsid w:val="00826C72"/>
    <w:rsid w:val="00830BF4"/>
    <w:rsid w:val="008324DF"/>
    <w:rsid w:val="008336DB"/>
    <w:rsid w:val="00837481"/>
    <w:rsid w:val="008377B5"/>
    <w:rsid w:val="00837E26"/>
    <w:rsid w:val="0084194C"/>
    <w:rsid w:val="00842CB8"/>
    <w:rsid w:val="00843306"/>
    <w:rsid w:val="0084707B"/>
    <w:rsid w:val="0085192D"/>
    <w:rsid w:val="0085305B"/>
    <w:rsid w:val="008605EB"/>
    <w:rsid w:val="0086259A"/>
    <w:rsid w:val="00863246"/>
    <w:rsid w:val="008647D4"/>
    <w:rsid w:val="00864A84"/>
    <w:rsid w:val="0086510C"/>
    <w:rsid w:val="008747DE"/>
    <w:rsid w:val="008748F0"/>
    <w:rsid w:val="00874B9E"/>
    <w:rsid w:val="00875D5E"/>
    <w:rsid w:val="00875E94"/>
    <w:rsid w:val="00882928"/>
    <w:rsid w:val="00883DF6"/>
    <w:rsid w:val="008844C9"/>
    <w:rsid w:val="00884705"/>
    <w:rsid w:val="008853DF"/>
    <w:rsid w:val="00885972"/>
    <w:rsid w:val="00890741"/>
    <w:rsid w:val="0089264B"/>
    <w:rsid w:val="00893D39"/>
    <w:rsid w:val="0089525D"/>
    <w:rsid w:val="008978A5"/>
    <w:rsid w:val="008A12F7"/>
    <w:rsid w:val="008A455F"/>
    <w:rsid w:val="008A5968"/>
    <w:rsid w:val="008A7B58"/>
    <w:rsid w:val="008B13FE"/>
    <w:rsid w:val="008B149F"/>
    <w:rsid w:val="008B3715"/>
    <w:rsid w:val="008B6D3A"/>
    <w:rsid w:val="008C15B8"/>
    <w:rsid w:val="008C3474"/>
    <w:rsid w:val="008C4DDF"/>
    <w:rsid w:val="008C7FC0"/>
    <w:rsid w:val="008D1EAD"/>
    <w:rsid w:val="008E1C64"/>
    <w:rsid w:val="008E2A7C"/>
    <w:rsid w:val="008E5938"/>
    <w:rsid w:val="008E7600"/>
    <w:rsid w:val="008F06A0"/>
    <w:rsid w:val="008F3008"/>
    <w:rsid w:val="008F4AE5"/>
    <w:rsid w:val="008F641F"/>
    <w:rsid w:val="008F7B02"/>
    <w:rsid w:val="008F7B61"/>
    <w:rsid w:val="009006D4"/>
    <w:rsid w:val="00901B7E"/>
    <w:rsid w:val="00903D85"/>
    <w:rsid w:val="0090597D"/>
    <w:rsid w:val="009069C6"/>
    <w:rsid w:val="00906C93"/>
    <w:rsid w:val="0091202B"/>
    <w:rsid w:val="009137F3"/>
    <w:rsid w:val="00914986"/>
    <w:rsid w:val="00917871"/>
    <w:rsid w:val="00917912"/>
    <w:rsid w:val="00920611"/>
    <w:rsid w:val="009215A8"/>
    <w:rsid w:val="00922B83"/>
    <w:rsid w:val="00922F1F"/>
    <w:rsid w:val="00923D55"/>
    <w:rsid w:val="009250BB"/>
    <w:rsid w:val="00925B77"/>
    <w:rsid w:val="00925D27"/>
    <w:rsid w:val="009275CF"/>
    <w:rsid w:val="00930A85"/>
    <w:rsid w:val="009322A5"/>
    <w:rsid w:val="00932403"/>
    <w:rsid w:val="00932731"/>
    <w:rsid w:val="00932A61"/>
    <w:rsid w:val="009340DE"/>
    <w:rsid w:val="00941408"/>
    <w:rsid w:val="00941C63"/>
    <w:rsid w:val="0094351F"/>
    <w:rsid w:val="00947744"/>
    <w:rsid w:val="0094774A"/>
    <w:rsid w:val="009501C9"/>
    <w:rsid w:val="00950989"/>
    <w:rsid w:val="00952AF2"/>
    <w:rsid w:val="00952BDF"/>
    <w:rsid w:val="00960997"/>
    <w:rsid w:val="00966C49"/>
    <w:rsid w:val="00971914"/>
    <w:rsid w:val="00976B7C"/>
    <w:rsid w:val="009777B6"/>
    <w:rsid w:val="009833C2"/>
    <w:rsid w:val="00983F69"/>
    <w:rsid w:val="00984856"/>
    <w:rsid w:val="00985776"/>
    <w:rsid w:val="009857F5"/>
    <w:rsid w:val="00990E41"/>
    <w:rsid w:val="009929D3"/>
    <w:rsid w:val="00993F5B"/>
    <w:rsid w:val="00995984"/>
    <w:rsid w:val="009A08BD"/>
    <w:rsid w:val="009A3CD2"/>
    <w:rsid w:val="009B1EAF"/>
    <w:rsid w:val="009B29B9"/>
    <w:rsid w:val="009B2FC3"/>
    <w:rsid w:val="009B48E3"/>
    <w:rsid w:val="009B5955"/>
    <w:rsid w:val="009B6C5D"/>
    <w:rsid w:val="009B6EC4"/>
    <w:rsid w:val="009C43A0"/>
    <w:rsid w:val="009C4AE9"/>
    <w:rsid w:val="009D1CC3"/>
    <w:rsid w:val="009D50D8"/>
    <w:rsid w:val="009E2EC7"/>
    <w:rsid w:val="009E4E7D"/>
    <w:rsid w:val="009E6753"/>
    <w:rsid w:val="009F4441"/>
    <w:rsid w:val="009F68D6"/>
    <w:rsid w:val="009F7B83"/>
    <w:rsid w:val="00A05B84"/>
    <w:rsid w:val="00A05CAF"/>
    <w:rsid w:val="00A07A22"/>
    <w:rsid w:val="00A1044E"/>
    <w:rsid w:val="00A10D64"/>
    <w:rsid w:val="00A17108"/>
    <w:rsid w:val="00A217B0"/>
    <w:rsid w:val="00A21B54"/>
    <w:rsid w:val="00A26877"/>
    <w:rsid w:val="00A27298"/>
    <w:rsid w:val="00A32438"/>
    <w:rsid w:val="00A332DE"/>
    <w:rsid w:val="00A34F49"/>
    <w:rsid w:val="00A44A89"/>
    <w:rsid w:val="00A45B77"/>
    <w:rsid w:val="00A477B4"/>
    <w:rsid w:val="00A52614"/>
    <w:rsid w:val="00A53384"/>
    <w:rsid w:val="00A5643D"/>
    <w:rsid w:val="00A56A43"/>
    <w:rsid w:val="00A6418D"/>
    <w:rsid w:val="00A65119"/>
    <w:rsid w:val="00A6536B"/>
    <w:rsid w:val="00A653D7"/>
    <w:rsid w:val="00A6648C"/>
    <w:rsid w:val="00A67A96"/>
    <w:rsid w:val="00A720BE"/>
    <w:rsid w:val="00A744F8"/>
    <w:rsid w:val="00A75E90"/>
    <w:rsid w:val="00A75FEA"/>
    <w:rsid w:val="00A81D5F"/>
    <w:rsid w:val="00A82E2E"/>
    <w:rsid w:val="00A83D2D"/>
    <w:rsid w:val="00A857AD"/>
    <w:rsid w:val="00A879F7"/>
    <w:rsid w:val="00A87C8F"/>
    <w:rsid w:val="00A912A8"/>
    <w:rsid w:val="00A92ED0"/>
    <w:rsid w:val="00AA1BF9"/>
    <w:rsid w:val="00AA27F1"/>
    <w:rsid w:val="00AA3C87"/>
    <w:rsid w:val="00AA50CE"/>
    <w:rsid w:val="00AA6C99"/>
    <w:rsid w:val="00AB4716"/>
    <w:rsid w:val="00AB5104"/>
    <w:rsid w:val="00AB69BC"/>
    <w:rsid w:val="00AC08EC"/>
    <w:rsid w:val="00AC11A2"/>
    <w:rsid w:val="00AC2C67"/>
    <w:rsid w:val="00AC4A54"/>
    <w:rsid w:val="00AD1D1E"/>
    <w:rsid w:val="00AD6244"/>
    <w:rsid w:val="00AD66BE"/>
    <w:rsid w:val="00AD70F3"/>
    <w:rsid w:val="00AD763C"/>
    <w:rsid w:val="00AF1491"/>
    <w:rsid w:val="00AF184C"/>
    <w:rsid w:val="00AF393F"/>
    <w:rsid w:val="00AF75CC"/>
    <w:rsid w:val="00B05833"/>
    <w:rsid w:val="00B06584"/>
    <w:rsid w:val="00B07951"/>
    <w:rsid w:val="00B1012D"/>
    <w:rsid w:val="00B10A9B"/>
    <w:rsid w:val="00B11733"/>
    <w:rsid w:val="00B11FA2"/>
    <w:rsid w:val="00B1207F"/>
    <w:rsid w:val="00B14DBD"/>
    <w:rsid w:val="00B15149"/>
    <w:rsid w:val="00B15B93"/>
    <w:rsid w:val="00B171DB"/>
    <w:rsid w:val="00B27513"/>
    <w:rsid w:val="00B27A13"/>
    <w:rsid w:val="00B31CD1"/>
    <w:rsid w:val="00B36DEF"/>
    <w:rsid w:val="00B40AF2"/>
    <w:rsid w:val="00B43DBF"/>
    <w:rsid w:val="00B4761D"/>
    <w:rsid w:val="00B5508D"/>
    <w:rsid w:val="00B56EE6"/>
    <w:rsid w:val="00B6249C"/>
    <w:rsid w:val="00B64556"/>
    <w:rsid w:val="00B652AD"/>
    <w:rsid w:val="00B66938"/>
    <w:rsid w:val="00B671A2"/>
    <w:rsid w:val="00B67394"/>
    <w:rsid w:val="00B7417D"/>
    <w:rsid w:val="00B74A8C"/>
    <w:rsid w:val="00B76B93"/>
    <w:rsid w:val="00B81783"/>
    <w:rsid w:val="00B828A3"/>
    <w:rsid w:val="00B83D39"/>
    <w:rsid w:val="00B85BE8"/>
    <w:rsid w:val="00B86D65"/>
    <w:rsid w:val="00B877F7"/>
    <w:rsid w:val="00B87B59"/>
    <w:rsid w:val="00B9061F"/>
    <w:rsid w:val="00B9198B"/>
    <w:rsid w:val="00B91D7C"/>
    <w:rsid w:val="00B94FDA"/>
    <w:rsid w:val="00B95CD6"/>
    <w:rsid w:val="00B95DFB"/>
    <w:rsid w:val="00BA4E08"/>
    <w:rsid w:val="00BA6389"/>
    <w:rsid w:val="00BA688B"/>
    <w:rsid w:val="00BA6FD2"/>
    <w:rsid w:val="00BA757E"/>
    <w:rsid w:val="00BA769B"/>
    <w:rsid w:val="00BA7A80"/>
    <w:rsid w:val="00BB2E5F"/>
    <w:rsid w:val="00BB662F"/>
    <w:rsid w:val="00BB7965"/>
    <w:rsid w:val="00BB7CB2"/>
    <w:rsid w:val="00BC1C7E"/>
    <w:rsid w:val="00BC36FD"/>
    <w:rsid w:val="00BC4917"/>
    <w:rsid w:val="00BD2BE1"/>
    <w:rsid w:val="00BD430B"/>
    <w:rsid w:val="00BD7CE2"/>
    <w:rsid w:val="00BE5176"/>
    <w:rsid w:val="00BE57CF"/>
    <w:rsid w:val="00BE6448"/>
    <w:rsid w:val="00BE7950"/>
    <w:rsid w:val="00BF10D7"/>
    <w:rsid w:val="00BF5D36"/>
    <w:rsid w:val="00BF722D"/>
    <w:rsid w:val="00BF7837"/>
    <w:rsid w:val="00BF7BC0"/>
    <w:rsid w:val="00C04EDC"/>
    <w:rsid w:val="00C05EC6"/>
    <w:rsid w:val="00C06417"/>
    <w:rsid w:val="00C11A92"/>
    <w:rsid w:val="00C11F01"/>
    <w:rsid w:val="00C12ED6"/>
    <w:rsid w:val="00C13483"/>
    <w:rsid w:val="00C168BF"/>
    <w:rsid w:val="00C20943"/>
    <w:rsid w:val="00C23232"/>
    <w:rsid w:val="00C248D7"/>
    <w:rsid w:val="00C26A2B"/>
    <w:rsid w:val="00C333CF"/>
    <w:rsid w:val="00C34E87"/>
    <w:rsid w:val="00C40801"/>
    <w:rsid w:val="00C41323"/>
    <w:rsid w:val="00C41E18"/>
    <w:rsid w:val="00C43D22"/>
    <w:rsid w:val="00C4450F"/>
    <w:rsid w:val="00C44EA2"/>
    <w:rsid w:val="00C45437"/>
    <w:rsid w:val="00C4615F"/>
    <w:rsid w:val="00C50683"/>
    <w:rsid w:val="00C531B4"/>
    <w:rsid w:val="00C534B6"/>
    <w:rsid w:val="00C5544A"/>
    <w:rsid w:val="00C569E0"/>
    <w:rsid w:val="00C57399"/>
    <w:rsid w:val="00C61000"/>
    <w:rsid w:val="00C614CB"/>
    <w:rsid w:val="00C64856"/>
    <w:rsid w:val="00C671F3"/>
    <w:rsid w:val="00C72197"/>
    <w:rsid w:val="00C81407"/>
    <w:rsid w:val="00C819D3"/>
    <w:rsid w:val="00C81CEC"/>
    <w:rsid w:val="00C87355"/>
    <w:rsid w:val="00C90855"/>
    <w:rsid w:val="00C908B4"/>
    <w:rsid w:val="00C94EC3"/>
    <w:rsid w:val="00C964AD"/>
    <w:rsid w:val="00CA2315"/>
    <w:rsid w:val="00CA54E6"/>
    <w:rsid w:val="00CA5EAB"/>
    <w:rsid w:val="00CA67A2"/>
    <w:rsid w:val="00CA7F82"/>
    <w:rsid w:val="00CB0F17"/>
    <w:rsid w:val="00CB5F42"/>
    <w:rsid w:val="00CB696F"/>
    <w:rsid w:val="00CC0DED"/>
    <w:rsid w:val="00CC61B2"/>
    <w:rsid w:val="00CC7F9B"/>
    <w:rsid w:val="00CD0369"/>
    <w:rsid w:val="00CD1120"/>
    <w:rsid w:val="00CD532D"/>
    <w:rsid w:val="00CD5535"/>
    <w:rsid w:val="00CE21B1"/>
    <w:rsid w:val="00CE25FF"/>
    <w:rsid w:val="00CE2F54"/>
    <w:rsid w:val="00CE330E"/>
    <w:rsid w:val="00CE37FF"/>
    <w:rsid w:val="00CE48D0"/>
    <w:rsid w:val="00CE612D"/>
    <w:rsid w:val="00CF213B"/>
    <w:rsid w:val="00D03047"/>
    <w:rsid w:val="00D04504"/>
    <w:rsid w:val="00D05E4A"/>
    <w:rsid w:val="00D07F19"/>
    <w:rsid w:val="00D10EB8"/>
    <w:rsid w:val="00D11EC8"/>
    <w:rsid w:val="00D12C9B"/>
    <w:rsid w:val="00D12FC6"/>
    <w:rsid w:val="00D205A6"/>
    <w:rsid w:val="00D23AFF"/>
    <w:rsid w:val="00D2447E"/>
    <w:rsid w:val="00D259C8"/>
    <w:rsid w:val="00D2613F"/>
    <w:rsid w:val="00D26818"/>
    <w:rsid w:val="00D272F4"/>
    <w:rsid w:val="00D316D5"/>
    <w:rsid w:val="00D320FE"/>
    <w:rsid w:val="00D330B1"/>
    <w:rsid w:val="00D362D5"/>
    <w:rsid w:val="00D36511"/>
    <w:rsid w:val="00D373AB"/>
    <w:rsid w:val="00D41350"/>
    <w:rsid w:val="00D43290"/>
    <w:rsid w:val="00D46E54"/>
    <w:rsid w:val="00D47734"/>
    <w:rsid w:val="00D500FD"/>
    <w:rsid w:val="00D5230F"/>
    <w:rsid w:val="00D5304D"/>
    <w:rsid w:val="00D55B97"/>
    <w:rsid w:val="00D56DE7"/>
    <w:rsid w:val="00D67B05"/>
    <w:rsid w:val="00D67DE6"/>
    <w:rsid w:val="00D73AE8"/>
    <w:rsid w:val="00D77180"/>
    <w:rsid w:val="00D8060B"/>
    <w:rsid w:val="00D809AB"/>
    <w:rsid w:val="00D82898"/>
    <w:rsid w:val="00D829D4"/>
    <w:rsid w:val="00D83E64"/>
    <w:rsid w:val="00D84EA3"/>
    <w:rsid w:val="00D86602"/>
    <w:rsid w:val="00D907E7"/>
    <w:rsid w:val="00D90B2D"/>
    <w:rsid w:val="00D9343C"/>
    <w:rsid w:val="00D944B0"/>
    <w:rsid w:val="00D9450E"/>
    <w:rsid w:val="00D95397"/>
    <w:rsid w:val="00D97539"/>
    <w:rsid w:val="00DA180D"/>
    <w:rsid w:val="00DA45C4"/>
    <w:rsid w:val="00DA5A22"/>
    <w:rsid w:val="00DA7898"/>
    <w:rsid w:val="00DB0B65"/>
    <w:rsid w:val="00DB10DE"/>
    <w:rsid w:val="00DB6484"/>
    <w:rsid w:val="00DB7E19"/>
    <w:rsid w:val="00DC150F"/>
    <w:rsid w:val="00DC3069"/>
    <w:rsid w:val="00DC3A1A"/>
    <w:rsid w:val="00DC4411"/>
    <w:rsid w:val="00DC66A3"/>
    <w:rsid w:val="00DC74AF"/>
    <w:rsid w:val="00DC7849"/>
    <w:rsid w:val="00DD0E59"/>
    <w:rsid w:val="00DF0521"/>
    <w:rsid w:val="00DF19BD"/>
    <w:rsid w:val="00DF2680"/>
    <w:rsid w:val="00DF483E"/>
    <w:rsid w:val="00E0193D"/>
    <w:rsid w:val="00E038E0"/>
    <w:rsid w:val="00E038FE"/>
    <w:rsid w:val="00E05B22"/>
    <w:rsid w:val="00E06B57"/>
    <w:rsid w:val="00E06C48"/>
    <w:rsid w:val="00E0707C"/>
    <w:rsid w:val="00E108E9"/>
    <w:rsid w:val="00E10930"/>
    <w:rsid w:val="00E16E7A"/>
    <w:rsid w:val="00E17D25"/>
    <w:rsid w:val="00E203B0"/>
    <w:rsid w:val="00E25865"/>
    <w:rsid w:val="00E304C2"/>
    <w:rsid w:val="00E309B6"/>
    <w:rsid w:val="00E31974"/>
    <w:rsid w:val="00E31E8F"/>
    <w:rsid w:val="00E3414D"/>
    <w:rsid w:val="00E34586"/>
    <w:rsid w:val="00E34E81"/>
    <w:rsid w:val="00E34EE2"/>
    <w:rsid w:val="00E34F70"/>
    <w:rsid w:val="00E35084"/>
    <w:rsid w:val="00E35C94"/>
    <w:rsid w:val="00E36AAB"/>
    <w:rsid w:val="00E43523"/>
    <w:rsid w:val="00E43536"/>
    <w:rsid w:val="00E519FB"/>
    <w:rsid w:val="00E51D60"/>
    <w:rsid w:val="00E5259B"/>
    <w:rsid w:val="00E52944"/>
    <w:rsid w:val="00E53E71"/>
    <w:rsid w:val="00E548DA"/>
    <w:rsid w:val="00E54CD8"/>
    <w:rsid w:val="00E57947"/>
    <w:rsid w:val="00E60021"/>
    <w:rsid w:val="00E60C53"/>
    <w:rsid w:val="00E62708"/>
    <w:rsid w:val="00E666A8"/>
    <w:rsid w:val="00E71096"/>
    <w:rsid w:val="00E7570C"/>
    <w:rsid w:val="00E75DF4"/>
    <w:rsid w:val="00E858D2"/>
    <w:rsid w:val="00E85A91"/>
    <w:rsid w:val="00E85BF5"/>
    <w:rsid w:val="00E90A8A"/>
    <w:rsid w:val="00E90B82"/>
    <w:rsid w:val="00E9184D"/>
    <w:rsid w:val="00E92871"/>
    <w:rsid w:val="00E94A1F"/>
    <w:rsid w:val="00E953A9"/>
    <w:rsid w:val="00E975C8"/>
    <w:rsid w:val="00EA0386"/>
    <w:rsid w:val="00EA0D46"/>
    <w:rsid w:val="00EA38E8"/>
    <w:rsid w:val="00EA43E8"/>
    <w:rsid w:val="00EA5465"/>
    <w:rsid w:val="00EA555A"/>
    <w:rsid w:val="00EA7AF3"/>
    <w:rsid w:val="00EB438F"/>
    <w:rsid w:val="00EB5FE2"/>
    <w:rsid w:val="00EB72E6"/>
    <w:rsid w:val="00EC0E4F"/>
    <w:rsid w:val="00EC36B3"/>
    <w:rsid w:val="00EC49D4"/>
    <w:rsid w:val="00EC753E"/>
    <w:rsid w:val="00ED0280"/>
    <w:rsid w:val="00ED7D24"/>
    <w:rsid w:val="00EE10EE"/>
    <w:rsid w:val="00EE36A8"/>
    <w:rsid w:val="00EE42F3"/>
    <w:rsid w:val="00EE6FF7"/>
    <w:rsid w:val="00EF0C02"/>
    <w:rsid w:val="00EF3D8A"/>
    <w:rsid w:val="00EF604C"/>
    <w:rsid w:val="00F00FF4"/>
    <w:rsid w:val="00F03DB3"/>
    <w:rsid w:val="00F05DDA"/>
    <w:rsid w:val="00F110DE"/>
    <w:rsid w:val="00F13F86"/>
    <w:rsid w:val="00F16700"/>
    <w:rsid w:val="00F202D8"/>
    <w:rsid w:val="00F2513E"/>
    <w:rsid w:val="00F26F84"/>
    <w:rsid w:val="00F31187"/>
    <w:rsid w:val="00F32E6F"/>
    <w:rsid w:val="00F33110"/>
    <w:rsid w:val="00F40BD5"/>
    <w:rsid w:val="00F44A8D"/>
    <w:rsid w:val="00F44D07"/>
    <w:rsid w:val="00F451EB"/>
    <w:rsid w:val="00F50CFF"/>
    <w:rsid w:val="00F54241"/>
    <w:rsid w:val="00F5447C"/>
    <w:rsid w:val="00F565AE"/>
    <w:rsid w:val="00F6128B"/>
    <w:rsid w:val="00F61FC4"/>
    <w:rsid w:val="00F622A3"/>
    <w:rsid w:val="00F661DD"/>
    <w:rsid w:val="00F67563"/>
    <w:rsid w:val="00F70925"/>
    <w:rsid w:val="00F712D3"/>
    <w:rsid w:val="00F7268A"/>
    <w:rsid w:val="00F72FBA"/>
    <w:rsid w:val="00F77EE0"/>
    <w:rsid w:val="00F82154"/>
    <w:rsid w:val="00F82949"/>
    <w:rsid w:val="00F834CF"/>
    <w:rsid w:val="00F87AB0"/>
    <w:rsid w:val="00F87C1E"/>
    <w:rsid w:val="00F95819"/>
    <w:rsid w:val="00FA2AD8"/>
    <w:rsid w:val="00FA38EF"/>
    <w:rsid w:val="00FA4B18"/>
    <w:rsid w:val="00FA5D73"/>
    <w:rsid w:val="00FA5EE5"/>
    <w:rsid w:val="00FA77F8"/>
    <w:rsid w:val="00FB1DA4"/>
    <w:rsid w:val="00FB21EA"/>
    <w:rsid w:val="00FB4094"/>
    <w:rsid w:val="00FB4A75"/>
    <w:rsid w:val="00FB4DBF"/>
    <w:rsid w:val="00FB51B1"/>
    <w:rsid w:val="00FC0903"/>
    <w:rsid w:val="00FC0C7E"/>
    <w:rsid w:val="00FC1CE5"/>
    <w:rsid w:val="00FC2969"/>
    <w:rsid w:val="00FC330C"/>
    <w:rsid w:val="00FD1926"/>
    <w:rsid w:val="00FD56BB"/>
    <w:rsid w:val="00FD5F84"/>
    <w:rsid w:val="00FE0788"/>
    <w:rsid w:val="00FE2243"/>
    <w:rsid w:val="00FE48F2"/>
    <w:rsid w:val="00FE625F"/>
    <w:rsid w:val="00FE7737"/>
    <w:rsid w:val="00FE7C14"/>
    <w:rsid w:val="00FF2AAD"/>
    <w:rsid w:val="00FF4F47"/>
    <w:rsid w:val="00FF70A8"/>
    <w:rsid w:val="189AAE92"/>
    <w:rsid w:val="307FF2D4"/>
    <w:rsid w:val="4F28CF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19C0602"/>
  <w15:docId w15:val="{F9BE6C73-077C-4898-B536-AD6F00F0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0387"/>
    <w:rPr>
      <w:rFonts w:cs="Arial"/>
      <w:color w:val="000000"/>
      <w:sz w:val="24"/>
      <w:szCs w:val="20"/>
    </w:rPr>
  </w:style>
  <w:style w:type="paragraph" w:styleId="Heading2">
    <w:name w:val="heading 2"/>
    <w:basedOn w:val="Normal"/>
    <w:next w:val="Normal"/>
    <w:link w:val="Heading2Char"/>
    <w:semiHidden/>
    <w:unhideWhenUsed/>
    <w:qFormat/>
    <w:locked/>
    <w:rsid w:val="00463E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591563"/>
    <w:pPr>
      <w:keepNext/>
      <w:spacing w:before="240" w:after="60"/>
      <w:outlineLvl w:val="2"/>
    </w:pPr>
    <w:rPr>
      <w:rFonts w:ascii="Arial" w:hAnsi="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AF75CC"/>
    <w:rPr>
      <w:rFonts w:ascii="Cambria" w:hAnsi="Cambria" w:cs="Times New Roman"/>
      <w:b/>
      <w:bCs/>
      <w:color w:val="000000"/>
      <w:sz w:val="26"/>
      <w:szCs w:val="26"/>
    </w:rPr>
  </w:style>
  <w:style w:type="paragraph" w:styleId="BalloonText">
    <w:name w:val="Balloon Text"/>
    <w:basedOn w:val="Normal"/>
    <w:link w:val="BalloonTextChar"/>
    <w:uiPriority w:val="99"/>
    <w:semiHidden/>
    <w:rsid w:val="000A71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75CC"/>
    <w:rPr>
      <w:rFonts w:cs="Arial"/>
      <w:color w:val="000000"/>
      <w:sz w:val="2"/>
    </w:rPr>
  </w:style>
  <w:style w:type="paragraph" w:styleId="Footer">
    <w:name w:val="footer"/>
    <w:basedOn w:val="Normal"/>
    <w:link w:val="FooterChar"/>
    <w:uiPriority w:val="99"/>
    <w:rsid w:val="00320387"/>
    <w:pPr>
      <w:tabs>
        <w:tab w:val="center" w:pos="4320"/>
        <w:tab w:val="right" w:pos="8640"/>
      </w:tabs>
    </w:pPr>
  </w:style>
  <w:style w:type="character" w:customStyle="1" w:styleId="FooterChar">
    <w:name w:val="Footer Char"/>
    <w:basedOn w:val="DefaultParagraphFont"/>
    <w:link w:val="Footer"/>
    <w:uiPriority w:val="99"/>
    <w:semiHidden/>
    <w:locked/>
    <w:rsid w:val="00AF75CC"/>
    <w:rPr>
      <w:rFonts w:cs="Arial"/>
      <w:color w:val="000000"/>
      <w:sz w:val="20"/>
      <w:szCs w:val="20"/>
    </w:rPr>
  </w:style>
  <w:style w:type="paragraph" w:styleId="Title">
    <w:name w:val="Title"/>
    <w:basedOn w:val="Normal"/>
    <w:next w:val="Subtitle"/>
    <w:link w:val="TitleChar"/>
    <w:uiPriority w:val="99"/>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basedOn w:val="DefaultParagraphFont"/>
    <w:link w:val="Title"/>
    <w:uiPriority w:val="99"/>
    <w:locked/>
    <w:rsid w:val="00AF75CC"/>
    <w:rPr>
      <w:rFonts w:ascii="Cambria" w:hAnsi="Cambria" w:cs="Times New Roman"/>
      <w:b/>
      <w:bCs/>
      <w:color w:val="000000"/>
      <w:kern w:val="28"/>
      <w:sz w:val="32"/>
      <w:szCs w:val="32"/>
    </w:rPr>
  </w:style>
  <w:style w:type="paragraph" w:styleId="Index1">
    <w:name w:val="index 1"/>
    <w:basedOn w:val="Normal"/>
    <w:next w:val="Normal"/>
    <w:autoRedefine/>
    <w:uiPriority w:val="99"/>
    <w:semiHidden/>
    <w:rsid w:val="006E3C19"/>
    <w:pPr>
      <w:ind w:left="360"/>
    </w:pPr>
  </w:style>
  <w:style w:type="paragraph" w:styleId="IndexHeading">
    <w:name w:val="index heading"/>
    <w:basedOn w:val="Normal"/>
    <w:next w:val="Index1"/>
    <w:uiPriority w:val="99"/>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uiPriority w:val="99"/>
    <w:rsid w:val="00320387"/>
    <w:rPr>
      <w:rFonts w:ascii="Arial Black" w:hAnsi="Arial Black" w:cs="Times New Roman"/>
      <w:spacing w:val="-10"/>
      <w:sz w:val="18"/>
    </w:rPr>
  </w:style>
  <w:style w:type="paragraph" w:styleId="Header">
    <w:name w:val="header"/>
    <w:basedOn w:val="Normal"/>
    <w:link w:val="HeaderChar"/>
    <w:uiPriority w:val="99"/>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character" w:customStyle="1" w:styleId="HeaderChar">
    <w:name w:val="Header Char"/>
    <w:basedOn w:val="DefaultParagraphFont"/>
    <w:link w:val="Header"/>
    <w:uiPriority w:val="99"/>
    <w:semiHidden/>
    <w:locked/>
    <w:rsid w:val="00AF75CC"/>
    <w:rPr>
      <w:rFonts w:cs="Arial"/>
      <w:color w:val="000000"/>
      <w:sz w:val="20"/>
      <w:szCs w:val="20"/>
    </w:rPr>
  </w:style>
  <w:style w:type="paragraph" w:styleId="Subtitle">
    <w:name w:val="Subtitle"/>
    <w:basedOn w:val="Normal"/>
    <w:link w:val="SubtitleChar"/>
    <w:uiPriority w:val="99"/>
    <w:qFormat/>
    <w:rsid w:val="00320387"/>
    <w:pPr>
      <w:spacing w:after="60"/>
      <w:jc w:val="center"/>
      <w:outlineLvl w:val="1"/>
    </w:pPr>
    <w:rPr>
      <w:rFonts w:ascii="Arial" w:hAnsi="Arial"/>
      <w:szCs w:val="24"/>
    </w:rPr>
  </w:style>
  <w:style w:type="character" w:customStyle="1" w:styleId="SubtitleChar">
    <w:name w:val="Subtitle Char"/>
    <w:basedOn w:val="DefaultParagraphFont"/>
    <w:link w:val="Subtitle"/>
    <w:uiPriority w:val="99"/>
    <w:locked/>
    <w:rsid w:val="00AF75CC"/>
    <w:rPr>
      <w:rFonts w:ascii="Cambria" w:hAnsi="Cambria" w:cs="Times New Roman"/>
      <w:color w:val="000000"/>
      <w:sz w:val="24"/>
      <w:szCs w:val="24"/>
    </w:rPr>
  </w:style>
  <w:style w:type="character" w:styleId="CommentReference">
    <w:name w:val="annotation reference"/>
    <w:basedOn w:val="DefaultParagraphFont"/>
    <w:uiPriority w:val="99"/>
    <w:semiHidden/>
    <w:rsid w:val="004F3B4C"/>
    <w:rPr>
      <w:rFonts w:cs="Times New Roman"/>
      <w:sz w:val="16"/>
      <w:szCs w:val="16"/>
    </w:rPr>
  </w:style>
  <w:style w:type="paragraph" w:styleId="FootnoteText">
    <w:name w:val="footnote text"/>
    <w:aliases w:val=" Char,ft"/>
    <w:basedOn w:val="Normal"/>
    <w:link w:val="FootnoteTextChar"/>
    <w:uiPriority w:val="99"/>
    <w:qFormat/>
    <w:rsid w:val="009B2FC3"/>
    <w:rPr>
      <w:rFonts w:cs="Times New Roman"/>
      <w:color w:val="auto"/>
      <w:sz w:val="20"/>
    </w:rPr>
  </w:style>
  <w:style w:type="character" w:customStyle="1" w:styleId="FootnoteTextChar">
    <w:name w:val="Footnote Text Char"/>
    <w:aliases w:val=" Char Char,ft Char"/>
    <w:basedOn w:val="DefaultParagraphFont"/>
    <w:link w:val="FootnoteText"/>
    <w:uiPriority w:val="99"/>
    <w:locked/>
    <w:rsid w:val="00AF75CC"/>
    <w:rPr>
      <w:rFonts w:cs="Arial"/>
      <w:color w:val="000000"/>
      <w:sz w:val="20"/>
      <w:szCs w:val="20"/>
    </w:rPr>
  </w:style>
  <w:style w:type="character" w:styleId="FootnoteReference">
    <w:name w:val="footnote reference"/>
    <w:aliases w:val="*Footnote Reference,Number"/>
    <w:basedOn w:val="DefaultParagraphFont"/>
    <w:qFormat/>
    <w:rsid w:val="009B2FC3"/>
    <w:rPr>
      <w:rFonts w:cs="Times New Roman"/>
      <w:vertAlign w:val="superscript"/>
    </w:rPr>
  </w:style>
  <w:style w:type="paragraph" w:styleId="CommentText">
    <w:name w:val="annotation text"/>
    <w:basedOn w:val="Normal"/>
    <w:link w:val="CommentTextChar"/>
    <w:uiPriority w:val="99"/>
    <w:semiHidden/>
    <w:rsid w:val="00236779"/>
    <w:rPr>
      <w:rFonts w:ascii="Verdana" w:hAnsi="Verdana"/>
      <w:sz w:val="20"/>
    </w:rPr>
  </w:style>
  <w:style w:type="character" w:customStyle="1" w:styleId="CommentTextChar">
    <w:name w:val="Comment Text Char"/>
    <w:basedOn w:val="DefaultParagraphFont"/>
    <w:link w:val="CommentText"/>
    <w:uiPriority w:val="99"/>
    <w:semiHidden/>
    <w:locked/>
    <w:rsid w:val="00236779"/>
    <w:rPr>
      <w:rFonts w:ascii="Verdana" w:hAnsi="Verdana" w:cs="Arial"/>
      <w:color w:val="000000"/>
      <w:sz w:val="20"/>
      <w:szCs w:val="20"/>
    </w:rPr>
  </w:style>
  <w:style w:type="paragraph" w:styleId="CommentSubject">
    <w:name w:val="annotation subject"/>
    <w:basedOn w:val="CommentText"/>
    <w:next w:val="CommentText"/>
    <w:link w:val="CommentSubjectChar"/>
    <w:uiPriority w:val="99"/>
    <w:semiHidden/>
    <w:rsid w:val="000A710A"/>
    <w:rPr>
      <w:b/>
      <w:bCs/>
    </w:rPr>
  </w:style>
  <w:style w:type="character" w:customStyle="1" w:styleId="CommentSubjectChar">
    <w:name w:val="Comment Subject Char"/>
    <w:basedOn w:val="CommentTextChar"/>
    <w:link w:val="CommentSubject"/>
    <w:uiPriority w:val="99"/>
    <w:semiHidden/>
    <w:locked/>
    <w:rsid w:val="00AF75CC"/>
    <w:rPr>
      <w:rFonts w:ascii="Verdana" w:hAnsi="Verdana" w:cs="Arial"/>
      <w:b/>
      <w:bCs/>
      <w:color w:val="000000"/>
      <w:sz w:val="20"/>
      <w:szCs w:val="20"/>
    </w:rPr>
  </w:style>
  <w:style w:type="character" w:styleId="Hyperlink">
    <w:name w:val="Hyperlink"/>
    <w:basedOn w:val="DefaultParagraphFont"/>
    <w:uiPriority w:val="99"/>
    <w:rsid w:val="003A49A7"/>
    <w:rPr>
      <w:rFonts w:cs="Times New Roman"/>
      <w:color w:val="0000FF"/>
      <w:u w:val="single"/>
    </w:rPr>
  </w:style>
  <w:style w:type="table" w:styleId="TableGrid">
    <w:name w:val="Table Grid"/>
    <w:basedOn w:val="TableNormal"/>
    <w:uiPriority w:val="99"/>
    <w:rsid w:val="00F726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47710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AF75CC"/>
    <w:rPr>
      <w:rFonts w:cs="Arial"/>
      <w:color w:val="000000"/>
      <w:sz w:val="2"/>
    </w:rPr>
  </w:style>
  <w:style w:type="paragraph" w:customStyle="1" w:styleId="Char0">
    <w:name w:val="Char"/>
    <w:basedOn w:val="Normal"/>
    <w:uiPriority w:val="99"/>
    <w:semiHidden/>
    <w:rsid w:val="000776F1"/>
    <w:pPr>
      <w:spacing w:after="160" w:line="240" w:lineRule="exact"/>
    </w:pPr>
    <w:rPr>
      <w:rFonts w:cs="Times New Roman"/>
      <w:color w:val="auto"/>
      <w:szCs w:val="24"/>
    </w:rPr>
  </w:style>
  <w:style w:type="paragraph" w:customStyle="1" w:styleId="Char1">
    <w:name w:val="Char1"/>
    <w:basedOn w:val="Normal"/>
    <w:uiPriority w:val="99"/>
    <w:semiHidden/>
    <w:rsid w:val="00A07A22"/>
    <w:pPr>
      <w:spacing w:after="160" w:line="240" w:lineRule="exact"/>
    </w:pPr>
    <w:rPr>
      <w:rFonts w:cs="Times New Roman"/>
      <w:color w:val="auto"/>
      <w:szCs w:val="24"/>
    </w:rPr>
  </w:style>
  <w:style w:type="character" w:styleId="Strong">
    <w:name w:val="Strong"/>
    <w:basedOn w:val="DefaultParagraphFont"/>
    <w:uiPriority w:val="99"/>
    <w:qFormat/>
    <w:locked/>
    <w:rsid w:val="00F87C1E"/>
    <w:rPr>
      <w:rFonts w:cs="Times New Roman"/>
      <w:b/>
      <w:bCs/>
    </w:rPr>
  </w:style>
  <w:style w:type="paragraph" w:styleId="BodyTextIndent">
    <w:name w:val="Body Text Indent"/>
    <w:basedOn w:val="Normal"/>
    <w:link w:val="BodyTextIndentChar"/>
    <w:uiPriority w:val="99"/>
    <w:semiHidden/>
    <w:rsid w:val="0038134A"/>
    <w:pPr>
      <w:ind w:left="360"/>
    </w:pPr>
    <w:rPr>
      <w:rFonts w:cs="Times New Roman"/>
      <w:color w:val="auto"/>
    </w:rPr>
  </w:style>
  <w:style w:type="character" w:customStyle="1" w:styleId="BodyTextIndentChar">
    <w:name w:val="Body Text Indent Char"/>
    <w:basedOn w:val="DefaultParagraphFont"/>
    <w:link w:val="BodyTextIndent"/>
    <w:uiPriority w:val="99"/>
    <w:semiHidden/>
    <w:locked/>
    <w:rsid w:val="0038134A"/>
    <w:rPr>
      <w:rFonts w:cs="Times New Roman"/>
      <w:sz w:val="20"/>
      <w:szCs w:val="20"/>
    </w:rPr>
  </w:style>
  <w:style w:type="paragraph" w:styleId="Revision">
    <w:name w:val="Revision"/>
    <w:hidden/>
    <w:uiPriority w:val="99"/>
    <w:semiHidden/>
    <w:rsid w:val="00102B44"/>
    <w:rPr>
      <w:rFonts w:cs="Arial"/>
      <w:color w:val="000000"/>
      <w:sz w:val="24"/>
      <w:szCs w:val="20"/>
    </w:rPr>
  </w:style>
  <w:style w:type="paragraph" w:styleId="ListParagraph">
    <w:name w:val="List Paragraph"/>
    <w:basedOn w:val="Normal"/>
    <w:uiPriority w:val="34"/>
    <w:qFormat/>
    <w:rsid w:val="00D944B0"/>
    <w:pPr>
      <w:ind w:left="720"/>
      <w:contextualSpacing/>
    </w:pPr>
  </w:style>
  <w:style w:type="character" w:customStyle="1" w:styleId="Heading2Char">
    <w:name w:val="Heading 2 Char"/>
    <w:basedOn w:val="DefaultParagraphFont"/>
    <w:link w:val="Heading2"/>
    <w:semiHidden/>
    <w:rsid w:val="00463EAE"/>
    <w:rPr>
      <w:rFonts w:asciiTheme="majorHAnsi" w:eastAsiaTheme="majorEastAsia" w:hAnsiTheme="majorHAnsi" w:cstheme="majorBidi"/>
      <w:color w:val="365F91" w:themeColor="accent1" w:themeShade="BF"/>
      <w:sz w:val="26"/>
      <w:szCs w:val="26"/>
    </w:rPr>
  </w:style>
  <w:style w:type="paragraph" w:customStyle="1" w:styleId="RegEvalText">
    <w:name w:val="Reg Eval Text"/>
    <w:basedOn w:val="Normal"/>
    <w:next w:val="Normal"/>
    <w:link w:val="RegEvalTextChar"/>
    <w:autoRedefine/>
    <w:qFormat/>
    <w:rsid w:val="00A44A89"/>
    <w:pPr>
      <w:tabs>
        <w:tab w:val="left" w:pos="180"/>
        <w:tab w:val="left" w:pos="5760"/>
      </w:tabs>
      <w:autoSpaceDE w:val="0"/>
      <w:autoSpaceDN w:val="0"/>
      <w:adjustRightInd w:val="0"/>
      <w:spacing w:after="120" w:line="360" w:lineRule="auto"/>
      <w:textAlignment w:val="baseline"/>
    </w:pPr>
    <w:rPr>
      <w:rFonts w:eastAsia="MS Mincho" w:cstheme="minorBidi"/>
      <w:iCs/>
      <w:color w:val="auto"/>
      <w:szCs w:val="24"/>
    </w:rPr>
  </w:style>
  <w:style w:type="character" w:customStyle="1" w:styleId="RegEvalTextChar">
    <w:name w:val="Reg Eval Text Char"/>
    <w:link w:val="RegEvalText"/>
    <w:rsid w:val="00A44A89"/>
    <w:rPr>
      <w:rFonts w:eastAsia="MS Mincho" w:cstheme="minorBidi"/>
      <w:iCs/>
      <w:sz w:val="24"/>
      <w:szCs w:val="24"/>
    </w:rPr>
  </w:style>
  <w:style w:type="paragraph" w:styleId="BodyText">
    <w:name w:val="Body Text"/>
    <w:basedOn w:val="Normal"/>
    <w:link w:val="BodyTextChar"/>
    <w:uiPriority w:val="99"/>
    <w:semiHidden/>
    <w:unhideWhenUsed/>
    <w:rsid w:val="00985776"/>
    <w:pPr>
      <w:spacing w:after="120"/>
    </w:pPr>
  </w:style>
  <w:style w:type="character" w:customStyle="1" w:styleId="BodyTextChar">
    <w:name w:val="Body Text Char"/>
    <w:basedOn w:val="DefaultParagraphFont"/>
    <w:link w:val="BodyText"/>
    <w:uiPriority w:val="99"/>
    <w:semiHidden/>
    <w:rsid w:val="00985776"/>
    <w:rPr>
      <w:rFonts w:cs="Arial"/>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app/details/PLAW-116publ2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19AA7A939ECE4F82B0887C5EE7E405" ma:contentTypeVersion="12" ma:contentTypeDescription="Create a new document." ma:contentTypeScope="" ma:versionID="7dc825fa0261f32d170056dedada533a">
  <xsd:schema xmlns:xsd="http://www.w3.org/2001/XMLSchema" xmlns:xs="http://www.w3.org/2001/XMLSchema" xmlns:p="http://schemas.microsoft.com/office/2006/metadata/properties" xmlns:ns3="58f186f9-f8c5-494f-97c9-3bea4a5871dd" xmlns:ns4="7dbe7cf7-4675-4ebc-9db9-d17b4588bddf" targetNamespace="http://schemas.microsoft.com/office/2006/metadata/properties" ma:root="true" ma:fieldsID="020f1e042a580352e553d2a7144fc4eb" ns3:_="" ns4:_="">
    <xsd:import namespace="58f186f9-f8c5-494f-97c9-3bea4a5871dd"/>
    <xsd:import namespace="7dbe7cf7-4675-4ebc-9db9-d17b4588bd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186f9-f8c5-494f-97c9-3bea4a5871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e7cf7-4675-4ebc-9db9-d17b4588bd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3E9F1-5E63-430C-A469-310F74FF9CE1}">
  <ds:schemaRefs>
    <ds:schemaRef ds:uri="http://schemas.microsoft.com/office/2006/documentManagement/types"/>
    <ds:schemaRef ds:uri="58f186f9-f8c5-494f-97c9-3bea4a5871dd"/>
    <ds:schemaRef ds:uri="http://www.w3.org/XML/1998/namespace"/>
    <ds:schemaRef ds:uri="http://purl.org/dc/elements/1.1/"/>
    <ds:schemaRef ds:uri="http://schemas.microsoft.com/office/infopath/2007/PartnerControls"/>
    <ds:schemaRef ds:uri="7dbe7cf7-4675-4ebc-9db9-d17b4588bddf"/>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038EEFA5-A06A-4B81-9695-4D521C8BF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186f9-f8c5-494f-97c9-3bea4a5871dd"/>
    <ds:schemaRef ds:uri="7dbe7cf7-4675-4ebc-9db9-d17b4588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79870-B9B9-481F-983E-E6A6156F0DDA}">
  <ds:schemaRefs>
    <ds:schemaRef ds:uri="http://schemas.microsoft.com/sharepoint/v3/contenttype/forms"/>
  </ds:schemaRefs>
</ds:datastoreItem>
</file>

<file path=customXml/itemProps4.xml><?xml version="1.0" encoding="utf-8"?>
<ds:datastoreItem xmlns:ds="http://schemas.openxmlformats.org/officeDocument/2006/customXml" ds:itemID="{5D35477A-C8D4-4A45-BBB5-678E50643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4546</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83i Supplemental Supporting Stmt</vt:lpstr>
    </vt:vector>
  </TitlesOfParts>
  <Company>Transportation Security Administration</Company>
  <LinksUpToDate>false</LinksUpToDate>
  <CharactersWithSpaces>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dc:title>
  <dc:creator>Marisa Mullen</dc:creator>
  <cp:keywords>5000.22</cp:keywords>
  <cp:lastModifiedBy>WALSH, CHRISTINA</cp:lastModifiedBy>
  <cp:revision>2</cp:revision>
  <cp:lastPrinted>2011-05-19T13:45:00Z</cp:lastPrinted>
  <dcterms:created xsi:type="dcterms:W3CDTF">2024-07-05T18:41:00Z</dcterms:created>
  <dcterms:modified xsi:type="dcterms:W3CDTF">2024-07-05T18:41:00Z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0x010100D019AA7A939ECE4F82B0887C5EE7E405</vt:lpwstr>
  </property>
  <property fmtid="{D5CDD505-2E9C-101B-9397-08002B2CF9AE}" pid="3" name="MSIP_Label_a2eef23d-2e95-4428-9a3c-2526d95b164a_ActionId">
    <vt:lpwstr>a783faf8-dbdf-40bb-9ea1-2dd3bc6aeb32</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2024-07-05T18:38:42Z</vt:lpwstr>
  </property>
  <property fmtid="{D5CDD505-2E9C-101B-9397-08002B2CF9AE}" pid="9" name="MSIP_Label_a2eef23d-2e95-4428-9a3c-2526d95b164a_SiteId">
    <vt:lpwstr>3ccde76c-946d-4a12-bb7a-fc9d0842354a</vt:lpwstr>
  </property>
  <property fmtid="{D5CDD505-2E9C-101B-9397-08002B2CF9AE}" pid="10" name="_dlc_DocIdItemGuid">
    <vt:lpwstr>7d0347d5-262d-4265-bb55-2ca721edaa36</vt:lpwstr>
  </property>
  <property fmtid="{D5CDD505-2E9C-101B-9397-08002B2CF9AE}" pid="11" name="_NewReviewCycle">
    <vt:lpwstr/>
  </property>
</Properties>
</file>