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4C19" w:rsidRPr="00E80017" w:rsidP="00D74591" w14:paraId="41DB8C9E" w14:textId="77777777">
      <w:pPr>
        <w:pStyle w:val="ListParagraph"/>
        <w:tabs>
          <w:tab w:val="left" w:pos="1080"/>
        </w:tabs>
        <w:suppressAutoHyphens/>
        <w:ind w:left="180"/>
        <w:rPr>
          <w:rFonts w:asciiTheme="minorHAnsi" w:hAnsiTheme="minorHAnsi" w:cstheme="minorHAnsi"/>
          <w:szCs w:val="24"/>
        </w:rPr>
      </w:pPr>
      <w:r w:rsidRPr="00E80017">
        <w:rPr>
          <w:rFonts w:asciiTheme="minorHAnsi" w:hAnsiTheme="minorHAnsi" w:cstheme="minorHAnsi"/>
          <w:szCs w:val="24"/>
        </w:rPr>
        <w:t>The Department of Education (the Department) amend</w:t>
      </w:r>
      <w:r>
        <w:rPr>
          <w:rFonts w:asciiTheme="minorHAnsi" w:hAnsiTheme="minorHAnsi" w:cstheme="minorHAnsi"/>
          <w:szCs w:val="24"/>
        </w:rPr>
        <w:t>s</w:t>
      </w:r>
      <w:r w:rsidRPr="00E80017">
        <w:rPr>
          <w:rFonts w:asciiTheme="minorHAnsi" w:hAnsiTheme="minorHAnsi" w:cstheme="minorHAnsi"/>
          <w:szCs w:val="24"/>
        </w:rPr>
        <w:t xml:space="preserve">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w:t>
      </w:r>
      <w:r>
        <w:rPr>
          <w:rFonts w:asciiTheme="minorHAnsi" w:hAnsiTheme="minorHAnsi" w:cstheme="minorHAnsi"/>
          <w:szCs w:val="24"/>
        </w:rPr>
        <w:t>final</w:t>
      </w:r>
      <w:r w:rsidRPr="00E80017">
        <w:rPr>
          <w:rFonts w:asciiTheme="minorHAnsi" w:hAnsiTheme="minorHAnsi" w:cstheme="minorHAnsi"/>
          <w:szCs w:val="24"/>
        </w:rPr>
        <w:t xml:space="preserve"> regulations are a result of negotiated rulemaking and add</w:t>
      </w:r>
      <w:r>
        <w:rPr>
          <w:rFonts w:asciiTheme="minorHAnsi" w:hAnsiTheme="minorHAnsi" w:cstheme="minorHAnsi"/>
          <w:szCs w:val="24"/>
        </w:rPr>
        <w:t>s</w:t>
      </w:r>
      <w:r w:rsidRPr="00E80017">
        <w:rPr>
          <w:rFonts w:asciiTheme="minorHAnsi" w:hAnsiTheme="minorHAnsi" w:cstheme="minorHAnsi"/>
          <w:szCs w:val="24"/>
        </w:rPr>
        <w:t xml:space="preserve"> new requirements</w:t>
      </w:r>
      <w:r>
        <w:rPr>
          <w:rFonts w:asciiTheme="minorHAnsi" w:hAnsiTheme="minorHAnsi" w:cstheme="minorHAnsi"/>
          <w:szCs w:val="24"/>
        </w:rPr>
        <w:t xml:space="preserve"> to</w:t>
      </w:r>
      <w:r w:rsidRPr="00E80017">
        <w:rPr>
          <w:rFonts w:asciiTheme="minorHAnsi" w:hAnsiTheme="minorHAnsi" w:cstheme="minorHAnsi"/>
          <w:szCs w:val="24"/>
        </w:rPr>
        <w:t xml:space="preserve"> and remove</w:t>
      </w:r>
      <w:r>
        <w:rPr>
          <w:rFonts w:asciiTheme="minorHAnsi" w:hAnsiTheme="minorHAnsi" w:cstheme="minorHAnsi"/>
          <w:szCs w:val="24"/>
        </w:rPr>
        <w:t>s</w:t>
      </w:r>
      <w:r w:rsidRPr="00E80017">
        <w:rPr>
          <w:rFonts w:asciiTheme="minorHAnsi" w:hAnsiTheme="minorHAnsi" w:cstheme="minorHAnsi"/>
          <w:szCs w:val="24"/>
        </w:rPr>
        <w:t xml:space="preserve"> a requirement </w:t>
      </w:r>
      <w:r>
        <w:rPr>
          <w:rFonts w:asciiTheme="minorHAnsi" w:hAnsiTheme="minorHAnsi" w:cstheme="minorHAnsi"/>
          <w:szCs w:val="24"/>
        </w:rPr>
        <w:t>from</w:t>
      </w:r>
      <w:r w:rsidRPr="00E80017">
        <w:rPr>
          <w:rFonts w:asciiTheme="minorHAnsi" w:hAnsiTheme="minorHAnsi" w:cstheme="minorHAnsi"/>
          <w:szCs w:val="24"/>
        </w:rPr>
        <w:t xml:space="preserve"> the current regulations.  </w:t>
      </w:r>
    </w:p>
    <w:p w:rsidR="00BA4C19" w:rsidRPr="00E80017" w:rsidP="00D74591" w14:paraId="1EAE6EEE" w14:textId="77777777">
      <w:pPr>
        <w:pStyle w:val="ListParagraph"/>
        <w:tabs>
          <w:tab w:val="left" w:pos="1080"/>
        </w:tabs>
        <w:suppressAutoHyphens/>
        <w:ind w:left="180"/>
        <w:rPr>
          <w:rFonts w:asciiTheme="minorHAnsi" w:hAnsiTheme="minorHAnsi" w:cstheme="minorHAnsi"/>
          <w:szCs w:val="24"/>
        </w:rPr>
      </w:pPr>
    </w:p>
    <w:p w:rsidR="00BA4C19" w:rsidRPr="00E80017" w:rsidP="00D74591" w14:paraId="24E258A9" w14:textId="77777777">
      <w:pPr>
        <w:pStyle w:val="ListParagraph"/>
        <w:tabs>
          <w:tab w:val="left" w:pos="1080"/>
        </w:tabs>
        <w:ind w:left="180"/>
        <w:rPr>
          <w:rFonts w:asciiTheme="minorHAnsi" w:hAnsiTheme="minorHAnsi" w:cstheme="minorHAnsi"/>
          <w:szCs w:val="24"/>
        </w:rPr>
      </w:pPr>
      <w:r w:rsidRPr="00E80017">
        <w:rPr>
          <w:rFonts w:asciiTheme="minorHAnsi" w:hAnsiTheme="minorHAnsi" w:cstheme="minorHAnsi"/>
          <w:szCs w:val="24"/>
        </w:rPr>
        <w:t xml:space="preserve">The Department </w:t>
      </w:r>
      <w:r w:rsidRPr="00E80017">
        <w:rPr>
          <w:rFonts w:asciiTheme="minorHAnsi" w:hAnsiTheme="minorHAnsi" w:cstheme="minorHAnsi"/>
          <w:color w:val="000000"/>
          <w:szCs w:val="24"/>
        </w:rPr>
        <w:t>reinstate</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prior regulations that bar</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institutions, as a condition of participating in the Direct Loan program, from requiring borrowers to accept pre-dispute arbitration agreements and class action waivers as they relate to borrower defense claims.  </w:t>
      </w:r>
    </w:p>
    <w:p w:rsidR="00BA4C19" w:rsidRPr="00E80017" w:rsidP="00D74591" w14:paraId="1A7007B7" w14:textId="77777777">
      <w:pPr>
        <w:pStyle w:val="ListParagraph"/>
        <w:tabs>
          <w:tab w:val="left" w:pos="1080"/>
        </w:tabs>
        <w:ind w:left="180"/>
        <w:rPr>
          <w:rFonts w:asciiTheme="minorHAnsi" w:hAnsiTheme="minorHAnsi" w:cstheme="minorHAnsi"/>
          <w:szCs w:val="24"/>
        </w:rPr>
      </w:pPr>
    </w:p>
    <w:p w:rsidR="00BA4C19" w:rsidRPr="00E80017" w:rsidP="00D74591" w14:paraId="56E4B36C" w14:textId="77777777">
      <w:pPr>
        <w:pStyle w:val="ListParagraph"/>
        <w:tabs>
          <w:tab w:val="left" w:pos="108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final</w:t>
      </w:r>
      <w:r w:rsidRPr="00E80017">
        <w:rPr>
          <w:rFonts w:asciiTheme="minorHAnsi" w:hAnsiTheme="minorHAnsi" w:cstheme="minorHAnsi"/>
          <w:szCs w:val="24"/>
        </w:rPr>
        <w:t xml:space="preserve"> regulations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00BA4C19" w:rsidRPr="00E80017" w:rsidP="00D74591" w14:paraId="1EC41C10" w14:textId="77777777">
      <w:pPr>
        <w:pStyle w:val="ListParagraph"/>
        <w:tabs>
          <w:tab w:val="left" w:pos="1080"/>
        </w:tabs>
        <w:ind w:left="180"/>
        <w:rPr>
          <w:rFonts w:asciiTheme="minorHAnsi" w:hAnsiTheme="minorHAnsi" w:cstheme="minorHAnsi"/>
          <w:szCs w:val="24"/>
        </w:rPr>
      </w:pPr>
    </w:p>
    <w:p w:rsidR="00BA4C19" w:rsidRPr="00E80017" w:rsidP="00D74591" w14:paraId="647565E1" w14:textId="77777777">
      <w:pPr>
        <w:pStyle w:val="ListParagraph"/>
        <w:tabs>
          <w:tab w:val="left" w:pos="1080"/>
        </w:tabs>
        <w:ind w:left="180"/>
        <w:rPr>
          <w:rFonts w:asciiTheme="minorHAnsi" w:hAnsiTheme="minorHAnsi" w:cstheme="minorHAnsi"/>
          <w:szCs w:val="24"/>
        </w:rPr>
      </w:pPr>
      <w:r w:rsidRPr="00E80017">
        <w:rPr>
          <w:rFonts w:asciiTheme="minorHAnsi" w:hAnsiTheme="minorHAnsi" w:cstheme="minorHAnsi"/>
          <w:color w:val="000000"/>
          <w:szCs w:val="24"/>
        </w:rPr>
        <w:t xml:space="preserve">The </w:t>
      </w:r>
      <w:r>
        <w:rPr>
          <w:rFonts w:asciiTheme="minorHAnsi" w:hAnsiTheme="minorHAnsi" w:cstheme="minorHAnsi"/>
          <w:color w:val="000000"/>
          <w:szCs w:val="24"/>
        </w:rPr>
        <w:t xml:space="preserve">final </w:t>
      </w:r>
      <w:r w:rsidRPr="00E80017">
        <w:rPr>
          <w:rFonts w:asciiTheme="minorHAnsi" w:hAnsiTheme="minorHAnsi" w:cstheme="minorHAnsi"/>
          <w:color w:val="000000"/>
          <w:szCs w:val="24"/>
        </w:rPr>
        <w:t xml:space="preserve">regulations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00BA4C19" w:rsidRPr="00E80017" w:rsidP="00D74591" w14:paraId="06D2614D" w14:textId="77777777">
      <w:pPr>
        <w:pStyle w:val="ListParagraph"/>
        <w:tabs>
          <w:tab w:val="left" w:pos="1080"/>
        </w:tabs>
        <w:ind w:left="180"/>
        <w:rPr>
          <w:rFonts w:asciiTheme="minorHAnsi" w:hAnsiTheme="minorHAnsi" w:cstheme="minorHAnsi"/>
          <w:szCs w:val="24"/>
        </w:rPr>
      </w:pPr>
    </w:p>
    <w:p w:rsidR="00BA4C19" w:rsidRPr="00E80017" w:rsidP="00D74591" w14:paraId="4FEB846A" w14:textId="77777777">
      <w:pPr>
        <w:pStyle w:val="ListParagraph"/>
        <w:tabs>
          <w:tab w:val="left" w:pos="108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 xml:space="preserve">final </w:t>
      </w:r>
      <w:r w:rsidRPr="00E80017">
        <w:rPr>
          <w:rFonts w:asciiTheme="minorHAnsi" w:hAnsiTheme="minorHAnsi" w:cstheme="minorHAnsi"/>
          <w:szCs w:val="24"/>
        </w:rPr>
        <w:t>regulations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00BA4C19" w:rsidRPr="00E80017" w:rsidP="00D74591" w14:paraId="1943AE40" w14:textId="77777777">
      <w:pPr>
        <w:pStyle w:val="ListParagraph"/>
        <w:tabs>
          <w:tab w:val="left" w:pos="1080"/>
        </w:tabs>
        <w:ind w:left="180"/>
        <w:rPr>
          <w:rFonts w:asciiTheme="minorHAnsi" w:hAnsiTheme="minorHAnsi" w:cstheme="minorHAnsi"/>
          <w:szCs w:val="24"/>
        </w:rPr>
      </w:pPr>
    </w:p>
    <w:p w:rsidR="00BA4C19" w:rsidP="00D74591" w14:paraId="54809BA0" w14:textId="77777777">
      <w:pPr>
        <w:pStyle w:val="ListParagraph"/>
        <w:tabs>
          <w:tab w:val="left" w:pos="1080"/>
        </w:tabs>
        <w:ind w:left="180"/>
        <w:rPr>
          <w:rFonts w:asciiTheme="minorHAnsi" w:hAnsiTheme="minorHAnsi" w:cstheme="minorHAnsi"/>
          <w:szCs w:val="24"/>
        </w:rPr>
      </w:pPr>
      <w:r w:rsidRPr="00E80017">
        <w:rPr>
          <w:rFonts w:asciiTheme="minorHAnsi" w:hAnsiTheme="minorHAnsi" w:cstheme="minorHAnsi"/>
          <w:szCs w:val="24"/>
        </w:rPr>
        <w:t xml:space="preserve">These </w:t>
      </w:r>
      <w:r>
        <w:rPr>
          <w:rFonts w:asciiTheme="minorHAnsi" w:hAnsiTheme="minorHAnsi" w:cstheme="minorHAnsi"/>
          <w:szCs w:val="24"/>
        </w:rPr>
        <w:t xml:space="preserve">final </w:t>
      </w:r>
      <w:r w:rsidRPr="00E80017">
        <w:rPr>
          <w:rFonts w:asciiTheme="minorHAnsi" w:hAnsiTheme="minorHAnsi" w:cstheme="minorHAnsi"/>
          <w:szCs w:val="24"/>
        </w:rPr>
        <w:t xml:space="preserve">regulations remove §685.304(a)(6)(xiii) through (xv).  The </w:t>
      </w:r>
      <w:r>
        <w:rPr>
          <w:rFonts w:asciiTheme="minorHAnsi" w:hAnsiTheme="minorHAnsi" w:cstheme="minorHAnsi"/>
          <w:szCs w:val="24"/>
        </w:rPr>
        <w:t>final</w:t>
      </w:r>
      <w:r w:rsidRPr="00E80017">
        <w:rPr>
          <w:rFonts w:asciiTheme="minorHAnsi" w:hAnsiTheme="minorHAnsi" w:cstheme="minorHAnsi"/>
          <w:szCs w:val="24"/>
        </w:rPr>
        <w:t xml:space="preserve"> regulations at §685.300 state the conditions under which disclosures would be required and provide deadlines for such disclosures removing the need for this regulatory language. </w:t>
      </w:r>
    </w:p>
    <w:p w:rsidR="00BA4C19" w:rsidP="00D74591" w14:paraId="64DF22D0" w14:textId="77777777">
      <w:pPr>
        <w:pStyle w:val="ListParagraph"/>
        <w:tabs>
          <w:tab w:val="left" w:pos="1080"/>
        </w:tabs>
        <w:ind w:left="180"/>
        <w:rPr>
          <w:rFonts w:asciiTheme="minorHAnsi" w:hAnsiTheme="minorHAnsi" w:cstheme="minorHAnsi"/>
          <w:szCs w:val="24"/>
        </w:rPr>
      </w:pPr>
    </w:p>
    <w:p w:rsidR="00BA4C19" w:rsidRPr="00AB79F7" w:rsidP="00D74591" w14:paraId="5F476FA9" w14:textId="77777777">
      <w:pPr>
        <w:pStyle w:val="ListParagraph"/>
        <w:tabs>
          <w:tab w:val="left" w:pos="1080"/>
        </w:tabs>
        <w:ind w:left="180"/>
        <w:rPr>
          <w:rStyle w:val="normaltextrun"/>
          <w:rFonts w:asciiTheme="minorHAnsi" w:hAnsiTheme="minorHAnsi" w:cstheme="minorHAnsi"/>
          <w:color w:val="000000" w:themeColor="text1"/>
        </w:rPr>
      </w:pPr>
      <w:r w:rsidRPr="00AB79F7">
        <w:rPr>
          <w:rFonts w:eastAsia="Yu Mincho" w:asciiTheme="minorHAnsi" w:hAnsiTheme="minorHAnsi" w:cstheme="minorHAnsi"/>
          <w:color w:val="000000" w:themeColor="text1"/>
          <w:szCs w:val="24"/>
        </w:rPr>
        <w:t>In</w:t>
      </w:r>
      <w:r w:rsidRPr="00AB79F7">
        <w:rPr>
          <w:rFonts w:eastAsia="Yu Mincho" w:asciiTheme="minorHAnsi" w:hAnsiTheme="minorHAnsi" w:cstheme="minorHAnsi"/>
          <w:color w:val="000000" w:themeColor="text1"/>
          <w:szCs w:val="24"/>
        </w:rPr>
        <w:t xml:space="preserve"> </w:t>
      </w:r>
      <w:r>
        <w:rPr>
          <w:rFonts w:eastAsia="Yu Mincho" w:asciiTheme="minorHAnsi" w:hAnsiTheme="minorHAnsi" w:cstheme="minorHAnsi"/>
          <w:color w:val="000000" w:themeColor="text1"/>
          <w:szCs w:val="24"/>
        </w:rPr>
        <w:t>§</w:t>
      </w:r>
      <w:r w:rsidRPr="00AB79F7">
        <w:rPr>
          <w:rFonts w:eastAsia="Yu Mincho" w:asciiTheme="minorHAnsi" w:hAnsiTheme="minorHAnsi" w:cstheme="minorHAnsi"/>
          <w:color w:val="000000" w:themeColor="text1"/>
          <w:szCs w:val="24"/>
        </w:rPr>
        <w:t xml:space="preserve">685.402(c)(4) </w:t>
      </w:r>
      <w:r>
        <w:rPr>
          <w:rFonts w:eastAsia="Yu Mincho" w:asciiTheme="minorHAnsi" w:hAnsiTheme="minorHAnsi" w:cstheme="minorHAnsi"/>
          <w:color w:val="000000" w:themeColor="text1"/>
          <w:szCs w:val="24"/>
        </w:rPr>
        <w:t xml:space="preserve">of the final regulations, </w:t>
      </w:r>
      <w:r w:rsidRPr="00AB79F7">
        <w:rPr>
          <w:rFonts w:eastAsia="Yu Mincho" w:asciiTheme="minorHAnsi" w:hAnsiTheme="minorHAnsi" w:cstheme="minorHAnsi"/>
          <w:color w:val="000000" w:themeColor="text1"/>
          <w:szCs w:val="24"/>
        </w:rPr>
        <w:t xml:space="preserve">the </w:t>
      </w:r>
      <w:r w:rsidRPr="00AB79F7">
        <w:rPr>
          <w:rStyle w:val="normaltextrun"/>
          <w:rFonts w:asciiTheme="minorHAnsi" w:hAnsiTheme="minorHAnsi" w:cstheme="minorHAnsi"/>
          <w:color w:val="000000" w:themeColor="text1"/>
          <w:szCs w:val="24"/>
        </w:rPr>
        <w:t xml:space="preserve">Secretary will notify an institution of </w:t>
      </w:r>
      <w:r>
        <w:rPr>
          <w:rStyle w:val="normaltextrun"/>
          <w:rFonts w:asciiTheme="minorHAnsi" w:hAnsiTheme="minorHAnsi" w:cstheme="minorHAnsi"/>
          <w:color w:val="000000" w:themeColor="text1"/>
          <w:szCs w:val="24"/>
        </w:rPr>
        <w:t>a</w:t>
      </w:r>
      <w:r w:rsidRPr="00AB79F7">
        <w:rPr>
          <w:rStyle w:val="normaltextrun"/>
          <w:rFonts w:asciiTheme="minorHAnsi" w:hAnsiTheme="minorHAnsi" w:cstheme="minorHAnsi"/>
          <w:color w:val="000000" w:themeColor="text1"/>
          <w:szCs w:val="24"/>
        </w:rPr>
        <w:t xml:space="preserve"> third-party requestor’s application requesting to form a </w:t>
      </w:r>
      <w:r>
        <w:rPr>
          <w:rStyle w:val="normaltextrun"/>
          <w:rFonts w:asciiTheme="minorHAnsi" w:hAnsiTheme="minorHAnsi" w:cstheme="minorHAnsi"/>
          <w:color w:val="000000" w:themeColor="text1"/>
          <w:szCs w:val="24"/>
        </w:rPr>
        <w:t>borrower defense against repayment (BD)</w:t>
      </w:r>
      <w:r w:rsidRPr="00AB79F7">
        <w:rPr>
          <w:rStyle w:val="normaltextrun"/>
          <w:rFonts w:asciiTheme="minorHAnsi" w:hAnsiTheme="minorHAnsi" w:cstheme="minorHAnsi"/>
          <w:color w:val="000000" w:themeColor="text1"/>
          <w:szCs w:val="24"/>
        </w:rPr>
        <w:t xml:space="preserve"> group.  The institution will have 90 days to respond to the Secretary regarding the third-party requestor’s application.</w:t>
      </w:r>
      <w:r w:rsidRPr="00AB79F7">
        <w:rPr>
          <w:rStyle w:val="normaltextrun"/>
          <w:rFonts w:asciiTheme="minorHAnsi" w:hAnsiTheme="minorHAnsi" w:cstheme="minorHAnsi"/>
          <w:color w:val="000000" w:themeColor="text1"/>
        </w:rPr>
        <w:t> </w:t>
      </w:r>
    </w:p>
    <w:p w:rsidR="00BA4C19" w:rsidRPr="00AB79F7" w:rsidP="00D74591" w14:paraId="52938806" w14:textId="77777777">
      <w:pPr>
        <w:pStyle w:val="ListParagraph"/>
        <w:tabs>
          <w:tab w:val="left" w:pos="1080"/>
        </w:tabs>
        <w:ind w:left="180"/>
        <w:rPr>
          <w:rFonts w:asciiTheme="minorHAnsi" w:hAnsiTheme="minorHAnsi" w:cstheme="minorHAnsi"/>
          <w:color w:val="000000" w:themeColor="text1"/>
        </w:rPr>
      </w:pPr>
    </w:p>
    <w:p w:rsidR="00BA4C19" w:rsidRPr="00E80017" w:rsidP="00D74591" w14:paraId="00D64206" w14:textId="77777777">
      <w:pPr>
        <w:pStyle w:val="ListParagraph"/>
        <w:tabs>
          <w:tab w:val="left" w:pos="1080"/>
        </w:tabs>
        <w:ind w:left="180"/>
        <w:rPr>
          <w:rFonts w:asciiTheme="minorHAnsi" w:hAnsiTheme="minorHAnsi" w:cstheme="minorHAnsi"/>
          <w:szCs w:val="24"/>
        </w:rPr>
      </w:pPr>
      <w:r>
        <w:rPr>
          <w:rFonts w:asciiTheme="minorHAnsi" w:hAnsiTheme="minorHAnsi" w:cstheme="minorHAnsi"/>
          <w:color w:val="000000" w:themeColor="text1"/>
        </w:rPr>
        <w:t>In §</w:t>
      </w:r>
      <w:r w:rsidRPr="00AB79F7">
        <w:rPr>
          <w:rFonts w:asciiTheme="minorHAnsi" w:hAnsiTheme="minorHAnsi" w:cstheme="minorHAnsi"/>
          <w:color w:val="000000" w:themeColor="text1"/>
        </w:rPr>
        <w:t>6</w:t>
      </w:r>
      <w:r>
        <w:rPr>
          <w:rFonts w:asciiTheme="minorHAnsi" w:hAnsiTheme="minorHAnsi" w:cstheme="minorHAnsi"/>
          <w:color w:val="000000" w:themeColor="text1"/>
        </w:rPr>
        <w:t>8</w:t>
      </w:r>
      <w:r w:rsidRPr="00AB79F7">
        <w:rPr>
          <w:rFonts w:asciiTheme="minorHAnsi" w:hAnsiTheme="minorHAnsi" w:cstheme="minorHAnsi"/>
          <w:color w:val="000000" w:themeColor="text1"/>
        </w:rPr>
        <w:t xml:space="preserve">5.402(c)(6), </w:t>
      </w:r>
      <w:r>
        <w:rPr>
          <w:rFonts w:asciiTheme="minorHAnsi" w:hAnsiTheme="minorHAnsi" w:cstheme="minorHAnsi"/>
          <w:color w:val="000000" w:themeColor="text1"/>
        </w:rPr>
        <w:t xml:space="preserve">if </w:t>
      </w:r>
      <w:r w:rsidRPr="00AB79F7">
        <w:rPr>
          <w:rFonts w:asciiTheme="minorHAnsi" w:hAnsiTheme="minorHAnsi" w:cstheme="minorHAnsi"/>
          <w:color w:val="000000" w:themeColor="text1"/>
        </w:rPr>
        <w:t xml:space="preserve">a third-party requestors’ </w:t>
      </w:r>
      <w:r>
        <w:rPr>
          <w:rFonts w:asciiTheme="minorHAnsi" w:hAnsiTheme="minorHAnsi" w:cstheme="minorHAnsi"/>
          <w:color w:val="000000" w:themeColor="text1"/>
        </w:rPr>
        <w:t xml:space="preserve">BD </w:t>
      </w:r>
      <w:r w:rsidRPr="00AB79F7">
        <w:rPr>
          <w:rFonts w:asciiTheme="minorHAnsi" w:hAnsiTheme="minorHAnsi" w:cstheme="minorHAnsi"/>
          <w:color w:val="000000" w:themeColor="text1"/>
        </w:rPr>
        <w:t>group request is denied</w:t>
      </w:r>
      <w:r>
        <w:rPr>
          <w:rFonts w:asciiTheme="minorHAnsi" w:hAnsiTheme="minorHAnsi" w:cstheme="minorHAnsi"/>
          <w:color w:val="000000" w:themeColor="text1"/>
        </w:rPr>
        <w:t xml:space="preserve"> by the Secretary,</w:t>
      </w:r>
      <w:r w:rsidRPr="00AB79F7">
        <w:rPr>
          <w:rFonts w:asciiTheme="minorHAnsi" w:hAnsiTheme="minorHAnsi" w:cstheme="minorHAnsi"/>
          <w:color w:val="000000" w:themeColor="text1"/>
        </w:rPr>
        <w:t xml:space="preserve"> the third-party requestor will have 90 days from the initial decision to request reconsider</w:t>
      </w:r>
      <w:r>
        <w:rPr>
          <w:rFonts w:asciiTheme="minorHAnsi" w:hAnsiTheme="minorHAnsi" w:cstheme="minorHAnsi"/>
          <w:color w:val="000000" w:themeColor="text1"/>
        </w:rPr>
        <w:t>ation from the Secretary about</w:t>
      </w:r>
      <w:r w:rsidRPr="00AB79F7">
        <w:rPr>
          <w:rFonts w:asciiTheme="minorHAnsi" w:hAnsiTheme="minorHAnsi" w:cstheme="minorHAnsi"/>
          <w:color w:val="000000" w:themeColor="text1"/>
        </w:rPr>
        <w:t xml:space="preserve"> the formation of a group.</w:t>
      </w:r>
    </w:p>
    <w:p w:rsidR="000B42A1" w:rsidRPr="000B42A1" w:rsidP="00D74591" w14:paraId="6950C70B" w14:textId="7C1FA7E5">
      <w:pPr>
        <w:tabs>
          <w:tab w:val="left" w:pos="0"/>
          <w:tab w:val="left" w:pos="1080"/>
        </w:tabs>
        <w:ind w:left="180"/>
        <w:rPr>
          <w:rFonts w:ascii="Times New Roman" w:hAnsi="Times New Roman"/>
          <w:sz w:val="22"/>
          <w:szCs w:val="22"/>
        </w:rPr>
      </w:pPr>
    </w:p>
    <w:p w:rsidR="000B42A1" w:rsidRPr="0083701A" w:rsidP="0083701A" w14:paraId="6950C70D" w14:textId="5A0DDECF">
      <w:pPr>
        <w:tabs>
          <w:tab w:val="left" w:pos="0"/>
        </w:tabs>
        <w:ind w:firstLine="180"/>
        <w:rPr>
          <w:rFonts w:asciiTheme="minorHAnsi" w:hAnsiTheme="minorHAnsi" w:cstheme="minorHAnsi"/>
          <w:szCs w:val="24"/>
        </w:rPr>
      </w:pPr>
      <w:r w:rsidRPr="0083701A">
        <w:rPr>
          <w:rFonts w:asciiTheme="minorHAnsi" w:hAnsiTheme="minorHAnsi" w:cstheme="minorHAnsi"/>
          <w:szCs w:val="24"/>
        </w:rPr>
        <w:t>Proprietary Institutions</w:t>
      </w:r>
      <w:r w:rsidRPr="0083701A">
        <w:rPr>
          <w:rFonts w:asciiTheme="minorHAnsi" w:hAnsiTheme="minorHAnsi" w:cstheme="minorHAnsi"/>
          <w:szCs w:val="24"/>
        </w:rPr>
        <w:tab/>
      </w:r>
      <w:r w:rsidRPr="0083701A" w:rsidR="00BE2CCD">
        <w:rPr>
          <w:rFonts w:asciiTheme="minorHAnsi" w:hAnsiTheme="minorHAnsi" w:cstheme="minorHAnsi"/>
          <w:szCs w:val="24"/>
        </w:rPr>
        <w:tab/>
      </w:r>
    </w:p>
    <w:p w:rsidR="000B42A1" w:rsidRPr="0083701A" w:rsidP="0083701A" w14:paraId="6950C70E" w14:textId="77777777">
      <w:pPr>
        <w:tabs>
          <w:tab w:val="left" w:pos="0"/>
        </w:tabs>
        <w:ind w:firstLine="180"/>
        <w:rPr>
          <w:rFonts w:asciiTheme="minorHAnsi" w:hAnsiTheme="minorHAnsi" w:cstheme="minorHAnsi"/>
          <w:szCs w:val="24"/>
        </w:rPr>
      </w:pPr>
    </w:p>
    <w:p w:rsidR="00BE2CCD" w:rsidRPr="0083701A" w:rsidP="0083701A" w14:paraId="6950C70F" w14:textId="5430E0D4">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6B0F88">
        <w:rPr>
          <w:rFonts w:asciiTheme="minorHAnsi" w:hAnsiTheme="minorHAnsi" w:cstheme="minorHAnsi"/>
          <w:szCs w:val="24"/>
        </w:rPr>
        <w:t xml:space="preserve">    1,587</w:t>
      </w:r>
    </w:p>
    <w:p w:rsidR="00BE2CCD" w:rsidRPr="0083701A" w:rsidP="0083701A" w14:paraId="6950C710" w14:textId="2779D9A4">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00D11423">
        <w:rPr>
          <w:rFonts w:asciiTheme="minorHAnsi" w:hAnsiTheme="minorHAnsi" w:cstheme="minorHAnsi"/>
          <w:szCs w:val="24"/>
        </w:rPr>
        <w:t xml:space="preserve">             667,786</w:t>
      </w:r>
    </w:p>
    <w:p w:rsidR="00BE2CCD" w:rsidRPr="0083701A" w:rsidP="0083701A" w14:paraId="6950C711" w14:textId="6D789562">
      <w:pPr>
        <w:ind w:firstLine="180"/>
        <w:rPr>
          <w:rFonts w:asciiTheme="minorHAnsi" w:hAnsiTheme="minorHAnsi" w:cstheme="minorHAnsi"/>
          <w:sz w:val="22"/>
          <w:szCs w:val="22"/>
        </w:rPr>
      </w:pPr>
      <w:r w:rsidRPr="0083701A">
        <w:rPr>
          <w:rFonts w:asciiTheme="minorHAnsi" w:hAnsiTheme="minorHAnsi" w:cstheme="minorHAnsi"/>
          <w:szCs w:val="24"/>
        </w:rPr>
        <w:t>Burden Hours</w:t>
      </w:r>
      <w:r w:rsidRPr="0083701A">
        <w:rPr>
          <w:rFonts w:asciiTheme="minorHAnsi" w:hAnsiTheme="minorHAnsi" w:cstheme="minorHAnsi"/>
          <w:szCs w:val="24"/>
        </w:rPr>
        <w:tab/>
      </w:r>
      <w:r w:rsidR="00D11423">
        <w:rPr>
          <w:rFonts w:asciiTheme="minorHAnsi" w:hAnsiTheme="minorHAnsi" w:cstheme="minorHAnsi"/>
          <w:szCs w:val="24"/>
        </w:rPr>
        <w:t>125,458</w:t>
      </w:r>
    </w:p>
    <w:p w:rsidR="0083701A" w:rsidP="000B42A1" w14:paraId="57879C13" w14:textId="087B6856">
      <w:pPr>
        <w:tabs>
          <w:tab w:val="left" w:pos="-720"/>
          <w:tab w:val="left" w:pos="0"/>
        </w:tabs>
        <w:suppressAutoHyphens/>
        <w:rPr>
          <w:rFonts w:asciiTheme="minorHAnsi" w:hAnsiTheme="minorHAnsi" w:cstheme="minorHAnsi"/>
          <w:sz w:val="22"/>
          <w:szCs w:val="22"/>
        </w:rPr>
      </w:pPr>
    </w:p>
    <w:p w:rsidR="006B0F88" w:rsidRPr="001C25CA" w:rsidP="006B0F88" w14:paraId="6CE3F8A6" w14:textId="2E9AB500">
      <w:pPr>
        <w:tabs>
          <w:tab w:val="left" w:pos="-720"/>
        </w:tabs>
        <w:suppressAutoHyphens/>
        <w:rPr>
          <w:rFonts w:asciiTheme="minorHAnsi" w:hAnsiTheme="minorHAnsi" w:cstheme="minorHAnsi"/>
          <w:szCs w:val="24"/>
        </w:rPr>
      </w:pPr>
      <w:r w:rsidRPr="001C25CA">
        <w:rPr>
          <w:rFonts w:asciiTheme="minorHAnsi" w:hAnsiTheme="minorHAnsi" w:cstheme="minorHAnsi"/>
          <w:szCs w:val="24"/>
        </w:rPr>
        <w:t>We estimate the cost to respondents for the changes based on $46.59 for institutions per burden hour would be $</w:t>
      </w:r>
      <w:r w:rsidR="00D11423">
        <w:rPr>
          <w:rFonts w:asciiTheme="minorHAnsi" w:hAnsiTheme="minorHAnsi" w:cstheme="minorHAnsi"/>
          <w:szCs w:val="24"/>
        </w:rPr>
        <w:t>7,809,531.74</w:t>
      </w:r>
      <w:r w:rsidRPr="001C25CA">
        <w:rPr>
          <w:rFonts w:asciiTheme="minorHAnsi" w:hAnsiTheme="minorHAnsi" w:cstheme="minorHAnsi"/>
          <w:szCs w:val="24"/>
        </w:rPr>
        <w:t xml:space="preserve"> (12</w:t>
      </w:r>
      <w:r w:rsidR="00D11423">
        <w:rPr>
          <w:rFonts w:asciiTheme="minorHAnsi" w:hAnsiTheme="minorHAnsi" w:cstheme="minorHAnsi"/>
          <w:szCs w:val="24"/>
        </w:rPr>
        <w:t>5</w:t>
      </w:r>
      <w:r w:rsidRPr="001C25CA">
        <w:rPr>
          <w:rFonts w:asciiTheme="minorHAnsi" w:hAnsiTheme="minorHAnsi" w:cstheme="minorHAnsi"/>
          <w:szCs w:val="24"/>
        </w:rPr>
        <w:t>,4</w:t>
      </w:r>
      <w:r w:rsidR="00D11423">
        <w:rPr>
          <w:rFonts w:asciiTheme="minorHAnsi" w:hAnsiTheme="minorHAnsi" w:cstheme="minorHAnsi"/>
          <w:szCs w:val="24"/>
        </w:rPr>
        <w:t>58</w:t>
      </w:r>
      <w:r w:rsidRPr="001C25CA">
        <w:rPr>
          <w:rFonts w:asciiTheme="minorHAnsi" w:hAnsiTheme="minorHAnsi" w:cstheme="minorHAnsi"/>
          <w:szCs w:val="24"/>
        </w:rPr>
        <w:t xml:space="preserve"> x $46.59).</w:t>
      </w:r>
    </w:p>
    <w:p w:rsidR="0083701A" w:rsidRPr="001C25CA" w:rsidP="0083701A" w14:paraId="075C9F45" w14:textId="77777777">
      <w:pPr>
        <w:tabs>
          <w:tab w:val="left" w:pos="-720"/>
        </w:tabs>
        <w:suppressAutoHyphens/>
        <w:ind w:left="720"/>
        <w:rPr>
          <w:rFonts w:asciiTheme="minorHAnsi" w:hAnsiTheme="minorHAnsi" w:cstheme="minorHAnsi"/>
          <w:szCs w:val="24"/>
        </w:rPr>
      </w:pPr>
    </w:p>
    <w:p w:rsidR="0083701A" w:rsidRPr="0083701A" w:rsidP="006B0F88" w14:paraId="015E6025" w14:textId="6ED0285E">
      <w:pPr>
        <w:tabs>
          <w:tab w:val="left" w:pos="-720"/>
        </w:tabs>
        <w:suppressAutoHyphens/>
        <w:rPr>
          <w:rFonts w:asciiTheme="minorHAnsi" w:hAnsiTheme="minorHAnsi" w:cstheme="minorHAnsi"/>
          <w:sz w:val="22"/>
          <w:szCs w:val="22"/>
        </w:rPr>
      </w:pPr>
      <w:r w:rsidRPr="001C25CA">
        <w:rPr>
          <w:rFonts w:asciiTheme="minorHAnsi" w:hAnsiTheme="minorHAnsi" w:cstheme="minorHAnsi"/>
          <w:szCs w:val="24"/>
        </w:rPr>
        <w:t xml:space="preserve">We also remove the previously estimated costs for §685.304 based </w:t>
      </w:r>
      <w:r w:rsidRPr="001C25CA">
        <w:rPr>
          <w:rFonts w:asciiTheme="minorHAnsi" w:hAnsiTheme="minorHAnsi" w:cstheme="minorHAnsi"/>
          <w:szCs w:val="24"/>
        </w:rPr>
        <w:t>on  $</w:t>
      </w:r>
      <w:r w:rsidRPr="001C25CA">
        <w:rPr>
          <w:rFonts w:asciiTheme="minorHAnsi" w:hAnsiTheme="minorHAnsi" w:cstheme="minorHAnsi"/>
          <w:szCs w:val="24"/>
        </w:rPr>
        <w:t xml:space="preserve">44.41 for institutions per burden hour: </w:t>
      </w:r>
      <w:r w:rsidRPr="001C25CA">
        <w:rPr>
          <w:rFonts w:asciiTheme="minorHAnsi" w:hAnsiTheme="minorHAnsi" w:cstheme="minorHAnsi"/>
          <w:szCs w:val="24"/>
        </w:rPr>
        <w:tab/>
        <w:t>$ -125,769.12(2,832 x $44.41)</w:t>
      </w:r>
      <w:r w:rsidR="006B0F88">
        <w:rPr>
          <w:rFonts w:asciiTheme="minorHAnsi" w:hAnsiTheme="minorHAnsi" w:cstheme="minorHAnsi"/>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42A1" w:rsidRPr="0083701A" w14:paraId="6950C719" w14:textId="63E59271">
    <w:pPr>
      <w:pStyle w:val="Header"/>
      <w:rPr>
        <w:rFonts w:asciiTheme="minorHAnsi" w:hAnsiTheme="minorHAnsi" w:cstheme="minorHAnsi"/>
        <w:sz w:val="20"/>
      </w:rPr>
    </w:pPr>
    <w:r w:rsidRPr="0083701A">
      <w:rPr>
        <w:rFonts w:asciiTheme="minorHAnsi" w:hAnsiTheme="minorHAnsi" w:cstheme="minorHAnsi"/>
        <w:sz w:val="20"/>
      </w:rPr>
      <w:t>1845-0021 – Affected Public – Proprietary Institutions</w:t>
    </w:r>
    <w:r w:rsidRPr="0083701A">
      <w:rPr>
        <w:rFonts w:asciiTheme="minorHAnsi" w:hAnsiTheme="minorHAnsi" w:cstheme="minorHAnsi"/>
        <w:sz w:val="20"/>
      </w:rPr>
      <w:tab/>
    </w:r>
    <w:r w:rsidRPr="0083701A">
      <w:rPr>
        <w:rFonts w:asciiTheme="minorHAnsi" w:hAnsiTheme="minorHAnsi" w:cstheme="minorHAnsi"/>
        <w:sz w:val="20"/>
      </w:rPr>
      <w:tab/>
    </w:r>
    <w:r w:rsidR="00DA404A">
      <w:rPr>
        <w:rFonts w:asciiTheme="minorHAnsi" w:hAnsiTheme="minorHAnsi" w:cstheme="minorHAnsi"/>
        <w:sz w:val="20"/>
      </w:rPr>
      <w:t>9/22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33A06"/>
    <w:rsid w:val="00045170"/>
    <w:rsid w:val="00091827"/>
    <w:rsid w:val="000B42A1"/>
    <w:rsid w:val="000E6B4F"/>
    <w:rsid w:val="00157DE2"/>
    <w:rsid w:val="00187A4C"/>
    <w:rsid w:val="001C25CA"/>
    <w:rsid w:val="00280994"/>
    <w:rsid w:val="006B0F88"/>
    <w:rsid w:val="006B1604"/>
    <w:rsid w:val="007D0303"/>
    <w:rsid w:val="00817561"/>
    <w:rsid w:val="0083701A"/>
    <w:rsid w:val="00AA6880"/>
    <w:rsid w:val="00AB79F7"/>
    <w:rsid w:val="00BA4C19"/>
    <w:rsid w:val="00BE2CCD"/>
    <w:rsid w:val="00BE48AC"/>
    <w:rsid w:val="00D11423"/>
    <w:rsid w:val="00D74591"/>
    <w:rsid w:val="00DA404A"/>
    <w:rsid w:val="00E21FE1"/>
    <w:rsid w:val="00E80017"/>
    <w:rsid w:val="00F35CF2"/>
    <w:rsid w:val="00F86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 w:type="character" w:customStyle="1" w:styleId="normaltextrun">
    <w:name w:val="normaltextrun"/>
    <w:basedOn w:val="DefaultParagraphFont"/>
    <w:rsid w:val="00BA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2022-11-02T11:14:00Z</dcterms:created>
  <dcterms:modified xsi:type="dcterms:W3CDTF">2022-11-02T11:14:00Z</dcterms:modified>
</cp:coreProperties>
</file>