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5B54" w:rsidRPr="00D4359B" w:rsidP="00AA5B54" w14:paraId="745527CF" w14:textId="77777777">
      <w:pPr>
        <w:jc w:val="both"/>
        <w:rPr>
          <w:rFonts w:asciiTheme="minorHAnsi" w:hAnsiTheme="minorHAnsi" w:cstheme="minorHAnsi"/>
          <w:b/>
          <w:iCs/>
          <w:szCs w:val="24"/>
        </w:rPr>
      </w:pPr>
      <w:r w:rsidRPr="00D4359B">
        <w:rPr>
          <w:rFonts w:asciiTheme="minorHAnsi" w:hAnsiTheme="minorHAnsi" w:cstheme="minorHAnsi"/>
          <w:b/>
          <w:iCs/>
          <w:szCs w:val="24"/>
        </w:rPr>
        <w:t>Annual Hour Burden for Respondents/Recordkeepers</w:t>
      </w:r>
    </w:p>
    <w:p w:rsidR="00AA5B54" w:rsidRPr="00D4359B" w:rsidP="00AA5B54" w14:paraId="01E53713" w14:textId="77777777">
      <w:pPr>
        <w:jc w:val="both"/>
        <w:rPr>
          <w:rFonts w:asciiTheme="minorHAnsi" w:hAnsiTheme="minorHAnsi" w:cstheme="minorHAnsi"/>
          <w:b/>
          <w:iCs/>
          <w:szCs w:val="24"/>
          <w:u w:val="single"/>
        </w:rPr>
      </w:pPr>
      <w:r w:rsidRPr="00D4359B">
        <w:rPr>
          <w:rFonts w:asciiTheme="minorHAnsi" w:hAnsiTheme="minorHAnsi" w:cstheme="minorHAnsi"/>
          <w:b/>
          <w:iCs/>
          <w:szCs w:val="24"/>
          <w:u w:val="single"/>
        </w:rPr>
        <w:t>Section 685.301(c)--Reporting to the Secretary.</w:t>
      </w:r>
    </w:p>
    <w:p w:rsidR="00AA5B54" w:rsidRPr="00D4359B" w:rsidP="00AA5B54" w14:paraId="517E8594" w14:textId="77777777">
      <w:pPr>
        <w:jc w:val="both"/>
        <w:rPr>
          <w:rFonts w:asciiTheme="minorHAnsi" w:hAnsiTheme="minorHAnsi" w:cstheme="minorHAnsi"/>
          <w:b/>
          <w:iCs/>
          <w:szCs w:val="24"/>
          <w:u w:val="single"/>
        </w:rPr>
      </w:pPr>
    </w:p>
    <w:p w:rsidR="00AA5B54" w:rsidRPr="00D4359B" w:rsidP="00AA5B54" w14:paraId="46CD1052" w14:textId="0E104791">
      <w:pPr>
        <w:rPr>
          <w:rFonts w:asciiTheme="minorHAnsi" w:hAnsiTheme="minorHAnsi" w:cstheme="minorHAnsi"/>
          <w:iCs/>
          <w:szCs w:val="24"/>
        </w:rPr>
      </w:pPr>
      <w:r w:rsidRPr="00D4359B">
        <w:rPr>
          <w:rFonts w:asciiTheme="minorHAnsi" w:hAnsiTheme="minorHAnsi" w:cstheme="minorHAnsi"/>
          <w:iCs/>
          <w:szCs w:val="24"/>
        </w:rPr>
        <w:t>Section 685.301(c) provides that institutions originating and disbursing loans under the Direct Loan Program must report a student’s “payment data” to the Secretary.  The term “payment data” is defined in Section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For example, institutions will be required to report:  the program’s Classification of Instructional Programs (CIP)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
    <w:p w:rsidR="00AA5B54" w:rsidRPr="00D4359B" w:rsidP="00AA5B54" w14:paraId="2FB748FC" w14:textId="77777777">
      <w:pPr>
        <w:rPr>
          <w:rFonts w:asciiTheme="minorHAnsi" w:hAnsiTheme="minorHAnsi" w:cstheme="minorHAnsi"/>
          <w:iCs/>
          <w:szCs w:val="24"/>
        </w:rPr>
      </w:pPr>
    </w:p>
    <w:p w:rsidR="00AA5B54" w:rsidRPr="00D4359B" w:rsidP="00AA5B54" w14:paraId="23272CB2" w14:textId="29746442">
      <w:pPr>
        <w:rPr>
          <w:rFonts w:asciiTheme="minorHAnsi" w:hAnsiTheme="minorHAnsi" w:cstheme="minorHAnsi"/>
          <w:iCs/>
          <w:szCs w:val="24"/>
        </w:rPr>
      </w:pPr>
      <w:r w:rsidRPr="00D4359B">
        <w:rPr>
          <w:rFonts w:asciiTheme="minorHAnsi" w:hAnsiTheme="minorHAnsi" w:cstheme="minorHAnsi"/>
          <w:iCs/>
          <w:szCs w:val="24"/>
        </w:rPr>
        <w:t xml:space="preserve">To estimate the total burden imposed on institutions of higher education, the Department estimated the average number of reports that each institution submitted to COD each business day (by institutional type, i.e., public, private, proprietary).  We based our calculations of estimated burdens on a 248 business-day year (365 days, less 104 weekend days and 13 Federal holidays) and that institutions submit data in large batches, not separately, for each individual borrower.  We estimate that the reporting will add 1 minute (0.02 hours) of burden per report.  </w:t>
      </w:r>
    </w:p>
    <w:p w:rsidR="00AA5B54" w:rsidRPr="00D4359B" w:rsidP="00AA5B54" w14:paraId="30EA67E8" w14:textId="77777777">
      <w:pPr>
        <w:rPr>
          <w:rFonts w:asciiTheme="minorHAnsi" w:hAnsiTheme="minorHAnsi" w:cstheme="minorHAnsi"/>
          <w:iCs/>
          <w:szCs w:val="24"/>
        </w:rPr>
      </w:pPr>
    </w:p>
    <w:p w:rsidR="00AA5B54" w:rsidRPr="00D4359B" w:rsidP="00AA5B54" w14:paraId="2BA0EE73" w14:textId="71371410">
      <w:pPr>
        <w:rPr>
          <w:rFonts w:asciiTheme="minorHAnsi" w:hAnsiTheme="minorHAnsi" w:cstheme="minorHAnsi"/>
          <w:iCs/>
          <w:szCs w:val="24"/>
        </w:rPr>
      </w:pPr>
      <w:bookmarkStart w:id="0" w:name="_Hlk132623487"/>
      <w:r>
        <w:rPr>
          <w:rFonts w:asciiTheme="minorHAnsi" w:hAnsiTheme="minorHAnsi" w:cstheme="minorHAnsi"/>
          <w:iCs/>
          <w:szCs w:val="24"/>
        </w:rPr>
        <w:t>When the ICR 1845-0116 was last renewed there were</w:t>
      </w:r>
      <w:r w:rsidRPr="00D4359B">
        <w:rPr>
          <w:rFonts w:asciiTheme="minorHAnsi" w:hAnsiTheme="minorHAnsi" w:cstheme="minorHAnsi"/>
          <w:iCs/>
          <w:szCs w:val="24"/>
        </w:rPr>
        <w:t xml:space="preserve"> </w:t>
      </w:r>
      <w:bookmarkEnd w:id="0"/>
      <w:r w:rsidRPr="00D4359B">
        <w:rPr>
          <w:rFonts w:asciiTheme="minorHAnsi" w:hAnsiTheme="minorHAnsi" w:cstheme="minorHAnsi"/>
          <w:iCs/>
          <w:szCs w:val="24"/>
        </w:rPr>
        <w:t>5,161 institutions that disbursed Direct Loans during the 2018-2019 award year, 1,815 of them are public institutions.  The average number of reports per day that public institutions submit is 2.73.  We further estimate that reporting will add 24,577 hours (1,815 institutions multiplied by 248 business days, multiplied by 2.73 reports per day, multiplied by 0.02 hours per report).</w:t>
      </w:r>
    </w:p>
    <w:p w:rsidR="00AA5B54" w:rsidRPr="00D4359B" w:rsidP="00AA5B54" w14:paraId="57E869F9" w14:textId="77777777">
      <w:pPr>
        <w:rPr>
          <w:rFonts w:asciiTheme="minorHAnsi" w:hAnsiTheme="minorHAnsi" w:cstheme="minorHAnsi"/>
          <w:iCs/>
          <w:szCs w:val="24"/>
          <w:highlight w:val="yellow"/>
        </w:rPr>
      </w:pPr>
    </w:p>
    <w:p w:rsidR="00AA5B54" w:rsidRPr="00D4359B" w:rsidP="00AA5B54" w14:paraId="0A365824" w14:textId="69098CB7">
      <w:pPr>
        <w:rPr>
          <w:rFonts w:asciiTheme="minorHAnsi" w:hAnsiTheme="minorHAnsi" w:cstheme="minorHAnsi"/>
          <w:iCs/>
          <w:szCs w:val="24"/>
        </w:rPr>
      </w:pPr>
      <w:r>
        <w:rPr>
          <w:rFonts w:asciiTheme="minorHAnsi" w:hAnsiTheme="minorHAnsi" w:cstheme="minorHAnsi"/>
          <w:iCs/>
          <w:szCs w:val="24"/>
        </w:rPr>
        <w:t>When the ICR 1845-0116 was last renewed there were</w:t>
      </w:r>
      <w:r w:rsidRPr="00D4359B">
        <w:rPr>
          <w:rFonts w:asciiTheme="minorHAnsi" w:hAnsiTheme="minorHAnsi" w:cstheme="minorHAnsi"/>
          <w:iCs/>
          <w:szCs w:val="24"/>
        </w:rPr>
        <w:t xml:space="preserve"> 5,161 institutions that disbursed Direct Loans during the 2018-2019 award year, 1,631 of them are private, not-for-profit institutions.  The average number of reports per day that private, not-for-profit institutions submit is 1.29.  We estimate that reporting will add 10,436 hours (1,631 institutions multiplied by 248 business days, multiplied by 1.29 reports per day, multiplied by 0.02 hours per report).</w:t>
      </w:r>
    </w:p>
    <w:p w:rsidR="00AA5B54" w:rsidRPr="00D4359B" w:rsidP="00AA5B54" w14:paraId="61E01905" w14:textId="77777777">
      <w:pPr>
        <w:rPr>
          <w:rFonts w:asciiTheme="minorHAnsi" w:hAnsiTheme="minorHAnsi" w:cstheme="minorHAnsi"/>
          <w:iCs/>
          <w:szCs w:val="24"/>
          <w:highlight w:val="yellow"/>
        </w:rPr>
      </w:pPr>
    </w:p>
    <w:p w:rsidR="00AA5B54" w:rsidRPr="00D4359B" w:rsidP="00AA5B54" w14:paraId="6D2CBAA4" w14:textId="2E683FB1">
      <w:pPr>
        <w:rPr>
          <w:rFonts w:asciiTheme="minorHAnsi" w:hAnsiTheme="minorHAnsi" w:cstheme="minorHAnsi"/>
          <w:iCs/>
          <w:szCs w:val="24"/>
        </w:rPr>
      </w:pPr>
      <w:r>
        <w:rPr>
          <w:rFonts w:asciiTheme="minorHAnsi" w:hAnsiTheme="minorHAnsi" w:cstheme="minorHAnsi"/>
          <w:iCs/>
          <w:szCs w:val="24"/>
        </w:rPr>
        <w:t>When the ICR 1845-0116 was last renewed there were</w:t>
      </w:r>
      <w:r w:rsidRPr="00D4359B">
        <w:rPr>
          <w:rFonts w:asciiTheme="minorHAnsi" w:hAnsiTheme="minorHAnsi" w:cstheme="minorHAnsi"/>
          <w:iCs/>
          <w:szCs w:val="24"/>
        </w:rPr>
        <w:t xml:space="preserve"> 5,161 institutions that disbursed Direct Loans during the 2018-2019 award year, 1,715 of them are proprietary institutions.  The average number of reports per day that proprietary institutions submit is 0.84.  We further estimate that reporting will add 7,145 hours (1,715 institutions multiplied by 248 business days, multiplied by 0.84 reports per day, multiplied by 0.02 hours per report).</w:t>
      </w:r>
    </w:p>
    <w:p w:rsidR="00AA5B54" w:rsidRPr="00D4359B" w:rsidP="00AA5B54" w14:paraId="68012002" w14:textId="77777777">
      <w:pPr>
        <w:rPr>
          <w:rFonts w:asciiTheme="minorHAnsi" w:hAnsiTheme="minorHAnsi" w:cstheme="minorHAnsi"/>
          <w:iCs/>
          <w:szCs w:val="24"/>
        </w:rPr>
      </w:pPr>
    </w:p>
    <w:p w:rsidR="00AA5B54" w:rsidRPr="00D4359B" w:rsidP="00AA5B54" w14:paraId="0E35E570" w14:textId="2BC92944">
      <w:pPr>
        <w:rPr>
          <w:rFonts w:asciiTheme="minorHAnsi" w:hAnsiTheme="minorHAnsi" w:cstheme="minorHAnsi"/>
          <w:iCs/>
          <w:szCs w:val="24"/>
        </w:rPr>
      </w:pPr>
      <w:r w:rsidRPr="00D4359B">
        <w:rPr>
          <w:rFonts w:asciiTheme="minorHAnsi" w:hAnsiTheme="minorHAnsi" w:cstheme="minorHAnsi"/>
          <w:iCs/>
          <w:szCs w:val="24"/>
        </w:rPr>
        <w:t xml:space="preserve">Collectively, </w:t>
      </w:r>
      <w:r w:rsidRPr="00D4359B">
        <w:rPr>
          <w:rFonts w:asciiTheme="minorHAnsi" w:hAnsiTheme="minorHAnsi" w:cstheme="minorHAnsi"/>
          <w:iCs/>
          <w:szCs w:val="24"/>
        </w:rPr>
        <w:t>as a result of</w:t>
      </w:r>
      <w:r w:rsidRPr="00D4359B">
        <w:rPr>
          <w:rFonts w:asciiTheme="minorHAnsi" w:hAnsiTheme="minorHAnsi" w:cstheme="minorHAnsi"/>
          <w:iCs/>
          <w:szCs w:val="24"/>
        </w:rPr>
        <w:t xml:space="preserve"> the reporting requirements for public, private and proprietary institutions</w:t>
      </w:r>
      <w:r w:rsidR="00D4359B">
        <w:rPr>
          <w:rFonts w:asciiTheme="minorHAnsi" w:hAnsiTheme="minorHAnsi" w:cstheme="minorHAnsi"/>
          <w:iCs/>
          <w:szCs w:val="24"/>
        </w:rPr>
        <w:t xml:space="preserve"> transferring from 1845-0116 to 1845-0021</w:t>
      </w:r>
      <w:r w:rsidRPr="00D4359B">
        <w:rPr>
          <w:rFonts w:asciiTheme="minorHAnsi" w:hAnsiTheme="minorHAnsi" w:cstheme="minorHAnsi"/>
          <w:iCs/>
          <w:szCs w:val="24"/>
        </w:rPr>
        <w:t xml:space="preserve">, the total burden associated with Section </w:t>
      </w:r>
      <w:r w:rsidRPr="00D4359B">
        <w:rPr>
          <w:rFonts w:asciiTheme="minorHAnsi" w:hAnsiTheme="minorHAnsi" w:cstheme="minorHAnsi"/>
          <w:iCs/>
          <w:szCs w:val="24"/>
        </w:rPr>
        <w:t xml:space="preserve">685.301(c), will </w:t>
      </w:r>
      <w:r w:rsidRPr="000F732D" w:rsidR="00D4359B">
        <w:rPr>
          <w:rFonts w:asciiTheme="minorHAnsi" w:hAnsiTheme="minorHAnsi" w:cstheme="minorHAnsi"/>
          <w:iCs/>
          <w:szCs w:val="24"/>
        </w:rPr>
        <w:t>increase</w:t>
      </w:r>
      <w:r w:rsidRPr="000F732D">
        <w:rPr>
          <w:rFonts w:asciiTheme="minorHAnsi" w:hAnsiTheme="minorHAnsi" w:cstheme="minorHAnsi"/>
          <w:iCs/>
          <w:szCs w:val="24"/>
        </w:rPr>
        <w:t xml:space="preserve"> the current burden calculation</w:t>
      </w:r>
      <w:r w:rsidR="009266E6">
        <w:rPr>
          <w:rFonts w:asciiTheme="minorHAnsi" w:hAnsiTheme="minorHAnsi" w:cstheme="minorHAnsi"/>
          <w:iCs/>
          <w:szCs w:val="24"/>
        </w:rPr>
        <w:t xml:space="preserve"> for 1845-0021</w:t>
      </w:r>
      <w:r w:rsidRPr="000F732D">
        <w:rPr>
          <w:rFonts w:asciiTheme="minorHAnsi" w:hAnsiTheme="minorHAnsi" w:cstheme="minorHAnsi"/>
          <w:iCs/>
          <w:szCs w:val="24"/>
        </w:rPr>
        <w:t xml:space="preserve"> </w:t>
      </w:r>
      <w:r w:rsidRPr="000F732D" w:rsidR="00D4359B">
        <w:rPr>
          <w:rFonts w:asciiTheme="minorHAnsi" w:hAnsiTheme="minorHAnsi" w:cstheme="minorHAnsi"/>
          <w:iCs/>
          <w:szCs w:val="24"/>
        </w:rPr>
        <w:t>by</w:t>
      </w:r>
      <w:r w:rsidRPr="000F732D">
        <w:rPr>
          <w:rFonts w:asciiTheme="minorHAnsi" w:hAnsiTheme="minorHAnsi" w:cstheme="minorHAnsi"/>
          <w:iCs/>
          <w:szCs w:val="24"/>
        </w:rPr>
        <w:t xml:space="preserve"> 42,158 hours (24,577 hours for public institutions + 10,436 hours for private, not-for-profit institutions + 7,145 hours for proprietary institutions).</w:t>
      </w:r>
      <w:r w:rsidRPr="00D4359B">
        <w:rPr>
          <w:rFonts w:asciiTheme="minorHAnsi" w:hAnsiTheme="minorHAnsi" w:cstheme="minorHAnsi"/>
          <w:iCs/>
          <w:szCs w:val="24"/>
        </w:rPr>
        <w:t xml:space="preserve"> </w:t>
      </w:r>
    </w:p>
    <w:p w:rsidR="00AA5B54" w:rsidRPr="00D4359B" w:rsidP="00AA5B54" w14:paraId="44AFC511" w14:textId="77777777">
      <w:pPr>
        <w:jc w:val="both"/>
        <w:rPr>
          <w:rFonts w:asciiTheme="minorHAnsi" w:hAnsiTheme="minorHAnsi" w:cstheme="minorHAnsi"/>
          <w:iCs/>
          <w:szCs w:val="24"/>
        </w:rPr>
      </w:pPr>
    </w:p>
    <w:p w:rsidR="00AA5B54" w:rsidRPr="00D4359B" w:rsidP="00AA5B54" w14:paraId="2627ECAD" w14:textId="77777777">
      <w:pPr>
        <w:jc w:val="both"/>
        <w:rPr>
          <w:rFonts w:asciiTheme="minorHAnsi" w:hAnsiTheme="minorHAnsi" w:cstheme="minorHAnsi"/>
          <w:iCs/>
          <w:szCs w:val="24"/>
        </w:rPr>
      </w:pPr>
      <w:r w:rsidRPr="00D4359B">
        <w:rPr>
          <w:rFonts w:asciiTheme="minorHAnsi" w:hAnsiTheme="minorHAnsi" w:cstheme="minorHAnsi"/>
          <w:iCs/>
          <w:szCs w:val="24"/>
        </w:rPr>
        <w:t>34 CFR 685.301(c) – Reporting to the Secretary</w:t>
      </w:r>
    </w:p>
    <w:tbl>
      <w:tblPr>
        <w:tblW w:w="9357" w:type="dxa"/>
        <w:tblInd w:w="93" w:type="dxa"/>
        <w:tblLayout w:type="fixed"/>
        <w:tblLook w:val="04A0"/>
      </w:tblPr>
      <w:tblGrid>
        <w:gridCol w:w="4407"/>
        <w:gridCol w:w="1260"/>
        <w:gridCol w:w="810"/>
        <w:gridCol w:w="1260"/>
        <w:gridCol w:w="720"/>
        <w:gridCol w:w="900"/>
      </w:tblGrid>
      <w:tr w14:paraId="7FFE756B" w14:textId="77777777" w:rsidTr="000F732D">
        <w:tblPrEx>
          <w:tblW w:w="9357" w:type="dxa"/>
          <w:tblInd w:w="93" w:type="dxa"/>
          <w:tblLayout w:type="fixed"/>
          <w:tblLook w:val="04A0"/>
        </w:tblPrEx>
        <w:trPr>
          <w:trHeight w:val="255"/>
        </w:trPr>
        <w:tc>
          <w:tcPr>
            <w:tcW w:w="4407" w:type="dxa"/>
            <w:tcBorders>
              <w:top w:val="nil"/>
              <w:left w:val="nil"/>
              <w:bottom w:val="nil"/>
              <w:right w:val="nil"/>
            </w:tcBorders>
            <w:shd w:val="clear" w:color="auto" w:fill="auto"/>
            <w:noWrap/>
            <w:vAlign w:val="bottom"/>
          </w:tcPr>
          <w:p w:rsidR="00AA5B54" w:rsidRPr="00D4359B" w:rsidP="00924F2E" w14:paraId="64AF77F8" w14:textId="77777777">
            <w:pPr>
              <w:rPr>
                <w:rFonts w:asciiTheme="minorHAnsi" w:hAnsiTheme="minorHAnsi" w:cstheme="minorHAnsi"/>
                <w:b/>
                <w:bCs/>
                <w:iCs/>
                <w:szCs w:val="24"/>
              </w:rPr>
            </w:pPr>
            <w:r w:rsidRPr="00D4359B">
              <w:rPr>
                <w:rFonts w:asciiTheme="minorHAnsi" w:hAnsiTheme="minorHAnsi" w:cstheme="minorHAnsi"/>
                <w:b/>
                <w:bCs/>
                <w:iCs/>
                <w:szCs w:val="24"/>
              </w:rPr>
              <w:t xml:space="preserve">   State, Local, or Tribal Governments</w:t>
            </w:r>
          </w:p>
        </w:tc>
        <w:tc>
          <w:tcPr>
            <w:tcW w:w="1260" w:type="dxa"/>
            <w:tcBorders>
              <w:top w:val="nil"/>
              <w:left w:val="nil"/>
              <w:bottom w:val="nil"/>
              <w:right w:val="nil"/>
            </w:tcBorders>
            <w:shd w:val="clear" w:color="auto" w:fill="auto"/>
            <w:noWrap/>
            <w:vAlign w:val="bottom"/>
          </w:tcPr>
          <w:p w:rsidR="00AA5B54" w:rsidRPr="00D4359B" w:rsidP="00924F2E" w14:paraId="3A9A5E1B" w14:textId="77777777">
            <w:pPr>
              <w:rPr>
                <w:rFonts w:asciiTheme="minorHAnsi" w:hAnsiTheme="minorHAnsi" w:cstheme="minorHAnsi"/>
                <w:iCs/>
                <w:szCs w:val="24"/>
              </w:rPr>
            </w:pPr>
          </w:p>
        </w:tc>
        <w:tc>
          <w:tcPr>
            <w:tcW w:w="810" w:type="dxa"/>
            <w:tcBorders>
              <w:top w:val="nil"/>
              <w:left w:val="nil"/>
              <w:bottom w:val="nil"/>
              <w:right w:val="nil"/>
            </w:tcBorders>
            <w:shd w:val="clear" w:color="auto" w:fill="auto"/>
            <w:noWrap/>
            <w:vAlign w:val="bottom"/>
          </w:tcPr>
          <w:p w:rsidR="00AA5B54" w:rsidRPr="00D4359B" w:rsidP="00924F2E" w14:paraId="4F18F2B2" w14:textId="77777777">
            <w:pPr>
              <w:rPr>
                <w:rFonts w:asciiTheme="minorHAnsi" w:hAnsiTheme="minorHAnsi" w:cstheme="minorHAnsi"/>
                <w:iCs/>
                <w:szCs w:val="24"/>
              </w:rPr>
            </w:pPr>
          </w:p>
        </w:tc>
        <w:tc>
          <w:tcPr>
            <w:tcW w:w="1260" w:type="dxa"/>
            <w:tcBorders>
              <w:top w:val="nil"/>
              <w:left w:val="nil"/>
              <w:bottom w:val="nil"/>
              <w:right w:val="nil"/>
            </w:tcBorders>
            <w:shd w:val="clear" w:color="auto" w:fill="auto"/>
            <w:noWrap/>
            <w:vAlign w:val="bottom"/>
          </w:tcPr>
          <w:p w:rsidR="00AA5B54" w:rsidRPr="00D4359B" w:rsidP="00924F2E" w14:paraId="0B237C0C" w14:textId="77777777">
            <w:pPr>
              <w:rPr>
                <w:rFonts w:asciiTheme="minorHAnsi" w:hAnsiTheme="minorHAnsi" w:cstheme="minorHAnsi"/>
                <w:iCs/>
                <w:szCs w:val="24"/>
              </w:rPr>
            </w:pPr>
          </w:p>
        </w:tc>
        <w:tc>
          <w:tcPr>
            <w:tcW w:w="720" w:type="dxa"/>
            <w:tcBorders>
              <w:top w:val="nil"/>
              <w:left w:val="nil"/>
              <w:bottom w:val="nil"/>
              <w:right w:val="nil"/>
            </w:tcBorders>
            <w:shd w:val="clear" w:color="auto" w:fill="auto"/>
            <w:noWrap/>
            <w:vAlign w:val="bottom"/>
          </w:tcPr>
          <w:p w:rsidR="00AA5B54" w:rsidRPr="00D4359B" w:rsidP="00924F2E" w14:paraId="6B5A829E" w14:textId="77777777">
            <w:pPr>
              <w:rPr>
                <w:rFonts w:asciiTheme="minorHAnsi" w:hAnsiTheme="minorHAnsi" w:cstheme="minorHAnsi"/>
                <w:iCs/>
                <w:szCs w:val="24"/>
              </w:rPr>
            </w:pPr>
          </w:p>
        </w:tc>
        <w:tc>
          <w:tcPr>
            <w:tcW w:w="900" w:type="dxa"/>
            <w:tcBorders>
              <w:top w:val="nil"/>
              <w:left w:val="nil"/>
              <w:bottom w:val="nil"/>
              <w:right w:val="nil"/>
            </w:tcBorders>
            <w:shd w:val="clear" w:color="auto" w:fill="auto"/>
            <w:noWrap/>
            <w:vAlign w:val="bottom"/>
          </w:tcPr>
          <w:p w:rsidR="00AA5B54" w:rsidRPr="00D4359B" w:rsidP="00924F2E" w14:paraId="0A51D253" w14:textId="77777777">
            <w:pPr>
              <w:rPr>
                <w:rFonts w:asciiTheme="minorHAnsi" w:hAnsiTheme="minorHAnsi" w:cstheme="minorHAnsi"/>
                <w:iCs/>
                <w:szCs w:val="24"/>
              </w:rPr>
            </w:pPr>
          </w:p>
        </w:tc>
      </w:tr>
      <w:tr w14:paraId="064EA06F" w14:textId="77777777" w:rsidTr="000F732D">
        <w:tblPrEx>
          <w:tblW w:w="9357" w:type="dxa"/>
          <w:tblInd w:w="93" w:type="dxa"/>
          <w:tblLayout w:type="fixed"/>
          <w:tblLook w:val="04A0"/>
        </w:tblPrEx>
        <w:trPr>
          <w:trHeight w:val="255"/>
        </w:trPr>
        <w:tc>
          <w:tcPr>
            <w:tcW w:w="4407" w:type="dxa"/>
            <w:tcBorders>
              <w:top w:val="nil"/>
              <w:left w:val="nil"/>
              <w:bottom w:val="nil"/>
              <w:right w:val="nil"/>
            </w:tcBorders>
            <w:shd w:val="clear" w:color="auto" w:fill="auto"/>
            <w:noWrap/>
            <w:vAlign w:val="bottom"/>
          </w:tcPr>
          <w:p w:rsidR="00AA5B54" w:rsidRPr="000F732D" w:rsidP="00924F2E" w14:paraId="5FEB7DB5" w14:textId="706042C3">
            <w:pPr>
              <w:rPr>
                <w:rFonts w:asciiTheme="minorHAnsi" w:hAnsiTheme="minorHAnsi" w:cstheme="minorHAnsi"/>
                <w:b/>
                <w:bCs/>
                <w:iCs/>
                <w:szCs w:val="24"/>
              </w:rPr>
            </w:pPr>
            <w:r w:rsidRPr="000F732D">
              <w:rPr>
                <w:rFonts w:asciiTheme="minorHAnsi" w:hAnsiTheme="minorHAnsi" w:cstheme="minorHAnsi"/>
                <w:iCs/>
                <w:szCs w:val="24"/>
              </w:rPr>
              <w:t>Public institutions - reporting to the COD System</w:t>
            </w:r>
          </w:p>
        </w:tc>
        <w:tc>
          <w:tcPr>
            <w:tcW w:w="1260" w:type="dxa"/>
            <w:tcBorders>
              <w:top w:val="nil"/>
              <w:left w:val="nil"/>
              <w:bottom w:val="nil"/>
              <w:right w:val="nil"/>
            </w:tcBorders>
            <w:shd w:val="clear" w:color="auto" w:fill="auto"/>
            <w:noWrap/>
            <w:vAlign w:val="bottom"/>
          </w:tcPr>
          <w:p w:rsidR="00AA5B54" w:rsidRPr="000F732D" w:rsidP="00924F2E" w14:paraId="68428210" w14:textId="77777777">
            <w:pPr>
              <w:rPr>
                <w:rFonts w:asciiTheme="minorHAnsi" w:hAnsiTheme="minorHAnsi" w:cstheme="minorHAnsi"/>
                <w:iCs/>
                <w:szCs w:val="24"/>
              </w:rPr>
            </w:pPr>
            <w:r w:rsidRPr="000F732D">
              <w:rPr>
                <w:rFonts w:asciiTheme="minorHAnsi" w:hAnsiTheme="minorHAnsi" w:cstheme="minorHAnsi"/>
                <w:iCs/>
                <w:szCs w:val="24"/>
              </w:rPr>
              <w:t>34 CFR 685.301(c)</w:t>
            </w:r>
          </w:p>
        </w:tc>
        <w:tc>
          <w:tcPr>
            <w:tcW w:w="810" w:type="dxa"/>
            <w:tcBorders>
              <w:top w:val="nil"/>
              <w:left w:val="nil"/>
              <w:bottom w:val="nil"/>
              <w:right w:val="nil"/>
            </w:tcBorders>
            <w:shd w:val="clear" w:color="auto" w:fill="auto"/>
            <w:noWrap/>
            <w:vAlign w:val="bottom"/>
          </w:tcPr>
          <w:p w:rsidR="00AA5B54" w:rsidRPr="000F732D" w:rsidP="00924F2E" w14:paraId="5A847C93" w14:textId="77777777">
            <w:pPr>
              <w:jc w:val="center"/>
              <w:rPr>
                <w:rFonts w:asciiTheme="minorHAnsi" w:hAnsiTheme="minorHAnsi" w:cstheme="minorHAnsi"/>
                <w:iCs/>
                <w:szCs w:val="24"/>
              </w:rPr>
            </w:pPr>
            <w:r w:rsidRPr="000F732D">
              <w:rPr>
                <w:rFonts w:asciiTheme="minorHAnsi" w:hAnsiTheme="minorHAnsi" w:cstheme="minorHAnsi"/>
                <w:iCs/>
                <w:szCs w:val="24"/>
              </w:rPr>
              <w:t>*</w:t>
            </w:r>
          </w:p>
        </w:tc>
        <w:tc>
          <w:tcPr>
            <w:tcW w:w="1260" w:type="dxa"/>
            <w:tcBorders>
              <w:top w:val="nil"/>
              <w:left w:val="nil"/>
              <w:bottom w:val="nil"/>
              <w:right w:val="nil"/>
            </w:tcBorders>
            <w:shd w:val="clear" w:color="auto" w:fill="auto"/>
            <w:noWrap/>
            <w:vAlign w:val="bottom"/>
          </w:tcPr>
          <w:p w:rsidR="00AA5B54" w:rsidRPr="000F732D" w:rsidP="00924F2E" w14:paraId="27ABE84C" w14:textId="77777777">
            <w:pPr>
              <w:rPr>
                <w:rFonts w:asciiTheme="minorHAnsi" w:hAnsiTheme="minorHAnsi" w:cstheme="minorHAnsi"/>
                <w:iCs/>
                <w:szCs w:val="24"/>
              </w:rPr>
            </w:pPr>
            <w:r w:rsidRPr="000F732D">
              <w:rPr>
                <w:rFonts w:asciiTheme="minorHAnsi" w:hAnsiTheme="minorHAnsi" w:cstheme="minorHAnsi"/>
                <w:iCs/>
                <w:szCs w:val="24"/>
              </w:rPr>
              <w:t>1,228,828</w:t>
            </w:r>
          </w:p>
        </w:tc>
        <w:tc>
          <w:tcPr>
            <w:tcW w:w="720" w:type="dxa"/>
            <w:tcBorders>
              <w:top w:val="nil"/>
              <w:left w:val="nil"/>
              <w:bottom w:val="nil"/>
              <w:right w:val="nil"/>
            </w:tcBorders>
            <w:shd w:val="clear" w:color="auto" w:fill="auto"/>
            <w:noWrap/>
            <w:vAlign w:val="bottom"/>
          </w:tcPr>
          <w:p w:rsidR="00AA5B54" w:rsidRPr="000F732D" w:rsidP="00924F2E" w14:paraId="08FB7DBC" w14:textId="77777777">
            <w:pPr>
              <w:rPr>
                <w:rFonts w:asciiTheme="minorHAnsi" w:hAnsiTheme="minorHAnsi" w:cstheme="minorHAnsi"/>
                <w:iCs/>
                <w:szCs w:val="24"/>
              </w:rPr>
            </w:pPr>
            <w:r w:rsidRPr="000F732D">
              <w:rPr>
                <w:rFonts w:asciiTheme="minorHAnsi" w:hAnsiTheme="minorHAnsi" w:cstheme="minorHAnsi"/>
                <w:iCs/>
                <w:szCs w:val="24"/>
              </w:rPr>
              <w:t>0.02</w:t>
            </w:r>
          </w:p>
        </w:tc>
        <w:tc>
          <w:tcPr>
            <w:tcW w:w="900" w:type="dxa"/>
            <w:tcBorders>
              <w:top w:val="nil"/>
              <w:left w:val="nil"/>
              <w:bottom w:val="nil"/>
              <w:right w:val="nil"/>
            </w:tcBorders>
            <w:shd w:val="clear" w:color="auto" w:fill="auto"/>
            <w:noWrap/>
            <w:vAlign w:val="bottom"/>
          </w:tcPr>
          <w:p w:rsidR="00AA5B54" w:rsidRPr="000F732D" w:rsidP="00924F2E" w14:paraId="33134BC5" w14:textId="77777777">
            <w:pPr>
              <w:rPr>
                <w:rFonts w:asciiTheme="minorHAnsi" w:hAnsiTheme="minorHAnsi" w:cstheme="minorHAnsi"/>
                <w:iCs/>
                <w:szCs w:val="24"/>
              </w:rPr>
            </w:pPr>
            <w:r w:rsidRPr="000F732D">
              <w:rPr>
                <w:rFonts w:asciiTheme="minorHAnsi" w:hAnsiTheme="minorHAnsi" w:cstheme="minorHAnsi"/>
                <w:iCs/>
                <w:szCs w:val="24"/>
              </w:rPr>
              <w:t>24,577</w:t>
            </w:r>
          </w:p>
        </w:tc>
      </w:tr>
      <w:tr w14:paraId="67EC80DC" w14:textId="77777777" w:rsidTr="000F732D">
        <w:tblPrEx>
          <w:tblW w:w="9357" w:type="dxa"/>
          <w:tblInd w:w="93" w:type="dxa"/>
          <w:tblLayout w:type="fixed"/>
          <w:tblLook w:val="04A0"/>
        </w:tblPrEx>
        <w:trPr>
          <w:trHeight w:val="255"/>
        </w:trPr>
        <w:tc>
          <w:tcPr>
            <w:tcW w:w="4407" w:type="dxa"/>
            <w:tcBorders>
              <w:top w:val="nil"/>
              <w:left w:val="nil"/>
              <w:bottom w:val="nil"/>
              <w:right w:val="nil"/>
            </w:tcBorders>
            <w:shd w:val="clear" w:color="auto" w:fill="auto"/>
            <w:noWrap/>
            <w:vAlign w:val="bottom"/>
            <w:hideMark/>
          </w:tcPr>
          <w:p w:rsidR="00AA5B54" w:rsidRPr="000F732D" w:rsidP="00924F2E" w14:paraId="116D69F7" w14:textId="77777777">
            <w:pPr>
              <w:rPr>
                <w:rFonts w:asciiTheme="minorHAnsi" w:hAnsiTheme="minorHAnsi" w:cstheme="minorHAnsi"/>
                <w:b/>
                <w:bCs/>
                <w:iCs/>
                <w:szCs w:val="24"/>
              </w:rPr>
            </w:pPr>
            <w:r w:rsidRPr="000F732D">
              <w:rPr>
                <w:rFonts w:asciiTheme="minorHAnsi" w:hAnsiTheme="minorHAnsi" w:cstheme="minorHAnsi"/>
                <w:b/>
                <w:bCs/>
                <w:iCs/>
                <w:szCs w:val="24"/>
              </w:rPr>
              <w:t xml:space="preserve">   Not-for profits</w:t>
            </w:r>
          </w:p>
        </w:tc>
        <w:tc>
          <w:tcPr>
            <w:tcW w:w="1260" w:type="dxa"/>
            <w:tcBorders>
              <w:top w:val="nil"/>
              <w:left w:val="nil"/>
              <w:bottom w:val="nil"/>
              <w:right w:val="nil"/>
            </w:tcBorders>
            <w:shd w:val="clear" w:color="auto" w:fill="auto"/>
            <w:noWrap/>
            <w:vAlign w:val="bottom"/>
            <w:hideMark/>
          </w:tcPr>
          <w:p w:rsidR="00AA5B54" w:rsidRPr="000F732D" w:rsidP="00924F2E" w14:paraId="2D86DF94" w14:textId="77777777">
            <w:pPr>
              <w:rPr>
                <w:rFonts w:asciiTheme="minorHAnsi" w:hAnsiTheme="minorHAnsi" w:cstheme="minorHAnsi"/>
                <w:iCs/>
                <w:szCs w:val="24"/>
              </w:rPr>
            </w:pPr>
          </w:p>
        </w:tc>
        <w:tc>
          <w:tcPr>
            <w:tcW w:w="810" w:type="dxa"/>
            <w:tcBorders>
              <w:top w:val="nil"/>
              <w:left w:val="nil"/>
              <w:bottom w:val="nil"/>
              <w:right w:val="nil"/>
            </w:tcBorders>
            <w:shd w:val="clear" w:color="auto" w:fill="auto"/>
            <w:noWrap/>
            <w:vAlign w:val="bottom"/>
            <w:hideMark/>
          </w:tcPr>
          <w:p w:rsidR="00AA5B54" w:rsidRPr="000F732D" w:rsidP="00924F2E" w14:paraId="2A3C091C" w14:textId="77777777">
            <w:pPr>
              <w:jc w:val="center"/>
              <w:rPr>
                <w:rFonts w:asciiTheme="minorHAnsi" w:hAnsiTheme="minorHAnsi" w:cstheme="minorHAnsi"/>
                <w:iCs/>
                <w:szCs w:val="24"/>
              </w:rPr>
            </w:pPr>
          </w:p>
        </w:tc>
        <w:tc>
          <w:tcPr>
            <w:tcW w:w="1260" w:type="dxa"/>
            <w:tcBorders>
              <w:top w:val="nil"/>
              <w:left w:val="nil"/>
              <w:bottom w:val="nil"/>
              <w:right w:val="nil"/>
            </w:tcBorders>
            <w:shd w:val="clear" w:color="auto" w:fill="auto"/>
            <w:noWrap/>
            <w:vAlign w:val="bottom"/>
            <w:hideMark/>
          </w:tcPr>
          <w:p w:rsidR="00AA5B54" w:rsidRPr="000F732D" w:rsidP="00924F2E" w14:paraId="5C363091" w14:textId="77777777">
            <w:pPr>
              <w:rPr>
                <w:rFonts w:asciiTheme="minorHAnsi" w:hAnsiTheme="minorHAnsi" w:cstheme="minorHAnsi"/>
                <w:iCs/>
                <w:szCs w:val="24"/>
              </w:rPr>
            </w:pPr>
          </w:p>
        </w:tc>
        <w:tc>
          <w:tcPr>
            <w:tcW w:w="720" w:type="dxa"/>
            <w:tcBorders>
              <w:top w:val="nil"/>
              <w:left w:val="nil"/>
              <w:bottom w:val="nil"/>
              <w:right w:val="nil"/>
            </w:tcBorders>
            <w:shd w:val="clear" w:color="auto" w:fill="auto"/>
            <w:noWrap/>
            <w:vAlign w:val="bottom"/>
            <w:hideMark/>
          </w:tcPr>
          <w:p w:rsidR="00AA5B54" w:rsidRPr="000F732D" w:rsidP="00924F2E" w14:paraId="25F209C3" w14:textId="77777777">
            <w:pPr>
              <w:rPr>
                <w:rFonts w:asciiTheme="minorHAnsi" w:hAnsiTheme="minorHAnsi" w:cstheme="minorHAnsi"/>
                <w:iCs/>
                <w:szCs w:val="24"/>
              </w:rPr>
            </w:pPr>
          </w:p>
        </w:tc>
        <w:tc>
          <w:tcPr>
            <w:tcW w:w="900" w:type="dxa"/>
            <w:tcBorders>
              <w:top w:val="nil"/>
              <w:left w:val="nil"/>
              <w:bottom w:val="nil"/>
              <w:right w:val="nil"/>
            </w:tcBorders>
            <w:shd w:val="clear" w:color="auto" w:fill="auto"/>
            <w:noWrap/>
            <w:vAlign w:val="bottom"/>
            <w:hideMark/>
          </w:tcPr>
          <w:p w:rsidR="00AA5B54" w:rsidRPr="000F732D" w:rsidP="00924F2E" w14:paraId="516D4492" w14:textId="77777777">
            <w:pPr>
              <w:rPr>
                <w:rFonts w:asciiTheme="minorHAnsi" w:hAnsiTheme="minorHAnsi" w:cstheme="minorHAnsi"/>
                <w:iCs/>
                <w:szCs w:val="24"/>
              </w:rPr>
            </w:pPr>
          </w:p>
        </w:tc>
      </w:tr>
      <w:tr w14:paraId="38ABF9FB" w14:textId="77777777" w:rsidTr="000F732D">
        <w:tblPrEx>
          <w:tblW w:w="9357" w:type="dxa"/>
          <w:tblInd w:w="93" w:type="dxa"/>
          <w:tblLayout w:type="fixed"/>
          <w:tblLook w:val="04A0"/>
        </w:tblPrEx>
        <w:trPr>
          <w:trHeight w:val="510"/>
        </w:trPr>
        <w:tc>
          <w:tcPr>
            <w:tcW w:w="4407" w:type="dxa"/>
            <w:tcBorders>
              <w:top w:val="nil"/>
              <w:left w:val="nil"/>
              <w:bottom w:val="nil"/>
              <w:right w:val="nil"/>
            </w:tcBorders>
            <w:shd w:val="clear" w:color="auto" w:fill="auto"/>
            <w:vAlign w:val="bottom"/>
            <w:hideMark/>
          </w:tcPr>
          <w:p w:rsidR="00AA5B54" w:rsidRPr="000F732D" w:rsidP="00924F2E" w14:paraId="7718605E" w14:textId="37EE2E66">
            <w:pPr>
              <w:rPr>
                <w:rFonts w:asciiTheme="minorHAnsi" w:hAnsiTheme="minorHAnsi" w:cstheme="minorHAnsi"/>
                <w:iCs/>
                <w:szCs w:val="24"/>
              </w:rPr>
            </w:pPr>
            <w:r w:rsidRPr="000F732D">
              <w:rPr>
                <w:rFonts w:asciiTheme="minorHAnsi" w:hAnsiTheme="minorHAnsi" w:cstheme="minorHAnsi"/>
                <w:iCs/>
                <w:szCs w:val="24"/>
              </w:rPr>
              <w:t>Not-for-profit institutions - reporting to the COD System</w:t>
            </w:r>
          </w:p>
        </w:tc>
        <w:tc>
          <w:tcPr>
            <w:tcW w:w="1260" w:type="dxa"/>
            <w:tcBorders>
              <w:top w:val="nil"/>
              <w:left w:val="nil"/>
              <w:bottom w:val="nil"/>
              <w:right w:val="nil"/>
            </w:tcBorders>
            <w:shd w:val="clear" w:color="auto" w:fill="auto"/>
            <w:noWrap/>
            <w:vAlign w:val="bottom"/>
            <w:hideMark/>
          </w:tcPr>
          <w:p w:rsidR="00AA5B54" w:rsidRPr="000F732D" w:rsidP="00924F2E" w14:paraId="7D35FE4A" w14:textId="77777777">
            <w:pPr>
              <w:rPr>
                <w:rFonts w:asciiTheme="minorHAnsi" w:hAnsiTheme="minorHAnsi" w:cstheme="minorHAnsi"/>
                <w:iCs/>
                <w:szCs w:val="24"/>
              </w:rPr>
            </w:pPr>
            <w:r w:rsidRPr="000F732D">
              <w:rPr>
                <w:rFonts w:asciiTheme="minorHAnsi" w:hAnsiTheme="minorHAnsi" w:cstheme="minorHAnsi"/>
                <w:iCs/>
                <w:szCs w:val="24"/>
              </w:rPr>
              <w:t>34 CFR 685.301(c)</w:t>
            </w:r>
          </w:p>
        </w:tc>
        <w:tc>
          <w:tcPr>
            <w:tcW w:w="810" w:type="dxa"/>
            <w:tcBorders>
              <w:top w:val="nil"/>
              <w:left w:val="nil"/>
              <w:bottom w:val="nil"/>
              <w:right w:val="nil"/>
            </w:tcBorders>
            <w:shd w:val="clear" w:color="auto" w:fill="auto"/>
            <w:noWrap/>
            <w:vAlign w:val="bottom"/>
            <w:hideMark/>
          </w:tcPr>
          <w:p w:rsidR="00AA5B54" w:rsidRPr="000F732D" w:rsidP="00924F2E" w14:paraId="1B695EBC" w14:textId="77777777">
            <w:pPr>
              <w:jc w:val="center"/>
              <w:rPr>
                <w:rFonts w:asciiTheme="minorHAnsi" w:hAnsiTheme="minorHAnsi" w:cstheme="minorHAnsi"/>
                <w:iCs/>
                <w:szCs w:val="24"/>
              </w:rPr>
            </w:pPr>
            <w:r w:rsidRPr="000F732D">
              <w:rPr>
                <w:rFonts w:asciiTheme="minorHAnsi" w:hAnsiTheme="minorHAnsi" w:cstheme="minorHAnsi"/>
                <w:iCs/>
                <w:szCs w:val="24"/>
              </w:rPr>
              <w:t>*</w:t>
            </w:r>
          </w:p>
        </w:tc>
        <w:tc>
          <w:tcPr>
            <w:tcW w:w="1260" w:type="dxa"/>
            <w:tcBorders>
              <w:top w:val="nil"/>
              <w:left w:val="nil"/>
              <w:bottom w:val="nil"/>
              <w:right w:val="nil"/>
            </w:tcBorders>
            <w:shd w:val="clear" w:color="auto" w:fill="auto"/>
            <w:noWrap/>
            <w:vAlign w:val="bottom"/>
            <w:hideMark/>
          </w:tcPr>
          <w:p w:rsidR="00AA5B54" w:rsidRPr="000F732D" w:rsidP="00924F2E" w14:paraId="346423E5" w14:textId="77777777">
            <w:pPr>
              <w:jc w:val="right"/>
              <w:rPr>
                <w:rFonts w:asciiTheme="minorHAnsi" w:hAnsiTheme="minorHAnsi" w:cstheme="minorHAnsi"/>
                <w:iCs/>
                <w:szCs w:val="24"/>
              </w:rPr>
            </w:pPr>
            <w:r w:rsidRPr="000F732D">
              <w:rPr>
                <w:rFonts w:asciiTheme="minorHAnsi" w:hAnsiTheme="minorHAnsi" w:cstheme="minorHAnsi"/>
                <w:iCs/>
                <w:szCs w:val="24"/>
              </w:rPr>
              <w:t>521,790</w:t>
            </w:r>
          </w:p>
        </w:tc>
        <w:tc>
          <w:tcPr>
            <w:tcW w:w="720" w:type="dxa"/>
            <w:tcBorders>
              <w:top w:val="nil"/>
              <w:left w:val="nil"/>
              <w:bottom w:val="nil"/>
              <w:right w:val="nil"/>
            </w:tcBorders>
            <w:shd w:val="clear" w:color="auto" w:fill="auto"/>
            <w:noWrap/>
            <w:vAlign w:val="bottom"/>
            <w:hideMark/>
          </w:tcPr>
          <w:p w:rsidR="00AA5B54" w:rsidRPr="000F732D" w:rsidP="00924F2E" w14:paraId="00C1DA9E" w14:textId="77777777">
            <w:pPr>
              <w:jc w:val="right"/>
              <w:rPr>
                <w:rFonts w:asciiTheme="minorHAnsi" w:hAnsiTheme="minorHAnsi" w:cstheme="minorHAnsi"/>
                <w:iCs/>
                <w:szCs w:val="24"/>
              </w:rPr>
            </w:pPr>
            <w:r w:rsidRPr="000F732D">
              <w:rPr>
                <w:rFonts w:asciiTheme="minorHAnsi" w:hAnsiTheme="minorHAnsi" w:cstheme="minorHAnsi"/>
                <w:iCs/>
                <w:szCs w:val="24"/>
              </w:rPr>
              <w:t>0.02</w:t>
            </w:r>
          </w:p>
        </w:tc>
        <w:tc>
          <w:tcPr>
            <w:tcW w:w="900" w:type="dxa"/>
            <w:tcBorders>
              <w:top w:val="nil"/>
              <w:left w:val="nil"/>
              <w:bottom w:val="nil"/>
              <w:right w:val="nil"/>
            </w:tcBorders>
            <w:shd w:val="clear" w:color="auto" w:fill="auto"/>
            <w:noWrap/>
            <w:vAlign w:val="bottom"/>
            <w:hideMark/>
          </w:tcPr>
          <w:p w:rsidR="00AA5B54" w:rsidRPr="000F732D" w:rsidP="00924F2E" w14:paraId="27EC8B62" w14:textId="77777777">
            <w:pPr>
              <w:jc w:val="right"/>
              <w:rPr>
                <w:rFonts w:asciiTheme="minorHAnsi" w:hAnsiTheme="minorHAnsi" w:cstheme="minorHAnsi"/>
                <w:iCs/>
                <w:szCs w:val="24"/>
              </w:rPr>
            </w:pPr>
            <w:r w:rsidRPr="000F732D">
              <w:rPr>
                <w:rFonts w:asciiTheme="minorHAnsi" w:hAnsiTheme="minorHAnsi" w:cstheme="minorHAnsi"/>
                <w:iCs/>
                <w:szCs w:val="24"/>
              </w:rPr>
              <w:t>10,436</w:t>
            </w:r>
          </w:p>
        </w:tc>
      </w:tr>
      <w:tr w14:paraId="427D988D" w14:textId="77777777" w:rsidTr="000F732D">
        <w:tblPrEx>
          <w:tblW w:w="9357" w:type="dxa"/>
          <w:tblInd w:w="93" w:type="dxa"/>
          <w:tblLayout w:type="fixed"/>
          <w:tblLook w:val="04A0"/>
        </w:tblPrEx>
        <w:trPr>
          <w:trHeight w:val="255"/>
        </w:trPr>
        <w:tc>
          <w:tcPr>
            <w:tcW w:w="4407" w:type="dxa"/>
            <w:tcBorders>
              <w:top w:val="nil"/>
              <w:left w:val="nil"/>
              <w:bottom w:val="nil"/>
              <w:right w:val="nil"/>
            </w:tcBorders>
            <w:shd w:val="clear" w:color="auto" w:fill="auto"/>
            <w:noWrap/>
            <w:vAlign w:val="bottom"/>
          </w:tcPr>
          <w:p w:rsidR="00AA5B54" w:rsidRPr="000F732D" w:rsidP="00924F2E" w14:paraId="38A1ED2F" w14:textId="77777777">
            <w:pPr>
              <w:rPr>
                <w:rFonts w:asciiTheme="minorHAnsi" w:hAnsiTheme="minorHAnsi" w:cstheme="minorHAnsi"/>
                <w:b/>
                <w:bCs/>
                <w:iCs/>
                <w:szCs w:val="24"/>
              </w:rPr>
            </w:pPr>
            <w:r w:rsidRPr="000F732D">
              <w:rPr>
                <w:rFonts w:asciiTheme="minorHAnsi" w:hAnsiTheme="minorHAnsi" w:cstheme="minorHAnsi"/>
                <w:b/>
                <w:bCs/>
                <w:iCs/>
                <w:szCs w:val="24"/>
              </w:rPr>
              <w:t xml:space="preserve">   Private Sector</w:t>
            </w:r>
          </w:p>
        </w:tc>
        <w:tc>
          <w:tcPr>
            <w:tcW w:w="1260" w:type="dxa"/>
            <w:tcBorders>
              <w:top w:val="nil"/>
              <w:left w:val="nil"/>
              <w:bottom w:val="nil"/>
              <w:right w:val="nil"/>
            </w:tcBorders>
            <w:shd w:val="clear" w:color="auto" w:fill="auto"/>
            <w:noWrap/>
            <w:vAlign w:val="bottom"/>
          </w:tcPr>
          <w:p w:rsidR="00AA5B54" w:rsidRPr="000F732D" w:rsidP="00924F2E" w14:paraId="371501E3" w14:textId="77777777">
            <w:pPr>
              <w:rPr>
                <w:rFonts w:asciiTheme="minorHAnsi" w:hAnsiTheme="minorHAnsi" w:cstheme="minorHAnsi"/>
                <w:iCs/>
                <w:szCs w:val="24"/>
              </w:rPr>
            </w:pPr>
          </w:p>
        </w:tc>
        <w:tc>
          <w:tcPr>
            <w:tcW w:w="810" w:type="dxa"/>
            <w:tcBorders>
              <w:top w:val="nil"/>
              <w:left w:val="nil"/>
              <w:bottom w:val="nil"/>
              <w:right w:val="nil"/>
            </w:tcBorders>
            <w:shd w:val="clear" w:color="auto" w:fill="auto"/>
            <w:noWrap/>
            <w:vAlign w:val="bottom"/>
          </w:tcPr>
          <w:p w:rsidR="00AA5B54" w:rsidRPr="000F732D" w:rsidP="00924F2E" w14:paraId="3BF624D3" w14:textId="77777777">
            <w:pPr>
              <w:jc w:val="center"/>
              <w:rPr>
                <w:rFonts w:asciiTheme="minorHAnsi" w:hAnsiTheme="minorHAnsi" w:cstheme="minorHAnsi"/>
                <w:iCs/>
                <w:szCs w:val="24"/>
              </w:rPr>
            </w:pPr>
          </w:p>
        </w:tc>
        <w:tc>
          <w:tcPr>
            <w:tcW w:w="1260" w:type="dxa"/>
            <w:tcBorders>
              <w:top w:val="nil"/>
              <w:left w:val="nil"/>
              <w:bottom w:val="nil"/>
              <w:right w:val="nil"/>
            </w:tcBorders>
            <w:shd w:val="clear" w:color="auto" w:fill="auto"/>
            <w:noWrap/>
            <w:vAlign w:val="bottom"/>
          </w:tcPr>
          <w:p w:rsidR="00AA5B54" w:rsidRPr="000F732D" w:rsidP="00924F2E" w14:paraId="6CEF97CE" w14:textId="77777777">
            <w:pPr>
              <w:rPr>
                <w:rFonts w:asciiTheme="minorHAnsi" w:hAnsiTheme="minorHAnsi" w:cstheme="minorHAnsi"/>
                <w:iCs/>
                <w:szCs w:val="24"/>
              </w:rPr>
            </w:pPr>
          </w:p>
        </w:tc>
        <w:tc>
          <w:tcPr>
            <w:tcW w:w="720" w:type="dxa"/>
            <w:tcBorders>
              <w:top w:val="nil"/>
              <w:left w:val="nil"/>
              <w:bottom w:val="nil"/>
              <w:right w:val="nil"/>
            </w:tcBorders>
            <w:shd w:val="clear" w:color="auto" w:fill="auto"/>
            <w:noWrap/>
            <w:vAlign w:val="bottom"/>
          </w:tcPr>
          <w:p w:rsidR="00AA5B54" w:rsidRPr="000F732D" w:rsidP="00924F2E" w14:paraId="3E9F9BEB" w14:textId="77777777">
            <w:pPr>
              <w:rPr>
                <w:rFonts w:asciiTheme="minorHAnsi" w:hAnsiTheme="minorHAnsi" w:cstheme="minorHAnsi"/>
                <w:iCs/>
                <w:szCs w:val="24"/>
              </w:rPr>
            </w:pPr>
          </w:p>
        </w:tc>
        <w:tc>
          <w:tcPr>
            <w:tcW w:w="900" w:type="dxa"/>
            <w:tcBorders>
              <w:top w:val="nil"/>
              <w:left w:val="nil"/>
              <w:bottom w:val="nil"/>
              <w:right w:val="nil"/>
            </w:tcBorders>
            <w:shd w:val="clear" w:color="auto" w:fill="auto"/>
            <w:noWrap/>
            <w:vAlign w:val="bottom"/>
          </w:tcPr>
          <w:p w:rsidR="00AA5B54" w:rsidRPr="000F732D" w:rsidP="00924F2E" w14:paraId="0C2D575F" w14:textId="77777777">
            <w:pPr>
              <w:rPr>
                <w:rFonts w:asciiTheme="minorHAnsi" w:hAnsiTheme="minorHAnsi" w:cstheme="minorHAnsi"/>
                <w:iCs/>
                <w:szCs w:val="24"/>
              </w:rPr>
            </w:pPr>
          </w:p>
        </w:tc>
      </w:tr>
      <w:tr w14:paraId="21B5EA3F" w14:textId="77777777" w:rsidTr="000F732D">
        <w:tblPrEx>
          <w:tblW w:w="9357" w:type="dxa"/>
          <w:tblInd w:w="93" w:type="dxa"/>
          <w:tblLayout w:type="fixed"/>
          <w:tblLook w:val="04A0"/>
        </w:tblPrEx>
        <w:trPr>
          <w:trHeight w:val="510"/>
        </w:trPr>
        <w:tc>
          <w:tcPr>
            <w:tcW w:w="4407" w:type="dxa"/>
            <w:tcBorders>
              <w:top w:val="nil"/>
              <w:left w:val="nil"/>
              <w:bottom w:val="single" w:sz="4" w:space="0" w:color="auto"/>
              <w:right w:val="nil"/>
            </w:tcBorders>
            <w:shd w:val="clear" w:color="auto" w:fill="auto"/>
            <w:vAlign w:val="bottom"/>
          </w:tcPr>
          <w:p w:rsidR="00AA5B54" w:rsidRPr="000F732D" w:rsidP="00924F2E" w14:paraId="6752262C" w14:textId="4776C6C3">
            <w:pPr>
              <w:rPr>
                <w:rFonts w:asciiTheme="minorHAnsi" w:hAnsiTheme="minorHAnsi" w:cstheme="minorHAnsi"/>
                <w:iCs/>
                <w:szCs w:val="24"/>
              </w:rPr>
            </w:pPr>
            <w:r w:rsidRPr="000F732D">
              <w:rPr>
                <w:rFonts w:asciiTheme="minorHAnsi" w:hAnsiTheme="minorHAnsi" w:cstheme="minorHAnsi"/>
                <w:iCs/>
                <w:szCs w:val="24"/>
              </w:rPr>
              <w:t>Proprietary institutions - reporting to the COD System</w:t>
            </w:r>
          </w:p>
        </w:tc>
        <w:tc>
          <w:tcPr>
            <w:tcW w:w="1260" w:type="dxa"/>
            <w:tcBorders>
              <w:top w:val="nil"/>
              <w:left w:val="nil"/>
              <w:bottom w:val="single" w:sz="4" w:space="0" w:color="auto"/>
              <w:right w:val="nil"/>
            </w:tcBorders>
            <w:shd w:val="clear" w:color="auto" w:fill="auto"/>
            <w:noWrap/>
            <w:vAlign w:val="bottom"/>
          </w:tcPr>
          <w:p w:rsidR="00AA5B54" w:rsidRPr="000F732D" w:rsidP="00924F2E" w14:paraId="558F54BA" w14:textId="77777777">
            <w:pPr>
              <w:rPr>
                <w:rFonts w:asciiTheme="minorHAnsi" w:hAnsiTheme="minorHAnsi" w:cstheme="minorHAnsi"/>
                <w:iCs/>
                <w:szCs w:val="24"/>
              </w:rPr>
            </w:pPr>
            <w:r w:rsidRPr="000F732D">
              <w:rPr>
                <w:rFonts w:asciiTheme="minorHAnsi" w:hAnsiTheme="minorHAnsi" w:cstheme="minorHAnsi"/>
                <w:iCs/>
                <w:szCs w:val="24"/>
              </w:rPr>
              <w:t>34 CFR 685.301(c)</w:t>
            </w:r>
          </w:p>
        </w:tc>
        <w:tc>
          <w:tcPr>
            <w:tcW w:w="810" w:type="dxa"/>
            <w:tcBorders>
              <w:top w:val="nil"/>
              <w:left w:val="nil"/>
              <w:bottom w:val="single" w:sz="4" w:space="0" w:color="auto"/>
              <w:right w:val="nil"/>
            </w:tcBorders>
            <w:shd w:val="clear" w:color="auto" w:fill="auto"/>
            <w:noWrap/>
            <w:vAlign w:val="bottom"/>
          </w:tcPr>
          <w:p w:rsidR="00AA5B54" w:rsidRPr="000F732D" w:rsidP="00924F2E" w14:paraId="76B24F3D" w14:textId="77777777">
            <w:pPr>
              <w:jc w:val="center"/>
              <w:rPr>
                <w:rFonts w:asciiTheme="minorHAnsi" w:hAnsiTheme="minorHAnsi" w:cstheme="minorHAnsi"/>
                <w:iCs/>
                <w:szCs w:val="24"/>
              </w:rPr>
            </w:pPr>
            <w:r w:rsidRPr="000F732D">
              <w:rPr>
                <w:rFonts w:asciiTheme="minorHAnsi" w:hAnsiTheme="minorHAnsi" w:cstheme="minorHAnsi"/>
                <w:iCs/>
                <w:szCs w:val="24"/>
              </w:rPr>
              <w:t>*</w:t>
            </w:r>
          </w:p>
        </w:tc>
        <w:tc>
          <w:tcPr>
            <w:tcW w:w="1260" w:type="dxa"/>
            <w:tcBorders>
              <w:top w:val="nil"/>
              <w:left w:val="nil"/>
              <w:bottom w:val="single" w:sz="4" w:space="0" w:color="auto"/>
              <w:right w:val="nil"/>
            </w:tcBorders>
            <w:shd w:val="clear" w:color="auto" w:fill="auto"/>
            <w:noWrap/>
            <w:vAlign w:val="bottom"/>
          </w:tcPr>
          <w:p w:rsidR="00AA5B54" w:rsidRPr="000F732D" w:rsidP="00924F2E" w14:paraId="3196D80A" w14:textId="77777777">
            <w:pPr>
              <w:jc w:val="right"/>
              <w:rPr>
                <w:rFonts w:asciiTheme="minorHAnsi" w:hAnsiTheme="minorHAnsi" w:cstheme="minorHAnsi"/>
                <w:iCs/>
                <w:szCs w:val="24"/>
              </w:rPr>
            </w:pPr>
            <w:r w:rsidRPr="000F732D">
              <w:rPr>
                <w:rFonts w:asciiTheme="minorHAnsi" w:hAnsiTheme="minorHAnsi" w:cstheme="minorHAnsi"/>
                <w:iCs/>
                <w:szCs w:val="24"/>
              </w:rPr>
              <w:t>357,269</w:t>
            </w:r>
          </w:p>
        </w:tc>
        <w:tc>
          <w:tcPr>
            <w:tcW w:w="720" w:type="dxa"/>
            <w:tcBorders>
              <w:top w:val="nil"/>
              <w:left w:val="nil"/>
              <w:bottom w:val="single" w:sz="4" w:space="0" w:color="auto"/>
              <w:right w:val="nil"/>
            </w:tcBorders>
            <w:shd w:val="clear" w:color="auto" w:fill="auto"/>
            <w:noWrap/>
            <w:vAlign w:val="bottom"/>
          </w:tcPr>
          <w:p w:rsidR="00AA5B54" w:rsidRPr="000F732D" w:rsidP="00924F2E" w14:paraId="02EABB4C" w14:textId="77777777">
            <w:pPr>
              <w:jc w:val="right"/>
              <w:rPr>
                <w:rFonts w:asciiTheme="minorHAnsi" w:hAnsiTheme="minorHAnsi" w:cstheme="minorHAnsi"/>
                <w:iCs/>
                <w:szCs w:val="24"/>
              </w:rPr>
            </w:pPr>
            <w:r w:rsidRPr="000F732D">
              <w:rPr>
                <w:rFonts w:asciiTheme="minorHAnsi" w:hAnsiTheme="minorHAnsi" w:cstheme="minorHAnsi"/>
                <w:iCs/>
                <w:szCs w:val="24"/>
              </w:rPr>
              <w:t>0.02</w:t>
            </w:r>
          </w:p>
        </w:tc>
        <w:tc>
          <w:tcPr>
            <w:tcW w:w="900" w:type="dxa"/>
            <w:tcBorders>
              <w:top w:val="nil"/>
              <w:left w:val="nil"/>
              <w:bottom w:val="single" w:sz="4" w:space="0" w:color="auto"/>
              <w:right w:val="nil"/>
            </w:tcBorders>
            <w:shd w:val="clear" w:color="auto" w:fill="auto"/>
            <w:noWrap/>
            <w:vAlign w:val="bottom"/>
          </w:tcPr>
          <w:p w:rsidR="00AA5B54" w:rsidRPr="000F732D" w:rsidP="00924F2E" w14:paraId="022006EA" w14:textId="77777777">
            <w:pPr>
              <w:jc w:val="right"/>
              <w:rPr>
                <w:rFonts w:asciiTheme="minorHAnsi" w:hAnsiTheme="minorHAnsi" w:cstheme="minorHAnsi"/>
                <w:iCs/>
                <w:szCs w:val="24"/>
              </w:rPr>
            </w:pPr>
            <w:r w:rsidRPr="000F732D">
              <w:rPr>
                <w:rFonts w:asciiTheme="minorHAnsi" w:hAnsiTheme="minorHAnsi" w:cstheme="minorHAnsi"/>
                <w:iCs/>
                <w:szCs w:val="24"/>
              </w:rPr>
              <w:t>7,145</w:t>
            </w:r>
          </w:p>
        </w:tc>
      </w:tr>
      <w:tr w14:paraId="1192FEE7" w14:textId="77777777" w:rsidTr="000F732D">
        <w:tblPrEx>
          <w:tblW w:w="9357" w:type="dxa"/>
          <w:tblInd w:w="93" w:type="dxa"/>
          <w:tblLayout w:type="fixed"/>
          <w:tblLook w:val="04A0"/>
        </w:tblPrEx>
        <w:trPr>
          <w:trHeight w:val="323"/>
        </w:trPr>
        <w:tc>
          <w:tcPr>
            <w:tcW w:w="4407" w:type="dxa"/>
            <w:tcBorders>
              <w:top w:val="single" w:sz="4" w:space="0" w:color="auto"/>
              <w:left w:val="nil"/>
              <w:bottom w:val="nil"/>
              <w:right w:val="nil"/>
            </w:tcBorders>
            <w:shd w:val="clear" w:color="auto" w:fill="auto"/>
            <w:vAlign w:val="bottom"/>
            <w:hideMark/>
          </w:tcPr>
          <w:p w:rsidR="00AA5B54" w:rsidRPr="000F732D" w:rsidP="00924F2E" w14:paraId="5AE835F1" w14:textId="30ADB94B">
            <w:pPr>
              <w:rPr>
                <w:rFonts w:asciiTheme="minorHAnsi" w:hAnsiTheme="minorHAnsi" w:cstheme="minorHAnsi"/>
                <w:iCs/>
                <w:szCs w:val="24"/>
              </w:rPr>
            </w:pPr>
            <w:r w:rsidRPr="000F732D">
              <w:rPr>
                <w:rFonts w:asciiTheme="minorHAnsi" w:hAnsiTheme="minorHAnsi" w:cstheme="minorHAnsi"/>
                <w:iCs/>
                <w:szCs w:val="24"/>
              </w:rPr>
              <w:t xml:space="preserve">TOTAL 34 CFR 685.301(c) </w:t>
            </w:r>
          </w:p>
        </w:tc>
        <w:tc>
          <w:tcPr>
            <w:tcW w:w="1260" w:type="dxa"/>
            <w:tcBorders>
              <w:top w:val="single" w:sz="4" w:space="0" w:color="auto"/>
              <w:left w:val="nil"/>
              <w:bottom w:val="nil"/>
              <w:right w:val="nil"/>
            </w:tcBorders>
            <w:shd w:val="clear" w:color="auto" w:fill="auto"/>
            <w:noWrap/>
            <w:vAlign w:val="bottom"/>
            <w:hideMark/>
          </w:tcPr>
          <w:p w:rsidR="00AA5B54" w:rsidRPr="000F732D" w:rsidP="00924F2E" w14:paraId="196A468E" w14:textId="77777777">
            <w:pPr>
              <w:rPr>
                <w:rFonts w:asciiTheme="minorHAnsi" w:hAnsiTheme="minorHAnsi" w:cstheme="minorHAnsi"/>
                <w:iCs/>
                <w:szCs w:val="24"/>
              </w:rPr>
            </w:pPr>
          </w:p>
        </w:tc>
        <w:tc>
          <w:tcPr>
            <w:tcW w:w="810" w:type="dxa"/>
            <w:tcBorders>
              <w:top w:val="single" w:sz="4" w:space="0" w:color="auto"/>
              <w:left w:val="nil"/>
              <w:bottom w:val="nil"/>
              <w:right w:val="nil"/>
            </w:tcBorders>
            <w:shd w:val="clear" w:color="auto" w:fill="auto"/>
            <w:noWrap/>
            <w:vAlign w:val="bottom"/>
            <w:hideMark/>
          </w:tcPr>
          <w:p w:rsidR="00AA5B54" w:rsidRPr="000F732D" w:rsidP="00924F2E" w14:paraId="1D216D8F" w14:textId="77777777">
            <w:pPr>
              <w:jc w:val="center"/>
              <w:rPr>
                <w:rFonts w:asciiTheme="minorHAnsi" w:hAnsiTheme="minorHAnsi" w:cstheme="minorHAnsi"/>
                <w:iCs/>
                <w:szCs w:val="24"/>
              </w:rPr>
            </w:pPr>
            <w:r w:rsidRPr="000F732D">
              <w:rPr>
                <w:rFonts w:asciiTheme="minorHAnsi" w:hAnsiTheme="minorHAnsi" w:cstheme="minorHAnsi"/>
                <w:iCs/>
                <w:szCs w:val="24"/>
              </w:rPr>
              <w:t>*</w:t>
            </w:r>
          </w:p>
        </w:tc>
        <w:tc>
          <w:tcPr>
            <w:tcW w:w="1260" w:type="dxa"/>
            <w:tcBorders>
              <w:top w:val="single" w:sz="4" w:space="0" w:color="auto"/>
              <w:left w:val="nil"/>
              <w:bottom w:val="nil"/>
              <w:right w:val="nil"/>
            </w:tcBorders>
            <w:shd w:val="clear" w:color="auto" w:fill="auto"/>
            <w:noWrap/>
            <w:vAlign w:val="bottom"/>
            <w:hideMark/>
          </w:tcPr>
          <w:p w:rsidR="00AA5B54" w:rsidRPr="000F732D" w:rsidP="000F732D" w14:paraId="2674D4BA" w14:textId="53EA95FC">
            <w:pPr>
              <w:rPr>
                <w:rFonts w:asciiTheme="minorHAnsi" w:hAnsiTheme="minorHAnsi" w:cstheme="minorHAnsi"/>
                <w:iCs/>
                <w:szCs w:val="24"/>
              </w:rPr>
            </w:pPr>
            <w:r>
              <w:rPr>
                <w:rFonts w:asciiTheme="minorHAnsi" w:hAnsiTheme="minorHAnsi" w:cstheme="minorHAnsi"/>
                <w:iCs/>
                <w:szCs w:val="24"/>
              </w:rPr>
              <w:t xml:space="preserve">   </w:t>
            </w:r>
            <w:r w:rsidRPr="000F732D">
              <w:rPr>
                <w:rFonts w:asciiTheme="minorHAnsi" w:hAnsiTheme="minorHAnsi" w:cstheme="minorHAnsi"/>
                <w:iCs/>
                <w:szCs w:val="24"/>
              </w:rPr>
              <w:t>2,107,88</w:t>
            </w:r>
          </w:p>
        </w:tc>
        <w:tc>
          <w:tcPr>
            <w:tcW w:w="720" w:type="dxa"/>
            <w:tcBorders>
              <w:top w:val="single" w:sz="4" w:space="0" w:color="auto"/>
              <w:left w:val="nil"/>
              <w:bottom w:val="nil"/>
              <w:right w:val="nil"/>
            </w:tcBorders>
            <w:shd w:val="clear" w:color="auto" w:fill="auto"/>
            <w:noWrap/>
            <w:vAlign w:val="bottom"/>
            <w:hideMark/>
          </w:tcPr>
          <w:p w:rsidR="00AA5B54" w:rsidRPr="000F732D" w:rsidP="00924F2E" w14:paraId="6B11ABE0" w14:textId="77777777">
            <w:pPr>
              <w:rPr>
                <w:rFonts w:asciiTheme="minorHAnsi" w:hAnsiTheme="minorHAnsi" w:cstheme="minorHAnsi"/>
                <w:iCs/>
                <w:szCs w:val="24"/>
              </w:rPr>
            </w:pPr>
          </w:p>
        </w:tc>
        <w:tc>
          <w:tcPr>
            <w:tcW w:w="900" w:type="dxa"/>
            <w:tcBorders>
              <w:top w:val="single" w:sz="4" w:space="0" w:color="auto"/>
              <w:left w:val="nil"/>
              <w:bottom w:val="nil"/>
              <w:right w:val="nil"/>
            </w:tcBorders>
            <w:shd w:val="clear" w:color="auto" w:fill="auto"/>
            <w:noWrap/>
            <w:vAlign w:val="bottom"/>
            <w:hideMark/>
          </w:tcPr>
          <w:p w:rsidR="00AA5B54" w:rsidRPr="000F732D" w:rsidP="00924F2E" w14:paraId="1FFB9515" w14:textId="77777777">
            <w:pPr>
              <w:jc w:val="right"/>
              <w:rPr>
                <w:rFonts w:asciiTheme="minorHAnsi" w:hAnsiTheme="minorHAnsi" w:cstheme="minorHAnsi"/>
                <w:iCs/>
                <w:szCs w:val="24"/>
              </w:rPr>
            </w:pPr>
            <w:r w:rsidRPr="000F732D">
              <w:rPr>
                <w:rFonts w:asciiTheme="minorHAnsi" w:hAnsiTheme="minorHAnsi" w:cstheme="minorHAnsi"/>
                <w:iCs/>
                <w:szCs w:val="24"/>
              </w:rPr>
              <w:t>42,158</w:t>
            </w:r>
          </w:p>
        </w:tc>
      </w:tr>
    </w:tbl>
    <w:p w:rsidR="000F732D" w:rsidP="00AA5B54" w14:paraId="32B73B87" w14:textId="77777777">
      <w:pPr>
        <w:rPr>
          <w:rFonts w:asciiTheme="minorHAnsi" w:hAnsiTheme="minorHAnsi" w:cstheme="minorHAnsi"/>
          <w:iCs/>
          <w:szCs w:val="24"/>
        </w:rPr>
      </w:pPr>
    </w:p>
    <w:p w:rsidR="00AA5B54" w:rsidRPr="000F732D" w:rsidP="00AA5B54" w14:paraId="2F31C14E" w14:textId="5518C7D6">
      <w:pPr>
        <w:rPr>
          <w:rFonts w:asciiTheme="minorHAnsi" w:hAnsiTheme="minorHAnsi" w:cstheme="minorHAnsi"/>
          <w:iCs/>
          <w:szCs w:val="24"/>
        </w:rPr>
      </w:pPr>
      <w:r w:rsidRPr="000F732D">
        <w:rPr>
          <w:rFonts w:asciiTheme="minorHAnsi" w:hAnsiTheme="minorHAnsi" w:cstheme="minorHAnsi"/>
          <w:iCs/>
          <w:szCs w:val="24"/>
        </w:rPr>
        <w:tab/>
        <w:t>*-The asterisk is used to avoid double counting the same respondent identified in section 685.309.</w:t>
      </w:r>
    </w:p>
    <w:p w:rsidR="00AA5B54" w:rsidRPr="000F732D" w:rsidP="00AA5B54" w14:paraId="3D2B79FB" w14:textId="77777777">
      <w:pPr>
        <w:rPr>
          <w:rFonts w:asciiTheme="minorHAnsi" w:hAnsiTheme="minorHAnsi" w:cstheme="minorHAnsi"/>
          <w:iCs/>
          <w:szCs w:val="24"/>
        </w:rPr>
      </w:pPr>
    </w:p>
    <w:p w:rsidR="00AA5B54" w:rsidRPr="000F732D" w:rsidP="00AA5B54" w14:paraId="5EBCA9E4" w14:textId="36001B7E">
      <w:pPr>
        <w:rPr>
          <w:rFonts w:asciiTheme="minorHAnsi" w:hAnsiTheme="minorHAnsi" w:cstheme="minorHAnsi"/>
          <w:b/>
          <w:iCs/>
          <w:szCs w:val="24"/>
          <w:u w:val="single"/>
        </w:rPr>
      </w:pPr>
      <w:r w:rsidRPr="000F732D">
        <w:rPr>
          <w:rFonts w:asciiTheme="minorHAnsi" w:hAnsiTheme="minorHAnsi" w:cstheme="minorHAnsi"/>
          <w:b/>
          <w:iCs/>
          <w:szCs w:val="24"/>
          <w:u w:val="single"/>
        </w:rPr>
        <w:t>Section 685.309(b)--Enrollment reporting process.</w:t>
      </w:r>
    </w:p>
    <w:p w:rsidR="00AA5B54" w:rsidRPr="000F732D" w:rsidP="00AA5B54" w14:paraId="06CE76C9" w14:textId="77777777">
      <w:pPr>
        <w:jc w:val="both"/>
        <w:rPr>
          <w:rFonts w:asciiTheme="minorHAnsi" w:hAnsiTheme="minorHAnsi" w:cstheme="minorHAnsi"/>
          <w:b/>
          <w:iCs/>
          <w:szCs w:val="24"/>
          <w:u w:val="single"/>
        </w:rPr>
      </w:pPr>
    </w:p>
    <w:p w:rsidR="00AA5B54" w:rsidRPr="000F732D" w:rsidP="00AA5B54" w14:paraId="17DEB76D" w14:textId="32B3FA29">
      <w:pPr>
        <w:rPr>
          <w:rFonts w:asciiTheme="minorHAnsi" w:hAnsiTheme="minorHAnsi" w:cstheme="minorHAnsi"/>
          <w:iCs/>
          <w:szCs w:val="24"/>
        </w:rPr>
      </w:pPr>
      <w:r w:rsidRPr="000F732D">
        <w:rPr>
          <w:rFonts w:asciiTheme="minorHAnsi" w:hAnsiTheme="minorHAnsi" w:cstheme="minorHAnsi"/>
          <w:iCs/>
          <w:szCs w:val="24"/>
        </w:rPr>
        <w:t xml:space="preserve">Section 685.309(b) provides that eligible institutions that enroll a Direct Loan borrower must report information about the borrower’s enrollment to the Secretary.  The Department has implemented these provisions by requiring institutions to electronically report, not less frequently than every other month, </w:t>
      </w:r>
      <w:r w:rsidRPr="000F732D">
        <w:rPr>
          <w:rFonts w:asciiTheme="minorHAnsi" w:hAnsiTheme="minorHAnsi" w:cstheme="minorHAnsi"/>
          <w:iCs/>
          <w:szCs w:val="24"/>
        </w:rPr>
        <w:t>student</w:t>
      </w:r>
      <w:r w:rsidRPr="000F732D">
        <w:rPr>
          <w:rFonts w:asciiTheme="minorHAnsi" w:hAnsiTheme="minorHAnsi" w:cstheme="minorHAnsi"/>
          <w:iCs/>
          <w:szCs w:val="24"/>
        </w:rPr>
        <w:t xml:space="preserve"> and loan information to NSLDS.  </w:t>
      </w:r>
      <w:r w:rsidR="000F732D">
        <w:rPr>
          <w:rFonts w:asciiTheme="minorHAnsi" w:hAnsiTheme="minorHAnsi" w:cstheme="minorHAnsi"/>
          <w:iCs/>
          <w:szCs w:val="24"/>
        </w:rPr>
        <w:t>T</w:t>
      </w:r>
      <w:r w:rsidRPr="000F732D">
        <w:rPr>
          <w:rFonts w:asciiTheme="minorHAnsi" w:hAnsiTheme="minorHAnsi" w:cstheme="minorHAnsi"/>
          <w:iCs/>
          <w:szCs w:val="24"/>
        </w:rPr>
        <w:t>o ensure that the Department has the information to necessary to make that determination, institutions are required to report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half-time, or less-than-half-time).</w:t>
      </w:r>
    </w:p>
    <w:p w:rsidR="00AA5B54" w:rsidRPr="000F732D" w:rsidP="00AA5B54" w14:paraId="562F99E0" w14:textId="77777777">
      <w:pPr>
        <w:rPr>
          <w:rFonts w:asciiTheme="minorHAnsi" w:hAnsiTheme="minorHAnsi" w:cstheme="minorHAnsi"/>
          <w:iCs/>
          <w:szCs w:val="24"/>
        </w:rPr>
      </w:pPr>
    </w:p>
    <w:p w:rsidR="00AA5B54" w:rsidRPr="000F732D" w:rsidP="00AA5B54" w14:paraId="23B1D2FA" w14:textId="0CB3ED5D">
      <w:pPr>
        <w:rPr>
          <w:rFonts w:asciiTheme="minorHAnsi" w:hAnsiTheme="minorHAnsi" w:cstheme="minorHAnsi"/>
          <w:iCs/>
          <w:szCs w:val="24"/>
        </w:rPr>
      </w:pPr>
      <w:r w:rsidRPr="000F732D">
        <w:rPr>
          <w:rFonts w:asciiTheme="minorHAnsi" w:hAnsiTheme="minorHAnsi" w:cstheme="minorHAnsi"/>
          <w:iCs/>
          <w:szCs w:val="24"/>
        </w:rPr>
        <w:t>To estimate the total increase in burden imposed on institutions of higher education due to the reporting requirements under Section 685.309(b), we divided institutions into two groups--institutions that use enrollment servicers, which are more automated and take less time to report enrollment to the Department, and institutions that do not use enrollment servicers and therefore take longer to report enrollment to the Department.  We assumed that each institution that reports enrollment does so every other month (as minimally required).  We estimate that the reporting will, for institutions using an enrollment servicer, add 0.25 hours of burden per report.  For institutions that do not use an enrollment servicer, we estimate that the reporting will add 0.5 hours of burden per report.</w:t>
      </w:r>
    </w:p>
    <w:p w:rsidR="00AA5B54" w:rsidRPr="000F732D" w:rsidP="00AA5B54" w14:paraId="77F79796" w14:textId="77777777">
      <w:pPr>
        <w:rPr>
          <w:rFonts w:asciiTheme="minorHAnsi" w:hAnsiTheme="minorHAnsi" w:cstheme="minorHAnsi"/>
          <w:iCs/>
          <w:szCs w:val="24"/>
        </w:rPr>
      </w:pPr>
    </w:p>
    <w:p w:rsidR="00AA5B54" w:rsidRPr="000F732D" w:rsidP="00AA5B54" w14:paraId="707F3C5E" w14:textId="2544E31B">
      <w:pPr>
        <w:rPr>
          <w:rFonts w:asciiTheme="minorHAnsi" w:hAnsiTheme="minorHAnsi" w:cstheme="minorHAnsi"/>
          <w:iCs/>
          <w:szCs w:val="24"/>
        </w:rPr>
      </w:pPr>
      <w:r>
        <w:rPr>
          <w:rFonts w:asciiTheme="minorHAnsi" w:hAnsiTheme="minorHAnsi" w:cstheme="minorHAnsi"/>
          <w:iCs/>
          <w:szCs w:val="24"/>
        </w:rPr>
        <w:t>When the ICR 1845-0116 was last renewed there were</w:t>
      </w:r>
      <w:r w:rsidRPr="00D4359B">
        <w:rPr>
          <w:rFonts w:asciiTheme="minorHAnsi" w:hAnsiTheme="minorHAnsi" w:cstheme="minorHAnsi"/>
          <w:iCs/>
          <w:szCs w:val="24"/>
        </w:rPr>
        <w:t xml:space="preserve"> </w:t>
      </w:r>
      <w:r w:rsidRPr="000F732D">
        <w:rPr>
          <w:rFonts w:asciiTheme="minorHAnsi" w:hAnsiTheme="minorHAnsi" w:cstheme="minorHAnsi"/>
          <w:iCs/>
          <w:szCs w:val="24"/>
        </w:rPr>
        <w:t xml:space="preserve">5,738 institutions that participated in title IV programs as of April 2019 and reported enrollment information 2,164 of them are public </w:t>
      </w:r>
      <w:r w:rsidRPr="000F732D">
        <w:rPr>
          <w:rFonts w:asciiTheme="minorHAnsi" w:hAnsiTheme="minorHAnsi" w:cstheme="minorHAnsi"/>
          <w:iCs/>
          <w:szCs w:val="24"/>
        </w:rPr>
        <w:t xml:space="preserve">institutions.  Of the 2,164 public institutions, we estimate 1,666 use enrollment servicers.  For the 1,666 public institutions that use enrollment servicers, we estimate that reporting will add 2,499 hours (1,666 institutions multiplied by 0.25 hours per report, multiplied by 6 reports per year).  </w:t>
      </w:r>
    </w:p>
    <w:p w:rsidR="00AA5B54" w:rsidRPr="000F732D" w:rsidP="00AA5B54" w14:paraId="5C3BCB1F" w14:textId="77777777">
      <w:pPr>
        <w:rPr>
          <w:rFonts w:asciiTheme="minorHAnsi" w:hAnsiTheme="minorHAnsi" w:cstheme="minorHAnsi"/>
          <w:iCs/>
          <w:szCs w:val="24"/>
          <w:highlight w:val="yellow"/>
        </w:rPr>
      </w:pPr>
    </w:p>
    <w:p w:rsidR="00AA5B54" w:rsidRPr="000F732D" w:rsidP="00AA5B54" w14:paraId="7CEC5088" w14:textId="67529C50">
      <w:pPr>
        <w:rPr>
          <w:rFonts w:asciiTheme="minorHAnsi" w:hAnsiTheme="minorHAnsi" w:cstheme="minorHAnsi"/>
          <w:iCs/>
          <w:szCs w:val="24"/>
        </w:rPr>
      </w:pPr>
      <w:r>
        <w:rPr>
          <w:rFonts w:asciiTheme="minorHAnsi" w:hAnsiTheme="minorHAnsi" w:cstheme="minorHAnsi"/>
          <w:iCs/>
          <w:szCs w:val="24"/>
        </w:rPr>
        <w:t>When the ICR 1845-0116 was last renewed there were</w:t>
      </w:r>
      <w:r w:rsidRPr="000F732D">
        <w:rPr>
          <w:rFonts w:asciiTheme="minorHAnsi" w:hAnsiTheme="minorHAnsi" w:cstheme="minorHAnsi"/>
          <w:iCs/>
          <w:szCs w:val="24"/>
        </w:rPr>
        <w:t xml:space="preserve"> 5,738 institutions that participated in title IV programs as of April 2019 and reported enrollment information 1,789 of them are private, not-for-profit institutions.  Of the 1,789 private, not-for-profit institutions, we estimate 1,378 use enrollment servicers.  For the 1,378 private, not-for-profit institutions that use enrollment servicers, we estimate that reporting will add 2,067 hours (1,378 institutions multiplied by 0.25 hours per report, multiplied by 6 reports per year).</w:t>
      </w:r>
    </w:p>
    <w:p w:rsidR="00AA5B54" w:rsidRPr="000F732D" w:rsidP="00AA5B54" w14:paraId="10DA5D4E" w14:textId="77777777">
      <w:pPr>
        <w:rPr>
          <w:rFonts w:asciiTheme="minorHAnsi" w:hAnsiTheme="minorHAnsi" w:cstheme="minorHAnsi"/>
          <w:iCs/>
          <w:szCs w:val="24"/>
          <w:highlight w:val="yellow"/>
        </w:rPr>
      </w:pPr>
    </w:p>
    <w:p w:rsidR="00AA5B54" w:rsidRPr="000F732D" w:rsidP="00AA5B54" w14:paraId="243A4265" w14:textId="52428681">
      <w:pPr>
        <w:rPr>
          <w:rFonts w:asciiTheme="minorHAnsi" w:hAnsiTheme="minorHAnsi" w:cstheme="minorHAnsi"/>
          <w:iCs/>
          <w:szCs w:val="24"/>
          <w:highlight w:val="yellow"/>
        </w:rPr>
      </w:pPr>
      <w:r>
        <w:rPr>
          <w:rFonts w:asciiTheme="minorHAnsi" w:hAnsiTheme="minorHAnsi" w:cstheme="minorHAnsi"/>
          <w:iCs/>
          <w:szCs w:val="24"/>
        </w:rPr>
        <w:t>When the ICR 1845-0116 was last renewed there were</w:t>
      </w:r>
      <w:r w:rsidRPr="000F732D">
        <w:rPr>
          <w:rFonts w:asciiTheme="minorHAnsi" w:hAnsiTheme="minorHAnsi" w:cstheme="minorHAnsi"/>
          <w:iCs/>
          <w:szCs w:val="24"/>
        </w:rPr>
        <w:t xml:space="preserve"> institutions that participated in title IV programs as of April 2019 and reported enrollment information 1,785 of them are proprietary institutions.  Of the 1,785 proprietary institutions, we estimate 1,374 use enrollment servicers.  For the 1,374 proprietary institutions that use enrollment servicers, we estimate that  reporting will add 2,061 hours (1,374 institutions multiplied by 0.25 hours per report, multiplied by 6 reports per year).  </w:t>
      </w:r>
    </w:p>
    <w:p w:rsidR="00AA5B54" w:rsidRPr="000F732D" w:rsidP="00AA5B54" w14:paraId="6A11D3FC" w14:textId="77777777">
      <w:pPr>
        <w:rPr>
          <w:rFonts w:asciiTheme="minorHAnsi" w:hAnsiTheme="minorHAnsi" w:cstheme="minorHAnsi"/>
          <w:iCs/>
          <w:szCs w:val="24"/>
          <w:highlight w:val="yellow"/>
        </w:rPr>
      </w:pPr>
    </w:p>
    <w:p w:rsidR="00AA5B54" w:rsidRPr="000F732D" w:rsidP="00AA5B54" w14:paraId="48FE6CB2" w14:textId="5E6F44FD">
      <w:pPr>
        <w:rPr>
          <w:rFonts w:asciiTheme="minorHAnsi" w:hAnsiTheme="minorHAnsi" w:cstheme="minorHAnsi"/>
          <w:iCs/>
          <w:szCs w:val="24"/>
        </w:rPr>
      </w:pPr>
      <w:r>
        <w:rPr>
          <w:rFonts w:asciiTheme="minorHAnsi" w:hAnsiTheme="minorHAnsi" w:cstheme="minorHAnsi"/>
          <w:iCs/>
          <w:szCs w:val="24"/>
        </w:rPr>
        <w:t>When the ICR 1845-0116 was last renewed there were</w:t>
      </w:r>
      <w:r w:rsidRPr="000F732D">
        <w:rPr>
          <w:rFonts w:asciiTheme="minorHAnsi" w:hAnsiTheme="minorHAnsi" w:cstheme="minorHAnsi"/>
          <w:iCs/>
          <w:szCs w:val="24"/>
        </w:rPr>
        <w:t xml:space="preserve"> 5,738 institutions that participated in title IV programs as of April 2019 and reported enrollment 2,164 of them are public institutions.  Of the 2,164 public institutions, we estimate 498 of them do not use enrollment servicers.  For the 498 public institutions that do not use enrollment servicers, we estimate that reporting will add 1,494 hours (498 institutions multiplied by 0.5 hours per report, multiplied by 6 reports per year).</w:t>
      </w:r>
    </w:p>
    <w:p w:rsidR="00AA5B54" w:rsidRPr="000F732D" w:rsidP="00AA5B54" w14:paraId="639CD60F" w14:textId="77777777">
      <w:pPr>
        <w:rPr>
          <w:rFonts w:asciiTheme="minorHAnsi" w:hAnsiTheme="minorHAnsi" w:cstheme="minorHAnsi"/>
          <w:iCs/>
          <w:szCs w:val="24"/>
          <w:highlight w:val="yellow"/>
        </w:rPr>
      </w:pPr>
    </w:p>
    <w:p w:rsidR="00AA5B54" w:rsidRPr="000F732D" w:rsidP="00AA5B54" w14:paraId="12CCDEC9" w14:textId="2C7802B0">
      <w:pPr>
        <w:rPr>
          <w:rFonts w:asciiTheme="minorHAnsi" w:hAnsiTheme="minorHAnsi" w:cstheme="minorHAnsi"/>
          <w:iCs/>
          <w:szCs w:val="24"/>
        </w:rPr>
      </w:pPr>
      <w:r>
        <w:rPr>
          <w:rFonts w:asciiTheme="minorHAnsi" w:hAnsiTheme="minorHAnsi" w:cstheme="minorHAnsi"/>
          <w:iCs/>
          <w:szCs w:val="24"/>
        </w:rPr>
        <w:t>When the ICR 1845-0116 was last renewed there were</w:t>
      </w:r>
      <w:r w:rsidRPr="000F732D">
        <w:rPr>
          <w:rFonts w:asciiTheme="minorHAnsi" w:hAnsiTheme="minorHAnsi" w:cstheme="minorHAnsi"/>
          <w:iCs/>
          <w:szCs w:val="24"/>
        </w:rPr>
        <w:t xml:space="preserve"> 5,738 institutions that participated in title IV programs as of April 2019 and reported enrollment information 1,789 of them are private, not-for-profit institutions.  Of the 1,789 private, not-for-profit institutions, we estimate 411 of them do not use enrollment servicers.  For the 411 private, not-for-profit institutions that do not use enrollment servicers, we estimate that reporting will add 1,233 hours (411 institutions multiplied by 0.5 hours per report, multiplied by 6 reports per year).</w:t>
      </w:r>
    </w:p>
    <w:p w:rsidR="00AA5B54" w:rsidRPr="000F732D" w:rsidP="00AA5B54" w14:paraId="588B769F" w14:textId="77777777">
      <w:pPr>
        <w:rPr>
          <w:rFonts w:asciiTheme="minorHAnsi" w:hAnsiTheme="minorHAnsi" w:cstheme="minorHAnsi"/>
          <w:iCs/>
          <w:szCs w:val="24"/>
          <w:highlight w:val="yellow"/>
        </w:rPr>
      </w:pPr>
    </w:p>
    <w:p w:rsidR="00AA5B54" w:rsidRPr="000F732D" w:rsidP="00AA5B54" w14:paraId="7952950A" w14:textId="49A88C97">
      <w:pPr>
        <w:rPr>
          <w:rFonts w:asciiTheme="minorHAnsi" w:hAnsiTheme="minorHAnsi" w:cstheme="minorHAnsi"/>
          <w:iCs/>
          <w:szCs w:val="24"/>
        </w:rPr>
      </w:pPr>
      <w:r>
        <w:rPr>
          <w:rFonts w:asciiTheme="minorHAnsi" w:hAnsiTheme="minorHAnsi" w:cstheme="minorHAnsi"/>
          <w:iCs/>
          <w:szCs w:val="24"/>
        </w:rPr>
        <w:t>When the ICR 1845-0116 was last renewed there were</w:t>
      </w:r>
      <w:r w:rsidRPr="000F732D">
        <w:rPr>
          <w:rFonts w:asciiTheme="minorHAnsi" w:hAnsiTheme="minorHAnsi" w:cstheme="minorHAnsi"/>
          <w:iCs/>
          <w:szCs w:val="24"/>
        </w:rPr>
        <w:t xml:space="preserve"> 5,738 institutions that participated in title IV programs as of April 2019 and reported enrollment information 1,785 of them are proprietary institutions.  Of the 1,785 proprietary institutions, we estimate 411 of them do not use enrollment servicers.  For the 411 proprietary institutions that do not use enrollment servicers, we estimate that reporting will add 1,233 hours (411 institutions multiplied by 0.5 hours per report, multiplied by 6 reports per year).  </w:t>
      </w:r>
    </w:p>
    <w:p w:rsidR="00AA5B54" w:rsidRPr="000F732D" w:rsidP="00AA5B54" w14:paraId="702C9452" w14:textId="77777777">
      <w:pPr>
        <w:rPr>
          <w:rFonts w:asciiTheme="minorHAnsi" w:hAnsiTheme="minorHAnsi" w:cstheme="minorHAnsi"/>
          <w:iCs/>
          <w:szCs w:val="24"/>
          <w:highlight w:val="yellow"/>
        </w:rPr>
      </w:pPr>
    </w:p>
    <w:p w:rsidR="00AA5B54" w:rsidRPr="000F732D" w:rsidP="00AA5B54" w14:paraId="7942F902" w14:textId="5E95C14D">
      <w:pPr>
        <w:rPr>
          <w:rFonts w:asciiTheme="minorHAnsi" w:hAnsiTheme="minorHAnsi" w:cstheme="minorHAnsi"/>
          <w:iCs/>
          <w:szCs w:val="24"/>
        </w:rPr>
      </w:pPr>
      <w:r w:rsidRPr="000F732D">
        <w:rPr>
          <w:rFonts w:asciiTheme="minorHAnsi" w:hAnsiTheme="minorHAnsi" w:cstheme="minorHAnsi"/>
          <w:iCs/>
          <w:szCs w:val="24"/>
        </w:rPr>
        <w:t>Collectively, as a result of the reporting requirements</w:t>
      </w:r>
      <w:r w:rsidRPr="00626B78" w:rsidR="00626B78">
        <w:rPr>
          <w:rFonts w:asciiTheme="minorHAnsi" w:hAnsiTheme="minorHAnsi" w:cstheme="minorHAnsi"/>
          <w:iCs/>
          <w:szCs w:val="24"/>
        </w:rPr>
        <w:t xml:space="preserve"> </w:t>
      </w:r>
      <w:r w:rsidR="00626B78">
        <w:rPr>
          <w:rFonts w:asciiTheme="minorHAnsi" w:hAnsiTheme="minorHAnsi" w:cstheme="minorHAnsi"/>
          <w:iCs/>
          <w:szCs w:val="24"/>
        </w:rPr>
        <w:t>transferring from 1845-0116 to 1845-0021</w:t>
      </w:r>
      <w:r w:rsidRPr="000F732D">
        <w:rPr>
          <w:rFonts w:asciiTheme="minorHAnsi" w:hAnsiTheme="minorHAnsi" w:cstheme="minorHAnsi"/>
          <w:iCs/>
          <w:szCs w:val="24"/>
        </w:rPr>
        <w:t xml:space="preserve">, the total burden associated with Section 685.309(b), under 1845-0021, </w:t>
      </w:r>
      <w:r w:rsidRPr="00464F12">
        <w:rPr>
          <w:rFonts w:asciiTheme="minorHAnsi" w:hAnsiTheme="minorHAnsi" w:cstheme="minorHAnsi"/>
          <w:iCs/>
          <w:szCs w:val="24"/>
        </w:rPr>
        <w:t xml:space="preserve">will </w:t>
      </w:r>
      <w:r w:rsidRPr="00464F12" w:rsidR="000F732D">
        <w:rPr>
          <w:rFonts w:asciiTheme="minorHAnsi" w:hAnsiTheme="minorHAnsi" w:cstheme="minorHAnsi"/>
          <w:iCs/>
          <w:szCs w:val="24"/>
        </w:rPr>
        <w:t>in</w:t>
      </w:r>
      <w:r w:rsidRPr="00464F12">
        <w:rPr>
          <w:rFonts w:asciiTheme="minorHAnsi" w:hAnsiTheme="minorHAnsi" w:cstheme="minorHAnsi"/>
          <w:iCs/>
          <w:szCs w:val="24"/>
        </w:rPr>
        <w:t xml:space="preserve">crease from the current burden calculation </w:t>
      </w:r>
      <w:r w:rsidRPr="00464F12" w:rsidR="000F732D">
        <w:rPr>
          <w:rFonts w:asciiTheme="minorHAnsi" w:hAnsiTheme="minorHAnsi" w:cstheme="minorHAnsi"/>
          <w:iCs/>
          <w:szCs w:val="24"/>
        </w:rPr>
        <w:t>by</w:t>
      </w:r>
      <w:r w:rsidRPr="00464F12">
        <w:rPr>
          <w:rFonts w:asciiTheme="minorHAnsi" w:hAnsiTheme="minorHAnsi" w:cstheme="minorHAnsi"/>
          <w:iCs/>
          <w:szCs w:val="24"/>
        </w:rPr>
        <w:t xml:space="preserve"> 10,587 hours (2,499 hours for public institutions using enrollment servicers + 2,067 hours for private, not-for-profit institutions using enrollment </w:t>
      </w:r>
      <w:r w:rsidRPr="00464F12">
        <w:rPr>
          <w:rFonts w:asciiTheme="minorHAnsi" w:hAnsiTheme="minorHAnsi" w:cstheme="minorHAnsi"/>
          <w:iCs/>
          <w:szCs w:val="24"/>
        </w:rPr>
        <w:t>servicers + 2,061 hours for proprietary institutions using enrollment servicers + 1,494 hours for public institutions not using enrollment servicers + 1,233 hours for private, not-for-profit institutions not using enrollment servicers + 1,233 hours for proprietary institutions that do not use enrollment servicers).</w:t>
      </w:r>
    </w:p>
    <w:tbl>
      <w:tblPr>
        <w:tblW w:w="9078" w:type="dxa"/>
        <w:tblInd w:w="93" w:type="dxa"/>
        <w:tblLayout w:type="fixed"/>
        <w:tblLook w:val="04A0"/>
      </w:tblPr>
      <w:tblGrid>
        <w:gridCol w:w="4313"/>
        <w:gridCol w:w="269"/>
        <w:gridCol w:w="382"/>
        <w:gridCol w:w="700"/>
        <w:gridCol w:w="234"/>
        <w:gridCol w:w="657"/>
        <w:gridCol w:w="9"/>
        <w:gridCol w:w="291"/>
        <w:gridCol w:w="139"/>
        <w:gridCol w:w="174"/>
        <w:gridCol w:w="296"/>
        <w:gridCol w:w="10"/>
        <w:gridCol w:w="19"/>
        <w:gridCol w:w="247"/>
        <w:gridCol w:w="175"/>
        <w:gridCol w:w="256"/>
        <w:gridCol w:w="10"/>
        <w:gridCol w:w="99"/>
        <w:gridCol w:w="170"/>
        <w:gridCol w:w="334"/>
        <w:gridCol w:w="273"/>
        <w:gridCol w:w="21"/>
      </w:tblGrid>
      <w:tr w14:paraId="551795D5" w14:textId="77777777" w:rsidTr="00464F12">
        <w:tblPrEx>
          <w:tblW w:w="9078" w:type="dxa"/>
          <w:tblInd w:w="93" w:type="dxa"/>
          <w:tblLayout w:type="fixed"/>
          <w:tblLook w:val="04A0"/>
        </w:tblPrEx>
        <w:trPr>
          <w:gridAfter w:val="1"/>
          <w:wAfter w:w="18" w:type="dxa"/>
          <w:trHeight w:val="510"/>
        </w:trPr>
        <w:tc>
          <w:tcPr>
            <w:tcW w:w="4585" w:type="dxa"/>
            <w:gridSpan w:val="2"/>
            <w:tcBorders>
              <w:top w:val="nil"/>
              <w:left w:val="nil"/>
              <w:bottom w:val="nil"/>
              <w:right w:val="nil"/>
            </w:tcBorders>
            <w:shd w:val="clear" w:color="auto" w:fill="auto"/>
            <w:vAlign w:val="bottom"/>
            <w:hideMark/>
          </w:tcPr>
          <w:p w:rsidR="00AA5B54" w:rsidRPr="000F732D" w:rsidP="00924F2E" w14:paraId="1957BF3C" w14:textId="77777777">
            <w:pPr>
              <w:rPr>
                <w:rFonts w:asciiTheme="minorHAnsi" w:hAnsiTheme="minorHAnsi" w:cstheme="minorHAnsi"/>
                <w:iCs/>
                <w:szCs w:val="24"/>
              </w:rPr>
            </w:pPr>
            <w:r w:rsidRPr="000F732D">
              <w:rPr>
                <w:rFonts w:asciiTheme="minorHAnsi" w:hAnsiTheme="minorHAnsi" w:cstheme="minorHAnsi"/>
                <w:iCs/>
                <w:szCs w:val="24"/>
              </w:rPr>
              <w:t>34 CFR 685.309(b)</w:t>
            </w:r>
          </w:p>
        </w:tc>
        <w:tc>
          <w:tcPr>
            <w:tcW w:w="1982" w:type="dxa"/>
            <w:gridSpan w:val="5"/>
            <w:tcBorders>
              <w:top w:val="nil"/>
              <w:left w:val="nil"/>
              <w:bottom w:val="nil"/>
              <w:right w:val="nil"/>
            </w:tcBorders>
            <w:shd w:val="clear" w:color="auto" w:fill="auto"/>
            <w:noWrap/>
            <w:vAlign w:val="bottom"/>
            <w:hideMark/>
          </w:tcPr>
          <w:p w:rsidR="00AA5B54" w:rsidRPr="000F732D" w:rsidP="00924F2E" w14:paraId="56501DDD" w14:textId="77777777">
            <w:pPr>
              <w:rPr>
                <w:rFonts w:asciiTheme="minorHAnsi" w:hAnsiTheme="minorHAnsi" w:cstheme="minorHAnsi"/>
                <w:iCs/>
                <w:szCs w:val="24"/>
              </w:rPr>
            </w:pPr>
          </w:p>
        </w:tc>
        <w:tc>
          <w:tcPr>
            <w:tcW w:w="604" w:type="dxa"/>
            <w:gridSpan w:val="3"/>
            <w:tcBorders>
              <w:top w:val="nil"/>
              <w:left w:val="nil"/>
              <w:bottom w:val="nil"/>
              <w:right w:val="nil"/>
            </w:tcBorders>
            <w:shd w:val="clear" w:color="auto" w:fill="auto"/>
            <w:noWrap/>
            <w:vAlign w:val="bottom"/>
            <w:hideMark/>
          </w:tcPr>
          <w:p w:rsidR="00AA5B54" w:rsidRPr="000F732D" w:rsidP="00924F2E" w14:paraId="5A96828C" w14:textId="77777777">
            <w:pPr>
              <w:rPr>
                <w:rFonts w:asciiTheme="minorHAnsi" w:hAnsiTheme="minorHAnsi" w:cstheme="minorHAnsi"/>
                <w:iCs/>
                <w:szCs w:val="24"/>
              </w:rPr>
            </w:pPr>
          </w:p>
        </w:tc>
        <w:tc>
          <w:tcPr>
            <w:tcW w:w="747" w:type="dxa"/>
            <w:gridSpan w:val="5"/>
            <w:tcBorders>
              <w:top w:val="nil"/>
              <w:left w:val="nil"/>
              <w:bottom w:val="nil"/>
              <w:right w:val="nil"/>
            </w:tcBorders>
            <w:shd w:val="clear" w:color="auto" w:fill="auto"/>
            <w:noWrap/>
            <w:vAlign w:val="bottom"/>
            <w:hideMark/>
          </w:tcPr>
          <w:p w:rsidR="00AA5B54" w:rsidRPr="000F732D" w:rsidP="00924F2E" w14:paraId="5B1B17D7" w14:textId="77777777">
            <w:pPr>
              <w:rPr>
                <w:rFonts w:asciiTheme="minorHAnsi" w:hAnsiTheme="minorHAnsi" w:cstheme="minorHAnsi"/>
                <w:iCs/>
                <w:szCs w:val="24"/>
              </w:rPr>
            </w:pPr>
          </w:p>
        </w:tc>
        <w:tc>
          <w:tcPr>
            <w:tcW w:w="535" w:type="dxa"/>
            <w:gridSpan w:val="4"/>
            <w:tcBorders>
              <w:top w:val="nil"/>
              <w:left w:val="nil"/>
              <w:bottom w:val="nil"/>
              <w:right w:val="nil"/>
            </w:tcBorders>
            <w:shd w:val="clear" w:color="auto" w:fill="auto"/>
            <w:noWrap/>
            <w:vAlign w:val="bottom"/>
            <w:hideMark/>
          </w:tcPr>
          <w:p w:rsidR="00AA5B54" w:rsidRPr="000F732D" w:rsidP="00924F2E" w14:paraId="396E6AEC" w14:textId="77777777">
            <w:pPr>
              <w:rPr>
                <w:rFonts w:asciiTheme="minorHAnsi" w:hAnsiTheme="minorHAnsi" w:cstheme="minorHAnsi"/>
                <w:iCs/>
                <w:szCs w:val="24"/>
              </w:rPr>
            </w:pPr>
          </w:p>
        </w:tc>
        <w:tc>
          <w:tcPr>
            <w:tcW w:w="607" w:type="dxa"/>
            <w:gridSpan w:val="2"/>
            <w:tcBorders>
              <w:top w:val="nil"/>
              <w:left w:val="nil"/>
              <w:bottom w:val="nil"/>
              <w:right w:val="nil"/>
            </w:tcBorders>
            <w:shd w:val="clear" w:color="auto" w:fill="auto"/>
            <w:noWrap/>
            <w:vAlign w:val="bottom"/>
            <w:hideMark/>
          </w:tcPr>
          <w:p w:rsidR="00AA5B54" w:rsidRPr="000F732D" w:rsidP="00924F2E" w14:paraId="5C08B514" w14:textId="77777777">
            <w:pPr>
              <w:rPr>
                <w:rFonts w:asciiTheme="minorHAnsi" w:hAnsiTheme="minorHAnsi" w:cstheme="minorHAnsi"/>
                <w:iCs/>
                <w:szCs w:val="24"/>
              </w:rPr>
            </w:pPr>
          </w:p>
        </w:tc>
      </w:tr>
      <w:tr w14:paraId="240059BC" w14:textId="77777777" w:rsidTr="00464F12">
        <w:tblPrEx>
          <w:tblW w:w="9078" w:type="dxa"/>
          <w:tblInd w:w="93" w:type="dxa"/>
          <w:tblLayout w:type="fixed"/>
          <w:tblLook w:val="04A0"/>
        </w:tblPrEx>
        <w:trPr>
          <w:gridAfter w:val="2"/>
          <w:wAfter w:w="294" w:type="dxa"/>
          <w:trHeight w:val="255"/>
        </w:trPr>
        <w:tc>
          <w:tcPr>
            <w:tcW w:w="4967" w:type="dxa"/>
            <w:gridSpan w:val="3"/>
            <w:tcBorders>
              <w:top w:val="nil"/>
              <w:left w:val="nil"/>
              <w:bottom w:val="nil"/>
              <w:right w:val="nil"/>
            </w:tcBorders>
            <w:shd w:val="clear" w:color="auto" w:fill="auto"/>
            <w:noWrap/>
            <w:vAlign w:val="bottom"/>
            <w:hideMark/>
          </w:tcPr>
          <w:p w:rsidR="00AA5B54" w:rsidRPr="00464F12" w:rsidP="00924F2E" w14:paraId="04DBF6DB" w14:textId="77777777">
            <w:pPr>
              <w:rPr>
                <w:rFonts w:asciiTheme="minorHAnsi" w:hAnsiTheme="minorHAnsi" w:cstheme="minorHAnsi"/>
                <w:b/>
                <w:bCs/>
                <w:iCs/>
                <w:szCs w:val="24"/>
              </w:rPr>
            </w:pPr>
            <w:r w:rsidRPr="00464F12">
              <w:rPr>
                <w:rFonts w:asciiTheme="minorHAnsi" w:hAnsiTheme="minorHAnsi" w:cstheme="minorHAnsi"/>
                <w:b/>
                <w:bCs/>
                <w:iCs/>
                <w:szCs w:val="24"/>
              </w:rPr>
              <w:t xml:space="preserve">   State, Local, or Tribal Governments</w:t>
            </w:r>
          </w:p>
        </w:tc>
        <w:tc>
          <w:tcPr>
            <w:tcW w:w="934" w:type="dxa"/>
            <w:gridSpan w:val="2"/>
            <w:tcBorders>
              <w:top w:val="nil"/>
              <w:left w:val="nil"/>
              <w:bottom w:val="nil"/>
              <w:right w:val="nil"/>
            </w:tcBorders>
            <w:shd w:val="clear" w:color="auto" w:fill="auto"/>
            <w:noWrap/>
            <w:vAlign w:val="bottom"/>
            <w:hideMark/>
          </w:tcPr>
          <w:p w:rsidR="00AA5B54" w:rsidRPr="00464F12" w:rsidP="00924F2E" w14:paraId="0599E74F" w14:textId="77777777">
            <w:pPr>
              <w:rPr>
                <w:rFonts w:asciiTheme="minorHAnsi" w:hAnsiTheme="minorHAnsi" w:cstheme="minorHAnsi"/>
                <w:iCs/>
                <w:szCs w:val="24"/>
              </w:rPr>
            </w:pPr>
          </w:p>
        </w:tc>
        <w:tc>
          <w:tcPr>
            <w:tcW w:w="957" w:type="dxa"/>
            <w:gridSpan w:val="3"/>
            <w:tcBorders>
              <w:top w:val="nil"/>
              <w:left w:val="nil"/>
              <w:bottom w:val="nil"/>
              <w:right w:val="nil"/>
            </w:tcBorders>
            <w:shd w:val="clear" w:color="auto" w:fill="auto"/>
            <w:noWrap/>
            <w:vAlign w:val="bottom"/>
            <w:hideMark/>
          </w:tcPr>
          <w:p w:rsidR="00AA5B54" w:rsidRPr="00464F12" w:rsidP="00924F2E" w14:paraId="7C4B7A91" w14:textId="77777777">
            <w:pPr>
              <w:rPr>
                <w:rFonts w:asciiTheme="minorHAnsi" w:hAnsiTheme="minorHAnsi" w:cstheme="minorHAnsi"/>
                <w:iCs/>
                <w:szCs w:val="24"/>
              </w:rPr>
            </w:pPr>
          </w:p>
        </w:tc>
        <w:tc>
          <w:tcPr>
            <w:tcW w:w="638" w:type="dxa"/>
            <w:gridSpan w:val="5"/>
            <w:tcBorders>
              <w:top w:val="nil"/>
              <w:left w:val="nil"/>
              <w:bottom w:val="nil"/>
              <w:right w:val="nil"/>
            </w:tcBorders>
            <w:shd w:val="clear" w:color="auto" w:fill="auto"/>
            <w:noWrap/>
            <w:vAlign w:val="bottom"/>
            <w:hideMark/>
          </w:tcPr>
          <w:p w:rsidR="00AA5B54" w:rsidRPr="00464F12" w:rsidP="00924F2E" w14:paraId="76AA07B4" w14:textId="77777777">
            <w:pPr>
              <w:rPr>
                <w:rFonts w:asciiTheme="minorHAnsi" w:hAnsiTheme="minorHAnsi" w:cstheme="minorHAnsi"/>
                <w:iCs/>
                <w:szCs w:val="24"/>
              </w:rPr>
            </w:pPr>
          </w:p>
        </w:tc>
        <w:tc>
          <w:tcPr>
            <w:tcW w:w="685" w:type="dxa"/>
            <w:gridSpan w:val="4"/>
            <w:tcBorders>
              <w:top w:val="nil"/>
              <w:left w:val="nil"/>
              <w:bottom w:val="nil"/>
              <w:right w:val="nil"/>
            </w:tcBorders>
            <w:shd w:val="clear" w:color="auto" w:fill="auto"/>
            <w:noWrap/>
            <w:vAlign w:val="bottom"/>
            <w:hideMark/>
          </w:tcPr>
          <w:p w:rsidR="00AA5B54" w:rsidRPr="00464F12" w:rsidP="00924F2E" w14:paraId="73F68E7B" w14:textId="77777777">
            <w:pPr>
              <w:rPr>
                <w:rFonts w:asciiTheme="minorHAnsi" w:hAnsiTheme="minorHAnsi" w:cstheme="minorHAnsi"/>
                <w:iCs/>
                <w:szCs w:val="24"/>
              </w:rPr>
            </w:pPr>
          </w:p>
        </w:tc>
        <w:tc>
          <w:tcPr>
            <w:tcW w:w="603" w:type="dxa"/>
            <w:gridSpan w:val="3"/>
            <w:tcBorders>
              <w:top w:val="nil"/>
              <w:left w:val="nil"/>
              <w:bottom w:val="nil"/>
              <w:right w:val="nil"/>
            </w:tcBorders>
            <w:shd w:val="clear" w:color="auto" w:fill="auto"/>
            <w:noWrap/>
            <w:vAlign w:val="bottom"/>
            <w:hideMark/>
          </w:tcPr>
          <w:p w:rsidR="00AA5B54" w:rsidRPr="00464F12" w:rsidP="00924F2E" w14:paraId="54C4FBE5" w14:textId="77777777">
            <w:pPr>
              <w:rPr>
                <w:rFonts w:asciiTheme="minorHAnsi" w:hAnsiTheme="minorHAnsi" w:cstheme="minorHAnsi"/>
                <w:iCs/>
                <w:szCs w:val="24"/>
              </w:rPr>
            </w:pPr>
          </w:p>
        </w:tc>
      </w:tr>
      <w:tr w14:paraId="09815460" w14:textId="77777777" w:rsidTr="00464F12">
        <w:tblPrEx>
          <w:tblW w:w="9078" w:type="dxa"/>
          <w:tblInd w:w="93" w:type="dxa"/>
          <w:tblLayout w:type="fixed"/>
          <w:tblLook w:val="04A0"/>
        </w:tblPrEx>
        <w:trPr>
          <w:trHeight w:val="255"/>
        </w:trPr>
        <w:tc>
          <w:tcPr>
            <w:tcW w:w="4316" w:type="dxa"/>
            <w:tcBorders>
              <w:top w:val="nil"/>
              <w:left w:val="nil"/>
              <w:bottom w:val="nil"/>
              <w:right w:val="nil"/>
            </w:tcBorders>
            <w:shd w:val="clear" w:color="auto" w:fill="auto"/>
            <w:noWrap/>
            <w:vAlign w:val="bottom"/>
          </w:tcPr>
          <w:p w:rsidR="00AA5B54" w:rsidRPr="00464F12" w:rsidP="00924F2E" w14:paraId="3C7F3719" w14:textId="6226538C">
            <w:pPr>
              <w:rPr>
                <w:rFonts w:asciiTheme="minorHAnsi" w:hAnsiTheme="minorHAnsi" w:cstheme="minorHAnsi"/>
                <w:b/>
                <w:bCs/>
                <w:iCs/>
                <w:szCs w:val="24"/>
              </w:rPr>
            </w:pPr>
            <w:r w:rsidRPr="00464F12">
              <w:rPr>
                <w:rFonts w:asciiTheme="minorHAnsi" w:hAnsiTheme="minorHAnsi" w:cstheme="minorHAnsi"/>
                <w:iCs/>
                <w:szCs w:val="24"/>
              </w:rPr>
              <w:t>Public institutions - reporting to NSLDS - institution uses enrollment servicer</w:t>
            </w:r>
          </w:p>
        </w:tc>
        <w:tc>
          <w:tcPr>
            <w:tcW w:w="1351" w:type="dxa"/>
            <w:gridSpan w:val="3"/>
            <w:tcBorders>
              <w:top w:val="nil"/>
              <w:left w:val="nil"/>
              <w:bottom w:val="nil"/>
              <w:right w:val="nil"/>
            </w:tcBorders>
            <w:shd w:val="clear" w:color="auto" w:fill="auto"/>
            <w:noWrap/>
            <w:vAlign w:val="bottom"/>
          </w:tcPr>
          <w:p w:rsidR="00AA5B54" w:rsidRPr="00464F12" w:rsidP="00924F2E" w14:paraId="77717D97" w14:textId="77777777">
            <w:pPr>
              <w:rPr>
                <w:rFonts w:asciiTheme="minorHAnsi" w:hAnsiTheme="minorHAnsi" w:cstheme="minorHAnsi"/>
                <w:iCs/>
                <w:szCs w:val="24"/>
              </w:rPr>
            </w:pPr>
            <w:r w:rsidRPr="00464F12">
              <w:rPr>
                <w:rFonts w:asciiTheme="minorHAnsi" w:hAnsiTheme="minorHAnsi" w:cstheme="minorHAnsi"/>
                <w:iCs/>
                <w:szCs w:val="24"/>
              </w:rPr>
              <w:t>34 CFR 685.309(b)</w:t>
            </w:r>
          </w:p>
        </w:tc>
        <w:tc>
          <w:tcPr>
            <w:tcW w:w="900" w:type="dxa"/>
            <w:gridSpan w:val="3"/>
            <w:tcBorders>
              <w:top w:val="nil"/>
              <w:left w:val="nil"/>
              <w:bottom w:val="nil"/>
              <w:right w:val="nil"/>
            </w:tcBorders>
            <w:shd w:val="clear" w:color="auto" w:fill="auto"/>
            <w:noWrap/>
            <w:vAlign w:val="bottom"/>
          </w:tcPr>
          <w:p w:rsidR="00AA5B54" w:rsidRPr="00464F12" w:rsidP="00924F2E" w14:paraId="57EBFCF2" w14:textId="77777777">
            <w:pPr>
              <w:jc w:val="right"/>
              <w:rPr>
                <w:rFonts w:asciiTheme="minorHAnsi" w:hAnsiTheme="minorHAnsi" w:cstheme="minorHAnsi"/>
                <w:iCs/>
                <w:szCs w:val="24"/>
              </w:rPr>
            </w:pPr>
            <w:r w:rsidRPr="00464F12">
              <w:rPr>
                <w:rFonts w:asciiTheme="minorHAnsi" w:hAnsiTheme="minorHAnsi" w:cstheme="minorHAnsi"/>
                <w:iCs/>
                <w:szCs w:val="24"/>
              </w:rPr>
              <w:t>1,666</w:t>
            </w:r>
          </w:p>
        </w:tc>
        <w:tc>
          <w:tcPr>
            <w:tcW w:w="910" w:type="dxa"/>
            <w:gridSpan w:val="5"/>
            <w:tcBorders>
              <w:top w:val="nil"/>
              <w:left w:val="nil"/>
              <w:bottom w:val="nil"/>
              <w:right w:val="nil"/>
            </w:tcBorders>
            <w:shd w:val="clear" w:color="auto" w:fill="auto"/>
            <w:noWrap/>
            <w:vAlign w:val="bottom"/>
          </w:tcPr>
          <w:p w:rsidR="00AA5B54" w:rsidRPr="00464F12" w:rsidP="00924F2E" w14:paraId="1353A9C2" w14:textId="77777777">
            <w:pPr>
              <w:jc w:val="right"/>
              <w:rPr>
                <w:rFonts w:asciiTheme="minorHAnsi" w:hAnsiTheme="minorHAnsi" w:cstheme="minorHAnsi"/>
                <w:iCs/>
                <w:szCs w:val="24"/>
              </w:rPr>
            </w:pPr>
            <w:r w:rsidRPr="00464F12">
              <w:rPr>
                <w:rFonts w:asciiTheme="minorHAnsi" w:hAnsiTheme="minorHAnsi" w:cstheme="minorHAnsi"/>
                <w:iCs/>
                <w:szCs w:val="24"/>
              </w:rPr>
              <w:t>9,996</w:t>
            </w:r>
          </w:p>
        </w:tc>
        <w:tc>
          <w:tcPr>
            <w:tcW w:w="707" w:type="dxa"/>
            <w:gridSpan w:val="5"/>
            <w:tcBorders>
              <w:top w:val="nil"/>
              <w:left w:val="nil"/>
              <w:bottom w:val="nil"/>
              <w:right w:val="nil"/>
            </w:tcBorders>
            <w:shd w:val="clear" w:color="auto" w:fill="auto"/>
            <w:noWrap/>
            <w:vAlign w:val="bottom"/>
          </w:tcPr>
          <w:p w:rsidR="00AA5B54" w:rsidRPr="00464F12" w:rsidP="00924F2E" w14:paraId="0BA422CA" w14:textId="77777777">
            <w:pPr>
              <w:jc w:val="right"/>
              <w:rPr>
                <w:rFonts w:asciiTheme="minorHAnsi" w:hAnsiTheme="minorHAnsi" w:cstheme="minorHAnsi"/>
                <w:iCs/>
                <w:szCs w:val="24"/>
              </w:rPr>
            </w:pPr>
            <w:r w:rsidRPr="00464F12">
              <w:rPr>
                <w:rFonts w:asciiTheme="minorHAnsi" w:hAnsiTheme="minorHAnsi" w:cstheme="minorHAnsi"/>
                <w:iCs/>
                <w:szCs w:val="24"/>
              </w:rPr>
              <w:t>0.25</w:t>
            </w:r>
          </w:p>
        </w:tc>
        <w:tc>
          <w:tcPr>
            <w:tcW w:w="891" w:type="dxa"/>
            <w:gridSpan w:val="5"/>
            <w:tcBorders>
              <w:top w:val="nil"/>
              <w:left w:val="nil"/>
              <w:bottom w:val="nil"/>
              <w:right w:val="nil"/>
            </w:tcBorders>
            <w:shd w:val="clear" w:color="auto" w:fill="auto"/>
            <w:noWrap/>
            <w:vAlign w:val="bottom"/>
          </w:tcPr>
          <w:p w:rsidR="00AA5B54" w:rsidRPr="00464F12" w:rsidP="00924F2E" w14:paraId="32D75269" w14:textId="77777777">
            <w:pPr>
              <w:jc w:val="right"/>
              <w:rPr>
                <w:rFonts w:asciiTheme="minorHAnsi" w:hAnsiTheme="minorHAnsi" w:cstheme="minorHAnsi"/>
                <w:iCs/>
                <w:szCs w:val="24"/>
              </w:rPr>
            </w:pPr>
            <w:r w:rsidRPr="00464F12">
              <w:rPr>
                <w:rFonts w:asciiTheme="minorHAnsi" w:hAnsiTheme="minorHAnsi" w:cstheme="minorHAnsi"/>
                <w:iCs/>
                <w:szCs w:val="24"/>
              </w:rPr>
              <w:t>2,499</w:t>
            </w:r>
          </w:p>
        </w:tc>
      </w:tr>
      <w:tr w14:paraId="75AE1DFE" w14:textId="77777777" w:rsidTr="00464F12">
        <w:tblPrEx>
          <w:tblW w:w="9078" w:type="dxa"/>
          <w:tblInd w:w="93" w:type="dxa"/>
          <w:tblLayout w:type="fixed"/>
          <w:tblLook w:val="04A0"/>
        </w:tblPrEx>
        <w:trPr>
          <w:trHeight w:val="255"/>
        </w:trPr>
        <w:tc>
          <w:tcPr>
            <w:tcW w:w="4316" w:type="dxa"/>
            <w:tcBorders>
              <w:top w:val="nil"/>
              <w:left w:val="nil"/>
              <w:bottom w:val="nil"/>
              <w:right w:val="nil"/>
            </w:tcBorders>
            <w:shd w:val="clear" w:color="auto" w:fill="auto"/>
            <w:noWrap/>
            <w:vAlign w:val="bottom"/>
            <w:hideMark/>
          </w:tcPr>
          <w:p w:rsidR="00AA5B54" w:rsidRPr="00464F12" w:rsidP="00924F2E" w14:paraId="418E8C44" w14:textId="736001C4">
            <w:pPr>
              <w:rPr>
                <w:rFonts w:asciiTheme="minorHAnsi" w:hAnsiTheme="minorHAnsi" w:cstheme="minorHAnsi"/>
                <w:b/>
                <w:bCs/>
                <w:iCs/>
                <w:szCs w:val="24"/>
              </w:rPr>
            </w:pPr>
            <w:r w:rsidRPr="00464F12">
              <w:rPr>
                <w:rFonts w:asciiTheme="minorHAnsi" w:hAnsiTheme="minorHAnsi" w:cstheme="minorHAnsi"/>
                <w:iCs/>
                <w:szCs w:val="24"/>
              </w:rPr>
              <w:t>Public institutions - reporting to NSLDS - institution does not use enrollment servicer</w:t>
            </w:r>
          </w:p>
        </w:tc>
        <w:tc>
          <w:tcPr>
            <w:tcW w:w="1351" w:type="dxa"/>
            <w:gridSpan w:val="3"/>
            <w:tcBorders>
              <w:top w:val="nil"/>
              <w:left w:val="nil"/>
              <w:bottom w:val="nil"/>
              <w:right w:val="nil"/>
            </w:tcBorders>
            <w:shd w:val="clear" w:color="auto" w:fill="auto"/>
            <w:noWrap/>
            <w:vAlign w:val="bottom"/>
            <w:hideMark/>
          </w:tcPr>
          <w:p w:rsidR="00AA5B54" w:rsidRPr="00464F12" w:rsidP="00924F2E" w14:paraId="14A7D8AF" w14:textId="77777777">
            <w:pPr>
              <w:rPr>
                <w:rFonts w:asciiTheme="minorHAnsi" w:hAnsiTheme="minorHAnsi" w:cstheme="minorHAnsi"/>
                <w:iCs/>
                <w:szCs w:val="24"/>
              </w:rPr>
            </w:pPr>
            <w:r w:rsidRPr="00464F12">
              <w:rPr>
                <w:rFonts w:asciiTheme="minorHAnsi" w:hAnsiTheme="minorHAnsi" w:cstheme="minorHAnsi"/>
                <w:iCs/>
                <w:szCs w:val="24"/>
              </w:rPr>
              <w:t>34 CFR 685.309(b)</w:t>
            </w:r>
          </w:p>
        </w:tc>
        <w:tc>
          <w:tcPr>
            <w:tcW w:w="900" w:type="dxa"/>
            <w:gridSpan w:val="3"/>
            <w:tcBorders>
              <w:top w:val="nil"/>
              <w:left w:val="nil"/>
              <w:bottom w:val="nil"/>
              <w:right w:val="nil"/>
            </w:tcBorders>
            <w:shd w:val="clear" w:color="auto" w:fill="auto"/>
            <w:noWrap/>
            <w:vAlign w:val="bottom"/>
            <w:hideMark/>
          </w:tcPr>
          <w:p w:rsidR="00AA5B54" w:rsidRPr="00464F12" w:rsidP="00924F2E" w14:paraId="06306C19" w14:textId="77777777">
            <w:pPr>
              <w:jc w:val="right"/>
              <w:rPr>
                <w:rFonts w:asciiTheme="minorHAnsi" w:hAnsiTheme="minorHAnsi" w:cstheme="minorHAnsi"/>
                <w:iCs/>
                <w:szCs w:val="24"/>
              </w:rPr>
            </w:pPr>
            <w:r w:rsidRPr="00464F12">
              <w:rPr>
                <w:rFonts w:asciiTheme="minorHAnsi" w:hAnsiTheme="minorHAnsi" w:cstheme="minorHAnsi"/>
                <w:iCs/>
                <w:szCs w:val="24"/>
              </w:rPr>
              <w:t xml:space="preserve">   498</w:t>
            </w:r>
          </w:p>
        </w:tc>
        <w:tc>
          <w:tcPr>
            <w:tcW w:w="910" w:type="dxa"/>
            <w:gridSpan w:val="5"/>
            <w:tcBorders>
              <w:top w:val="nil"/>
              <w:left w:val="nil"/>
              <w:bottom w:val="nil"/>
              <w:right w:val="nil"/>
            </w:tcBorders>
            <w:shd w:val="clear" w:color="auto" w:fill="auto"/>
            <w:noWrap/>
            <w:vAlign w:val="bottom"/>
            <w:hideMark/>
          </w:tcPr>
          <w:p w:rsidR="00AA5B54" w:rsidRPr="00464F12" w:rsidP="00924F2E" w14:paraId="0AAFA93E" w14:textId="77777777">
            <w:pPr>
              <w:jc w:val="right"/>
              <w:rPr>
                <w:rFonts w:asciiTheme="minorHAnsi" w:hAnsiTheme="minorHAnsi" w:cstheme="minorHAnsi"/>
                <w:iCs/>
                <w:szCs w:val="24"/>
              </w:rPr>
            </w:pPr>
            <w:r w:rsidRPr="00464F12">
              <w:rPr>
                <w:rFonts w:asciiTheme="minorHAnsi" w:hAnsiTheme="minorHAnsi" w:cstheme="minorHAnsi"/>
                <w:iCs/>
                <w:szCs w:val="24"/>
              </w:rPr>
              <w:t>2,988</w:t>
            </w:r>
          </w:p>
        </w:tc>
        <w:tc>
          <w:tcPr>
            <w:tcW w:w="707" w:type="dxa"/>
            <w:gridSpan w:val="5"/>
            <w:tcBorders>
              <w:top w:val="nil"/>
              <w:left w:val="nil"/>
              <w:bottom w:val="nil"/>
              <w:right w:val="nil"/>
            </w:tcBorders>
            <w:shd w:val="clear" w:color="auto" w:fill="auto"/>
            <w:noWrap/>
            <w:vAlign w:val="bottom"/>
            <w:hideMark/>
          </w:tcPr>
          <w:p w:rsidR="00AA5B54" w:rsidRPr="00464F12" w:rsidP="00924F2E" w14:paraId="0FFC5ECE" w14:textId="77777777">
            <w:pPr>
              <w:jc w:val="right"/>
              <w:rPr>
                <w:rFonts w:asciiTheme="minorHAnsi" w:hAnsiTheme="minorHAnsi" w:cstheme="minorHAnsi"/>
                <w:iCs/>
                <w:szCs w:val="24"/>
              </w:rPr>
            </w:pPr>
            <w:r w:rsidRPr="00464F12">
              <w:rPr>
                <w:rFonts w:asciiTheme="minorHAnsi" w:hAnsiTheme="minorHAnsi" w:cstheme="minorHAnsi"/>
                <w:iCs/>
                <w:szCs w:val="24"/>
              </w:rPr>
              <w:t>0.50</w:t>
            </w:r>
          </w:p>
        </w:tc>
        <w:tc>
          <w:tcPr>
            <w:tcW w:w="891" w:type="dxa"/>
            <w:gridSpan w:val="5"/>
            <w:tcBorders>
              <w:top w:val="nil"/>
              <w:left w:val="nil"/>
              <w:bottom w:val="nil"/>
              <w:right w:val="nil"/>
            </w:tcBorders>
            <w:shd w:val="clear" w:color="auto" w:fill="auto"/>
            <w:noWrap/>
            <w:vAlign w:val="bottom"/>
            <w:hideMark/>
          </w:tcPr>
          <w:p w:rsidR="00AA5B54" w:rsidRPr="00464F12" w:rsidP="00924F2E" w14:paraId="5FCDCFEA" w14:textId="77777777">
            <w:pPr>
              <w:jc w:val="right"/>
              <w:rPr>
                <w:rFonts w:asciiTheme="minorHAnsi" w:hAnsiTheme="minorHAnsi" w:cstheme="minorHAnsi"/>
                <w:iCs/>
                <w:szCs w:val="24"/>
              </w:rPr>
            </w:pPr>
            <w:r w:rsidRPr="00464F12">
              <w:rPr>
                <w:rFonts w:asciiTheme="minorHAnsi" w:hAnsiTheme="minorHAnsi" w:cstheme="minorHAnsi"/>
                <w:iCs/>
                <w:szCs w:val="24"/>
              </w:rPr>
              <w:t>1,494</w:t>
            </w:r>
          </w:p>
        </w:tc>
      </w:tr>
      <w:tr w14:paraId="6E545AF1" w14:textId="77777777" w:rsidTr="00464F12">
        <w:tblPrEx>
          <w:tblW w:w="9078" w:type="dxa"/>
          <w:tblInd w:w="93" w:type="dxa"/>
          <w:tblLayout w:type="fixed"/>
          <w:tblLook w:val="04A0"/>
        </w:tblPrEx>
        <w:trPr>
          <w:trHeight w:val="255"/>
        </w:trPr>
        <w:tc>
          <w:tcPr>
            <w:tcW w:w="4316" w:type="dxa"/>
            <w:tcBorders>
              <w:top w:val="nil"/>
              <w:left w:val="nil"/>
              <w:bottom w:val="nil"/>
              <w:right w:val="nil"/>
            </w:tcBorders>
            <w:shd w:val="clear" w:color="auto" w:fill="auto"/>
            <w:noWrap/>
            <w:vAlign w:val="bottom"/>
            <w:hideMark/>
          </w:tcPr>
          <w:p w:rsidR="00AA5B54" w:rsidRPr="00464F12" w:rsidP="00924F2E" w14:paraId="33C19F3F" w14:textId="77777777">
            <w:pPr>
              <w:rPr>
                <w:rFonts w:asciiTheme="minorHAnsi" w:hAnsiTheme="minorHAnsi" w:cstheme="minorHAnsi"/>
                <w:b/>
                <w:bCs/>
                <w:iCs/>
                <w:szCs w:val="24"/>
              </w:rPr>
            </w:pPr>
            <w:r w:rsidRPr="00464F12">
              <w:rPr>
                <w:rFonts w:asciiTheme="minorHAnsi" w:hAnsiTheme="minorHAnsi" w:cstheme="minorHAnsi"/>
                <w:b/>
                <w:bCs/>
                <w:iCs/>
                <w:szCs w:val="24"/>
              </w:rPr>
              <w:t xml:space="preserve">   Private Sector</w:t>
            </w:r>
          </w:p>
        </w:tc>
        <w:tc>
          <w:tcPr>
            <w:tcW w:w="2242" w:type="dxa"/>
            <w:gridSpan w:val="5"/>
            <w:tcBorders>
              <w:top w:val="nil"/>
              <w:left w:val="nil"/>
              <w:bottom w:val="nil"/>
              <w:right w:val="nil"/>
            </w:tcBorders>
            <w:shd w:val="clear" w:color="auto" w:fill="auto"/>
            <w:noWrap/>
            <w:vAlign w:val="bottom"/>
            <w:hideMark/>
          </w:tcPr>
          <w:p w:rsidR="00AA5B54" w:rsidRPr="00464F12" w:rsidP="00924F2E" w14:paraId="26070509" w14:textId="77777777">
            <w:pPr>
              <w:rPr>
                <w:rFonts w:asciiTheme="minorHAnsi" w:hAnsiTheme="minorHAnsi" w:cstheme="minorHAnsi"/>
                <w:iCs/>
                <w:szCs w:val="24"/>
              </w:rPr>
            </w:pPr>
          </w:p>
        </w:tc>
        <w:tc>
          <w:tcPr>
            <w:tcW w:w="439" w:type="dxa"/>
            <w:gridSpan w:val="3"/>
            <w:tcBorders>
              <w:top w:val="nil"/>
              <w:left w:val="nil"/>
              <w:bottom w:val="nil"/>
              <w:right w:val="nil"/>
            </w:tcBorders>
            <w:shd w:val="clear" w:color="auto" w:fill="auto"/>
            <w:noWrap/>
            <w:vAlign w:val="bottom"/>
            <w:hideMark/>
          </w:tcPr>
          <w:p w:rsidR="00AA5B54" w:rsidRPr="00464F12" w:rsidP="00924F2E" w14:paraId="7658F93E" w14:textId="77777777">
            <w:pPr>
              <w:rPr>
                <w:rFonts w:asciiTheme="minorHAnsi" w:hAnsiTheme="minorHAnsi" w:cstheme="minorHAnsi"/>
                <w:iCs/>
                <w:szCs w:val="24"/>
              </w:rPr>
            </w:pPr>
          </w:p>
        </w:tc>
        <w:tc>
          <w:tcPr>
            <w:tcW w:w="746" w:type="dxa"/>
            <w:gridSpan w:val="5"/>
            <w:tcBorders>
              <w:top w:val="nil"/>
              <w:left w:val="nil"/>
              <w:bottom w:val="nil"/>
              <w:right w:val="nil"/>
            </w:tcBorders>
            <w:shd w:val="clear" w:color="auto" w:fill="auto"/>
            <w:noWrap/>
            <w:vAlign w:val="bottom"/>
            <w:hideMark/>
          </w:tcPr>
          <w:p w:rsidR="00AA5B54" w:rsidRPr="00464F12" w:rsidP="00924F2E" w14:paraId="4E5EAA98" w14:textId="77777777">
            <w:pPr>
              <w:rPr>
                <w:rFonts w:asciiTheme="minorHAnsi" w:hAnsiTheme="minorHAnsi" w:cstheme="minorHAnsi"/>
                <w:iCs/>
                <w:szCs w:val="24"/>
              </w:rPr>
            </w:pPr>
          </w:p>
        </w:tc>
        <w:tc>
          <w:tcPr>
            <w:tcW w:w="540" w:type="dxa"/>
            <w:gridSpan w:val="4"/>
            <w:tcBorders>
              <w:top w:val="nil"/>
              <w:left w:val="nil"/>
              <w:bottom w:val="nil"/>
              <w:right w:val="nil"/>
            </w:tcBorders>
            <w:shd w:val="clear" w:color="auto" w:fill="auto"/>
            <w:noWrap/>
            <w:vAlign w:val="bottom"/>
            <w:hideMark/>
          </w:tcPr>
          <w:p w:rsidR="00AA5B54" w:rsidRPr="00464F12" w:rsidP="00924F2E" w14:paraId="20C378CA" w14:textId="77777777">
            <w:pPr>
              <w:rPr>
                <w:rFonts w:asciiTheme="minorHAnsi" w:hAnsiTheme="minorHAnsi" w:cstheme="minorHAnsi"/>
                <w:iCs/>
                <w:szCs w:val="24"/>
              </w:rPr>
            </w:pPr>
          </w:p>
        </w:tc>
        <w:tc>
          <w:tcPr>
            <w:tcW w:w="795" w:type="dxa"/>
            <w:gridSpan w:val="4"/>
            <w:tcBorders>
              <w:top w:val="nil"/>
              <w:left w:val="nil"/>
              <w:bottom w:val="nil"/>
              <w:right w:val="nil"/>
            </w:tcBorders>
            <w:shd w:val="clear" w:color="auto" w:fill="auto"/>
            <w:noWrap/>
            <w:vAlign w:val="bottom"/>
            <w:hideMark/>
          </w:tcPr>
          <w:p w:rsidR="00AA5B54" w:rsidRPr="00464F12" w:rsidP="00924F2E" w14:paraId="05FDA29F" w14:textId="77777777">
            <w:pPr>
              <w:rPr>
                <w:rFonts w:asciiTheme="minorHAnsi" w:hAnsiTheme="minorHAnsi" w:cstheme="minorHAnsi"/>
                <w:iCs/>
                <w:szCs w:val="24"/>
              </w:rPr>
            </w:pPr>
          </w:p>
        </w:tc>
      </w:tr>
      <w:tr w14:paraId="4405C2AF" w14:textId="77777777" w:rsidTr="00464F12">
        <w:tblPrEx>
          <w:tblW w:w="9078" w:type="dxa"/>
          <w:tblInd w:w="93" w:type="dxa"/>
          <w:tblLayout w:type="fixed"/>
          <w:tblLook w:val="04A0"/>
        </w:tblPrEx>
        <w:trPr>
          <w:trHeight w:val="255"/>
        </w:trPr>
        <w:tc>
          <w:tcPr>
            <w:tcW w:w="4316" w:type="dxa"/>
            <w:tcBorders>
              <w:top w:val="nil"/>
              <w:left w:val="nil"/>
              <w:bottom w:val="nil"/>
              <w:right w:val="nil"/>
            </w:tcBorders>
            <w:shd w:val="clear" w:color="auto" w:fill="auto"/>
            <w:noWrap/>
            <w:vAlign w:val="bottom"/>
            <w:hideMark/>
          </w:tcPr>
          <w:p w:rsidR="00AA5B54" w:rsidRPr="00464F12" w:rsidP="00924F2E" w14:paraId="3531BDB2" w14:textId="77777777">
            <w:pPr>
              <w:rPr>
                <w:rFonts w:asciiTheme="minorHAnsi" w:hAnsiTheme="minorHAnsi" w:cstheme="minorHAnsi"/>
                <w:b/>
                <w:bCs/>
                <w:iCs/>
                <w:szCs w:val="24"/>
              </w:rPr>
            </w:pPr>
            <w:r w:rsidRPr="00464F12">
              <w:rPr>
                <w:rFonts w:asciiTheme="minorHAnsi" w:hAnsiTheme="minorHAnsi" w:cstheme="minorHAnsi"/>
                <w:b/>
                <w:bCs/>
                <w:iCs/>
                <w:szCs w:val="24"/>
              </w:rPr>
              <w:t xml:space="preserve">   Not-for profits</w:t>
            </w:r>
          </w:p>
        </w:tc>
        <w:tc>
          <w:tcPr>
            <w:tcW w:w="2242" w:type="dxa"/>
            <w:gridSpan w:val="5"/>
            <w:tcBorders>
              <w:top w:val="nil"/>
              <w:left w:val="nil"/>
              <w:bottom w:val="nil"/>
              <w:right w:val="nil"/>
            </w:tcBorders>
            <w:shd w:val="clear" w:color="auto" w:fill="auto"/>
            <w:noWrap/>
            <w:vAlign w:val="bottom"/>
            <w:hideMark/>
          </w:tcPr>
          <w:p w:rsidR="00AA5B54" w:rsidRPr="00464F12" w:rsidP="00924F2E" w14:paraId="5047301A" w14:textId="77777777">
            <w:pPr>
              <w:rPr>
                <w:rFonts w:asciiTheme="minorHAnsi" w:hAnsiTheme="minorHAnsi" w:cstheme="minorHAnsi"/>
                <w:iCs/>
                <w:szCs w:val="24"/>
              </w:rPr>
            </w:pPr>
          </w:p>
        </w:tc>
        <w:tc>
          <w:tcPr>
            <w:tcW w:w="439" w:type="dxa"/>
            <w:gridSpan w:val="3"/>
            <w:tcBorders>
              <w:top w:val="nil"/>
              <w:left w:val="nil"/>
              <w:bottom w:val="nil"/>
              <w:right w:val="nil"/>
            </w:tcBorders>
            <w:shd w:val="clear" w:color="auto" w:fill="auto"/>
            <w:noWrap/>
            <w:vAlign w:val="bottom"/>
            <w:hideMark/>
          </w:tcPr>
          <w:p w:rsidR="00AA5B54" w:rsidRPr="00464F12" w:rsidP="00924F2E" w14:paraId="560D3880" w14:textId="77777777">
            <w:pPr>
              <w:rPr>
                <w:rFonts w:asciiTheme="minorHAnsi" w:hAnsiTheme="minorHAnsi" w:cstheme="minorHAnsi"/>
                <w:iCs/>
                <w:szCs w:val="24"/>
              </w:rPr>
            </w:pPr>
          </w:p>
        </w:tc>
        <w:tc>
          <w:tcPr>
            <w:tcW w:w="746" w:type="dxa"/>
            <w:gridSpan w:val="5"/>
            <w:tcBorders>
              <w:top w:val="nil"/>
              <w:left w:val="nil"/>
              <w:bottom w:val="nil"/>
              <w:right w:val="nil"/>
            </w:tcBorders>
            <w:shd w:val="clear" w:color="auto" w:fill="auto"/>
            <w:noWrap/>
            <w:vAlign w:val="bottom"/>
            <w:hideMark/>
          </w:tcPr>
          <w:p w:rsidR="00AA5B54" w:rsidRPr="00464F12" w:rsidP="00924F2E" w14:paraId="543D6549" w14:textId="77777777">
            <w:pPr>
              <w:rPr>
                <w:rFonts w:asciiTheme="minorHAnsi" w:hAnsiTheme="minorHAnsi" w:cstheme="minorHAnsi"/>
                <w:iCs/>
                <w:szCs w:val="24"/>
              </w:rPr>
            </w:pPr>
          </w:p>
        </w:tc>
        <w:tc>
          <w:tcPr>
            <w:tcW w:w="540" w:type="dxa"/>
            <w:gridSpan w:val="4"/>
            <w:tcBorders>
              <w:top w:val="nil"/>
              <w:left w:val="nil"/>
              <w:bottom w:val="nil"/>
              <w:right w:val="nil"/>
            </w:tcBorders>
            <w:shd w:val="clear" w:color="auto" w:fill="auto"/>
            <w:noWrap/>
            <w:vAlign w:val="bottom"/>
            <w:hideMark/>
          </w:tcPr>
          <w:p w:rsidR="00AA5B54" w:rsidRPr="00464F12" w:rsidP="00924F2E" w14:paraId="526372BE" w14:textId="77777777">
            <w:pPr>
              <w:rPr>
                <w:rFonts w:asciiTheme="minorHAnsi" w:hAnsiTheme="minorHAnsi" w:cstheme="minorHAnsi"/>
                <w:iCs/>
                <w:szCs w:val="24"/>
              </w:rPr>
            </w:pPr>
          </w:p>
        </w:tc>
        <w:tc>
          <w:tcPr>
            <w:tcW w:w="795" w:type="dxa"/>
            <w:gridSpan w:val="4"/>
            <w:tcBorders>
              <w:top w:val="nil"/>
              <w:left w:val="nil"/>
              <w:bottom w:val="nil"/>
              <w:right w:val="nil"/>
            </w:tcBorders>
            <w:shd w:val="clear" w:color="auto" w:fill="auto"/>
            <w:noWrap/>
            <w:vAlign w:val="bottom"/>
            <w:hideMark/>
          </w:tcPr>
          <w:p w:rsidR="00AA5B54" w:rsidRPr="00464F12" w:rsidP="00924F2E" w14:paraId="4C35B8F7" w14:textId="77777777">
            <w:pPr>
              <w:rPr>
                <w:rFonts w:asciiTheme="minorHAnsi" w:hAnsiTheme="minorHAnsi" w:cstheme="minorHAnsi"/>
                <w:iCs/>
                <w:szCs w:val="24"/>
              </w:rPr>
            </w:pPr>
          </w:p>
        </w:tc>
      </w:tr>
      <w:tr w14:paraId="2C2755EE" w14:textId="77777777" w:rsidTr="00464F12">
        <w:tblPrEx>
          <w:tblW w:w="9078" w:type="dxa"/>
          <w:tblInd w:w="93" w:type="dxa"/>
          <w:tblLayout w:type="fixed"/>
          <w:tblLook w:val="04A0"/>
        </w:tblPrEx>
        <w:trPr>
          <w:trHeight w:val="765"/>
        </w:trPr>
        <w:tc>
          <w:tcPr>
            <w:tcW w:w="4316" w:type="dxa"/>
            <w:tcBorders>
              <w:top w:val="nil"/>
              <w:left w:val="nil"/>
              <w:bottom w:val="nil"/>
              <w:right w:val="nil"/>
            </w:tcBorders>
            <w:shd w:val="clear" w:color="auto" w:fill="auto"/>
            <w:vAlign w:val="bottom"/>
            <w:hideMark/>
          </w:tcPr>
          <w:p w:rsidR="00AA5B54" w:rsidRPr="00464F12" w:rsidP="00924F2E" w14:paraId="2C0A7D15" w14:textId="4530A939">
            <w:pPr>
              <w:rPr>
                <w:rFonts w:asciiTheme="minorHAnsi" w:hAnsiTheme="minorHAnsi" w:cstheme="minorHAnsi"/>
                <w:iCs/>
                <w:szCs w:val="24"/>
              </w:rPr>
            </w:pPr>
            <w:r w:rsidRPr="00464F12">
              <w:rPr>
                <w:rFonts w:asciiTheme="minorHAnsi" w:hAnsiTheme="minorHAnsi" w:cstheme="minorHAnsi"/>
                <w:iCs/>
                <w:szCs w:val="24"/>
              </w:rPr>
              <w:t>Not-for-profit institutions - reporting to NSLDS - institution uses enrollment servicer</w:t>
            </w:r>
          </w:p>
        </w:tc>
        <w:tc>
          <w:tcPr>
            <w:tcW w:w="1351" w:type="dxa"/>
            <w:gridSpan w:val="3"/>
            <w:tcBorders>
              <w:top w:val="nil"/>
              <w:left w:val="nil"/>
              <w:bottom w:val="nil"/>
              <w:right w:val="nil"/>
            </w:tcBorders>
            <w:shd w:val="clear" w:color="auto" w:fill="auto"/>
            <w:vAlign w:val="bottom"/>
            <w:hideMark/>
          </w:tcPr>
          <w:p w:rsidR="00AA5B54" w:rsidRPr="00464F12" w:rsidP="00924F2E" w14:paraId="296D4960" w14:textId="77777777">
            <w:pPr>
              <w:rPr>
                <w:rFonts w:asciiTheme="minorHAnsi" w:hAnsiTheme="minorHAnsi" w:cstheme="minorHAnsi"/>
                <w:iCs/>
                <w:szCs w:val="24"/>
              </w:rPr>
            </w:pPr>
            <w:r w:rsidRPr="00464F12">
              <w:rPr>
                <w:rFonts w:asciiTheme="minorHAnsi" w:hAnsiTheme="minorHAnsi" w:cstheme="minorHAnsi"/>
                <w:iCs/>
                <w:szCs w:val="24"/>
              </w:rPr>
              <w:t>34 CFR 685.309(b)</w:t>
            </w:r>
          </w:p>
        </w:tc>
        <w:tc>
          <w:tcPr>
            <w:tcW w:w="900" w:type="dxa"/>
            <w:gridSpan w:val="3"/>
            <w:tcBorders>
              <w:top w:val="nil"/>
              <w:left w:val="nil"/>
              <w:bottom w:val="nil"/>
              <w:right w:val="nil"/>
            </w:tcBorders>
            <w:shd w:val="clear" w:color="auto" w:fill="auto"/>
            <w:vAlign w:val="bottom"/>
            <w:hideMark/>
          </w:tcPr>
          <w:p w:rsidR="00AA5B54" w:rsidRPr="00464F12" w:rsidP="00924F2E" w14:paraId="60A4AAEF" w14:textId="77777777">
            <w:pPr>
              <w:jc w:val="right"/>
              <w:rPr>
                <w:rFonts w:asciiTheme="minorHAnsi" w:hAnsiTheme="minorHAnsi" w:cstheme="minorHAnsi"/>
                <w:iCs/>
                <w:szCs w:val="24"/>
              </w:rPr>
            </w:pPr>
            <w:r w:rsidRPr="00464F12">
              <w:rPr>
                <w:rFonts w:asciiTheme="minorHAnsi" w:hAnsiTheme="minorHAnsi" w:cstheme="minorHAnsi"/>
                <w:iCs/>
                <w:szCs w:val="24"/>
              </w:rPr>
              <w:t>1,378</w:t>
            </w:r>
          </w:p>
        </w:tc>
        <w:tc>
          <w:tcPr>
            <w:tcW w:w="910" w:type="dxa"/>
            <w:gridSpan w:val="5"/>
            <w:tcBorders>
              <w:top w:val="nil"/>
              <w:left w:val="nil"/>
              <w:bottom w:val="nil"/>
              <w:right w:val="nil"/>
            </w:tcBorders>
            <w:shd w:val="clear" w:color="auto" w:fill="auto"/>
            <w:vAlign w:val="bottom"/>
            <w:hideMark/>
          </w:tcPr>
          <w:p w:rsidR="00AA5B54" w:rsidRPr="00464F12" w:rsidP="00924F2E" w14:paraId="283E8278" w14:textId="77777777">
            <w:pPr>
              <w:jc w:val="right"/>
              <w:rPr>
                <w:rFonts w:asciiTheme="minorHAnsi" w:hAnsiTheme="minorHAnsi" w:cstheme="minorHAnsi"/>
                <w:iCs/>
                <w:szCs w:val="24"/>
              </w:rPr>
            </w:pPr>
            <w:r w:rsidRPr="00464F12">
              <w:rPr>
                <w:rFonts w:asciiTheme="minorHAnsi" w:hAnsiTheme="minorHAnsi" w:cstheme="minorHAnsi"/>
                <w:iCs/>
                <w:szCs w:val="24"/>
              </w:rPr>
              <w:t>8,268</w:t>
            </w:r>
          </w:p>
        </w:tc>
        <w:tc>
          <w:tcPr>
            <w:tcW w:w="707" w:type="dxa"/>
            <w:gridSpan w:val="5"/>
            <w:tcBorders>
              <w:top w:val="nil"/>
              <w:left w:val="nil"/>
              <w:bottom w:val="nil"/>
              <w:right w:val="nil"/>
            </w:tcBorders>
            <w:shd w:val="clear" w:color="auto" w:fill="auto"/>
            <w:vAlign w:val="bottom"/>
            <w:hideMark/>
          </w:tcPr>
          <w:p w:rsidR="00AA5B54" w:rsidRPr="00464F12" w:rsidP="00924F2E" w14:paraId="012001CD" w14:textId="77777777">
            <w:pPr>
              <w:jc w:val="right"/>
              <w:rPr>
                <w:rFonts w:asciiTheme="minorHAnsi" w:hAnsiTheme="minorHAnsi" w:cstheme="minorHAnsi"/>
                <w:iCs/>
                <w:szCs w:val="24"/>
              </w:rPr>
            </w:pPr>
            <w:r w:rsidRPr="00464F12">
              <w:rPr>
                <w:rFonts w:asciiTheme="minorHAnsi" w:hAnsiTheme="minorHAnsi" w:cstheme="minorHAnsi"/>
                <w:iCs/>
                <w:szCs w:val="24"/>
              </w:rPr>
              <w:t>0.25</w:t>
            </w:r>
          </w:p>
        </w:tc>
        <w:tc>
          <w:tcPr>
            <w:tcW w:w="891" w:type="dxa"/>
            <w:gridSpan w:val="5"/>
            <w:tcBorders>
              <w:top w:val="nil"/>
              <w:left w:val="nil"/>
              <w:bottom w:val="nil"/>
              <w:right w:val="nil"/>
            </w:tcBorders>
            <w:shd w:val="clear" w:color="auto" w:fill="auto"/>
            <w:vAlign w:val="bottom"/>
            <w:hideMark/>
          </w:tcPr>
          <w:p w:rsidR="00AA5B54" w:rsidRPr="00464F12" w:rsidP="00924F2E" w14:paraId="43F1BE89" w14:textId="77777777">
            <w:pPr>
              <w:jc w:val="right"/>
              <w:rPr>
                <w:rFonts w:asciiTheme="minorHAnsi" w:hAnsiTheme="minorHAnsi" w:cstheme="minorHAnsi"/>
                <w:iCs/>
                <w:szCs w:val="24"/>
              </w:rPr>
            </w:pPr>
            <w:r w:rsidRPr="00464F12">
              <w:rPr>
                <w:rFonts w:asciiTheme="minorHAnsi" w:hAnsiTheme="minorHAnsi" w:cstheme="minorHAnsi"/>
                <w:iCs/>
                <w:szCs w:val="24"/>
              </w:rPr>
              <w:t>2,067</w:t>
            </w:r>
          </w:p>
        </w:tc>
      </w:tr>
      <w:tr w14:paraId="5659EDB8" w14:textId="77777777" w:rsidTr="00464F12">
        <w:tblPrEx>
          <w:tblW w:w="9078" w:type="dxa"/>
          <w:tblInd w:w="93" w:type="dxa"/>
          <w:tblLayout w:type="fixed"/>
          <w:tblLook w:val="04A0"/>
        </w:tblPrEx>
        <w:trPr>
          <w:trHeight w:val="765"/>
        </w:trPr>
        <w:tc>
          <w:tcPr>
            <w:tcW w:w="4316" w:type="dxa"/>
            <w:tcBorders>
              <w:top w:val="nil"/>
              <w:left w:val="nil"/>
              <w:bottom w:val="nil"/>
              <w:right w:val="nil"/>
            </w:tcBorders>
            <w:shd w:val="clear" w:color="auto" w:fill="auto"/>
            <w:vAlign w:val="bottom"/>
            <w:hideMark/>
          </w:tcPr>
          <w:p w:rsidR="00AA5B54" w:rsidRPr="00464F12" w:rsidP="00924F2E" w14:paraId="7C184753" w14:textId="76D8D4A2">
            <w:pPr>
              <w:rPr>
                <w:rFonts w:asciiTheme="minorHAnsi" w:hAnsiTheme="minorHAnsi" w:cstheme="minorHAnsi"/>
                <w:iCs/>
                <w:szCs w:val="24"/>
              </w:rPr>
            </w:pPr>
            <w:r w:rsidRPr="00464F12">
              <w:rPr>
                <w:rFonts w:asciiTheme="minorHAnsi" w:hAnsiTheme="minorHAnsi" w:cstheme="minorHAnsi"/>
                <w:iCs/>
                <w:szCs w:val="24"/>
              </w:rPr>
              <w:t>Not-for-profit institutions - reporting to NSLDS - institution does not use enrollment servicer</w:t>
            </w:r>
          </w:p>
        </w:tc>
        <w:tc>
          <w:tcPr>
            <w:tcW w:w="1351" w:type="dxa"/>
            <w:gridSpan w:val="3"/>
            <w:tcBorders>
              <w:top w:val="nil"/>
              <w:left w:val="nil"/>
              <w:bottom w:val="nil"/>
              <w:right w:val="nil"/>
            </w:tcBorders>
            <w:shd w:val="clear" w:color="auto" w:fill="auto"/>
            <w:vAlign w:val="bottom"/>
            <w:hideMark/>
          </w:tcPr>
          <w:p w:rsidR="00AA5B54" w:rsidRPr="00464F12" w:rsidP="00924F2E" w14:paraId="4A754060" w14:textId="77777777">
            <w:pPr>
              <w:rPr>
                <w:rFonts w:asciiTheme="minorHAnsi" w:hAnsiTheme="minorHAnsi" w:cstheme="minorHAnsi"/>
                <w:iCs/>
                <w:szCs w:val="24"/>
              </w:rPr>
            </w:pPr>
            <w:r w:rsidRPr="00464F12">
              <w:rPr>
                <w:rFonts w:asciiTheme="minorHAnsi" w:hAnsiTheme="minorHAnsi" w:cstheme="minorHAnsi"/>
                <w:iCs/>
                <w:szCs w:val="24"/>
              </w:rPr>
              <w:t>34 CFR 685.309(b)</w:t>
            </w:r>
          </w:p>
        </w:tc>
        <w:tc>
          <w:tcPr>
            <w:tcW w:w="900" w:type="dxa"/>
            <w:gridSpan w:val="3"/>
            <w:tcBorders>
              <w:top w:val="nil"/>
              <w:left w:val="nil"/>
              <w:bottom w:val="nil"/>
              <w:right w:val="nil"/>
            </w:tcBorders>
            <w:shd w:val="clear" w:color="auto" w:fill="auto"/>
            <w:vAlign w:val="bottom"/>
            <w:hideMark/>
          </w:tcPr>
          <w:p w:rsidR="00AA5B54" w:rsidRPr="00464F12" w:rsidP="00924F2E" w14:paraId="0F337B38" w14:textId="77777777">
            <w:pPr>
              <w:jc w:val="right"/>
              <w:rPr>
                <w:rFonts w:asciiTheme="minorHAnsi" w:hAnsiTheme="minorHAnsi" w:cstheme="minorHAnsi"/>
                <w:iCs/>
                <w:szCs w:val="24"/>
              </w:rPr>
            </w:pPr>
            <w:r w:rsidRPr="00464F12">
              <w:rPr>
                <w:rFonts w:asciiTheme="minorHAnsi" w:hAnsiTheme="minorHAnsi" w:cstheme="minorHAnsi"/>
                <w:iCs/>
                <w:szCs w:val="24"/>
              </w:rPr>
              <w:t>411</w:t>
            </w:r>
          </w:p>
        </w:tc>
        <w:tc>
          <w:tcPr>
            <w:tcW w:w="910" w:type="dxa"/>
            <w:gridSpan w:val="5"/>
            <w:tcBorders>
              <w:top w:val="nil"/>
              <w:left w:val="nil"/>
              <w:bottom w:val="nil"/>
              <w:right w:val="nil"/>
            </w:tcBorders>
            <w:shd w:val="clear" w:color="auto" w:fill="auto"/>
            <w:vAlign w:val="bottom"/>
            <w:hideMark/>
          </w:tcPr>
          <w:p w:rsidR="00AA5B54" w:rsidRPr="00464F12" w:rsidP="00924F2E" w14:paraId="450ACCBD" w14:textId="77777777">
            <w:pPr>
              <w:jc w:val="right"/>
              <w:rPr>
                <w:rFonts w:asciiTheme="minorHAnsi" w:hAnsiTheme="minorHAnsi" w:cstheme="minorHAnsi"/>
                <w:iCs/>
                <w:szCs w:val="24"/>
              </w:rPr>
            </w:pPr>
            <w:r w:rsidRPr="00464F12">
              <w:rPr>
                <w:rFonts w:asciiTheme="minorHAnsi" w:hAnsiTheme="minorHAnsi" w:cstheme="minorHAnsi"/>
                <w:iCs/>
                <w:szCs w:val="24"/>
              </w:rPr>
              <w:t>2,466</w:t>
            </w:r>
          </w:p>
        </w:tc>
        <w:tc>
          <w:tcPr>
            <w:tcW w:w="707" w:type="dxa"/>
            <w:gridSpan w:val="5"/>
            <w:tcBorders>
              <w:top w:val="nil"/>
              <w:left w:val="nil"/>
              <w:bottom w:val="nil"/>
              <w:right w:val="nil"/>
            </w:tcBorders>
            <w:shd w:val="clear" w:color="auto" w:fill="auto"/>
            <w:vAlign w:val="bottom"/>
            <w:hideMark/>
          </w:tcPr>
          <w:p w:rsidR="00AA5B54" w:rsidRPr="00464F12" w:rsidP="00924F2E" w14:paraId="4A5D4DBE" w14:textId="77777777">
            <w:pPr>
              <w:jc w:val="right"/>
              <w:rPr>
                <w:rFonts w:asciiTheme="minorHAnsi" w:hAnsiTheme="minorHAnsi" w:cstheme="minorHAnsi"/>
                <w:iCs/>
                <w:szCs w:val="24"/>
              </w:rPr>
            </w:pPr>
            <w:r w:rsidRPr="00464F12">
              <w:rPr>
                <w:rFonts w:asciiTheme="minorHAnsi" w:hAnsiTheme="minorHAnsi" w:cstheme="minorHAnsi"/>
                <w:iCs/>
                <w:szCs w:val="24"/>
              </w:rPr>
              <w:t>0.50</w:t>
            </w:r>
          </w:p>
        </w:tc>
        <w:tc>
          <w:tcPr>
            <w:tcW w:w="891" w:type="dxa"/>
            <w:gridSpan w:val="5"/>
            <w:tcBorders>
              <w:top w:val="nil"/>
              <w:left w:val="nil"/>
              <w:bottom w:val="nil"/>
              <w:right w:val="nil"/>
            </w:tcBorders>
            <w:shd w:val="clear" w:color="auto" w:fill="auto"/>
            <w:vAlign w:val="bottom"/>
            <w:hideMark/>
          </w:tcPr>
          <w:p w:rsidR="00AA5B54" w:rsidRPr="00464F12" w:rsidP="00924F2E" w14:paraId="787C5F1E" w14:textId="77777777">
            <w:pPr>
              <w:jc w:val="right"/>
              <w:rPr>
                <w:rFonts w:asciiTheme="minorHAnsi" w:hAnsiTheme="minorHAnsi" w:cstheme="minorHAnsi"/>
                <w:iCs/>
                <w:szCs w:val="24"/>
              </w:rPr>
            </w:pPr>
            <w:r w:rsidRPr="00464F12">
              <w:rPr>
                <w:rFonts w:asciiTheme="minorHAnsi" w:hAnsiTheme="minorHAnsi" w:cstheme="minorHAnsi"/>
                <w:iCs/>
                <w:szCs w:val="24"/>
              </w:rPr>
              <w:t>1,233</w:t>
            </w:r>
          </w:p>
        </w:tc>
      </w:tr>
      <w:tr w14:paraId="2AB1B4D0" w14:textId="77777777" w:rsidTr="00464F12">
        <w:tblPrEx>
          <w:tblW w:w="9078" w:type="dxa"/>
          <w:tblInd w:w="93" w:type="dxa"/>
          <w:tblLayout w:type="fixed"/>
          <w:tblLook w:val="04A0"/>
        </w:tblPrEx>
        <w:trPr>
          <w:trHeight w:val="255"/>
        </w:trPr>
        <w:tc>
          <w:tcPr>
            <w:tcW w:w="4316" w:type="dxa"/>
            <w:tcBorders>
              <w:top w:val="nil"/>
              <w:left w:val="nil"/>
              <w:bottom w:val="nil"/>
              <w:right w:val="nil"/>
            </w:tcBorders>
            <w:shd w:val="clear" w:color="auto" w:fill="auto"/>
            <w:vAlign w:val="bottom"/>
            <w:hideMark/>
          </w:tcPr>
          <w:p w:rsidR="00AA5B54" w:rsidRPr="00464F12" w:rsidP="00924F2E" w14:paraId="5301945E" w14:textId="77777777">
            <w:pPr>
              <w:rPr>
                <w:rFonts w:asciiTheme="minorHAnsi" w:hAnsiTheme="minorHAnsi" w:cstheme="minorHAnsi"/>
                <w:iCs/>
                <w:szCs w:val="24"/>
              </w:rPr>
            </w:pPr>
            <w:r w:rsidRPr="00464F12">
              <w:rPr>
                <w:rFonts w:asciiTheme="minorHAnsi" w:hAnsiTheme="minorHAnsi" w:cstheme="minorHAnsi"/>
                <w:iCs/>
                <w:szCs w:val="24"/>
              </w:rPr>
              <w:t xml:space="preserve">   </w:t>
            </w:r>
            <w:r w:rsidRPr="00464F12">
              <w:rPr>
                <w:rFonts w:asciiTheme="minorHAnsi" w:hAnsiTheme="minorHAnsi" w:cstheme="minorHAnsi"/>
                <w:b/>
                <w:bCs/>
                <w:iCs/>
                <w:szCs w:val="24"/>
              </w:rPr>
              <w:t>Business or other for-profits</w:t>
            </w:r>
          </w:p>
        </w:tc>
        <w:tc>
          <w:tcPr>
            <w:tcW w:w="2242" w:type="dxa"/>
            <w:gridSpan w:val="5"/>
            <w:tcBorders>
              <w:top w:val="nil"/>
              <w:left w:val="nil"/>
              <w:bottom w:val="nil"/>
              <w:right w:val="nil"/>
            </w:tcBorders>
            <w:shd w:val="clear" w:color="auto" w:fill="auto"/>
            <w:noWrap/>
            <w:vAlign w:val="bottom"/>
            <w:hideMark/>
          </w:tcPr>
          <w:p w:rsidR="00AA5B54" w:rsidRPr="00464F12" w:rsidP="00464F12" w14:paraId="7EA5C2E5" w14:textId="77777777">
            <w:pPr>
              <w:tabs>
                <w:tab w:val="left" w:pos="880"/>
              </w:tabs>
              <w:ind w:right="-112"/>
              <w:rPr>
                <w:rFonts w:asciiTheme="minorHAnsi" w:hAnsiTheme="minorHAnsi" w:cstheme="minorHAnsi"/>
                <w:iCs/>
                <w:szCs w:val="24"/>
              </w:rPr>
            </w:pPr>
          </w:p>
        </w:tc>
        <w:tc>
          <w:tcPr>
            <w:tcW w:w="439" w:type="dxa"/>
            <w:gridSpan w:val="3"/>
            <w:tcBorders>
              <w:top w:val="nil"/>
              <w:left w:val="nil"/>
              <w:bottom w:val="nil"/>
              <w:right w:val="nil"/>
            </w:tcBorders>
            <w:shd w:val="clear" w:color="auto" w:fill="auto"/>
            <w:noWrap/>
            <w:vAlign w:val="bottom"/>
            <w:hideMark/>
          </w:tcPr>
          <w:p w:rsidR="00AA5B54" w:rsidRPr="00464F12" w:rsidP="00924F2E" w14:paraId="3832C8D9" w14:textId="77777777">
            <w:pPr>
              <w:rPr>
                <w:rFonts w:asciiTheme="minorHAnsi" w:hAnsiTheme="minorHAnsi" w:cstheme="minorHAnsi"/>
                <w:iCs/>
                <w:szCs w:val="24"/>
              </w:rPr>
            </w:pPr>
          </w:p>
        </w:tc>
        <w:tc>
          <w:tcPr>
            <w:tcW w:w="746" w:type="dxa"/>
            <w:gridSpan w:val="5"/>
            <w:tcBorders>
              <w:top w:val="nil"/>
              <w:left w:val="nil"/>
              <w:bottom w:val="nil"/>
              <w:right w:val="nil"/>
            </w:tcBorders>
            <w:shd w:val="clear" w:color="auto" w:fill="auto"/>
            <w:noWrap/>
            <w:vAlign w:val="bottom"/>
            <w:hideMark/>
          </w:tcPr>
          <w:p w:rsidR="00AA5B54" w:rsidRPr="00464F12" w:rsidP="00924F2E" w14:paraId="0F4FF7D7" w14:textId="77777777">
            <w:pPr>
              <w:rPr>
                <w:rFonts w:asciiTheme="minorHAnsi" w:hAnsiTheme="minorHAnsi" w:cstheme="minorHAnsi"/>
                <w:iCs/>
                <w:szCs w:val="24"/>
              </w:rPr>
            </w:pPr>
          </w:p>
        </w:tc>
        <w:tc>
          <w:tcPr>
            <w:tcW w:w="540" w:type="dxa"/>
            <w:gridSpan w:val="4"/>
            <w:tcBorders>
              <w:top w:val="nil"/>
              <w:left w:val="nil"/>
              <w:bottom w:val="nil"/>
              <w:right w:val="nil"/>
            </w:tcBorders>
            <w:shd w:val="clear" w:color="auto" w:fill="auto"/>
            <w:noWrap/>
            <w:vAlign w:val="bottom"/>
            <w:hideMark/>
          </w:tcPr>
          <w:p w:rsidR="00AA5B54" w:rsidRPr="00464F12" w:rsidP="00924F2E" w14:paraId="09E39FC4" w14:textId="77777777">
            <w:pPr>
              <w:rPr>
                <w:rFonts w:asciiTheme="minorHAnsi" w:hAnsiTheme="minorHAnsi" w:cstheme="minorHAnsi"/>
                <w:iCs/>
                <w:szCs w:val="24"/>
              </w:rPr>
            </w:pPr>
          </w:p>
        </w:tc>
        <w:tc>
          <w:tcPr>
            <w:tcW w:w="795" w:type="dxa"/>
            <w:gridSpan w:val="4"/>
            <w:tcBorders>
              <w:top w:val="nil"/>
              <w:left w:val="nil"/>
              <w:bottom w:val="nil"/>
              <w:right w:val="nil"/>
            </w:tcBorders>
            <w:shd w:val="clear" w:color="auto" w:fill="auto"/>
            <w:noWrap/>
            <w:vAlign w:val="bottom"/>
            <w:hideMark/>
          </w:tcPr>
          <w:p w:rsidR="00AA5B54" w:rsidRPr="00464F12" w:rsidP="00924F2E" w14:paraId="7C74DF91" w14:textId="77777777">
            <w:pPr>
              <w:rPr>
                <w:rFonts w:asciiTheme="minorHAnsi" w:hAnsiTheme="minorHAnsi" w:cstheme="minorHAnsi"/>
                <w:iCs/>
                <w:szCs w:val="24"/>
              </w:rPr>
            </w:pPr>
          </w:p>
        </w:tc>
      </w:tr>
      <w:tr w14:paraId="369FA337" w14:textId="77777777" w:rsidTr="00464F12">
        <w:tblPrEx>
          <w:tblW w:w="9078" w:type="dxa"/>
          <w:tblInd w:w="93" w:type="dxa"/>
          <w:tblLayout w:type="fixed"/>
          <w:tblLook w:val="04A0"/>
        </w:tblPrEx>
        <w:trPr>
          <w:trHeight w:val="255"/>
        </w:trPr>
        <w:tc>
          <w:tcPr>
            <w:tcW w:w="4316" w:type="dxa"/>
            <w:tcBorders>
              <w:top w:val="nil"/>
              <w:left w:val="nil"/>
              <w:bottom w:val="nil"/>
              <w:right w:val="nil"/>
            </w:tcBorders>
            <w:shd w:val="clear" w:color="auto" w:fill="auto"/>
            <w:noWrap/>
            <w:vAlign w:val="bottom"/>
          </w:tcPr>
          <w:p w:rsidR="00AA5B54" w:rsidRPr="00464F12" w:rsidP="00924F2E" w14:paraId="7E726234" w14:textId="77623E63">
            <w:pPr>
              <w:rPr>
                <w:rFonts w:asciiTheme="minorHAnsi" w:hAnsiTheme="minorHAnsi" w:cstheme="minorHAnsi"/>
                <w:b/>
                <w:bCs/>
                <w:iCs/>
                <w:szCs w:val="24"/>
              </w:rPr>
            </w:pPr>
            <w:r w:rsidRPr="00464F12">
              <w:rPr>
                <w:rFonts w:asciiTheme="minorHAnsi" w:hAnsiTheme="minorHAnsi" w:cstheme="minorHAnsi"/>
                <w:iCs/>
                <w:szCs w:val="24"/>
              </w:rPr>
              <w:t>Proprietary institutions - reporting to NSLDS - institution uses enrollment servicer</w:t>
            </w:r>
          </w:p>
        </w:tc>
        <w:tc>
          <w:tcPr>
            <w:tcW w:w="1351" w:type="dxa"/>
            <w:gridSpan w:val="3"/>
            <w:tcBorders>
              <w:top w:val="nil"/>
              <w:left w:val="nil"/>
              <w:bottom w:val="nil"/>
              <w:right w:val="nil"/>
            </w:tcBorders>
            <w:shd w:val="clear" w:color="auto" w:fill="auto"/>
            <w:noWrap/>
            <w:vAlign w:val="bottom"/>
          </w:tcPr>
          <w:p w:rsidR="00AA5B54" w:rsidRPr="00464F12" w:rsidP="00924F2E" w14:paraId="052E7282" w14:textId="77777777">
            <w:pPr>
              <w:rPr>
                <w:rFonts w:asciiTheme="minorHAnsi" w:hAnsiTheme="minorHAnsi" w:cstheme="minorHAnsi"/>
                <w:iCs/>
                <w:szCs w:val="24"/>
              </w:rPr>
            </w:pPr>
            <w:r w:rsidRPr="00464F12">
              <w:rPr>
                <w:rFonts w:asciiTheme="minorHAnsi" w:hAnsiTheme="minorHAnsi" w:cstheme="minorHAnsi"/>
                <w:iCs/>
                <w:szCs w:val="24"/>
              </w:rPr>
              <w:t>34 CFR 685.309(b)</w:t>
            </w:r>
          </w:p>
        </w:tc>
        <w:tc>
          <w:tcPr>
            <w:tcW w:w="900" w:type="dxa"/>
            <w:gridSpan w:val="3"/>
            <w:tcBorders>
              <w:top w:val="nil"/>
              <w:left w:val="nil"/>
              <w:bottom w:val="nil"/>
              <w:right w:val="nil"/>
            </w:tcBorders>
            <w:shd w:val="clear" w:color="auto" w:fill="auto"/>
            <w:noWrap/>
            <w:vAlign w:val="bottom"/>
          </w:tcPr>
          <w:p w:rsidR="00AA5B54" w:rsidRPr="00464F12" w:rsidP="00924F2E" w14:paraId="61EBA464" w14:textId="77777777">
            <w:pPr>
              <w:jc w:val="right"/>
              <w:rPr>
                <w:rFonts w:asciiTheme="minorHAnsi" w:hAnsiTheme="minorHAnsi" w:cstheme="minorHAnsi"/>
                <w:iCs/>
                <w:szCs w:val="24"/>
              </w:rPr>
            </w:pPr>
            <w:r w:rsidRPr="00464F12">
              <w:rPr>
                <w:rFonts w:asciiTheme="minorHAnsi" w:hAnsiTheme="minorHAnsi" w:cstheme="minorHAnsi"/>
                <w:iCs/>
                <w:szCs w:val="24"/>
              </w:rPr>
              <w:t>1,374</w:t>
            </w:r>
          </w:p>
        </w:tc>
        <w:tc>
          <w:tcPr>
            <w:tcW w:w="900" w:type="dxa"/>
            <w:gridSpan w:val="4"/>
            <w:tcBorders>
              <w:top w:val="nil"/>
              <w:left w:val="nil"/>
              <w:bottom w:val="nil"/>
              <w:right w:val="nil"/>
            </w:tcBorders>
            <w:shd w:val="clear" w:color="auto" w:fill="auto"/>
            <w:noWrap/>
            <w:vAlign w:val="bottom"/>
          </w:tcPr>
          <w:p w:rsidR="00AA5B54" w:rsidRPr="00464F12" w:rsidP="00924F2E" w14:paraId="280E6EE4" w14:textId="77777777">
            <w:pPr>
              <w:jc w:val="right"/>
              <w:rPr>
                <w:rFonts w:asciiTheme="minorHAnsi" w:hAnsiTheme="minorHAnsi" w:cstheme="minorHAnsi"/>
                <w:iCs/>
                <w:szCs w:val="24"/>
              </w:rPr>
            </w:pPr>
            <w:r w:rsidRPr="00464F12">
              <w:rPr>
                <w:rFonts w:asciiTheme="minorHAnsi" w:hAnsiTheme="minorHAnsi" w:cstheme="minorHAnsi"/>
                <w:iCs/>
                <w:szCs w:val="24"/>
              </w:rPr>
              <w:t xml:space="preserve">    8,244</w:t>
            </w:r>
          </w:p>
        </w:tc>
        <w:tc>
          <w:tcPr>
            <w:tcW w:w="707" w:type="dxa"/>
            <w:gridSpan w:val="5"/>
            <w:tcBorders>
              <w:top w:val="nil"/>
              <w:left w:val="nil"/>
              <w:bottom w:val="nil"/>
              <w:right w:val="nil"/>
            </w:tcBorders>
            <w:shd w:val="clear" w:color="auto" w:fill="auto"/>
            <w:noWrap/>
            <w:vAlign w:val="bottom"/>
          </w:tcPr>
          <w:p w:rsidR="00AA5B54" w:rsidRPr="00464F12" w:rsidP="00924F2E" w14:paraId="4CC0DD25" w14:textId="77777777">
            <w:pPr>
              <w:jc w:val="right"/>
              <w:rPr>
                <w:rFonts w:asciiTheme="minorHAnsi" w:hAnsiTheme="minorHAnsi" w:cstheme="minorHAnsi"/>
                <w:iCs/>
                <w:szCs w:val="24"/>
              </w:rPr>
            </w:pPr>
            <w:r w:rsidRPr="00464F12">
              <w:rPr>
                <w:rFonts w:asciiTheme="minorHAnsi" w:hAnsiTheme="minorHAnsi" w:cstheme="minorHAnsi"/>
                <w:iCs/>
                <w:szCs w:val="24"/>
              </w:rPr>
              <w:t>0.25</w:t>
            </w:r>
          </w:p>
        </w:tc>
        <w:tc>
          <w:tcPr>
            <w:tcW w:w="901" w:type="dxa"/>
            <w:gridSpan w:val="6"/>
            <w:tcBorders>
              <w:top w:val="nil"/>
              <w:left w:val="nil"/>
              <w:bottom w:val="nil"/>
              <w:right w:val="nil"/>
            </w:tcBorders>
            <w:shd w:val="clear" w:color="auto" w:fill="auto"/>
            <w:noWrap/>
            <w:vAlign w:val="bottom"/>
          </w:tcPr>
          <w:p w:rsidR="00AA5B54" w:rsidRPr="00464F12" w:rsidP="00924F2E" w14:paraId="1DF0B6C0" w14:textId="77777777">
            <w:pPr>
              <w:jc w:val="right"/>
              <w:rPr>
                <w:rFonts w:asciiTheme="minorHAnsi" w:hAnsiTheme="minorHAnsi" w:cstheme="minorHAnsi"/>
                <w:iCs/>
                <w:szCs w:val="24"/>
              </w:rPr>
            </w:pPr>
            <w:r w:rsidRPr="00464F12">
              <w:rPr>
                <w:rFonts w:asciiTheme="minorHAnsi" w:hAnsiTheme="minorHAnsi" w:cstheme="minorHAnsi"/>
                <w:iCs/>
                <w:szCs w:val="24"/>
              </w:rPr>
              <w:t>2,061</w:t>
            </w:r>
          </w:p>
        </w:tc>
      </w:tr>
      <w:tr w14:paraId="68F0AB25" w14:textId="77777777" w:rsidTr="00464F12">
        <w:tblPrEx>
          <w:tblW w:w="9078" w:type="dxa"/>
          <w:tblInd w:w="93" w:type="dxa"/>
          <w:tblLayout w:type="fixed"/>
          <w:tblLook w:val="04A0"/>
        </w:tblPrEx>
        <w:trPr>
          <w:trHeight w:val="510"/>
        </w:trPr>
        <w:tc>
          <w:tcPr>
            <w:tcW w:w="4316" w:type="dxa"/>
            <w:tcBorders>
              <w:top w:val="nil"/>
              <w:left w:val="nil"/>
              <w:bottom w:val="nil"/>
              <w:right w:val="nil"/>
            </w:tcBorders>
            <w:shd w:val="clear" w:color="auto" w:fill="auto"/>
            <w:vAlign w:val="bottom"/>
          </w:tcPr>
          <w:p w:rsidR="00AA5B54" w:rsidRPr="00464F12" w:rsidP="00924F2E" w14:paraId="2545490D" w14:textId="0F005FC4">
            <w:pPr>
              <w:rPr>
                <w:rFonts w:asciiTheme="minorHAnsi" w:hAnsiTheme="minorHAnsi" w:cstheme="minorHAnsi"/>
                <w:iCs/>
                <w:szCs w:val="24"/>
              </w:rPr>
            </w:pPr>
            <w:r w:rsidRPr="00464F12">
              <w:rPr>
                <w:rFonts w:asciiTheme="minorHAnsi" w:hAnsiTheme="minorHAnsi" w:cstheme="minorHAnsi"/>
                <w:iCs/>
                <w:szCs w:val="24"/>
              </w:rPr>
              <w:t>Proprietary institutions - reporting to NSLDS - institution does not use enrollment servicer</w:t>
            </w:r>
          </w:p>
        </w:tc>
        <w:tc>
          <w:tcPr>
            <w:tcW w:w="1351" w:type="dxa"/>
            <w:gridSpan w:val="3"/>
            <w:tcBorders>
              <w:top w:val="nil"/>
              <w:left w:val="nil"/>
              <w:bottom w:val="nil"/>
              <w:right w:val="nil"/>
            </w:tcBorders>
            <w:shd w:val="clear" w:color="auto" w:fill="auto"/>
            <w:vAlign w:val="bottom"/>
          </w:tcPr>
          <w:p w:rsidR="00AA5B54" w:rsidRPr="00464F12" w:rsidP="00924F2E" w14:paraId="6E1049EB" w14:textId="77777777">
            <w:pPr>
              <w:rPr>
                <w:rFonts w:asciiTheme="minorHAnsi" w:hAnsiTheme="minorHAnsi" w:cstheme="minorHAnsi"/>
                <w:iCs/>
                <w:szCs w:val="24"/>
              </w:rPr>
            </w:pPr>
            <w:r w:rsidRPr="00464F12">
              <w:rPr>
                <w:rFonts w:asciiTheme="minorHAnsi" w:hAnsiTheme="minorHAnsi" w:cstheme="minorHAnsi"/>
                <w:iCs/>
                <w:szCs w:val="24"/>
              </w:rPr>
              <w:t>34 CFR 685.309(b)</w:t>
            </w:r>
          </w:p>
        </w:tc>
        <w:tc>
          <w:tcPr>
            <w:tcW w:w="900" w:type="dxa"/>
            <w:gridSpan w:val="3"/>
            <w:tcBorders>
              <w:top w:val="nil"/>
              <w:left w:val="nil"/>
              <w:bottom w:val="nil"/>
              <w:right w:val="nil"/>
            </w:tcBorders>
            <w:shd w:val="clear" w:color="auto" w:fill="auto"/>
            <w:vAlign w:val="bottom"/>
          </w:tcPr>
          <w:p w:rsidR="00AA5B54" w:rsidRPr="00464F12" w:rsidP="00924F2E" w14:paraId="01F0A02E" w14:textId="77777777">
            <w:pPr>
              <w:jc w:val="right"/>
              <w:rPr>
                <w:rFonts w:asciiTheme="minorHAnsi" w:hAnsiTheme="minorHAnsi" w:cstheme="minorHAnsi"/>
                <w:iCs/>
                <w:szCs w:val="24"/>
              </w:rPr>
            </w:pPr>
            <w:r w:rsidRPr="00464F12">
              <w:rPr>
                <w:rFonts w:asciiTheme="minorHAnsi" w:hAnsiTheme="minorHAnsi" w:cstheme="minorHAnsi"/>
                <w:iCs/>
                <w:szCs w:val="24"/>
              </w:rPr>
              <w:t>411</w:t>
            </w:r>
          </w:p>
        </w:tc>
        <w:tc>
          <w:tcPr>
            <w:tcW w:w="900" w:type="dxa"/>
            <w:gridSpan w:val="4"/>
            <w:tcBorders>
              <w:top w:val="nil"/>
              <w:left w:val="nil"/>
              <w:bottom w:val="nil"/>
              <w:right w:val="nil"/>
            </w:tcBorders>
            <w:shd w:val="clear" w:color="auto" w:fill="auto"/>
            <w:vAlign w:val="bottom"/>
          </w:tcPr>
          <w:p w:rsidR="00AA5B54" w:rsidRPr="00464F12" w:rsidP="00924F2E" w14:paraId="073DB618" w14:textId="77777777">
            <w:pPr>
              <w:jc w:val="right"/>
              <w:rPr>
                <w:rFonts w:asciiTheme="minorHAnsi" w:hAnsiTheme="minorHAnsi" w:cstheme="minorHAnsi"/>
                <w:iCs/>
                <w:szCs w:val="24"/>
              </w:rPr>
            </w:pPr>
            <w:r w:rsidRPr="00464F12">
              <w:rPr>
                <w:rFonts w:asciiTheme="minorHAnsi" w:hAnsiTheme="minorHAnsi" w:cstheme="minorHAnsi"/>
                <w:iCs/>
                <w:szCs w:val="24"/>
              </w:rPr>
              <w:t>2,466</w:t>
            </w:r>
          </w:p>
        </w:tc>
        <w:tc>
          <w:tcPr>
            <w:tcW w:w="707" w:type="dxa"/>
            <w:gridSpan w:val="5"/>
            <w:tcBorders>
              <w:top w:val="nil"/>
              <w:left w:val="nil"/>
              <w:bottom w:val="nil"/>
              <w:right w:val="nil"/>
            </w:tcBorders>
            <w:shd w:val="clear" w:color="auto" w:fill="auto"/>
            <w:vAlign w:val="bottom"/>
          </w:tcPr>
          <w:p w:rsidR="00AA5B54" w:rsidRPr="00464F12" w:rsidP="00924F2E" w14:paraId="657F5EBB" w14:textId="77777777">
            <w:pPr>
              <w:jc w:val="right"/>
              <w:rPr>
                <w:rFonts w:asciiTheme="minorHAnsi" w:hAnsiTheme="minorHAnsi" w:cstheme="minorHAnsi"/>
                <w:iCs/>
                <w:szCs w:val="24"/>
              </w:rPr>
            </w:pPr>
            <w:r w:rsidRPr="00464F12">
              <w:rPr>
                <w:rFonts w:asciiTheme="minorHAnsi" w:hAnsiTheme="minorHAnsi" w:cstheme="minorHAnsi"/>
                <w:iCs/>
                <w:szCs w:val="24"/>
              </w:rPr>
              <w:t>0.50</w:t>
            </w:r>
          </w:p>
        </w:tc>
        <w:tc>
          <w:tcPr>
            <w:tcW w:w="901" w:type="dxa"/>
            <w:gridSpan w:val="6"/>
            <w:tcBorders>
              <w:top w:val="nil"/>
              <w:left w:val="nil"/>
              <w:bottom w:val="nil"/>
              <w:right w:val="nil"/>
            </w:tcBorders>
            <w:shd w:val="clear" w:color="auto" w:fill="auto"/>
            <w:vAlign w:val="bottom"/>
          </w:tcPr>
          <w:p w:rsidR="00AA5B54" w:rsidRPr="00464F12" w:rsidP="00924F2E" w14:paraId="62621C9D" w14:textId="77777777">
            <w:pPr>
              <w:jc w:val="right"/>
              <w:rPr>
                <w:rFonts w:asciiTheme="minorHAnsi" w:hAnsiTheme="minorHAnsi" w:cstheme="minorHAnsi"/>
                <w:iCs/>
                <w:szCs w:val="24"/>
              </w:rPr>
            </w:pPr>
            <w:r w:rsidRPr="00464F12">
              <w:rPr>
                <w:rFonts w:asciiTheme="minorHAnsi" w:hAnsiTheme="minorHAnsi" w:cstheme="minorHAnsi"/>
                <w:iCs/>
                <w:szCs w:val="24"/>
              </w:rPr>
              <w:t>1,233</w:t>
            </w:r>
          </w:p>
        </w:tc>
      </w:tr>
      <w:tr w14:paraId="7C82983B" w14:textId="77777777" w:rsidTr="00464F12">
        <w:tblPrEx>
          <w:tblW w:w="9078" w:type="dxa"/>
          <w:tblInd w:w="93" w:type="dxa"/>
          <w:tblLayout w:type="fixed"/>
          <w:tblLook w:val="04A0"/>
        </w:tblPrEx>
        <w:trPr>
          <w:trHeight w:val="510"/>
        </w:trPr>
        <w:tc>
          <w:tcPr>
            <w:tcW w:w="4316" w:type="dxa"/>
            <w:tcBorders>
              <w:top w:val="single" w:sz="4" w:space="0" w:color="auto"/>
              <w:left w:val="nil"/>
              <w:bottom w:val="nil"/>
              <w:right w:val="nil"/>
            </w:tcBorders>
            <w:shd w:val="clear" w:color="auto" w:fill="auto"/>
            <w:vAlign w:val="bottom"/>
          </w:tcPr>
          <w:p w:rsidR="00AA5B54" w:rsidRPr="00464F12" w:rsidP="00924F2E" w14:paraId="73E28ACC" w14:textId="77777777">
            <w:pPr>
              <w:rPr>
                <w:rFonts w:asciiTheme="minorHAnsi" w:hAnsiTheme="minorHAnsi" w:cstheme="minorHAnsi"/>
                <w:iCs/>
                <w:szCs w:val="24"/>
              </w:rPr>
            </w:pPr>
            <w:r w:rsidRPr="00464F12">
              <w:rPr>
                <w:rFonts w:asciiTheme="minorHAnsi" w:hAnsiTheme="minorHAnsi" w:cstheme="minorHAnsi"/>
                <w:iCs/>
                <w:szCs w:val="24"/>
              </w:rPr>
              <w:t>TOTAL 34 CFR 685.309(b)</w:t>
            </w:r>
          </w:p>
        </w:tc>
        <w:tc>
          <w:tcPr>
            <w:tcW w:w="1351" w:type="dxa"/>
            <w:gridSpan w:val="3"/>
            <w:tcBorders>
              <w:top w:val="single" w:sz="4" w:space="0" w:color="auto"/>
              <w:left w:val="nil"/>
              <w:bottom w:val="nil"/>
              <w:right w:val="nil"/>
            </w:tcBorders>
            <w:shd w:val="clear" w:color="auto" w:fill="auto"/>
            <w:noWrap/>
            <w:vAlign w:val="bottom"/>
          </w:tcPr>
          <w:p w:rsidR="00AA5B54" w:rsidRPr="00464F12" w:rsidP="00924F2E" w14:paraId="54F3A493" w14:textId="77777777">
            <w:pPr>
              <w:rPr>
                <w:rFonts w:asciiTheme="minorHAnsi" w:hAnsiTheme="minorHAnsi" w:cstheme="minorHAnsi"/>
                <w:iCs/>
                <w:szCs w:val="24"/>
              </w:rPr>
            </w:pPr>
          </w:p>
        </w:tc>
        <w:tc>
          <w:tcPr>
            <w:tcW w:w="900" w:type="dxa"/>
            <w:gridSpan w:val="3"/>
            <w:tcBorders>
              <w:top w:val="single" w:sz="4" w:space="0" w:color="auto"/>
              <w:left w:val="nil"/>
              <w:bottom w:val="nil"/>
              <w:right w:val="nil"/>
            </w:tcBorders>
            <w:shd w:val="clear" w:color="auto" w:fill="auto"/>
            <w:noWrap/>
            <w:vAlign w:val="bottom"/>
          </w:tcPr>
          <w:p w:rsidR="00AA5B54" w:rsidRPr="00464F12" w:rsidP="00924F2E" w14:paraId="21FD8DF8" w14:textId="77777777">
            <w:pPr>
              <w:jc w:val="right"/>
              <w:rPr>
                <w:rFonts w:asciiTheme="minorHAnsi" w:hAnsiTheme="minorHAnsi" w:cstheme="minorHAnsi"/>
                <w:iCs/>
                <w:szCs w:val="24"/>
              </w:rPr>
            </w:pPr>
            <w:r w:rsidRPr="00464F12">
              <w:rPr>
                <w:rFonts w:asciiTheme="minorHAnsi" w:hAnsiTheme="minorHAnsi" w:cstheme="minorHAnsi"/>
                <w:iCs/>
                <w:szCs w:val="24"/>
              </w:rPr>
              <w:t>5,738</w:t>
            </w:r>
          </w:p>
        </w:tc>
        <w:tc>
          <w:tcPr>
            <w:tcW w:w="900" w:type="dxa"/>
            <w:gridSpan w:val="4"/>
            <w:tcBorders>
              <w:top w:val="single" w:sz="4" w:space="0" w:color="auto"/>
              <w:left w:val="nil"/>
              <w:bottom w:val="nil"/>
              <w:right w:val="nil"/>
            </w:tcBorders>
            <w:shd w:val="clear" w:color="auto" w:fill="auto"/>
            <w:noWrap/>
            <w:vAlign w:val="bottom"/>
          </w:tcPr>
          <w:p w:rsidR="00AA5B54" w:rsidRPr="00464F12" w:rsidP="00924F2E" w14:paraId="173C3285" w14:textId="77777777">
            <w:pPr>
              <w:jc w:val="right"/>
              <w:rPr>
                <w:rFonts w:asciiTheme="minorHAnsi" w:hAnsiTheme="minorHAnsi" w:cstheme="minorHAnsi"/>
                <w:iCs/>
                <w:szCs w:val="24"/>
              </w:rPr>
            </w:pPr>
            <w:r w:rsidRPr="00464F12">
              <w:rPr>
                <w:rFonts w:asciiTheme="minorHAnsi" w:hAnsiTheme="minorHAnsi" w:cstheme="minorHAnsi"/>
                <w:iCs/>
                <w:szCs w:val="24"/>
              </w:rPr>
              <w:t>34,428</w:t>
            </w:r>
          </w:p>
        </w:tc>
        <w:tc>
          <w:tcPr>
            <w:tcW w:w="707" w:type="dxa"/>
            <w:gridSpan w:val="5"/>
            <w:tcBorders>
              <w:top w:val="single" w:sz="4" w:space="0" w:color="auto"/>
              <w:left w:val="nil"/>
              <w:bottom w:val="nil"/>
              <w:right w:val="nil"/>
            </w:tcBorders>
            <w:shd w:val="clear" w:color="auto" w:fill="auto"/>
            <w:noWrap/>
            <w:vAlign w:val="bottom"/>
          </w:tcPr>
          <w:p w:rsidR="00AA5B54" w:rsidRPr="00464F12" w:rsidP="00924F2E" w14:paraId="7B6AE078" w14:textId="77777777">
            <w:pPr>
              <w:rPr>
                <w:rFonts w:asciiTheme="minorHAnsi" w:hAnsiTheme="minorHAnsi" w:cstheme="minorHAnsi"/>
                <w:iCs/>
                <w:szCs w:val="24"/>
              </w:rPr>
            </w:pPr>
          </w:p>
        </w:tc>
        <w:tc>
          <w:tcPr>
            <w:tcW w:w="901" w:type="dxa"/>
            <w:gridSpan w:val="6"/>
            <w:tcBorders>
              <w:top w:val="single" w:sz="4" w:space="0" w:color="auto"/>
              <w:left w:val="nil"/>
              <w:bottom w:val="nil"/>
              <w:right w:val="nil"/>
            </w:tcBorders>
            <w:shd w:val="clear" w:color="auto" w:fill="auto"/>
            <w:noWrap/>
            <w:vAlign w:val="bottom"/>
          </w:tcPr>
          <w:p w:rsidR="00AA5B54" w:rsidRPr="00464F12" w:rsidP="00924F2E" w14:paraId="4E3258B9" w14:textId="77777777">
            <w:pPr>
              <w:jc w:val="right"/>
              <w:rPr>
                <w:rFonts w:asciiTheme="minorHAnsi" w:hAnsiTheme="minorHAnsi" w:cstheme="minorHAnsi"/>
                <w:iCs/>
                <w:szCs w:val="24"/>
              </w:rPr>
            </w:pPr>
            <w:r w:rsidRPr="00464F12">
              <w:rPr>
                <w:rFonts w:asciiTheme="minorHAnsi" w:hAnsiTheme="minorHAnsi" w:cstheme="minorHAnsi"/>
                <w:iCs/>
                <w:szCs w:val="24"/>
              </w:rPr>
              <w:t>10,587</w:t>
            </w:r>
          </w:p>
        </w:tc>
      </w:tr>
    </w:tbl>
    <w:p w:rsidR="00B6741F" w:rsidRPr="00E82083" w14:paraId="56F37D5B" w14:textId="77777777">
      <w:pPr>
        <w:rPr>
          <w:rFonts w:asciiTheme="minorHAnsi" w:hAnsiTheme="minorHAnsi" w:cstheme="minorHAnsi"/>
          <w:iCs/>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5B54" w:rsidRPr="00E37791" w14:paraId="03AC3B7A" w14:textId="13393C21">
    <w:pPr>
      <w:pStyle w:val="Header"/>
      <w:rPr>
        <w:rFonts w:asciiTheme="minorHAnsi" w:hAnsiTheme="minorHAnsi" w:cstheme="minorHAnsi"/>
      </w:rPr>
    </w:pPr>
    <w:r w:rsidRPr="00E37791">
      <w:rPr>
        <w:rFonts w:asciiTheme="minorHAnsi" w:hAnsiTheme="minorHAnsi" w:cstheme="minorHAnsi"/>
      </w:rPr>
      <w:t>Background for 83C for 1845-0021 transferring reporting mechanism burden f</w:t>
    </w:r>
    <w:r w:rsidRPr="00E37791">
      <w:rPr>
        <w:rFonts w:asciiTheme="minorHAnsi" w:hAnsiTheme="minorHAnsi" w:cstheme="minorHAnsi"/>
      </w:rPr>
      <w:t>rom 1845-0116</w:t>
    </w:r>
    <w:r w:rsidRPr="00E37791">
      <w:rPr>
        <w:rFonts w:asciiTheme="minorHAnsi" w:hAnsiTheme="minorHAnsi" w:cstheme="minorHAns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54"/>
    <w:rsid w:val="000F732D"/>
    <w:rsid w:val="00464F12"/>
    <w:rsid w:val="00626B78"/>
    <w:rsid w:val="008B4DAF"/>
    <w:rsid w:val="00924F2E"/>
    <w:rsid w:val="009266E6"/>
    <w:rsid w:val="00AA5B54"/>
    <w:rsid w:val="00B6741F"/>
    <w:rsid w:val="00D4359B"/>
    <w:rsid w:val="00E37791"/>
    <w:rsid w:val="00E820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D46166"/>
  <w15:chartTrackingRefBased/>
  <w15:docId w15:val="{1E0A187C-B8C0-4DD7-B953-FB8CE9D9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B5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B54"/>
    <w:pPr>
      <w:tabs>
        <w:tab w:val="center" w:pos="4680"/>
        <w:tab w:val="right" w:pos="9360"/>
      </w:tabs>
    </w:pPr>
  </w:style>
  <w:style w:type="character" w:customStyle="1" w:styleId="HeaderChar">
    <w:name w:val="Header Char"/>
    <w:basedOn w:val="DefaultParagraphFont"/>
    <w:link w:val="Header"/>
    <w:uiPriority w:val="99"/>
    <w:rsid w:val="00AA5B54"/>
    <w:rPr>
      <w:rFonts w:ascii="Courier" w:eastAsia="Times New Roman" w:hAnsi="Courier" w:cs="Times New Roman"/>
      <w:sz w:val="24"/>
      <w:szCs w:val="20"/>
    </w:rPr>
  </w:style>
  <w:style w:type="paragraph" w:styleId="Footer">
    <w:name w:val="footer"/>
    <w:basedOn w:val="Normal"/>
    <w:link w:val="FooterChar"/>
    <w:uiPriority w:val="99"/>
    <w:unhideWhenUsed/>
    <w:rsid w:val="00AA5B54"/>
    <w:pPr>
      <w:tabs>
        <w:tab w:val="center" w:pos="4680"/>
        <w:tab w:val="right" w:pos="9360"/>
      </w:tabs>
    </w:pPr>
  </w:style>
  <w:style w:type="character" w:customStyle="1" w:styleId="FooterChar">
    <w:name w:val="Footer Char"/>
    <w:basedOn w:val="DefaultParagraphFont"/>
    <w:link w:val="Footer"/>
    <w:uiPriority w:val="99"/>
    <w:rsid w:val="00AA5B54"/>
    <w:rPr>
      <w:rFonts w:ascii="Courier" w:eastAsia="Times New Roman" w:hAnsi="Courier" w:cs="Times New Roman"/>
      <w:sz w:val="24"/>
      <w:szCs w:val="20"/>
    </w:rPr>
  </w:style>
  <w:style w:type="paragraph" w:styleId="Revision">
    <w:name w:val="Revision"/>
    <w:hidden/>
    <w:uiPriority w:val="99"/>
    <w:semiHidden/>
    <w:rsid w:val="00D4359B"/>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2023-04-17T20:34:00Z</dcterms:created>
  <dcterms:modified xsi:type="dcterms:W3CDTF">2023-04-17T20:34:00Z</dcterms:modified>
</cp:coreProperties>
</file>