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2FF3" w14:paraId="5C594215" w14:textId="77777777">
      <w:pPr>
        <w:spacing w:after="0"/>
        <w:jc w:val="center"/>
        <w:rPr>
          <w:rFonts w:ascii="Times New Roman" w:hAnsi="Times New Roman" w:cs="Times New Roman"/>
          <w:sz w:val="26"/>
          <w:szCs w:val="26"/>
        </w:rPr>
      </w:pPr>
      <w:r>
        <w:rPr>
          <w:rFonts w:ascii="Times New Roman" w:hAnsi="Times New Roman" w:cs="Times New Roman"/>
          <w:sz w:val="26"/>
          <w:szCs w:val="26"/>
        </w:rPr>
        <w:t xml:space="preserve">Supporting Statement for </w:t>
      </w:r>
    </w:p>
    <w:p w:rsidR="00582FF3" w14:paraId="6748FCD6" w14:textId="77777777">
      <w:pPr>
        <w:spacing w:after="0"/>
        <w:jc w:val="center"/>
        <w:rPr>
          <w:rFonts w:ascii="Times New Roman" w:hAnsi="Times New Roman" w:cs="Times New Roman"/>
          <w:sz w:val="26"/>
          <w:szCs w:val="26"/>
        </w:rPr>
      </w:pPr>
      <w:r>
        <w:rPr>
          <w:rFonts w:ascii="Times New Roman" w:hAnsi="Times New Roman" w:cs="Times New Roman"/>
          <w:b/>
          <w:sz w:val="26"/>
          <w:szCs w:val="26"/>
        </w:rPr>
        <w:t>FERC-725A(1B), (Mandatory Reliability Standard for TOP-010-1), OMB Control No: 1902-0292</w:t>
      </w:r>
    </w:p>
    <w:p w:rsidR="00582FF3" w14:paraId="76189C71" w14:textId="77777777">
      <w:pPr>
        <w:spacing w:after="0"/>
        <w:jc w:val="center"/>
        <w:rPr>
          <w:rFonts w:ascii="Times New Roman" w:hAnsi="Times New Roman" w:cs="Times New Roman"/>
          <w:sz w:val="26"/>
          <w:szCs w:val="26"/>
        </w:rPr>
      </w:pPr>
    </w:p>
    <w:p w:rsidR="00582FF3" w14:paraId="2936A12D" w14:textId="7E4B8604">
      <w:pPr>
        <w:spacing w:after="0"/>
        <w:rPr>
          <w:rFonts w:ascii="Times New Roman" w:hAnsi="Times New Roman" w:cs="Times New Roman"/>
          <w:sz w:val="26"/>
          <w:szCs w:val="26"/>
        </w:rPr>
      </w:pPr>
      <w:r>
        <w:rPr>
          <w:rFonts w:ascii="Times New Roman" w:hAnsi="Times New Roman" w:cs="Times New Roman"/>
          <w:sz w:val="26"/>
          <w:szCs w:val="26"/>
        </w:rPr>
        <w:t>The Federal Energy Regulatory Commission (Commission or FERC) requests the Office of Management and Budget (OMB) review and approve the information collection FERC-725A(1B) for an extension of three years, Mandatory Reliability Standard TOP-010-1 (Real-time Reliability Monitoring and Analysis Capabilities).</w:t>
      </w:r>
      <w:r w:rsidR="0047443B">
        <w:rPr>
          <w:rFonts w:ascii="Times New Roman" w:hAnsi="Times New Roman" w:cs="Times New Roman"/>
          <w:sz w:val="26"/>
          <w:szCs w:val="26"/>
        </w:rPr>
        <w:t xml:space="preserve"> The information collection reporting and recordkeeping requirements </w:t>
      </w:r>
      <w:r w:rsidR="0082374B">
        <w:rPr>
          <w:rFonts w:ascii="Times New Roman" w:hAnsi="Times New Roman" w:cs="Times New Roman"/>
          <w:sz w:val="26"/>
          <w:szCs w:val="26"/>
        </w:rPr>
        <w:t xml:space="preserve">have not changed. </w:t>
      </w:r>
    </w:p>
    <w:p w:rsidR="00582FF3" w14:paraId="2FD1F438" w14:textId="77777777">
      <w:pPr>
        <w:spacing w:after="0"/>
        <w:rPr>
          <w:rFonts w:ascii="Times New Roman" w:hAnsi="Times New Roman" w:cs="Times New Roman"/>
          <w:sz w:val="26"/>
          <w:szCs w:val="26"/>
        </w:rPr>
      </w:pPr>
    </w:p>
    <w:p w:rsidR="00582FF3" w14:paraId="2492DD04" w14:textId="77777777">
      <w:pPr>
        <w:spacing w:after="0"/>
        <w:rPr>
          <w:rFonts w:ascii="Times New Roman" w:hAnsi="Times New Roman" w:cs="Times New Roman"/>
          <w:sz w:val="26"/>
          <w:szCs w:val="26"/>
        </w:rPr>
      </w:pPr>
      <w:r>
        <w:rPr>
          <w:rFonts w:ascii="Times New Roman" w:hAnsi="Times New Roman" w:cs="Times New Roman"/>
          <w:b/>
          <w:sz w:val="26"/>
          <w:szCs w:val="26"/>
          <w:u w:val="single"/>
        </w:rPr>
        <w:t>Background</w:t>
      </w:r>
    </w:p>
    <w:p w:rsidR="00582FF3" w14:paraId="31359FAC" w14:textId="77777777">
      <w:pPr>
        <w:spacing w:after="0"/>
        <w:rPr>
          <w:rFonts w:ascii="Times New Roman" w:hAnsi="Times New Roman" w:cs="Times New Roman"/>
          <w:sz w:val="26"/>
          <w:szCs w:val="26"/>
        </w:rPr>
      </w:pPr>
    </w:p>
    <w:p w:rsidR="00582FF3" w14:paraId="713B4C51" w14:textId="77777777">
      <w:pPr>
        <w:spacing w:after="0"/>
        <w:rPr>
          <w:rFonts w:ascii="Times New Roman" w:hAnsi="Times New Roman" w:cs="Times New Roman"/>
          <w:sz w:val="26"/>
          <w:szCs w:val="26"/>
        </w:rPr>
      </w:pPr>
      <w:r>
        <w:rPr>
          <w:rFonts w:ascii="Times New Roman" w:hAnsi="Times New Roman" w:cs="Times New Roman"/>
          <w:sz w:val="26"/>
          <w:szCs w:val="26"/>
        </w:rPr>
        <w:t>On August 8, 2005, The Electricity Modernization Act of 2005, which is Title XII of the Energy Policy Act of 2005 (</w:t>
      </w:r>
      <w:r>
        <w:rPr>
          <w:rFonts w:ascii="Times New Roman" w:hAnsi="Times New Roman" w:cs="Times New Roman"/>
          <w:sz w:val="26"/>
          <w:szCs w:val="26"/>
        </w:rPr>
        <w:t>EPAct</w:t>
      </w:r>
      <w:r>
        <w:rPr>
          <w:rFonts w:ascii="Times New Roman" w:hAnsi="Times New Roman" w:cs="Times New Roman"/>
          <w:sz w:val="26"/>
          <w:szCs w:val="26"/>
        </w:rPr>
        <w:t xml:space="preserve"> 2005), was enacted into law.</w:t>
      </w:r>
      <w:r>
        <w:rPr>
          <w:rFonts w:ascii="Times New Roman" w:hAnsi="Times New Roman" w:cs="Times New Roman"/>
          <w:sz w:val="26"/>
          <w:szCs w:val="26"/>
          <w:vertAlign w:val="superscript"/>
        </w:rPr>
        <w:footnoteReference w:id="3"/>
      </w:r>
      <w:r>
        <w:rPr>
          <w:rFonts w:ascii="Times New Roman" w:hAnsi="Times New Roman" w:cs="Times New Roman"/>
          <w:sz w:val="26"/>
          <w:szCs w:val="26"/>
        </w:rPr>
        <w:t xml:space="preserve">  Under section 215 of the Federal Power Act (FPA), the Commission requires a Commission-certified Electric Reliability Organization (ERO) to develop mandatory and enforceable Reliability Standards</w:t>
      </w:r>
      <w:r>
        <w:rPr>
          <w:rFonts w:ascii="Times New Roman" w:hAnsi="Times New Roman" w:cs="Times New Roman"/>
          <w:sz w:val="26"/>
          <w:szCs w:val="26"/>
          <w:vertAlign w:val="superscript"/>
        </w:rPr>
        <w:footnoteReference w:id="4"/>
      </w:r>
      <w:r>
        <w:rPr>
          <w:rFonts w:ascii="Times New Roman" w:hAnsi="Times New Roman" w:cs="Times New Roman"/>
          <w:sz w:val="26"/>
          <w:szCs w:val="26"/>
        </w:rPr>
        <w:t>, which are subject to Commission review and approval.  In 2006, the Commission established a process to select and certify an ERO and, subsequently, certified NERC as the ERO.</w:t>
      </w:r>
      <w:r>
        <w:rPr>
          <w:rFonts w:ascii="Times New Roman" w:hAnsi="Times New Roman" w:cs="Times New Roman"/>
          <w:sz w:val="26"/>
          <w:szCs w:val="26"/>
          <w:vertAlign w:val="superscript"/>
        </w:rPr>
        <w:footnoteReference w:id="5"/>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In Order No. 693, the Commission approved 83 of 107 proposed Reliability Standards submitted by NERC, including the several Transmission Operations (TOP) Reliability standards. The Commission also directed NERC to address issues with respect to some TOP standards regarding monitoring and analysis capabilities.  </w:t>
      </w:r>
    </w:p>
    <w:p w:rsidR="00582FF3" w14:paraId="0AEBC088" w14:textId="77777777">
      <w:pPr>
        <w:spacing w:after="0"/>
        <w:rPr>
          <w:rFonts w:ascii="Times New Roman" w:hAnsi="Times New Roman" w:cs="Times New Roman"/>
          <w:sz w:val="26"/>
          <w:szCs w:val="26"/>
        </w:rPr>
      </w:pPr>
    </w:p>
    <w:p w:rsidR="00582FF3" w14:paraId="1145D3B0" w14:textId="77777777">
      <w:pPr>
        <w:spacing w:after="0"/>
        <w:rPr>
          <w:rFonts w:ascii="Times New Roman" w:hAnsi="Times New Roman" w:cs="Times New Roman"/>
          <w:b/>
          <w:sz w:val="26"/>
          <w:szCs w:val="26"/>
        </w:rPr>
      </w:pPr>
      <w:r>
        <w:rPr>
          <w:rFonts w:ascii="Times New Roman" w:hAnsi="Times New Roman" w:cs="Times New Roman"/>
          <w:b/>
          <w:sz w:val="26"/>
          <w:szCs w:val="26"/>
        </w:rPr>
        <w:t xml:space="preserve">A.   </w:t>
      </w:r>
      <w:r>
        <w:rPr>
          <w:rFonts w:ascii="Times New Roman" w:hAnsi="Times New Roman" w:cs="Times New Roman"/>
          <w:b/>
          <w:sz w:val="26"/>
          <w:szCs w:val="26"/>
          <w:u w:val="single"/>
        </w:rPr>
        <w:t>Justification</w:t>
      </w:r>
    </w:p>
    <w:p w:rsidR="00582FF3" w14:paraId="3ED6B5D8" w14:textId="77777777">
      <w:pPr>
        <w:spacing w:after="0"/>
        <w:rPr>
          <w:rFonts w:ascii="Times New Roman" w:hAnsi="Times New Roman" w:cs="Times New Roman"/>
          <w:sz w:val="26"/>
          <w:szCs w:val="26"/>
        </w:rPr>
      </w:pPr>
    </w:p>
    <w:p w:rsidR="00582FF3" w14:paraId="4E0AEE11"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582FF3" w14:paraId="145BF0C6" w14:textId="77777777">
      <w:pPr>
        <w:spacing w:after="0"/>
        <w:rPr>
          <w:rFonts w:ascii="Times New Roman" w:hAnsi="Times New Roman" w:cs="Times New Roman"/>
          <w:sz w:val="26"/>
          <w:szCs w:val="26"/>
        </w:rPr>
      </w:pPr>
    </w:p>
    <w:p w:rsidR="001C42D9" w14:paraId="4AD58430" w14:textId="77777777">
      <w:pPr>
        <w:spacing w:after="0"/>
        <w:rPr>
          <w:rFonts w:ascii="Times New Roman" w:eastAsia="Times New Roman" w:hAnsi="Times New Roman" w:cs="Times New Roman"/>
          <w:sz w:val="26"/>
          <w:szCs w:val="26"/>
        </w:rPr>
      </w:pPr>
      <w:r>
        <w:rPr>
          <w:rFonts w:ascii="Times New Roman" w:hAnsi="Times New Roman" w:cs="Times New Roman"/>
          <w:sz w:val="26"/>
          <w:szCs w:val="26"/>
        </w:rPr>
        <w:t>Under section 215 of the Federal Power Act (FPA),</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the Commission approved Reliability Standard TOP-010-1 </w:t>
      </w:r>
      <w:r>
        <w:rPr>
          <w:rFonts w:ascii="Times New Roman" w:eastAsia="Times New Roman" w:hAnsi="Times New Roman" w:cs="Times New Roman"/>
          <w:sz w:val="26"/>
          <w:szCs w:val="26"/>
        </w:rPr>
        <w:t>(Real-time Reliability Monitoring and Analysis Capabilities)</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submitted by North American Electric Reliability Corporation (NERC).  </w:t>
      </w:r>
    </w:p>
    <w:p w:rsidR="001C42D9" w14:paraId="7395A6AE" w14:textId="77777777">
      <w:pPr>
        <w:spacing w:after="0"/>
        <w:rPr>
          <w:rFonts w:ascii="Times New Roman" w:eastAsia="Times New Roman" w:hAnsi="Times New Roman" w:cs="Times New Roman"/>
          <w:sz w:val="26"/>
          <w:szCs w:val="26"/>
        </w:rPr>
      </w:pPr>
    </w:p>
    <w:p w:rsidR="001C42D9" w14:paraId="5BC92A45" w14:textId="77777777">
      <w:pPr>
        <w:spacing w:after="0"/>
        <w:rPr>
          <w:rFonts w:ascii="Times New Roman" w:hAnsi="Times New Roman" w:cs="Times New Roman"/>
          <w:sz w:val="26"/>
          <w:szCs w:val="26"/>
        </w:rPr>
      </w:pPr>
      <w:r>
        <w:rPr>
          <w:rFonts w:ascii="Times New Roman" w:eastAsia="Times New Roman" w:hAnsi="Times New Roman" w:cs="Times New Roman"/>
          <w:sz w:val="26"/>
          <w:szCs w:val="26"/>
        </w:rPr>
        <w:t xml:space="preserve">The </w:t>
      </w:r>
      <w:r>
        <w:rPr>
          <w:rFonts w:ascii="Times New Roman" w:hAnsi="Times New Roman" w:cs="Times New Roman"/>
          <w:sz w:val="26"/>
          <w:szCs w:val="26"/>
        </w:rPr>
        <w:t xml:space="preserve">Reliability Standard establishes requirements for Real-time monitoring </w:t>
      </w:r>
      <w:r>
        <w:rPr>
          <w:rFonts w:ascii="Times New Roman" w:hAnsi="Times New Roman" w:cs="Times New Roman"/>
          <w:sz w:val="26"/>
          <w:szCs w:val="26"/>
        </w:rPr>
        <w:t>andReal</w:t>
      </w:r>
      <w:r>
        <w:rPr>
          <w:rFonts w:ascii="Times New Roman" w:hAnsi="Times New Roman" w:cs="Times New Roman"/>
          <w:sz w:val="26"/>
          <w:szCs w:val="26"/>
        </w:rPr>
        <w:t xml:space="preserve">-time </w:t>
      </w:r>
      <w:r>
        <w:rPr>
          <w:rFonts w:ascii="Times New Roman" w:hAnsi="Times New Roman" w:cs="Times New Roman"/>
          <w:sz w:val="26"/>
          <w:szCs w:val="26"/>
        </w:rPr>
        <w:t>Assessments</w:t>
      </w:r>
      <w:r>
        <w:rPr>
          <w:rFonts w:ascii="Times New Roman" w:hAnsi="Times New Roman" w:cs="Times New Roman"/>
          <w:sz w:val="26"/>
          <w:szCs w:val="26"/>
        </w:rPr>
        <w:t xml:space="preserve"> capabilities to support reliable System operations.  The Reliability Standard TOP-010-1 accomplished this by requiring applicable entities to:</w:t>
      </w:r>
    </w:p>
    <w:p w:rsidR="001C42D9" w:rsidP="001C42D9" w14:paraId="50CF4783" w14:textId="2D7BFFD5">
      <w:pPr>
        <w:spacing w:after="0"/>
        <w:ind w:left="720"/>
        <w:rPr>
          <w:rFonts w:ascii="Times New Roman" w:hAnsi="Times New Roman" w:cs="Times New Roman"/>
          <w:sz w:val="26"/>
          <w:szCs w:val="26"/>
        </w:rPr>
      </w:pPr>
      <w:r>
        <w:rPr>
          <w:rFonts w:ascii="Times New Roman" w:hAnsi="Times New Roman" w:cs="Times New Roman"/>
          <w:sz w:val="26"/>
          <w:szCs w:val="26"/>
        </w:rPr>
        <w:t xml:space="preserve">(1) provide notification to operators of real-time monitoring alarm </w:t>
      </w:r>
      <w:r>
        <w:rPr>
          <w:rFonts w:ascii="Times New Roman" w:hAnsi="Times New Roman" w:cs="Times New Roman"/>
          <w:sz w:val="26"/>
          <w:szCs w:val="26"/>
        </w:rPr>
        <w:t>failures;</w:t>
      </w:r>
      <w:r>
        <w:rPr>
          <w:rFonts w:ascii="Times New Roman" w:hAnsi="Times New Roman" w:cs="Times New Roman"/>
          <w:sz w:val="26"/>
          <w:szCs w:val="26"/>
        </w:rPr>
        <w:t xml:space="preserve"> </w:t>
      </w:r>
    </w:p>
    <w:p w:rsidR="001C42D9" w:rsidP="001C42D9" w14:paraId="4DB31B1A" w14:textId="77777777">
      <w:pPr>
        <w:spacing w:after="0"/>
        <w:ind w:left="720"/>
        <w:rPr>
          <w:rFonts w:ascii="Times New Roman" w:hAnsi="Times New Roman" w:cs="Times New Roman"/>
          <w:sz w:val="26"/>
          <w:szCs w:val="26"/>
        </w:rPr>
      </w:pPr>
      <w:r>
        <w:rPr>
          <w:rFonts w:ascii="Times New Roman" w:hAnsi="Times New Roman" w:cs="Times New Roman"/>
          <w:sz w:val="26"/>
          <w:szCs w:val="26"/>
        </w:rPr>
        <w:t>(2) provide operators with indications of the quality of information being provided by their monitoring and analysis capabilities; and</w:t>
      </w:r>
    </w:p>
    <w:p w:rsidR="001C42D9" w:rsidP="001C42D9" w14:paraId="5074DCE7" w14:textId="168F7556">
      <w:pPr>
        <w:spacing w:after="0"/>
        <w:ind w:left="720"/>
        <w:rPr>
          <w:rFonts w:ascii="Times New Roman" w:hAnsi="Times New Roman" w:cs="Times New Roman"/>
          <w:sz w:val="26"/>
          <w:szCs w:val="26"/>
        </w:rPr>
      </w:pPr>
      <w:r>
        <w:rPr>
          <w:rFonts w:ascii="Times New Roman" w:hAnsi="Times New Roman" w:cs="Times New Roman"/>
          <w:sz w:val="26"/>
          <w:szCs w:val="26"/>
        </w:rPr>
        <w:t xml:space="preserve">(3) address deficiencies in the quality of information being provided by their monitoring and analysis capabilities. </w:t>
      </w:r>
    </w:p>
    <w:p w:rsidR="001C42D9" w:rsidP="001C42D9" w14:paraId="17F7C00D" w14:textId="77777777">
      <w:pPr>
        <w:spacing w:after="0"/>
        <w:ind w:firstLine="360"/>
        <w:rPr>
          <w:rFonts w:ascii="Times New Roman" w:hAnsi="Times New Roman" w:cs="Times New Roman"/>
          <w:sz w:val="26"/>
          <w:szCs w:val="26"/>
        </w:rPr>
      </w:pPr>
    </w:p>
    <w:p w:rsidR="00582FF3" w:rsidP="001C42D9" w14:paraId="2630934E" w14:textId="1112C40C">
      <w:pPr>
        <w:spacing w:after="0"/>
        <w:rPr>
          <w:rFonts w:ascii="Times New Roman" w:hAnsi="Times New Roman" w:cs="Times New Roman"/>
          <w:sz w:val="26"/>
          <w:szCs w:val="26"/>
        </w:rPr>
      </w:pPr>
      <w:r>
        <w:rPr>
          <w:rFonts w:ascii="Times New Roman" w:hAnsi="Times New Roman" w:cs="Times New Roman"/>
          <w:sz w:val="26"/>
          <w:szCs w:val="26"/>
        </w:rPr>
        <w:t xml:space="preserve">The Reliability Standard TOP-010-1, Requirement R4 addresses situational awareness objectives by providing for operator awareness when key alarming tools are not performing as intended.  </w:t>
      </w:r>
    </w:p>
    <w:p w:rsidR="00582FF3" w14:paraId="308FD3BB" w14:textId="77777777">
      <w:pPr>
        <w:spacing w:after="0"/>
        <w:rPr>
          <w:rFonts w:ascii="Times New Roman" w:hAnsi="Times New Roman" w:cs="Times New Roman"/>
          <w:sz w:val="26"/>
          <w:szCs w:val="26"/>
        </w:rPr>
      </w:pPr>
    </w:p>
    <w:p w:rsidR="00582FF3" w14:paraId="18BA6FD9" w14:textId="77777777">
      <w:pPr>
        <w:pStyle w:val="ListParagraph"/>
        <w:numPr>
          <w:ilvl w:val="0"/>
          <w:numId w:val="1"/>
        </w:numPr>
        <w:spacing w:after="0"/>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INFORMATION</w:t>
      </w:r>
    </w:p>
    <w:p w:rsidR="00582FF3" w14:paraId="4361932D" w14:textId="77777777">
      <w:pPr>
        <w:spacing w:after="0" w:line="240" w:lineRule="auto"/>
        <w:rPr>
          <w:rFonts w:ascii="Times New Roman" w:hAnsi="Times New Roman" w:cs="Times New Roman"/>
          <w:sz w:val="26"/>
          <w:szCs w:val="26"/>
        </w:rPr>
      </w:pPr>
    </w:p>
    <w:p w:rsidR="00582FF3" w14:paraId="1157F9C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w:t>
      </w:r>
      <w:r>
        <w:rPr>
          <w:rFonts w:ascii="Times New Roman" w:eastAsia="Times New Roman" w:hAnsi="Times New Roman" w:cs="Times New Roman"/>
          <w:sz w:val="26"/>
          <w:szCs w:val="26"/>
        </w:rPr>
        <w:t>TOP-010-1 (Real-time Reliability Monitoring and Analysis Capabilities),</w:t>
      </w:r>
      <w:r>
        <w:rPr>
          <w:rFonts w:ascii="Times New Roman" w:eastAsia="Times New Roman" w:hAnsi="Times New Roman" w:cs="Times New Roman"/>
          <w:sz w:val="26"/>
          <w:szCs w:val="26"/>
        </w:rPr>
        <w:t xml:space="preserve"> improves real-time situational awareness capabilities and enhances reliable operations by requiring reliability coordinators, transmission operators, and balancing authorities to provide operators with an improved awareness of system conditions analysis capabilities, including alarm availability, so that operators may take appropriate steps to ensure reliability. These functions include planning, operations, data sharing, monitoring, and analysis.  Without collecting this information, reliability of the bulk-power system could become compromised, potentially resulting in outages.</w:t>
      </w:r>
    </w:p>
    <w:p w:rsidR="00582FF3" w14:paraId="7716AF6B" w14:textId="77777777">
      <w:pPr>
        <w:spacing w:after="0"/>
        <w:rPr>
          <w:rFonts w:ascii="Times New Roman" w:hAnsi="Times New Roman" w:cs="Times New Roman"/>
          <w:b/>
          <w:sz w:val="26"/>
          <w:szCs w:val="26"/>
        </w:rPr>
      </w:pPr>
    </w:p>
    <w:p w:rsidR="00582FF3" w14:paraId="3C54916F"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CONSIDERATION OF THE USE OF IMPROVED INFORMATION TECHNOLOGY TO REDUCE THE BURDEN AND TECHNICAL OR LEGAL OBSTACLES TO REDUCING BURDEN</w:t>
      </w:r>
    </w:p>
    <w:p w:rsidR="00582FF3" w14:paraId="135C2904" w14:textId="77777777">
      <w:pPr>
        <w:spacing w:after="0" w:line="240" w:lineRule="auto"/>
        <w:rPr>
          <w:rFonts w:ascii="Times New Roman" w:hAnsi="Times New Roman" w:cs="Times New Roman"/>
          <w:b/>
          <w:sz w:val="26"/>
          <w:szCs w:val="26"/>
        </w:rPr>
      </w:pPr>
    </w:p>
    <w:p w:rsidR="00582FF3" w14:paraId="519E423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technology and the medium are not covered in TOP Reliability Standards. </w:t>
      </w:r>
    </w:p>
    <w:p w:rsidR="00582FF3" w14:paraId="3F5E0D12" w14:textId="77777777">
      <w:pPr>
        <w:spacing w:after="0" w:line="240" w:lineRule="auto"/>
        <w:rPr>
          <w:rFonts w:ascii="Times New Roman" w:hAnsi="Times New Roman" w:cs="Times New Roman"/>
          <w:sz w:val="26"/>
          <w:szCs w:val="26"/>
        </w:rPr>
      </w:pPr>
    </w:p>
    <w:p w:rsidR="00582FF3" w14:paraId="1628390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Nearly </w:t>
      </w:r>
      <w:r>
        <w:rPr>
          <w:rFonts w:ascii="Times New Roman" w:hAnsi="Times New Roman" w:cs="Times New Roman"/>
          <w:sz w:val="26"/>
          <w:szCs w:val="26"/>
        </w:rPr>
        <w:t>all of</w:t>
      </w:r>
      <w:r>
        <w:rPr>
          <w:rFonts w:ascii="Times New Roman" w:hAnsi="Times New Roman" w:cs="Times New Roman"/>
          <w:sz w:val="26"/>
          <w:szCs w:val="26"/>
        </w:rPr>
        <w:t xml:space="preserve"> the respondents are likely to make and keep related records in an electronic format.  Each of the six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In general, the Commission supports the use of information technology to reduce burden.</w:t>
      </w:r>
    </w:p>
    <w:p w:rsidR="00582FF3" w14:paraId="20202140" w14:textId="77777777">
      <w:pPr>
        <w:spacing w:after="0" w:line="240" w:lineRule="auto"/>
        <w:rPr>
          <w:rFonts w:ascii="Times New Roman" w:hAnsi="Times New Roman" w:cs="Times New Roman"/>
          <w:sz w:val="26"/>
          <w:szCs w:val="26"/>
        </w:rPr>
      </w:pPr>
    </w:p>
    <w:p w:rsidR="00582FF3" w14:paraId="0BA86314"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582FF3" w14:paraId="55EDAD0A" w14:textId="77777777">
      <w:pPr>
        <w:spacing w:after="0" w:line="240" w:lineRule="auto"/>
        <w:rPr>
          <w:rFonts w:ascii="Times New Roman" w:hAnsi="Times New Roman" w:cs="Times New Roman"/>
          <w:sz w:val="26"/>
          <w:szCs w:val="26"/>
        </w:rPr>
      </w:pPr>
    </w:p>
    <w:p w:rsidR="00582FF3" w14:paraId="1A142A0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Filing requirements are periodically reviewed as OMB review dates arise or as the Commission may deem necessary in carrying out its regulatory responsibilities</w:t>
      </w:r>
      <w:r>
        <w:rPr>
          <w:rFonts w:ascii="Times New Roman" w:eastAsia="Calibri" w:hAnsi="Times New Roman" w:cs="Times New Roman"/>
          <w:sz w:val="26"/>
          <w:szCs w:val="26"/>
        </w:rPr>
        <w:t xml:space="preserve"> </w:t>
      </w:r>
      <w:r>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rsidR="00582FF3" w14:paraId="129C4C3F" w14:textId="77777777">
      <w:pPr>
        <w:spacing w:after="0" w:line="240" w:lineRule="auto"/>
        <w:rPr>
          <w:rFonts w:ascii="Times New Roman" w:hAnsi="Times New Roman" w:cs="Times New Roman"/>
          <w:sz w:val="26"/>
          <w:szCs w:val="26"/>
        </w:rPr>
      </w:pPr>
    </w:p>
    <w:p w:rsidR="00582FF3" w14:paraId="1125C53C"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582FF3" w14:paraId="710C590C" w14:textId="77777777">
      <w:pPr>
        <w:spacing w:after="0" w:line="240" w:lineRule="auto"/>
        <w:rPr>
          <w:rFonts w:ascii="Times New Roman" w:hAnsi="Times New Roman" w:cs="Times New Roman"/>
          <w:sz w:val="26"/>
          <w:szCs w:val="26"/>
        </w:rPr>
      </w:pPr>
    </w:p>
    <w:p w:rsidR="00582FF3" w14:paraId="01C121C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TOP-010-1 Reliability Standard requires applicable entities to provide notification to operators of real-time monitoring of alarm failures.  TOP-010-1 also requires applicable entities to implement operating processes or operating procedures to</w:t>
      </w:r>
      <w:r>
        <w:rPr>
          <w:rFonts w:ascii="Times New Roman" w:hAnsi="Times New Roman" w:cs="Times New Roman"/>
          <w:sz w:val="26"/>
          <w:szCs w:val="26"/>
        </w:rPr>
        <w:t>:  (</w:t>
      </w:r>
      <w:r>
        <w:rPr>
          <w:rFonts w:ascii="Times New Roman" w:hAnsi="Times New Roman" w:cs="Times New Roman"/>
          <w:sz w:val="26"/>
          <w:szCs w:val="26"/>
        </w:rPr>
        <w:t>i</w:t>
      </w:r>
      <w:r>
        <w:rPr>
          <w:rFonts w:ascii="Times New Roman" w:hAnsi="Times New Roman" w:cs="Times New Roman"/>
          <w:sz w:val="26"/>
          <w:szCs w:val="26"/>
        </w:rPr>
        <w:t xml:space="preserve">) provide operators with indication(s) of the quality of information being provided by their monitoring and analysis capabilities; and (ii) address deficiencies in the quality of information being provided by their monitoring and analysis capabilities.  </w:t>
      </w:r>
    </w:p>
    <w:p w:rsidR="00582FF3" w14:paraId="693A02BE" w14:textId="77777777">
      <w:pPr>
        <w:spacing w:after="0" w:line="240" w:lineRule="auto"/>
        <w:rPr>
          <w:rFonts w:ascii="Times New Roman" w:hAnsi="Times New Roman" w:cs="Times New Roman"/>
          <w:sz w:val="26"/>
          <w:szCs w:val="26"/>
        </w:rPr>
      </w:pPr>
    </w:p>
    <w:p w:rsidR="00582FF3" w14:paraId="71883459"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Our estimates regarding the number of respondents are based on the NERC Compliance Registry as of April 24, 2020.  According to the NERC Compliance Registry, there are 12 reliability coordinators, 98 balancing authorities and 169 transmission operators registered.  </w:t>
      </w:r>
      <w:r>
        <w:rPr>
          <w:rFonts w:ascii="Times New Roman" w:eastAsia="Times New Roman" w:hAnsi="Times New Roman" w:cs="Times New Roman"/>
          <w:sz w:val="26"/>
          <w:szCs w:val="26"/>
        </w:rPr>
        <w:t xml:space="preserve">There are benefits (for small and large entities) to clarifying and bringing efficiencies to the TOP Reliability Standards, consistent with the promoting increased efficiencies in Reliability Standards and reducing requirements that are either redundant with other </w:t>
      </w:r>
      <w:r>
        <w:rPr>
          <w:rFonts w:ascii="Times New Roman" w:eastAsia="Times New Roman" w:hAnsi="Times New Roman" w:cs="Times New Roman"/>
          <w:sz w:val="26"/>
          <w:szCs w:val="26"/>
        </w:rPr>
        <w:t>currently-effective</w:t>
      </w:r>
      <w:r>
        <w:rPr>
          <w:rFonts w:ascii="Times New Roman" w:eastAsia="Times New Roman" w:hAnsi="Times New Roman" w:cs="Times New Roman"/>
          <w:sz w:val="26"/>
          <w:szCs w:val="26"/>
        </w:rPr>
        <w:t xml:space="preserve"> requirements or have little reliability benefit.</w:t>
      </w:r>
    </w:p>
    <w:p w:rsidR="00582FF3" w14:paraId="114D3ECF" w14:textId="77777777">
      <w:pPr>
        <w:spacing w:after="0" w:line="240" w:lineRule="auto"/>
        <w:rPr>
          <w:rFonts w:ascii="Times New Roman" w:hAnsi="Times New Roman" w:cs="Times New Roman"/>
          <w:sz w:val="26"/>
          <w:szCs w:val="26"/>
        </w:rPr>
      </w:pPr>
    </w:p>
    <w:p w:rsidR="00582FF3" w14:paraId="5B6F4412"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582FF3" w14:paraId="56933B35" w14:textId="77777777">
      <w:pPr>
        <w:tabs>
          <w:tab w:val="num" w:pos="720"/>
        </w:tabs>
        <w:autoSpaceDE w:val="0"/>
        <w:autoSpaceDN w:val="0"/>
        <w:adjustRightInd w:val="0"/>
        <w:spacing w:before="100" w:beforeAutospacing="1" w:after="240" w:line="240"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The Reliability Standard improves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 Failure to follow requirements and compliance of TOP-010-1 could directly affect the ability to effectively monitor and control and ensure reliability of the bulk electric system. </w:t>
      </w:r>
    </w:p>
    <w:p w:rsidR="00582FF3" w14:paraId="695343D5"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582FF3" w14:paraId="3A5E2B94" w14:textId="77777777">
      <w:pPr>
        <w:spacing w:after="0"/>
        <w:rPr>
          <w:rFonts w:ascii="Times New Roman" w:hAnsi="Times New Roman" w:cs="Times New Roman"/>
          <w:b/>
          <w:sz w:val="26"/>
          <w:szCs w:val="26"/>
        </w:rPr>
      </w:pPr>
    </w:p>
    <w:p w:rsidR="00582FF3" w14:paraId="49BAA781" w14:textId="77777777">
      <w:pPr>
        <w:spacing w:after="0"/>
        <w:rPr>
          <w:rFonts w:ascii="Times New Roman" w:eastAsia="Times New Roman" w:hAnsi="Times New Roman" w:cs="Times New Roman"/>
          <w:sz w:val="26"/>
          <w:szCs w:val="26"/>
        </w:rPr>
      </w:pPr>
      <w:r>
        <w:rPr>
          <w:rFonts w:ascii="Times New Roman" w:hAnsi="Times New Roman" w:cs="Times New Roman"/>
          <w:bCs/>
          <w:sz w:val="26"/>
          <w:szCs w:val="26"/>
        </w:rPr>
        <w:t xml:space="preserve">There are special circumstances relating to this collection that require respondents to provide information with fewer than 30 </w:t>
      </w:r>
      <w:r>
        <w:rPr>
          <w:rFonts w:ascii="Times New Roman" w:hAnsi="Times New Roman" w:cs="Times New Roman"/>
          <w:bCs/>
          <w:sz w:val="26"/>
          <w:szCs w:val="26"/>
        </w:rPr>
        <w:t>days notice</w:t>
      </w:r>
      <w:r>
        <w:rPr>
          <w:rFonts w:ascii="Times New Roman" w:hAnsi="Times New Roman" w:cs="Times New Roman"/>
          <w:bCs/>
          <w:sz w:val="26"/>
          <w:szCs w:val="26"/>
        </w:rPr>
        <w:t xml:space="preserve"> (i.e., real-time data </w:t>
      </w:r>
      <w:r>
        <w:rPr>
          <w:rFonts w:ascii="Times New Roman" w:hAnsi="Times New Roman" w:cs="Times New Roman"/>
          <w:bCs/>
          <w:sz w:val="26"/>
          <w:szCs w:val="26"/>
        </w:rPr>
        <w:t>monitorying</w:t>
      </w:r>
      <w:r>
        <w:rPr>
          <w:rFonts w:ascii="Times New Roman" w:hAnsi="Times New Roman" w:cs="Times New Roman"/>
          <w:bCs/>
          <w:sz w:val="26"/>
          <w:szCs w:val="26"/>
        </w:rPr>
        <w:t xml:space="preserve"> and real-time assessments, etc.). </w:t>
      </w:r>
      <w:r>
        <w:rPr>
          <w:rFonts w:ascii="Times New Roman" w:eastAsia="Times New Roman" w:hAnsi="Times New Roman" w:cs="Times New Roman"/>
          <w:sz w:val="26"/>
          <w:szCs w:val="26"/>
        </w:rPr>
        <w:t>Reliability Standards and TOP-010-1, Requirements R1 and R2 go beyond documentation and specification of data and require the implementation of an operating process or operating procedure to address “the quality of the Real-time data necessary to perform Real-time data monitoring and Real-time Assessments or analysis functions.”</w:t>
      </w:r>
      <w:r>
        <w:rPr>
          <w:rFonts w:ascii="Times New Roman" w:eastAsia="Times New Roman" w:hAnsi="Times New Roman" w:cs="Times New Roman"/>
          <w:b/>
          <w:sz w:val="26"/>
          <w:szCs w:val="26"/>
          <w:vertAlign w:val="superscript"/>
        </w:rPr>
        <w:footnoteReference w:id="7"/>
      </w:r>
      <w:r>
        <w:rPr>
          <w:rFonts w:ascii="Times New Roman" w:eastAsia="Times New Roman" w:hAnsi="Times New Roman" w:cs="Times New Roman"/>
          <w:sz w:val="26"/>
          <w:szCs w:val="26"/>
        </w:rPr>
        <w:t xml:space="preserve">  The operating process or procedure includes criteria for evaluating the quality of data, provisions to indicate the quality of data and, actions to address quality issues with the entity(</w:t>
      </w:r>
      <w:r>
        <w:rPr>
          <w:rFonts w:ascii="Times New Roman" w:eastAsia="Times New Roman" w:hAnsi="Times New Roman" w:cs="Times New Roman"/>
          <w:sz w:val="26"/>
          <w:szCs w:val="26"/>
        </w:rPr>
        <w:t>ies</w:t>
      </w:r>
      <w:r>
        <w:rPr>
          <w:rFonts w:ascii="Times New Roman" w:eastAsia="Times New Roman" w:hAnsi="Times New Roman" w:cs="Times New Roman"/>
          <w:sz w:val="26"/>
          <w:szCs w:val="26"/>
        </w:rPr>
        <w:t xml:space="preserve">) providing the data. </w:t>
      </w:r>
      <w:r>
        <w:t xml:space="preserve"> </w:t>
      </w:r>
      <w:r>
        <w:rPr>
          <w:rFonts w:ascii="Times New Roman" w:eastAsia="Times New Roman" w:hAnsi="Times New Roman" w:cs="Times New Roman"/>
          <w:sz w:val="26"/>
          <w:szCs w:val="26"/>
        </w:rPr>
        <w:t>Reliability Standards TOP-010-1 satisfy the Commission’s criteria in Order No. 672, and are just, reasonable, not unduly discriminatory or preferential, and in the public interest.</w:t>
      </w:r>
    </w:p>
    <w:p w:rsidR="00582FF3" w14:paraId="18B8D86E" w14:textId="77777777">
      <w:pPr>
        <w:spacing w:after="0"/>
        <w:rPr>
          <w:rFonts w:ascii="Times New Roman" w:eastAsia="Times New Roman" w:hAnsi="Times New Roman" w:cs="Times New Roman"/>
          <w:sz w:val="26"/>
          <w:szCs w:val="26"/>
        </w:rPr>
      </w:pPr>
    </w:p>
    <w:p w:rsidR="00582FF3" w14:paraId="0653C244" w14:textId="77777777">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To be effective in support of situational awareness, Real-time monitoring and analysis must:</w:t>
      </w:r>
    </w:p>
    <w:p w:rsidR="00582FF3" w:rsidRPr="00377187" w:rsidP="00377187" w14:paraId="5650570F" w14:textId="77777777">
      <w:pPr>
        <w:pStyle w:val="ListParagraph"/>
        <w:numPr>
          <w:ilvl w:val="0"/>
          <w:numId w:val="12"/>
        </w:num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be performed with sufficient frequency to allow operators to understand operating</w:t>
      </w:r>
    </w:p>
    <w:p w:rsidR="00582FF3" w:rsidP="00377187" w14:paraId="6328C8AB" w14:textId="77777777">
      <w:p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 xml:space="preserve">conditions and take corrective actions when </w:t>
      </w:r>
      <w:r w:rsidRPr="00377187">
        <w:rPr>
          <w:rFonts w:ascii="Times New Roman" w:eastAsia="Times New Roman" w:hAnsi="Times New Roman" w:cs="Times New Roman"/>
          <w:sz w:val="26"/>
          <w:szCs w:val="26"/>
        </w:rPr>
        <w:t>necessary;</w:t>
      </w:r>
      <w:r>
        <w:rPr>
          <w:rFonts w:ascii="Times New Roman" w:eastAsia="Times New Roman" w:hAnsi="Times New Roman" w:cs="Times New Roman"/>
          <w:sz w:val="26"/>
          <w:szCs w:val="26"/>
        </w:rPr>
        <w:t xml:space="preserve"> </w:t>
      </w:r>
    </w:p>
    <w:p w:rsidR="00582FF3" w:rsidRPr="00377187" w:rsidP="00377187" w14:paraId="2EA72961" w14:textId="77777777">
      <w:pPr>
        <w:pStyle w:val="ListParagraph"/>
        <w:numPr>
          <w:ilvl w:val="0"/>
          <w:numId w:val="12"/>
        </w:num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 xml:space="preserve">provide awareness of information quality to allow operators to assess the accuracy of </w:t>
      </w:r>
    </w:p>
    <w:p w:rsidR="00582FF3" w:rsidRPr="00377187" w:rsidP="00377187" w14:paraId="5DEB3F3C" w14:textId="77777777">
      <w:p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information being received on system conditions and take corrective actions when</w:t>
      </w:r>
    </w:p>
    <w:p w:rsidR="00582FF3" w:rsidRPr="00377187" w:rsidP="00377187" w14:paraId="24E5C833" w14:textId="77777777">
      <w:p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necessary; and</w:t>
      </w:r>
    </w:p>
    <w:p w:rsidR="00582FF3" w:rsidRPr="00377187" w:rsidP="00377187" w14:paraId="1E3E197B" w14:textId="77777777">
      <w:pPr>
        <w:pStyle w:val="ListParagraph"/>
        <w:numPr>
          <w:ilvl w:val="0"/>
          <w:numId w:val="12"/>
        </w:num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indicate when monitoring or analysis processes are not operating normally or are</w:t>
      </w:r>
    </w:p>
    <w:p w:rsidR="00582FF3" w:rsidRPr="00377187" w:rsidP="00377187" w14:paraId="4F644C10" w14:textId="77777777">
      <w:p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unavailable in order to provide operator awareness of the accuracy of the information</w:t>
      </w:r>
    </w:p>
    <w:p w:rsidR="00582FF3" w:rsidRPr="00377187" w:rsidP="00377187" w14:paraId="55C6ED7C" w14:textId="77777777">
      <w:pPr>
        <w:spacing w:after="0"/>
        <w:ind w:left="360"/>
        <w:rPr>
          <w:rFonts w:ascii="Times New Roman" w:eastAsia="Times New Roman" w:hAnsi="Times New Roman" w:cs="Times New Roman"/>
          <w:sz w:val="26"/>
          <w:szCs w:val="26"/>
        </w:rPr>
      </w:pPr>
      <w:r w:rsidRPr="00377187">
        <w:rPr>
          <w:rFonts w:ascii="Times New Roman" w:eastAsia="Times New Roman" w:hAnsi="Times New Roman" w:cs="Times New Roman"/>
          <w:sz w:val="26"/>
          <w:szCs w:val="26"/>
        </w:rPr>
        <w:t>being provided.</w:t>
      </w:r>
    </w:p>
    <w:p w:rsidR="00582FF3" w14:paraId="4B91888F" w14:textId="77777777">
      <w:pPr>
        <w:spacing w:after="0"/>
        <w:rPr>
          <w:rFonts w:ascii="Times New Roman" w:hAnsi="Times New Roman" w:cs="Times New Roman"/>
          <w:bCs/>
          <w:sz w:val="26"/>
          <w:szCs w:val="26"/>
        </w:rPr>
      </w:pPr>
    </w:p>
    <w:p w:rsidR="00582FF3" w14:paraId="2930BFF9" w14:textId="77777777">
      <w:pPr>
        <w:pStyle w:val="ListParagraph"/>
        <w:numPr>
          <w:ilvl w:val="0"/>
          <w:numId w:val="1"/>
        </w:numPr>
        <w:spacing w:after="0" w:line="240" w:lineRule="auto"/>
        <w:rPr>
          <w:rFonts w:ascii="Times New Roman" w:hAnsi="Times New Roman" w:cs="Times New Roman"/>
          <w:sz w:val="26"/>
          <w:szCs w:val="26"/>
        </w:rPr>
      </w:pPr>
      <w:r>
        <w:rPr>
          <w:rFonts w:ascii="Times New Roman" w:eastAsia="Calibri" w:hAnsi="Times New Roman" w:cs="Times New Roman"/>
          <w:b/>
          <w:sz w:val="26"/>
          <w:szCs w:val="26"/>
        </w:rPr>
        <w:t>DESCRIBE EFFORTS TO CONSULT OUTSIDE THE AGENCY: SUMMARIZE PUBLIC COMMENTS AND THE AGENCY’S RESPONSE</w:t>
      </w:r>
    </w:p>
    <w:p w:rsidR="00582FF3" w14:paraId="4E418E1F" w14:textId="77777777">
      <w:pPr>
        <w:pStyle w:val="ListParagraph"/>
        <w:spacing w:after="0" w:line="240" w:lineRule="auto"/>
        <w:ind w:left="360"/>
        <w:rPr>
          <w:rFonts w:ascii="Times New Roman" w:hAnsi="Times New Roman" w:cs="Times New Roman"/>
          <w:sz w:val="26"/>
          <w:szCs w:val="26"/>
        </w:rPr>
      </w:pPr>
    </w:p>
    <w:p w:rsidR="00582FF3" w14:paraId="43F60CDC" w14:textId="2BF92582">
      <w:pPr>
        <w:spacing w:line="240" w:lineRule="auto"/>
        <w:rPr>
          <w:rFonts w:ascii="Times New Roman" w:eastAsia="Times New Roman" w:hAnsi="Times New Roman" w:cs="Times New Roman"/>
          <w:sz w:val="26"/>
          <w:szCs w:val="26"/>
        </w:rPr>
      </w:pPr>
      <w:r w:rsidRPr="66D88AD0">
        <w:rPr>
          <w:rFonts w:ascii="Times New Roman" w:hAnsi="Times New Roman" w:cs="Times New Roman"/>
          <w:sz w:val="26"/>
          <w:szCs w:val="26"/>
        </w:rPr>
        <w:t>FERC notices were published in the Federal Register, thereby allowing all public utilities, natural gas and oil pipeline companies, state commissions, federal agencies, and other interested parties an opportunity to submit comments, or suggestions concerning the proposal.  The 60-day Notice was published in the Federal Register (</w:t>
      </w:r>
      <w:r w:rsidRPr="00E84DD1" w:rsidR="00E84DD1">
        <w:rPr>
          <w:rFonts w:ascii="Times New Roman" w:eastAsia="Times New Roman" w:hAnsi="Times New Roman" w:cs="Times New Roman"/>
          <w:sz w:val="24"/>
          <w:szCs w:val="24"/>
        </w:rPr>
        <w:t>88 FR 13110</w:t>
      </w:r>
      <w:r w:rsidRPr="66D88AD0">
        <w:rPr>
          <w:rFonts w:ascii="Times New Roman" w:hAnsi="Times New Roman" w:cs="Times New Roman"/>
          <w:sz w:val="26"/>
          <w:szCs w:val="26"/>
        </w:rPr>
        <w:t>, dated 0</w:t>
      </w:r>
      <w:r w:rsidR="00E84DD1">
        <w:rPr>
          <w:rFonts w:ascii="Times New Roman" w:hAnsi="Times New Roman" w:cs="Times New Roman"/>
          <w:sz w:val="26"/>
          <w:szCs w:val="26"/>
        </w:rPr>
        <w:t>3</w:t>
      </w:r>
      <w:r w:rsidRPr="66D88AD0">
        <w:rPr>
          <w:rFonts w:ascii="Times New Roman" w:hAnsi="Times New Roman" w:cs="Times New Roman"/>
          <w:sz w:val="26"/>
          <w:szCs w:val="26"/>
        </w:rPr>
        <w:t>/</w:t>
      </w:r>
      <w:r w:rsidR="00E84DD1">
        <w:rPr>
          <w:rFonts w:ascii="Times New Roman" w:hAnsi="Times New Roman" w:cs="Times New Roman"/>
          <w:sz w:val="26"/>
          <w:szCs w:val="26"/>
        </w:rPr>
        <w:t>2</w:t>
      </w:r>
      <w:r w:rsidRPr="66D88AD0">
        <w:rPr>
          <w:rFonts w:ascii="Times New Roman" w:hAnsi="Times New Roman" w:cs="Times New Roman"/>
          <w:sz w:val="26"/>
          <w:szCs w:val="26"/>
        </w:rPr>
        <w:t>/202</w:t>
      </w:r>
      <w:r w:rsidR="00E84DD1">
        <w:rPr>
          <w:rFonts w:ascii="Times New Roman" w:hAnsi="Times New Roman" w:cs="Times New Roman"/>
          <w:sz w:val="26"/>
          <w:szCs w:val="26"/>
        </w:rPr>
        <w:t>3</w:t>
      </w:r>
      <w:r w:rsidRPr="66D88AD0">
        <w:rPr>
          <w:rFonts w:ascii="Times New Roman" w:hAnsi="Times New Roman" w:cs="Times New Roman"/>
          <w:sz w:val="26"/>
          <w:szCs w:val="26"/>
        </w:rPr>
        <w:t>) and no comments were received.  The 30-day Notice was published in the Federal Register (</w:t>
      </w:r>
      <w:r w:rsidR="006A1C66">
        <w:rPr>
          <w:rFonts w:ascii="Times New Roman" w:hAnsi="Times New Roman" w:cs="Times New Roman"/>
          <w:sz w:val="26"/>
          <w:szCs w:val="26"/>
        </w:rPr>
        <w:t>88</w:t>
      </w:r>
      <w:r w:rsidRPr="66D88AD0">
        <w:rPr>
          <w:rFonts w:ascii="Times New Roman" w:hAnsi="Times New Roman" w:cs="Times New Roman"/>
          <w:sz w:val="26"/>
          <w:szCs w:val="26"/>
        </w:rPr>
        <w:t xml:space="preserve"> FR</w:t>
      </w:r>
      <w:r w:rsidR="001F36A3">
        <w:rPr>
          <w:rFonts w:ascii="Times New Roman" w:hAnsi="Times New Roman" w:cs="Times New Roman"/>
          <w:sz w:val="26"/>
          <w:szCs w:val="26"/>
        </w:rPr>
        <w:t xml:space="preserve"> </w:t>
      </w:r>
      <w:r w:rsidRPr="001F36A3" w:rsidR="001F36A3">
        <w:rPr>
          <w:rFonts w:ascii="Times New Roman" w:hAnsi="Times New Roman" w:cs="Times New Roman"/>
          <w:sz w:val="26"/>
          <w:szCs w:val="26"/>
        </w:rPr>
        <w:t>29897</w:t>
      </w:r>
      <w:r w:rsidRPr="66D88AD0">
        <w:rPr>
          <w:rFonts w:ascii="Times New Roman" w:hAnsi="Times New Roman" w:cs="Times New Roman"/>
          <w:sz w:val="26"/>
          <w:szCs w:val="26"/>
        </w:rPr>
        <w:t>, dated 05/</w:t>
      </w:r>
      <w:r w:rsidR="006A1C66">
        <w:rPr>
          <w:rFonts w:ascii="Times New Roman" w:hAnsi="Times New Roman" w:cs="Times New Roman"/>
          <w:sz w:val="26"/>
          <w:szCs w:val="26"/>
        </w:rPr>
        <w:t>9</w:t>
      </w:r>
      <w:r w:rsidRPr="66D88AD0">
        <w:rPr>
          <w:rFonts w:ascii="Times New Roman" w:hAnsi="Times New Roman" w:cs="Times New Roman"/>
          <w:sz w:val="26"/>
          <w:szCs w:val="26"/>
        </w:rPr>
        <w:t>/202</w:t>
      </w:r>
      <w:r w:rsidR="006A1C66">
        <w:rPr>
          <w:rFonts w:ascii="Times New Roman" w:hAnsi="Times New Roman" w:cs="Times New Roman"/>
          <w:sz w:val="26"/>
          <w:szCs w:val="26"/>
        </w:rPr>
        <w:t>3</w:t>
      </w:r>
      <w:r w:rsidRPr="66D88AD0">
        <w:rPr>
          <w:rFonts w:ascii="Times New Roman" w:hAnsi="Times New Roman" w:cs="Times New Roman"/>
          <w:sz w:val="26"/>
          <w:szCs w:val="26"/>
        </w:rPr>
        <w:t xml:space="preserve">). </w:t>
      </w:r>
    </w:p>
    <w:p w:rsidR="00582FF3" w14:paraId="51582658"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582FF3" w14:paraId="3DC3D051" w14:textId="77777777">
      <w:pPr>
        <w:spacing w:after="0" w:line="240" w:lineRule="auto"/>
        <w:rPr>
          <w:rFonts w:ascii="Times New Roman" w:hAnsi="Times New Roman" w:cs="Times New Roman"/>
          <w:sz w:val="26"/>
          <w:szCs w:val="26"/>
        </w:rPr>
      </w:pPr>
    </w:p>
    <w:p w:rsidR="00582FF3" w14:paraId="1C1B7EC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FERC-725A(1B).</w:t>
      </w:r>
    </w:p>
    <w:p w:rsidR="00582FF3" w14:paraId="65DC7455" w14:textId="77777777">
      <w:pPr>
        <w:spacing w:after="0" w:line="240" w:lineRule="auto"/>
        <w:rPr>
          <w:rFonts w:ascii="Times New Roman" w:hAnsi="Times New Roman" w:cs="Times New Roman"/>
          <w:sz w:val="26"/>
          <w:szCs w:val="26"/>
        </w:rPr>
      </w:pPr>
    </w:p>
    <w:p w:rsidR="00582FF3" w14:paraId="5567D65E"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582FF3" w14:paraId="0B97A6CC" w14:textId="77777777">
      <w:pPr>
        <w:spacing w:after="0" w:line="240" w:lineRule="auto"/>
        <w:rPr>
          <w:rFonts w:ascii="Times New Roman" w:hAnsi="Times New Roman" w:cs="Times New Roman"/>
          <w:sz w:val="26"/>
          <w:szCs w:val="26"/>
        </w:rPr>
      </w:pPr>
    </w:p>
    <w:p w:rsidR="00582FF3" w14:paraId="53E6A0F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Responding entities do not submit the information collections to FERC.  Rather, they submit the information to NERC, the Regional Entities, or maintain it internally.  Since there are no submissions made to FERC, FERC provides no specific provisions in order to protect confidentiality.  </w:t>
      </w:r>
    </w:p>
    <w:p w:rsidR="00582FF3" w14:paraId="51BB3C04" w14:textId="77777777">
      <w:pPr>
        <w:spacing w:after="0" w:line="240" w:lineRule="auto"/>
        <w:rPr>
          <w:rFonts w:ascii="Times New Roman" w:hAnsi="Times New Roman" w:cs="Times New Roman"/>
          <w:sz w:val="26"/>
          <w:szCs w:val="26"/>
        </w:rPr>
      </w:pPr>
    </w:p>
    <w:p w:rsidR="00582FF3" w14:paraId="16FA361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According to the NERC Rules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00582FF3" w14:paraId="17F961D4" w14:textId="77777777">
      <w:pPr>
        <w:spacing w:after="0" w:line="240" w:lineRule="auto"/>
        <w:rPr>
          <w:rFonts w:ascii="Times New Roman" w:hAnsi="Times New Roman" w:cs="Times New Roman"/>
          <w:sz w:val="26"/>
          <w:szCs w:val="26"/>
        </w:rPr>
      </w:pPr>
    </w:p>
    <w:p w:rsidR="00582FF3" w14:paraId="552ABD35"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PROVIDE ADDITIONAL JUSTIFICATION FOR ANY QUESTIONS OF A SENSITIVE NATURE, SUCH AS SEXUAL BEHAVIOR AND ATTITUDES, RELIGIOUS BELIEFS, AND OTHER MATTERS THAT ARE COMMONLY CONSIDERED PRIVATE </w:t>
      </w:r>
    </w:p>
    <w:p w:rsidR="00582FF3" w14:paraId="63A9871F" w14:textId="77777777">
      <w:pPr>
        <w:spacing w:after="0" w:line="240" w:lineRule="auto"/>
        <w:rPr>
          <w:rFonts w:ascii="Times New Roman" w:hAnsi="Times New Roman" w:cs="Times New Roman"/>
          <w:sz w:val="26"/>
          <w:szCs w:val="26"/>
        </w:rPr>
      </w:pPr>
    </w:p>
    <w:p w:rsidR="00582FF3" w14:paraId="79B1AD8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questions of a sensitive nature that are considered private in FERC-725A(1B).</w:t>
      </w:r>
    </w:p>
    <w:p w:rsidR="00582FF3" w14:paraId="305B7BF3" w14:textId="77777777">
      <w:pPr>
        <w:spacing w:after="0" w:line="240" w:lineRule="auto"/>
        <w:rPr>
          <w:rFonts w:ascii="Times New Roman" w:hAnsi="Times New Roman" w:cs="Times New Roman"/>
          <w:sz w:val="26"/>
          <w:szCs w:val="26"/>
        </w:rPr>
      </w:pPr>
    </w:p>
    <w:p w:rsidR="00582FF3" w14:paraId="40AED3A6"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582FF3" w14:paraId="0DFA4DE4" w14:textId="77777777">
      <w:pPr>
        <w:spacing w:after="0" w:line="240" w:lineRule="auto"/>
        <w:rPr>
          <w:rFonts w:ascii="Times New Roman" w:hAnsi="Times New Roman" w:cs="Times New Roman"/>
          <w:sz w:val="26"/>
          <w:szCs w:val="26"/>
        </w:rPr>
      </w:pPr>
    </w:p>
    <w:p w:rsidR="00582FF3" w14:paraId="568ADB59"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Calibri" w:hAnsi="Times New Roman" w:cs="Times New Roman"/>
          <w:bCs/>
          <w:sz w:val="26"/>
          <w:szCs w:val="26"/>
        </w:rPr>
        <w:t>The</w:t>
      </w: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 xml:space="preserve">TOP Reliability Standard has reduced in the number of respondents and will result in a small decrease in total burden for requirements imposed on entities to provide notification to operators of real-time situational awareness. </w:t>
      </w:r>
    </w:p>
    <w:p w:rsidR="00582FF3" w14:paraId="280DD607"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p>
    <w:p w:rsidR="00582FF3" w14:paraId="35D88536" w14:textId="073BDFEC">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estimated burdens and costs related to the estimated changes in Docket No. IC</w:t>
      </w:r>
      <w:r w:rsidR="0000221C">
        <w:rPr>
          <w:rFonts w:ascii="Times New Roman" w:eastAsia="Times New Roman" w:hAnsi="Times New Roman" w:cs="Times New Roman"/>
          <w:sz w:val="26"/>
          <w:szCs w:val="26"/>
        </w:rPr>
        <w:t>23</w:t>
      </w:r>
      <w:r>
        <w:rPr>
          <w:rFonts w:ascii="Times New Roman" w:eastAsia="Times New Roman" w:hAnsi="Times New Roman" w:cs="Times New Roman"/>
          <w:sz w:val="26"/>
          <w:szCs w:val="26"/>
        </w:rPr>
        <w:t>-</w:t>
      </w:r>
      <w:r w:rsidR="00BC6640">
        <w:rPr>
          <w:rFonts w:ascii="Times New Roman" w:eastAsia="Times New Roman" w:hAnsi="Times New Roman" w:cs="Times New Roman"/>
          <w:sz w:val="26"/>
          <w:szCs w:val="26"/>
        </w:rPr>
        <w:t>7-000</w:t>
      </w:r>
      <w:r>
        <w:rPr>
          <w:rFonts w:ascii="Times New Roman" w:eastAsia="Times New Roman" w:hAnsi="Times New Roman" w:cs="Times New Roman"/>
          <w:sz w:val="26"/>
          <w:szCs w:val="26"/>
        </w:rPr>
        <w:t xml:space="preserve"> are as follows:</w:t>
      </w:r>
    </w:p>
    <w:p w:rsidR="00582FF3" w14:paraId="4040EDF2" w14:textId="12C3BC4B">
      <w:pPr>
        <w:widowControl w:val="0"/>
        <w:autoSpaceDE w:val="0"/>
        <w:autoSpaceDN w:val="0"/>
        <w:adjustRightInd w:val="0"/>
        <w:spacing w:after="0" w:line="240" w:lineRule="auto"/>
        <w:rPr>
          <w:rFonts w:ascii="Times New Roman" w:eastAsia="Times New Roman" w:hAnsi="Times New Roman" w:cs="Times New Roman"/>
          <w:b/>
          <w:sz w:val="26"/>
          <w:szCs w:val="26"/>
        </w:rPr>
      </w:pPr>
    </w:p>
    <w:tbl>
      <w:tblPr>
        <w:tblW w:w="55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45"/>
        <w:gridCol w:w="975"/>
        <w:gridCol w:w="1000"/>
        <w:gridCol w:w="1170"/>
        <w:gridCol w:w="1265"/>
        <w:gridCol w:w="1526"/>
        <w:gridCol w:w="1629"/>
      </w:tblGrid>
      <w:tr w14:paraId="1967BB50" w14:textId="77777777" w:rsidTr="00CE28C4">
        <w:tblPrEx>
          <w:tblW w:w="55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50"/>
        </w:trPr>
        <w:tc>
          <w:tcPr>
            <w:tcW w:w="5000" w:type="pct"/>
            <w:gridSpan w:val="8"/>
            <w:shd w:val="clear" w:color="auto" w:fill="D9D9D9"/>
            <w:vAlign w:val="center"/>
          </w:tcPr>
          <w:p w:rsidR="00CE28C4" w:rsidRPr="00CE28C4" w:rsidP="00CE28C4" w14:paraId="08C1294C" w14:textId="77777777">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CE28C4">
              <w:rPr>
                <w:rFonts w:ascii="Times New Roman" w:eastAsia="Calibri" w:hAnsi="Times New Roman" w:cs="Times New Roman"/>
                <w:b/>
                <w:bCs/>
                <w:sz w:val="26"/>
                <w:szCs w:val="24"/>
              </w:rPr>
              <w:t>FERC-725A(1B)-</w:t>
            </w:r>
            <w:r w:rsidRPr="00CE28C4">
              <w:rPr>
                <w:rFonts w:ascii="Times New Roman" w:eastAsia="Times New Roman" w:hAnsi="Times New Roman" w:cs="Times New Roman"/>
                <w:sz w:val="26"/>
                <w:szCs w:val="24"/>
              </w:rPr>
              <w:t xml:space="preserve"> </w:t>
            </w:r>
            <w:r w:rsidRPr="00CE28C4">
              <w:rPr>
                <w:rFonts w:ascii="Times New Roman" w:eastAsia="Times New Roman" w:hAnsi="Times New Roman" w:cs="Times New Roman"/>
                <w:b/>
                <w:bCs/>
                <w:sz w:val="26"/>
                <w:szCs w:val="24"/>
              </w:rPr>
              <w:t>Mandatory Reliability Standards for the Bulk Power System</w:t>
            </w:r>
            <w:r>
              <w:rPr>
                <w:rFonts w:ascii="Times New Roman" w:eastAsia="Calibri" w:hAnsi="Times New Roman" w:cs="Times New Roman"/>
                <w:b/>
                <w:sz w:val="26"/>
                <w:szCs w:val="26"/>
                <w:vertAlign w:val="superscript"/>
              </w:rPr>
              <w:footnoteReference w:id="8"/>
            </w:r>
          </w:p>
          <w:p w:rsidR="00CE28C4" w:rsidRPr="00CE28C4" w:rsidP="00CE28C4" w14:paraId="755A0466" w14:textId="77777777">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14:paraId="1625AB49" w14:textId="77777777" w:rsidTr="00FF2DEF">
        <w:tblPrEx>
          <w:tblW w:w="5535" w:type="pct"/>
          <w:tblInd w:w="-365" w:type="dxa"/>
          <w:tblLayout w:type="fixed"/>
          <w:tblLook w:val="01E0"/>
        </w:tblPrEx>
        <w:trPr>
          <w:cantSplit/>
        </w:trPr>
        <w:tc>
          <w:tcPr>
            <w:tcW w:w="696" w:type="pct"/>
            <w:shd w:val="clear" w:color="auto" w:fill="D9D9D9"/>
            <w:vAlign w:val="center"/>
          </w:tcPr>
          <w:p w:rsidR="00CE28C4" w:rsidRPr="00CE28C4" w:rsidP="00CE28C4" w14:paraId="3B89A216"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Entity</w:t>
            </w:r>
          </w:p>
        </w:tc>
        <w:tc>
          <w:tcPr>
            <w:tcW w:w="650" w:type="pct"/>
            <w:shd w:val="clear" w:color="auto" w:fill="D9D9D9"/>
            <w:vAlign w:val="center"/>
          </w:tcPr>
          <w:p w:rsidR="00CE28C4" w:rsidRPr="00CE28C4" w:rsidP="00CE28C4" w14:paraId="2A1BFE69"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Times New Roman" w:hAnsi="Times New Roman" w:cs="Times New Roman"/>
                <w:b/>
                <w:sz w:val="24"/>
                <w:szCs w:val="24"/>
              </w:rPr>
              <w:t xml:space="preserve">Requirements </w:t>
            </w:r>
          </w:p>
        </w:tc>
        <w:tc>
          <w:tcPr>
            <w:tcW w:w="471" w:type="pct"/>
            <w:shd w:val="clear" w:color="auto" w:fill="D9D9D9"/>
            <w:vAlign w:val="bottom"/>
          </w:tcPr>
          <w:p w:rsidR="00CE28C4" w:rsidRPr="00CE28C4" w:rsidP="00CE28C4" w14:paraId="0EFBC283"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No. of Re</w:t>
            </w:r>
          </w:p>
          <w:p w:rsidR="00CE28C4" w:rsidRPr="00CE28C4" w:rsidP="00CE28C4" w14:paraId="6B61D030"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bCs/>
                <w:sz w:val="24"/>
                <w:szCs w:val="24"/>
              </w:rPr>
              <w:t>spondents</w:t>
            </w:r>
            <w:r>
              <w:rPr>
                <w:rFonts w:ascii="Times New Roman" w:eastAsia="Calibri" w:hAnsi="Times New Roman" w:cs="Times New Roman"/>
                <w:b/>
                <w:bCs/>
                <w:sz w:val="24"/>
                <w:szCs w:val="24"/>
                <w:vertAlign w:val="superscript"/>
              </w:rPr>
              <w:footnoteReference w:id="9"/>
            </w:r>
            <w:r w:rsidRPr="00CE28C4">
              <w:rPr>
                <w:rFonts w:ascii="Times New Roman" w:eastAsia="Calibri" w:hAnsi="Times New Roman" w:cs="Times New Roman"/>
                <w:b/>
                <w:sz w:val="24"/>
                <w:szCs w:val="24"/>
              </w:rPr>
              <w:br/>
            </w:r>
            <w:r w:rsidRPr="00CE28C4">
              <w:rPr>
                <w:rFonts w:ascii="Times New Roman" w:eastAsia="Calibri" w:hAnsi="Times New Roman" w:cs="Times New Roman"/>
                <w:b/>
                <w:bCs/>
                <w:sz w:val="24"/>
                <w:szCs w:val="24"/>
              </w:rPr>
              <w:t>(1)</w:t>
            </w:r>
          </w:p>
        </w:tc>
        <w:tc>
          <w:tcPr>
            <w:tcW w:w="483" w:type="pct"/>
            <w:shd w:val="clear" w:color="auto" w:fill="D9D9D9"/>
            <w:vAlign w:val="bottom"/>
          </w:tcPr>
          <w:p w:rsidR="00CE28C4" w:rsidRPr="00CE28C4" w:rsidP="00CE28C4" w14:paraId="227CAEE9"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Annual No. of Responses per Respondent</w:t>
            </w:r>
          </w:p>
          <w:p w:rsidR="00CE28C4" w:rsidRPr="00CE28C4" w:rsidP="00CE28C4" w14:paraId="244EE2A9"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(2)</w:t>
            </w:r>
          </w:p>
        </w:tc>
        <w:tc>
          <w:tcPr>
            <w:tcW w:w="565" w:type="pct"/>
            <w:shd w:val="clear" w:color="auto" w:fill="D9D9D9"/>
            <w:vAlign w:val="bottom"/>
          </w:tcPr>
          <w:p w:rsidR="00CE28C4" w:rsidRPr="00CE28C4" w:rsidP="00CE28C4" w14:paraId="015A21D9"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Total No. of Responses (</w:t>
            </w:r>
            <w:r w:rsidRPr="00CE28C4">
              <w:rPr>
                <w:rFonts w:ascii="Times New Roman" w:eastAsia="Calibri" w:hAnsi="Times New Roman" w:cs="Times New Roman"/>
                <w:b/>
                <w:sz w:val="24"/>
                <w:szCs w:val="24"/>
              </w:rPr>
              <w:t>1)*</w:t>
            </w:r>
            <w:r w:rsidRPr="00CE28C4">
              <w:rPr>
                <w:rFonts w:ascii="Times New Roman" w:eastAsia="Calibri" w:hAnsi="Times New Roman" w:cs="Times New Roman"/>
                <w:b/>
                <w:sz w:val="24"/>
                <w:szCs w:val="24"/>
              </w:rPr>
              <w:t>(2)=(3)</w:t>
            </w:r>
          </w:p>
        </w:tc>
        <w:tc>
          <w:tcPr>
            <w:tcW w:w="611" w:type="pct"/>
            <w:shd w:val="clear" w:color="auto" w:fill="D9D9D9"/>
            <w:vAlign w:val="bottom"/>
          </w:tcPr>
          <w:p w:rsidR="00CE28C4" w:rsidRPr="00CE28C4" w:rsidP="00CE28C4" w14:paraId="79D13B00"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Average Burden &amp; Cost Per Response</w:t>
            </w:r>
            <w:r>
              <w:rPr>
                <w:rFonts w:ascii="Times New Roman" w:eastAsia="Calibri" w:hAnsi="Times New Roman" w:cs="Times New Roman"/>
                <w:b/>
                <w:sz w:val="24"/>
                <w:szCs w:val="24"/>
                <w:vertAlign w:val="superscript"/>
              </w:rPr>
              <w:footnoteReference w:id="10"/>
            </w:r>
          </w:p>
          <w:p w:rsidR="00CE28C4" w:rsidRPr="00CE28C4" w:rsidP="00CE28C4" w14:paraId="6AD15F8B"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(4)</w:t>
            </w:r>
          </w:p>
        </w:tc>
        <w:tc>
          <w:tcPr>
            <w:tcW w:w="737" w:type="pct"/>
            <w:shd w:val="clear" w:color="auto" w:fill="D9D9D9"/>
            <w:vAlign w:val="bottom"/>
          </w:tcPr>
          <w:p w:rsidR="00CE28C4" w:rsidRPr="00CE28C4" w:rsidP="00CE28C4" w14:paraId="7D4B3621"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Total Annual Burden Hours &amp; Total Annual Cost</w:t>
            </w:r>
          </w:p>
          <w:p w:rsidR="00CE28C4" w:rsidRPr="00CE28C4" w:rsidP="00CE28C4" w14:paraId="496879B6"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w:t>
            </w:r>
            <w:r w:rsidRPr="00CE28C4">
              <w:rPr>
                <w:rFonts w:ascii="Times New Roman" w:eastAsia="Calibri" w:hAnsi="Times New Roman" w:cs="Times New Roman"/>
                <w:b/>
                <w:sz w:val="24"/>
                <w:szCs w:val="24"/>
              </w:rPr>
              <w:t>3)*</w:t>
            </w:r>
            <w:r w:rsidRPr="00CE28C4">
              <w:rPr>
                <w:rFonts w:ascii="Times New Roman" w:eastAsia="Calibri" w:hAnsi="Times New Roman" w:cs="Times New Roman"/>
                <w:b/>
                <w:sz w:val="24"/>
                <w:szCs w:val="24"/>
              </w:rPr>
              <w:t>(4)=(5)</w:t>
            </w:r>
          </w:p>
        </w:tc>
        <w:tc>
          <w:tcPr>
            <w:tcW w:w="787" w:type="pct"/>
            <w:shd w:val="clear" w:color="auto" w:fill="D9D9D9"/>
            <w:vAlign w:val="bottom"/>
          </w:tcPr>
          <w:p w:rsidR="00CE28C4" w:rsidRPr="00CE28C4" w:rsidP="00CE28C4" w14:paraId="48122058"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Cost per Respondent</w:t>
            </w:r>
          </w:p>
          <w:p w:rsidR="00CE28C4" w:rsidRPr="00CE28C4" w:rsidP="00CE28C4" w14:paraId="7A6FB904"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 xml:space="preserve"> ($)</w:t>
            </w:r>
          </w:p>
          <w:p w:rsidR="00CE28C4" w:rsidRPr="00CE28C4" w:rsidP="00CE28C4" w14:paraId="2B19C19F" w14:textId="77777777">
            <w:pPr>
              <w:keepNext/>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E28C4">
              <w:rPr>
                <w:rFonts w:ascii="Times New Roman" w:eastAsia="Calibri" w:hAnsi="Times New Roman" w:cs="Times New Roman"/>
                <w:b/>
                <w:sz w:val="24"/>
                <w:szCs w:val="24"/>
              </w:rPr>
              <w:t>(</w:t>
            </w:r>
            <w:r w:rsidRPr="00CE28C4">
              <w:rPr>
                <w:rFonts w:ascii="Times New Roman" w:eastAsia="Calibri" w:hAnsi="Times New Roman" w:cs="Times New Roman"/>
                <w:b/>
                <w:sz w:val="24"/>
                <w:szCs w:val="24"/>
              </w:rPr>
              <w:t>5)÷</w:t>
            </w:r>
            <w:r w:rsidRPr="00CE28C4">
              <w:rPr>
                <w:rFonts w:ascii="Times New Roman" w:eastAsia="Calibri" w:hAnsi="Times New Roman" w:cs="Times New Roman"/>
                <w:b/>
                <w:sz w:val="24"/>
                <w:szCs w:val="24"/>
              </w:rPr>
              <w:t>(1)</w:t>
            </w:r>
          </w:p>
        </w:tc>
      </w:tr>
      <w:tr w14:paraId="7737AC1B" w14:textId="77777777" w:rsidTr="00FF2DEF">
        <w:tblPrEx>
          <w:tblW w:w="5535" w:type="pct"/>
          <w:tblInd w:w="-365" w:type="dxa"/>
          <w:tblLayout w:type="fixed"/>
          <w:tblLook w:val="01E0"/>
        </w:tblPrEx>
        <w:trPr>
          <w:trHeight w:val="374"/>
        </w:trPr>
        <w:tc>
          <w:tcPr>
            <w:tcW w:w="696" w:type="pct"/>
            <w:vAlign w:val="center"/>
          </w:tcPr>
          <w:p w:rsidR="00CE28C4" w:rsidRPr="00CE28C4" w:rsidP="00CE28C4" w14:paraId="3E28BDAD"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BA</w:t>
            </w:r>
            <w:r>
              <w:rPr>
                <w:rFonts w:ascii="Times New Roman" w:eastAsia="Times New Roman" w:hAnsi="Times New Roman" w:cs="Times New Roman"/>
                <w:b/>
                <w:sz w:val="24"/>
                <w:szCs w:val="24"/>
                <w:vertAlign w:val="superscript"/>
              </w:rPr>
              <w:footnoteReference w:id="11"/>
            </w:r>
          </w:p>
        </w:tc>
        <w:tc>
          <w:tcPr>
            <w:tcW w:w="650" w:type="pct"/>
            <w:vAlign w:val="center"/>
          </w:tcPr>
          <w:p w:rsidR="00CE28C4" w:rsidRPr="00CE28C4" w:rsidP="00CE28C4" w14:paraId="3C016B7E"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Annual reporting</w:t>
            </w:r>
          </w:p>
          <w:p w:rsidR="00CE28C4" w:rsidRPr="00CE28C4" w:rsidP="00CE28C4" w14:paraId="1D858BDB"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471" w:type="pct"/>
            <w:vAlign w:val="bottom"/>
          </w:tcPr>
          <w:p w:rsidR="00CE28C4" w:rsidRPr="00CE28C4" w:rsidP="00CE28C4" w14:paraId="27530430"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36D45EAF"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98</w:t>
            </w:r>
          </w:p>
        </w:tc>
        <w:tc>
          <w:tcPr>
            <w:tcW w:w="483" w:type="pct"/>
            <w:vAlign w:val="bottom"/>
          </w:tcPr>
          <w:p w:rsidR="00CE28C4" w:rsidRPr="00CE28C4" w:rsidP="00CE28C4" w14:paraId="0C4130BA"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3BF6F82F"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w:t>
            </w:r>
          </w:p>
        </w:tc>
        <w:tc>
          <w:tcPr>
            <w:tcW w:w="565" w:type="pct"/>
            <w:vAlign w:val="bottom"/>
          </w:tcPr>
          <w:p w:rsidR="00CE28C4" w:rsidRPr="00CE28C4" w:rsidP="00CE28C4" w14:paraId="0C9BE7C9"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5417D326"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98 </w:t>
            </w:r>
          </w:p>
        </w:tc>
        <w:tc>
          <w:tcPr>
            <w:tcW w:w="611" w:type="pct"/>
            <w:vAlign w:val="bottom"/>
          </w:tcPr>
          <w:p w:rsidR="00CE28C4" w:rsidRPr="00CE28C4" w:rsidP="00CE28C4" w14:paraId="310C3D6F"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42 </w:t>
            </w:r>
            <w:r w:rsidRPr="00CE28C4">
              <w:rPr>
                <w:rFonts w:ascii="Times New Roman" w:eastAsia="Times New Roman" w:hAnsi="Times New Roman" w:cs="Times New Roman"/>
                <w:sz w:val="24"/>
                <w:szCs w:val="24"/>
              </w:rPr>
              <w:t>hrs.;</w:t>
            </w:r>
            <w:r w:rsidRPr="00CE28C4">
              <w:rPr>
                <w:rFonts w:ascii="Times New Roman" w:eastAsia="Times New Roman" w:hAnsi="Times New Roman" w:cs="Times New Roman"/>
                <w:sz w:val="24"/>
                <w:szCs w:val="24"/>
              </w:rPr>
              <w:t xml:space="preserve"> </w:t>
            </w:r>
          </w:p>
          <w:p w:rsidR="00CE28C4" w:rsidRPr="00CE28C4" w:rsidP="00CE28C4" w14:paraId="3D9DA2FE"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6382B1AE"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$3,234.84</w:t>
            </w:r>
          </w:p>
        </w:tc>
        <w:tc>
          <w:tcPr>
            <w:tcW w:w="737" w:type="pct"/>
            <w:vAlign w:val="bottom"/>
          </w:tcPr>
          <w:p w:rsidR="00CE28C4" w:rsidRPr="00CE28C4" w:rsidP="00CE28C4" w14:paraId="27E73E06"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4,116 </w:t>
            </w:r>
            <w:r w:rsidRPr="00CE28C4">
              <w:rPr>
                <w:rFonts w:ascii="Times New Roman" w:eastAsia="Times New Roman" w:hAnsi="Times New Roman" w:cs="Times New Roman"/>
                <w:sz w:val="24"/>
                <w:szCs w:val="24"/>
              </w:rPr>
              <w:t>hrs.;</w:t>
            </w:r>
          </w:p>
          <w:p w:rsidR="00CE28C4" w:rsidRPr="00CE28C4" w:rsidP="00CE28C4" w14:paraId="6D432F8A"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4583A649"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$317,014.32</w:t>
            </w:r>
          </w:p>
        </w:tc>
        <w:tc>
          <w:tcPr>
            <w:tcW w:w="787" w:type="pct"/>
            <w:vAlign w:val="bottom"/>
          </w:tcPr>
          <w:p w:rsidR="00CE28C4" w:rsidRPr="00CE28C4" w:rsidP="00CE28C4" w14:paraId="668F20C0"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1BE8449D"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389CECDD"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$3,234.84</w:t>
            </w:r>
          </w:p>
        </w:tc>
      </w:tr>
      <w:tr w14:paraId="51348B87" w14:textId="77777777" w:rsidTr="00FF2DEF">
        <w:tblPrEx>
          <w:tblW w:w="5535" w:type="pct"/>
          <w:tblInd w:w="-365" w:type="dxa"/>
          <w:tblLayout w:type="fixed"/>
          <w:tblLook w:val="01E0"/>
        </w:tblPrEx>
        <w:trPr>
          <w:trHeight w:val="1502"/>
        </w:trPr>
        <w:tc>
          <w:tcPr>
            <w:tcW w:w="696" w:type="pct"/>
            <w:vAlign w:val="center"/>
          </w:tcPr>
          <w:p w:rsidR="00CE28C4" w:rsidRPr="00CE28C4" w:rsidP="00CE28C4" w14:paraId="2DD26F23"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TOP</w:t>
            </w:r>
            <w:r>
              <w:rPr>
                <w:rFonts w:ascii="Times New Roman" w:eastAsia="Times New Roman" w:hAnsi="Times New Roman" w:cs="Times New Roman"/>
                <w:b/>
                <w:sz w:val="24"/>
                <w:szCs w:val="24"/>
                <w:vertAlign w:val="superscript"/>
              </w:rPr>
              <w:footnoteReference w:id="12"/>
            </w:r>
          </w:p>
        </w:tc>
        <w:tc>
          <w:tcPr>
            <w:tcW w:w="650" w:type="pct"/>
            <w:vAlign w:val="center"/>
          </w:tcPr>
          <w:p w:rsidR="00CE28C4" w:rsidRPr="00CE28C4" w:rsidP="00CE28C4" w14:paraId="7CFE57C5"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p>
          <w:p w:rsidR="00CE28C4" w:rsidRPr="00CE28C4" w:rsidP="00CE28C4" w14:paraId="447A1A66"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Annual reporting</w:t>
            </w:r>
          </w:p>
        </w:tc>
        <w:tc>
          <w:tcPr>
            <w:tcW w:w="471" w:type="pct"/>
            <w:vAlign w:val="bottom"/>
          </w:tcPr>
          <w:p w:rsidR="00CE28C4" w:rsidRPr="00CE28C4" w:rsidP="00CE28C4" w14:paraId="1B53A26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72894F95"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168</w:t>
            </w:r>
          </w:p>
        </w:tc>
        <w:tc>
          <w:tcPr>
            <w:tcW w:w="483" w:type="pct"/>
            <w:vAlign w:val="bottom"/>
          </w:tcPr>
          <w:p w:rsidR="00CE28C4" w:rsidRPr="00CE28C4" w:rsidP="00CE28C4" w14:paraId="18BEF9FF"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718970A5"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w:t>
            </w:r>
          </w:p>
        </w:tc>
        <w:tc>
          <w:tcPr>
            <w:tcW w:w="565" w:type="pct"/>
            <w:vAlign w:val="bottom"/>
          </w:tcPr>
          <w:p w:rsidR="00CE28C4" w:rsidRPr="00CE28C4" w:rsidP="00CE28C4" w14:paraId="40B34EF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39E86E0F"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168</w:t>
            </w:r>
          </w:p>
        </w:tc>
        <w:tc>
          <w:tcPr>
            <w:tcW w:w="611" w:type="pct"/>
            <w:vAlign w:val="bottom"/>
          </w:tcPr>
          <w:p w:rsidR="00CE28C4" w:rsidRPr="00CE28C4" w:rsidP="00CE28C4" w14:paraId="24D30E9E"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40 </w:t>
            </w:r>
            <w:r w:rsidRPr="00CE28C4">
              <w:rPr>
                <w:rFonts w:ascii="Times New Roman" w:eastAsia="Times New Roman" w:hAnsi="Times New Roman" w:cs="Times New Roman"/>
                <w:sz w:val="24"/>
                <w:szCs w:val="24"/>
              </w:rPr>
              <w:t>hrs.;</w:t>
            </w:r>
          </w:p>
          <w:p w:rsidR="00CE28C4" w:rsidRPr="00CE28C4" w:rsidP="00CE28C4" w14:paraId="4FE47CB8"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0B9176F7"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$3,080.80</w:t>
            </w:r>
          </w:p>
        </w:tc>
        <w:tc>
          <w:tcPr>
            <w:tcW w:w="737" w:type="pct"/>
            <w:vAlign w:val="bottom"/>
          </w:tcPr>
          <w:p w:rsidR="00CE28C4" w:rsidRPr="00CE28C4" w:rsidP="00CE28C4" w14:paraId="668D8638"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6,720 </w:t>
            </w:r>
            <w:r w:rsidRPr="00CE28C4">
              <w:rPr>
                <w:rFonts w:ascii="Times New Roman" w:eastAsia="Times New Roman" w:hAnsi="Times New Roman" w:cs="Times New Roman"/>
                <w:sz w:val="24"/>
                <w:szCs w:val="24"/>
              </w:rPr>
              <w:t>hrs.;</w:t>
            </w:r>
          </w:p>
          <w:p w:rsidR="00CE28C4" w:rsidRPr="00CE28C4" w:rsidP="00CE28C4" w14:paraId="5E62FDCA"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16AF1A5B"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$517,574.40</w:t>
            </w:r>
          </w:p>
        </w:tc>
        <w:tc>
          <w:tcPr>
            <w:tcW w:w="787" w:type="pct"/>
            <w:tcBorders>
              <w:bottom w:val="single" w:sz="4" w:space="0" w:color="auto"/>
            </w:tcBorders>
            <w:vAlign w:val="bottom"/>
          </w:tcPr>
          <w:p w:rsidR="00CE28C4" w:rsidRPr="00CE28C4" w:rsidP="00CE28C4" w14:paraId="5692E515"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5C6B302B"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1723BDC9"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$3,080.80</w:t>
            </w:r>
          </w:p>
        </w:tc>
      </w:tr>
      <w:tr w14:paraId="5849A4EC" w14:textId="77777777" w:rsidTr="00FF2DEF">
        <w:tblPrEx>
          <w:tblW w:w="5535" w:type="pct"/>
          <w:tblInd w:w="-365" w:type="dxa"/>
          <w:tblLayout w:type="fixed"/>
          <w:tblLook w:val="01E0"/>
        </w:tblPrEx>
        <w:trPr>
          <w:trHeight w:val="854"/>
        </w:trPr>
        <w:tc>
          <w:tcPr>
            <w:tcW w:w="696" w:type="pct"/>
            <w:vAlign w:val="center"/>
          </w:tcPr>
          <w:p w:rsidR="00CE28C4" w:rsidRPr="00CE28C4" w:rsidP="00CE28C4" w14:paraId="67D9AD21"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BA/TOP</w:t>
            </w:r>
          </w:p>
        </w:tc>
        <w:tc>
          <w:tcPr>
            <w:tcW w:w="650" w:type="pct"/>
            <w:vAlign w:val="center"/>
          </w:tcPr>
          <w:p w:rsidR="00CE28C4" w:rsidRPr="00CE28C4" w:rsidP="00CE28C4" w14:paraId="24D3CB31"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Annual Record Retention</w:t>
            </w:r>
          </w:p>
        </w:tc>
        <w:tc>
          <w:tcPr>
            <w:tcW w:w="471" w:type="pct"/>
            <w:shd w:val="clear" w:color="auto" w:fill="auto"/>
            <w:vAlign w:val="bottom"/>
          </w:tcPr>
          <w:p w:rsidR="00CE28C4" w:rsidRPr="00CE28C4" w:rsidP="00CE28C4" w14:paraId="6C26E878"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266</w:t>
            </w:r>
          </w:p>
        </w:tc>
        <w:tc>
          <w:tcPr>
            <w:tcW w:w="483" w:type="pct"/>
            <w:shd w:val="clear" w:color="auto" w:fill="auto"/>
            <w:vAlign w:val="bottom"/>
          </w:tcPr>
          <w:p w:rsidR="00CE28C4" w:rsidRPr="00CE28C4" w:rsidP="00CE28C4" w14:paraId="2BB14359"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w:t>
            </w:r>
          </w:p>
        </w:tc>
        <w:tc>
          <w:tcPr>
            <w:tcW w:w="565" w:type="pct"/>
            <w:shd w:val="clear" w:color="auto" w:fill="auto"/>
            <w:vAlign w:val="bottom"/>
          </w:tcPr>
          <w:p w:rsidR="00CE28C4" w:rsidRPr="00CE28C4" w:rsidP="00CE28C4" w14:paraId="4A717BA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266</w:t>
            </w:r>
          </w:p>
        </w:tc>
        <w:tc>
          <w:tcPr>
            <w:tcW w:w="611" w:type="pct"/>
            <w:shd w:val="clear" w:color="auto" w:fill="auto"/>
            <w:vAlign w:val="bottom"/>
          </w:tcPr>
          <w:p w:rsidR="00CE28C4" w:rsidRPr="00CE28C4" w:rsidP="00CE28C4" w14:paraId="7EA0C89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2 </w:t>
            </w:r>
            <w:r w:rsidRPr="00CE28C4">
              <w:rPr>
                <w:rFonts w:ascii="Times New Roman" w:eastAsia="Times New Roman" w:hAnsi="Times New Roman" w:cs="Times New Roman"/>
                <w:sz w:val="24"/>
                <w:szCs w:val="24"/>
              </w:rPr>
              <w:t>hrs.;</w:t>
            </w:r>
          </w:p>
          <w:p w:rsidR="00CE28C4" w:rsidRPr="00CE28C4" w:rsidP="00CE28C4" w14:paraId="793B7741"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795B004E"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$84.70</w:t>
            </w:r>
          </w:p>
        </w:tc>
        <w:tc>
          <w:tcPr>
            <w:tcW w:w="737" w:type="pct"/>
            <w:shd w:val="clear" w:color="auto" w:fill="auto"/>
            <w:vAlign w:val="bottom"/>
          </w:tcPr>
          <w:p w:rsidR="00CE28C4" w:rsidRPr="00CE28C4" w:rsidP="00CE28C4" w14:paraId="3327AEBE"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532 </w:t>
            </w:r>
            <w:r w:rsidRPr="00CE28C4">
              <w:rPr>
                <w:rFonts w:ascii="Times New Roman" w:eastAsia="Times New Roman" w:hAnsi="Times New Roman" w:cs="Times New Roman"/>
                <w:sz w:val="24"/>
                <w:szCs w:val="24"/>
              </w:rPr>
              <w:t>hrs.;</w:t>
            </w:r>
          </w:p>
          <w:p w:rsidR="00CE28C4" w:rsidRPr="00CE28C4" w:rsidP="00CE28C4" w14:paraId="146772FD"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5FB2FDB8"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$22,530.20</w:t>
            </w:r>
          </w:p>
        </w:tc>
        <w:tc>
          <w:tcPr>
            <w:tcW w:w="787" w:type="pct"/>
            <w:shd w:val="clear" w:color="auto" w:fill="auto"/>
            <w:vAlign w:val="bottom"/>
          </w:tcPr>
          <w:p w:rsidR="00CE28C4" w:rsidRPr="00CE28C4" w:rsidP="00CE28C4" w14:paraId="70BC6351"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063B14B6"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23964E61"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$84.70</w:t>
            </w:r>
          </w:p>
        </w:tc>
      </w:tr>
      <w:tr w14:paraId="36A3B39A" w14:textId="77777777" w:rsidTr="00FF2DEF">
        <w:tblPrEx>
          <w:tblW w:w="5535" w:type="pct"/>
          <w:tblInd w:w="-365" w:type="dxa"/>
          <w:tblLayout w:type="fixed"/>
          <w:tblLook w:val="01E0"/>
        </w:tblPrEx>
        <w:trPr>
          <w:trHeight w:val="393"/>
        </w:trPr>
        <w:tc>
          <w:tcPr>
            <w:tcW w:w="696" w:type="pct"/>
            <w:vAlign w:val="center"/>
          </w:tcPr>
          <w:p w:rsidR="00CE28C4" w:rsidRPr="00CE28C4" w:rsidP="00CE28C4" w14:paraId="1C48C8BB"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Total Burden</w:t>
            </w:r>
          </w:p>
          <w:p w:rsidR="00CE28C4" w:rsidRPr="00CE28C4" w:rsidP="00CE28C4" w14:paraId="2F495CFD"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Hours Per Year (Reporting)</w:t>
            </w:r>
          </w:p>
        </w:tc>
        <w:tc>
          <w:tcPr>
            <w:tcW w:w="2780" w:type="pct"/>
            <w:gridSpan w:val="5"/>
            <w:vAlign w:val="bottom"/>
          </w:tcPr>
          <w:p w:rsidR="00CE28C4" w:rsidRPr="00CE28C4" w:rsidP="00CE28C4" w14:paraId="2C813273"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37" w:type="pct"/>
            <w:shd w:val="clear" w:color="auto" w:fill="auto"/>
          </w:tcPr>
          <w:p w:rsidR="00CE28C4" w:rsidRPr="00CE28C4" w:rsidP="00CE28C4" w14:paraId="737925C3"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10,836 hrs.</w:t>
            </w:r>
          </w:p>
          <w:p w:rsidR="00CE28C4" w:rsidRPr="00CE28C4" w:rsidP="00CE28C4" w14:paraId="09AAAEB1"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$834,588.72</w:t>
            </w:r>
          </w:p>
        </w:tc>
        <w:tc>
          <w:tcPr>
            <w:tcW w:w="787" w:type="pct"/>
            <w:shd w:val="clear" w:color="auto" w:fill="auto"/>
          </w:tcPr>
          <w:p w:rsidR="00CE28C4" w:rsidRPr="00CE28C4" w:rsidP="00CE28C4" w14:paraId="73FC71B9" w14:textId="77777777">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r w14:paraId="4CBE2F31" w14:textId="77777777" w:rsidTr="00FF2DEF">
        <w:tblPrEx>
          <w:tblW w:w="5535" w:type="pct"/>
          <w:tblInd w:w="-365" w:type="dxa"/>
          <w:tblLayout w:type="fixed"/>
          <w:tblLook w:val="01E0"/>
        </w:tblPrEx>
        <w:trPr>
          <w:trHeight w:val="393"/>
        </w:trPr>
        <w:tc>
          <w:tcPr>
            <w:tcW w:w="696" w:type="pct"/>
            <w:vAlign w:val="center"/>
          </w:tcPr>
          <w:p w:rsidR="00CE28C4" w:rsidRPr="00CE28C4" w:rsidP="00CE28C4" w14:paraId="412DFC47"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r w:rsidRPr="00CE28C4">
              <w:rPr>
                <w:rFonts w:ascii="Times New Roman" w:eastAsia="Times New Roman" w:hAnsi="Times New Roman" w:cs="Times New Roman"/>
                <w:b/>
                <w:sz w:val="24"/>
                <w:szCs w:val="24"/>
              </w:rPr>
              <w:t>Total Burden Hours Per Year (Record Retention)</w:t>
            </w:r>
          </w:p>
        </w:tc>
        <w:tc>
          <w:tcPr>
            <w:tcW w:w="2780" w:type="pct"/>
            <w:gridSpan w:val="5"/>
            <w:vAlign w:val="bottom"/>
          </w:tcPr>
          <w:p w:rsidR="00CE28C4" w:rsidRPr="00CE28C4" w:rsidP="00CE28C4" w14:paraId="1C3407C3"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37" w:type="pct"/>
            <w:shd w:val="clear" w:color="auto" w:fill="auto"/>
          </w:tcPr>
          <w:p w:rsidR="00CE28C4" w:rsidRPr="00CE28C4" w:rsidP="00CE28C4" w14:paraId="131A80C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 xml:space="preserve">532 </w:t>
            </w:r>
            <w:r w:rsidRPr="00CE28C4">
              <w:rPr>
                <w:rFonts w:ascii="Times New Roman" w:eastAsia="Times New Roman" w:hAnsi="Times New Roman" w:cs="Times New Roman"/>
                <w:sz w:val="24"/>
                <w:szCs w:val="24"/>
              </w:rPr>
              <w:t>hrs.;</w:t>
            </w:r>
          </w:p>
          <w:p w:rsidR="00CE28C4" w:rsidRPr="00CE28C4" w:rsidP="00CE28C4" w14:paraId="7ACA5FCD"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CE28C4" w:rsidRPr="00CE28C4" w:rsidP="00CE28C4" w14:paraId="40CA26B2" w14:textId="77777777">
            <w:pPr>
              <w:keepNext/>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E28C4">
              <w:rPr>
                <w:rFonts w:ascii="Times New Roman" w:eastAsia="Times New Roman" w:hAnsi="Times New Roman" w:cs="Times New Roman"/>
                <w:sz w:val="24"/>
                <w:szCs w:val="24"/>
              </w:rPr>
              <w:t>$22,530.20</w:t>
            </w:r>
          </w:p>
        </w:tc>
        <w:tc>
          <w:tcPr>
            <w:tcW w:w="787" w:type="pct"/>
            <w:shd w:val="clear" w:color="auto" w:fill="auto"/>
          </w:tcPr>
          <w:p w:rsidR="00CE28C4" w:rsidRPr="00CE28C4" w:rsidP="00CE28C4" w14:paraId="263B51CF" w14:textId="77777777">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bl>
    <w:p w:rsidR="00CE28C4" w14:paraId="7A1B52BF"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p>
    <w:p w:rsidR="00582FF3" w14:paraId="15F53376"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p>
    <w:p w:rsidR="00582FF3" w14:paraId="7AC3E179" w14:textId="77777777">
      <w:pPr>
        <w:widowControl w:val="0"/>
        <w:autoSpaceDE w:val="0"/>
        <w:autoSpaceDN w:val="0"/>
        <w:adjustRightInd w:val="0"/>
        <w:spacing w:after="0" w:line="240" w:lineRule="auto"/>
        <w:contextualSpacing/>
        <w:rPr>
          <w:rFonts w:ascii="Times New Roman" w:hAnsi="Times New Roman" w:cs="Times New Roman"/>
          <w:sz w:val="26"/>
          <w:szCs w:val="26"/>
        </w:rPr>
      </w:pPr>
    </w:p>
    <w:p w:rsidR="00582FF3" w14:paraId="47ADD438"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582FF3" w14:paraId="72B34C85" w14:textId="77777777">
      <w:pPr>
        <w:pStyle w:val="ListParagraph"/>
        <w:spacing w:after="0" w:line="240" w:lineRule="auto"/>
        <w:ind w:left="360"/>
        <w:rPr>
          <w:rFonts w:ascii="Times New Roman" w:hAnsi="Times New Roman" w:cs="Times New Roman"/>
          <w:b/>
          <w:sz w:val="26"/>
          <w:szCs w:val="26"/>
        </w:rPr>
      </w:pPr>
    </w:p>
    <w:p w:rsidR="00582FF3" w14:paraId="638B84E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Total Capital and Start-up cost: $0</w:t>
      </w:r>
    </w:p>
    <w:p w:rsidR="00582FF3" w14:paraId="7A764BA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Total Operation, Maintenance, and Purchase of Services: $0</w:t>
      </w:r>
    </w:p>
    <w:p w:rsidR="00582FF3" w14:paraId="27427A80" w14:textId="77777777">
      <w:pPr>
        <w:spacing w:after="0" w:line="240" w:lineRule="auto"/>
        <w:rPr>
          <w:rFonts w:ascii="Times New Roman" w:hAnsi="Times New Roman" w:cs="Times New Roman"/>
          <w:sz w:val="26"/>
          <w:szCs w:val="26"/>
        </w:rPr>
      </w:pPr>
    </w:p>
    <w:p w:rsidR="00582FF3" w14:paraId="3C625924"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ESTIMATED ANNUALIZED COST TO FEDERAL GOVERNMENT</w:t>
      </w:r>
    </w:p>
    <w:p w:rsidR="00582FF3" w14:paraId="24028F59" w14:textId="77777777">
      <w:pPr>
        <w:spacing w:after="0" w:line="240" w:lineRule="auto"/>
        <w:rPr>
          <w:rFonts w:ascii="Times New Roman" w:hAnsi="Times New Roman" w:cs="Times New Roman"/>
          <w:sz w:val="26"/>
          <w:szCs w:val="26"/>
        </w:rPr>
      </w:pPr>
    </w:p>
    <w:p w:rsidR="00582FF3" w14:paraId="114217EF" w14:textId="3FC5241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incur the costs associated with obtaining OMB clearance for this collection under the Paperwork Reduction Act (PRA).  The PRA </w:t>
      </w:r>
      <w:r>
        <w:rPr>
          <w:rFonts w:ascii="Times New Roman" w:hAnsi="Times New Roman" w:cs="Times New Roman"/>
          <w:sz w:val="26"/>
          <w:szCs w:val="26"/>
        </w:rPr>
        <w:t>Administrative  Cost</w:t>
      </w:r>
      <w:r>
        <w:rPr>
          <w:rFonts w:ascii="Times New Roman" w:hAnsi="Times New Roman" w:cs="Times New Roman"/>
          <w:sz w:val="26"/>
          <w:szCs w:val="26"/>
        </w:rPr>
        <w:t xml:space="preserve"> (estimate of $</w:t>
      </w:r>
      <w:r w:rsidRPr="00D04F49" w:rsidR="00D04F49">
        <w:rPr>
          <w:rFonts w:ascii="Times New Roman" w:eastAsia="Times New Roman" w:hAnsi="Times New Roman" w:cs="Times New Roman"/>
          <w:sz w:val="24"/>
          <w:szCs w:val="24"/>
        </w:rPr>
        <w:t>7,694</w:t>
      </w:r>
      <w:r w:rsidR="00D04F49">
        <w:rPr>
          <w:rFonts w:ascii="Times New Roman" w:eastAsia="Times New Roman" w:hAnsi="Times New Roman" w:cs="Times New Roman"/>
          <w:b/>
          <w:bCs/>
          <w:sz w:val="24"/>
          <w:szCs w:val="24"/>
        </w:rPr>
        <w:t xml:space="preserve"> </w:t>
      </w:r>
      <w:r>
        <w:rPr>
          <w:rFonts w:ascii="Times New Roman" w:hAnsi="Times New Roman" w:cs="Times New Roman"/>
          <w:sz w:val="26"/>
          <w:szCs w:val="26"/>
        </w:rPr>
        <w:t xml:space="preserve">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 </w:t>
      </w:r>
    </w:p>
    <w:p w:rsidR="00582FF3" w14:paraId="2F9CF40E" w14:textId="77777777">
      <w:pPr>
        <w:spacing w:after="0" w:line="240" w:lineRule="auto"/>
        <w:rPr>
          <w:rFonts w:ascii="Times New Roman" w:hAnsi="Times New Roman" w:cs="Times New Roman"/>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167A0DA"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582FF3" w14:paraId="334B9AD3" w14:textId="77777777">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582FF3" w14:paraId="767F4D0B"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582FF3" w14:paraId="0CBB8846"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14:paraId="1406A938"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582FF3" w14:paraId="4F92803E" w14:textId="77777777">
            <w:pPr>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rPr>
              <w:t xml:space="preserve">Analysis and Processing of filings </w:t>
            </w:r>
          </w:p>
        </w:tc>
        <w:tc>
          <w:tcPr>
            <w:tcW w:w="3201" w:type="dxa"/>
            <w:tcBorders>
              <w:top w:val="single" w:sz="4" w:space="0" w:color="auto"/>
              <w:left w:val="single" w:sz="4" w:space="0" w:color="auto"/>
              <w:bottom w:val="single" w:sz="4" w:space="0" w:color="auto"/>
              <w:right w:val="single" w:sz="4" w:space="0" w:color="auto"/>
            </w:tcBorders>
            <w:vAlign w:val="bottom"/>
            <w:hideMark/>
          </w:tcPr>
          <w:p w:rsidR="00582FF3" w14:paraId="424EBB7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2995" w:type="dxa"/>
            <w:vAlign w:val="bottom"/>
            <w:hideMark/>
          </w:tcPr>
          <w:p w:rsidR="00582FF3" w14:paraId="6179AD9F"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2054D4E7"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582FF3" w14:paraId="5E9697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PRA</w:t>
            </w:r>
            <w:r>
              <w:rPr>
                <w:rFonts w:ascii="Times New Roman" w:hAnsi="Times New Roman" w:cs="Times New Roman"/>
                <w:sz w:val="26"/>
                <w:szCs w:val="26"/>
                <w:vertAlign w:val="superscript"/>
              </w:rPr>
              <w:footnoteReference w:id="13"/>
            </w:r>
            <w:r>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14"/>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582FF3" w14:paraId="524D0746" w14:textId="77777777">
            <w:pPr>
              <w:spacing w:after="0" w:line="240" w:lineRule="auto"/>
              <w:rPr>
                <w:rFonts w:ascii="Times New Roman" w:hAnsi="Times New Roman" w:cs="Times New Roman"/>
                <w:sz w:val="26"/>
                <w:szCs w:val="26"/>
              </w:rPr>
            </w:pPr>
          </w:p>
        </w:tc>
        <w:tc>
          <w:tcPr>
            <w:tcW w:w="2995" w:type="dxa"/>
            <w:vAlign w:val="center"/>
            <w:hideMark/>
          </w:tcPr>
          <w:p w:rsidR="00582FF3" w14:paraId="701CEA49" w14:textId="3B5E7E1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235D1098" w:rsidR="00FD1947">
              <w:rPr>
                <w:rFonts w:ascii="Times New Roman" w:eastAsia="Times New Roman" w:hAnsi="Times New Roman" w:cs="Times New Roman"/>
                <w:b/>
                <w:bCs/>
                <w:sz w:val="24"/>
                <w:szCs w:val="24"/>
              </w:rPr>
              <w:t>7,694</w:t>
            </w:r>
          </w:p>
        </w:tc>
      </w:tr>
      <w:tr w14:paraId="74346213"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582FF3" w14:paraId="7178686C"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F3" w14:paraId="334AF484" w14:textId="77777777">
            <w:pPr>
              <w:spacing w:after="0" w:line="240" w:lineRule="auto"/>
              <w:rPr>
                <w:rFonts w:ascii="Times New Roman" w:hAnsi="Times New Roman" w:cs="Times New Roman"/>
                <w:sz w:val="26"/>
                <w:szCs w:val="26"/>
              </w:rPr>
            </w:pPr>
          </w:p>
        </w:tc>
        <w:tc>
          <w:tcPr>
            <w:tcW w:w="2995" w:type="dxa"/>
            <w:vAlign w:val="center"/>
            <w:hideMark/>
          </w:tcPr>
          <w:p w:rsidR="00582FF3" w14:paraId="5D933A67" w14:textId="494977C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235D1098" w:rsidR="00FD1947">
              <w:rPr>
                <w:rFonts w:ascii="Times New Roman" w:eastAsia="Times New Roman" w:hAnsi="Times New Roman" w:cs="Times New Roman"/>
                <w:b/>
                <w:bCs/>
                <w:sz w:val="24"/>
                <w:szCs w:val="24"/>
              </w:rPr>
              <w:t>7,694</w:t>
            </w:r>
          </w:p>
        </w:tc>
      </w:tr>
    </w:tbl>
    <w:p w:rsidR="00582FF3" w14:paraId="18A358E2" w14:textId="77777777">
      <w:pPr>
        <w:spacing w:after="0" w:line="240" w:lineRule="auto"/>
        <w:rPr>
          <w:rFonts w:ascii="Times New Roman" w:hAnsi="Times New Roman" w:cs="Times New Roman"/>
          <w:sz w:val="26"/>
          <w:szCs w:val="26"/>
        </w:rPr>
      </w:pPr>
    </w:p>
    <w:p w:rsidR="00582FF3" w14:paraId="4D9591D2"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582FF3" w14:paraId="7E07F635" w14:textId="77777777">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Original FERC-725A(1B).  </w:t>
      </w:r>
      <w:r>
        <w:rPr>
          <w:rFonts w:ascii="Times New Roman" w:eastAsia="Times New Roman" w:hAnsi="Times New Roman" w:cs="Times New Roman"/>
          <w:sz w:val="26"/>
          <w:szCs w:val="26"/>
        </w:rPr>
        <w:t xml:space="preserve">TOP-010-1 (Real-time Reliability Monitoring and Analysis Capabilities), associated with FERC-725A(1B) improved reliability by providing rigorous functional requirements for real-time monitoring and analysis.  Reliability Standard TOP-010-1 was created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entities may take appropriate steps to ensure reliability. </w:t>
      </w:r>
    </w:p>
    <w:p w:rsidR="00582FF3" w14:paraId="127D560E" w14:textId="77777777">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2016 in Docket No. RD16-6, Reliability Standard TOP-010-1 was approved by the Commission to enhance reliability by accomplishing Blackout Report Recommendation 22 to evaluate and adopt better real-time tools for operators and reliability coordinators and establish requirements to perform real-time monitoring and analysis capabilities to support reliable system operations.  The Reliability Standard built upon existing requirements to support effective real-time monitoring and analysis and improved situational awareness, and thereby enhance reliable operations.  Reliability Standard TOP-010-1 applies to transmission operators and balancing authorities.  </w:t>
      </w:r>
    </w:p>
    <w:p w:rsidR="00BC6640" w14:paraId="5E352A21" w14:textId="24AA9B9F">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AD353E">
        <w:rPr>
          <w:rFonts w:ascii="Times New Roman" w:eastAsia="Times New Roman" w:hAnsi="Times New Roman" w:cs="Times New Roman"/>
          <w:b/>
          <w:bCs/>
          <w:sz w:val="26"/>
          <w:szCs w:val="26"/>
        </w:rPr>
        <w:t xml:space="preserve">Adjustment in Estimate.  </w:t>
      </w:r>
      <w:r w:rsidRPr="00AD353E">
        <w:rPr>
          <w:rFonts w:ascii="Times New Roman" w:eastAsia="Times New Roman" w:hAnsi="Times New Roman" w:cs="Times New Roman"/>
          <w:sz w:val="26"/>
          <w:szCs w:val="26"/>
        </w:rPr>
        <w:t>For this renewal th</w:t>
      </w:r>
      <w:r w:rsidRPr="00AD353E" w:rsidR="00B267B4">
        <w:rPr>
          <w:rFonts w:ascii="Times New Roman" w:eastAsia="Times New Roman" w:hAnsi="Times New Roman" w:cs="Times New Roman"/>
          <w:sz w:val="26"/>
          <w:szCs w:val="26"/>
        </w:rPr>
        <w:t xml:space="preserve">e number of responses increased by 265 and </w:t>
      </w:r>
      <w:r w:rsidRPr="00AD353E" w:rsidR="007C18B0">
        <w:rPr>
          <w:rFonts w:ascii="Times New Roman" w:eastAsia="Times New Roman" w:hAnsi="Times New Roman" w:cs="Times New Roman"/>
          <w:sz w:val="26"/>
          <w:szCs w:val="26"/>
        </w:rPr>
        <w:t>the</w:t>
      </w:r>
      <w:r w:rsidR="007C18B0">
        <w:rPr>
          <w:rFonts w:ascii="Times New Roman" w:eastAsia="Times New Roman" w:hAnsi="Times New Roman" w:cs="Times New Roman"/>
          <w:sz w:val="26"/>
          <w:szCs w:val="26"/>
        </w:rPr>
        <w:t xml:space="preserve"> annual burden hours </w:t>
      </w:r>
      <w:r w:rsidR="002307D2">
        <w:rPr>
          <w:rFonts w:ascii="Times New Roman" w:eastAsia="Times New Roman" w:hAnsi="Times New Roman" w:cs="Times New Roman"/>
          <w:sz w:val="26"/>
          <w:szCs w:val="26"/>
        </w:rPr>
        <w:t xml:space="preserve">are decreasing by 42 hours. </w:t>
      </w:r>
      <w:r w:rsidR="00142A04">
        <w:rPr>
          <w:rFonts w:ascii="Times New Roman" w:eastAsia="Times New Roman" w:hAnsi="Times New Roman" w:cs="Times New Roman"/>
          <w:sz w:val="26"/>
          <w:szCs w:val="26"/>
        </w:rPr>
        <w:t xml:space="preserve"> The large increase of responses is due to counting the BA and TOP respond</w:t>
      </w:r>
      <w:r w:rsidR="00455B53">
        <w:rPr>
          <w:rFonts w:ascii="Times New Roman" w:eastAsia="Times New Roman" w:hAnsi="Times New Roman" w:cs="Times New Roman"/>
          <w:sz w:val="26"/>
          <w:szCs w:val="26"/>
        </w:rPr>
        <w:t xml:space="preserve">ents </w:t>
      </w:r>
      <w:r w:rsidR="00CD1809">
        <w:rPr>
          <w:rFonts w:ascii="Times New Roman" w:eastAsia="Times New Roman" w:hAnsi="Times New Roman" w:cs="Times New Roman"/>
          <w:sz w:val="26"/>
          <w:szCs w:val="26"/>
        </w:rPr>
        <w:t xml:space="preserve">for both record retention and </w:t>
      </w:r>
      <w:r w:rsidR="00DC2CF8">
        <w:rPr>
          <w:rFonts w:ascii="Times New Roman" w:eastAsia="Times New Roman" w:hAnsi="Times New Roman" w:cs="Times New Roman"/>
          <w:sz w:val="26"/>
          <w:szCs w:val="26"/>
        </w:rPr>
        <w:t xml:space="preserve">the engineering hours related to the other requirements in the standard. Previously, these were grouped together, however </w:t>
      </w:r>
      <w:r w:rsidR="00AD353E">
        <w:rPr>
          <w:rFonts w:ascii="Times New Roman" w:eastAsia="Times New Roman" w:hAnsi="Times New Roman" w:cs="Times New Roman"/>
          <w:sz w:val="26"/>
          <w:szCs w:val="26"/>
        </w:rPr>
        <w:t xml:space="preserve">the Commission is </w:t>
      </w:r>
      <w:r w:rsidR="002D27C0">
        <w:rPr>
          <w:rFonts w:ascii="Times New Roman" w:eastAsia="Times New Roman" w:hAnsi="Times New Roman" w:cs="Times New Roman"/>
          <w:sz w:val="26"/>
          <w:szCs w:val="26"/>
        </w:rPr>
        <w:t xml:space="preserve">separating the hours </w:t>
      </w:r>
      <w:r w:rsidR="00AD353E">
        <w:rPr>
          <w:rFonts w:ascii="Times New Roman" w:eastAsia="Times New Roman" w:hAnsi="Times New Roman" w:cs="Times New Roman"/>
          <w:sz w:val="26"/>
          <w:szCs w:val="26"/>
        </w:rPr>
        <w:t xml:space="preserve">to increase the accuracy of the estimates. </w:t>
      </w:r>
    </w:p>
    <w:tbl>
      <w:tblPr>
        <w:tblDescription w:val="table that charts list comparision"/>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505CA607" w14:textId="777777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2FF3" w14:paraId="22A42CC5"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2FF3" w14:paraId="0F5658A3"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2FF3" w14:paraId="7E931B3C"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2FF3" w14:paraId="6C88CB93"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2FF3" w14:paraId="56F6AD21"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Agency Discretion</w:t>
            </w:r>
          </w:p>
        </w:tc>
      </w:tr>
      <w:tr w14:paraId="56D51994" w14:textId="77777777">
        <w:tblPrEx>
          <w:tblW w:w="9360" w:type="dxa"/>
          <w:tblInd w:w="108" w:type="dxa"/>
          <w:tblLook w:val="01E0"/>
        </w:tblPrEx>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rsidR="00582FF3" w14:paraId="0D5A289F"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FERC-725A(1B) (OMB Control No. 1902-0292)</w:t>
            </w:r>
          </w:p>
        </w:tc>
      </w:tr>
      <w:tr w14:paraId="22E3AA85" w14:textId="77777777">
        <w:tblPrEx>
          <w:tblW w:w="9360" w:type="dxa"/>
          <w:tblInd w:w="108" w:type="dxa"/>
          <w:tblLook w:val="01E0"/>
        </w:tblPrEx>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rsidR="00CE28C4" w:rsidP="00CE28C4" w14:paraId="484316FC" w14:textId="77777777">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rsidR="00CE28C4" w:rsidP="00CE28C4" w14:paraId="50D5A1AE" w14:textId="31C77960">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0193A">
              <w:rPr>
                <w:rFonts w:ascii="Times New Roman" w:eastAsia="Calibri" w:hAnsi="Times New Roman" w:cs="Times New Roman"/>
                <w:sz w:val="26"/>
                <w:szCs w:val="26"/>
              </w:rPr>
              <w:t>532</w:t>
            </w:r>
          </w:p>
        </w:tc>
        <w:tc>
          <w:tcPr>
            <w:tcW w:w="1959" w:type="dxa"/>
            <w:tcBorders>
              <w:top w:val="single" w:sz="4" w:space="0" w:color="auto"/>
              <w:left w:val="single" w:sz="4" w:space="0" w:color="auto"/>
              <w:bottom w:val="single" w:sz="4" w:space="0" w:color="auto"/>
              <w:right w:val="single" w:sz="4" w:space="0" w:color="auto"/>
            </w:tcBorders>
            <w:vAlign w:val="bottom"/>
          </w:tcPr>
          <w:p w:rsidR="00CE28C4" w:rsidP="00CE28C4" w14:paraId="2EA86BC6" w14:textId="0C0FCCEC">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267</w:t>
            </w:r>
          </w:p>
        </w:tc>
        <w:tc>
          <w:tcPr>
            <w:tcW w:w="1958" w:type="dxa"/>
            <w:tcBorders>
              <w:top w:val="single" w:sz="4" w:space="0" w:color="auto"/>
              <w:left w:val="single" w:sz="4" w:space="0" w:color="auto"/>
              <w:bottom w:val="single" w:sz="4" w:space="0" w:color="auto"/>
              <w:right w:val="single" w:sz="4" w:space="0" w:color="auto"/>
            </w:tcBorders>
            <w:vAlign w:val="bottom"/>
          </w:tcPr>
          <w:p w:rsidR="00CE28C4" w:rsidP="00CE28C4" w14:paraId="0E3B636C" w14:textId="3BF07CCD">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2C49EA">
              <w:rPr>
                <w:rFonts w:ascii="Times New Roman" w:eastAsia="Calibri" w:hAnsi="Times New Roman" w:cs="Times New Roman"/>
                <w:sz w:val="26"/>
                <w:szCs w:val="26"/>
              </w:rPr>
              <w:t>265</w:t>
            </w:r>
          </w:p>
        </w:tc>
        <w:tc>
          <w:tcPr>
            <w:tcW w:w="1504" w:type="dxa"/>
            <w:tcBorders>
              <w:top w:val="single" w:sz="4" w:space="0" w:color="auto"/>
              <w:left w:val="single" w:sz="4" w:space="0" w:color="auto"/>
              <w:bottom w:val="single" w:sz="4" w:space="0" w:color="auto"/>
              <w:right w:val="single" w:sz="4" w:space="0" w:color="auto"/>
            </w:tcBorders>
            <w:vAlign w:val="bottom"/>
          </w:tcPr>
          <w:p w:rsidR="00CE28C4" w:rsidP="00CE28C4" w14:paraId="1761ED92"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14:paraId="2B6033F6" w14:textId="77777777">
        <w:tblPrEx>
          <w:tblW w:w="9360" w:type="dxa"/>
          <w:tblInd w:w="108" w:type="dxa"/>
          <w:tblLook w:val="01E0"/>
        </w:tblPrEx>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rsidR="00CE28C4" w:rsidP="00CE28C4" w14:paraId="131177CD" w14:textId="77777777">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rsidR="00CE28C4" w:rsidP="00CE28C4" w14:paraId="202DB1E4" w14:textId="18F09983">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4111F">
              <w:rPr>
                <w:rFonts w:ascii="Times New Roman" w:eastAsia="Calibri" w:hAnsi="Times New Roman" w:cs="Times New Roman"/>
                <w:sz w:val="26"/>
                <w:szCs w:val="26"/>
              </w:rPr>
              <w:t>11,368</w:t>
            </w:r>
          </w:p>
        </w:tc>
        <w:tc>
          <w:tcPr>
            <w:tcW w:w="1959" w:type="dxa"/>
            <w:tcBorders>
              <w:top w:val="single" w:sz="4" w:space="0" w:color="auto"/>
              <w:left w:val="single" w:sz="4" w:space="0" w:color="auto"/>
              <w:bottom w:val="single" w:sz="4" w:space="0" w:color="auto"/>
              <w:right w:val="single" w:sz="4" w:space="0" w:color="auto"/>
            </w:tcBorders>
            <w:vAlign w:val="bottom"/>
          </w:tcPr>
          <w:p w:rsidR="00CE28C4" w:rsidP="00CE28C4" w14:paraId="140E3712" w14:textId="76F1414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11,410</w:t>
            </w:r>
          </w:p>
        </w:tc>
        <w:tc>
          <w:tcPr>
            <w:tcW w:w="1958" w:type="dxa"/>
            <w:tcBorders>
              <w:top w:val="single" w:sz="4" w:space="0" w:color="auto"/>
              <w:left w:val="single" w:sz="4" w:space="0" w:color="auto"/>
              <w:bottom w:val="single" w:sz="4" w:space="0" w:color="auto"/>
              <w:right w:val="single" w:sz="4" w:space="0" w:color="auto"/>
            </w:tcBorders>
            <w:vAlign w:val="bottom"/>
          </w:tcPr>
          <w:p w:rsidR="00CE28C4" w:rsidP="00CE28C4" w14:paraId="00636CB5" w14:textId="1ADB8BC9">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4D1F34">
              <w:rPr>
                <w:rFonts w:ascii="Times New Roman" w:eastAsia="Calibri" w:hAnsi="Times New Roman" w:cs="Times New Roman"/>
                <w:sz w:val="26"/>
                <w:szCs w:val="26"/>
              </w:rPr>
              <w:t>42</w:t>
            </w:r>
          </w:p>
        </w:tc>
        <w:tc>
          <w:tcPr>
            <w:tcW w:w="1504" w:type="dxa"/>
            <w:tcBorders>
              <w:top w:val="single" w:sz="4" w:space="0" w:color="auto"/>
              <w:left w:val="single" w:sz="4" w:space="0" w:color="auto"/>
              <w:bottom w:val="single" w:sz="4" w:space="0" w:color="auto"/>
              <w:right w:val="single" w:sz="4" w:space="0" w:color="auto"/>
            </w:tcBorders>
            <w:vAlign w:val="bottom"/>
          </w:tcPr>
          <w:p w:rsidR="00CE28C4" w:rsidP="004D1F34" w14:paraId="014E13F4" w14:textId="07A3D294">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D1F34">
              <w:rPr>
                <w:rFonts w:ascii="Times New Roman" w:eastAsia="Calibri" w:hAnsi="Times New Roman" w:cs="Times New Roman"/>
                <w:sz w:val="26"/>
                <w:szCs w:val="26"/>
              </w:rPr>
              <w:t>0</w:t>
            </w:r>
          </w:p>
        </w:tc>
      </w:tr>
      <w:tr w14:paraId="0A191B5C" w14:textId="77777777">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hideMark/>
          </w:tcPr>
          <w:p w:rsidR="00582FF3" w14:paraId="24B62EAF" w14:textId="77777777">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rsidR="00582FF3" w14:paraId="7C29C537"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p>
        </w:tc>
        <w:tc>
          <w:tcPr>
            <w:tcW w:w="1959" w:type="dxa"/>
            <w:tcBorders>
              <w:top w:val="single" w:sz="4" w:space="0" w:color="auto"/>
              <w:left w:val="single" w:sz="4" w:space="0" w:color="auto"/>
              <w:bottom w:val="single" w:sz="4" w:space="0" w:color="auto"/>
              <w:right w:val="single" w:sz="4" w:space="0" w:color="auto"/>
            </w:tcBorders>
            <w:vAlign w:val="bottom"/>
          </w:tcPr>
          <w:p w:rsidR="00582FF3" w14:paraId="697FC06B"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rsidR="00582FF3" w14:paraId="6505C95F"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582FF3" w14:paraId="2A0B2F0F"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582FF3" w14:paraId="003B41C9" w14:textId="77777777">
      <w:pPr>
        <w:spacing w:after="0" w:line="240" w:lineRule="auto"/>
        <w:rPr>
          <w:rFonts w:ascii="Times New Roman" w:hAnsi="Times New Roman" w:cs="Times New Roman"/>
          <w:b/>
          <w:sz w:val="26"/>
          <w:szCs w:val="26"/>
        </w:rPr>
      </w:pPr>
    </w:p>
    <w:p w:rsidR="00582FF3" w14:paraId="7C5779AF"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16. TIME SCHEDULE FOR PUBLICATION OF DATA</w:t>
      </w:r>
    </w:p>
    <w:p w:rsidR="00582FF3" w14:paraId="42E41B39" w14:textId="77777777">
      <w:pPr>
        <w:spacing w:after="0" w:line="240" w:lineRule="auto"/>
        <w:rPr>
          <w:rFonts w:ascii="Times New Roman" w:hAnsi="Times New Roman" w:cs="Times New Roman"/>
          <w:sz w:val="26"/>
          <w:szCs w:val="26"/>
        </w:rPr>
      </w:pPr>
    </w:p>
    <w:p w:rsidR="00582FF3" w14:paraId="43F52A1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is no publication of data associated with FERC-725A(1B) collection of information.</w:t>
      </w:r>
    </w:p>
    <w:p w:rsidR="00582FF3" w14:paraId="2F5D23D4" w14:textId="77777777">
      <w:pPr>
        <w:spacing w:after="0" w:line="240" w:lineRule="auto"/>
        <w:rPr>
          <w:rFonts w:ascii="Times New Roman" w:hAnsi="Times New Roman" w:cs="Times New Roman"/>
          <w:sz w:val="26"/>
          <w:szCs w:val="26"/>
        </w:rPr>
      </w:pPr>
    </w:p>
    <w:p w:rsidR="00582FF3" w14:paraId="23344393" w14:textId="77777777">
      <w:pPr>
        <w:pStyle w:val="ListParagraph"/>
        <w:numPr>
          <w:ilvl w:val="0"/>
          <w:numId w:val="8"/>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582FF3" w14:paraId="271123CA" w14:textId="77777777">
      <w:pPr>
        <w:spacing w:after="0" w:line="240" w:lineRule="auto"/>
        <w:rPr>
          <w:rFonts w:ascii="Times New Roman" w:hAnsi="Times New Roman" w:cs="Times New Roman"/>
          <w:sz w:val="26"/>
          <w:szCs w:val="26"/>
        </w:rPr>
      </w:pPr>
    </w:p>
    <w:p w:rsidR="00582FF3" w14:paraId="5796B78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dates are posted on ferc.gov at </w:t>
      </w:r>
      <w:hyperlink r:id="rId9" w:history="1">
        <w:r>
          <w:rPr>
            <w:rStyle w:val="Hyperlink"/>
            <w:rFonts w:ascii="Times New Roman" w:hAnsi="Times New Roman" w:cs="Times New Roman"/>
            <w:sz w:val="26"/>
            <w:szCs w:val="26"/>
          </w:rPr>
          <w:t>http://www.ferc.gov/docs-filing/info-collections.asp</w:t>
        </w:r>
      </w:hyperlink>
      <w:r>
        <w:rPr>
          <w:rFonts w:ascii="Times New Roman" w:hAnsi="Times New Roman" w:cs="Times New Roman"/>
          <w:sz w:val="26"/>
          <w:szCs w:val="26"/>
        </w:rPr>
        <w:t xml:space="preserve">. </w:t>
      </w:r>
    </w:p>
    <w:p w:rsidR="00582FF3" w14:paraId="4C0A8F67" w14:textId="77777777">
      <w:pPr>
        <w:spacing w:after="0" w:line="240" w:lineRule="auto"/>
        <w:rPr>
          <w:rFonts w:ascii="Times New Roman" w:hAnsi="Times New Roman" w:cs="Times New Roman"/>
          <w:sz w:val="26"/>
          <w:szCs w:val="26"/>
        </w:rPr>
      </w:pPr>
    </w:p>
    <w:p w:rsidR="00582FF3" w14:paraId="4C2C3D75" w14:textId="77777777">
      <w:pPr>
        <w:pStyle w:val="ListParagraph"/>
        <w:numPr>
          <w:ilvl w:val="0"/>
          <w:numId w:val="8"/>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582FF3" w14:paraId="583E7F94" w14:textId="77777777">
      <w:pPr>
        <w:spacing w:after="0" w:line="240" w:lineRule="auto"/>
        <w:rPr>
          <w:rFonts w:ascii="Times New Roman" w:hAnsi="Times New Roman" w:cs="Times New Roman"/>
          <w:b/>
          <w:sz w:val="26"/>
          <w:szCs w:val="26"/>
        </w:rPr>
      </w:pPr>
    </w:p>
    <w:p w:rsidR="00582FF3" w14:paraId="70B134F1" w14:textId="77777777">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There are no exceptions.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575590"/>
      <w:docPartObj>
        <w:docPartGallery w:val="Page Numbers (Bottom of Page)"/>
        <w:docPartUnique/>
      </w:docPartObj>
    </w:sdtPr>
    <w:sdtEndPr>
      <w:rPr>
        <w:noProof/>
      </w:rPr>
    </w:sdtEndPr>
    <w:sdtContent>
      <w:p w:rsidR="00582FF3" w14:paraId="2CBB4BC8"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582FF3" w14:paraId="2856F5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23FF6" w14:paraId="024C9C57" w14:textId="77777777">
      <w:pPr>
        <w:spacing w:after="0" w:line="240" w:lineRule="auto"/>
      </w:pPr>
      <w:r>
        <w:separator/>
      </w:r>
    </w:p>
  </w:footnote>
  <w:footnote w:type="continuationSeparator" w:id="1">
    <w:p w:rsidR="00423FF6" w14:paraId="0490F5EA" w14:textId="77777777">
      <w:pPr>
        <w:spacing w:after="0" w:line="240" w:lineRule="auto"/>
      </w:pPr>
      <w:r>
        <w:continuationSeparator/>
      </w:r>
    </w:p>
  </w:footnote>
  <w:footnote w:type="continuationNotice" w:id="2">
    <w:p w:rsidR="00423FF6" w14:paraId="77712128" w14:textId="77777777">
      <w:pPr>
        <w:spacing w:after="0" w:line="240" w:lineRule="auto"/>
      </w:pPr>
    </w:p>
  </w:footnote>
  <w:footnote w:id="3">
    <w:p w:rsidR="00582FF3" w14:paraId="5EF4D2CF" w14:textId="77777777">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b/>
          <w:bCs/>
        </w:rPr>
        <w:t xml:space="preserve"> </w:t>
      </w:r>
      <w:r>
        <w:rPr>
          <w:rFonts w:ascii="Times New Roman" w:hAnsi="Times New Roman" w:cs="Times New Roman"/>
        </w:rPr>
        <w:t>The Energy Policy Act of 2005 (</w:t>
      </w:r>
      <w:r>
        <w:rPr>
          <w:rFonts w:ascii="Times New Roman" w:hAnsi="Times New Roman" w:cs="Times New Roman"/>
        </w:rPr>
        <w:t>EPAct</w:t>
      </w:r>
      <w:r>
        <w:rPr>
          <w:rFonts w:ascii="Times New Roman" w:hAnsi="Times New Roman" w:cs="Times New Roman"/>
        </w:rPr>
        <w:t xml:space="preserve"> 2005), Pub. L. No 109-58, Title XII, Subtitle A, 119 Stat. 594, 941 (2005), codified at 16 U.S.C. 824o (2000).</w:t>
      </w:r>
    </w:p>
  </w:footnote>
  <w:footnote w:id="4">
    <w:p w:rsidR="00582FF3" w14:paraId="7148492E" w14:textId="77777777">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vertAlign w:val="superscript"/>
        </w:rPr>
        <w:t xml:space="preserve"> </w:t>
      </w:r>
      <w:r>
        <w:rPr>
          <w:rFonts w:ascii="Times New Roman" w:hAnsi="Times New Roman" w:cs="Times New Roman"/>
        </w:rPr>
        <w:t xml:space="preserve">The Federal Power Act (as modified by the </w:t>
      </w:r>
      <w:r>
        <w:rPr>
          <w:rFonts w:ascii="Times New Roman" w:hAnsi="Times New Roman" w:cs="Times New Roman"/>
        </w:rPr>
        <w:t>EPAct</w:t>
      </w:r>
      <w:r>
        <w:rPr>
          <w:rFonts w:ascii="Times New Roman" w:hAnsi="Times New Roman" w:cs="Times New Roman"/>
        </w:rPr>
        <w:t xml:space="preserve"> 2005) states “[t]he </w:t>
      </w:r>
      <w:r>
        <w:rPr>
          <w:rFonts w:ascii="Times New Roman" w:hAnsi="Times New Roman" w:cs="Times New Roman"/>
        </w:rPr>
        <w:t>term</w:t>
      </w:r>
      <w:r>
        <w:rPr>
          <w:rFonts w:ascii="Times New Roman" w:hAnsi="Times New Roman" w:cs="Times New Roman"/>
        </w:rPr>
        <w:t xml:space="preserve">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rsidR="00582FF3" w14:paraId="7D2C5ED2" w14:textId="77777777">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rsidR="00582FF3" w14:paraId="2A3E9AE5" w14:textId="77777777">
      <w:pPr>
        <w:pStyle w:val="FootnoteText"/>
      </w:pPr>
      <w:r>
        <w:rPr>
          <w:rStyle w:val="FootnoteReference"/>
          <w:rFonts w:ascii="Times New Roman" w:hAnsi="Times New Roman" w:cs="Times New Roman"/>
          <w:b/>
          <w:bCs/>
        </w:rPr>
        <w:footnoteRef/>
      </w:r>
      <w:r>
        <w:rPr>
          <w:b/>
          <w:bCs/>
        </w:rPr>
        <w:t xml:space="preserve"> </w:t>
      </w:r>
      <w:r>
        <w:rPr>
          <w:rFonts w:ascii="Times New Roman" w:hAnsi="Times New Roman" w:cs="Times New Roman"/>
        </w:rPr>
        <w:t>Section 215 was added by the Energy Policy Act of 2005, Pub. L. No. 109-58, 119 Stat. 594 (2005) (codified at 16 USC 824o).</w:t>
      </w:r>
    </w:p>
  </w:footnote>
  <w:footnote w:id="7">
    <w:p w:rsidR="00582FF3" w14:paraId="3EC91FBA" w14:textId="77777777">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rPr>
        <w:t xml:space="preserve">  NERC Petition at 18.  NERC emphasizes the importance of the quality of this type of data by noting that “[e]</w:t>
      </w:r>
      <w:r>
        <w:rPr>
          <w:rFonts w:ascii="Times New Roman" w:hAnsi="Times New Roman" w:cs="Times New Roman"/>
        </w:rPr>
        <w:t>ntities</w:t>
      </w:r>
      <w:r>
        <w:rPr>
          <w:rFonts w:ascii="Times New Roman" w:hAnsi="Times New Roman" w:cs="Times New Roman"/>
        </w:rPr>
        <w:t xml:space="preserve"> continue to address lower-priority data quality issues (i.e., data quality issues not affecting Real-time monitoring or analysis) according to their operating practices.” </w:t>
      </w:r>
    </w:p>
    <w:p w:rsidR="00582FF3" w:rsidRPr="00CE43C8" w14:paraId="44D308EC" w14:textId="77777777">
      <w:pPr>
        <w:pStyle w:val="FootnoteText"/>
        <w:rPr>
          <w:rFonts w:ascii="Times New Roman" w:hAnsi="Times New Roman" w:cs="Times New Roman"/>
        </w:rPr>
      </w:pPr>
      <w:r>
        <w:rPr>
          <w:rFonts w:ascii="Times New Roman" w:hAnsi="Times New Roman" w:cs="Times New Roman"/>
          <w:b/>
          <w:bCs/>
          <w:vertAlign w:val="superscript"/>
        </w:rPr>
        <w:t>6</w:t>
      </w:r>
      <w:r>
        <w:rPr>
          <w:rFonts w:ascii="Times New Roman" w:hAnsi="Times New Roman" w:cs="Times New Roman"/>
          <w:vertAlign w:val="superscript"/>
        </w:rPr>
        <w:t xml:space="preserve">  </w:t>
      </w:r>
      <w:r w:rsidRPr="00CE43C8">
        <w:rPr>
          <w:rFonts w:ascii="Times New Roman" w:hAnsi="Times New Roman" w:cs="Times New Roman"/>
        </w:rPr>
        <w:t xml:space="preserve">An Errata Notice (posted at </w:t>
      </w:r>
      <w:hyperlink r:id="rId1" w:history="1">
        <w:r w:rsidRPr="00CE43C8">
          <w:rPr>
            <w:rStyle w:val="Hyperlink"/>
            <w:rFonts w:ascii="Times New Roman" w:hAnsi="Times New Roman" w:cs="Times New Roman"/>
          </w:rPr>
          <w:t>https://elibrary.ferc.gov/idmws/common/opennat.asp?fileID=15543711</w:t>
        </w:r>
      </w:hyperlink>
      <w:r w:rsidRPr="00CE43C8">
        <w:rPr>
          <w:rFonts w:ascii="Times New Roman" w:hAnsi="Times New Roman" w:cs="Times New Roman"/>
        </w:rPr>
        <w:t>) was issued for the 30-day notice that affects the 3</w:t>
      </w:r>
      <w:r w:rsidRPr="00CE43C8">
        <w:rPr>
          <w:rFonts w:ascii="Times New Roman" w:hAnsi="Times New Roman" w:cs="Times New Roman"/>
          <w:vertAlign w:val="superscript"/>
        </w:rPr>
        <w:t>rd</w:t>
      </w:r>
      <w:r w:rsidRPr="00CE43C8">
        <w:rPr>
          <w:rFonts w:ascii="Times New Roman" w:hAnsi="Times New Roman" w:cs="Times New Roman"/>
        </w:rPr>
        <w:t>, 4</w:t>
      </w:r>
      <w:r w:rsidRPr="00CE43C8">
        <w:rPr>
          <w:rFonts w:ascii="Times New Roman" w:hAnsi="Times New Roman" w:cs="Times New Roman"/>
          <w:vertAlign w:val="superscript"/>
        </w:rPr>
        <w:t>th</w:t>
      </w:r>
      <w:r w:rsidRPr="00CE43C8">
        <w:rPr>
          <w:rFonts w:ascii="Times New Roman" w:hAnsi="Times New Roman" w:cs="Times New Roman"/>
        </w:rPr>
        <w:t>, and 5</w:t>
      </w:r>
      <w:r w:rsidRPr="00CE43C8">
        <w:rPr>
          <w:rFonts w:ascii="Times New Roman" w:hAnsi="Times New Roman" w:cs="Times New Roman"/>
          <w:vertAlign w:val="superscript"/>
        </w:rPr>
        <w:t>th</w:t>
      </w:r>
      <w:r w:rsidRPr="00CE43C8">
        <w:rPr>
          <w:rFonts w:ascii="Times New Roman" w:hAnsi="Times New Roman" w:cs="Times New Roman"/>
        </w:rPr>
        <w:t xml:space="preserve"> columns of the table. This will correct the public notices for both 60-day and 30-day publications.; the corrected figures are included in section #12 of this supporting statement.</w:t>
      </w:r>
    </w:p>
  </w:footnote>
  <w:footnote w:id="8">
    <w:p w:rsidR="00CE28C4" w:rsidRPr="00D12E50" w:rsidP="00CE28C4" w14:paraId="37253F19" w14:textId="77777777">
      <w:pPr>
        <w:pStyle w:val="FootnoteText"/>
        <w:rPr>
          <w:sz w:val="26"/>
          <w:szCs w:val="26"/>
        </w:rPr>
      </w:pPr>
      <w:r w:rsidRPr="00D12E50">
        <w:rPr>
          <w:rStyle w:val="FootnoteReference"/>
        </w:rPr>
        <w:footnoteRef/>
      </w:r>
      <w:r w:rsidRPr="00D12E50">
        <w:rPr>
          <w:sz w:val="26"/>
          <w:szCs w:val="26"/>
        </w:rPr>
        <w:t xml:space="preserve"> </w:t>
      </w:r>
      <w:r w:rsidRPr="00CE43C8">
        <w:rPr>
          <w:rFonts w:ascii="Times New Roman" w:hAnsi="Times New Roman" w:cs="Times New Roman"/>
        </w:rPr>
        <w:t>Our estimates are based on the NERC Compliance Registry Summary of Entities and Functions as of November 4</w:t>
      </w:r>
      <w:r w:rsidRPr="00CE43C8">
        <w:rPr>
          <w:rFonts w:ascii="Times New Roman" w:hAnsi="Times New Roman" w:cs="Times New Roman"/>
          <w:szCs w:val="22"/>
        </w:rPr>
        <w:t xml:space="preserve">, </w:t>
      </w:r>
      <w:r w:rsidRPr="00CE43C8">
        <w:rPr>
          <w:rFonts w:ascii="Times New Roman" w:hAnsi="Times New Roman" w:cs="Times New Roman"/>
        </w:rPr>
        <w:t>2022, which indicates there are 266 entities registered as BA and TOP.</w:t>
      </w:r>
    </w:p>
  </w:footnote>
  <w:footnote w:id="9">
    <w:p w:rsidR="00CE28C4" w:rsidRPr="00D12E50" w:rsidP="00CE28C4" w14:paraId="2AF262D2" w14:textId="77777777">
      <w:pPr>
        <w:pStyle w:val="FootnoteText"/>
        <w:rPr>
          <w:sz w:val="26"/>
          <w:szCs w:val="26"/>
        </w:rPr>
      </w:pPr>
      <w:r w:rsidRPr="00D12E50">
        <w:rPr>
          <w:rStyle w:val="FootnoteReference"/>
        </w:rPr>
        <w:footnoteRef/>
      </w:r>
      <w:r w:rsidRPr="00D12E50">
        <w:rPr>
          <w:sz w:val="26"/>
          <w:szCs w:val="26"/>
        </w:rPr>
        <w:t xml:space="preserve"> </w:t>
      </w:r>
      <w:r w:rsidRPr="00CE43C8">
        <w:rPr>
          <w:rFonts w:ascii="Times New Roman" w:hAnsi="Times New Roman" w:cs="Times New Roman"/>
        </w:rPr>
        <w:t>The number of respondents is the number of entities in which a change in burden from the current standards to the proposed standards exists, not the total number of entities from the current or proposed standards that are applicable.</w:t>
      </w:r>
    </w:p>
  </w:footnote>
  <w:footnote w:id="10">
    <w:p w:rsidR="00CE28C4" w:rsidRPr="007D4839" w:rsidP="00CE28C4" w14:paraId="2FC5E9BB" w14:textId="77777777">
      <w:pPr>
        <w:pStyle w:val="FootnoteText"/>
        <w:rPr>
          <w:sz w:val="26"/>
          <w:szCs w:val="26"/>
        </w:rPr>
      </w:pPr>
      <w:r w:rsidRPr="00D12E50">
        <w:rPr>
          <w:rStyle w:val="FootnoteReference"/>
        </w:rPr>
        <w:footnoteRef/>
      </w:r>
      <w:r w:rsidRPr="00D12E50">
        <w:rPr>
          <w:sz w:val="26"/>
          <w:szCs w:val="26"/>
        </w:rPr>
        <w:t xml:space="preserve"> </w:t>
      </w:r>
      <w:r w:rsidRPr="00CE43C8">
        <w:rPr>
          <w:rFonts w:ascii="Times New Roman" w:hAnsi="Times New Roman" w:cs="Times New Roman"/>
          <w:szCs w:val="22"/>
        </w:rPr>
        <w:t>The estimated hourly costs (salary plus benefits) are based on Bureau of Labor Statistics (BLS) information, as of May 2022 (at http://www.bls.gov/oes/current/naics2_22.htm, with updated benefits information for March 2022 at http://www.bls.gov/news.release/ecec.nr0.htm), for an electrical engineer (code 17-2071,</w:t>
      </w:r>
      <w:r w:rsidRPr="00CE43C8">
        <w:rPr>
          <w:rFonts w:ascii="Times New Roman" w:hAnsi="Times New Roman" w:cs="Times New Roman"/>
          <w:sz w:val="26"/>
          <w:szCs w:val="26"/>
        </w:rPr>
        <w:t xml:space="preserve"> </w:t>
      </w:r>
      <w:r w:rsidRPr="00CE43C8">
        <w:rPr>
          <w:rFonts w:ascii="Times New Roman" w:hAnsi="Times New Roman" w:cs="Times New Roman"/>
          <w:szCs w:val="22"/>
        </w:rPr>
        <w:t>$77.02/hour), and for information and record clerks record keeper (code 43-4199,</w:t>
      </w:r>
      <w:r w:rsidRPr="00CE43C8">
        <w:rPr>
          <w:rFonts w:ascii="Times New Roman" w:hAnsi="Times New Roman" w:cs="Times New Roman"/>
          <w:sz w:val="26"/>
          <w:szCs w:val="26"/>
        </w:rPr>
        <w:t xml:space="preserve"> </w:t>
      </w:r>
      <w:r w:rsidRPr="00CE43C8">
        <w:rPr>
          <w:rFonts w:ascii="Times New Roman" w:hAnsi="Times New Roman" w:cs="Times New Roman"/>
          <w:szCs w:val="22"/>
        </w:rPr>
        <w:t>$42.35/hour).  The hourly figure for engineers is used for reporting; the hourly figure for information and record clerks is used for document retention.</w:t>
      </w:r>
    </w:p>
  </w:footnote>
  <w:footnote w:id="11">
    <w:p w:rsidR="00CE28C4" w:rsidRPr="007D4839" w:rsidP="00CE28C4" w14:paraId="56A483CC" w14:textId="77777777">
      <w:pPr>
        <w:pStyle w:val="FootnoteText"/>
        <w:rPr>
          <w:sz w:val="26"/>
          <w:szCs w:val="26"/>
        </w:rPr>
      </w:pPr>
      <w:r w:rsidRPr="007D4839">
        <w:rPr>
          <w:rStyle w:val="FootnoteReference"/>
        </w:rPr>
        <w:footnoteRef/>
      </w:r>
      <w:r w:rsidRPr="007D4839">
        <w:rPr>
          <w:sz w:val="26"/>
          <w:szCs w:val="26"/>
        </w:rPr>
        <w:t xml:space="preserve"> </w:t>
      </w:r>
      <w:r w:rsidRPr="008C5A94">
        <w:rPr>
          <w:szCs w:val="22"/>
        </w:rPr>
        <w:t>Balancing Authority (BA). The following Requirements and associated measures apply to balancing authorities:  Requirement R1:</w:t>
      </w:r>
      <w:r w:rsidRPr="008C5A94">
        <w:rPr>
          <w:color w:val="000000"/>
          <w:szCs w:val="22"/>
        </w:rPr>
        <w:t xml:space="preserve">  A revised data specification and writing the required operating process/operating procedure; and Requirement R2:  quality monitoring logs and the data errors and corrective action logs.</w:t>
      </w:r>
    </w:p>
  </w:footnote>
  <w:footnote w:id="12">
    <w:p w:rsidR="00CE28C4" w:rsidRPr="007D4839" w:rsidP="00CE28C4" w14:paraId="00611349" w14:textId="77777777">
      <w:pPr>
        <w:pStyle w:val="FootnoteText"/>
        <w:rPr>
          <w:sz w:val="26"/>
          <w:szCs w:val="26"/>
        </w:rPr>
      </w:pPr>
      <w:r w:rsidRPr="007D4839">
        <w:rPr>
          <w:rStyle w:val="FootnoteReference"/>
        </w:rPr>
        <w:footnoteRef/>
      </w:r>
      <w:r w:rsidRPr="007D4839">
        <w:rPr>
          <w:sz w:val="26"/>
          <w:szCs w:val="26"/>
        </w:rPr>
        <w:t xml:space="preserve"> </w:t>
      </w:r>
      <w:r w:rsidRPr="008C5A94">
        <w:rPr>
          <w:szCs w:val="22"/>
        </w:rPr>
        <w:t>Transmission Operations (TOP). The following Requirements and associated measures apply to transmission operators:  Requirement R1:  A</w:t>
      </w:r>
      <w:r w:rsidRPr="008C5A94">
        <w:rPr>
          <w:color w:val="000000"/>
          <w:szCs w:val="22"/>
        </w:rPr>
        <w:t xml:space="preserve"> revised data specification and writing the required operating process/operating procedure; and Requirement </w:t>
      </w:r>
      <w:r w:rsidRPr="008C5A94">
        <w:rPr>
          <w:szCs w:val="22"/>
        </w:rPr>
        <w:t>R3:  a</w:t>
      </w:r>
      <w:r w:rsidRPr="008C5A94">
        <w:rPr>
          <w:color w:val="000000"/>
          <w:szCs w:val="22"/>
        </w:rPr>
        <w:t>larm process monitor performance logs to maintain performance logs and corrective action plans.</w:t>
      </w:r>
    </w:p>
  </w:footnote>
  <w:footnote w:id="13">
    <w:p w:rsidR="00582FF3" w14:paraId="58DFC22F" w14:textId="77777777">
      <w:pPr>
        <w:pStyle w:val="FootnoteText"/>
        <w:rPr>
          <w:rFonts w:ascii="Times New Roman" w:hAnsi="Times New Roman" w:cs="Times New Roman"/>
        </w:rPr>
      </w:pPr>
      <w:r>
        <w:rPr>
          <w:rStyle w:val="FootnoteReference"/>
          <w:rFonts w:ascii="Times New Roman" w:hAnsi="Times New Roman" w:cs="Times New Roman"/>
          <w:b/>
        </w:rPr>
        <w:t>12</w:t>
      </w:r>
      <w:r>
        <w:rPr>
          <w:rFonts w:ascii="Times New Roman" w:hAnsi="Times New Roman" w:cs="Times New Roman"/>
        </w:rPr>
        <w:t xml:space="preserve"> Paperwork Reduction Act of 1995 (PRA)</w:t>
      </w:r>
    </w:p>
  </w:footnote>
  <w:footnote w:id="14">
    <w:p w:rsidR="00582FF3" w14:paraId="1B296775" w14:textId="77777777">
      <w:pPr>
        <w:pStyle w:val="FootnoteText"/>
        <w:rPr>
          <w:rFonts w:ascii="Times New Roman" w:hAnsi="Times New Roman" w:cs="Times New Roman"/>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FF3" w14:paraId="5BD0F6D3" w14:textId="77777777">
    <w:pPr>
      <w:pStyle w:val="Header"/>
      <w:rPr>
        <w:rFonts w:ascii="Times New Roman" w:hAnsi="Times New Roman" w:cs="Times New Roman"/>
        <w:sz w:val="24"/>
        <w:szCs w:val="24"/>
      </w:rPr>
    </w:pPr>
    <w:r>
      <w:rPr>
        <w:rFonts w:ascii="Times New Roman" w:hAnsi="Times New Roman" w:cs="Times New Roman"/>
        <w:sz w:val="24"/>
        <w:szCs w:val="24"/>
      </w:rPr>
      <w:t>FERC-725A(1B) (OMB Control No.: 1902-0292)</w:t>
    </w:r>
  </w:p>
  <w:p w:rsidR="00582FF3" w14:paraId="7A99EF4A" w14:textId="12F4CFEE">
    <w:pPr>
      <w:pStyle w:val="Header"/>
      <w:rPr>
        <w:rFonts w:ascii="Times New Roman" w:hAnsi="Times New Roman" w:cs="Times New Roman"/>
        <w:sz w:val="24"/>
        <w:szCs w:val="24"/>
      </w:rPr>
    </w:pPr>
    <w:r>
      <w:rPr>
        <w:rFonts w:ascii="Times New Roman" w:hAnsi="Times New Roman" w:cs="Times New Roman"/>
        <w:sz w:val="24"/>
        <w:szCs w:val="24"/>
      </w:rPr>
      <w:t>Docket No. IC2</w:t>
    </w:r>
    <w:r w:rsidR="00BC4012">
      <w:rPr>
        <w:rFonts w:ascii="Times New Roman" w:hAnsi="Times New Roman" w:cs="Times New Roman"/>
        <w:sz w:val="24"/>
        <w:szCs w:val="24"/>
      </w:rPr>
      <w:t>3</w:t>
    </w:r>
    <w:r>
      <w:rPr>
        <w:rFonts w:ascii="Times New Roman" w:hAnsi="Times New Roman" w:cs="Times New Roman"/>
        <w:sz w:val="24"/>
        <w:szCs w:val="24"/>
      </w:rPr>
      <w:t>-</w:t>
    </w:r>
    <w:r w:rsidR="00BC4012">
      <w:rPr>
        <w:rFonts w:ascii="Times New Roman" w:hAnsi="Times New Roman" w:cs="Times New Roman"/>
        <w:sz w:val="24"/>
        <w:szCs w:val="24"/>
      </w:rPr>
      <w:t>7</w:t>
    </w:r>
    <w:r>
      <w:rPr>
        <w:rFonts w:ascii="Times New Roman" w:hAnsi="Times New Roman" w:cs="Times New Roman"/>
        <w:sz w:val="24"/>
        <w:szCs w:val="24"/>
      </w:rPr>
      <w:t>-000</w:t>
    </w:r>
  </w:p>
  <w:p w:rsidR="00582FF3" w14:paraId="7E7DE6A3" w14:textId="578B9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E018E"/>
    <w:multiLevelType w:val="hybridMultilevel"/>
    <w:tmpl w:val="A6E2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1D2961"/>
    <w:multiLevelType w:val="hybridMultilevel"/>
    <w:tmpl w:val="6A1C27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A96117"/>
    <w:multiLevelType w:val="hybridMultilevel"/>
    <w:tmpl w:val="33D4B0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D567E2"/>
    <w:multiLevelType w:val="hybridMultilevel"/>
    <w:tmpl w:val="C17C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EF516B"/>
    <w:multiLevelType w:val="hybridMultilevel"/>
    <w:tmpl w:val="F90CCA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9A72F7"/>
    <w:multiLevelType w:val="hybridMultilevel"/>
    <w:tmpl w:val="5596ABA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38B77FA5"/>
    <w:multiLevelType w:val="hybridMultilevel"/>
    <w:tmpl w:val="B4B4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CD487E"/>
    <w:multiLevelType w:val="hybridMultilevel"/>
    <w:tmpl w:val="C0C83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D35AF"/>
    <w:multiLevelType w:val="hybridMultilevel"/>
    <w:tmpl w:val="943EA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40CA1A8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A200EA"/>
    <w:multiLevelType w:val="hybridMultilevel"/>
    <w:tmpl w:val="75326C6A"/>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5"/>
  </w:num>
  <w:num w:numId="5">
    <w:abstractNumId w:val="3"/>
  </w:num>
  <w:num w:numId="6">
    <w:abstractNumId w:val="1"/>
  </w:num>
  <w:num w:numId="7">
    <w:abstractNumId w:val="8"/>
  </w:num>
  <w:num w:numId="8">
    <w:abstractNumId w:val="11"/>
  </w:num>
  <w:num w:numId="9">
    <w:abstractNumId w:val="0"/>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88"/>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F3"/>
    <w:rsid w:val="0000221C"/>
    <w:rsid w:val="000F2AF9"/>
    <w:rsid w:val="00123512"/>
    <w:rsid w:val="00142A04"/>
    <w:rsid w:val="001C42D9"/>
    <w:rsid w:val="001F36A3"/>
    <w:rsid w:val="002307D2"/>
    <w:rsid w:val="002C49EA"/>
    <w:rsid w:val="002D27C0"/>
    <w:rsid w:val="002D58EE"/>
    <w:rsid w:val="00347921"/>
    <w:rsid w:val="00377187"/>
    <w:rsid w:val="0039038E"/>
    <w:rsid w:val="00423FF6"/>
    <w:rsid w:val="00455B53"/>
    <w:rsid w:val="0047443B"/>
    <w:rsid w:val="004D1F34"/>
    <w:rsid w:val="00561DDF"/>
    <w:rsid w:val="00582FF3"/>
    <w:rsid w:val="005F6FAA"/>
    <w:rsid w:val="006A1C66"/>
    <w:rsid w:val="007764A1"/>
    <w:rsid w:val="007C18B0"/>
    <w:rsid w:val="007D4839"/>
    <w:rsid w:val="0082374B"/>
    <w:rsid w:val="00841BCF"/>
    <w:rsid w:val="008C5A94"/>
    <w:rsid w:val="00984092"/>
    <w:rsid w:val="00A0193A"/>
    <w:rsid w:val="00A85404"/>
    <w:rsid w:val="00A87031"/>
    <w:rsid w:val="00AD353E"/>
    <w:rsid w:val="00B10951"/>
    <w:rsid w:val="00B267B4"/>
    <w:rsid w:val="00BC4012"/>
    <w:rsid w:val="00BC6640"/>
    <w:rsid w:val="00C632AD"/>
    <w:rsid w:val="00CB0F2D"/>
    <w:rsid w:val="00CD1809"/>
    <w:rsid w:val="00CE28C4"/>
    <w:rsid w:val="00CE43C8"/>
    <w:rsid w:val="00D04F49"/>
    <w:rsid w:val="00D12E50"/>
    <w:rsid w:val="00D25FAC"/>
    <w:rsid w:val="00D4111F"/>
    <w:rsid w:val="00DC2CF8"/>
    <w:rsid w:val="00DD43F8"/>
    <w:rsid w:val="00E84DD1"/>
    <w:rsid w:val="00FD1947"/>
    <w:rsid w:val="00FF2DEF"/>
    <w:rsid w:val="00FF4970"/>
    <w:rsid w:val="235D1098"/>
    <w:rsid w:val="66D88A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E4352C"/>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 Char1,ft Char1"/>
    <w:basedOn w:val="DefaultParagraphFont"/>
    <w:link w:val="FootnoteText"/>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style>
  <w:style w:type="character" w:styleId="Hyperlink">
    <w:name w:val="Hyperlink"/>
    <w:rPr>
      <w:strike w:val="0"/>
      <w:dstrike w:val="0"/>
      <w:color w:val="004B91"/>
      <w:u w:val="none"/>
      <w:effect w:val="non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info-collections.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idmws/common/opennat.asp?fileID=155437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725A(1B)</_x0031__x002e__x0020_Collection_x0020_Number>
    <Date xmlns="d6eefc7d-9817-4fa6-84d5-3bc009be21b8">2020-05-28T04:00:00+00:00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IC20-6</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125A5-02BC-4BB9-AE56-90D3E59370C3}">
  <ds:schemaRefs>
    <ds:schemaRef ds:uri="http://schemas.microsoft.com/sharepoint/v3/contenttype/forms"/>
  </ds:schemaRefs>
</ds:datastoreItem>
</file>

<file path=customXml/itemProps2.xml><?xml version="1.0" encoding="utf-8"?>
<ds:datastoreItem xmlns:ds="http://schemas.openxmlformats.org/officeDocument/2006/customXml" ds:itemID="{3E69DA12-1130-4D4D-AA7E-AA819764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187E2-0C64-4E26-A1E5-4E06276C5359}">
  <ds:schemaRefs>
    <ds:schemaRef ds:uri="http://schemas.openxmlformats.org/officeDocument/2006/bibliography"/>
  </ds:schemaRefs>
</ds:datastoreItem>
</file>

<file path=customXml/itemProps4.xml><?xml version="1.0" encoding="utf-8"?>
<ds:datastoreItem xmlns:ds="http://schemas.openxmlformats.org/officeDocument/2006/customXml" ds:itemID="{97B37030-878A-47B2-874A-FE8135C23730}">
  <ds:schemaRefs>
    <ds:schemaRef ds:uri="http://purl.org/dc/terms/"/>
    <ds:schemaRef ds:uri="http://schemas.microsoft.com/office/2006/documentManagement/types"/>
    <ds:schemaRef ds:uri="e029e753-062b-49ce-baa7-feb352134f8f"/>
    <ds:schemaRef ds:uri="5a7c6213-c3f8-4376-93f2-dc58e5c51d54"/>
    <ds:schemaRef ds:uri="http://purl.org/dc/elements/1.1/"/>
    <ds:schemaRef ds:uri="http://schemas.microsoft.com/office/2006/metadata/properties"/>
    <ds:schemaRef ds:uri="http://schemas.microsoft.com/office/infopath/2007/PartnerControls"/>
    <ds:schemaRef ds:uri="d6eefc7d-9817-4fa6-84d5-3bc009be21b8"/>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2217</Words>
  <Characters>12638</Characters>
  <Application>Microsoft Office Word</Application>
  <DocSecurity>0</DocSecurity>
  <Lines>105</Lines>
  <Paragraphs>29</Paragraphs>
  <ScaleCrop>false</ScaleCrop>
  <Company>FERC</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2</cp:revision>
  <dcterms:created xsi:type="dcterms:W3CDTF">2023-05-09T12:39:00Z</dcterms:created>
  <dcterms:modified xsi:type="dcterms:W3CDTF">2023-05-09T12:39:00Z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88d1f4e0-9336-4302-b67c-9c107af21bda</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2023-01-05T17:02:56Z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