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31DD" w:rsidP="00D673EA" w14:paraId="5C0F0562" w14:textId="77777777">
      <w:pPr>
        <w:jc w:val="center"/>
        <w:rPr>
          <w:b/>
          <w:bCs/>
          <w:sz w:val="24"/>
          <w:szCs w:val="24"/>
        </w:rPr>
      </w:pPr>
    </w:p>
    <w:p w:rsidR="00195B05" w:rsidP="00D673EA" w14:paraId="0BD5D3C3" w14:textId="77777777">
      <w:pPr>
        <w:jc w:val="center"/>
        <w:rPr>
          <w:b/>
          <w:bCs/>
          <w:sz w:val="24"/>
          <w:szCs w:val="24"/>
        </w:rPr>
      </w:pPr>
    </w:p>
    <w:p w:rsidR="00195B05" w:rsidP="00D673EA" w14:paraId="20B1BB77" w14:textId="77777777">
      <w:pPr>
        <w:jc w:val="center"/>
        <w:rPr>
          <w:b/>
          <w:bCs/>
          <w:sz w:val="24"/>
          <w:szCs w:val="24"/>
        </w:rPr>
      </w:pPr>
    </w:p>
    <w:p w:rsidR="00DA31DD" w:rsidP="00D673EA" w14:paraId="474E7B09" w14:textId="77777777">
      <w:pPr>
        <w:jc w:val="center"/>
        <w:rPr>
          <w:b/>
          <w:bCs/>
          <w:sz w:val="24"/>
          <w:szCs w:val="24"/>
        </w:rPr>
      </w:pPr>
    </w:p>
    <w:p w:rsidR="00DA31DD" w:rsidP="00D673EA" w14:paraId="28D2DA78" w14:textId="77777777">
      <w:pPr>
        <w:jc w:val="center"/>
        <w:rPr>
          <w:b/>
          <w:bCs/>
          <w:sz w:val="24"/>
          <w:szCs w:val="24"/>
        </w:rPr>
      </w:pPr>
    </w:p>
    <w:p w:rsidR="00DA31DD" w:rsidP="00D673EA" w14:paraId="3C13EB09" w14:textId="77777777">
      <w:pPr>
        <w:jc w:val="center"/>
        <w:rPr>
          <w:b/>
          <w:bCs/>
          <w:sz w:val="24"/>
          <w:szCs w:val="24"/>
        </w:rPr>
      </w:pPr>
    </w:p>
    <w:p w:rsidR="00DA31DD" w:rsidP="00D673EA" w14:paraId="632C9002" w14:textId="77777777">
      <w:pPr>
        <w:jc w:val="center"/>
        <w:rPr>
          <w:b/>
          <w:bCs/>
          <w:sz w:val="24"/>
          <w:szCs w:val="24"/>
        </w:rPr>
      </w:pPr>
    </w:p>
    <w:p w:rsidR="00DA31DD" w:rsidP="00D673EA" w14:paraId="3F9D9177" w14:textId="77777777">
      <w:pPr>
        <w:jc w:val="center"/>
        <w:rPr>
          <w:b/>
          <w:bCs/>
          <w:sz w:val="24"/>
          <w:szCs w:val="24"/>
        </w:rPr>
      </w:pPr>
    </w:p>
    <w:p w:rsidR="00DA31DD" w:rsidP="00D673EA" w14:paraId="1AE25BEC" w14:textId="77777777">
      <w:pPr>
        <w:jc w:val="center"/>
        <w:rPr>
          <w:b/>
          <w:bCs/>
          <w:sz w:val="24"/>
          <w:szCs w:val="24"/>
        </w:rPr>
      </w:pPr>
    </w:p>
    <w:p w:rsidR="00573218" w:rsidP="00D673EA" w14:paraId="7B274B0C" w14:textId="77777777">
      <w:pPr>
        <w:jc w:val="center"/>
        <w:rPr>
          <w:b/>
          <w:bCs/>
          <w:sz w:val="24"/>
          <w:szCs w:val="24"/>
        </w:rPr>
      </w:pPr>
    </w:p>
    <w:p w:rsidR="00573218" w:rsidP="00D673EA" w14:paraId="00A0F72C" w14:textId="77777777">
      <w:pPr>
        <w:jc w:val="center"/>
        <w:rPr>
          <w:b/>
          <w:bCs/>
          <w:sz w:val="24"/>
          <w:szCs w:val="24"/>
        </w:rPr>
      </w:pPr>
    </w:p>
    <w:p w:rsidR="00573218" w:rsidP="00D673EA" w14:paraId="458FE94F" w14:textId="77777777">
      <w:pPr>
        <w:jc w:val="center"/>
        <w:rPr>
          <w:b/>
          <w:bCs/>
          <w:sz w:val="24"/>
          <w:szCs w:val="24"/>
        </w:rPr>
      </w:pPr>
    </w:p>
    <w:p w:rsidR="00DA31DD" w:rsidRPr="002A7A71" w:rsidP="00DA31DD" w14:paraId="446CC668" w14:textId="3CF3F0F2">
      <w:pPr>
        <w:jc w:val="center"/>
        <w:rPr>
          <w:b/>
          <w:bCs/>
          <w:sz w:val="28"/>
          <w:szCs w:val="28"/>
        </w:rPr>
      </w:pPr>
      <w:r w:rsidRPr="002A7A71">
        <w:rPr>
          <w:b/>
          <w:bCs/>
          <w:sz w:val="28"/>
          <w:szCs w:val="28"/>
        </w:rPr>
        <w:t>Information Collection Request For</w:t>
      </w:r>
    </w:p>
    <w:p w:rsidR="00DA31DD" w:rsidRPr="002A7A71" w:rsidP="00DA31DD" w14:paraId="1C046185" w14:textId="579C7A11">
      <w:pPr>
        <w:jc w:val="center"/>
        <w:rPr>
          <w:b/>
          <w:bCs/>
          <w:sz w:val="28"/>
          <w:szCs w:val="28"/>
        </w:rPr>
      </w:pPr>
      <w:r w:rsidRPr="002A7A71">
        <w:rPr>
          <w:b/>
          <w:bCs/>
          <w:sz w:val="28"/>
          <w:szCs w:val="28"/>
        </w:rPr>
        <w:t xml:space="preserve">BEACH Act Grant </w:t>
      </w:r>
      <w:r w:rsidRPr="002A7A71" w:rsidR="0046243D">
        <w:rPr>
          <w:b/>
          <w:bCs/>
          <w:sz w:val="28"/>
          <w:szCs w:val="28"/>
        </w:rPr>
        <w:t>P</w:t>
      </w:r>
      <w:r w:rsidRPr="002A7A71">
        <w:rPr>
          <w:b/>
          <w:bCs/>
          <w:sz w:val="28"/>
          <w:szCs w:val="28"/>
        </w:rPr>
        <w:t>rogram</w:t>
      </w:r>
      <w:r w:rsidRPr="002A7A71" w:rsidR="0046243D">
        <w:rPr>
          <w:b/>
          <w:bCs/>
          <w:sz w:val="28"/>
          <w:szCs w:val="28"/>
        </w:rPr>
        <w:t xml:space="preserve"> </w:t>
      </w:r>
      <w:r w:rsidRPr="002A7A71">
        <w:rPr>
          <w:b/>
          <w:bCs/>
          <w:sz w:val="28"/>
          <w:szCs w:val="28"/>
        </w:rPr>
        <w:t>(R</w:t>
      </w:r>
      <w:r w:rsidRPr="002A7A71">
        <w:rPr>
          <w:b/>
          <w:bCs/>
          <w:sz w:val="28"/>
          <w:szCs w:val="28"/>
        </w:rPr>
        <w:t>enewal</w:t>
      </w:r>
      <w:r w:rsidRPr="002A7A71">
        <w:rPr>
          <w:b/>
          <w:bCs/>
          <w:sz w:val="28"/>
          <w:szCs w:val="28"/>
        </w:rPr>
        <w:t>)</w:t>
      </w:r>
    </w:p>
    <w:p w:rsidR="00DA31DD" w:rsidP="00DA31DD" w14:paraId="6F1DE7B5" w14:textId="77777777">
      <w:pPr>
        <w:jc w:val="center"/>
        <w:rPr>
          <w:b/>
          <w:bCs/>
          <w:sz w:val="24"/>
          <w:szCs w:val="24"/>
        </w:rPr>
      </w:pPr>
    </w:p>
    <w:p w:rsidR="00DA31DD" w:rsidP="00DA31DD" w14:paraId="694EF407" w14:textId="77777777">
      <w:pPr>
        <w:jc w:val="center"/>
        <w:rPr>
          <w:b/>
          <w:bCs/>
          <w:sz w:val="24"/>
          <w:szCs w:val="24"/>
        </w:rPr>
      </w:pPr>
    </w:p>
    <w:p w:rsidR="00DA31DD" w:rsidP="00DA31DD" w14:paraId="14F49254" w14:textId="77777777">
      <w:pPr>
        <w:jc w:val="center"/>
        <w:rPr>
          <w:b/>
          <w:bCs/>
          <w:sz w:val="24"/>
          <w:szCs w:val="24"/>
        </w:rPr>
      </w:pPr>
    </w:p>
    <w:p w:rsidR="00DA31DD" w:rsidP="00DA31DD" w14:paraId="059E5592" w14:textId="77777777">
      <w:pPr>
        <w:jc w:val="center"/>
        <w:rPr>
          <w:b/>
          <w:bCs/>
          <w:sz w:val="24"/>
          <w:szCs w:val="24"/>
        </w:rPr>
      </w:pPr>
    </w:p>
    <w:p w:rsidR="00DA31DD" w:rsidP="00DA31DD" w14:paraId="2645663B" w14:textId="77777777">
      <w:pPr>
        <w:jc w:val="center"/>
        <w:rPr>
          <w:b/>
          <w:bCs/>
          <w:sz w:val="24"/>
          <w:szCs w:val="24"/>
        </w:rPr>
      </w:pPr>
    </w:p>
    <w:p w:rsidR="00DA31DD" w:rsidP="00DA31DD" w14:paraId="4F6FB502" w14:textId="77777777">
      <w:pPr>
        <w:jc w:val="center"/>
        <w:rPr>
          <w:b/>
          <w:bCs/>
          <w:sz w:val="24"/>
          <w:szCs w:val="24"/>
        </w:rPr>
      </w:pPr>
    </w:p>
    <w:p w:rsidR="00DA31DD" w:rsidRPr="00F23953" w:rsidP="00DA31DD" w14:paraId="0B7FE3D3" w14:textId="0EDAF598">
      <w:pPr>
        <w:jc w:val="center"/>
        <w:rPr>
          <w:rFonts w:ascii="Arial" w:hAnsi="Arial" w:cs="Arial"/>
          <w:b/>
          <w:bCs/>
          <w:sz w:val="24"/>
          <w:szCs w:val="24"/>
        </w:rPr>
      </w:pPr>
      <w:r w:rsidRPr="00F23953">
        <w:rPr>
          <w:rFonts w:ascii="Arial" w:hAnsi="Arial" w:cs="Arial"/>
          <w:b/>
          <w:bCs/>
          <w:sz w:val="24"/>
          <w:szCs w:val="24"/>
        </w:rPr>
        <w:t xml:space="preserve">EPA ICR No. </w:t>
      </w:r>
      <w:r w:rsidRPr="005B02D7" w:rsidR="005B02D7">
        <w:rPr>
          <w:rStyle w:val="normaltextrun"/>
          <w:rFonts w:ascii="Arial" w:hAnsi="Arial" w:cs="Arial"/>
          <w:b/>
          <w:bCs/>
          <w:color w:val="000000"/>
          <w:sz w:val="24"/>
          <w:szCs w:val="24"/>
          <w:bdr w:val="none" w:sz="0" w:space="0" w:color="auto" w:frame="1"/>
        </w:rPr>
        <w:t>2048.07</w:t>
      </w:r>
    </w:p>
    <w:p w:rsidR="00DA31DD" w:rsidRPr="00F23953" w:rsidP="00DA31DD" w14:paraId="4453BDD0" w14:textId="54C92ECA">
      <w:pPr>
        <w:jc w:val="center"/>
        <w:rPr>
          <w:rFonts w:ascii="Arial" w:hAnsi="Arial" w:cs="Arial"/>
          <w:b/>
          <w:bCs/>
          <w:sz w:val="24"/>
          <w:szCs w:val="24"/>
        </w:rPr>
      </w:pPr>
      <w:r w:rsidRPr="00F23953">
        <w:rPr>
          <w:rFonts w:ascii="Arial" w:hAnsi="Arial" w:cs="Arial"/>
          <w:b/>
          <w:bCs/>
          <w:sz w:val="24"/>
          <w:szCs w:val="24"/>
        </w:rPr>
        <w:t xml:space="preserve">OMB Control No. </w:t>
      </w:r>
      <w:r w:rsidR="0046243D">
        <w:rPr>
          <w:rFonts w:ascii="Arial" w:hAnsi="Arial" w:cs="Arial"/>
          <w:b/>
          <w:bCs/>
          <w:sz w:val="24"/>
          <w:szCs w:val="24"/>
        </w:rPr>
        <w:t>2</w:t>
      </w:r>
      <w:r w:rsidRPr="00C20997" w:rsidR="00C20997">
        <w:rPr>
          <w:rStyle w:val="normaltextrun"/>
          <w:rFonts w:ascii="Arial" w:hAnsi="Arial" w:cs="Arial"/>
          <w:b/>
          <w:bCs/>
          <w:color w:val="000000"/>
          <w:sz w:val="24"/>
          <w:szCs w:val="24"/>
          <w:bdr w:val="none" w:sz="0" w:space="0" w:color="auto" w:frame="1"/>
        </w:rPr>
        <w:t>040-0244</w:t>
      </w:r>
    </w:p>
    <w:p w:rsidR="00DA31DD" w:rsidRPr="0096046A" w:rsidP="0096046A" w14:paraId="5BA5BC30" w14:textId="77777777">
      <w:pPr>
        <w:jc w:val="center"/>
        <w:rPr>
          <w:rFonts w:ascii="Arial" w:hAnsi="Arial" w:cs="Arial"/>
          <w:sz w:val="24"/>
          <w:szCs w:val="24"/>
        </w:rPr>
      </w:pPr>
    </w:p>
    <w:p w:rsidR="00DA31DD" w:rsidRPr="0096046A" w:rsidP="0096046A" w14:paraId="00315F4C" w14:textId="77777777">
      <w:pPr>
        <w:jc w:val="center"/>
        <w:rPr>
          <w:rFonts w:ascii="Arial" w:hAnsi="Arial" w:cs="Arial"/>
          <w:sz w:val="24"/>
          <w:szCs w:val="24"/>
        </w:rPr>
      </w:pPr>
    </w:p>
    <w:p w:rsidR="00DA31DD" w:rsidRPr="0096046A" w:rsidP="0096046A" w14:paraId="0121A2A2" w14:textId="77777777">
      <w:pPr>
        <w:jc w:val="center"/>
        <w:rPr>
          <w:rFonts w:ascii="Arial" w:hAnsi="Arial" w:cs="Arial"/>
          <w:sz w:val="24"/>
          <w:szCs w:val="24"/>
        </w:rPr>
      </w:pPr>
    </w:p>
    <w:p w:rsidR="00DA31DD" w:rsidRPr="0096046A" w:rsidP="0096046A" w14:paraId="0268C0ED" w14:textId="77777777">
      <w:pPr>
        <w:jc w:val="center"/>
        <w:rPr>
          <w:rFonts w:ascii="Arial" w:hAnsi="Arial" w:cs="Arial"/>
          <w:sz w:val="24"/>
          <w:szCs w:val="24"/>
        </w:rPr>
      </w:pPr>
    </w:p>
    <w:p w:rsidR="00DA31DD" w:rsidRPr="0096046A" w:rsidP="0096046A" w14:paraId="07BDFC0F" w14:textId="77777777">
      <w:pPr>
        <w:ind w:left="14"/>
        <w:jc w:val="center"/>
        <w:rPr>
          <w:rFonts w:ascii="Arial" w:hAnsi="Arial" w:cs="Arial"/>
          <w:sz w:val="24"/>
          <w:szCs w:val="24"/>
        </w:rPr>
      </w:pPr>
    </w:p>
    <w:p w:rsidR="00DA31DD" w:rsidRPr="0096046A" w:rsidP="0096046A" w14:paraId="01819A86" w14:textId="77777777">
      <w:pPr>
        <w:jc w:val="center"/>
        <w:rPr>
          <w:rFonts w:ascii="Arial" w:hAnsi="Arial" w:cs="Arial"/>
          <w:sz w:val="24"/>
          <w:szCs w:val="24"/>
        </w:rPr>
      </w:pPr>
    </w:p>
    <w:p w:rsidR="00DA31DD" w:rsidP="00DA31DD" w14:paraId="6411C1C2" w14:textId="6C732D3F">
      <w:pPr>
        <w:ind w:left="56"/>
        <w:jc w:val="center"/>
        <w:rPr>
          <w:rFonts w:ascii="Arial" w:hAnsi="Arial" w:cs="Arial"/>
          <w:b/>
          <w:bCs/>
          <w:sz w:val="24"/>
          <w:szCs w:val="24"/>
        </w:rPr>
      </w:pPr>
      <w:r>
        <w:rPr>
          <w:rFonts w:ascii="Arial" w:hAnsi="Arial" w:cs="Arial"/>
          <w:b/>
          <w:bCs/>
          <w:sz w:val="24"/>
          <w:szCs w:val="24"/>
        </w:rPr>
        <w:t>February 2023</w:t>
      </w:r>
    </w:p>
    <w:p w:rsidR="00DA31DD" w:rsidRPr="002A7A71" w:rsidP="00DA31DD" w14:paraId="18432515" w14:textId="77777777">
      <w:pPr>
        <w:jc w:val="center"/>
        <w:rPr>
          <w:rFonts w:ascii="Arial" w:hAnsi="Arial" w:cs="Arial"/>
          <w:sz w:val="24"/>
          <w:szCs w:val="24"/>
        </w:rPr>
      </w:pPr>
    </w:p>
    <w:p w:rsidR="00DA31DD" w:rsidRPr="002A7A71" w:rsidP="00DA31DD" w14:paraId="62F245AF" w14:textId="77777777">
      <w:pPr>
        <w:jc w:val="center"/>
        <w:rPr>
          <w:rFonts w:ascii="Arial" w:hAnsi="Arial" w:cs="Arial"/>
          <w:sz w:val="24"/>
          <w:szCs w:val="24"/>
        </w:rPr>
      </w:pPr>
    </w:p>
    <w:p w:rsidR="00DA31DD" w:rsidRPr="002A7A71" w:rsidP="00DA31DD" w14:paraId="3866E9D1" w14:textId="77777777">
      <w:pPr>
        <w:jc w:val="center"/>
        <w:rPr>
          <w:rFonts w:ascii="Arial" w:hAnsi="Arial" w:cs="Arial"/>
          <w:sz w:val="24"/>
          <w:szCs w:val="24"/>
        </w:rPr>
      </w:pPr>
    </w:p>
    <w:p w:rsidR="002A6083" w:rsidRPr="00A12868" w:rsidP="002A6083" w14:paraId="1E8CED5E" w14:textId="77777777">
      <w:pPr>
        <w:pStyle w:val="StyleTimesNewRomanBoldCentered"/>
        <w:rPr>
          <w:rFonts w:ascii="Arial" w:hAnsi="Arial" w:cs="Arial"/>
          <w:b w:val="0"/>
          <w:bCs w:val="0"/>
        </w:rPr>
      </w:pPr>
      <w:smartTag w:uri="urn:schemas-microsoft-com:office:smarttags" w:element="place">
        <w:smartTag w:uri="urn:schemas-microsoft-com:office:smarttags" w:element="country-region">
          <w:r w:rsidRPr="00A12868">
            <w:rPr>
              <w:rFonts w:ascii="Arial" w:hAnsi="Arial" w:cs="Arial"/>
              <w:b w:val="0"/>
              <w:bCs w:val="0"/>
            </w:rPr>
            <w:t>U.S.</w:t>
          </w:r>
        </w:smartTag>
      </w:smartTag>
      <w:r w:rsidRPr="00A12868">
        <w:rPr>
          <w:rFonts w:ascii="Arial" w:hAnsi="Arial" w:cs="Arial"/>
          <w:b w:val="0"/>
          <w:bCs w:val="0"/>
        </w:rPr>
        <w:t xml:space="preserve"> Environmental Protection Agency</w:t>
      </w:r>
    </w:p>
    <w:p w:rsidR="002A6083" w:rsidRPr="00A12868" w:rsidP="002A6083" w14:paraId="1F7AE061" w14:textId="77777777">
      <w:pPr>
        <w:pStyle w:val="StyleTimesNewRomanBoldCentered"/>
        <w:rPr>
          <w:rFonts w:ascii="Arial" w:hAnsi="Arial" w:cs="Arial"/>
          <w:b w:val="0"/>
          <w:bCs w:val="0"/>
        </w:rPr>
      </w:pPr>
      <w:r w:rsidRPr="00A12868">
        <w:rPr>
          <w:rFonts w:ascii="Arial" w:hAnsi="Arial" w:cs="Arial"/>
          <w:b w:val="0"/>
          <w:bCs w:val="0"/>
        </w:rPr>
        <w:t>Office of Water</w:t>
      </w:r>
    </w:p>
    <w:p w:rsidR="002A6083" w:rsidRPr="00A12868" w:rsidP="002A6083" w14:paraId="47FEA9AD" w14:textId="77777777">
      <w:pPr>
        <w:pStyle w:val="StyleTimesNewRomanBoldCentered"/>
        <w:rPr>
          <w:rFonts w:ascii="Arial" w:hAnsi="Arial" w:cs="Arial"/>
          <w:b w:val="0"/>
          <w:bCs w:val="0"/>
        </w:rPr>
      </w:pPr>
      <w:r w:rsidRPr="00A12868">
        <w:rPr>
          <w:rFonts w:ascii="Arial" w:hAnsi="Arial" w:cs="Arial"/>
          <w:b w:val="0"/>
          <w:bCs w:val="0"/>
        </w:rPr>
        <w:t>Office of Science and Technology</w:t>
      </w:r>
    </w:p>
    <w:p w:rsidR="002A6083" w:rsidRPr="00A12868" w:rsidP="002A6083" w14:paraId="0FC033C8" w14:textId="77777777">
      <w:pPr>
        <w:pStyle w:val="StyleTimesNewRomanBoldCentered"/>
        <w:rPr>
          <w:rFonts w:ascii="Arial" w:hAnsi="Arial" w:cs="Arial"/>
          <w:b w:val="0"/>
          <w:bCs w:val="0"/>
        </w:rPr>
      </w:pPr>
      <w:smartTag w:uri="urn:schemas-microsoft-com:office:smarttags" w:element="address">
        <w:smartTag w:uri="urn:schemas-microsoft-com:office:smarttags" w:element="Street">
          <w:r w:rsidRPr="00A12868">
            <w:rPr>
              <w:rFonts w:ascii="Arial" w:hAnsi="Arial" w:cs="Arial"/>
              <w:b w:val="0"/>
              <w:bCs w:val="0"/>
            </w:rPr>
            <w:t>1200 Pennsylvania Ave</w:t>
          </w:r>
          <w:r>
            <w:rPr>
              <w:rFonts w:ascii="Arial" w:hAnsi="Arial" w:cs="Arial"/>
              <w:b w:val="0"/>
              <w:bCs w:val="0"/>
            </w:rPr>
            <w:t>nue</w:t>
          </w:r>
          <w:r w:rsidRPr="00A12868">
            <w:rPr>
              <w:rFonts w:ascii="Arial" w:hAnsi="Arial" w:cs="Arial"/>
              <w:b w:val="0"/>
              <w:bCs w:val="0"/>
            </w:rPr>
            <w:t>, NW</w:t>
          </w:r>
        </w:smartTag>
      </w:smartTag>
    </w:p>
    <w:p w:rsidR="002A6083" w:rsidRPr="00A12868" w:rsidP="002A6083" w14:paraId="5B8F42A4" w14:textId="77777777">
      <w:pPr>
        <w:pStyle w:val="StyleTimesNewRomanBoldCentered"/>
        <w:rPr>
          <w:rFonts w:ascii="Arial" w:hAnsi="Arial" w:cs="Arial"/>
        </w:rPr>
      </w:pPr>
      <w:smartTag w:uri="urn:schemas-microsoft-com:office:smarttags" w:element="place">
        <w:smartTag w:uri="urn:schemas-microsoft-com:office:smarttags" w:element="City">
          <w:r w:rsidRPr="00A12868">
            <w:rPr>
              <w:rFonts w:ascii="Arial" w:hAnsi="Arial" w:cs="Arial"/>
              <w:b w:val="0"/>
              <w:bCs w:val="0"/>
            </w:rPr>
            <w:t>Washington</w:t>
          </w:r>
        </w:smartTag>
        <w:r w:rsidRPr="00A12868">
          <w:rPr>
            <w:rFonts w:ascii="Arial" w:hAnsi="Arial" w:cs="Arial"/>
            <w:b w:val="0"/>
            <w:bCs w:val="0"/>
          </w:rPr>
          <w:t xml:space="preserve">, </w:t>
        </w:r>
        <w:smartTag w:uri="urn:schemas-microsoft-com:office:smarttags" w:element="State">
          <w:r w:rsidRPr="00A12868">
            <w:rPr>
              <w:rFonts w:ascii="Arial" w:hAnsi="Arial" w:cs="Arial"/>
              <w:b w:val="0"/>
              <w:bCs w:val="0"/>
            </w:rPr>
            <w:t>DC</w:t>
          </w:r>
        </w:smartTag>
        <w:r>
          <w:rPr>
            <w:rFonts w:ascii="Arial" w:hAnsi="Arial" w:cs="Arial"/>
            <w:b w:val="0"/>
            <w:bCs w:val="0"/>
          </w:rPr>
          <w:t xml:space="preserve"> </w:t>
        </w:r>
        <w:smartTag w:uri="urn:schemas-microsoft-com:office:smarttags" w:element="PostalCode">
          <w:r w:rsidRPr="00A12868">
            <w:rPr>
              <w:rFonts w:ascii="Arial" w:hAnsi="Arial" w:cs="Arial"/>
              <w:b w:val="0"/>
              <w:bCs w:val="0"/>
            </w:rPr>
            <w:t>20460</w:t>
          </w:r>
        </w:smartTag>
      </w:smartTag>
    </w:p>
    <w:p w:rsidR="002A6083" w:rsidP="00DA31DD" w14:paraId="0368271D" w14:textId="48C13DA6">
      <w:pPr>
        <w:jc w:val="center"/>
        <w:rPr>
          <w:rFonts w:ascii="Arial" w:hAnsi="Arial" w:cs="Arial"/>
          <w:b/>
          <w:bCs/>
          <w:sz w:val="24"/>
          <w:szCs w:val="24"/>
        </w:rPr>
        <w:sectPr w:rsidSect="00DA31DD">
          <w:pgSz w:w="12240" w:h="15840"/>
          <w:pgMar w:top="1440" w:right="1440" w:bottom="1440" w:left="1440" w:header="720" w:footer="720" w:gutter="0"/>
          <w:cols w:space="720"/>
        </w:sectPr>
      </w:pPr>
    </w:p>
    <w:bookmarkStart w:id="0" w:name="_Toc104287852" w:displacedByCustomXml="next"/>
    <w:bookmarkStart w:id="1" w:name="_Toc105018584" w:displacedByCustomXml="next"/>
    <w:sdt>
      <w:sdtPr>
        <w:rPr>
          <w:rFonts w:ascii="Times New Roman" w:eastAsia="Times New Roman" w:hAnsi="Times New Roman" w:cs="Times New Roman"/>
          <w:b w:val="0"/>
          <w:smallCaps w:val="0"/>
          <w:color w:val="auto"/>
          <w:sz w:val="20"/>
          <w:szCs w:val="20"/>
          <w:shd w:val="clear" w:color="auto" w:fill="E6E6E6"/>
        </w:rPr>
        <w:id w:val="-1415771939"/>
        <w:docPartObj>
          <w:docPartGallery w:val="Table of Contents"/>
          <w:docPartUnique/>
        </w:docPartObj>
      </w:sdtPr>
      <w:sdtContent>
        <w:p w:rsidR="00DA31DD" w:rsidP="00DA31DD" w14:paraId="4DB14386" w14:textId="77777777">
          <w:pPr>
            <w:pStyle w:val="ChapterTitle"/>
            <w:rPr>
              <w:rFonts w:hint="eastAsia"/>
            </w:rPr>
          </w:pPr>
          <w:r>
            <w:t>Contents</w:t>
          </w:r>
          <w:bookmarkEnd w:id="1"/>
          <w:bookmarkEnd w:id="0"/>
        </w:p>
        <w:p w:rsidR="00DC76C6" w14:paraId="2EE68205" w14:textId="099EA9A1">
          <w:pPr>
            <w:pStyle w:val="TOC1"/>
            <w:rPr>
              <w:rFonts w:asciiTheme="minorHAnsi" w:eastAsiaTheme="minorEastAsia" w:hAnsiTheme="minorHAnsi" w:cstheme="minorBidi"/>
              <w:noProof/>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05018585" w:history="1">
            <w:r w:rsidRPr="00134903">
              <w:rPr>
                <w:rStyle w:val="Hyperlink"/>
                <w:noProof/>
              </w:rPr>
              <w:t>1.</w:t>
            </w:r>
            <w:r>
              <w:rPr>
                <w:rFonts w:asciiTheme="minorHAnsi" w:eastAsiaTheme="minorEastAsia" w:hAnsiTheme="minorHAnsi" w:cstheme="minorBidi"/>
                <w:noProof/>
                <w:szCs w:val="22"/>
              </w:rPr>
              <w:tab/>
            </w:r>
            <w:r w:rsidRPr="00134903">
              <w:rPr>
                <w:rStyle w:val="Hyperlink"/>
                <w:noProof/>
              </w:rPr>
              <w:t>Identification of the Information Collection</w:t>
            </w:r>
            <w:r>
              <w:rPr>
                <w:noProof/>
                <w:webHidden/>
              </w:rPr>
              <w:tab/>
            </w:r>
            <w:r>
              <w:rPr>
                <w:noProof/>
                <w:webHidden/>
              </w:rPr>
              <w:fldChar w:fldCharType="begin"/>
            </w:r>
            <w:r>
              <w:rPr>
                <w:noProof/>
                <w:webHidden/>
              </w:rPr>
              <w:instrText xml:space="preserve"> PAGEREF _Toc105018585 \h </w:instrText>
            </w:r>
            <w:r>
              <w:rPr>
                <w:noProof/>
                <w:webHidden/>
              </w:rPr>
              <w:fldChar w:fldCharType="separate"/>
            </w:r>
            <w:r w:rsidR="00ED18FA">
              <w:rPr>
                <w:noProof/>
                <w:webHidden/>
              </w:rPr>
              <w:t>1</w:t>
            </w:r>
            <w:r>
              <w:rPr>
                <w:noProof/>
                <w:webHidden/>
              </w:rPr>
              <w:fldChar w:fldCharType="end"/>
            </w:r>
          </w:hyperlink>
        </w:p>
        <w:p w:rsidR="00DC76C6" w:rsidP="00082DE6" w14:paraId="5C16B947" w14:textId="38FDDDA7">
          <w:pPr>
            <w:pStyle w:val="TOC2"/>
            <w:rPr>
              <w:rFonts w:asciiTheme="minorHAnsi" w:eastAsiaTheme="minorEastAsia" w:hAnsiTheme="minorHAnsi" w:cstheme="minorBidi"/>
              <w:szCs w:val="22"/>
            </w:rPr>
          </w:pPr>
          <w:hyperlink w:anchor="_Toc105018586" w:history="1">
            <w:r w:rsidRPr="00134903">
              <w:rPr>
                <w:rStyle w:val="Hyperlink"/>
              </w:rPr>
              <w:t>1(a)</w:t>
            </w:r>
            <w:r>
              <w:rPr>
                <w:rFonts w:asciiTheme="minorHAnsi" w:eastAsiaTheme="minorEastAsia" w:hAnsiTheme="minorHAnsi" w:cstheme="minorBidi"/>
                <w:szCs w:val="22"/>
              </w:rPr>
              <w:tab/>
            </w:r>
            <w:r w:rsidRPr="00134903">
              <w:rPr>
                <w:rStyle w:val="Hyperlink"/>
              </w:rPr>
              <w:t>Title of the Information Collection</w:t>
            </w:r>
            <w:r>
              <w:rPr>
                <w:webHidden/>
              </w:rPr>
              <w:tab/>
            </w:r>
            <w:r>
              <w:rPr>
                <w:webHidden/>
              </w:rPr>
              <w:fldChar w:fldCharType="begin"/>
            </w:r>
            <w:r>
              <w:rPr>
                <w:webHidden/>
              </w:rPr>
              <w:instrText xml:space="preserve"> PAGEREF _Toc105018586 \h </w:instrText>
            </w:r>
            <w:r>
              <w:rPr>
                <w:webHidden/>
              </w:rPr>
              <w:fldChar w:fldCharType="separate"/>
            </w:r>
            <w:r w:rsidR="00ED18FA">
              <w:rPr>
                <w:webHidden/>
              </w:rPr>
              <w:t>1</w:t>
            </w:r>
            <w:r>
              <w:rPr>
                <w:webHidden/>
              </w:rPr>
              <w:fldChar w:fldCharType="end"/>
            </w:r>
          </w:hyperlink>
        </w:p>
        <w:p w:rsidR="00DC76C6" w:rsidP="00082DE6" w14:paraId="6ECED339" w14:textId="26493A3E">
          <w:pPr>
            <w:pStyle w:val="TOC2"/>
            <w:rPr>
              <w:rFonts w:asciiTheme="minorHAnsi" w:eastAsiaTheme="minorEastAsia" w:hAnsiTheme="minorHAnsi" w:cstheme="minorBidi"/>
              <w:szCs w:val="22"/>
            </w:rPr>
          </w:pPr>
          <w:hyperlink w:anchor="_Toc105018587" w:history="1">
            <w:r w:rsidRPr="00134903">
              <w:rPr>
                <w:rStyle w:val="Hyperlink"/>
              </w:rPr>
              <w:t>1(b)</w:t>
            </w:r>
            <w:r>
              <w:rPr>
                <w:rFonts w:asciiTheme="minorHAnsi" w:eastAsiaTheme="minorEastAsia" w:hAnsiTheme="minorHAnsi" w:cstheme="minorBidi"/>
                <w:szCs w:val="22"/>
              </w:rPr>
              <w:tab/>
            </w:r>
            <w:r w:rsidRPr="00134903">
              <w:rPr>
                <w:rStyle w:val="Hyperlink"/>
              </w:rPr>
              <w:t>Short Characterization/Abstract</w:t>
            </w:r>
            <w:r>
              <w:rPr>
                <w:webHidden/>
              </w:rPr>
              <w:tab/>
            </w:r>
            <w:r>
              <w:rPr>
                <w:webHidden/>
              </w:rPr>
              <w:fldChar w:fldCharType="begin"/>
            </w:r>
            <w:r>
              <w:rPr>
                <w:webHidden/>
              </w:rPr>
              <w:instrText xml:space="preserve"> PAGEREF _Toc105018587 \h </w:instrText>
            </w:r>
            <w:r>
              <w:rPr>
                <w:webHidden/>
              </w:rPr>
              <w:fldChar w:fldCharType="separate"/>
            </w:r>
            <w:r w:rsidR="00ED18FA">
              <w:rPr>
                <w:webHidden/>
              </w:rPr>
              <w:t>1</w:t>
            </w:r>
            <w:r>
              <w:rPr>
                <w:webHidden/>
              </w:rPr>
              <w:fldChar w:fldCharType="end"/>
            </w:r>
          </w:hyperlink>
        </w:p>
        <w:p w:rsidR="00DC76C6" w14:paraId="0F8A2A45" w14:textId="1F027427">
          <w:pPr>
            <w:pStyle w:val="TOC1"/>
            <w:rPr>
              <w:rFonts w:asciiTheme="minorHAnsi" w:eastAsiaTheme="minorEastAsia" w:hAnsiTheme="minorHAnsi" w:cstheme="minorBidi"/>
              <w:noProof/>
              <w:szCs w:val="22"/>
            </w:rPr>
          </w:pPr>
          <w:hyperlink w:anchor="_Toc105018588" w:history="1">
            <w:r w:rsidRPr="00134903">
              <w:rPr>
                <w:rStyle w:val="Hyperlink"/>
                <w:noProof/>
              </w:rPr>
              <w:t>2.</w:t>
            </w:r>
            <w:r>
              <w:rPr>
                <w:rFonts w:asciiTheme="minorHAnsi" w:eastAsiaTheme="minorEastAsia" w:hAnsiTheme="minorHAnsi" w:cstheme="minorBidi"/>
                <w:noProof/>
                <w:szCs w:val="22"/>
              </w:rPr>
              <w:tab/>
            </w:r>
            <w:r w:rsidRPr="00134903">
              <w:rPr>
                <w:rStyle w:val="Hyperlink"/>
                <w:noProof/>
              </w:rPr>
              <w:t>Need for and Use of the Collection</w:t>
            </w:r>
            <w:r>
              <w:rPr>
                <w:noProof/>
                <w:webHidden/>
              </w:rPr>
              <w:tab/>
            </w:r>
            <w:r>
              <w:rPr>
                <w:noProof/>
                <w:webHidden/>
              </w:rPr>
              <w:fldChar w:fldCharType="begin"/>
            </w:r>
            <w:r>
              <w:rPr>
                <w:noProof/>
                <w:webHidden/>
              </w:rPr>
              <w:instrText xml:space="preserve"> PAGEREF _Toc105018588 \h </w:instrText>
            </w:r>
            <w:r>
              <w:rPr>
                <w:noProof/>
                <w:webHidden/>
              </w:rPr>
              <w:fldChar w:fldCharType="separate"/>
            </w:r>
            <w:r w:rsidR="00ED18FA">
              <w:rPr>
                <w:noProof/>
                <w:webHidden/>
              </w:rPr>
              <w:t>1</w:t>
            </w:r>
            <w:r>
              <w:rPr>
                <w:noProof/>
                <w:webHidden/>
              </w:rPr>
              <w:fldChar w:fldCharType="end"/>
            </w:r>
          </w:hyperlink>
        </w:p>
        <w:p w:rsidR="00DC76C6" w:rsidP="00082DE6" w14:paraId="42845695" w14:textId="6717D2F9">
          <w:pPr>
            <w:pStyle w:val="TOC2"/>
            <w:rPr>
              <w:rFonts w:asciiTheme="minorHAnsi" w:eastAsiaTheme="minorEastAsia" w:hAnsiTheme="minorHAnsi" w:cstheme="minorBidi"/>
              <w:szCs w:val="22"/>
            </w:rPr>
          </w:pPr>
          <w:hyperlink w:anchor="_Toc105018589" w:history="1">
            <w:r w:rsidRPr="00134903">
              <w:rPr>
                <w:rStyle w:val="Hyperlink"/>
              </w:rPr>
              <w:t>2(a)</w:t>
            </w:r>
            <w:r>
              <w:rPr>
                <w:rFonts w:asciiTheme="minorHAnsi" w:eastAsiaTheme="minorEastAsia" w:hAnsiTheme="minorHAnsi" w:cstheme="minorBidi"/>
                <w:szCs w:val="22"/>
              </w:rPr>
              <w:tab/>
            </w:r>
            <w:r w:rsidRPr="00134903">
              <w:rPr>
                <w:rStyle w:val="Hyperlink"/>
              </w:rPr>
              <w:t>Need/Authority for the Collection</w:t>
            </w:r>
            <w:r>
              <w:rPr>
                <w:webHidden/>
              </w:rPr>
              <w:tab/>
            </w:r>
            <w:r>
              <w:rPr>
                <w:webHidden/>
              </w:rPr>
              <w:fldChar w:fldCharType="begin"/>
            </w:r>
            <w:r>
              <w:rPr>
                <w:webHidden/>
              </w:rPr>
              <w:instrText xml:space="preserve"> PAGEREF _Toc105018589 \h </w:instrText>
            </w:r>
            <w:r>
              <w:rPr>
                <w:webHidden/>
              </w:rPr>
              <w:fldChar w:fldCharType="separate"/>
            </w:r>
            <w:r w:rsidR="00ED18FA">
              <w:rPr>
                <w:webHidden/>
              </w:rPr>
              <w:t>1</w:t>
            </w:r>
            <w:r>
              <w:rPr>
                <w:webHidden/>
              </w:rPr>
              <w:fldChar w:fldCharType="end"/>
            </w:r>
          </w:hyperlink>
        </w:p>
        <w:p w:rsidR="00DC76C6" w:rsidP="00082DE6" w14:paraId="69FA70D6" w14:textId="2622C413">
          <w:pPr>
            <w:pStyle w:val="TOC2"/>
            <w:rPr>
              <w:rFonts w:asciiTheme="minorHAnsi" w:eastAsiaTheme="minorEastAsia" w:hAnsiTheme="minorHAnsi" w:cstheme="minorBidi"/>
              <w:szCs w:val="22"/>
            </w:rPr>
          </w:pPr>
          <w:hyperlink w:anchor="_Toc105018590" w:history="1">
            <w:r w:rsidRPr="00134903">
              <w:rPr>
                <w:rStyle w:val="Hyperlink"/>
              </w:rPr>
              <w:t>2(b)</w:t>
            </w:r>
            <w:r>
              <w:rPr>
                <w:rFonts w:asciiTheme="minorHAnsi" w:eastAsiaTheme="minorEastAsia" w:hAnsiTheme="minorHAnsi" w:cstheme="minorBidi"/>
                <w:szCs w:val="22"/>
              </w:rPr>
              <w:tab/>
            </w:r>
            <w:r w:rsidRPr="00134903">
              <w:rPr>
                <w:rStyle w:val="Hyperlink"/>
              </w:rPr>
              <w:t>Practical Utility/Users of the Data</w:t>
            </w:r>
            <w:r>
              <w:rPr>
                <w:webHidden/>
              </w:rPr>
              <w:tab/>
            </w:r>
            <w:r>
              <w:rPr>
                <w:webHidden/>
              </w:rPr>
              <w:fldChar w:fldCharType="begin"/>
            </w:r>
            <w:r>
              <w:rPr>
                <w:webHidden/>
              </w:rPr>
              <w:instrText xml:space="preserve"> PAGEREF _Toc105018590 \h </w:instrText>
            </w:r>
            <w:r>
              <w:rPr>
                <w:webHidden/>
              </w:rPr>
              <w:fldChar w:fldCharType="separate"/>
            </w:r>
            <w:r w:rsidR="00ED18FA">
              <w:rPr>
                <w:webHidden/>
              </w:rPr>
              <w:t>2</w:t>
            </w:r>
            <w:r>
              <w:rPr>
                <w:webHidden/>
              </w:rPr>
              <w:fldChar w:fldCharType="end"/>
            </w:r>
          </w:hyperlink>
        </w:p>
        <w:p w:rsidR="00DC76C6" w14:paraId="47C7B25C" w14:textId="18AB4257">
          <w:pPr>
            <w:pStyle w:val="TOC1"/>
            <w:rPr>
              <w:rFonts w:asciiTheme="minorHAnsi" w:eastAsiaTheme="minorEastAsia" w:hAnsiTheme="minorHAnsi" w:cstheme="minorBidi"/>
              <w:noProof/>
              <w:szCs w:val="22"/>
            </w:rPr>
          </w:pPr>
          <w:hyperlink w:anchor="_Toc105018591" w:history="1">
            <w:r w:rsidRPr="00134903">
              <w:rPr>
                <w:rStyle w:val="Hyperlink"/>
                <w:noProof/>
              </w:rPr>
              <w:t>3.</w:t>
            </w:r>
            <w:r>
              <w:rPr>
                <w:rFonts w:asciiTheme="minorHAnsi" w:eastAsiaTheme="minorEastAsia" w:hAnsiTheme="minorHAnsi" w:cstheme="minorBidi"/>
                <w:noProof/>
                <w:szCs w:val="22"/>
              </w:rPr>
              <w:tab/>
            </w:r>
            <w:r w:rsidRPr="00134903">
              <w:rPr>
                <w:rStyle w:val="Hyperlink"/>
                <w:noProof/>
              </w:rPr>
              <w:t>Non-duplication, Consultations, and Other Collection Criteria</w:t>
            </w:r>
            <w:r>
              <w:rPr>
                <w:noProof/>
                <w:webHidden/>
              </w:rPr>
              <w:tab/>
            </w:r>
            <w:r>
              <w:rPr>
                <w:noProof/>
                <w:webHidden/>
              </w:rPr>
              <w:fldChar w:fldCharType="begin"/>
            </w:r>
            <w:r>
              <w:rPr>
                <w:noProof/>
                <w:webHidden/>
              </w:rPr>
              <w:instrText xml:space="preserve"> PAGEREF _Toc105018591 \h </w:instrText>
            </w:r>
            <w:r>
              <w:rPr>
                <w:noProof/>
                <w:webHidden/>
              </w:rPr>
              <w:fldChar w:fldCharType="separate"/>
            </w:r>
            <w:r w:rsidR="00ED18FA">
              <w:rPr>
                <w:noProof/>
                <w:webHidden/>
              </w:rPr>
              <w:t>2</w:t>
            </w:r>
            <w:r>
              <w:rPr>
                <w:noProof/>
                <w:webHidden/>
              </w:rPr>
              <w:fldChar w:fldCharType="end"/>
            </w:r>
          </w:hyperlink>
        </w:p>
        <w:p w:rsidR="00DC76C6" w:rsidP="00082DE6" w14:paraId="53124D7C" w14:textId="54FB4C05">
          <w:pPr>
            <w:pStyle w:val="TOC2"/>
            <w:rPr>
              <w:rFonts w:asciiTheme="minorHAnsi" w:eastAsiaTheme="minorEastAsia" w:hAnsiTheme="minorHAnsi" w:cstheme="minorBidi"/>
              <w:szCs w:val="22"/>
            </w:rPr>
          </w:pPr>
          <w:hyperlink w:anchor="_Toc105018592" w:history="1">
            <w:r w:rsidRPr="00134903">
              <w:rPr>
                <w:rStyle w:val="Hyperlink"/>
              </w:rPr>
              <w:t>3(a)</w:t>
            </w:r>
            <w:r>
              <w:rPr>
                <w:rFonts w:asciiTheme="minorHAnsi" w:eastAsiaTheme="minorEastAsia" w:hAnsiTheme="minorHAnsi" w:cstheme="minorBidi"/>
                <w:szCs w:val="22"/>
              </w:rPr>
              <w:tab/>
            </w:r>
            <w:r w:rsidRPr="00134903">
              <w:rPr>
                <w:rStyle w:val="Hyperlink"/>
              </w:rPr>
              <w:t>Non-duplication</w:t>
            </w:r>
            <w:r>
              <w:rPr>
                <w:webHidden/>
              </w:rPr>
              <w:tab/>
            </w:r>
            <w:r>
              <w:rPr>
                <w:webHidden/>
              </w:rPr>
              <w:fldChar w:fldCharType="begin"/>
            </w:r>
            <w:r>
              <w:rPr>
                <w:webHidden/>
              </w:rPr>
              <w:instrText xml:space="preserve"> PAGEREF _Toc105018592 \h </w:instrText>
            </w:r>
            <w:r>
              <w:rPr>
                <w:webHidden/>
              </w:rPr>
              <w:fldChar w:fldCharType="separate"/>
            </w:r>
            <w:r w:rsidR="00ED18FA">
              <w:rPr>
                <w:webHidden/>
              </w:rPr>
              <w:t>2</w:t>
            </w:r>
            <w:r>
              <w:rPr>
                <w:webHidden/>
              </w:rPr>
              <w:fldChar w:fldCharType="end"/>
            </w:r>
          </w:hyperlink>
        </w:p>
        <w:p w:rsidR="00DC76C6" w:rsidP="00082DE6" w14:paraId="003374A1" w14:textId="6956B2C5">
          <w:pPr>
            <w:pStyle w:val="TOC2"/>
            <w:rPr>
              <w:rFonts w:asciiTheme="minorHAnsi" w:eastAsiaTheme="minorEastAsia" w:hAnsiTheme="minorHAnsi" w:cstheme="minorBidi"/>
              <w:szCs w:val="22"/>
            </w:rPr>
          </w:pPr>
          <w:hyperlink w:anchor="_Toc105018593" w:history="1">
            <w:r w:rsidRPr="00134903">
              <w:rPr>
                <w:rStyle w:val="Hyperlink"/>
              </w:rPr>
              <w:t>3(b)</w:t>
            </w:r>
            <w:r>
              <w:rPr>
                <w:rFonts w:asciiTheme="minorHAnsi" w:eastAsiaTheme="minorEastAsia" w:hAnsiTheme="minorHAnsi" w:cstheme="minorBidi"/>
                <w:szCs w:val="22"/>
              </w:rPr>
              <w:tab/>
            </w:r>
            <w:r w:rsidRPr="00134903">
              <w:rPr>
                <w:rStyle w:val="Hyperlink"/>
              </w:rPr>
              <w:t>Public Notice Required Prior to ICR Submission to OMB</w:t>
            </w:r>
            <w:r>
              <w:rPr>
                <w:webHidden/>
              </w:rPr>
              <w:tab/>
            </w:r>
            <w:r>
              <w:rPr>
                <w:webHidden/>
              </w:rPr>
              <w:fldChar w:fldCharType="begin"/>
            </w:r>
            <w:r>
              <w:rPr>
                <w:webHidden/>
              </w:rPr>
              <w:instrText xml:space="preserve"> PAGEREF _Toc105018593 \h </w:instrText>
            </w:r>
            <w:r>
              <w:rPr>
                <w:webHidden/>
              </w:rPr>
              <w:fldChar w:fldCharType="separate"/>
            </w:r>
            <w:r w:rsidR="00ED18FA">
              <w:rPr>
                <w:webHidden/>
              </w:rPr>
              <w:t>2</w:t>
            </w:r>
            <w:r>
              <w:rPr>
                <w:webHidden/>
              </w:rPr>
              <w:fldChar w:fldCharType="end"/>
            </w:r>
          </w:hyperlink>
        </w:p>
        <w:p w:rsidR="00DC76C6" w:rsidP="00082DE6" w14:paraId="510DEB27" w14:textId="4980DC28">
          <w:pPr>
            <w:pStyle w:val="TOC2"/>
            <w:rPr>
              <w:rFonts w:asciiTheme="minorHAnsi" w:eastAsiaTheme="minorEastAsia" w:hAnsiTheme="minorHAnsi" w:cstheme="minorBidi"/>
              <w:szCs w:val="22"/>
            </w:rPr>
          </w:pPr>
          <w:hyperlink w:anchor="_Toc105018594" w:history="1">
            <w:r w:rsidRPr="00134903">
              <w:rPr>
                <w:rStyle w:val="Hyperlink"/>
              </w:rPr>
              <w:t>3(c)</w:t>
            </w:r>
            <w:r>
              <w:rPr>
                <w:rFonts w:asciiTheme="minorHAnsi" w:eastAsiaTheme="minorEastAsia" w:hAnsiTheme="minorHAnsi" w:cstheme="minorBidi"/>
                <w:szCs w:val="22"/>
              </w:rPr>
              <w:tab/>
            </w:r>
            <w:r w:rsidRPr="00134903">
              <w:rPr>
                <w:rStyle w:val="Hyperlink"/>
              </w:rPr>
              <w:t>Consultations</w:t>
            </w:r>
            <w:r>
              <w:rPr>
                <w:webHidden/>
              </w:rPr>
              <w:tab/>
            </w:r>
            <w:r>
              <w:rPr>
                <w:webHidden/>
              </w:rPr>
              <w:fldChar w:fldCharType="begin"/>
            </w:r>
            <w:r>
              <w:rPr>
                <w:webHidden/>
              </w:rPr>
              <w:instrText xml:space="preserve"> PAGEREF _Toc105018594 \h </w:instrText>
            </w:r>
            <w:r>
              <w:rPr>
                <w:webHidden/>
              </w:rPr>
              <w:fldChar w:fldCharType="separate"/>
            </w:r>
            <w:r w:rsidR="00ED18FA">
              <w:rPr>
                <w:webHidden/>
              </w:rPr>
              <w:t>3</w:t>
            </w:r>
            <w:r>
              <w:rPr>
                <w:webHidden/>
              </w:rPr>
              <w:fldChar w:fldCharType="end"/>
            </w:r>
          </w:hyperlink>
        </w:p>
        <w:p w:rsidR="00DC76C6" w:rsidP="00082DE6" w14:paraId="1E030685" w14:textId="3C37242E">
          <w:pPr>
            <w:pStyle w:val="TOC2"/>
            <w:rPr>
              <w:rFonts w:asciiTheme="minorHAnsi" w:eastAsiaTheme="minorEastAsia" w:hAnsiTheme="minorHAnsi" w:cstheme="minorBidi"/>
              <w:szCs w:val="22"/>
            </w:rPr>
          </w:pPr>
          <w:hyperlink w:anchor="_Toc105018595" w:history="1">
            <w:r w:rsidRPr="00134903">
              <w:rPr>
                <w:rStyle w:val="Hyperlink"/>
              </w:rPr>
              <w:t>3(d)</w:t>
            </w:r>
            <w:r>
              <w:rPr>
                <w:rFonts w:asciiTheme="minorHAnsi" w:eastAsiaTheme="minorEastAsia" w:hAnsiTheme="minorHAnsi" w:cstheme="minorBidi"/>
                <w:szCs w:val="22"/>
              </w:rPr>
              <w:tab/>
            </w:r>
            <w:r w:rsidRPr="00134903">
              <w:rPr>
                <w:rStyle w:val="Hyperlink"/>
              </w:rPr>
              <w:t>Effects of Less Frequent Collection</w:t>
            </w:r>
            <w:r>
              <w:rPr>
                <w:webHidden/>
              </w:rPr>
              <w:tab/>
            </w:r>
            <w:r>
              <w:rPr>
                <w:webHidden/>
              </w:rPr>
              <w:fldChar w:fldCharType="begin"/>
            </w:r>
            <w:r>
              <w:rPr>
                <w:webHidden/>
              </w:rPr>
              <w:instrText xml:space="preserve"> PAGEREF _Toc105018595 \h </w:instrText>
            </w:r>
            <w:r>
              <w:rPr>
                <w:webHidden/>
              </w:rPr>
              <w:fldChar w:fldCharType="separate"/>
            </w:r>
            <w:r w:rsidR="00ED18FA">
              <w:rPr>
                <w:webHidden/>
              </w:rPr>
              <w:t>3</w:t>
            </w:r>
            <w:r>
              <w:rPr>
                <w:webHidden/>
              </w:rPr>
              <w:fldChar w:fldCharType="end"/>
            </w:r>
          </w:hyperlink>
        </w:p>
        <w:p w:rsidR="00DC76C6" w:rsidP="00082DE6" w14:paraId="751DEBE3" w14:textId="38C8B83D">
          <w:pPr>
            <w:pStyle w:val="TOC2"/>
            <w:rPr>
              <w:rFonts w:asciiTheme="minorHAnsi" w:eastAsiaTheme="minorEastAsia" w:hAnsiTheme="minorHAnsi" w:cstheme="minorBidi"/>
              <w:szCs w:val="22"/>
            </w:rPr>
          </w:pPr>
          <w:hyperlink w:anchor="_Toc105018596" w:history="1">
            <w:r w:rsidRPr="00134903">
              <w:rPr>
                <w:rStyle w:val="Hyperlink"/>
              </w:rPr>
              <w:t>3(e)</w:t>
            </w:r>
            <w:r>
              <w:rPr>
                <w:rFonts w:asciiTheme="minorHAnsi" w:eastAsiaTheme="minorEastAsia" w:hAnsiTheme="minorHAnsi" w:cstheme="minorBidi"/>
                <w:szCs w:val="22"/>
              </w:rPr>
              <w:tab/>
            </w:r>
            <w:r w:rsidRPr="00134903">
              <w:rPr>
                <w:rStyle w:val="Hyperlink"/>
              </w:rPr>
              <w:t>General Guidelines</w:t>
            </w:r>
            <w:r>
              <w:rPr>
                <w:webHidden/>
              </w:rPr>
              <w:tab/>
            </w:r>
            <w:r>
              <w:rPr>
                <w:webHidden/>
              </w:rPr>
              <w:fldChar w:fldCharType="begin"/>
            </w:r>
            <w:r>
              <w:rPr>
                <w:webHidden/>
              </w:rPr>
              <w:instrText xml:space="preserve"> PAGEREF _Toc105018596 \h </w:instrText>
            </w:r>
            <w:r>
              <w:rPr>
                <w:webHidden/>
              </w:rPr>
              <w:fldChar w:fldCharType="separate"/>
            </w:r>
            <w:r w:rsidR="00ED18FA">
              <w:rPr>
                <w:webHidden/>
              </w:rPr>
              <w:t>3</w:t>
            </w:r>
            <w:r>
              <w:rPr>
                <w:webHidden/>
              </w:rPr>
              <w:fldChar w:fldCharType="end"/>
            </w:r>
          </w:hyperlink>
        </w:p>
        <w:p w:rsidR="00DC76C6" w:rsidP="00082DE6" w14:paraId="17EF5FEC" w14:textId="43E0C7A7">
          <w:pPr>
            <w:pStyle w:val="TOC2"/>
            <w:rPr>
              <w:rFonts w:asciiTheme="minorHAnsi" w:eastAsiaTheme="minorEastAsia" w:hAnsiTheme="minorHAnsi" w:cstheme="minorBidi"/>
              <w:szCs w:val="22"/>
            </w:rPr>
          </w:pPr>
          <w:hyperlink w:anchor="_Toc105018597" w:history="1">
            <w:r w:rsidRPr="00134903">
              <w:rPr>
                <w:rStyle w:val="Hyperlink"/>
              </w:rPr>
              <w:t>3(f)</w:t>
            </w:r>
            <w:r>
              <w:rPr>
                <w:rFonts w:asciiTheme="minorHAnsi" w:eastAsiaTheme="minorEastAsia" w:hAnsiTheme="minorHAnsi" w:cstheme="minorBidi"/>
                <w:szCs w:val="22"/>
              </w:rPr>
              <w:tab/>
            </w:r>
            <w:r w:rsidRPr="00134903">
              <w:rPr>
                <w:rStyle w:val="Hyperlink"/>
              </w:rPr>
              <w:t>Confidentiality</w:t>
            </w:r>
            <w:r>
              <w:rPr>
                <w:webHidden/>
              </w:rPr>
              <w:tab/>
            </w:r>
            <w:r>
              <w:rPr>
                <w:webHidden/>
              </w:rPr>
              <w:fldChar w:fldCharType="begin"/>
            </w:r>
            <w:r>
              <w:rPr>
                <w:webHidden/>
              </w:rPr>
              <w:instrText xml:space="preserve"> PAGEREF _Toc105018597 \h </w:instrText>
            </w:r>
            <w:r>
              <w:rPr>
                <w:webHidden/>
              </w:rPr>
              <w:fldChar w:fldCharType="separate"/>
            </w:r>
            <w:r w:rsidR="00ED18FA">
              <w:rPr>
                <w:webHidden/>
              </w:rPr>
              <w:t>3</w:t>
            </w:r>
            <w:r>
              <w:rPr>
                <w:webHidden/>
              </w:rPr>
              <w:fldChar w:fldCharType="end"/>
            </w:r>
          </w:hyperlink>
        </w:p>
        <w:p w:rsidR="00DC76C6" w:rsidP="00082DE6" w14:paraId="553FAF55" w14:textId="506CD62C">
          <w:pPr>
            <w:pStyle w:val="TOC2"/>
            <w:rPr>
              <w:rFonts w:asciiTheme="minorHAnsi" w:eastAsiaTheme="minorEastAsia" w:hAnsiTheme="minorHAnsi" w:cstheme="minorBidi"/>
              <w:szCs w:val="22"/>
            </w:rPr>
          </w:pPr>
          <w:hyperlink w:anchor="_Toc105018598" w:history="1">
            <w:r w:rsidRPr="00134903">
              <w:rPr>
                <w:rStyle w:val="Hyperlink"/>
              </w:rPr>
              <w:t>3(g)</w:t>
            </w:r>
            <w:r>
              <w:rPr>
                <w:rFonts w:asciiTheme="minorHAnsi" w:eastAsiaTheme="minorEastAsia" w:hAnsiTheme="minorHAnsi" w:cstheme="minorBidi"/>
                <w:szCs w:val="22"/>
              </w:rPr>
              <w:tab/>
            </w:r>
            <w:r w:rsidRPr="00134903">
              <w:rPr>
                <w:rStyle w:val="Hyperlink"/>
              </w:rPr>
              <w:t>Sensitive Questions</w:t>
            </w:r>
            <w:r>
              <w:rPr>
                <w:webHidden/>
              </w:rPr>
              <w:tab/>
            </w:r>
            <w:r>
              <w:rPr>
                <w:webHidden/>
              </w:rPr>
              <w:fldChar w:fldCharType="begin"/>
            </w:r>
            <w:r>
              <w:rPr>
                <w:webHidden/>
              </w:rPr>
              <w:instrText xml:space="preserve"> PAGEREF _Toc105018598 \h </w:instrText>
            </w:r>
            <w:r>
              <w:rPr>
                <w:webHidden/>
              </w:rPr>
              <w:fldChar w:fldCharType="separate"/>
            </w:r>
            <w:r w:rsidR="00ED18FA">
              <w:rPr>
                <w:webHidden/>
              </w:rPr>
              <w:t>3</w:t>
            </w:r>
            <w:r>
              <w:rPr>
                <w:webHidden/>
              </w:rPr>
              <w:fldChar w:fldCharType="end"/>
            </w:r>
          </w:hyperlink>
        </w:p>
        <w:p w:rsidR="00DC76C6" w14:paraId="07363E7A" w14:textId="7D1E4733">
          <w:pPr>
            <w:pStyle w:val="TOC1"/>
            <w:rPr>
              <w:rFonts w:asciiTheme="minorHAnsi" w:eastAsiaTheme="minorEastAsia" w:hAnsiTheme="minorHAnsi" w:cstheme="minorBidi"/>
              <w:noProof/>
              <w:szCs w:val="22"/>
            </w:rPr>
          </w:pPr>
          <w:hyperlink w:anchor="_Toc105018599" w:history="1">
            <w:r w:rsidRPr="00134903">
              <w:rPr>
                <w:rStyle w:val="Hyperlink"/>
                <w:noProof/>
              </w:rPr>
              <w:t>4.</w:t>
            </w:r>
            <w:r>
              <w:rPr>
                <w:rFonts w:asciiTheme="minorHAnsi" w:eastAsiaTheme="minorEastAsia" w:hAnsiTheme="minorHAnsi" w:cstheme="minorBidi"/>
                <w:noProof/>
                <w:szCs w:val="22"/>
              </w:rPr>
              <w:tab/>
            </w:r>
            <w:r w:rsidRPr="00134903">
              <w:rPr>
                <w:rStyle w:val="Hyperlink"/>
                <w:noProof/>
              </w:rPr>
              <w:t>The Respondents and the Information Requested</w:t>
            </w:r>
            <w:r>
              <w:rPr>
                <w:noProof/>
                <w:webHidden/>
              </w:rPr>
              <w:tab/>
            </w:r>
            <w:r>
              <w:rPr>
                <w:noProof/>
                <w:webHidden/>
              </w:rPr>
              <w:fldChar w:fldCharType="begin"/>
            </w:r>
            <w:r>
              <w:rPr>
                <w:noProof/>
                <w:webHidden/>
              </w:rPr>
              <w:instrText xml:space="preserve"> PAGEREF _Toc105018599 \h </w:instrText>
            </w:r>
            <w:r>
              <w:rPr>
                <w:noProof/>
                <w:webHidden/>
              </w:rPr>
              <w:fldChar w:fldCharType="separate"/>
            </w:r>
            <w:r w:rsidR="00ED18FA">
              <w:rPr>
                <w:noProof/>
                <w:webHidden/>
              </w:rPr>
              <w:t>3</w:t>
            </w:r>
            <w:r>
              <w:rPr>
                <w:noProof/>
                <w:webHidden/>
              </w:rPr>
              <w:fldChar w:fldCharType="end"/>
            </w:r>
          </w:hyperlink>
        </w:p>
        <w:p w:rsidR="00DC76C6" w:rsidP="00082DE6" w14:paraId="470785B1" w14:textId="13679CB7">
          <w:pPr>
            <w:pStyle w:val="TOC2"/>
            <w:rPr>
              <w:rFonts w:asciiTheme="minorHAnsi" w:eastAsiaTheme="minorEastAsia" w:hAnsiTheme="minorHAnsi" w:cstheme="minorBidi"/>
              <w:szCs w:val="22"/>
            </w:rPr>
          </w:pPr>
          <w:hyperlink w:anchor="_Toc105018600" w:history="1">
            <w:r w:rsidRPr="00134903">
              <w:rPr>
                <w:rStyle w:val="Hyperlink"/>
              </w:rPr>
              <w:t>4(a)</w:t>
            </w:r>
            <w:r>
              <w:rPr>
                <w:rFonts w:asciiTheme="minorHAnsi" w:eastAsiaTheme="minorEastAsia" w:hAnsiTheme="minorHAnsi" w:cstheme="minorBidi"/>
                <w:szCs w:val="22"/>
              </w:rPr>
              <w:tab/>
            </w:r>
            <w:r w:rsidRPr="00134903">
              <w:rPr>
                <w:rStyle w:val="Hyperlink"/>
              </w:rPr>
              <w:t>Respondents</w:t>
            </w:r>
            <w:r>
              <w:rPr>
                <w:webHidden/>
              </w:rPr>
              <w:tab/>
            </w:r>
            <w:r>
              <w:rPr>
                <w:webHidden/>
              </w:rPr>
              <w:fldChar w:fldCharType="begin"/>
            </w:r>
            <w:r>
              <w:rPr>
                <w:webHidden/>
              </w:rPr>
              <w:instrText xml:space="preserve"> PAGEREF _Toc105018600 \h </w:instrText>
            </w:r>
            <w:r>
              <w:rPr>
                <w:webHidden/>
              </w:rPr>
              <w:fldChar w:fldCharType="separate"/>
            </w:r>
            <w:r w:rsidR="00ED18FA">
              <w:rPr>
                <w:webHidden/>
              </w:rPr>
              <w:t>3</w:t>
            </w:r>
            <w:r>
              <w:rPr>
                <w:webHidden/>
              </w:rPr>
              <w:fldChar w:fldCharType="end"/>
            </w:r>
          </w:hyperlink>
        </w:p>
        <w:p w:rsidR="00DC76C6" w:rsidP="00082DE6" w14:paraId="06A0BA0F" w14:textId="0F28C20C">
          <w:pPr>
            <w:pStyle w:val="TOC2"/>
            <w:rPr>
              <w:rFonts w:asciiTheme="minorHAnsi" w:eastAsiaTheme="minorEastAsia" w:hAnsiTheme="minorHAnsi" w:cstheme="minorBidi"/>
              <w:szCs w:val="22"/>
            </w:rPr>
          </w:pPr>
          <w:hyperlink w:anchor="_Toc105018601" w:history="1">
            <w:r w:rsidRPr="00134903">
              <w:rPr>
                <w:rStyle w:val="Hyperlink"/>
              </w:rPr>
              <w:t>4(b)</w:t>
            </w:r>
            <w:r>
              <w:rPr>
                <w:rFonts w:asciiTheme="minorHAnsi" w:eastAsiaTheme="minorEastAsia" w:hAnsiTheme="minorHAnsi" w:cstheme="minorBidi"/>
                <w:szCs w:val="22"/>
              </w:rPr>
              <w:tab/>
            </w:r>
            <w:r w:rsidRPr="00134903">
              <w:rPr>
                <w:rStyle w:val="Hyperlink"/>
              </w:rPr>
              <w:t>Information Requested</w:t>
            </w:r>
            <w:r>
              <w:rPr>
                <w:webHidden/>
              </w:rPr>
              <w:tab/>
            </w:r>
            <w:r>
              <w:rPr>
                <w:webHidden/>
              </w:rPr>
              <w:fldChar w:fldCharType="begin"/>
            </w:r>
            <w:r>
              <w:rPr>
                <w:webHidden/>
              </w:rPr>
              <w:instrText xml:space="preserve"> PAGEREF _Toc105018601 \h </w:instrText>
            </w:r>
            <w:r>
              <w:rPr>
                <w:webHidden/>
              </w:rPr>
              <w:fldChar w:fldCharType="separate"/>
            </w:r>
            <w:r w:rsidR="00ED18FA">
              <w:rPr>
                <w:webHidden/>
              </w:rPr>
              <w:t>4</w:t>
            </w:r>
            <w:r>
              <w:rPr>
                <w:webHidden/>
              </w:rPr>
              <w:fldChar w:fldCharType="end"/>
            </w:r>
          </w:hyperlink>
        </w:p>
        <w:p w:rsidR="00DC76C6" w14:paraId="5F0E945C" w14:textId="50F5CA64">
          <w:pPr>
            <w:pStyle w:val="TOC1"/>
            <w:rPr>
              <w:rFonts w:asciiTheme="minorHAnsi" w:eastAsiaTheme="minorEastAsia" w:hAnsiTheme="minorHAnsi" w:cstheme="minorBidi"/>
              <w:noProof/>
              <w:szCs w:val="22"/>
            </w:rPr>
          </w:pPr>
          <w:hyperlink w:anchor="_Toc105018602" w:history="1">
            <w:r w:rsidRPr="00134903">
              <w:rPr>
                <w:rStyle w:val="Hyperlink"/>
                <w:noProof/>
              </w:rPr>
              <w:t>5.</w:t>
            </w:r>
            <w:r>
              <w:rPr>
                <w:rFonts w:asciiTheme="minorHAnsi" w:eastAsiaTheme="minorEastAsia" w:hAnsiTheme="minorHAnsi" w:cstheme="minorBidi"/>
                <w:noProof/>
                <w:szCs w:val="22"/>
              </w:rPr>
              <w:tab/>
            </w:r>
            <w:r w:rsidRPr="00134903">
              <w:rPr>
                <w:rStyle w:val="Hyperlink"/>
                <w:noProof/>
              </w:rPr>
              <w:t>The Information Collected-Agency Activities, Collection Methodology, and Information Management</w:t>
            </w:r>
            <w:r>
              <w:rPr>
                <w:noProof/>
                <w:webHidden/>
              </w:rPr>
              <w:tab/>
            </w:r>
            <w:r>
              <w:rPr>
                <w:noProof/>
                <w:webHidden/>
              </w:rPr>
              <w:fldChar w:fldCharType="begin"/>
            </w:r>
            <w:r>
              <w:rPr>
                <w:noProof/>
                <w:webHidden/>
              </w:rPr>
              <w:instrText xml:space="preserve"> PAGEREF _Toc105018602 \h </w:instrText>
            </w:r>
            <w:r>
              <w:rPr>
                <w:noProof/>
                <w:webHidden/>
              </w:rPr>
              <w:fldChar w:fldCharType="separate"/>
            </w:r>
            <w:r w:rsidR="00ED18FA">
              <w:rPr>
                <w:noProof/>
                <w:webHidden/>
              </w:rPr>
              <w:t>5</w:t>
            </w:r>
            <w:r>
              <w:rPr>
                <w:noProof/>
                <w:webHidden/>
              </w:rPr>
              <w:fldChar w:fldCharType="end"/>
            </w:r>
          </w:hyperlink>
        </w:p>
        <w:p w:rsidR="00DC76C6" w:rsidP="00082DE6" w14:paraId="4D5E6F21" w14:textId="529BC098">
          <w:pPr>
            <w:pStyle w:val="TOC2"/>
            <w:rPr>
              <w:rFonts w:asciiTheme="minorHAnsi" w:eastAsiaTheme="minorEastAsia" w:hAnsiTheme="minorHAnsi" w:cstheme="minorBidi"/>
              <w:szCs w:val="22"/>
            </w:rPr>
          </w:pPr>
          <w:hyperlink w:anchor="_Toc105018603" w:history="1">
            <w:r w:rsidRPr="00134903">
              <w:rPr>
                <w:rStyle w:val="Hyperlink"/>
              </w:rPr>
              <w:t>5(a)</w:t>
            </w:r>
            <w:r>
              <w:rPr>
                <w:rFonts w:asciiTheme="minorHAnsi" w:eastAsiaTheme="minorEastAsia" w:hAnsiTheme="minorHAnsi" w:cstheme="minorBidi"/>
                <w:szCs w:val="22"/>
              </w:rPr>
              <w:tab/>
            </w:r>
            <w:r w:rsidRPr="00134903">
              <w:rPr>
                <w:rStyle w:val="Hyperlink"/>
              </w:rPr>
              <w:t>Agency Activities</w:t>
            </w:r>
            <w:r>
              <w:rPr>
                <w:webHidden/>
              </w:rPr>
              <w:tab/>
            </w:r>
            <w:r>
              <w:rPr>
                <w:webHidden/>
              </w:rPr>
              <w:fldChar w:fldCharType="begin"/>
            </w:r>
            <w:r>
              <w:rPr>
                <w:webHidden/>
              </w:rPr>
              <w:instrText xml:space="preserve"> PAGEREF _Toc105018603 \h </w:instrText>
            </w:r>
            <w:r>
              <w:rPr>
                <w:webHidden/>
              </w:rPr>
              <w:fldChar w:fldCharType="separate"/>
            </w:r>
            <w:r w:rsidR="00ED18FA">
              <w:rPr>
                <w:webHidden/>
              </w:rPr>
              <w:t>5</w:t>
            </w:r>
            <w:r>
              <w:rPr>
                <w:webHidden/>
              </w:rPr>
              <w:fldChar w:fldCharType="end"/>
            </w:r>
          </w:hyperlink>
        </w:p>
        <w:p w:rsidR="00DC76C6" w:rsidP="00082DE6" w14:paraId="3ADA196F" w14:textId="5C322283">
          <w:pPr>
            <w:pStyle w:val="TOC2"/>
            <w:rPr>
              <w:rFonts w:asciiTheme="minorHAnsi" w:eastAsiaTheme="minorEastAsia" w:hAnsiTheme="minorHAnsi" w:cstheme="minorBidi"/>
              <w:szCs w:val="22"/>
            </w:rPr>
          </w:pPr>
          <w:hyperlink w:anchor="_Toc105018604" w:history="1">
            <w:r w:rsidRPr="00134903">
              <w:rPr>
                <w:rStyle w:val="Hyperlink"/>
              </w:rPr>
              <w:t>5(b)</w:t>
            </w:r>
            <w:r>
              <w:rPr>
                <w:rFonts w:asciiTheme="minorHAnsi" w:eastAsiaTheme="minorEastAsia" w:hAnsiTheme="minorHAnsi" w:cstheme="minorBidi"/>
                <w:szCs w:val="22"/>
              </w:rPr>
              <w:tab/>
            </w:r>
            <w:r w:rsidRPr="00134903">
              <w:rPr>
                <w:rStyle w:val="Hyperlink"/>
              </w:rPr>
              <w:t>Collection Methodology and Management</w:t>
            </w:r>
            <w:r>
              <w:rPr>
                <w:webHidden/>
              </w:rPr>
              <w:tab/>
            </w:r>
            <w:r>
              <w:rPr>
                <w:webHidden/>
              </w:rPr>
              <w:fldChar w:fldCharType="begin"/>
            </w:r>
            <w:r>
              <w:rPr>
                <w:webHidden/>
              </w:rPr>
              <w:instrText xml:space="preserve"> PAGEREF _Toc105018604 \h </w:instrText>
            </w:r>
            <w:r>
              <w:rPr>
                <w:webHidden/>
              </w:rPr>
              <w:fldChar w:fldCharType="separate"/>
            </w:r>
            <w:r w:rsidR="00ED18FA">
              <w:rPr>
                <w:webHidden/>
              </w:rPr>
              <w:t>5</w:t>
            </w:r>
            <w:r>
              <w:rPr>
                <w:webHidden/>
              </w:rPr>
              <w:fldChar w:fldCharType="end"/>
            </w:r>
          </w:hyperlink>
        </w:p>
        <w:p w:rsidR="00DC76C6" w:rsidP="00082DE6" w14:paraId="5C0E85FF" w14:textId="0E323CA9">
          <w:pPr>
            <w:pStyle w:val="TOC2"/>
            <w:rPr>
              <w:rFonts w:asciiTheme="minorHAnsi" w:eastAsiaTheme="minorEastAsia" w:hAnsiTheme="minorHAnsi" w:cstheme="minorBidi"/>
              <w:szCs w:val="22"/>
            </w:rPr>
          </w:pPr>
          <w:hyperlink w:anchor="_Toc105018605" w:history="1">
            <w:r w:rsidRPr="00134903">
              <w:rPr>
                <w:rStyle w:val="Hyperlink"/>
              </w:rPr>
              <w:t>5(c)</w:t>
            </w:r>
            <w:r>
              <w:rPr>
                <w:rFonts w:asciiTheme="minorHAnsi" w:eastAsiaTheme="minorEastAsia" w:hAnsiTheme="minorHAnsi" w:cstheme="minorBidi"/>
                <w:szCs w:val="22"/>
              </w:rPr>
              <w:tab/>
            </w:r>
            <w:r w:rsidRPr="00134903">
              <w:rPr>
                <w:rStyle w:val="Hyperlink"/>
              </w:rPr>
              <w:t>Small Entity Flexibility</w:t>
            </w:r>
            <w:r>
              <w:rPr>
                <w:webHidden/>
              </w:rPr>
              <w:tab/>
            </w:r>
            <w:r>
              <w:rPr>
                <w:webHidden/>
              </w:rPr>
              <w:fldChar w:fldCharType="begin"/>
            </w:r>
            <w:r>
              <w:rPr>
                <w:webHidden/>
              </w:rPr>
              <w:instrText xml:space="preserve"> PAGEREF _Toc105018605 \h </w:instrText>
            </w:r>
            <w:r>
              <w:rPr>
                <w:webHidden/>
              </w:rPr>
              <w:fldChar w:fldCharType="separate"/>
            </w:r>
            <w:r w:rsidR="00ED18FA">
              <w:rPr>
                <w:webHidden/>
              </w:rPr>
              <w:t>6</w:t>
            </w:r>
            <w:r>
              <w:rPr>
                <w:webHidden/>
              </w:rPr>
              <w:fldChar w:fldCharType="end"/>
            </w:r>
          </w:hyperlink>
        </w:p>
        <w:p w:rsidR="00DC76C6" w:rsidP="00082DE6" w14:paraId="34377D33" w14:textId="1CF2E2F0">
          <w:pPr>
            <w:pStyle w:val="TOC2"/>
            <w:rPr>
              <w:rFonts w:asciiTheme="minorHAnsi" w:eastAsiaTheme="minorEastAsia" w:hAnsiTheme="minorHAnsi" w:cstheme="minorBidi"/>
              <w:szCs w:val="22"/>
            </w:rPr>
          </w:pPr>
          <w:hyperlink w:anchor="_Toc105018606" w:history="1">
            <w:r w:rsidRPr="00134903">
              <w:rPr>
                <w:rStyle w:val="Hyperlink"/>
              </w:rPr>
              <w:t>5(d)</w:t>
            </w:r>
            <w:r>
              <w:rPr>
                <w:rFonts w:asciiTheme="minorHAnsi" w:eastAsiaTheme="minorEastAsia" w:hAnsiTheme="minorHAnsi" w:cstheme="minorBidi"/>
                <w:szCs w:val="22"/>
              </w:rPr>
              <w:tab/>
            </w:r>
            <w:r w:rsidRPr="00134903">
              <w:rPr>
                <w:rStyle w:val="Hyperlink"/>
              </w:rPr>
              <w:t>Collection Schedule</w:t>
            </w:r>
            <w:r>
              <w:rPr>
                <w:webHidden/>
              </w:rPr>
              <w:tab/>
            </w:r>
            <w:r>
              <w:rPr>
                <w:webHidden/>
              </w:rPr>
              <w:fldChar w:fldCharType="begin"/>
            </w:r>
            <w:r>
              <w:rPr>
                <w:webHidden/>
              </w:rPr>
              <w:instrText xml:space="preserve"> PAGEREF _Toc105018606 \h </w:instrText>
            </w:r>
            <w:r>
              <w:rPr>
                <w:webHidden/>
              </w:rPr>
              <w:fldChar w:fldCharType="separate"/>
            </w:r>
            <w:r w:rsidR="00ED18FA">
              <w:rPr>
                <w:webHidden/>
              </w:rPr>
              <w:t>6</w:t>
            </w:r>
            <w:r>
              <w:rPr>
                <w:webHidden/>
              </w:rPr>
              <w:fldChar w:fldCharType="end"/>
            </w:r>
          </w:hyperlink>
        </w:p>
        <w:p w:rsidR="00DC76C6" w14:paraId="4FCAE724" w14:textId="5DE2A7D6">
          <w:pPr>
            <w:pStyle w:val="TOC1"/>
            <w:rPr>
              <w:rFonts w:asciiTheme="minorHAnsi" w:eastAsiaTheme="minorEastAsia" w:hAnsiTheme="minorHAnsi" w:cstheme="minorBidi"/>
              <w:noProof/>
              <w:szCs w:val="22"/>
            </w:rPr>
          </w:pPr>
          <w:hyperlink w:anchor="_Toc105018607" w:history="1">
            <w:r w:rsidRPr="00134903">
              <w:rPr>
                <w:rStyle w:val="Hyperlink"/>
                <w:noProof/>
              </w:rPr>
              <w:t>6.</w:t>
            </w:r>
            <w:r>
              <w:rPr>
                <w:rFonts w:asciiTheme="minorHAnsi" w:eastAsiaTheme="minorEastAsia" w:hAnsiTheme="minorHAnsi" w:cstheme="minorBidi"/>
                <w:noProof/>
                <w:szCs w:val="22"/>
              </w:rPr>
              <w:tab/>
            </w:r>
            <w:r w:rsidRPr="00134903">
              <w:rPr>
                <w:rStyle w:val="Hyperlink"/>
                <w:noProof/>
              </w:rPr>
              <w:t>Estimating the Burden and Cost</w:t>
            </w:r>
            <w:r>
              <w:rPr>
                <w:rStyle w:val="Hyperlink"/>
                <w:noProof/>
              </w:rPr>
              <w:t>s</w:t>
            </w:r>
            <w:r w:rsidRPr="00134903">
              <w:rPr>
                <w:rStyle w:val="Hyperlink"/>
                <w:noProof/>
              </w:rPr>
              <w:t xml:space="preserve"> of the Collection</w:t>
            </w:r>
            <w:r>
              <w:rPr>
                <w:noProof/>
                <w:webHidden/>
              </w:rPr>
              <w:tab/>
            </w:r>
            <w:r>
              <w:rPr>
                <w:noProof/>
                <w:webHidden/>
              </w:rPr>
              <w:fldChar w:fldCharType="begin"/>
            </w:r>
            <w:r>
              <w:rPr>
                <w:noProof/>
                <w:webHidden/>
              </w:rPr>
              <w:instrText xml:space="preserve"> PAGEREF _Toc105018607 \h </w:instrText>
            </w:r>
            <w:r>
              <w:rPr>
                <w:noProof/>
                <w:webHidden/>
              </w:rPr>
              <w:fldChar w:fldCharType="separate"/>
            </w:r>
            <w:r w:rsidR="00ED18FA">
              <w:rPr>
                <w:noProof/>
                <w:webHidden/>
              </w:rPr>
              <w:t>6</w:t>
            </w:r>
            <w:r>
              <w:rPr>
                <w:noProof/>
                <w:webHidden/>
              </w:rPr>
              <w:fldChar w:fldCharType="end"/>
            </w:r>
          </w:hyperlink>
        </w:p>
        <w:p w:rsidR="00DC76C6" w:rsidP="00082DE6" w14:paraId="36123336" w14:textId="4A6B85BE">
          <w:pPr>
            <w:pStyle w:val="TOC2"/>
            <w:rPr>
              <w:rFonts w:asciiTheme="minorHAnsi" w:eastAsiaTheme="minorEastAsia" w:hAnsiTheme="minorHAnsi" w:cstheme="minorBidi"/>
              <w:szCs w:val="22"/>
            </w:rPr>
          </w:pPr>
          <w:hyperlink w:anchor="_Toc105018608" w:history="1">
            <w:r w:rsidRPr="00134903">
              <w:rPr>
                <w:rStyle w:val="Hyperlink"/>
              </w:rPr>
              <w:t>6(a)</w:t>
            </w:r>
            <w:r>
              <w:rPr>
                <w:rFonts w:asciiTheme="minorHAnsi" w:eastAsiaTheme="minorEastAsia" w:hAnsiTheme="minorHAnsi" w:cstheme="minorBidi"/>
                <w:szCs w:val="22"/>
              </w:rPr>
              <w:tab/>
            </w:r>
            <w:r w:rsidRPr="00134903">
              <w:rPr>
                <w:rStyle w:val="Hyperlink"/>
              </w:rPr>
              <w:t>Estimating Respondent Burden and Cost</w:t>
            </w:r>
            <w:r>
              <w:rPr>
                <w:rStyle w:val="Hyperlink"/>
              </w:rPr>
              <w:t>s</w:t>
            </w:r>
            <w:r>
              <w:rPr>
                <w:webHidden/>
              </w:rPr>
              <w:tab/>
            </w:r>
            <w:r>
              <w:rPr>
                <w:webHidden/>
              </w:rPr>
              <w:fldChar w:fldCharType="begin"/>
            </w:r>
            <w:r>
              <w:rPr>
                <w:webHidden/>
              </w:rPr>
              <w:instrText xml:space="preserve"> PAGEREF _Toc105018608 \h </w:instrText>
            </w:r>
            <w:r>
              <w:rPr>
                <w:webHidden/>
              </w:rPr>
              <w:fldChar w:fldCharType="separate"/>
            </w:r>
            <w:r w:rsidR="00ED18FA">
              <w:rPr>
                <w:webHidden/>
              </w:rPr>
              <w:t>7</w:t>
            </w:r>
            <w:r>
              <w:rPr>
                <w:webHidden/>
              </w:rPr>
              <w:fldChar w:fldCharType="end"/>
            </w:r>
          </w:hyperlink>
        </w:p>
        <w:p w:rsidR="00DC76C6" w:rsidP="00082DE6" w14:paraId="73435E01" w14:textId="23ABE179">
          <w:pPr>
            <w:pStyle w:val="TOC2"/>
            <w:rPr>
              <w:rFonts w:asciiTheme="minorHAnsi" w:eastAsiaTheme="minorEastAsia" w:hAnsiTheme="minorHAnsi" w:cstheme="minorBidi"/>
              <w:szCs w:val="22"/>
            </w:rPr>
          </w:pPr>
          <w:hyperlink w:anchor="_Toc105018609" w:history="1">
            <w:r w:rsidRPr="00134903">
              <w:rPr>
                <w:rStyle w:val="Hyperlink"/>
              </w:rPr>
              <w:t>6(b)</w:t>
            </w:r>
            <w:r>
              <w:rPr>
                <w:rFonts w:asciiTheme="minorHAnsi" w:eastAsiaTheme="minorEastAsia" w:hAnsiTheme="minorHAnsi" w:cstheme="minorBidi"/>
                <w:szCs w:val="22"/>
              </w:rPr>
              <w:tab/>
            </w:r>
            <w:r w:rsidRPr="00134903">
              <w:rPr>
                <w:rStyle w:val="Hyperlink"/>
              </w:rPr>
              <w:t>Estimating Agency Burden and Cost</w:t>
            </w:r>
            <w:r>
              <w:rPr>
                <w:rStyle w:val="Hyperlink"/>
              </w:rPr>
              <w:t>s</w:t>
            </w:r>
            <w:r>
              <w:rPr>
                <w:webHidden/>
              </w:rPr>
              <w:tab/>
            </w:r>
            <w:r>
              <w:rPr>
                <w:webHidden/>
              </w:rPr>
              <w:fldChar w:fldCharType="begin"/>
            </w:r>
            <w:r>
              <w:rPr>
                <w:webHidden/>
              </w:rPr>
              <w:instrText xml:space="preserve"> PAGEREF _Toc105018609 \h </w:instrText>
            </w:r>
            <w:r>
              <w:rPr>
                <w:webHidden/>
              </w:rPr>
              <w:fldChar w:fldCharType="separate"/>
            </w:r>
            <w:r w:rsidR="00ED18FA">
              <w:rPr>
                <w:webHidden/>
              </w:rPr>
              <w:t>10</w:t>
            </w:r>
            <w:r>
              <w:rPr>
                <w:webHidden/>
              </w:rPr>
              <w:fldChar w:fldCharType="end"/>
            </w:r>
          </w:hyperlink>
        </w:p>
        <w:p w:rsidR="00DC76C6" w:rsidP="00082DE6" w14:paraId="7A7A3FD3" w14:textId="4F0DDD59">
          <w:pPr>
            <w:pStyle w:val="TOC2"/>
            <w:rPr>
              <w:rFonts w:asciiTheme="minorHAnsi" w:eastAsiaTheme="minorEastAsia" w:hAnsiTheme="minorHAnsi" w:cstheme="minorBidi"/>
              <w:szCs w:val="22"/>
            </w:rPr>
          </w:pPr>
          <w:hyperlink w:anchor="_Toc105018610" w:history="1">
            <w:r w:rsidRPr="00134903">
              <w:rPr>
                <w:rStyle w:val="Hyperlink"/>
              </w:rPr>
              <w:t>6(c)</w:t>
            </w:r>
            <w:r>
              <w:rPr>
                <w:rFonts w:asciiTheme="minorHAnsi" w:eastAsiaTheme="minorEastAsia" w:hAnsiTheme="minorHAnsi" w:cstheme="minorBidi"/>
                <w:szCs w:val="22"/>
              </w:rPr>
              <w:tab/>
            </w:r>
            <w:r w:rsidRPr="00134903">
              <w:rPr>
                <w:rStyle w:val="Hyperlink"/>
              </w:rPr>
              <w:t>Estimating Total Burden and Cost</w:t>
            </w:r>
            <w:r>
              <w:rPr>
                <w:rStyle w:val="Hyperlink"/>
              </w:rPr>
              <w:t>s</w:t>
            </w:r>
            <w:r w:rsidRPr="00134903">
              <w:rPr>
                <w:rStyle w:val="Hyperlink"/>
              </w:rPr>
              <w:t xml:space="preserve"> for Respondents and EPA</w:t>
            </w:r>
            <w:r>
              <w:rPr>
                <w:webHidden/>
              </w:rPr>
              <w:tab/>
            </w:r>
            <w:r>
              <w:rPr>
                <w:webHidden/>
              </w:rPr>
              <w:fldChar w:fldCharType="begin"/>
            </w:r>
            <w:r>
              <w:rPr>
                <w:webHidden/>
              </w:rPr>
              <w:instrText xml:space="preserve"> PAGEREF _Toc105018610 \h </w:instrText>
            </w:r>
            <w:r>
              <w:rPr>
                <w:webHidden/>
              </w:rPr>
              <w:fldChar w:fldCharType="separate"/>
            </w:r>
            <w:r w:rsidR="00ED18FA">
              <w:rPr>
                <w:webHidden/>
              </w:rPr>
              <w:t>10</w:t>
            </w:r>
            <w:r>
              <w:rPr>
                <w:webHidden/>
              </w:rPr>
              <w:fldChar w:fldCharType="end"/>
            </w:r>
          </w:hyperlink>
        </w:p>
        <w:p w:rsidR="00DC76C6" w:rsidP="00082DE6" w14:paraId="3EEF7E69" w14:textId="0A5A60C9">
          <w:pPr>
            <w:pStyle w:val="TOC2"/>
            <w:rPr>
              <w:rFonts w:asciiTheme="minorHAnsi" w:eastAsiaTheme="minorEastAsia" w:hAnsiTheme="minorHAnsi" w:cstheme="minorBidi"/>
              <w:szCs w:val="22"/>
            </w:rPr>
          </w:pPr>
          <w:hyperlink w:anchor="_Toc105018611" w:history="1">
            <w:r w:rsidRPr="00134903">
              <w:rPr>
                <w:rStyle w:val="Hyperlink"/>
              </w:rPr>
              <w:t>6(e)</w:t>
            </w:r>
            <w:r>
              <w:rPr>
                <w:rFonts w:asciiTheme="minorHAnsi" w:eastAsiaTheme="minorEastAsia" w:hAnsiTheme="minorHAnsi" w:cstheme="minorBidi"/>
                <w:szCs w:val="22"/>
              </w:rPr>
              <w:tab/>
            </w:r>
            <w:r w:rsidRPr="00134903">
              <w:rPr>
                <w:rStyle w:val="Hyperlink"/>
              </w:rPr>
              <w:t>Reasons for Change in Burden</w:t>
            </w:r>
            <w:r>
              <w:rPr>
                <w:webHidden/>
              </w:rPr>
              <w:tab/>
            </w:r>
            <w:r>
              <w:rPr>
                <w:webHidden/>
              </w:rPr>
              <w:fldChar w:fldCharType="begin"/>
            </w:r>
            <w:r>
              <w:rPr>
                <w:webHidden/>
              </w:rPr>
              <w:instrText xml:space="preserve"> PAGEREF _Toc105018611 \h </w:instrText>
            </w:r>
            <w:r>
              <w:rPr>
                <w:webHidden/>
              </w:rPr>
              <w:fldChar w:fldCharType="separate"/>
            </w:r>
            <w:r w:rsidR="00ED18FA">
              <w:rPr>
                <w:webHidden/>
              </w:rPr>
              <w:t>11</w:t>
            </w:r>
            <w:r>
              <w:rPr>
                <w:webHidden/>
              </w:rPr>
              <w:fldChar w:fldCharType="end"/>
            </w:r>
          </w:hyperlink>
        </w:p>
        <w:p w:rsidR="00DC76C6" w:rsidP="00082DE6" w14:paraId="04D14642" w14:textId="4FAF584C">
          <w:pPr>
            <w:pStyle w:val="TOC2"/>
            <w:rPr>
              <w:rFonts w:asciiTheme="minorHAnsi" w:eastAsiaTheme="minorEastAsia" w:hAnsiTheme="minorHAnsi" w:cstheme="minorBidi"/>
              <w:szCs w:val="22"/>
            </w:rPr>
          </w:pPr>
          <w:hyperlink w:anchor="_Toc105018612" w:history="1">
            <w:r w:rsidRPr="00134903">
              <w:rPr>
                <w:rStyle w:val="Hyperlink"/>
              </w:rPr>
              <w:t>6(f)</w:t>
            </w:r>
            <w:r>
              <w:rPr>
                <w:rFonts w:asciiTheme="minorHAnsi" w:eastAsiaTheme="minorEastAsia" w:hAnsiTheme="minorHAnsi" w:cstheme="minorBidi"/>
                <w:szCs w:val="22"/>
              </w:rPr>
              <w:tab/>
            </w:r>
            <w:r w:rsidRPr="00134903">
              <w:rPr>
                <w:rStyle w:val="Hyperlink"/>
              </w:rPr>
              <w:t>Burden Statement</w:t>
            </w:r>
            <w:r>
              <w:rPr>
                <w:webHidden/>
              </w:rPr>
              <w:tab/>
            </w:r>
            <w:r>
              <w:rPr>
                <w:webHidden/>
              </w:rPr>
              <w:fldChar w:fldCharType="begin"/>
            </w:r>
            <w:r>
              <w:rPr>
                <w:webHidden/>
              </w:rPr>
              <w:instrText xml:space="preserve"> PAGEREF _Toc105018612 \h </w:instrText>
            </w:r>
            <w:r>
              <w:rPr>
                <w:webHidden/>
              </w:rPr>
              <w:fldChar w:fldCharType="separate"/>
            </w:r>
            <w:r w:rsidR="00ED18FA">
              <w:rPr>
                <w:webHidden/>
              </w:rPr>
              <w:t>11</w:t>
            </w:r>
            <w:r>
              <w:rPr>
                <w:webHidden/>
              </w:rPr>
              <w:fldChar w:fldCharType="end"/>
            </w:r>
          </w:hyperlink>
        </w:p>
        <w:p w:rsidR="00DA31DD" w:rsidP="00DA31DD" w14:paraId="39079977" w14:textId="6B8109B9">
          <w:r>
            <w:rPr>
              <w:b/>
              <w:color w:val="2B579A"/>
              <w:shd w:val="clear" w:color="auto" w:fill="E6E6E6"/>
            </w:rPr>
            <w:fldChar w:fldCharType="end"/>
          </w:r>
        </w:p>
      </w:sdtContent>
    </w:sdt>
    <w:p w:rsidR="00DA31DD" w:rsidRPr="00A4138C" w:rsidP="00DA31DD" w14:paraId="73974BC9" w14:textId="77777777"/>
    <w:p w:rsidR="00DA31DD" w:rsidP="00DA31DD" w14:paraId="0E434AE5" w14:textId="77777777">
      <w:pPr>
        <w:tabs>
          <w:tab w:val="right" w:leader="dot" w:pos="9360"/>
        </w:tabs>
        <w:ind w:left="720" w:hanging="720"/>
        <w:rPr>
          <w:sz w:val="24"/>
          <w:szCs w:val="24"/>
        </w:rPr>
        <w:sectPr w:rsidSect="00F22B0E">
          <w:footerReference w:type="default" r:id="rId10"/>
          <w:pgSz w:w="12240" w:h="15840"/>
          <w:pgMar w:top="1440" w:right="1440" w:bottom="1440" w:left="1440" w:header="720" w:footer="720" w:gutter="0"/>
          <w:pgNumType w:fmt="lowerRoman" w:start="1"/>
          <w:cols w:space="720"/>
        </w:sectPr>
      </w:pPr>
    </w:p>
    <w:p w:rsidR="00DA31DD" w:rsidP="00540A2A" w14:paraId="469CE3D2" w14:textId="77777777">
      <w:pPr>
        <w:pStyle w:val="Bullet"/>
        <w:numPr>
          <w:ilvl w:val="0"/>
          <w:numId w:val="0"/>
        </w:numPr>
        <w:sectPr w:rsidSect="00F22B0E">
          <w:headerReference w:type="default" r:id="rId11"/>
          <w:footerReference w:type="default" r:id="rId12"/>
          <w:type w:val="continuous"/>
          <w:pgSz w:w="12240" w:h="15840"/>
          <w:pgMar w:top="1440" w:right="1440" w:bottom="1440" w:left="1440" w:header="720" w:footer="720" w:gutter="0"/>
          <w:pgNumType w:start="1"/>
          <w:cols w:space="720"/>
        </w:sectPr>
      </w:pPr>
    </w:p>
    <w:p w:rsidR="00DA31DD" w:rsidP="00DA31DD" w14:paraId="2F73304B" w14:textId="77777777">
      <w:pPr>
        <w:pStyle w:val="Heading1"/>
      </w:pPr>
      <w:bookmarkStart w:id="2" w:name="_1__1_"/>
      <w:bookmarkStart w:id="3" w:name="_Toc296531010"/>
      <w:bookmarkStart w:id="4" w:name="_Toc431211653"/>
      <w:bookmarkStart w:id="5" w:name="_Toc105018585"/>
      <w:bookmarkEnd w:id="2"/>
      <w:r>
        <w:t>1.</w:t>
      </w:r>
      <w:r>
        <w:tab/>
        <w:t>Identification of the Information Collection</w:t>
      </w:r>
      <w:bookmarkEnd w:id="3"/>
      <w:bookmarkEnd w:id="4"/>
      <w:bookmarkEnd w:id="5"/>
    </w:p>
    <w:p w:rsidR="00DA31DD" w:rsidP="00DA31DD" w14:paraId="71106D3B" w14:textId="1BB56CCA">
      <w:pPr>
        <w:pStyle w:val="Heading2"/>
      </w:pPr>
      <w:bookmarkStart w:id="6" w:name="_1__2_"/>
      <w:bookmarkStart w:id="7" w:name="_Toc296531011"/>
      <w:bookmarkStart w:id="8" w:name="_Toc431211654"/>
      <w:bookmarkStart w:id="9" w:name="_Toc105018586"/>
      <w:bookmarkEnd w:id="6"/>
      <w:r>
        <w:t>1(a)</w:t>
      </w:r>
      <w:r>
        <w:tab/>
        <w:t>Title of the Information Collection</w:t>
      </w:r>
      <w:bookmarkEnd w:id="7"/>
      <w:bookmarkEnd w:id="8"/>
      <w:bookmarkEnd w:id="9"/>
    </w:p>
    <w:p w:rsidR="00DA31DD" w:rsidP="00DA31DD" w14:paraId="1E3B7549" w14:textId="280814B0">
      <w:pPr>
        <w:pStyle w:val="Bullet-last"/>
      </w:pPr>
      <w:r>
        <w:t xml:space="preserve">The title of this Information Collection is </w:t>
      </w:r>
      <w:r>
        <w:t>BEACH Act Grant Program</w:t>
      </w:r>
      <w:r>
        <w:t>.</w:t>
      </w:r>
    </w:p>
    <w:p w:rsidR="00DA31DD" w:rsidP="00DA31DD" w14:paraId="6A0F26F1" w14:textId="3B5A25F6">
      <w:pPr>
        <w:pStyle w:val="Heading2"/>
      </w:pPr>
      <w:bookmarkStart w:id="10" w:name="_1__3_"/>
      <w:bookmarkStart w:id="11" w:name="_Toc296531012"/>
      <w:bookmarkStart w:id="12" w:name="_Toc431211655"/>
      <w:bookmarkStart w:id="13" w:name="_Toc105018587"/>
      <w:bookmarkEnd w:id="10"/>
      <w:r>
        <w:t>1(b)</w:t>
      </w:r>
      <w:r>
        <w:tab/>
        <w:t>Short Characterization/Abstract</w:t>
      </w:r>
      <w:bookmarkEnd w:id="11"/>
      <w:bookmarkEnd w:id="12"/>
      <w:bookmarkEnd w:id="13"/>
    </w:p>
    <w:p w:rsidR="00585500" w:rsidP="001C11F3" w14:paraId="19C35CF6" w14:textId="161BA715">
      <w:pPr>
        <w:pStyle w:val="Bullet-last"/>
      </w:pPr>
      <w:r>
        <w:t xml:space="preserve">The Beaches Environmental Assessment and Coastal Health (BEACH) Act amends the Clean Water Act (CWA) in part and authorizes the U.S. Environmental Protection Agency (EPA) to award BEACH Act Grants to coastal and Great Lakes states, tribes, and territories (collectively referred to as jurisdictions) </w:t>
      </w:r>
      <w:r w:rsidR="00A350DD">
        <w:t>to develop and implement</w:t>
      </w:r>
      <w:r>
        <w:t xml:space="preserve"> beach monitoring and notification programs. The grants</w:t>
      </w:r>
      <w:r>
        <w:t xml:space="preserve"> </w:t>
      </w:r>
      <w:r>
        <w:t xml:space="preserve">assist those jurisdictions to develop and implement a consistent approach to monitor </w:t>
      </w:r>
      <w:r w:rsidR="005551EB">
        <w:t xml:space="preserve">coastal </w:t>
      </w:r>
      <w:r>
        <w:t>recreational water quality; assess, manage, and communicate health risks from waterborne microbial contamination; notify the public of pollution occurrences; and post beach advisories and closures to prevent public exposure to microbial pathogens.</w:t>
      </w:r>
    </w:p>
    <w:p w:rsidR="00DA31DD" w:rsidP="24F60CC0" w14:paraId="3EB2A20B" w14:textId="6E2E6A6A">
      <w:pPr>
        <w:pStyle w:val="Bullet-last"/>
        <w:rPr>
          <w:color w:val="000000" w:themeColor="text1"/>
        </w:rPr>
      </w:pPr>
      <w:r>
        <w:t>Per CWA section 406</w:t>
      </w:r>
      <w:r w:rsidR="00A350DD">
        <w:t xml:space="preserve"> (33 U.S. Code 1346)</w:t>
      </w:r>
      <w:r>
        <w:t>, t</w:t>
      </w:r>
      <w:r>
        <w:t xml:space="preserve">o qualify for a </w:t>
      </w:r>
      <w:r w:rsidR="005551EB">
        <w:t xml:space="preserve">BEACH Act </w:t>
      </w:r>
      <w:r>
        <w:t xml:space="preserve">grant a jurisdiction must submit information to </w:t>
      </w:r>
      <w:r w:rsidR="00EC2C03">
        <w:t>EPA</w:t>
      </w:r>
      <w:r>
        <w:t xml:space="preserve"> documenting that its beach monitoring and notification program is consistent with performance criteria outlined in the </w:t>
      </w:r>
      <w:r w:rsidRPr="24F60CC0">
        <w:rPr>
          <w:i/>
          <w:iCs/>
        </w:rPr>
        <w:t>National Beach Guidance and Required Performance Criteria for Grants, 2014 Edition</w:t>
      </w:r>
      <w:r>
        <w:t xml:space="preserve">. </w:t>
      </w:r>
      <w:r w:rsidR="00C1759A">
        <w:t>In addition, r</w:t>
      </w:r>
      <w:r w:rsidR="00D82594">
        <w:t xml:space="preserve">ecipients of BEACH Act grants </w:t>
      </w:r>
      <w:r w:rsidR="0052711B">
        <w:t xml:space="preserve">must </w:t>
      </w:r>
      <w:r w:rsidR="00D82594">
        <w:t xml:space="preserve">submit water quality monitoring data and information on public notification actions to EPA. </w:t>
      </w:r>
      <w:r>
        <w:t xml:space="preserve">All beach program information will be collected by EPA’s Office of Science and Technology, stored in the Beach Advisory and Closing On-line Notification (BEACON) system, and </w:t>
      </w:r>
      <w:r w:rsidR="00D82594">
        <w:t>accessible via</w:t>
      </w:r>
      <w:r>
        <w:t xml:space="preserve"> EPA’s Beaches website for use by the public; state, tribal, territorial, and local environmental and public health agencies; and EPA.</w:t>
      </w:r>
    </w:p>
    <w:p w:rsidR="00250019" w:rsidP="00DA31DD" w14:paraId="0718C59B" w14:textId="5AE2B3CB">
      <w:pPr>
        <w:pStyle w:val="Bullet-last"/>
      </w:pPr>
      <w:r>
        <w:t xml:space="preserve">This Information Collection Request (ICR) renews the </w:t>
      </w:r>
      <w:r w:rsidRPr="00250019">
        <w:t>B</w:t>
      </w:r>
      <w:r w:rsidR="007C559D">
        <w:t>EACH</w:t>
      </w:r>
      <w:r w:rsidRPr="00250019">
        <w:t xml:space="preserve"> Act Grant</w:t>
      </w:r>
      <w:r w:rsidR="0046243D">
        <w:t xml:space="preserve"> Program</w:t>
      </w:r>
      <w:r w:rsidRPr="00250019">
        <w:t xml:space="preserve"> </w:t>
      </w:r>
      <w:r>
        <w:t xml:space="preserve">ICR, OMB Control Number </w:t>
      </w:r>
      <w:r w:rsidR="0046243D">
        <w:t>2</w:t>
      </w:r>
      <w:r>
        <w:t>040-0244, which is approved through April 30, 2023.</w:t>
      </w:r>
      <w:r w:rsidR="00E21EF7">
        <w:t xml:space="preserve"> </w:t>
      </w:r>
      <w:r w:rsidRPr="00A701EF" w:rsidR="00E21EF7">
        <w:t xml:space="preserve">This ICR renewal describes the estimated burden associated with the information collection </w:t>
      </w:r>
      <w:r w:rsidR="00E21EF7">
        <w:t>of water quality monitoring data and public notification actions from recipients of BEACH Act grants.</w:t>
      </w:r>
    </w:p>
    <w:p w:rsidR="00AF3A3D" w:rsidP="00DA31DD" w14:paraId="6595D85A" w14:textId="0367389C">
      <w:pPr>
        <w:pStyle w:val="Bullet-last"/>
      </w:pPr>
      <w:bookmarkStart w:id="14" w:name="_Hlk117508850"/>
      <w:r w:rsidRPr="00C7728E">
        <w:t xml:space="preserve">EPA anticipates the </w:t>
      </w:r>
      <w:r w:rsidRPr="00C7728E" w:rsidR="00301148">
        <w:t xml:space="preserve">respondent </w:t>
      </w:r>
      <w:r w:rsidRPr="00C7728E">
        <w:t xml:space="preserve">burden associated with the renewed ICR to be </w:t>
      </w:r>
      <w:r w:rsidR="00AE63BD">
        <w:t>319,</w:t>
      </w:r>
      <w:r w:rsidR="00BC2819">
        <w:t>522</w:t>
      </w:r>
      <w:r w:rsidRPr="00C7728E" w:rsidR="00301148">
        <w:t xml:space="preserve"> </w:t>
      </w:r>
      <w:r w:rsidRPr="00C7728E">
        <w:t>hours, a</w:t>
      </w:r>
      <w:r w:rsidRPr="00C7728E" w:rsidR="00BF0215">
        <w:t>n</w:t>
      </w:r>
      <w:r w:rsidRPr="00C7728E">
        <w:t xml:space="preserve"> </w:t>
      </w:r>
      <w:r w:rsidRPr="00C7728E" w:rsidR="00BF0215">
        <w:t>in</w:t>
      </w:r>
      <w:r w:rsidRPr="00C7728E">
        <w:t>crease from the previously approved burden</w:t>
      </w:r>
      <w:r w:rsidRPr="00C7728E" w:rsidR="00581C8D">
        <w:t xml:space="preserve"> of </w:t>
      </w:r>
      <w:r w:rsidRPr="00C7728E" w:rsidR="00454606">
        <w:t>88,</w:t>
      </w:r>
      <w:r w:rsidRPr="00C7728E" w:rsidR="00026011">
        <w:t>569</w:t>
      </w:r>
      <w:r w:rsidRPr="00C7728E" w:rsidR="00F83146">
        <w:t xml:space="preserve"> hours</w:t>
      </w:r>
      <w:r w:rsidR="00687233">
        <w:t>.</w:t>
      </w:r>
      <w:r w:rsidRPr="00C7728E">
        <w:t xml:space="preserve"> </w:t>
      </w:r>
      <w:r w:rsidR="00687233">
        <w:t xml:space="preserve">The new burden </w:t>
      </w:r>
      <w:r w:rsidRPr="00C7728E">
        <w:t>reflect</w:t>
      </w:r>
      <w:r w:rsidR="00687233">
        <w:t>s</w:t>
      </w:r>
      <w:r w:rsidRPr="00C7728E">
        <w:t xml:space="preserve"> </w:t>
      </w:r>
      <w:r w:rsidR="004E36C9">
        <w:t xml:space="preserve">fully capturing the </w:t>
      </w:r>
      <w:r w:rsidRPr="00C7728E" w:rsidR="00742FEF">
        <w:t xml:space="preserve">time </w:t>
      </w:r>
      <w:r w:rsidRPr="00C7728E" w:rsidR="00FB6BBF">
        <w:t>to collect water quality samples</w:t>
      </w:r>
      <w:r w:rsidRPr="00C7728E" w:rsidR="00C006B7">
        <w:t xml:space="preserve"> (+</w:t>
      </w:r>
      <w:r w:rsidR="00D808F4">
        <w:t>226,180</w:t>
      </w:r>
      <w:r w:rsidRPr="00C7728E" w:rsidR="007A420B">
        <w:t xml:space="preserve"> </w:t>
      </w:r>
      <w:r w:rsidRPr="00C7728E" w:rsidR="00C006B7">
        <w:t>hours)</w:t>
      </w:r>
      <w:r w:rsidRPr="00C7728E" w:rsidR="005D56EB">
        <w:t xml:space="preserve">, </w:t>
      </w:r>
      <w:r w:rsidRPr="00C7728E">
        <w:t>the addition of one tribe (+</w:t>
      </w:r>
      <w:r w:rsidRPr="00C7728E" w:rsidR="000B60D9">
        <w:t>722</w:t>
      </w:r>
      <w:r w:rsidRPr="00C7728E" w:rsidR="008C649E">
        <w:t xml:space="preserve"> </w:t>
      </w:r>
      <w:r w:rsidRPr="00C7728E" w:rsidR="00B55C59">
        <w:t xml:space="preserve">hours for </w:t>
      </w:r>
      <w:r w:rsidRPr="00C7728E" w:rsidR="008C649E">
        <w:t>developmental</w:t>
      </w:r>
      <w:r w:rsidRPr="00C7728E" w:rsidR="00B55C59">
        <w:t xml:space="preserve"> </w:t>
      </w:r>
      <w:r w:rsidRPr="00C7728E" w:rsidR="00A46FC3">
        <w:t xml:space="preserve">phase </w:t>
      </w:r>
      <w:r w:rsidRPr="00C7728E" w:rsidR="00B55C59">
        <w:t>activities</w:t>
      </w:r>
      <w:r w:rsidRPr="00C7728E" w:rsidR="008C649E">
        <w:t xml:space="preserve"> </w:t>
      </w:r>
      <w:r w:rsidR="004E36C9">
        <w:t xml:space="preserve">and </w:t>
      </w:r>
      <w:r w:rsidRPr="00C7728E" w:rsidR="000B60D9">
        <w:t>+</w:t>
      </w:r>
      <w:r w:rsidRPr="00C7728E" w:rsidR="00CE4CD5">
        <w:t>6,262</w:t>
      </w:r>
      <w:r w:rsidRPr="00C7728E">
        <w:t xml:space="preserve"> </w:t>
      </w:r>
      <w:r w:rsidRPr="00C7728E" w:rsidR="00B55C59">
        <w:t xml:space="preserve">hours for </w:t>
      </w:r>
      <w:r w:rsidRPr="00C7728E" w:rsidR="008C649E">
        <w:t xml:space="preserve">implementation </w:t>
      </w:r>
      <w:r w:rsidRPr="00C7728E" w:rsidR="00A46FC3">
        <w:t xml:space="preserve">phase </w:t>
      </w:r>
      <w:r w:rsidRPr="00C7728E" w:rsidR="00B55C59">
        <w:t>activities</w:t>
      </w:r>
      <w:r w:rsidRPr="00C7728E">
        <w:t xml:space="preserve">), </w:t>
      </w:r>
      <w:r w:rsidRPr="00C7728E" w:rsidR="00F7597C">
        <w:t xml:space="preserve">the </w:t>
      </w:r>
      <w:r w:rsidRPr="00C7728E" w:rsidR="002A429F">
        <w:t>restructur</w:t>
      </w:r>
      <w:r w:rsidRPr="00C7728E" w:rsidR="00F7597C">
        <w:t>ing of</w:t>
      </w:r>
      <w:r w:rsidRPr="00C7728E" w:rsidR="002A429F">
        <w:t xml:space="preserve"> activities into </w:t>
      </w:r>
      <w:r w:rsidRPr="00C7728E" w:rsidR="0028427F">
        <w:t xml:space="preserve">those </w:t>
      </w:r>
      <w:r w:rsidRPr="00C7728E" w:rsidR="00817810">
        <w:t xml:space="preserve">for </w:t>
      </w:r>
      <w:r w:rsidRPr="00C7728E" w:rsidR="00F3739B">
        <w:t xml:space="preserve">programs in the </w:t>
      </w:r>
      <w:r w:rsidRPr="00C7728E" w:rsidR="002A429F">
        <w:t xml:space="preserve">developmental </w:t>
      </w:r>
      <w:r w:rsidRPr="00C7728E" w:rsidR="00FC0608">
        <w:t>phase and implementation phase</w:t>
      </w:r>
      <w:r w:rsidR="004E36C9">
        <w:t>s</w:t>
      </w:r>
      <w:r w:rsidR="00687233">
        <w:t>,</w:t>
      </w:r>
      <w:r w:rsidRPr="00C7728E" w:rsidR="002A429F">
        <w:t xml:space="preserve"> and </w:t>
      </w:r>
      <w:r w:rsidRPr="00C7728E" w:rsidR="0028427F">
        <w:t xml:space="preserve">subsequent </w:t>
      </w:r>
      <w:r w:rsidRPr="00C7728E" w:rsidR="002A429F">
        <w:t>recalculat</w:t>
      </w:r>
      <w:r w:rsidRPr="00C7728E" w:rsidR="0028427F">
        <w:t>ion</w:t>
      </w:r>
      <w:r w:rsidRPr="00C7728E" w:rsidR="002A429F">
        <w:t xml:space="preserve"> </w:t>
      </w:r>
      <w:r w:rsidRPr="00C7728E" w:rsidR="0028427F">
        <w:t xml:space="preserve">of </w:t>
      </w:r>
      <w:r w:rsidRPr="00C7728E" w:rsidR="002A429F">
        <w:t>the burden</w:t>
      </w:r>
      <w:r w:rsidRPr="00C7728E">
        <w:t xml:space="preserve"> </w:t>
      </w:r>
      <w:r w:rsidR="00687233">
        <w:t xml:space="preserve">associated with restructured activities </w:t>
      </w:r>
      <w:r w:rsidRPr="00C7728E">
        <w:t>(</w:t>
      </w:r>
      <w:r w:rsidRPr="00C7728E" w:rsidR="00204457">
        <w:t>-2,211</w:t>
      </w:r>
      <w:r w:rsidRPr="00C7728E">
        <w:t xml:space="preserve"> hours).</w:t>
      </w:r>
    </w:p>
    <w:p w:rsidR="00DA31DD" w:rsidP="00DA31DD" w14:paraId="65FF53FD" w14:textId="77777777">
      <w:pPr>
        <w:pStyle w:val="Heading1"/>
      </w:pPr>
      <w:bookmarkStart w:id="15" w:name="_1__4_"/>
      <w:bookmarkStart w:id="16" w:name="_Toc296531013"/>
      <w:bookmarkStart w:id="17" w:name="_Toc431211656"/>
      <w:bookmarkStart w:id="18" w:name="_Toc105018588"/>
      <w:bookmarkEnd w:id="14"/>
      <w:bookmarkEnd w:id="15"/>
      <w:r>
        <w:t>2.</w:t>
      </w:r>
      <w:r>
        <w:tab/>
        <w:t>Need for and Use of the Collection</w:t>
      </w:r>
      <w:bookmarkEnd w:id="16"/>
      <w:bookmarkEnd w:id="17"/>
      <w:bookmarkEnd w:id="18"/>
    </w:p>
    <w:p w:rsidR="00DA31DD" w:rsidP="00DA31DD" w14:paraId="0F460281" w14:textId="77777777">
      <w:pPr>
        <w:pStyle w:val="Heading2"/>
      </w:pPr>
      <w:bookmarkStart w:id="19" w:name="_1__5_"/>
      <w:bookmarkStart w:id="20" w:name="_Toc296531014"/>
      <w:bookmarkStart w:id="21" w:name="_Toc431211657"/>
      <w:bookmarkStart w:id="22" w:name="_Toc105018589"/>
      <w:bookmarkEnd w:id="19"/>
      <w:r>
        <w:t>2(a)</w:t>
      </w:r>
      <w:r>
        <w:tab/>
        <w:t>Need/Authority for the Collection</w:t>
      </w:r>
      <w:bookmarkEnd w:id="20"/>
      <w:bookmarkEnd w:id="21"/>
      <w:bookmarkEnd w:id="22"/>
      <w:r>
        <w:t xml:space="preserve"> </w:t>
      </w:r>
    </w:p>
    <w:p w:rsidR="007B0BA4" w:rsidP="00DA31DD" w14:paraId="6B9053CD" w14:textId="5E8E8480">
      <w:pPr>
        <w:pStyle w:val="Bullet-last"/>
      </w:pPr>
      <w:r w:rsidRPr="00252F3C">
        <w:rPr>
          <w:rStyle w:val="SubtleEmphasis"/>
        </w:rPr>
        <w:t xml:space="preserve">Authorities: </w:t>
      </w:r>
      <w:r w:rsidRPr="00252F3C">
        <w:t xml:space="preserve">Section </w:t>
      </w:r>
      <w:r>
        <w:t xml:space="preserve">406 of the Clean Water Act, 33 </w:t>
      </w:r>
      <w:r w:rsidR="001C11F3">
        <w:t>U.S. Code (</w:t>
      </w:r>
      <w:r>
        <w:t>U.S.C.</w:t>
      </w:r>
      <w:r w:rsidR="001C11F3">
        <w:t>)</w:t>
      </w:r>
      <w:r>
        <w:t xml:space="preserve"> 1346.</w:t>
      </w:r>
    </w:p>
    <w:p w:rsidR="3095CE2B" w:rsidP="4324552A" w14:paraId="76A522C9" w14:textId="179C1371">
      <w:pPr>
        <w:pStyle w:val="Bullet-last"/>
      </w:pPr>
      <w:r>
        <w:t xml:space="preserve">The BEACH Act (Public Law 106-284) established a grant program to assist marine coastal and Great Lakes states </w:t>
      </w:r>
      <w:r w:rsidR="006B25BC">
        <w:t xml:space="preserve">and tribes treated as a state in accordance with </w:t>
      </w:r>
      <w:r w:rsidR="004063A6">
        <w:t>33 U.S.C. 1377(e)</w:t>
      </w:r>
      <w:r w:rsidR="006B25BC">
        <w:t xml:space="preserve"> </w:t>
      </w:r>
      <w:r>
        <w:t xml:space="preserve">in implementing a uniform monitoring and notification program for their coastal recreational </w:t>
      </w:r>
      <w:r>
        <w:t>waters</w:t>
      </w:r>
      <w:r>
        <w:rPr>
          <w:rStyle w:val="CommentReference"/>
          <w:sz w:val="24"/>
          <w:szCs w:val="24"/>
          <w:vertAlign w:val="superscript"/>
        </w:rPr>
        <w:footnoteReference w:id="3"/>
      </w:r>
      <w:r>
        <w:t xml:space="preserve">. As a condition of receipt of a BEACH Act grant, eligible jurisdictions must show evidence of meeting the performance criteria and the conditions under the BEACH Act. Therefore, a jurisdiction applying for a grant must submit information on its program </w:t>
      </w:r>
      <w:r w:rsidR="00C1759A">
        <w:t xml:space="preserve">as part of its grant application </w:t>
      </w:r>
      <w:r>
        <w:t>to document that its program is consistent with the performance criteria.</w:t>
      </w:r>
      <w:r w:rsidR="000A4BDC">
        <w:t xml:space="preserve"> </w:t>
      </w:r>
      <w:r w:rsidR="00541AD0">
        <w:t>BEACH Act g</w:t>
      </w:r>
      <w:r w:rsidR="000A4BDC">
        <w:t>rant</w:t>
      </w:r>
      <w:r w:rsidR="00ED4771">
        <w:t xml:space="preserve"> recipients </w:t>
      </w:r>
      <w:r w:rsidR="00541AD0">
        <w:t xml:space="preserve">also </w:t>
      </w:r>
      <w:r w:rsidR="00ED4771">
        <w:t>are required</w:t>
      </w:r>
      <w:r w:rsidR="000A4BDC">
        <w:t xml:space="preserve"> to submit </w:t>
      </w:r>
      <w:r w:rsidR="00EE2DFF">
        <w:t xml:space="preserve">to EPA </w:t>
      </w:r>
      <w:r w:rsidR="007613E3">
        <w:t>data collected as part of the</w:t>
      </w:r>
      <w:r w:rsidR="00ED4771">
        <w:t>ir</w:t>
      </w:r>
      <w:r w:rsidR="007613E3">
        <w:t xml:space="preserve"> program for monitoring and notification</w:t>
      </w:r>
      <w:r w:rsidR="0052711B">
        <w:t xml:space="preserve">, </w:t>
      </w:r>
      <w:r w:rsidR="000A4BDC">
        <w:t xml:space="preserve">and </w:t>
      </w:r>
      <w:r w:rsidR="007613E3">
        <w:t>actions taken to notify the public when water quality standards are exceeded</w:t>
      </w:r>
      <w:r w:rsidR="00687233">
        <w:t>. T</w:t>
      </w:r>
      <w:r w:rsidR="000A4BDC">
        <w:t>h</w:t>
      </w:r>
      <w:r w:rsidR="0052711B">
        <w:t>ose</w:t>
      </w:r>
      <w:r w:rsidR="006E6F28">
        <w:t xml:space="preserve"> requirement</w:t>
      </w:r>
      <w:r w:rsidR="0052711B">
        <w:t>s are</w:t>
      </w:r>
      <w:r w:rsidR="006E6F28">
        <w:t xml:space="preserve"> found in </w:t>
      </w:r>
      <w:r w:rsidR="00ED4771">
        <w:t xml:space="preserve">33 </w:t>
      </w:r>
      <w:r w:rsidR="007613E3">
        <w:t>U.S.</w:t>
      </w:r>
      <w:r w:rsidR="00ED4771">
        <w:t xml:space="preserve">C. </w:t>
      </w:r>
      <w:r w:rsidR="007613E3">
        <w:t>1346</w:t>
      </w:r>
      <w:r w:rsidRPr="00355F00" w:rsidR="006E6F28">
        <w:t>b(3)(A)</w:t>
      </w:r>
      <w:r w:rsidR="006E6F28">
        <w:t xml:space="preserve"> and</w:t>
      </w:r>
      <w:r w:rsidRPr="00355F00" w:rsidR="006E6F28">
        <w:t xml:space="preserve"> (B)</w:t>
      </w:r>
      <w:r w:rsidR="006E6F28">
        <w:t>. EPA is required to develop, maintain, and make available to the public a national database that provides the data reported by the jurisdictions</w:t>
      </w:r>
      <w:r w:rsidR="00687233">
        <w:t>. T</w:t>
      </w:r>
      <w:r w:rsidR="006E6F28">
        <w:t>hat requirement is found in 33 U.S.C. 1346e.</w:t>
      </w:r>
    </w:p>
    <w:p w:rsidR="00DA31DD" w:rsidP="00DA31DD" w14:paraId="647ABCF6" w14:textId="77777777">
      <w:pPr>
        <w:pStyle w:val="Heading2"/>
      </w:pPr>
      <w:bookmarkStart w:id="23" w:name="_1__6_"/>
      <w:bookmarkStart w:id="24" w:name="_Toc296531015"/>
      <w:bookmarkStart w:id="25" w:name="_Toc431211658"/>
      <w:bookmarkStart w:id="26" w:name="_Toc105018590"/>
      <w:bookmarkEnd w:id="23"/>
      <w:r>
        <w:t>2(b)</w:t>
      </w:r>
      <w:r>
        <w:tab/>
        <w:t>Practical Utility/Users of the Data</w:t>
      </w:r>
      <w:bookmarkEnd w:id="24"/>
      <w:bookmarkEnd w:id="25"/>
      <w:bookmarkEnd w:id="26"/>
      <w:r>
        <w:t xml:space="preserve"> </w:t>
      </w:r>
    </w:p>
    <w:p w:rsidR="00DA31DD" w:rsidP="00DA31DD" w14:paraId="53B021A0" w14:textId="40BC4C78">
      <w:pPr>
        <w:pStyle w:val="Bullet-last"/>
      </w:pPr>
      <w:r>
        <w:t>Data will be used by EPA; state, tribal, territorial, and local environmental and public health agencies; and the public. EPA will use the information submitted by jurisdiction</w:t>
      </w:r>
      <w:r w:rsidR="00A5163A">
        <w:t>s</w:t>
      </w:r>
      <w:r>
        <w:t xml:space="preserve"> to</w:t>
      </w:r>
      <w:r>
        <w:t xml:space="preserve"> </w:t>
      </w:r>
      <w:r w:rsidR="00EE2DFF">
        <w:t xml:space="preserve">maintain a publicly available </w:t>
      </w:r>
      <w:r>
        <w:t>national database of coastal recreational water pollution occurrences</w:t>
      </w:r>
      <w:r w:rsidR="00FE1BA1">
        <w:t>,</w:t>
      </w:r>
      <w:r>
        <w:t xml:space="preserve"> to determine whether program</w:t>
      </w:r>
      <w:r w:rsidR="00A5163A">
        <w:t>s</w:t>
      </w:r>
      <w:r>
        <w:t xml:space="preserve"> </w:t>
      </w:r>
      <w:r w:rsidR="00A5163A">
        <w:t>are</w:t>
      </w:r>
      <w:r>
        <w:t xml:space="preserve"> consistent with the performance criteria and the BEACH Act,</w:t>
      </w:r>
      <w:r w:rsidR="006E6F28">
        <w:t xml:space="preserve"> </w:t>
      </w:r>
      <w:r w:rsidR="006E6F28">
        <w:t xml:space="preserve">to </w:t>
      </w:r>
      <w:r w:rsidR="0052711B">
        <w:t>develop</w:t>
      </w:r>
      <w:r w:rsidR="006E6F28">
        <w:t xml:space="preserve"> an annual report </w:t>
      </w:r>
      <w:r w:rsidR="0052711B">
        <w:t xml:space="preserve">that includes </w:t>
      </w:r>
      <w:r w:rsidRPr="00ED4771" w:rsidR="0052711B">
        <w:t xml:space="preserve">national-level statistics of beach closings and advisories </w:t>
      </w:r>
      <w:r w:rsidR="00EE2DFF">
        <w:t>issued by</w:t>
      </w:r>
      <w:r w:rsidRPr="00ED4771" w:rsidR="00EE2DFF">
        <w:t xml:space="preserve"> </w:t>
      </w:r>
      <w:r w:rsidR="006A0E66">
        <w:t>jurisdiction</w:t>
      </w:r>
      <w:r w:rsidR="00A5163A">
        <w:t>s</w:t>
      </w:r>
      <w:r w:rsidRPr="00ED4771" w:rsidR="0052711B">
        <w:t xml:space="preserve"> during the </w:t>
      </w:r>
      <w:r w:rsidR="00B259A5">
        <w:t>pre</w:t>
      </w:r>
      <w:r w:rsidR="007E374E">
        <w:t>ceding</w:t>
      </w:r>
      <w:r w:rsidR="00B259A5">
        <w:t xml:space="preserve"> </w:t>
      </w:r>
      <w:r w:rsidRPr="00ED4771" w:rsidR="0052711B">
        <w:t xml:space="preserve">swimming season </w:t>
      </w:r>
      <w:r w:rsidRPr="00ED4771" w:rsidR="0052711B">
        <w:t xml:space="preserve">and </w:t>
      </w:r>
      <w:r w:rsidRPr="00ED4771" w:rsidR="0052711B">
        <w:t>beach data trends over several years</w:t>
      </w:r>
      <w:r w:rsidR="00A116F5">
        <w:t>,</w:t>
      </w:r>
      <w:r w:rsidRPr="00ED4771" w:rsidR="0052711B">
        <w:t xml:space="preserve"> </w:t>
      </w:r>
      <w:r w:rsidRPr="00ED4771" w:rsidR="0052711B">
        <w:t xml:space="preserve">and </w:t>
      </w:r>
      <w:r w:rsidR="00EE2DFF">
        <w:t xml:space="preserve">to submit </w:t>
      </w:r>
      <w:r w:rsidRPr="00ED4771" w:rsidR="0052711B">
        <w:t xml:space="preserve">a quadrennial report to Congress </w:t>
      </w:r>
      <w:r w:rsidR="006E6F28">
        <w:t xml:space="preserve">on </w:t>
      </w:r>
      <w:r w:rsidR="00ED4771">
        <w:t>t</w:t>
      </w:r>
      <w:r w:rsidRPr="00ED4771" w:rsidR="00ED4771">
        <w:t>he progress that states, tribes, territories, EPA, and other federal agencies have made on implementing the BEACH Act, as required in 33 U.S.C. 1375a</w:t>
      </w:r>
      <w:r>
        <w:t xml:space="preserve">. State, tribal, territorial, and local environmental and public health agencies will use the data as an indicator of program performance, and the public will use the data to make informed decisions </w:t>
      </w:r>
      <w:r w:rsidR="00F644C5">
        <w:t xml:space="preserve">about </w:t>
      </w:r>
      <w:r w:rsidR="00327E06">
        <w:t xml:space="preserve">participating in </w:t>
      </w:r>
      <w:r w:rsidR="00FC14EE">
        <w:t>water recreation activities at</w:t>
      </w:r>
      <w:r>
        <w:t xml:space="preserve"> the beach</w:t>
      </w:r>
      <w:r w:rsidR="00FC14EE">
        <w:t>.</w:t>
      </w:r>
    </w:p>
    <w:p w:rsidR="00DA31DD" w:rsidP="00DA31DD" w14:paraId="2706E56C" w14:textId="77777777">
      <w:pPr>
        <w:pStyle w:val="Heading1"/>
      </w:pPr>
      <w:bookmarkStart w:id="27" w:name="_1__7_"/>
      <w:bookmarkStart w:id="28" w:name="_Toc296531016"/>
      <w:bookmarkStart w:id="29" w:name="_Toc431211659"/>
      <w:bookmarkStart w:id="30" w:name="_Toc105018591"/>
      <w:bookmarkEnd w:id="27"/>
      <w:r>
        <w:t>3.</w:t>
      </w:r>
      <w:r>
        <w:tab/>
        <w:t>Non-duplication, Consultations, and Other Collection Criteria</w:t>
      </w:r>
      <w:bookmarkEnd w:id="28"/>
      <w:bookmarkEnd w:id="29"/>
      <w:bookmarkEnd w:id="30"/>
    </w:p>
    <w:p w:rsidR="00DA31DD" w:rsidP="00DA31DD" w14:paraId="4E9C2219" w14:textId="77777777">
      <w:pPr>
        <w:pStyle w:val="Heading2"/>
      </w:pPr>
      <w:bookmarkStart w:id="31" w:name="_1__8_"/>
      <w:bookmarkStart w:id="32" w:name="_Toc296531017"/>
      <w:bookmarkStart w:id="33" w:name="_Toc431211660"/>
      <w:bookmarkStart w:id="34" w:name="_Toc105018592"/>
      <w:bookmarkEnd w:id="31"/>
      <w:r>
        <w:t>3(a)</w:t>
      </w:r>
      <w:r>
        <w:tab/>
        <w:t>Non-duplication</w:t>
      </w:r>
      <w:bookmarkEnd w:id="32"/>
      <w:bookmarkEnd w:id="33"/>
      <w:bookmarkEnd w:id="34"/>
    </w:p>
    <w:p w:rsidR="00DA31DD" w:rsidP="00FF23E9" w14:paraId="56D4E5F5" w14:textId="1997D06C">
      <w:pPr>
        <w:pStyle w:val="Bullet-last"/>
        <w:rPr>
          <w:b/>
          <w:bCs/>
        </w:rPr>
      </w:pPr>
      <w:r w:rsidRPr="00B7618A">
        <w:t xml:space="preserve">The information collection requirements </w:t>
      </w:r>
      <w:r>
        <w:t>described</w:t>
      </w:r>
      <w:r w:rsidRPr="00B7618A">
        <w:t xml:space="preserve"> in this ICR do not duplicate the information collection requirements </w:t>
      </w:r>
      <w:r>
        <w:t>described</w:t>
      </w:r>
      <w:r w:rsidRPr="00B7618A">
        <w:t xml:space="preserve"> in other </w:t>
      </w:r>
      <w:r>
        <w:t xml:space="preserve">EPA </w:t>
      </w:r>
      <w:r w:rsidRPr="00B7618A">
        <w:t>ICRs.</w:t>
      </w:r>
      <w:r w:rsidR="00CA6AD3">
        <w:t xml:space="preserve"> </w:t>
      </w:r>
      <w:r>
        <w:t xml:space="preserve">The information </w:t>
      </w:r>
      <w:r w:rsidR="00B40CAD">
        <w:t xml:space="preserve">documenting that a jurisdiction is meeting the performance criteria and the conditions under the BEACH Act </w:t>
      </w:r>
      <w:r>
        <w:t>is required for receipt of a BEACH Act grant and is not available from other sources.</w:t>
      </w:r>
      <w:r w:rsidR="00B40CAD">
        <w:t xml:space="preserve"> In addition, BEACH Act </w:t>
      </w:r>
      <w:r w:rsidR="00CF2009">
        <w:t>g</w:t>
      </w:r>
      <w:r w:rsidR="0058544D">
        <w:t>rant</w:t>
      </w:r>
      <w:r w:rsidR="00B40CAD">
        <w:t xml:space="preserve"> recipients are required to submit </w:t>
      </w:r>
      <w:r w:rsidR="009D025E">
        <w:t>water quality</w:t>
      </w:r>
      <w:r w:rsidR="002D5E51">
        <w:t xml:space="preserve"> </w:t>
      </w:r>
      <w:r w:rsidR="00CA6AD3">
        <w:t xml:space="preserve">monitoring data and information on notification actions. </w:t>
      </w:r>
      <w:r w:rsidR="00B63A18">
        <w:t>EPA</w:t>
      </w:r>
      <w:r w:rsidR="0032640A">
        <w:t>’s</w:t>
      </w:r>
      <w:r w:rsidR="005021B5">
        <w:t xml:space="preserve"> </w:t>
      </w:r>
      <w:r w:rsidR="003A26C0">
        <w:t xml:space="preserve">data systems </w:t>
      </w:r>
      <w:r w:rsidR="0099549D">
        <w:t xml:space="preserve">are designed </w:t>
      </w:r>
      <w:r w:rsidR="00613C29">
        <w:t>for</w:t>
      </w:r>
      <w:r w:rsidR="007F1F73">
        <w:t xml:space="preserve"> jurisdictions</w:t>
      </w:r>
      <w:r w:rsidR="00E7670C">
        <w:t xml:space="preserve"> </w:t>
      </w:r>
      <w:r w:rsidR="003A26C0">
        <w:t xml:space="preserve">to </w:t>
      </w:r>
      <w:r w:rsidR="00E7670C">
        <w:t>upload</w:t>
      </w:r>
      <w:r w:rsidR="00E11F24">
        <w:t xml:space="preserve"> data directly from thei</w:t>
      </w:r>
      <w:r w:rsidR="00230DD5">
        <w:t>r own</w:t>
      </w:r>
      <w:r w:rsidR="006C560B">
        <w:t xml:space="preserve"> data systems</w:t>
      </w:r>
      <w:r w:rsidR="000A316F">
        <w:t>; this reduces duplication.</w:t>
      </w:r>
    </w:p>
    <w:p w:rsidR="00DA31DD" w:rsidP="00DA31DD" w14:paraId="4086CFC8" w14:textId="77777777">
      <w:pPr>
        <w:pStyle w:val="Heading2"/>
      </w:pPr>
      <w:bookmarkStart w:id="35" w:name="_1__9_"/>
      <w:bookmarkStart w:id="36" w:name="_Toc296531019"/>
      <w:bookmarkStart w:id="37" w:name="_Toc431211661"/>
      <w:bookmarkStart w:id="38" w:name="_Toc105018593"/>
      <w:bookmarkEnd w:id="35"/>
      <w:r>
        <w:t>3(b)</w:t>
      </w:r>
      <w:r>
        <w:tab/>
        <w:t>Public Notice Required Prior to ICR Submission to OMB</w:t>
      </w:r>
      <w:bookmarkEnd w:id="36"/>
      <w:bookmarkEnd w:id="37"/>
      <w:bookmarkEnd w:id="38"/>
    </w:p>
    <w:p w:rsidR="0011531D" w:rsidRPr="009C17EC" w:rsidP="007F15E7" w14:paraId="3B0E40A8" w14:textId="45E48BFA">
      <w:pPr>
        <w:spacing w:after="200"/>
        <w:rPr>
          <w:sz w:val="24"/>
          <w:szCs w:val="24"/>
        </w:rPr>
      </w:pPr>
      <w:r w:rsidRPr="0011531D">
        <w:rPr>
          <w:sz w:val="24"/>
          <w:szCs w:val="24"/>
        </w:rPr>
        <w:t>The EPA published</w:t>
      </w:r>
      <w:r>
        <w:rPr>
          <w:sz w:val="24"/>
          <w:szCs w:val="24"/>
        </w:rPr>
        <w:t xml:space="preserve"> </w:t>
      </w:r>
      <w:r w:rsidRPr="0011531D">
        <w:rPr>
          <w:sz w:val="24"/>
          <w:szCs w:val="24"/>
        </w:rPr>
        <w:t xml:space="preserve">a </w:t>
      </w:r>
      <w:r w:rsidRPr="005643EB">
        <w:rPr>
          <w:i/>
          <w:iCs/>
          <w:sz w:val="24"/>
          <w:szCs w:val="24"/>
        </w:rPr>
        <w:t>Federal Register</w:t>
      </w:r>
      <w:r>
        <w:rPr>
          <w:sz w:val="24"/>
          <w:szCs w:val="24"/>
        </w:rPr>
        <w:t xml:space="preserve"> </w:t>
      </w:r>
      <w:r w:rsidRPr="0011531D">
        <w:rPr>
          <w:sz w:val="24"/>
          <w:szCs w:val="24"/>
        </w:rPr>
        <w:t>notice (</w:t>
      </w:r>
      <w:r>
        <w:rPr>
          <w:sz w:val="24"/>
          <w:szCs w:val="24"/>
        </w:rPr>
        <w:t>July 11, 2022</w:t>
      </w:r>
      <w:r w:rsidRPr="0011531D">
        <w:rPr>
          <w:sz w:val="24"/>
          <w:szCs w:val="24"/>
        </w:rPr>
        <w:t xml:space="preserve">, </w:t>
      </w:r>
      <w:r w:rsidRPr="005643EB">
        <w:rPr>
          <w:sz w:val="24"/>
          <w:szCs w:val="24"/>
        </w:rPr>
        <w:t>87 FR 41124</w:t>
      </w:r>
      <w:r w:rsidRPr="0011531D">
        <w:rPr>
          <w:sz w:val="24"/>
          <w:szCs w:val="24"/>
        </w:rPr>
        <w:t>)</w:t>
      </w:r>
      <w:r>
        <w:rPr>
          <w:sz w:val="24"/>
          <w:szCs w:val="24"/>
        </w:rPr>
        <w:t xml:space="preserve"> </w:t>
      </w:r>
      <w:r w:rsidRPr="0011531D">
        <w:rPr>
          <w:sz w:val="24"/>
          <w:szCs w:val="24"/>
        </w:rPr>
        <w:t>soliciting</w:t>
      </w:r>
      <w:r>
        <w:rPr>
          <w:sz w:val="24"/>
          <w:szCs w:val="24"/>
        </w:rPr>
        <w:t xml:space="preserve"> </w:t>
      </w:r>
      <w:r w:rsidRPr="0011531D">
        <w:rPr>
          <w:sz w:val="24"/>
          <w:szCs w:val="24"/>
        </w:rPr>
        <w:t>public comments</w:t>
      </w:r>
      <w:r w:rsidRPr="009C17EC" w:rsidR="00E94442">
        <w:rPr>
          <w:sz w:val="24"/>
          <w:szCs w:val="24"/>
        </w:rPr>
        <w:t xml:space="preserve"> and information to enable it to (1) evaluate whether the proposed collection of information in this proposed ICR is necessary and will have practical utility; (2) evaluate the accurac</w:t>
      </w:r>
      <w:r w:rsidRPr="009C17EC" w:rsidR="00380F1E">
        <w:rPr>
          <w:sz w:val="24"/>
          <w:szCs w:val="24"/>
        </w:rPr>
        <w:t>y of the Agency’s estimate of the burden estimates and the validity of the methodology and assumptions used</w:t>
      </w:r>
      <w:r w:rsidRPr="009C17EC" w:rsidR="003A1DDE">
        <w:rPr>
          <w:sz w:val="24"/>
          <w:szCs w:val="24"/>
        </w:rPr>
        <w:t>; (3) enhance the quality, utility, and clarify the information to be collected; and (4) minimize the burden of the collection of information on those who are to respond.</w:t>
      </w:r>
      <w:r w:rsidRPr="009C17EC" w:rsidR="000E6B8F">
        <w:rPr>
          <w:sz w:val="24"/>
          <w:szCs w:val="24"/>
        </w:rPr>
        <w:t xml:space="preserve"> </w:t>
      </w:r>
      <w:r w:rsidRPr="0011531D" w:rsidR="00B46D17">
        <w:rPr>
          <w:sz w:val="24"/>
          <w:szCs w:val="24"/>
        </w:rPr>
        <w:t xml:space="preserve">The Agency received one </w:t>
      </w:r>
      <w:r w:rsidR="00CB7CA9">
        <w:rPr>
          <w:sz w:val="24"/>
          <w:szCs w:val="24"/>
        </w:rPr>
        <w:t xml:space="preserve">comment and it was </w:t>
      </w:r>
      <w:r w:rsidR="00B46D17">
        <w:rPr>
          <w:sz w:val="24"/>
          <w:szCs w:val="24"/>
        </w:rPr>
        <w:t xml:space="preserve">supportive </w:t>
      </w:r>
      <w:r w:rsidR="00CB7CA9">
        <w:rPr>
          <w:sz w:val="24"/>
          <w:szCs w:val="24"/>
        </w:rPr>
        <w:t>of the proposed ICR. The</w:t>
      </w:r>
      <w:r w:rsidRPr="0011531D" w:rsidR="00B46D17">
        <w:rPr>
          <w:sz w:val="24"/>
          <w:szCs w:val="24"/>
        </w:rPr>
        <w:t xml:space="preserve"> burden estimate </w:t>
      </w:r>
      <w:r w:rsidR="00B46D17">
        <w:rPr>
          <w:sz w:val="24"/>
          <w:szCs w:val="24"/>
        </w:rPr>
        <w:t xml:space="preserve">did not change as a result of that comment. </w:t>
      </w:r>
      <w:r w:rsidRPr="009C17EC" w:rsidR="000E6B8F">
        <w:rPr>
          <w:sz w:val="24"/>
          <w:szCs w:val="24"/>
        </w:rPr>
        <w:t>See section 6(g) for instructions on providing comments on this ICR.</w:t>
      </w:r>
    </w:p>
    <w:p w:rsidR="00DA31DD" w:rsidP="00DA31DD" w14:paraId="1553E6DA" w14:textId="71A605DA">
      <w:pPr>
        <w:pStyle w:val="Heading2"/>
      </w:pPr>
      <w:bookmarkStart w:id="39" w:name="_1__10_"/>
      <w:bookmarkStart w:id="40" w:name="_Toc296531020"/>
      <w:bookmarkStart w:id="41" w:name="_Toc431211662"/>
      <w:bookmarkStart w:id="42" w:name="_Toc105018594"/>
      <w:bookmarkEnd w:id="39"/>
      <w:r>
        <w:t>3(c)</w:t>
      </w:r>
      <w:r>
        <w:tab/>
        <w:t>Consultations</w:t>
      </w:r>
      <w:bookmarkEnd w:id="40"/>
      <w:bookmarkEnd w:id="41"/>
      <w:bookmarkEnd w:id="42"/>
    </w:p>
    <w:p w:rsidR="00DA31DD" w:rsidP="00DA31DD" w14:paraId="4ECC003A" w14:textId="51CC38D2">
      <w:pPr>
        <w:pStyle w:val="Bullet-last"/>
      </w:pPr>
      <w:r>
        <w:t xml:space="preserve">For this ICR renewal, </w:t>
      </w:r>
      <w:r w:rsidRPr="00D55B2E">
        <w:t xml:space="preserve">EPA reached out to </w:t>
      </w:r>
      <w:r w:rsidR="007B0BA4">
        <w:t>seven</w:t>
      </w:r>
      <w:r w:rsidRPr="00D55B2E">
        <w:t xml:space="preserve"> states </w:t>
      </w:r>
      <w:r w:rsidR="00DA5626">
        <w:t xml:space="preserve">(Florida, </w:t>
      </w:r>
      <w:r w:rsidR="00114834">
        <w:t xml:space="preserve">Hawaii, </w:t>
      </w:r>
      <w:r w:rsidR="00DA5626">
        <w:t xml:space="preserve">Maine, Rhode Island, Texas, Washington, and Wisconsin) </w:t>
      </w:r>
      <w:r w:rsidR="009C17EC">
        <w:t xml:space="preserve">and one tribe </w:t>
      </w:r>
      <w:r w:rsidR="00114834">
        <w:t xml:space="preserve">(Swinomish Indian Tribal Community) </w:t>
      </w:r>
      <w:r w:rsidRPr="00D55B2E">
        <w:t xml:space="preserve">for consultation on the burden associated with the </w:t>
      </w:r>
      <w:r>
        <w:t xml:space="preserve">providing the required information to EPA under the </w:t>
      </w:r>
      <w:r w:rsidRPr="00D55B2E">
        <w:t>BEACH Act</w:t>
      </w:r>
      <w:r>
        <w:t>.</w:t>
      </w:r>
      <w:r w:rsidRPr="00585A5D">
        <w:t xml:space="preserve"> </w:t>
      </w:r>
      <w:r>
        <w:t xml:space="preserve">All </w:t>
      </w:r>
      <w:r w:rsidR="006B59F8">
        <w:t>jurisdictions</w:t>
      </w:r>
      <w:r w:rsidRPr="00585A5D">
        <w:t xml:space="preserve"> </w:t>
      </w:r>
      <w:r>
        <w:t>who responded</w:t>
      </w:r>
      <w:r w:rsidRPr="00585A5D">
        <w:t xml:space="preserve"> concurred that the estimates and assumption</w:t>
      </w:r>
      <w:r>
        <w:t>s</w:t>
      </w:r>
      <w:r w:rsidRPr="00585A5D">
        <w:t xml:space="preserve"> for the burden hours and costs are fairly accurate. </w:t>
      </w:r>
      <w:r w:rsidR="00FF23E9">
        <w:t xml:space="preserve">Two jurisdictions suggested </w:t>
      </w:r>
      <w:r w:rsidR="00FB3536">
        <w:t>the</w:t>
      </w:r>
      <w:r w:rsidR="00FF23E9">
        <w:t xml:space="preserve"> cost to analyze each sample was too low, and one jurisdiction</w:t>
      </w:r>
      <w:r w:rsidR="0062240C">
        <w:t xml:space="preserve"> offered suggestions for increasing the managerial hours for </w:t>
      </w:r>
      <w:r w:rsidR="006F484E">
        <w:t xml:space="preserve">grant recipients whose beach programs </w:t>
      </w:r>
      <w:r w:rsidR="00CA6AD3">
        <w:t>are</w:t>
      </w:r>
      <w:r w:rsidR="006F484E">
        <w:t xml:space="preserve"> in the developmental stage; such suggestions </w:t>
      </w:r>
      <w:r w:rsidR="0062240C">
        <w:t>were incorporated.</w:t>
      </w:r>
      <w:r w:rsidR="00715184">
        <w:t xml:space="preserve"> One jurisdictio</w:t>
      </w:r>
      <w:r w:rsidR="00E547A5">
        <w:t xml:space="preserve">n stated the data submission burden estimates </w:t>
      </w:r>
      <w:r w:rsidR="007F15E7">
        <w:t xml:space="preserve">for programs in the implementation stage </w:t>
      </w:r>
      <w:r w:rsidR="00E547A5">
        <w:t xml:space="preserve">were too high unless there were </w:t>
      </w:r>
      <w:r w:rsidR="000F7480">
        <w:t xml:space="preserve">technical </w:t>
      </w:r>
      <w:r w:rsidR="00E547A5">
        <w:t>issues</w:t>
      </w:r>
      <w:r w:rsidR="000F7480">
        <w:t xml:space="preserve"> when submitting data</w:t>
      </w:r>
      <w:r w:rsidR="001132DE">
        <w:t>; that estimate was not changed</w:t>
      </w:r>
      <w:r w:rsidR="000F7480">
        <w:t xml:space="preserve"> to not underestimate the burden when those circumstances occur</w:t>
      </w:r>
      <w:r w:rsidR="001132DE">
        <w:t>.</w:t>
      </w:r>
    </w:p>
    <w:p w:rsidR="00DA31DD" w:rsidP="00DA31DD" w14:paraId="03319268" w14:textId="77777777">
      <w:pPr>
        <w:pStyle w:val="Heading2"/>
      </w:pPr>
      <w:bookmarkStart w:id="43" w:name="_1__11_"/>
      <w:bookmarkStart w:id="44" w:name="_Toc296531021"/>
      <w:bookmarkStart w:id="45" w:name="_Toc431211663"/>
      <w:bookmarkStart w:id="46" w:name="_Toc105018595"/>
      <w:bookmarkEnd w:id="43"/>
      <w:r>
        <w:t>3(d)</w:t>
      </w:r>
      <w:r>
        <w:tab/>
        <w:t>Effects of Less Frequent Collection</w:t>
      </w:r>
      <w:bookmarkEnd w:id="44"/>
      <w:bookmarkEnd w:id="45"/>
      <w:bookmarkEnd w:id="46"/>
    </w:p>
    <w:p w:rsidR="00DA31DD" w:rsidP="00DA31DD" w14:paraId="1FCA5163" w14:textId="5F1846FE">
      <w:pPr>
        <w:pStyle w:val="Bullet-last"/>
        <w:rPr>
          <w:b/>
          <w:bCs/>
        </w:rPr>
      </w:pPr>
      <w:r w:rsidRPr="007F7475">
        <w:t xml:space="preserve">The requirement for a </w:t>
      </w:r>
      <w:r>
        <w:t>jurisdiction</w:t>
      </w:r>
      <w:r w:rsidRPr="007F7475">
        <w:t xml:space="preserve"> </w:t>
      </w:r>
      <w:r w:rsidR="0082467E">
        <w:t xml:space="preserve">receiving a </w:t>
      </w:r>
      <w:r w:rsidR="006F484E">
        <w:t xml:space="preserve">BEACH Act </w:t>
      </w:r>
      <w:r w:rsidR="0082467E">
        <w:t xml:space="preserve">grant </w:t>
      </w:r>
      <w:r w:rsidRPr="007F7475">
        <w:t>to submit its monitoring and notification data is a statutory requirement under the BEACH Act</w:t>
      </w:r>
      <w:r>
        <w:t>.</w:t>
      </w:r>
      <w:r w:rsidRPr="007F7475">
        <w:t xml:space="preserve"> The frequency and format of submittal</w:t>
      </w:r>
      <w:r w:rsidR="002A435D">
        <w:t>s</w:t>
      </w:r>
      <w:r w:rsidRPr="007F7475">
        <w:t xml:space="preserve"> is at the Administrator</w:t>
      </w:r>
      <w:r>
        <w:t>’</w:t>
      </w:r>
      <w:r w:rsidRPr="007F7475">
        <w:t xml:space="preserve">s discretion </w:t>
      </w:r>
      <w:r>
        <w:t>[</w:t>
      </w:r>
      <w:r w:rsidRPr="007F7475">
        <w:t>see CWA sec</w:t>
      </w:r>
      <w:r>
        <w:t>tion</w:t>
      </w:r>
      <w:r w:rsidRPr="007F7475">
        <w:t xml:space="preserve"> 406(b)(B)(3)</w:t>
      </w:r>
      <w:r>
        <w:t xml:space="preserve">]. </w:t>
      </w:r>
      <w:r w:rsidRPr="007F7475">
        <w:t xml:space="preserve">Since 2003, </w:t>
      </w:r>
      <w:r w:rsidR="00EC2C03">
        <w:t>EPA</w:t>
      </w:r>
      <w:r w:rsidRPr="007F7475">
        <w:t xml:space="preserve"> has required </w:t>
      </w:r>
      <w:r>
        <w:t>jurisdictions</w:t>
      </w:r>
      <w:r w:rsidRPr="007F7475">
        <w:t xml:space="preserve"> to submit their monitoring and notification data annually</w:t>
      </w:r>
      <w:r>
        <w:t xml:space="preserve">. </w:t>
      </w:r>
      <w:r w:rsidR="00BF0193">
        <w:t>T</w:t>
      </w:r>
      <w:r w:rsidRPr="007F7475">
        <w:t xml:space="preserve">o provide more up-to-date information to the public on the </w:t>
      </w:r>
      <w:r>
        <w:t>status</w:t>
      </w:r>
      <w:r w:rsidRPr="007F7475">
        <w:t xml:space="preserve"> of their beaches, </w:t>
      </w:r>
      <w:r w:rsidR="00BF0193">
        <w:t>EPA</w:t>
      </w:r>
      <w:r w:rsidRPr="007F7475">
        <w:t xml:space="preserve"> </w:t>
      </w:r>
      <w:r>
        <w:t>encourag</w:t>
      </w:r>
      <w:r w:rsidR="00BF0193">
        <w:t>es</w:t>
      </w:r>
      <w:r w:rsidRPr="007F7475">
        <w:t xml:space="preserve"> more frequent reporting</w:t>
      </w:r>
      <w:r w:rsidR="00BF0193">
        <w:t>; however</w:t>
      </w:r>
      <w:r w:rsidR="00FB3536">
        <w:t>,</w:t>
      </w:r>
      <w:r>
        <w:t xml:space="preserve"> </w:t>
      </w:r>
      <w:r w:rsidR="00BF0193">
        <w:t>t</w:t>
      </w:r>
      <w:r w:rsidRPr="007F7475">
        <w:t xml:space="preserve">he Agency continues to </w:t>
      </w:r>
      <w:r w:rsidR="00283047">
        <w:t>require</w:t>
      </w:r>
      <w:r w:rsidRPr="007F7475" w:rsidR="00283047">
        <w:t xml:space="preserve"> </w:t>
      </w:r>
      <w:r w:rsidR="00BF0193">
        <w:t>data submissions</w:t>
      </w:r>
      <w:r w:rsidRPr="007F7475">
        <w:t xml:space="preserve"> annually.</w:t>
      </w:r>
    </w:p>
    <w:p w:rsidR="00DA31DD" w:rsidP="00DA31DD" w14:paraId="2FA0FFE3" w14:textId="77777777">
      <w:pPr>
        <w:pStyle w:val="Heading2"/>
      </w:pPr>
      <w:bookmarkStart w:id="47" w:name="_1__12_"/>
      <w:bookmarkStart w:id="48" w:name="_Toc296531022"/>
      <w:bookmarkStart w:id="49" w:name="_Toc431211664"/>
      <w:bookmarkStart w:id="50" w:name="_Toc105018596"/>
      <w:bookmarkEnd w:id="47"/>
      <w:r>
        <w:t>3(e)</w:t>
      </w:r>
      <w:r>
        <w:tab/>
        <w:t>General Guidelines</w:t>
      </w:r>
      <w:bookmarkEnd w:id="48"/>
      <w:bookmarkEnd w:id="49"/>
      <w:bookmarkEnd w:id="50"/>
      <w:r>
        <w:t xml:space="preserve"> </w:t>
      </w:r>
    </w:p>
    <w:p w:rsidR="00DA31DD" w:rsidP="00DA31DD" w14:paraId="4E85656E" w14:textId="789006D6">
      <w:pPr>
        <w:pStyle w:val="Bullet-last"/>
      </w:pPr>
      <w:r>
        <w:t xml:space="preserve">The BEACH Act </w:t>
      </w:r>
      <w:r w:rsidR="00486DE3">
        <w:t>G</w:t>
      </w:r>
      <w:r>
        <w:t xml:space="preserve">rant </w:t>
      </w:r>
      <w:r w:rsidR="00486DE3">
        <w:t>P</w:t>
      </w:r>
      <w:r>
        <w:t xml:space="preserve">rogram will be conducted in accordance with the Paperwork Reduction Act [Title 5 of the </w:t>
      </w:r>
      <w:r w:rsidRPr="006F283A">
        <w:rPr>
          <w:i/>
        </w:rPr>
        <w:t>Code of Federal Regulations</w:t>
      </w:r>
      <w:r>
        <w:t xml:space="preserve"> (CFR) section 1320.5(d)(2)] and will adhere to OMB’s general guidelines for information collections.</w:t>
      </w:r>
    </w:p>
    <w:p w:rsidR="00DA31DD" w:rsidP="00DA31DD" w14:paraId="6E910F1D" w14:textId="77777777">
      <w:pPr>
        <w:pStyle w:val="Heading2"/>
      </w:pPr>
      <w:bookmarkStart w:id="51" w:name="_1__13_"/>
      <w:bookmarkStart w:id="52" w:name="_Toc296531023"/>
      <w:bookmarkStart w:id="53" w:name="_Toc431211665"/>
      <w:bookmarkStart w:id="54" w:name="_Toc105018597"/>
      <w:bookmarkEnd w:id="51"/>
      <w:r>
        <w:t>3(f)</w:t>
      </w:r>
      <w:r>
        <w:tab/>
        <w:t>Confidentiality</w:t>
      </w:r>
      <w:bookmarkEnd w:id="52"/>
      <w:bookmarkEnd w:id="53"/>
      <w:bookmarkEnd w:id="54"/>
      <w:r>
        <w:t xml:space="preserve"> </w:t>
      </w:r>
    </w:p>
    <w:p w:rsidR="00DA31DD" w:rsidP="00DA31DD" w14:paraId="4DFDC9CA" w14:textId="77777777">
      <w:pPr>
        <w:pStyle w:val="Bullet-last"/>
      </w:pPr>
      <w:r>
        <w:t>Measures to ensure the confidentiality of the collected beach monitoring and notification data are not necessary because the information submitted by the respondents is public information.</w:t>
      </w:r>
    </w:p>
    <w:p w:rsidR="00DA31DD" w:rsidP="00DA31DD" w14:paraId="1C3326C6" w14:textId="77777777">
      <w:pPr>
        <w:pStyle w:val="Heading2"/>
      </w:pPr>
      <w:bookmarkStart w:id="55" w:name="_1__14_"/>
      <w:bookmarkStart w:id="56" w:name="_Toc296531024"/>
      <w:bookmarkStart w:id="57" w:name="_Toc431211666"/>
      <w:bookmarkStart w:id="58" w:name="_Toc105018598"/>
      <w:bookmarkEnd w:id="55"/>
      <w:r>
        <w:t>3(g)</w:t>
      </w:r>
      <w:r>
        <w:tab/>
        <w:t>Sensitive Questions</w:t>
      </w:r>
      <w:bookmarkEnd w:id="56"/>
      <w:bookmarkEnd w:id="57"/>
      <w:bookmarkEnd w:id="58"/>
      <w:r>
        <w:t xml:space="preserve"> </w:t>
      </w:r>
    </w:p>
    <w:p w:rsidR="00DA31DD" w:rsidP="00DA31DD" w14:paraId="71632BFB" w14:textId="77777777">
      <w:pPr>
        <w:pStyle w:val="Bullet-last"/>
      </w:pPr>
      <w:r>
        <w:t>No information of sensitive nature will be collected as a result of this ICR.</w:t>
      </w:r>
    </w:p>
    <w:p w:rsidR="00DA31DD" w:rsidP="00DA31DD" w14:paraId="049B22EA" w14:textId="77777777">
      <w:pPr>
        <w:pStyle w:val="Heading1"/>
      </w:pPr>
      <w:bookmarkStart w:id="59" w:name="_1__15_"/>
      <w:bookmarkStart w:id="60" w:name="_Toc296531025"/>
      <w:bookmarkStart w:id="61" w:name="_Toc431211667"/>
      <w:bookmarkStart w:id="62" w:name="_Toc105018599"/>
      <w:bookmarkEnd w:id="59"/>
      <w:r>
        <w:t>4.</w:t>
      </w:r>
      <w:r>
        <w:tab/>
        <w:t>The Respondents and the Information Requested</w:t>
      </w:r>
      <w:bookmarkEnd w:id="60"/>
      <w:bookmarkEnd w:id="61"/>
      <w:bookmarkEnd w:id="62"/>
    </w:p>
    <w:p w:rsidR="00DA31DD" w:rsidP="00DA31DD" w14:paraId="4E971FAF" w14:textId="77777777">
      <w:pPr>
        <w:pStyle w:val="Heading2"/>
      </w:pPr>
      <w:bookmarkStart w:id="63" w:name="_1__16_"/>
      <w:bookmarkStart w:id="64" w:name="_Toc296531026"/>
      <w:bookmarkStart w:id="65" w:name="_Toc431211668"/>
      <w:bookmarkStart w:id="66" w:name="_Toc105018600"/>
      <w:bookmarkEnd w:id="63"/>
      <w:r>
        <w:t>4(a)</w:t>
      </w:r>
      <w:r>
        <w:tab/>
        <w:t>Respondents</w:t>
      </w:r>
      <w:bookmarkEnd w:id="64"/>
      <w:bookmarkEnd w:id="65"/>
      <w:bookmarkEnd w:id="66"/>
      <w:r>
        <w:t xml:space="preserve"> </w:t>
      </w:r>
    </w:p>
    <w:p w:rsidR="00296DE8" w:rsidP="00774DCB" w14:paraId="5EF89A35" w14:textId="2BB3A440">
      <w:pPr>
        <w:spacing w:after="200"/>
        <w:rPr>
          <w:sz w:val="24"/>
          <w:szCs w:val="24"/>
        </w:rPr>
      </w:pPr>
      <w:r w:rsidRPr="63C91AEF">
        <w:rPr>
          <w:sz w:val="24"/>
          <w:szCs w:val="24"/>
        </w:rPr>
        <w:t xml:space="preserve">As of </w:t>
      </w:r>
      <w:r w:rsidRPr="00B46D17" w:rsidR="2EC15648">
        <w:rPr>
          <w:sz w:val="24"/>
          <w:szCs w:val="24"/>
        </w:rPr>
        <w:t>the posting of this document</w:t>
      </w:r>
      <w:r w:rsidRPr="63C91AEF">
        <w:rPr>
          <w:sz w:val="24"/>
          <w:szCs w:val="24"/>
        </w:rPr>
        <w:t>, t</w:t>
      </w:r>
      <w:r w:rsidRPr="63C91AEF" w:rsidR="00382C37">
        <w:rPr>
          <w:sz w:val="24"/>
          <w:szCs w:val="24"/>
        </w:rPr>
        <w:t>here are 30 states and five</w:t>
      </w:r>
      <w:r w:rsidRPr="63C91AEF" w:rsidR="4B00C6FC">
        <w:rPr>
          <w:sz w:val="24"/>
          <w:szCs w:val="24"/>
        </w:rPr>
        <w:t xml:space="preserve"> </w:t>
      </w:r>
      <w:r w:rsidRPr="63C91AEF" w:rsidR="00FB3536">
        <w:rPr>
          <w:sz w:val="24"/>
          <w:szCs w:val="24"/>
        </w:rPr>
        <w:t>U.S.</w:t>
      </w:r>
      <w:r w:rsidRPr="63C91AEF" w:rsidR="00382C37">
        <w:rPr>
          <w:sz w:val="24"/>
          <w:szCs w:val="24"/>
        </w:rPr>
        <w:t xml:space="preserve"> territories with </w:t>
      </w:r>
      <w:r w:rsidRPr="63C91AEF" w:rsidR="00336F77">
        <w:rPr>
          <w:sz w:val="24"/>
          <w:szCs w:val="24"/>
        </w:rPr>
        <w:t xml:space="preserve">marine </w:t>
      </w:r>
      <w:r w:rsidRPr="63C91AEF" w:rsidR="00382C37">
        <w:rPr>
          <w:sz w:val="24"/>
          <w:szCs w:val="24"/>
        </w:rPr>
        <w:t xml:space="preserve">coastal </w:t>
      </w:r>
      <w:r w:rsidRPr="63C91AEF" w:rsidR="00336F77">
        <w:rPr>
          <w:sz w:val="24"/>
          <w:szCs w:val="24"/>
        </w:rPr>
        <w:t>or Great Lakes</w:t>
      </w:r>
      <w:r w:rsidRPr="63C91AEF" w:rsidR="00382C37">
        <w:rPr>
          <w:sz w:val="24"/>
          <w:szCs w:val="24"/>
        </w:rPr>
        <w:t xml:space="preserve"> recreational waters</w:t>
      </w:r>
      <w:r w:rsidRPr="63C91AEF" w:rsidR="00BE36E3">
        <w:rPr>
          <w:sz w:val="24"/>
          <w:szCs w:val="24"/>
        </w:rPr>
        <w:t xml:space="preserve"> who receive BEACH Act grants and thus </w:t>
      </w:r>
      <w:r w:rsidRPr="63C91AEF">
        <w:rPr>
          <w:sz w:val="24"/>
          <w:szCs w:val="24"/>
        </w:rPr>
        <w:t xml:space="preserve">are </w:t>
      </w:r>
      <w:r w:rsidRPr="63C91AEF" w:rsidR="00BE36E3">
        <w:rPr>
          <w:sz w:val="24"/>
          <w:szCs w:val="24"/>
        </w:rPr>
        <w:t>required to submit</w:t>
      </w:r>
      <w:r w:rsidRPr="63C91AEF" w:rsidR="00191B65">
        <w:rPr>
          <w:sz w:val="24"/>
          <w:szCs w:val="24"/>
        </w:rPr>
        <w:t xml:space="preserve"> </w:t>
      </w:r>
      <w:r w:rsidRPr="63C91AEF" w:rsidR="00CA6AD3">
        <w:rPr>
          <w:sz w:val="24"/>
          <w:szCs w:val="24"/>
        </w:rPr>
        <w:t>to EPA information on meeting the BEACH Act performance criteria</w:t>
      </w:r>
      <w:r w:rsidRPr="63C91AEF" w:rsidR="00CF2D0A">
        <w:rPr>
          <w:sz w:val="24"/>
          <w:szCs w:val="24"/>
        </w:rPr>
        <w:t>,</w:t>
      </w:r>
      <w:r w:rsidRPr="63C91AEF" w:rsidR="00CA6AD3">
        <w:rPr>
          <w:sz w:val="24"/>
          <w:szCs w:val="24"/>
        </w:rPr>
        <w:t xml:space="preserve"> </w:t>
      </w:r>
      <w:r w:rsidRPr="63C91AEF">
        <w:rPr>
          <w:sz w:val="24"/>
          <w:szCs w:val="24"/>
        </w:rPr>
        <w:t>water quality monitoring data</w:t>
      </w:r>
      <w:r w:rsidRPr="63C91AEF" w:rsidR="00CF2D0A">
        <w:rPr>
          <w:sz w:val="24"/>
          <w:szCs w:val="24"/>
        </w:rPr>
        <w:t>,</w:t>
      </w:r>
      <w:r w:rsidRPr="63C91AEF">
        <w:rPr>
          <w:sz w:val="24"/>
          <w:szCs w:val="24"/>
        </w:rPr>
        <w:t xml:space="preserve"> and information on public notification actions</w:t>
      </w:r>
      <w:r w:rsidRPr="63C91AEF" w:rsidR="00382C37">
        <w:rPr>
          <w:sz w:val="24"/>
          <w:szCs w:val="24"/>
        </w:rPr>
        <w:t xml:space="preserve">. </w:t>
      </w:r>
      <w:r w:rsidRPr="63C91AEF" w:rsidR="00FE1BA1">
        <w:rPr>
          <w:sz w:val="24"/>
          <w:szCs w:val="24"/>
        </w:rPr>
        <w:t xml:space="preserve">The coastal marine states and territories are </w:t>
      </w:r>
      <w:r w:rsidRPr="63C91AEF" w:rsidR="00001FF1">
        <w:rPr>
          <w:sz w:val="24"/>
          <w:szCs w:val="24"/>
        </w:rPr>
        <w:t xml:space="preserve">Alabama, Alaska, American Samoa, California, Connecticut, Delaware, Florida, Georgia, Guam, Hawaii, Louisiana, Maine, Maryland, Massachusetts, Mississippi, New </w:t>
      </w:r>
      <w:r w:rsidRPr="63C91AEF" w:rsidR="00001FF1">
        <w:rPr>
          <w:sz w:val="24"/>
          <w:szCs w:val="24"/>
        </w:rPr>
        <w:t xml:space="preserve">Hampshire, New Jersey, North Carolina, </w:t>
      </w:r>
      <w:r w:rsidRPr="63C91AEF" w:rsidR="00BE36E3">
        <w:rPr>
          <w:sz w:val="24"/>
          <w:szCs w:val="24"/>
        </w:rPr>
        <w:t xml:space="preserve">Commonwealth of </w:t>
      </w:r>
      <w:r w:rsidRPr="63C91AEF" w:rsidR="00001FF1">
        <w:rPr>
          <w:sz w:val="24"/>
          <w:szCs w:val="24"/>
        </w:rPr>
        <w:t xml:space="preserve">Northern Mariana Islands, Oregon, </w:t>
      </w:r>
      <w:r w:rsidRPr="63C91AEF" w:rsidR="00BE36E3">
        <w:rPr>
          <w:sz w:val="24"/>
          <w:szCs w:val="24"/>
        </w:rPr>
        <w:t xml:space="preserve">Commonwealth of </w:t>
      </w:r>
      <w:r w:rsidRPr="63C91AEF" w:rsidR="00001FF1">
        <w:rPr>
          <w:sz w:val="24"/>
          <w:szCs w:val="24"/>
        </w:rPr>
        <w:t xml:space="preserve">Puerto Rico, Rhode Island, South Carolina, Texas, U.S. Virgin Islands, Virginia, Washington, and Wisconsin. </w:t>
      </w:r>
      <w:r w:rsidRPr="63C91AEF" w:rsidR="00382C37">
        <w:rPr>
          <w:sz w:val="24"/>
          <w:szCs w:val="24"/>
        </w:rPr>
        <w:t xml:space="preserve">The “Great Lakes states” are Illinois, Indiana, Michigan, Minnesota, New York, Ohio, Pennsylvania, and Wisconsin. </w:t>
      </w:r>
      <w:r w:rsidRPr="63C91AEF" w:rsidR="00BF0193">
        <w:rPr>
          <w:sz w:val="24"/>
          <w:szCs w:val="24"/>
        </w:rPr>
        <w:t>Pennsylvania has delegated implementation of the BEACH Act monitoring and notification program to Erie County, the only jurisdiction within the state along coastal waters.</w:t>
      </w:r>
    </w:p>
    <w:p w:rsidR="00D444AC" w:rsidP="00D444AC" w14:paraId="71BF4B5A" w14:textId="7FFE9EC3">
      <w:pPr>
        <w:spacing w:after="200"/>
        <w:rPr>
          <w:sz w:val="24"/>
          <w:szCs w:val="24"/>
        </w:rPr>
      </w:pPr>
      <w:r w:rsidRPr="003C62BB">
        <w:rPr>
          <w:sz w:val="24"/>
          <w:szCs w:val="24"/>
        </w:rPr>
        <w:t xml:space="preserve">In addition, the BEACH Act authorized eligible tribes to receive BEACH Act grants; they include tribes who have been approved to be treated in a manner similar to a state and have EPA-approved </w:t>
      </w:r>
      <w:r w:rsidR="004C7687">
        <w:rPr>
          <w:sz w:val="24"/>
          <w:szCs w:val="24"/>
        </w:rPr>
        <w:t xml:space="preserve">water quality standards </w:t>
      </w:r>
      <w:r w:rsidRPr="003C62BB">
        <w:rPr>
          <w:sz w:val="24"/>
          <w:szCs w:val="24"/>
        </w:rPr>
        <w:t>to protect recreational uses of coastal recreation waters</w:t>
      </w:r>
      <w:bookmarkStart w:id="67" w:name="_Hlk118798354"/>
      <w:r w:rsidRPr="003C62BB">
        <w:rPr>
          <w:sz w:val="24"/>
          <w:szCs w:val="24"/>
        </w:rPr>
        <w:t xml:space="preserve">. As of </w:t>
      </w:r>
      <w:r w:rsidR="00070D54">
        <w:rPr>
          <w:sz w:val="24"/>
          <w:szCs w:val="24"/>
        </w:rPr>
        <w:t xml:space="preserve">November </w:t>
      </w:r>
      <w:r w:rsidR="00BC7438">
        <w:rPr>
          <w:sz w:val="24"/>
          <w:szCs w:val="24"/>
        </w:rPr>
        <w:t>2022</w:t>
      </w:r>
      <w:r w:rsidRPr="003C62BB">
        <w:rPr>
          <w:sz w:val="24"/>
          <w:szCs w:val="24"/>
        </w:rPr>
        <w:t>, there are four tribes who receive BEACH Act grants and thus are required to submit water quality monitoring data and information on notification actions to EPA.</w:t>
      </w:r>
      <w:r>
        <w:rPr>
          <w:sz w:val="24"/>
          <w:szCs w:val="24"/>
        </w:rPr>
        <w:t xml:space="preserve"> </w:t>
      </w:r>
      <w:bookmarkEnd w:id="67"/>
      <w:r w:rsidRPr="003C62BB">
        <w:rPr>
          <w:sz w:val="24"/>
          <w:szCs w:val="24"/>
        </w:rPr>
        <w:t>Th</w:t>
      </w:r>
      <w:r>
        <w:rPr>
          <w:sz w:val="24"/>
          <w:szCs w:val="24"/>
        </w:rPr>
        <w:t>ose tribes are</w:t>
      </w:r>
      <w:r w:rsidR="00FE1BA1">
        <w:rPr>
          <w:sz w:val="24"/>
          <w:szCs w:val="24"/>
        </w:rPr>
        <w:t xml:space="preserve"> </w:t>
      </w:r>
      <w:r w:rsidRPr="00001FF1" w:rsidR="00FE1BA1">
        <w:rPr>
          <w:sz w:val="24"/>
          <w:szCs w:val="24"/>
        </w:rPr>
        <w:t>Bad River Band of the Lake Superior Tribe of Chippewa Indians, Grand Portage Band of Lake Superior Chippewa, Makah Tribe of the Makah Indian Reservation, and Swinomish Indian Tribal Community</w:t>
      </w:r>
      <w:r w:rsidRPr="00C4073D" w:rsidR="00382C37">
        <w:rPr>
          <w:sz w:val="24"/>
          <w:szCs w:val="24"/>
        </w:rPr>
        <w:t>.</w:t>
      </w:r>
      <w:r w:rsidR="0011136B">
        <w:rPr>
          <w:sz w:val="24"/>
          <w:szCs w:val="24"/>
        </w:rPr>
        <w:t xml:space="preserve"> </w:t>
      </w:r>
    </w:p>
    <w:p w:rsidR="00FE1BA1" w:rsidRPr="007B0BA4" w:rsidP="00FE1BA1" w14:paraId="6515A57A" w14:textId="1485F2C6">
      <w:pPr>
        <w:rPr>
          <w:sz w:val="24"/>
          <w:szCs w:val="24"/>
        </w:rPr>
      </w:pPr>
      <w:r>
        <w:rPr>
          <w:sz w:val="24"/>
          <w:szCs w:val="24"/>
        </w:rPr>
        <w:t xml:space="preserve">Each state, territory, or tribe is referred to as a “jurisdiction” throughout this </w:t>
      </w:r>
      <w:r w:rsidR="00191B65">
        <w:rPr>
          <w:sz w:val="24"/>
          <w:szCs w:val="24"/>
        </w:rPr>
        <w:t xml:space="preserve">ICR </w:t>
      </w:r>
      <w:r>
        <w:rPr>
          <w:sz w:val="24"/>
          <w:szCs w:val="24"/>
        </w:rPr>
        <w:t>document.</w:t>
      </w:r>
    </w:p>
    <w:p w:rsidR="00DA31DD" w:rsidP="00DA31DD" w14:paraId="2AE7A67C" w14:textId="77777777">
      <w:pPr>
        <w:pStyle w:val="Heading2"/>
      </w:pPr>
      <w:bookmarkStart w:id="68" w:name="_1__17_"/>
      <w:bookmarkStart w:id="69" w:name="_Toc296531027"/>
      <w:bookmarkStart w:id="70" w:name="_Toc431211669"/>
      <w:bookmarkStart w:id="71" w:name="_Toc105018601"/>
      <w:bookmarkEnd w:id="68"/>
      <w:r>
        <w:t>4(b)</w:t>
      </w:r>
      <w:r>
        <w:tab/>
        <w:t>Information Requested</w:t>
      </w:r>
      <w:bookmarkEnd w:id="69"/>
      <w:bookmarkEnd w:id="70"/>
      <w:bookmarkEnd w:id="71"/>
      <w:r>
        <w:t xml:space="preserve"> </w:t>
      </w:r>
    </w:p>
    <w:p w:rsidR="00DA31DD" w:rsidP="00DA31DD" w14:paraId="13EAB745" w14:textId="35F54E20">
      <w:pPr>
        <w:pStyle w:val="Bullet-last"/>
      </w:pPr>
      <w:r>
        <w:t xml:space="preserve">The EPA is requiring </w:t>
      </w:r>
      <w:r w:rsidR="00C4073D">
        <w:t>different information, depen</w:t>
      </w:r>
      <w:r w:rsidR="0011136B">
        <w:t>d</w:t>
      </w:r>
      <w:r w:rsidR="00C4073D">
        <w:t xml:space="preserve">ing on whether the </w:t>
      </w:r>
      <w:r w:rsidR="003237E1">
        <w:t xml:space="preserve">jurisdiction’s </w:t>
      </w:r>
      <w:r w:rsidR="00C4073D">
        <w:t xml:space="preserve">beach monitoring and notification program is in the developmental or implementation stage. </w:t>
      </w:r>
    </w:p>
    <w:p w:rsidR="00BC27AF" w:rsidP="0011136B" w14:paraId="41D775DF" w14:textId="3F69D240">
      <w:pPr>
        <w:pStyle w:val="Bullet-last"/>
        <w:spacing w:after="0"/>
      </w:pPr>
      <w:r>
        <w:t xml:space="preserve">For </w:t>
      </w:r>
      <w:r w:rsidR="00EC2C03">
        <w:t>EPA</w:t>
      </w:r>
      <w:r>
        <w:t xml:space="preserve"> to award a BEACH Act grant</w:t>
      </w:r>
      <w:r w:rsidR="006A60B0">
        <w:t xml:space="preserve"> to a jurisdiction whose program is in the developmental stage</w:t>
      </w:r>
      <w:r>
        <w:t xml:space="preserve">, </w:t>
      </w:r>
      <w:r w:rsidR="006A60B0">
        <w:t>that</w:t>
      </w:r>
      <w:r>
        <w:t xml:space="preserve"> jurisdiction must document that its coastal monitoring and notification program includes or will include the performance criteria mentioned in the BEACH Act</w:t>
      </w:r>
      <w:r w:rsidR="00D924FF">
        <w:t xml:space="preserve"> and described in </w:t>
      </w:r>
      <w:r w:rsidRPr="001F4F52">
        <w:rPr>
          <w:i/>
        </w:rPr>
        <w:t>National Beach Guidance and Required Performance Criteria for Grants</w:t>
      </w:r>
      <w:r>
        <w:t xml:space="preserve"> (EPA-823-B-14-001</w:t>
      </w:r>
      <w:r w:rsidR="00714010">
        <w:t>, hereafter referred to as the National Beach Guidance</w:t>
      </w:r>
      <w:r>
        <w:t xml:space="preserve">), which can be found in the ICR docket. Chapter 2 of the National Beach Guidance addresses the performance criteria that a grantee’s program must be consistent with in order to be eligible for a grant. The remaining chapters </w:t>
      </w:r>
      <w:r w:rsidR="006F484E">
        <w:t xml:space="preserve">of the guidance </w:t>
      </w:r>
      <w:r>
        <w:t xml:space="preserve">discuss specific requirements for each criterion in more detail. The </w:t>
      </w:r>
      <w:r w:rsidR="00F731B1">
        <w:t>relevant</w:t>
      </w:r>
      <w:r>
        <w:t xml:space="preserve"> performance criteria</w:t>
      </w:r>
      <w:r>
        <w:rPr>
          <w:rStyle w:val="FootnoteReference"/>
        </w:rPr>
        <w:footnoteReference w:id="4"/>
      </w:r>
      <w:r w:rsidR="00F731B1">
        <w:t xml:space="preserve"> require jurisdictions to</w:t>
      </w:r>
      <w:r>
        <w:t>:</w:t>
      </w:r>
    </w:p>
    <w:p w:rsidR="0011136B" w:rsidP="00001FF1" w14:paraId="1C756BFA" w14:textId="6835F1BB">
      <w:pPr>
        <w:pStyle w:val="Bullet-last"/>
        <w:numPr>
          <w:ilvl w:val="0"/>
          <w:numId w:val="28"/>
        </w:numPr>
        <w:spacing w:after="0"/>
      </w:pPr>
      <w:r>
        <w:t>Develop</w:t>
      </w:r>
      <w:r w:rsidR="006D1315">
        <w:t xml:space="preserve"> </w:t>
      </w:r>
      <w:r>
        <w:t>a r</w:t>
      </w:r>
      <w:r>
        <w:t>isk-based beach evaluation and classification</w:t>
      </w:r>
      <w:r>
        <w:t xml:space="preserve"> process and apply it to coastal recreation waters</w:t>
      </w:r>
      <w:r w:rsidR="003126CE">
        <w:t>/beaches</w:t>
      </w:r>
      <w:r>
        <w:t>.</w:t>
      </w:r>
    </w:p>
    <w:p w:rsidR="0011136B" w:rsidP="00001FF1" w14:paraId="5FBC17AE" w14:textId="469D24FF">
      <w:pPr>
        <w:pStyle w:val="Bullet-last"/>
        <w:numPr>
          <w:ilvl w:val="0"/>
          <w:numId w:val="28"/>
        </w:numPr>
        <w:spacing w:after="0"/>
      </w:pPr>
      <w:r>
        <w:t>Develop a t</w:t>
      </w:r>
      <w:r>
        <w:t>iered monitoring plan</w:t>
      </w:r>
      <w:r>
        <w:t xml:space="preserve"> that includes the frequency, locations, and methods of monitoring and assessment of coastal waters.</w:t>
      </w:r>
    </w:p>
    <w:p w:rsidR="0011136B" w:rsidP="00001FF1" w14:paraId="4DE56173" w14:textId="15A11B1D">
      <w:pPr>
        <w:pStyle w:val="Bullet-last"/>
        <w:numPr>
          <w:ilvl w:val="0"/>
          <w:numId w:val="28"/>
        </w:numPr>
        <w:spacing w:after="0"/>
      </w:pPr>
      <w:r>
        <w:t>Develop a m</w:t>
      </w:r>
      <w:r>
        <w:t>ethods and assessment procedures</w:t>
      </w:r>
      <w:r>
        <w:t xml:space="preserve"> plan.</w:t>
      </w:r>
    </w:p>
    <w:p w:rsidR="0011136B" w:rsidP="00001FF1" w14:paraId="73D8608D" w14:textId="6099DE28">
      <w:pPr>
        <w:pStyle w:val="Bullet-last"/>
        <w:numPr>
          <w:ilvl w:val="0"/>
          <w:numId w:val="28"/>
        </w:numPr>
        <w:spacing w:after="0"/>
      </w:pPr>
      <w:r>
        <w:t>Develop a mechanism to collect and report monitoring data.</w:t>
      </w:r>
    </w:p>
    <w:p w:rsidR="0011136B" w:rsidP="00001FF1" w14:paraId="4EFCF104" w14:textId="09EC8E55">
      <w:pPr>
        <w:pStyle w:val="Bullet-last"/>
        <w:numPr>
          <w:ilvl w:val="0"/>
          <w:numId w:val="28"/>
        </w:numPr>
        <w:spacing w:after="0"/>
      </w:pPr>
      <w:r>
        <w:t>D</w:t>
      </w:r>
      <w:r w:rsidR="003126CE">
        <w:t>escribe d</w:t>
      </w:r>
      <w:r>
        <w:t>elegation of monitoring responsibilities</w:t>
      </w:r>
      <w:r w:rsidR="00D924FF">
        <w:t xml:space="preserve"> </w:t>
      </w:r>
      <w:r w:rsidR="003126CE">
        <w:t xml:space="preserve">to local governments </w:t>
      </w:r>
      <w:r w:rsidR="00D924FF">
        <w:t>(if applicable)</w:t>
      </w:r>
      <w:r w:rsidR="003126CE">
        <w:t>.</w:t>
      </w:r>
    </w:p>
    <w:p w:rsidR="0011136B" w:rsidP="00001FF1" w14:paraId="58B70097" w14:textId="598EF4B7">
      <w:pPr>
        <w:pStyle w:val="Bullet-last"/>
        <w:numPr>
          <w:ilvl w:val="0"/>
          <w:numId w:val="28"/>
        </w:numPr>
        <w:spacing w:after="0"/>
      </w:pPr>
      <w:r>
        <w:t>Develop a p</w:t>
      </w:r>
      <w:r>
        <w:t>ublic notification and risk communication plan</w:t>
      </w:r>
      <w:r>
        <w:t>.</w:t>
      </w:r>
    </w:p>
    <w:p w:rsidR="0011136B" w:rsidP="00001FF1" w14:paraId="7F9E8E66" w14:textId="4871A4C6">
      <w:pPr>
        <w:pStyle w:val="Bullet-last"/>
        <w:numPr>
          <w:ilvl w:val="0"/>
          <w:numId w:val="28"/>
        </w:numPr>
        <w:spacing w:after="0"/>
      </w:pPr>
      <w:r>
        <w:t xml:space="preserve">Notify </w:t>
      </w:r>
      <w:r w:rsidR="003126CE">
        <w:t xml:space="preserve">the public </w:t>
      </w:r>
      <w:r w:rsidR="007874EC">
        <w:t xml:space="preserve">when indicator bacteria levels exceed a beach notification threshold or </w:t>
      </w:r>
      <w:r w:rsidR="008F58E1">
        <w:t>when</w:t>
      </w:r>
      <w:r w:rsidR="003126CE">
        <w:t xml:space="preserve"> the coastal recreation waters are not meeting or are not expected to meet applicable water quality standards for pathogens and pathogen indicators.</w:t>
      </w:r>
    </w:p>
    <w:p w:rsidR="0011136B" w:rsidP="00001FF1" w14:paraId="00C9CE54" w14:textId="2551A6A6">
      <w:pPr>
        <w:pStyle w:val="Bullet-last"/>
        <w:numPr>
          <w:ilvl w:val="0"/>
          <w:numId w:val="28"/>
        </w:numPr>
        <w:spacing w:after="0"/>
      </w:pPr>
      <w:r>
        <w:t>Compile and submit to EPA the public n</w:t>
      </w:r>
      <w:r>
        <w:t xml:space="preserve">otification </w:t>
      </w:r>
      <w:r>
        <w:t>actions that were taken.</w:t>
      </w:r>
    </w:p>
    <w:p w:rsidR="0011136B" w:rsidP="00001FF1" w14:paraId="58FD15F3" w14:textId="4872E4DA">
      <w:pPr>
        <w:pStyle w:val="Bullet-last"/>
        <w:numPr>
          <w:ilvl w:val="0"/>
          <w:numId w:val="28"/>
        </w:numPr>
        <w:spacing w:after="0"/>
      </w:pPr>
      <w:r>
        <w:t>D</w:t>
      </w:r>
      <w:r w:rsidR="008F58E1">
        <w:t>escribe d</w:t>
      </w:r>
      <w:r>
        <w:t>elegation of notification responsibilities</w:t>
      </w:r>
      <w:r w:rsidR="00D924FF">
        <w:t xml:space="preserve"> </w:t>
      </w:r>
      <w:r w:rsidR="008F58E1">
        <w:t xml:space="preserve">to local governments </w:t>
      </w:r>
      <w:r w:rsidR="00D924FF">
        <w:t>(if applicable)</w:t>
      </w:r>
      <w:r w:rsidR="008F58E1">
        <w:t>.</w:t>
      </w:r>
    </w:p>
    <w:p w:rsidR="00DA31DD" w:rsidP="00001FF1" w14:paraId="2E858BD6" w14:textId="7AC26206">
      <w:pPr>
        <w:pStyle w:val="Bullet-last"/>
        <w:numPr>
          <w:ilvl w:val="0"/>
          <w:numId w:val="28"/>
        </w:numPr>
      </w:pPr>
      <w:r>
        <w:t>Provide the public with an opportunity to review the program through public notice and an opportunity to comment.</w:t>
      </w:r>
    </w:p>
    <w:p w:rsidR="0039506F" w:rsidP="00A605B9" w14:paraId="480BCC2F" w14:textId="692AE406">
      <w:pPr>
        <w:pStyle w:val="Bullet-last"/>
        <w:spacing w:after="0"/>
        <w:ind w:firstLine="14"/>
      </w:pPr>
      <w:r>
        <w:t xml:space="preserve">Jurisdictions receiving </w:t>
      </w:r>
      <w:r w:rsidR="003B5A4F">
        <w:t xml:space="preserve">BEACH Act </w:t>
      </w:r>
      <w:r>
        <w:t xml:space="preserve">grants </w:t>
      </w:r>
      <w:r w:rsidR="002B3CB6">
        <w:t xml:space="preserve">for </w:t>
      </w:r>
      <w:r w:rsidR="006A60B0">
        <w:t xml:space="preserve">established </w:t>
      </w:r>
      <w:r w:rsidR="002B3CB6">
        <w:t xml:space="preserve">programs in the implementation stage </w:t>
      </w:r>
      <w:r>
        <w:t>are expected to perform the following activities, in support of meeting the performance criteria:</w:t>
      </w:r>
    </w:p>
    <w:p w:rsidR="0039506F" w:rsidP="00A605B9" w14:paraId="1B0298D2" w14:textId="5F6CDA58">
      <w:pPr>
        <w:pStyle w:val="Bullet-last"/>
        <w:numPr>
          <w:ilvl w:val="0"/>
          <w:numId w:val="28"/>
        </w:numPr>
        <w:spacing w:after="0"/>
      </w:pPr>
      <w:r>
        <w:t>Assemble and submit required paperwork for grants, including applications, work plans, quality assurance performance plans, and annual report</w:t>
      </w:r>
      <w:r w:rsidR="00A605B9">
        <w:t>s</w:t>
      </w:r>
      <w:r>
        <w:t>.</w:t>
      </w:r>
    </w:p>
    <w:p w:rsidR="0039506F" w:rsidP="00A605B9" w14:paraId="1EC43FB4" w14:textId="6E0145FF">
      <w:pPr>
        <w:pStyle w:val="Bullet-last"/>
        <w:numPr>
          <w:ilvl w:val="0"/>
          <w:numId w:val="28"/>
        </w:numPr>
        <w:spacing w:after="0"/>
      </w:pPr>
      <w:r>
        <w:t>Determine if program changes are needed and submit program changes to EPA</w:t>
      </w:r>
      <w:r w:rsidR="00A605B9">
        <w:t>.</w:t>
      </w:r>
    </w:p>
    <w:p w:rsidR="0039506F" w:rsidP="00A605B9" w14:paraId="3E49C9B0" w14:textId="41E73448">
      <w:pPr>
        <w:pStyle w:val="Bullet-last"/>
        <w:numPr>
          <w:ilvl w:val="0"/>
          <w:numId w:val="28"/>
        </w:numPr>
        <w:spacing w:after="0"/>
      </w:pPr>
      <w:r>
        <w:t>Prepare and train personnel for monitoring</w:t>
      </w:r>
      <w:r w:rsidR="00A605B9">
        <w:t>.</w:t>
      </w:r>
    </w:p>
    <w:p w:rsidR="0039506F" w:rsidP="00A605B9" w14:paraId="5EF88823" w14:textId="5DCD96AE">
      <w:pPr>
        <w:pStyle w:val="Bullet-last"/>
        <w:numPr>
          <w:ilvl w:val="0"/>
          <w:numId w:val="28"/>
        </w:numPr>
        <w:spacing w:after="0"/>
      </w:pPr>
      <w:r>
        <w:t>Monitor coastal water quality</w:t>
      </w:r>
      <w:r w:rsidR="00A605B9">
        <w:t>.</w:t>
      </w:r>
      <w:r>
        <w:t xml:space="preserve"> </w:t>
      </w:r>
    </w:p>
    <w:p w:rsidR="0039506F" w:rsidP="00A605B9" w14:paraId="7F8BA112" w14:textId="5F05944B">
      <w:pPr>
        <w:pStyle w:val="Bullet-last"/>
        <w:numPr>
          <w:ilvl w:val="0"/>
          <w:numId w:val="28"/>
        </w:numPr>
        <w:spacing w:after="0"/>
      </w:pPr>
      <w:r>
        <w:t xml:space="preserve">Issue public notifications </w:t>
      </w:r>
      <w:r w:rsidR="007874EC">
        <w:t>when indicator bacteria levels exceed a beach notification threshold or when the coastal recreation waters are not meeting or are not expected to meet applicable water quality standards for pathogens and pathogen indicators</w:t>
      </w:r>
      <w:r w:rsidR="00A605B9">
        <w:t>.</w:t>
      </w:r>
      <w:r>
        <w:t xml:space="preserve"> </w:t>
      </w:r>
    </w:p>
    <w:p w:rsidR="0039506F" w:rsidP="00A605B9" w14:paraId="2AAF2122" w14:textId="19C5A9A9">
      <w:pPr>
        <w:pStyle w:val="Bullet-last"/>
        <w:numPr>
          <w:ilvl w:val="0"/>
          <w:numId w:val="28"/>
        </w:numPr>
        <w:spacing w:after="0"/>
      </w:pPr>
      <w:r>
        <w:t>Make monitoring data available to the public (e.g., post online)</w:t>
      </w:r>
      <w:r w:rsidR="00A605B9">
        <w:t>.</w:t>
      </w:r>
    </w:p>
    <w:p w:rsidR="0039506F" w:rsidP="0039506F" w14:paraId="3F0A1B75" w14:textId="4887B297">
      <w:pPr>
        <w:pStyle w:val="Bullet-last"/>
        <w:numPr>
          <w:ilvl w:val="0"/>
          <w:numId w:val="28"/>
        </w:numPr>
      </w:pPr>
      <w:bookmarkStart w:id="72" w:name="_1__18_"/>
      <w:bookmarkEnd w:id="72"/>
      <w:r>
        <w:t xml:space="preserve">Submit </w:t>
      </w:r>
      <w:r w:rsidR="003B5A4F">
        <w:t xml:space="preserve">water quality </w:t>
      </w:r>
      <w:r>
        <w:t>monitoring and public notification data to EPA</w:t>
      </w:r>
      <w:r w:rsidR="00A605B9">
        <w:t>.</w:t>
      </w:r>
    </w:p>
    <w:p w:rsidR="00DA31DD" w:rsidP="00DA31DD" w14:paraId="558AE87A" w14:textId="77777777">
      <w:pPr>
        <w:pStyle w:val="Heading1"/>
      </w:pPr>
      <w:bookmarkStart w:id="73" w:name="_1__19_"/>
      <w:bookmarkStart w:id="74" w:name="_Toc296531028"/>
      <w:bookmarkStart w:id="75" w:name="_Toc431211670"/>
      <w:bookmarkStart w:id="76" w:name="_Toc105018602"/>
      <w:bookmarkEnd w:id="73"/>
      <w:r>
        <w:t>5.</w:t>
      </w:r>
      <w:r>
        <w:tab/>
        <w:t>The Information Collected-Agency Activities, Collection Methodology, and Information Management</w:t>
      </w:r>
      <w:bookmarkEnd w:id="74"/>
      <w:bookmarkEnd w:id="75"/>
      <w:bookmarkEnd w:id="76"/>
    </w:p>
    <w:p w:rsidR="00DA31DD" w:rsidP="00DA31DD" w14:paraId="4D056CDB" w14:textId="29AAB2A6">
      <w:pPr>
        <w:pStyle w:val="Heading2"/>
      </w:pPr>
      <w:bookmarkStart w:id="77" w:name="_1__20_"/>
      <w:bookmarkStart w:id="78" w:name="_Toc296531029"/>
      <w:bookmarkStart w:id="79" w:name="_Toc431211671"/>
      <w:bookmarkStart w:id="80" w:name="_Toc105018603"/>
      <w:bookmarkEnd w:id="77"/>
      <w:r>
        <w:t>5(a)</w:t>
      </w:r>
      <w:r>
        <w:tab/>
        <w:t>Agency Activities</w:t>
      </w:r>
      <w:bookmarkEnd w:id="78"/>
      <w:bookmarkEnd w:id="79"/>
      <w:bookmarkEnd w:id="80"/>
    </w:p>
    <w:p w:rsidR="00DA31DD" w:rsidRPr="00F67DDE" w:rsidP="00DA31DD" w14:paraId="642DF3E9" w14:textId="48333F0B">
      <w:pPr>
        <w:pStyle w:val="Tabletext"/>
        <w:rPr>
          <w:rFonts w:ascii="Times New Roman" w:hAnsi="Times New Roman" w:cs="Times New Roman"/>
          <w:sz w:val="24"/>
          <w:szCs w:val="24"/>
        </w:rPr>
      </w:pPr>
      <w:r w:rsidRPr="00F67DDE">
        <w:rPr>
          <w:rFonts w:ascii="Times New Roman" w:hAnsi="Times New Roman" w:cs="Times New Roman"/>
          <w:sz w:val="24"/>
          <w:szCs w:val="24"/>
        </w:rPr>
        <w:t xml:space="preserve">The BEACH Act requires EPA to devote time and resources to manage the grant program. </w:t>
      </w:r>
      <w:r w:rsidRPr="00611787" w:rsidR="00611787">
        <w:rPr>
          <w:rFonts w:ascii="Times New Roman" w:hAnsi="Times New Roman" w:cs="Times New Roman"/>
          <w:sz w:val="24"/>
          <w:szCs w:val="24"/>
        </w:rPr>
        <w:t xml:space="preserve">EPA administers BEACH Act grants according to the EPA grant regulations at 40 CFR part 31 and the statutory requirements in Clean Water Act section 406. </w:t>
      </w:r>
      <w:r w:rsidRPr="00F67DDE">
        <w:rPr>
          <w:rFonts w:ascii="Times New Roman" w:hAnsi="Times New Roman" w:cs="Times New Roman"/>
          <w:sz w:val="24"/>
          <w:szCs w:val="24"/>
        </w:rPr>
        <w:t>EPA conduct</w:t>
      </w:r>
      <w:r w:rsidRPr="00F67DDE" w:rsidR="003C7EB0">
        <w:rPr>
          <w:rFonts w:ascii="Times New Roman" w:hAnsi="Times New Roman" w:cs="Times New Roman"/>
          <w:sz w:val="24"/>
          <w:szCs w:val="24"/>
        </w:rPr>
        <w:t>s</w:t>
      </w:r>
      <w:r w:rsidRPr="00F67DDE">
        <w:rPr>
          <w:rFonts w:ascii="Times New Roman" w:hAnsi="Times New Roman" w:cs="Times New Roman"/>
          <w:sz w:val="24"/>
          <w:szCs w:val="24"/>
        </w:rPr>
        <w:t xml:space="preserve"> the following activities in administering the BEACH Act grants:</w:t>
      </w:r>
    </w:p>
    <w:p w:rsidR="00DA31DD" w:rsidRPr="00F67DDE" w:rsidP="00001FF1" w14:paraId="51F31021" w14:textId="5D1B0304">
      <w:pPr>
        <w:pStyle w:val="Bullet-last"/>
        <w:numPr>
          <w:ilvl w:val="0"/>
          <w:numId w:val="28"/>
        </w:numPr>
      </w:pPr>
      <w:r w:rsidRPr="00F67DDE">
        <w:t xml:space="preserve">EPA Headquarters </w:t>
      </w:r>
      <w:r w:rsidR="00611787">
        <w:t xml:space="preserve">determines allocations of beach grants to jurisdictions in accordance with an allocation formula published in </w:t>
      </w:r>
      <w:r w:rsidRPr="009B1088" w:rsidR="682488D8">
        <w:t>68 FR 15446 and a supplemental allocation formula published in 75 FR 1373</w:t>
      </w:r>
      <w:r w:rsidR="07B0F052">
        <w:t>;</w:t>
      </w:r>
      <w:r w:rsidR="00611787">
        <w:t xml:space="preserve"> creates funding recommendation templates for the beach grants</w:t>
      </w:r>
      <w:r w:rsidR="07B0F052">
        <w:t>;</w:t>
      </w:r>
      <w:r w:rsidR="00611787">
        <w:t xml:space="preserve"> </w:t>
      </w:r>
      <w:r w:rsidRPr="00F67DDE">
        <w:t>monitor</w:t>
      </w:r>
      <w:r w:rsidR="00F67DDE">
        <w:t>s</w:t>
      </w:r>
      <w:r w:rsidRPr="00F67DDE">
        <w:t xml:space="preserve"> programs of grant recipients annually to ensure compliance with the performance criteria</w:t>
      </w:r>
      <w:r w:rsidR="4EE1403B">
        <w:t>;</w:t>
      </w:r>
      <w:r w:rsidR="00F67DDE">
        <w:t xml:space="preserve"> provides miscellaneous support to the jurisdictions, especially technical assistance for submitting data</w:t>
      </w:r>
      <w:r w:rsidR="1385D676">
        <w:t xml:space="preserve">; </w:t>
      </w:r>
      <w:r w:rsidR="002758F7">
        <w:t xml:space="preserve">maintains the </w:t>
      </w:r>
      <w:r w:rsidR="000121A2">
        <w:t xml:space="preserve">publicly available national </w:t>
      </w:r>
      <w:r w:rsidR="002758F7">
        <w:t xml:space="preserve">database containing jurisdiction-reported data; </w:t>
      </w:r>
      <w:r w:rsidR="1385D676">
        <w:t xml:space="preserve">and prepares a quadrennial report for Congress on federal, state, and tribal implementation of the </w:t>
      </w:r>
      <w:r w:rsidR="000121A2">
        <w:t>BEACH Act.</w:t>
      </w:r>
    </w:p>
    <w:p w:rsidR="00945C37" w:rsidRPr="0046243D" w:rsidP="00001FF1" w14:paraId="2A3E5E79" w14:textId="5BC644F2">
      <w:pPr>
        <w:pStyle w:val="Bullet-last"/>
        <w:numPr>
          <w:ilvl w:val="0"/>
          <w:numId w:val="28"/>
        </w:numPr>
        <w:spacing w:after="0"/>
        <w:rPr>
          <w:b/>
        </w:rPr>
      </w:pPr>
      <w:r w:rsidRPr="0046243D">
        <w:t xml:space="preserve">EPA Regions </w:t>
      </w:r>
      <w:r w:rsidRPr="0046243D" w:rsidR="00F67DDE">
        <w:t>also</w:t>
      </w:r>
      <w:r w:rsidRPr="0046243D">
        <w:t xml:space="preserve"> monitor programs of grant recipients annually to ensure compliance with the performance criteria</w:t>
      </w:r>
      <w:r w:rsidRPr="0046243D" w:rsidR="00F67DDE">
        <w:t xml:space="preserve"> and</w:t>
      </w:r>
      <w:r w:rsidRPr="0046243D">
        <w:t xml:space="preserve"> provide miscellaneous support to the jurisdictions.</w:t>
      </w:r>
      <w:r w:rsidRPr="0046243D" w:rsidR="00F67DDE">
        <w:t xml:space="preserve"> In addition, EPA Regions review grant applications,</w:t>
      </w:r>
      <w:r w:rsidRPr="0046243D">
        <w:t xml:space="preserve"> revise work plans</w:t>
      </w:r>
      <w:r w:rsidRPr="0046243D" w:rsidR="00F67DDE">
        <w:t>,</w:t>
      </w:r>
      <w:r w:rsidRPr="0046243D">
        <w:t xml:space="preserve"> update Quality Management Plan</w:t>
      </w:r>
      <w:r w:rsidRPr="0046243D" w:rsidR="00F67DDE">
        <w:t xml:space="preserve">s, </w:t>
      </w:r>
      <w:r w:rsidRPr="0046243D" w:rsidR="00A605B9">
        <w:t xml:space="preserve">and </w:t>
      </w:r>
      <w:r w:rsidRPr="0046243D">
        <w:t>perform technical review</w:t>
      </w:r>
      <w:r w:rsidRPr="0046243D" w:rsidR="00F67DDE">
        <w:t>s</w:t>
      </w:r>
      <w:r w:rsidRPr="0046243D">
        <w:t xml:space="preserve"> of Quality Assurance Project Plan</w:t>
      </w:r>
      <w:r w:rsidRPr="0046243D" w:rsidR="00F67DDE">
        <w:t>s</w:t>
      </w:r>
      <w:r w:rsidRPr="0046243D">
        <w:t xml:space="preserve"> and Grants Management Plan</w:t>
      </w:r>
      <w:r w:rsidRPr="0046243D" w:rsidR="00F67DDE">
        <w:t>s</w:t>
      </w:r>
      <w:r w:rsidRPr="0046243D" w:rsidR="00A605B9">
        <w:t>.</w:t>
      </w:r>
      <w:r w:rsidRPr="0046243D" w:rsidR="00F67DDE">
        <w:t xml:space="preserve"> </w:t>
      </w:r>
      <w:r w:rsidRPr="0046243D">
        <w:t>EPA Region</w:t>
      </w:r>
      <w:r w:rsidRPr="0046243D" w:rsidR="00225218">
        <w:t xml:space="preserve">s </w:t>
      </w:r>
      <w:r w:rsidR="0046243D">
        <w:t>also provide</w:t>
      </w:r>
      <w:r w:rsidRPr="0046243D">
        <w:t xml:space="preserve"> support </w:t>
      </w:r>
      <w:r w:rsidR="0046243D">
        <w:t xml:space="preserve">to new jurisdictions </w:t>
      </w:r>
      <w:r w:rsidR="000121A2">
        <w:t xml:space="preserve">receiving BEACH Act </w:t>
      </w:r>
      <w:r w:rsidRPr="0046243D">
        <w:t>grants</w:t>
      </w:r>
      <w:r w:rsidR="006A60B0">
        <w:t xml:space="preserve"> to develop beach monitoring and notification programs</w:t>
      </w:r>
      <w:r w:rsidRPr="0046243D" w:rsidR="00225218">
        <w:t>.</w:t>
      </w:r>
    </w:p>
    <w:p w:rsidR="00DA31DD" w:rsidP="00DA31DD" w14:paraId="3FA2C122" w14:textId="3CED7F5E">
      <w:pPr>
        <w:pStyle w:val="Heading2"/>
      </w:pPr>
      <w:bookmarkStart w:id="81" w:name="_1__21_"/>
      <w:bookmarkStart w:id="82" w:name="_Toc296531030"/>
      <w:bookmarkStart w:id="83" w:name="_Toc431211672"/>
      <w:bookmarkStart w:id="84" w:name="_Toc105018604"/>
      <w:bookmarkEnd w:id="81"/>
      <w:r>
        <w:t>5(b)</w:t>
      </w:r>
      <w:r>
        <w:tab/>
        <w:t>Collection Methodology and Management</w:t>
      </w:r>
      <w:bookmarkEnd w:id="82"/>
      <w:bookmarkEnd w:id="83"/>
      <w:bookmarkEnd w:id="84"/>
    </w:p>
    <w:p w:rsidR="00DA31DD" w:rsidRPr="00376435" w:rsidP="00EC2C03" w14:paraId="61D81B2D" w14:textId="418771D9">
      <w:pPr>
        <w:pStyle w:val="FootnoteText"/>
        <w:spacing w:after="200"/>
        <w:rPr>
          <w:sz w:val="24"/>
          <w:szCs w:val="24"/>
        </w:rPr>
      </w:pPr>
      <w:r w:rsidRPr="00376435">
        <w:rPr>
          <w:sz w:val="24"/>
          <w:szCs w:val="24"/>
        </w:rPr>
        <w:t xml:space="preserve">The EPA created the Beach Advisory and Closing Online Notification (BEACON) system to meet the BEACH Act requirement that the Agency establish and maintain a publicly available </w:t>
      </w:r>
      <w:r w:rsidRPr="00376435">
        <w:rPr>
          <w:sz w:val="24"/>
          <w:szCs w:val="24"/>
        </w:rPr>
        <w:t xml:space="preserve">database of pollution occurrences for coastal recreation waters. </w:t>
      </w:r>
      <w:r w:rsidR="00E04217">
        <w:rPr>
          <w:sz w:val="24"/>
          <w:szCs w:val="24"/>
        </w:rPr>
        <w:t>Per the National Beach Guidance, j</w:t>
      </w:r>
      <w:r w:rsidRPr="00376435">
        <w:rPr>
          <w:sz w:val="24"/>
          <w:szCs w:val="24"/>
        </w:rPr>
        <w:t>urisdictions must report their water quality monitoring data (i.e., results of bacterial monitoring tests) and notification data (i.e., warnings to the public of contaminated beaches) to EPA at least annually. The electronic beaches system (</w:t>
      </w:r>
      <w:r w:rsidRPr="00376435">
        <w:rPr>
          <w:sz w:val="24"/>
          <w:szCs w:val="24"/>
        </w:rPr>
        <w:t>eB</w:t>
      </w:r>
      <w:r w:rsidR="003C7EB0">
        <w:rPr>
          <w:sz w:val="24"/>
          <w:szCs w:val="24"/>
        </w:rPr>
        <w:t>eaches</w:t>
      </w:r>
      <w:r w:rsidRPr="00376435">
        <w:rPr>
          <w:sz w:val="24"/>
          <w:szCs w:val="24"/>
        </w:rPr>
        <w:t xml:space="preserve">) is set up so that </w:t>
      </w:r>
      <w:r w:rsidR="00EA1A4C">
        <w:rPr>
          <w:sz w:val="24"/>
          <w:szCs w:val="24"/>
        </w:rPr>
        <w:t>jurisd</w:t>
      </w:r>
      <w:r w:rsidR="00A34296">
        <w:rPr>
          <w:sz w:val="24"/>
          <w:szCs w:val="24"/>
        </w:rPr>
        <w:t>ic</w:t>
      </w:r>
      <w:r w:rsidR="00EA1A4C">
        <w:rPr>
          <w:sz w:val="24"/>
          <w:szCs w:val="24"/>
        </w:rPr>
        <w:t>tions</w:t>
      </w:r>
      <w:r w:rsidRPr="00376435" w:rsidR="00EA1A4C">
        <w:rPr>
          <w:sz w:val="24"/>
          <w:szCs w:val="24"/>
        </w:rPr>
        <w:t xml:space="preserve"> </w:t>
      </w:r>
      <w:r w:rsidRPr="00376435">
        <w:rPr>
          <w:sz w:val="24"/>
          <w:szCs w:val="24"/>
        </w:rPr>
        <w:t xml:space="preserve">can directly transmit </w:t>
      </w:r>
      <w:r w:rsidR="00EA1A4C">
        <w:rPr>
          <w:sz w:val="24"/>
          <w:szCs w:val="24"/>
        </w:rPr>
        <w:t>such</w:t>
      </w:r>
      <w:r w:rsidRPr="00376435">
        <w:rPr>
          <w:sz w:val="24"/>
          <w:szCs w:val="24"/>
        </w:rPr>
        <w:t xml:space="preserve"> data </w:t>
      </w:r>
      <w:r w:rsidR="00EA1A4C">
        <w:rPr>
          <w:sz w:val="24"/>
          <w:szCs w:val="24"/>
        </w:rPr>
        <w:t xml:space="preserve">electronically </w:t>
      </w:r>
      <w:r w:rsidRPr="00376435">
        <w:rPr>
          <w:sz w:val="24"/>
          <w:szCs w:val="24"/>
        </w:rPr>
        <w:t>from their databases to EPA</w:t>
      </w:r>
      <w:r w:rsidR="00EA1A4C">
        <w:rPr>
          <w:sz w:val="24"/>
          <w:szCs w:val="24"/>
        </w:rPr>
        <w:t xml:space="preserve"> as follows</w:t>
      </w:r>
      <w:r w:rsidRPr="00376435">
        <w:rPr>
          <w:sz w:val="24"/>
          <w:szCs w:val="24"/>
        </w:rPr>
        <w:t xml:space="preserve">. </w:t>
      </w:r>
      <w:bookmarkStart w:id="85" w:name="_Hlk521945250"/>
      <w:r w:rsidRPr="00376435">
        <w:rPr>
          <w:sz w:val="24"/>
          <w:szCs w:val="24"/>
        </w:rPr>
        <w:t xml:space="preserve">The Agency’s Central Data Exchange System receives the data electronically and automatically sends them to different data systems: water quality data go to </w:t>
      </w:r>
      <w:r w:rsidR="00EA1A4C">
        <w:rPr>
          <w:sz w:val="24"/>
          <w:szCs w:val="24"/>
        </w:rPr>
        <w:t xml:space="preserve">the </w:t>
      </w:r>
      <w:r w:rsidRPr="00376435">
        <w:rPr>
          <w:sz w:val="24"/>
          <w:szCs w:val="24"/>
        </w:rPr>
        <w:t xml:space="preserve">USGS’ </w:t>
      </w:r>
      <w:r w:rsidR="00F72C57">
        <w:rPr>
          <w:sz w:val="24"/>
          <w:szCs w:val="24"/>
        </w:rPr>
        <w:t xml:space="preserve">and EPA’s </w:t>
      </w:r>
      <w:r w:rsidRPr="00376435">
        <w:rPr>
          <w:sz w:val="24"/>
          <w:szCs w:val="24"/>
        </w:rPr>
        <w:t xml:space="preserve">Water Quality Portal, beach notification data go to EPA’s </w:t>
      </w:r>
      <w:r w:rsidRPr="00295F5C">
        <w:rPr>
          <w:sz w:val="24"/>
          <w:szCs w:val="24"/>
        </w:rPr>
        <w:t>PRogram</w:t>
      </w:r>
      <w:r w:rsidRPr="00295F5C">
        <w:rPr>
          <w:sz w:val="24"/>
          <w:szCs w:val="24"/>
        </w:rPr>
        <w:t xml:space="preserve"> tracking, beach Advisories, Water quality standards, and Nutrients</w:t>
      </w:r>
      <w:r w:rsidRPr="00376435">
        <w:rPr>
          <w:sz w:val="24"/>
          <w:szCs w:val="24"/>
        </w:rPr>
        <w:t xml:space="preserve"> (PRAWN) </w:t>
      </w:r>
      <w:r w:rsidR="00295F5C">
        <w:rPr>
          <w:sz w:val="24"/>
          <w:szCs w:val="24"/>
        </w:rPr>
        <w:t xml:space="preserve">Notification Data Access </w:t>
      </w:r>
      <w:r w:rsidR="00EA1A4C">
        <w:rPr>
          <w:sz w:val="24"/>
          <w:szCs w:val="24"/>
        </w:rPr>
        <w:t>Database</w:t>
      </w:r>
      <w:r w:rsidRPr="00376435">
        <w:rPr>
          <w:sz w:val="24"/>
          <w:szCs w:val="24"/>
        </w:rPr>
        <w:t xml:space="preserve">, and beach location data go to EPA’s Reach Address Database. </w:t>
      </w:r>
      <w:bookmarkEnd w:id="85"/>
      <w:r w:rsidRPr="00376435">
        <w:rPr>
          <w:sz w:val="24"/>
          <w:szCs w:val="24"/>
        </w:rPr>
        <w:t>All of these data can then be accessed by the public through BEACON. Electronic reporting is intended to achieve data collection efficiencies and reduce the possibility of data input error.</w:t>
      </w:r>
    </w:p>
    <w:p w:rsidR="00DA31DD" w:rsidRPr="00054DB2" w:rsidP="00DA31DD" w14:paraId="6240D5DA" w14:textId="23873426">
      <w:pPr>
        <w:pStyle w:val="Bullet-last"/>
      </w:pPr>
      <w:r w:rsidRPr="00AC3AA7">
        <w:t xml:space="preserve">It is </w:t>
      </w:r>
      <w:r>
        <w:t>each jurisdiction</w:t>
      </w:r>
      <w:r w:rsidRPr="00AC3AA7">
        <w:t>’s responsibility to perform data quality assurance/quality control to check for anomalies in t</w:t>
      </w:r>
      <w:r w:rsidRPr="00DF1EDB">
        <w:t>he data that might be related to data entry or laboratory errors. Data quality review and anal</w:t>
      </w:r>
      <w:r w:rsidRPr="00073847">
        <w:t xml:space="preserve">ysis </w:t>
      </w:r>
      <w:r w:rsidR="00EA1A4C">
        <w:t>typically</w:t>
      </w:r>
      <w:r w:rsidRPr="00073847" w:rsidR="00EA1A4C">
        <w:t xml:space="preserve"> </w:t>
      </w:r>
      <w:r w:rsidRPr="00073847">
        <w:t>include</w:t>
      </w:r>
      <w:r w:rsidR="00EA1A4C">
        <w:t>s</w:t>
      </w:r>
      <w:r w:rsidRPr="00073847">
        <w:t xml:space="preserve"> analysis of laboratory results, pollution occurrence events, public notification, and review of all program data.</w:t>
      </w:r>
      <w:r w:rsidR="00E82514">
        <w:t xml:space="preserve"> The Agency</w:t>
      </w:r>
      <w:r w:rsidR="001753F0">
        <w:t xml:space="preserve"> also reviews the submitted data</w:t>
      </w:r>
      <w:r w:rsidR="000431B4">
        <w:t xml:space="preserve"> to</w:t>
      </w:r>
      <w:r w:rsidR="00CC5B8C">
        <w:t xml:space="preserve"> check for </w:t>
      </w:r>
      <w:r w:rsidR="00E21ABB">
        <w:t>anomalies</w:t>
      </w:r>
      <w:r w:rsidR="00A7135D">
        <w:t xml:space="preserve"> in the data or missing information</w:t>
      </w:r>
      <w:r w:rsidR="00CC5B8C">
        <w:t>.</w:t>
      </w:r>
    </w:p>
    <w:p w:rsidR="00DA31DD" w:rsidP="00DA31DD" w14:paraId="6C58EFFF" w14:textId="67585132">
      <w:pPr>
        <w:pStyle w:val="Heading2"/>
      </w:pPr>
      <w:bookmarkStart w:id="86" w:name="_1__22_"/>
      <w:bookmarkStart w:id="87" w:name="_Toc296531031"/>
      <w:bookmarkStart w:id="88" w:name="_Toc431211673"/>
      <w:bookmarkStart w:id="89" w:name="_Toc105018605"/>
      <w:bookmarkEnd w:id="86"/>
      <w:r>
        <w:t>5(c)</w:t>
      </w:r>
      <w:r>
        <w:tab/>
        <w:t>Small Entity Flexibility</w:t>
      </w:r>
      <w:bookmarkEnd w:id="87"/>
      <w:bookmarkEnd w:id="88"/>
      <w:bookmarkEnd w:id="89"/>
    </w:p>
    <w:p w:rsidR="00DA31DD" w:rsidP="00DA31DD" w14:paraId="2AFC07BE" w14:textId="3BA6C79A">
      <w:pPr>
        <w:pStyle w:val="Bullet-last"/>
      </w:pPr>
      <w:r>
        <w:t xml:space="preserve">The </w:t>
      </w:r>
      <w:r w:rsidR="00B90F58">
        <w:t>reporting requirements discussed in this ICR do not place an unreasonable burden on small entities because</w:t>
      </w:r>
      <w:r>
        <w:t xml:space="preserve"> </w:t>
      </w:r>
      <w:r w:rsidR="00296632">
        <w:t xml:space="preserve">almost all of </w:t>
      </w:r>
      <w:r>
        <w:t>the respondents for the BEACH Act Grant Program are state, territorial, or tribal government agencies. However, under the BEACH Act (</w:t>
      </w:r>
      <w:r w:rsidR="007B0BA4">
        <w:t xml:space="preserve">CWA </w:t>
      </w:r>
      <w:r>
        <w:t xml:space="preserve">Section 406(a)(B)), </w:t>
      </w:r>
      <w:r w:rsidR="00EC2C03">
        <w:t>EPA</w:t>
      </w:r>
      <w:r>
        <w:t xml:space="preserve"> may make a grant to a local government for implementing a monitoring and notification program if, after the 1-year period beginning on the date of publication of performance criteria, </w:t>
      </w:r>
      <w:r w:rsidR="00EC2C03">
        <w:t>EPA</w:t>
      </w:r>
      <w:r>
        <w:t xml:space="preserve"> determines that the state, territorial, or tribal agency is not implementing a program that meets the performance criteria. </w:t>
      </w:r>
      <w:r w:rsidR="007542F4">
        <w:t xml:space="preserve">The BEACH Act </w:t>
      </w:r>
      <w:r w:rsidR="00C027A6">
        <w:t>(in CWA Section 406</w:t>
      </w:r>
      <w:r w:rsidR="00BE5466">
        <w:t>(</w:t>
      </w:r>
      <w:r w:rsidR="00253AB3">
        <w:t>b)(2)</w:t>
      </w:r>
      <w:r w:rsidR="00063165">
        <w:t>(B)</w:t>
      </w:r>
      <w:r w:rsidR="00253AB3">
        <w:t>)</w:t>
      </w:r>
      <w:r w:rsidR="00AF3057">
        <w:t xml:space="preserve"> </w:t>
      </w:r>
      <w:r w:rsidR="007542F4">
        <w:t xml:space="preserve">also allows a state to delegate </w:t>
      </w:r>
      <w:r w:rsidR="00AF3057">
        <w:t xml:space="preserve">responsibility for implementing the program </w:t>
      </w:r>
      <w:r w:rsidR="007542F4">
        <w:t>to a local government</w:t>
      </w:r>
      <w:r w:rsidR="00E83223">
        <w:t>, which is the case for Erie County, Pennsylvania.</w:t>
      </w:r>
    </w:p>
    <w:p w:rsidR="00DA31DD" w:rsidP="00DA31DD" w14:paraId="21C1D27A" w14:textId="422FC813">
      <w:pPr>
        <w:pStyle w:val="Heading2"/>
      </w:pPr>
      <w:bookmarkStart w:id="90" w:name="_1__23_"/>
      <w:bookmarkStart w:id="91" w:name="_Toc296531032"/>
      <w:bookmarkStart w:id="92" w:name="_Toc431211674"/>
      <w:bookmarkStart w:id="93" w:name="_Toc105018606"/>
      <w:bookmarkEnd w:id="90"/>
      <w:r>
        <w:t>5(d)</w:t>
      </w:r>
      <w:r>
        <w:tab/>
        <w:t>Collection Schedule</w:t>
      </w:r>
      <w:bookmarkEnd w:id="91"/>
      <w:bookmarkEnd w:id="92"/>
      <w:bookmarkEnd w:id="93"/>
    </w:p>
    <w:p w:rsidR="00DA31DD" w:rsidP="00DA31DD" w14:paraId="23B44C9E" w14:textId="5F811FC6">
      <w:pPr>
        <w:pStyle w:val="Bullet-last"/>
      </w:pPr>
      <w:r>
        <w:t xml:space="preserve">A jurisdiction must </w:t>
      </w:r>
      <w:r w:rsidR="000C4AB0">
        <w:t xml:space="preserve">annually </w:t>
      </w:r>
      <w:r>
        <w:t xml:space="preserve">show evidence documenting its compliance with the performance criteria as listed in the </w:t>
      </w:r>
      <w:r w:rsidRPr="0061199B">
        <w:rPr>
          <w:iCs/>
        </w:rPr>
        <w:t>National Beach Guidance</w:t>
      </w:r>
      <w:r w:rsidRPr="00005661">
        <w:rPr>
          <w:i/>
        </w:rPr>
        <w:t xml:space="preserve"> </w:t>
      </w:r>
      <w:r>
        <w:t>to be eligible for a BEACH Act grant.</w:t>
      </w:r>
      <w:r w:rsidR="000C4AB0">
        <w:t xml:space="preserve"> In addition, the BEACH Act requires jurisdictions to submit their water quality monitoring data and public notification actions to EPA annually, or as determined by the EPA Administrator; EPA requests the data annually.</w:t>
      </w:r>
    </w:p>
    <w:p w:rsidR="00DA31DD" w:rsidP="00DA31DD" w14:paraId="56EC0903" w14:textId="10589D6E">
      <w:pPr>
        <w:pStyle w:val="Heading1"/>
      </w:pPr>
      <w:bookmarkStart w:id="94" w:name="_1__24_"/>
      <w:bookmarkStart w:id="95" w:name="_Toc296531033"/>
      <w:bookmarkStart w:id="96" w:name="_Toc431211675"/>
      <w:bookmarkStart w:id="97" w:name="_Toc105018607"/>
      <w:bookmarkEnd w:id="94"/>
      <w:r>
        <w:t>6.</w:t>
      </w:r>
      <w:r>
        <w:tab/>
        <w:t>Estimating the Burden and Cost</w:t>
      </w:r>
      <w:r w:rsidR="00DC76C6">
        <w:t>s</w:t>
      </w:r>
      <w:r>
        <w:t xml:space="preserve"> of the Collection</w:t>
      </w:r>
      <w:bookmarkEnd w:id="95"/>
      <w:bookmarkEnd w:id="96"/>
      <w:bookmarkEnd w:id="97"/>
    </w:p>
    <w:p w:rsidR="008D2A4A" w:rsidP="008D2A4A" w14:paraId="23C2C566" w14:textId="0B95A2BB">
      <w:pPr>
        <w:pStyle w:val="BodyText"/>
      </w:pPr>
      <w:bookmarkStart w:id="98" w:name="_1__25_"/>
      <w:bookmarkStart w:id="99" w:name="_Toc296531034"/>
      <w:bookmarkStart w:id="100" w:name="_Toc431211676"/>
      <w:bookmarkEnd w:id="98"/>
      <w:r>
        <w:t xml:space="preserve">In this section, EPA calculates respondent </w:t>
      </w:r>
      <w:r w:rsidR="000C3793">
        <w:t xml:space="preserve">and Agency </w:t>
      </w:r>
      <w:r>
        <w:t>burden and costs.</w:t>
      </w:r>
    </w:p>
    <w:p w:rsidR="008D2A4A" w:rsidP="008D2A4A" w14:paraId="021BB1F3" w14:textId="79DDA51F">
      <w:pPr>
        <w:pStyle w:val="BodyText"/>
        <w:numPr>
          <w:ilvl w:val="0"/>
          <w:numId w:val="25"/>
        </w:numPr>
        <w:spacing w:after="120"/>
      </w:pPr>
      <w:r>
        <w:t xml:space="preserve">The </w:t>
      </w:r>
      <w:r w:rsidR="00A9277F">
        <w:t>respondent</w:t>
      </w:r>
      <w:r w:rsidR="002E0302">
        <w:t xml:space="preserve"> and EPA</w:t>
      </w:r>
      <w:r w:rsidR="00A9277F">
        <w:t xml:space="preserve"> </w:t>
      </w:r>
      <w:r w:rsidRPr="00BF298E">
        <w:rPr>
          <w:b/>
        </w:rPr>
        <w:t>burden</w:t>
      </w:r>
      <w:r>
        <w:t xml:space="preserve"> is generally based on </w:t>
      </w:r>
      <w:r w:rsidR="0011136B">
        <w:t xml:space="preserve">estimates of the burden hours for each response multiplied by </w:t>
      </w:r>
      <w:r>
        <w:t>estimates of the number of responses expected.</w:t>
      </w:r>
    </w:p>
    <w:p w:rsidR="008D2A4A" w:rsidP="008D2A4A" w14:paraId="7B866D39" w14:textId="1E2FF828">
      <w:pPr>
        <w:pStyle w:val="BodyText"/>
        <w:numPr>
          <w:ilvl w:val="0"/>
          <w:numId w:val="25"/>
        </w:numPr>
        <w:spacing w:after="120"/>
      </w:pPr>
      <w:r>
        <w:t xml:space="preserve">The </w:t>
      </w:r>
      <w:r w:rsidR="00A9277F">
        <w:t xml:space="preserve">respondent and EPA </w:t>
      </w:r>
      <w:r>
        <w:rPr>
          <w:b/>
        </w:rPr>
        <w:t xml:space="preserve">labor cost </w:t>
      </w:r>
      <w:r>
        <w:t>is based on the burden hours calculated above multiplied by estimated personnel compensation rates for each class of respondent. These rates are estimated as follows:</w:t>
      </w:r>
    </w:p>
    <w:p w:rsidR="008D2A4A" w:rsidP="008D2A4A" w14:paraId="6F191B84" w14:textId="609DB52E">
      <w:pPr>
        <w:pStyle w:val="BodyText"/>
        <w:numPr>
          <w:ilvl w:val="1"/>
          <w:numId w:val="25"/>
        </w:numPr>
        <w:spacing w:after="120"/>
        <w:rPr>
          <w:color w:val="000000"/>
        </w:rPr>
      </w:pPr>
      <w:bookmarkStart w:id="101" w:name="_Hlk104218587"/>
      <w:r>
        <w:rPr>
          <w:color w:val="000000"/>
        </w:rPr>
        <w:t>Labor costs for s</w:t>
      </w:r>
      <w:r w:rsidRPr="0043135F">
        <w:rPr>
          <w:color w:val="000000"/>
        </w:rPr>
        <w:t>tate</w:t>
      </w:r>
      <w:r w:rsidR="00A4760A">
        <w:rPr>
          <w:color w:val="000000"/>
        </w:rPr>
        <w:t>, territorial, and</w:t>
      </w:r>
      <w:r w:rsidRPr="0043135F">
        <w:rPr>
          <w:color w:val="000000"/>
        </w:rPr>
        <w:t xml:space="preserve"> tribal </w:t>
      </w:r>
      <w:r>
        <w:rPr>
          <w:color w:val="000000"/>
        </w:rPr>
        <w:t>managers</w:t>
      </w:r>
      <w:r w:rsidRPr="0043135F">
        <w:rPr>
          <w:color w:val="000000"/>
        </w:rPr>
        <w:t xml:space="preserve"> were estimated using the </w:t>
      </w:r>
      <w:r w:rsidR="00727F5A">
        <w:rPr>
          <w:color w:val="000000"/>
        </w:rPr>
        <w:t xml:space="preserve">median </w:t>
      </w:r>
      <w:r w:rsidRPr="0043135F">
        <w:rPr>
          <w:color w:val="000000"/>
        </w:rPr>
        <w:t xml:space="preserve">hourly rate </w:t>
      </w:r>
      <w:r w:rsidR="00727F5A">
        <w:rPr>
          <w:color w:val="000000"/>
        </w:rPr>
        <w:t>for m</w:t>
      </w:r>
      <w:r w:rsidR="00727F5A">
        <w:t>anagement (BLS Occupation Code 11-0000</w:t>
      </w:r>
      <w:r w:rsidR="00A4760A">
        <w:t>)</w:t>
      </w:r>
      <w:r w:rsidRPr="0043135F">
        <w:rPr>
          <w:color w:val="000000"/>
        </w:rPr>
        <w:t xml:space="preserve"> of $</w:t>
      </w:r>
      <w:r w:rsidRPr="00A6258B" w:rsidR="00727F5A">
        <w:rPr>
          <w:color w:val="000000"/>
        </w:rPr>
        <w:t>49.</w:t>
      </w:r>
      <w:r w:rsidRPr="00A6258B" w:rsidR="6A51E917">
        <w:rPr>
          <w:color w:val="000000"/>
        </w:rPr>
        <w:t>55</w:t>
      </w:r>
      <w:r w:rsidRPr="0043135F">
        <w:rPr>
          <w:color w:val="000000"/>
        </w:rPr>
        <w:t>.</w:t>
      </w:r>
      <w:r>
        <w:rPr>
          <w:rStyle w:val="FootnoteReference"/>
          <w:rFonts w:eastAsiaTheme="majorEastAsia"/>
          <w:color w:val="000000"/>
        </w:rPr>
        <w:footnoteReference w:id="5"/>
      </w:r>
      <w:r w:rsidRPr="0043135F">
        <w:rPr>
          <w:color w:val="000000"/>
        </w:rPr>
        <w:t xml:space="preserve"> Overhead costs are expected to be 60 percent, or $</w:t>
      </w:r>
      <w:r w:rsidR="00727F5A">
        <w:rPr>
          <w:color w:val="000000"/>
        </w:rPr>
        <w:t>29.</w:t>
      </w:r>
      <w:r w:rsidR="6A51E917">
        <w:rPr>
          <w:color w:val="000000"/>
        </w:rPr>
        <w:t>73</w:t>
      </w:r>
      <w:r w:rsidRPr="0043135F">
        <w:rPr>
          <w:color w:val="000000"/>
        </w:rPr>
        <w:t xml:space="preserve"> per hour, yielding a total hourly rate </w:t>
      </w:r>
      <w:r w:rsidRPr="007320C2">
        <w:rPr>
          <w:color w:val="000000"/>
        </w:rPr>
        <w:t>of $</w:t>
      </w:r>
      <w:r w:rsidR="6A51E917">
        <w:rPr>
          <w:color w:val="000000"/>
        </w:rPr>
        <w:t>79.28</w:t>
      </w:r>
      <w:r w:rsidR="0026710E">
        <w:rPr>
          <w:color w:val="000000"/>
        </w:rPr>
        <w:t>.</w:t>
      </w:r>
      <w:r>
        <w:rPr>
          <w:color w:val="000000"/>
        </w:rPr>
        <w:t xml:space="preserve"> </w:t>
      </w:r>
    </w:p>
    <w:p w:rsidR="0026710E" w:rsidP="008D2A4A" w14:paraId="106D1BD8" w14:textId="6D9A68B5">
      <w:pPr>
        <w:pStyle w:val="BodyText"/>
        <w:numPr>
          <w:ilvl w:val="1"/>
          <w:numId w:val="25"/>
        </w:numPr>
        <w:spacing w:after="120"/>
        <w:rPr>
          <w:color w:val="000000"/>
        </w:rPr>
      </w:pPr>
      <w:r>
        <w:rPr>
          <w:color w:val="000000"/>
        </w:rPr>
        <w:t>Labor costs for s</w:t>
      </w:r>
      <w:r w:rsidRPr="0043135F">
        <w:rPr>
          <w:color w:val="000000"/>
        </w:rPr>
        <w:t xml:space="preserve">tate or tribal </w:t>
      </w:r>
      <w:r>
        <w:rPr>
          <w:color w:val="000000"/>
        </w:rPr>
        <w:t xml:space="preserve">technical </w:t>
      </w:r>
      <w:r w:rsidRPr="0043135F">
        <w:rPr>
          <w:color w:val="000000"/>
        </w:rPr>
        <w:t>employee</w:t>
      </w:r>
      <w:r>
        <w:rPr>
          <w:color w:val="000000"/>
        </w:rPr>
        <w:t>s</w:t>
      </w:r>
      <w:r w:rsidRPr="0043135F">
        <w:rPr>
          <w:color w:val="000000"/>
        </w:rPr>
        <w:t xml:space="preserve"> were estimated using the </w:t>
      </w:r>
      <w:r w:rsidR="00A4760A">
        <w:rPr>
          <w:color w:val="000000"/>
        </w:rPr>
        <w:t xml:space="preserve">median </w:t>
      </w:r>
      <w:r w:rsidRPr="0043135F">
        <w:rPr>
          <w:color w:val="000000"/>
        </w:rPr>
        <w:t xml:space="preserve">hourly rate </w:t>
      </w:r>
      <w:r w:rsidR="00A4760A">
        <w:rPr>
          <w:color w:val="000000"/>
        </w:rPr>
        <w:t>for l</w:t>
      </w:r>
      <w:r w:rsidRPr="00FA6275" w:rsidR="00A4760A">
        <w:t xml:space="preserve">ife, </w:t>
      </w:r>
      <w:r w:rsidR="00A4760A">
        <w:t>p</w:t>
      </w:r>
      <w:r w:rsidRPr="00FA6275" w:rsidR="00A4760A">
        <w:t xml:space="preserve">hysical and </w:t>
      </w:r>
      <w:r w:rsidR="00A4760A">
        <w:t>s</w:t>
      </w:r>
      <w:r w:rsidRPr="00FA6275" w:rsidR="00A4760A">
        <w:t xml:space="preserve">ocial </w:t>
      </w:r>
      <w:r w:rsidR="00A4760A">
        <w:t>s</w:t>
      </w:r>
      <w:r w:rsidRPr="00FA6275" w:rsidR="00A4760A">
        <w:t xml:space="preserve">cience </w:t>
      </w:r>
      <w:r w:rsidR="00A4760A">
        <w:t>t</w:t>
      </w:r>
      <w:r w:rsidRPr="00FA6275" w:rsidR="00A4760A">
        <w:t>echnicians</w:t>
      </w:r>
      <w:r w:rsidRPr="0043135F" w:rsidR="00A4760A">
        <w:rPr>
          <w:color w:val="000000"/>
        </w:rPr>
        <w:t xml:space="preserve"> </w:t>
      </w:r>
      <w:r w:rsidR="00A4760A">
        <w:rPr>
          <w:color w:val="000000"/>
        </w:rPr>
        <w:t xml:space="preserve">(BLS Occupation Code 19-4000) </w:t>
      </w:r>
      <w:r w:rsidRPr="0043135F">
        <w:rPr>
          <w:color w:val="000000"/>
        </w:rPr>
        <w:t>of $</w:t>
      </w:r>
      <w:r w:rsidRPr="00A6258B" w:rsidR="00A4760A">
        <w:rPr>
          <w:color w:val="000000"/>
        </w:rPr>
        <w:t>23.</w:t>
      </w:r>
      <w:r w:rsidRPr="00A6258B" w:rsidR="0869C31C">
        <w:rPr>
          <w:color w:val="000000"/>
        </w:rPr>
        <w:t>60</w:t>
      </w:r>
      <w:r w:rsidRPr="0043135F">
        <w:rPr>
          <w:color w:val="000000"/>
        </w:rPr>
        <w:t>.</w:t>
      </w:r>
      <w:r>
        <w:rPr>
          <w:rStyle w:val="FootnoteReference"/>
          <w:rFonts w:eastAsiaTheme="majorEastAsia"/>
          <w:color w:val="000000"/>
        </w:rPr>
        <w:footnoteReference w:id="6"/>
      </w:r>
      <w:r w:rsidRPr="0043135F">
        <w:rPr>
          <w:color w:val="000000"/>
        </w:rPr>
        <w:t xml:space="preserve"> Overhead costs are expected to be 60 percent, or $</w:t>
      </w:r>
      <w:r w:rsidR="38AE8229">
        <w:rPr>
          <w:color w:val="000000"/>
        </w:rPr>
        <w:t>14.16</w:t>
      </w:r>
      <w:r w:rsidRPr="0043135F">
        <w:rPr>
          <w:color w:val="000000"/>
        </w:rPr>
        <w:t xml:space="preserve"> per hour, yielding a total hourly rate </w:t>
      </w:r>
      <w:r w:rsidRPr="007320C2">
        <w:rPr>
          <w:color w:val="000000"/>
        </w:rPr>
        <w:t>of $</w:t>
      </w:r>
      <w:r w:rsidR="00A6258B">
        <w:rPr>
          <w:color w:val="000000"/>
        </w:rPr>
        <w:t>37.</w:t>
      </w:r>
      <w:r w:rsidR="38AE8229">
        <w:rPr>
          <w:color w:val="000000"/>
        </w:rPr>
        <w:t>76</w:t>
      </w:r>
      <w:r>
        <w:rPr>
          <w:color w:val="000000"/>
        </w:rPr>
        <w:t>.</w:t>
      </w:r>
    </w:p>
    <w:bookmarkEnd w:id="101"/>
    <w:p w:rsidR="0026710E" w:rsidP="008D2A4A" w14:paraId="1B11A0D7" w14:textId="72F28A32">
      <w:pPr>
        <w:pStyle w:val="BodyText"/>
        <w:numPr>
          <w:ilvl w:val="1"/>
          <w:numId w:val="25"/>
        </w:numPr>
        <w:spacing w:after="120"/>
        <w:rPr>
          <w:color w:val="000000"/>
        </w:rPr>
      </w:pPr>
      <w:r>
        <w:rPr>
          <w:color w:val="000000"/>
        </w:rPr>
        <w:t>Labor costs for EPA headquarters employees</w:t>
      </w:r>
      <w:r w:rsidRPr="0043135F">
        <w:rPr>
          <w:color w:val="000000"/>
        </w:rPr>
        <w:t xml:space="preserve"> were estimated using the hourly rate of a GS-</w:t>
      </w:r>
      <w:r w:rsidR="00345F0C">
        <w:rPr>
          <w:color w:val="000000"/>
        </w:rPr>
        <w:t>14</w:t>
      </w:r>
      <w:r w:rsidRPr="0043135F">
        <w:rPr>
          <w:color w:val="000000"/>
        </w:rPr>
        <w:t xml:space="preserve">, Step </w:t>
      </w:r>
      <w:r w:rsidR="00345F0C">
        <w:rPr>
          <w:color w:val="000000"/>
        </w:rPr>
        <w:t>1</w:t>
      </w:r>
      <w:r w:rsidRPr="0043135F">
        <w:rPr>
          <w:color w:val="000000"/>
        </w:rPr>
        <w:t xml:space="preserve"> federal employee, of $</w:t>
      </w:r>
      <w:r w:rsidR="00345F0C">
        <w:rPr>
          <w:color w:val="000000"/>
        </w:rPr>
        <w:t>60.49</w:t>
      </w:r>
      <w:r w:rsidRPr="0043135F">
        <w:rPr>
          <w:color w:val="000000"/>
        </w:rPr>
        <w:t>.</w:t>
      </w:r>
      <w:r>
        <w:rPr>
          <w:rStyle w:val="FootnoteReference"/>
          <w:rFonts w:eastAsiaTheme="majorEastAsia"/>
          <w:color w:val="000000"/>
        </w:rPr>
        <w:footnoteReference w:id="7"/>
      </w:r>
      <w:r w:rsidRPr="0043135F">
        <w:rPr>
          <w:color w:val="000000"/>
        </w:rPr>
        <w:t xml:space="preserve"> Overhead costs are expected to be 60 percent, or $</w:t>
      </w:r>
      <w:r w:rsidR="00345F0C">
        <w:rPr>
          <w:color w:val="000000"/>
        </w:rPr>
        <w:t>36.29</w:t>
      </w:r>
      <w:r w:rsidRPr="0043135F">
        <w:rPr>
          <w:color w:val="000000"/>
        </w:rPr>
        <w:t xml:space="preserve"> per hour, yielding a total hourly rate </w:t>
      </w:r>
      <w:r w:rsidRPr="007320C2">
        <w:rPr>
          <w:color w:val="000000"/>
        </w:rPr>
        <w:t>of $</w:t>
      </w:r>
      <w:r w:rsidR="00345F0C">
        <w:rPr>
          <w:color w:val="000000"/>
        </w:rPr>
        <w:t>96.78</w:t>
      </w:r>
      <w:r>
        <w:rPr>
          <w:color w:val="000000"/>
        </w:rPr>
        <w:t>.</w:t>
      </w:r>
    </w:p>
    <w:p w:rsidR="008D2A4A" w:rsidP="008D2A4A" w14:paraId="6B942672" w14:textId="2BA53A8B">
      <w:pPr>
        <w:pStyle w:val="BodyText"/>
        <w:numPr>
          <w:ilvl w:val="1"/>
          <w:numId w:val="25"/>
        </w:numPr>
        <w:spacing w:after="120"/>
        <w:rPr>
          <w:color w:val="000000"/>
        </w:rPr>
      </w:pPr>
      <w:r>
        <w:rPr>
          <w:color w:val="000000"/>
        </w:rPr>
        <w:t>Labor costs for EPA regional employees</w:t>
      </w:r>
      <w:r w:rsidRPr="0043135F">
        <w:rPr>
          <w:color w:val="000000"/>
        </w:rPr>
        <w:t xml:space="preserve"> were estimated using the hourly rate of a GS-</w:t>
      </w:r>
      <w:r w:rsidR="00B71726">
        <w:rPr>
          <w:color w:val="000000"/>
        </w:rPr>
        <w:t>12</w:t>
      </w:r>
      <w:r w:rsidRPr="0043135F">
        <w:rPr>
          <w:color w:val="000000"/>
        </w:rPr>
        <w:t xml:space="preserve">, Step </w:t>
      </w:r>
      <w:r w:rsidR="00B71726">
        <w:rPr>
          <w:color w:val="000000"/>
        </w:rPr>
        <w:t>1</w:t>
      </w:r>
      <w:r w:rsidRPr="0043135F">
        <w:rPr>
          <w:color w:val="000000"/>
        </w:rPr>
        <w:t xml:space="preserve"> federal employee, of $</w:t>
      </w:r>
      <w:r w:rsidRPr="00B71726" w:rsidR="00B71726">
        <w:rPr>
          <w:rFonts w:ascii="Arial" w:hAnsi="Arial" w:cs="Arial"/>
          <w:color w:val="363636"/>
          <w:sz w:val="17"/>
          <w:szCs w:val="17"/>
          <w:shd w:val="clear" w:color="auto" w:fill="FFFFFF"/>
        </w:rPr>
        <w:t xml:space="preserve"> </w:t>
      </w:r>
      <w:r w:rsidRPr="00345F0C" w:rsidR="00B71726">
        <w:rPr>
          <w:color w:val="000000"/>
        </w:rPr>
        <w:t>32.73</w:t>
      </w:r>
      <w:r w:rsidRPr="0043135F">
        <w:rPr>
          <w:color w:val="000000"/>
        </w:rPr>
        <w:t>.</w:t>
      </w:r>
      <w:r>
        <w:rPr>
          <w:rStyle w:val="FootnoteReference"/>
          <w:rFonts w:eastAsiaTheme="majorEastAsia"/>
          <w:color w:val="000000"/>
        </w:rPr>
        <w:footnoteReference w:id="8"/>
      </w:r>
      <w:r w:rsidRPr="0043135F">
        <w:rPr>
          <w:color w:val="000000"/>
        </w:rPr>
        <w:t xml:space="preserve"> Overhead costs are expected to be 60 percent, or $</w:t>
      </w:r>
      <w:r w:rsidR="00345F0C">
        <w:rPr>
          <w:color w:val="000000"/>
        </w:rPr>
        <w:t>19.64</w:t>
      </w:r>
      <w:r w:rsidRPr="0043135F">
        <w:rPr>
          <w:color w:val="000000"/>
        </w:rPr>
        <w:t xml:space="preserve"> per hour, yielding a total hourly rate </w:t>
      </w:r>
      <w:r w:rsidRPr="007320C2">
        <w:rPr>
          <w:color w:val="000000"/>
        </w:rPr>
        <w:t>of $</w:t>
      </w:r>
      <w:r w:rsidR="00345F0C">
        <w:rPr>
          <w:color w:val="000000"/>
        </w:rPr>
        <w:t>52.37</w:t>
      </w:r>
      <w:r>
        <w:rPr>
          <w:color w:val="000000"/>
        </w:rPr>
        <w:t>.</w:t>
      </w:r>
      <w:r>
        <w:rPr>
          <w:color w:val="000000"/>
        </w:rPr>
        <w:t xml:space="preserve"> </w:t>
      </w:r>
    </w:p>
    <w:p w:rsidR="008D2A4A" w:rsidP="008D2A4A" w14:paraId="3C8FE86F" w14:textId="46A4F06A">
      <w:pPr>
        <w:pStyle w:val="BodyText"/>
        <w:numPr>
          <w:ilvl w:val="0"/>
          <w:numId w:val="25"/>
        </w:numPr>
        <w:spacing w:after="120"/>
        <w:rPr>
          <w:color w:val="000000"/>
        </w:rPr>
      </w:pPr>
      <w:r>
        <w:rPr>
          <w:color w:val="000000"/>
        </w:rPr>
        <w:t xml:space="preserve">The </w:t>
      </w:r>
      <w:r w:rsidR="000C3793">
        <w:rPr>
          <w:b/>
          <w:color w:val="000000"/>
        </w:rPr>
        <w:t>op</w:t>
      </w:r>
      <w:r w:rsidRPr="0070189C">
        <w:rPr>
          <w:b/>
          <w:color w:val="000000"/>
        </w:rPr>
        <w:t xml:space="preserve">erations and </w:t>
      </w:r>
      <w:r w:rsidR="000C3793">
        <w:rPr>
          <w:b/>
          <w:color w:val="000000"/>
        </w:rPr>
        <w:t>m</w:t>
      </w:r>
      <w:r w:rsidRPr="0070189C">
        <w:rPr>
          <w:b/>
          <w:color w:val="000000"/>
        </w:rPr>
        <w:t xml:space="preserve">aintenance (O&amp;M) </w:t>
      </w:r>
      <w:r w:rsidR="00561A5D">
        <w:rPr>
          <w:b/>
          <w:color w:val="000000"/>
        </w:rPr>
        <w:t>costs</w:t>
      </w:r>
      <w:r>
        <w:rPr>
          <w:color w:val="000000"/>
        </w:rPr>
        <w:t xml:space="preserve"> are estimated separately.</w:t>
      </w:r>
    </w:p>
    <w:p w:rsidR="008D2A4A" w:rsidRPr="0011136B" w:rsidP="0011136B" w14:paraId="77D4BCBE" w14:textId="0DD774AD">
      <w:pPr>
        <w:pStyle w:val="BodyText"/>
      </w:pPr>
      <w:r w:rsidRPr="0011136B">
        <w:t xml:space="preserve">There are no </w:t>
      </w:r>
      <w:r w:rsidR="008A5FC5">
        <w:t>c</w:t>
      </w:r>
      <w:r w:rsidRPr="0011136B">
        <w:t xml:space="preserve">apital </w:t>
      </w:r>
      <w:r w:rsidR="008A5FC5">
        <w:t>e</w:t>
      </w:r>
      <w:r w:rsidRPr="0011136B">
        <w:t>xpenses in this ICR.</w:t>
      </w:r>
    </w:p>
    <w:p w:rsidR="008D2A4A" w:rsidP="0011136B" w14:paraId="3759BDBC" w14:textId="16EA4646">
      <w:pPr>
        <w:pStyle w:val="BodyText"/>
      </w:pPr>
      <w:r w:rsidRPr="0011136B">
        <w:t>In developing burden estimates, this ICR generally uses conservative assumptions (i.e., assumptions designed to avoid underestimating the burden).</w:t>
      </w:r>
    </w:p>
    <w:p w:rsidR="00DA31DD" w:rsidP="00DA31DD" w14:paraId="38229A19" w14:textId="31D3405A">
      <w:pPr>
        <w:pStyle w:val="Heading2"/>
      </w:pPr>
      <w:bookmarkStart w:id="102" w:name="_Toc105018608"/>
      <w:r>
        <w:t>6(a)</w:t>
      </w:r>
      <w:r>
        <w:tab/>
        <w:t>Estimating Respondent Burden</w:t>
      </w:r>
      <w:bookmarkEnd w:id="99"/>
      <w:bookmarkEnd w:id="100"/>
      <w:r>
        <w:t xml:space="preserve"> </w:t>
      </w:r>
      <w:r w:rsidR="00C4073D">
        <w:t>and Cost</w:t>
      </w:r>
      <w:bookmarkEnd w:id="102"/>
      <w:r w:rsidR="00DC76C6">
        <w:t>s</w:t>
      </w:r>
    </w:p>
    <w:p w:rsidR="00E249D7" w:rsidP="00E249D7" w14:paraId="3A2684A5" w14:textId="773DAD20">
      <w:pPr>
        <w:pStyle w:val="Tabletext"/>
        <w:spacing w:before="0" w:after="120"/>
        <w:rPr>
          <w:rFonts w:ascii="Times New Roman" w:hAnsi="Times New Roman" w:cs="Times New Roman"/>
          <w:sz w:val="24"/>
          <w:szCs w:val="24"/>
        </w:rPr>
      </w:pPr>
      <w:r w:rsidRPr="005E3533">
        <w:rPr>
          <w:rFonts w:ascii="Times New Roman" w:hAnsi="Times New Roman" w:cs="Times New Roman"/>
          <w:sz w:val="24"/>
          <w:szCs w:val="24"/>
        </w:rPr>
        <w:t xml:space="preserve">The BEACH Act requires jurisdictions receiving grants to devote time and resources to </w:t>
      </w:r>
      <w:r w:rsidR="00EB21DA">
        <w:rPr>
          <w:rFonts w:ascii="Times New Roman" w:hAnsi="Times New Roman" w:cs="Times New Roman"/>
          <w:sz w:val="24"/>
          <w:szCs w:val="24"/>
        </w:rPr>
        <w:t xml:space="preserve">develop and </w:t>
      </w:r>
      <w:r w:rsidRPr="005E3533">
        <w:rPr>
          <w:rFonts w:ascii="Times New Roman" w:hAnsi="Times New Roman" w:cs="Times New Roman"/>
          <w:sz w:val="24"/>
          <w:szCs w:val="24"/>
        </w:rPr>
        <w:t>implement a monitoring and notification program to meet the performance criteria outlined in the</w:t>
      </w:r>
      <w:r w:rsidRPr="005E3533">
        <w:rPr>
          <w:rFonts w:ascii="Times New Roman" w:hAnsi="Times New Roman" w:cs="Times New Roman"/>
          <w:i/>
          <w:sz w:val="24"/>
          <w:szCs w:val="24"/>
        </w:rPr>
        <w:t xml:space="preserve"> </w:t>
      </w:r>
      <w:r w:rsidRPr="00EC2C03">
        <w:rPr>
          <w:rFonts w:ascii="Times New Roman" w:hAnsi="Times New Roman" w:cs="Times New Roman"/>
          <w:iCs/>
          <w:sz w:val="24"/>
          <w:szCs w:val="24"/>
        </w:rPr>
        <w:t>National Beach Guidance</w:t>
      </w:r>
      <w:r w:rsidRPr="005E3533">
        <w:rPr>
          <w:rFonts w:ascii="Times New Roman" w:hAnsi="Times New Roman" w:cs="Times New Roman"/>
          <w:sz w:val="24"/>
          <w:szCs w:val="24"/>
        </w:rPr>
        <w:t xml:space="preserve">. The time and effort required to meet the performance criteria differs significantly between </w:t>
      </w:r>
      <w:r>
        <w:rPr>
          <w:rFonts w:ascii="Times New Roman" w:hAnsi="Times New Roman" w:cs="Times New Roman"/>
          <w:sz w:val="24"/>
          <w:szCs w:val="24"/>
        </w:rPr>
        <w:t>programs in the developmental stage and implementation stage. T</w:t>
      </w:r>
      <w:r w:rsidRPr="005E3533">
        <w:rPr>
          <w:rFonts w:ascii="Times New Roman" w:hAnsi="Times New Roman" w:cs="Times New Roman"/>
          <w:sz w:val="24"/>
          <w:szCs w:val="24"/>
        </w:rPr>
        <w:t>herefore</w:t>
      </w:r>
      <w:r w:rsidR="0020712C">
        <w:rPr>
          <w:rFonts w:ascii="Times New Roman" w:hAnsi="Times New Roman" w:cs="Times New Roman"/>
          <w:sz w:val="24"/>
          <w:szCs w:val="24"/>
        </w:rPr>
        <w:t>,</w:t>
      </w:r>
      <w:r w:rsidRPr="005E3533">
        <w:rPr>
          <w:rFonts w:ascii="Times New Roman" w:hAnsi="Times New Roman" w:cs="Times New Roman"/>
          <w:sz w:val="24"/>
          <w:szCs w:val="24"/>
        </w:rPr>
        <w:t xml:space="preserve"> </w:t>
      </w:r>
      <w:r>
        <w:rPr>
          <w:rFonts w:ascii="Times New Roman" w:hAnsi="Times New Roman" w:cs="Times New Roman"/>
          <w:sz w:val="24"/>
          <w:szCs w:val="24"/>
        </w:rPr>
        <w:t xml:space="preserve">separate respondent </w:t>
      </w:r>
      <w:r w:rsidRPr="005E3533">
        <w:rPr>
          <w:rFonts w:ascii="Times New Roman" w:hAnsi="Times New Roman" w:cs="Times New Roman"/>
          <w:sz w:val="24"/>
          <w:szCs w:val="24"/>
        </w:rPr>
        <w:t xml:space="preserve">burden estimates are developed </w:t>
      </w:r>
      <w:r>
        <w:rPr>
          <w:rFonts w:ascii="Times New Roman" w:hAnsi="Times New Roman" w:cs="Times New Roman"/>
          <w:sz w:val="24"/>
          <w:szCs w:val="24"/>
        </w:rPr>
        <w:t>for such programs.</w:t>
      </w:r>
    </w:p>
    <w:p w:rsidR="00E249D7" w:rsidP="00E249D7" w14:paraId="20E4635B" w14:textId="4F2AE727">
      <w:pPr>
        <w:pStyle w:val="Tabletext"/>
        <w:spacing w:before="0" w:after="120"/>
        <w:rPr>
          <w:rFonts w:ascii="Times New Roman" w:hAnsi="Times New Roman" w:cs="Times New Roman"/>
          <w:sz w:val="24"/>
          <w:szCs w:val="24"/>
        </w:rPr>
      </w:pPr>
      <w:r w:rsidRPr="005E3533">
        <w:rPr>
          <w:rFonts w:ascii="Times New Roman" w:hAnsi="Times New Roman" w:cs="Times New Roman"/>
          <w:sz w:val="24"/>
          <w:szCs w:val="24"/>
        </w:rPr>
        <w:t>For programs</w:t>
      </w:r>
      <w:r>
        <w:rPr>
          <w:rFonts w:ascii="Times New Roman" w:hAnsi="Times New Roman" w:cs="Times New Roman"/>
          <w:sz w:val="24"/>
          <w:szCs w:val="24"/>
        </w:rPr>
        <w:t xml:space="preserve"> in the development stage, EPA estimates one respondent during the three-year period of this ICR. That is, once every three years, one tribal jurisdiction would become eligible to receive BEACH Act grants and develop a monitoring and notification program and be required to submit information to EPA.</w:t>
      </w:r>
    </w:p>
    <w:p w:rsidR="00E249D7" w:rsidP="00E249D7" w14:paraId="2A358E90" w14:textId="5ECAB3A3">
      <w:pPr>
        <w:pStyle w:val="Tabletext"/>
        <w:spacing w:before="0" w:after="120"/>
        <w:rPr>
          <w:rFonts w:ascii="Times New Roman" w:hAnsi="Times New Roman" w:cs="Times New Roman"/>
          <w:sz w:val="24"/>
          <w:szCs w:val="24"/>
        </w:rPr>
      </w:pPr>
      <w:r>
        <w:rPr>
          <w:rFonts w:ascii="Times New Roman" w:hAnsi="Times New Roman" w:cs="Times New Roman"/>
          <w:sz w:val="24"/>
          <w:szCs w:val="24"/>
        </w:rPr>
        <w:t xml:space="preserve">For established programs in the implementation phase, EPA estimates 40 annual respondents during the three-year period of this ICR. The 40 respondents include the 39 jurisdictions who </w:t>
      </w:r>
      <w:r>
        <w:rPr>
          <w:rFonts w:ascii="Times New Roman" w:hAnsi="Times New Roman" w:cs="Times New Roman"/>
          <w:sz w:val="24"/>
          <w:szCs w:val="24"/>
        </w:rPr>
        <w:t>currently receive BEACH Act grants as well as the one newly eligible tribe after it has moved from the development stage to the implementation stage during the period of this ICR.</w:t>
      </w:r>
    </w:p>
    <w:p w:rsidR="00996297" w:rsidP="0043480C" w14:paraId="0D3E4EB5" w14:textId="47202514">
      <w:pPr>
        <w:pStyle w:val="Bullet-last"/>
        <w:keepNext/>
      </w:pPr>
      <w:r w:rsidRPr="005E3533">
        <w:rPr>
          <w:u w:val="single"/>
        </w:rPr>
        <w:t>Grant Activities</w:t>
      </w:r>
      <w:r w:rsidR="002B3CB6">
        <w:rPr>
          <w:u w:val="single"/>
        </w:rPr>
        <w:t xml:space="preserve"> for Programs in the Developmental Stage</w:t>
      </w:r>
    </w:p>
    <w:p w:rsidR="00996297" w:rsidRPr="008A5FC5" w:rsidP="00996297" w14:paraId="2A5E3A77" w14:textId="170F4C61">
      <w:pPr>
        <w:spacing w:after="240"/>
        <w:rPr>
          <w:b/>
          <w:bCs/>
          <w:sz w:val="24"/>
          <w:szCs w:val="24"/>
        </w:rPr>
      </w:pPr>
      <w:r>
        <w:rPr>
          <w:i/>
          <w:iCs/>
          <w:sz w:val="24"/>
          <w:szCs w:val="24"/>
        </w:rPr>
        <w:t>Respondent</w:t>
      </w:r>
      <w:r w:rsidRPr="008A5FC5">
        <w:rPr>
          <w:i/>
          <w:iCs/>
          <w:sz w:val="24"/>
          <w:szCs w:val="24"/>
        </w:rPr>
        <w:t xml:space="preserve"> </w:t>
      </w:r>
      <w:r w:rsidRPr="008A5FC5">
        <w:rPr>
          <w:i/>
          <w:iCs/>
          <w:sz w:val="24"/>
          <w:szCs w:val="24"/>
        </w:rPr>
        <w:t xml:space="preserve">burden: </w:t>
      </w:r>
      <w:r w:rsidRPr="008A5FC5">
        <w:rPr>
          <w:sz w:val="24"/>
          <w:szCs w:val="24"/>
        </w:rPr>
        <w:t xml:space="preserve">EPA has estimated the respondent burden for all aspects of </w:t>
      </w:r>
      <w:r>
        <w:rPr>
          <w:sz w:val="24"/>
          <w:szCs w:val="24"/>
        </w:rPr>
        <w:t>developing a beach program</w:t>
      </w:r>
      <w:r w:rsidRPr="008A5FC5">
        <w:rPr>
          <w:sz w:val="24"/>
          <w:szCs w:val="24"/>
        </w:rPr>
        <w:t xml:space="preserve"> described in section 4</w:t>
      </w:r>
      <w:r>
        <w:rPr>
          <w:sz w:val="24"/>
          <w:szCs w:val="24"/>
        </w:rPr>
        <w:t>(b)</w:t>
      </w:r>
      <w:r w:rsidRPr="008A5FC5">
        <w:rPr>
          <w:sz w:val="24"/>
          <w:szCs w:val="24"/>
        </w:rPr>
        <w:t xml:space="preserve">, </w:t>
      </w:r>
      <w:r>
        <w:rPr>
          <w:sz w:val="24"/>
          <w:szCs w:val="24"/>
        </w:rPr>
        <w:t xml:space="preserve">shown in Table </w:t>
      </w:r>
      <w:r w:rsidR="00561A5D">
        <w:rPr>
          <w:sz w:val="24"/>
          <w:szCs w:val="24"/>
        </w:rPr>
        <w:t>1</w:t>
      </w:r>
      <w:r>
        <w:rPr>
          <w:sz w:val="24"/>
          <w:szCs w:val="24"/>
        </w:rPr>
        <w:t xml:space="preserve">. </w:t>
      </w:r>
      <w:r w:rsidRPr="008A5FC5">
        <w:rPr>
          <w:sz w:val="24"/>
          <w:szCs w:val="24"/>
        </w:rPr>
        <w:t xml:space="preserve">EPA estimates that the annual burden on the average </w:t>
      </w:r>
      <w:r>
        <w:rPr>
          <w:sz w:val="24"/>
          <w:szCs w:val="24"/>
        </w:rPr>
        <w:t>jurisdiction</w:t>
      </w:r>
      <w:r w:rsidRPr="008A5FC5">
        <w:rPr>
          <w:sz w:val="24"/>
          <w:szCs w:val="24"/>
        </w:rPr>
        <w:t xml:space="preserve"> for these actions is </w:t>
      </w:r>
      <w:r>
        <w:rPr>
          <w:sz w:val="24"/>
          <w:szCs w:val="24"/>
        </w:rPr>
        <w:t>124</w:t>
      </w:r>
      <w:r w:rsidRPr="008A5FC5">
        <w:rPr>
          <w:sz w:val="24"/>
          <w:szCs w:val="24"/>
        </w:rPr>
        <w:t xml:space="preserve"> hours</w:t>
      </w:r>
      <w:r>
        <w:rPr>
          <w:sz w:val="24"/>
          <w:szCs w:val="24"/>
        </w:rPr>
        <w:t xml:space="preserve"> for beach program managers and 598 hours for technical staff</w:t>
      </w:r>
      <w:r w:rsidRPr="008A5FC5">
        <w:rPr>
          <w:sz w:val="24"/>
          <w:szCs w:val="24"/>
        </w:rPr>
        <w:t>. Based on a</w:t>
      </w:r>
      <w:r>
        <w:rPr>
          <w:sz w:val="24"/>
          <w:szCs w:val="24"/>
        </w:rPr>
        <w:t>n estimated one new jurisdiction every three years</w:t>
      </w:r>
      <w:r w:rsidRPr="008A5FC5">
        <w:rPr>
          <w:sz w:val="24"/>
          <w:szCs w:val="24"/>
        </w:rPr>
        <w:t>, the total estimated burden hours are (</w:t>
      </w:r>
      <w:r>
        <w:rPr>
          <w:sz w:val="24"/>
          <w:szCs w:val="24"/>
        </w:rPr>
        <w:t>722</w:t>
      </w:r>
      <w:r w:rsidRPr="008A5FC5">
        <w:rPr>
          <w:sz w:val="24"/>
          <w:szCs w:val="24"/>
        </w:rPr>
        <w:t xml:space="preserve"> hours) </w:t>
      </w:r>
      <w:r>
        <w:rPr>
          <w:sz w:val="24"/>
          <w:szCs w:val="24"/>
        </w:rPr>
        <w:t xml:space="preserve">* (1 jurisdiction) </w:t>
      </w:r>
      <w:r w:rsidRPr="008A5FC5">
        <w:rPr>
          <w:sz w:val="24"/>
          <w:szCs w:val="24"/>
        </w:rPr>
        <w:t xml:space="preserve">= </w:t>
      </w:r>
      <w:r>
        <w:rPr>
          <w:b/>
          <w:bCs/>
          <w:sz w:val="24"/>
          <w:szCs w:val="24"/>
        </w:rPr>
        <w:t>722</w:t>
      </w:r>
      <w:r w:rsidRPr="006F5175">
        <w:rPr>
          <w:b/>
          <w:bCs/>
          <w:sz w:val="24"/>
          <w:szCs w:val="24"/>
        </w:rPr>
        <w:t xml:space="preserve"> </w:t>
      </w:r>
      <w:r w:rsidRPr="008A5FC5">
        <w:rPr>
          <w:b/>
          <w:bCs/>
          <w:sz w:val="24"/>
          <w:szCs w:val="24"/>
        </w:rPr>
        <w:t>hours</w:t>
      </w:r>
      <w:r w:rsidRPr="008A5FC5">
        <w:rPr>
          <w:sz w:val="24"/>
          <w:szCs w:val="24"/>
        </w:rPr>
        <w:t>.</w:t>
      </w:r>
    </w:p>
    <w:p w:rsidR="00996297" w:rsidRPr="008A5FC5" w:rsidP="00996297" w14:paraId="7BF5B05B" w14:textId="18F137B5">
      <w:pPr>
        <w:spacing w:after="120"/>
        <w:rPr>
          <w:sz w:val="24"/>
          <w:szCs w:val="24"/>
        </w:rPr>
      </w:pPr>
      <w:r>
        <w:rPr>
          <w:i/>
          <w:iCs/>
          <w:sz w:val="24"/>
          <w:szCs w:val="24"/>
        </w:rPr>
        <w:t>Respondent</w:t>
      </w:r>
      <w:r w:rsidRPr="008A5FC5">
        <w:rPr>
          <w:i/>
          <w:iCs/>
          <w:sz w:val="24"/>
          <w:szCs w:val="24"/>
        </w:rPr>
        <w:t xml:space="preserve"> </w:t>
      </w:r>
      <w:r w:rsidR="0051585C">
        <w:rPr>
          <w:i/>
          <w:iCs/>
          <w:sz w:val="24"/>
          <w:szCs w:val="24"/>
        </w:rPr>
        <w:t xml:space="preserve">labor </w:t>
      </w:r>
      <w:r w:rsidRPr="008A5FC5">
        <w:rPr>
          <w:i/>
          <w:iCs/>
          <w:sz w:val="24"/>
          <w:szCs w:val="24"/>
        </w:rPr>
        <w:t xml:space="preserve">costs: </w:t>
      </w:r>
      <w:r w:rsidRPr="008A5FC5">
        <w:rPr>
          <w:sz w:val="24"/>
          <w:szCs w:val="24"/>
        </w:rPr>
        <w:t xml:space="preserve">Total estimated annual costs are </w:t>
      </w:r>
      <w:r w:rsidR="006C7860">
        <w:rPr>
          <w:sz w:val="24"/>
          <w:szCs w:val="24"/>
        </w:rPr>
        <w:t>[</w:t>
      </w:r>
      <w:r w:rsidRPr="008A5FC5">
        <w:rPr>
          <w:sz w:val="24"/>
          <w:szCs w:val="24"/>
        </w:rPr>
        <w:t>(</w:t>
      </w:r>
      <w:r>
        <w:rPr>
          <w:sz w:val="24"/>
          <w:szCs w:val="24"/>
        </w:rPr>
        <w:t>124</w:t>
      </w:r>
      <w:r w:rsidRPr="008A5FC5">
        <w:rPr>
          <w:sz w:val="24"/>
          <w:szCs w:val="24"/>
        </w:rPr>
        <w:t xml:space="preserve"> hours) * ($</w:t>
      </w:r>
      <w:r w:rsidR="00FE0D0D">
        <w:rPr>
          <w:sz w:val="24"/>
          <w:szCs w:val="24"/>
        </w:rPr>
        <w:t>79.28</w:t>
      </w:r>
      <w:r w:rsidRPr="008A5FC5">
        <w:rPr>
          <w:sz w:val="24"/>
          <w:szCs w:val="24"/>
        </w:rPr>
        <w:t xml:space="preserve"> per hour)</w:t>
      </w:r>
      <w:r w:rsidR="006C7860">
        <w:rPr>
          <w:sz w:val="24"/>
          <w:szCs w:val="24"/>
        </w:rPr>
        <w:t>]</w:t>
      </w:r>
      <w:r w:rsidRPr="008A5FC5">
        <w:rPr>
          <w:sz w:val="24"/>
          <w:szCs w:val="24"/>
        </w:rPr>
        <w:t xml:space="preserve"> </w:t>
      </w:r>
      <w:r>
        <w:rPr>
          <w:sz w:val="24"/>
          <w:szCs w:val="24"/>
        </w:rPr>
        <w:t xml:space="preserve">+ </w:t>
      </w:r>
      <w:r w:rsidR="006C7860">
        <w:rPr>
          <w:sz w:val="24"/>
          <w:szCs w:val="24"/>
        </w:rPr>
        <w:t>[</w:t>
      </w:r>
      <w:r>
        <w:rPr>
          <w:sz w:val="24"/>
          <w:szCs w:val="24"/>
        </w:rPr>
        <w:t>(598 hours) * ($</w:t>
      </w:r>
      <w:r w:rsidR="00D01DA0">
        <w:rPr>
          <w:sz w:val="24"/>
          <w:szCs w:val="24"/>
        </w:rPr>
        <w:t>37</w:t>
      </w:r>
      <w:r w:rsidR="002C7FA9">
        <w:rPr>
          <w:sz w:val="24"/>
          <w:szCs w:val="24"/>
        </w:rPr>
        <w:t>.76</w:t>
      </w:r>
      <w:r>
        <w:rPr>
          <w:sz w:val="24"/>
          <w:szCs w:val="24"/>
        </w:rPr>
        <w:t xml:space="preserve"> per hour)</w:t>
      </w:r>
      <w:r w:rsidR="006C7860">
        <w:rPr>
          <w:sz w:val="24"/>
          <w:szCs w:val="24"/>
        </w:rPr>
        <w:t>]</w:t>
      </w:r>
      <w:r>
        <w:rPr>
          <w:sz w:val="24"/>
          <w:szCs w:val="24"/>
        </w:rPr>
        <w:t xml:space="preserve"> </w:t>
      </w:r>
      <w:r w:rsidRPr="008A5FC5">
        <w:rPr>
          <w:sz w:val="24"/>
          <w:szCs w:val="24"/>
        </w:rPr>
        <w:t xml:space="preserve">= </w:t>
      </w:r>
      <w:r w:rsidRPr="008A5FC5">
        <w:rPr>
          <w:b/>
          <w:bCs/>
          <w:sz w:val="24"/>
          <w:szCs w:val="24"/>
        </w:rPr>
        <w:t>$</w:t>
      </w:r>
      <w:r w:rsidRPr="002117F7" w:rsidR="00C84D64">
        <w:rPr>
          <w:b/>
          <w:sz w:val="24"/>
          <w:szCs w:val="24"/>
        </w:rPr>
        <w:t>32,</w:t>
      </w:r>
      <w:r w:rsidRPr="002117F7" w:rsidR="00551DC8">
        <w:rPr>
          <w:b/>
          <w:sz w:val="24"/>
          <w:szCs w:val="24"/>
        </w:rPr>
        <w:t>411</w:t>
      </w:r>
      <w:r w:rsidRPr="00416429" w:rsidR="00840894">
        <w:rPr>
          <w:sz w:val="24"/>
          <w:szCs w:val="24"/>
        </w:rPr>
        <w:t>, rounded to the nearest dollar.</w:t>
      </w:r>
    </w:p>
    <w:p w:rsidR="00996297" w:rsidRPr="00AF3032" w:rsidP="003854B3" w14:paraId="1B7B9E0E" w14:textId="4CEBBA01">
      <w:pPr>
        <w:pStyle w:val="Bullet-last"/>
        <w:keepNext/>
        <w:rPr>
          <w:b/>
          <w:bCs/>
        </w:rPr>
      </w:pPr>
      <w:r w:rsidRPr="00AF3032">
        <w:rPr>
          <w:b/>
          <w:bCs/>
        </w:rPr>
        <w:t xml:space="preserve">Table </w:t>
      </w:r>
      <w:r w:rsidRPr="00AF3032" w:rsidR="00561A5D">
        <w:rPr>
          <w:b/>
          <w:bCs/>
        </w:rPr>
        <w:t>1</w:t>
      </w:r>
      <w:r w:rsidRPr="00AF3032">
        <w:rPr>
          <w:b/>
          <w:bCs/>
        </w:rPr>
        <w:t xml:space="preserve">. Burden Associated </w:t>
      </w:r>
      <w:r w:rsidRPr="00AF3032" w:rsidR="00CB112B">
        <w:rPr>
          <w:b/>
          <w:bCs/>
        </w:rPr>
        <w:t>w</w:t>
      </w:r>
      <w:r w:rsidRPr="00AF3032">
        <w:rPr>
          <w:b/>
          <w:bCs/>
        </w:rPr>
        <w:t>ith Activities</w:t>
      </w:r>
      <w:r w:rsidRPr="00AF3032" w:rsidR="006A60B0">
        <w:rPr>
          <w:b/>
          <w:bCs/>
        </w:rPr>
        <w:t xml:space="preserve"> for </w:t>
      </w:r>
      <w:r w:rsidRPr="00AF3032" w:rsidR="00667509">
        <w:rPr>
          <w:b/>
          <w:bCs/>
        </w:rPr>
        <w:t xml:space="preserve">a </w:t>
      </w:r>
      <w:r w:rsidRPr="00AF3032" w:rsidR="006A60B0">
        <w:rPr>
          <w:b/>
          <w:bCs/>
        </w:rPr>
        <w:t xml:space="preserve">Program in the </w:t>
      </w:r>
      <w:r w:rsidRPr="00AF3032">
        <w:rPr>
          <w:b/>
          <w:bCs/>
        </w:rPr>
        <w:t xml:space="preserve">Developmental </w:t>
      </w:r>
      <w:r w:rsidRPr="00AF3032" w:rsidR="006A60B0">
        <w:rPr>
          <w:b/>
          <w:bCs/>
        </w:rPr>
        <w:t>Stage</w:t>
      </w:r>
    </w:p>
    <w:tbl>
      <w:tblPr>
        <w:tblW w:w="9360" w:type="dxa"/>
        <w:tblLook w:val="04A0"/>
      </w:tblPr>
      <w:tblGrid>
        <w:gridCol w:w="5638"/>
        <w:gridCol w:w="1987"/>
        <w:gridCol w:w="1735"/>
      </w:tblGrid>
      <w:tr w14:paraId="5822B27A" w14:textId="77777777" w:rsidTr="002117F7">
        <w:tblPrEx>
          <w:tblW w:w="9360" w:type="dxa"/>
          <w:tblLook w:val="04A0"/>
        </w:tblPrEx>
        <w:trPr>
          <w:cantSplit/>
          <w:tblHeader/>
        </w:trPr>
        <w:tc>
          <w:tcPr>
            <w:tcW w:w="39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297" w:rsidRPr="00AA70CF" w:rsidP="00F22B0E" w14:paraId="706B3076" w14:textId="77777777">
            <w:pPr>
              <w:autoSpaceDE/>
              <w:autoSpaceDN/>
              <w:adjustRightInd/>
              <w:rPr>
                <w:b/>
                <w:color w:val="000000"/>
                <w:sz w:val="24"/>
                <w:szCs w:val="24"/>
              </w:rPr>
            </w:pPr>
            <w:r w:rsidRPr="00AA70CF">
              <w:rPr>
                <w:b/>
                <w:color w:val="000000" w:themeColor="text1"/>
                <w:sz w:val="24"/>
                <w:szCs w:val="24"/>
              </w:rPr>
              <w:t>Activity</w:t>
            </w:r>
          </w:p>
        </w:tc>
        <w:tc>
          <w:tcPr>
            <w:tcW w:w="1254" w:type="dxa"/>
            <w:tcBorders>
              <w:top w:val="single" w:sz="8" w:space="0" w:color="auto"/>
              <w:left w:val="nil"/>
              <w:bottom w:val="single" w:sz="8" w:space="0" w:color="auto"/>
              <w:right w:val="single" w:sz="8" w:space="0" w:color="auto"/>
            </w:tcBorders>
            <w:shd w:val="clear" w:color="auto" w:fill="auto"/>
            <w:vAlign w:val="center"/>
            <w:hideMark/>
          </w:tcPr>
          <w:p w:rsidR="00996297" w:rsidRPr="00AA70CF" w:rsidP="00F22B0E" w14:paraId="5B2F139B" w14:textId="77777777">
            <w:pPr>
              <w:autoSpaceDE/>
              <w:autoSpaceDN/>
              <w:adjustRightInd/>
              <w:jc w:val="center"/>
              <w:rPr>
                <w:b/>
                <w:color w:val="000000"/>
                <w:sz w:val="24"/>
                <w:szCs w:val="24"/>
              </w:rPr>
            </w:pPr>
            <w:r w:rsidRPr="00AA70CF">
              <w:rPr>
                <w:b/>
                <w:color w:val="000000" w:themeColor="text1"/>
                <w:sz w:val="24"/>
                <w:szCs w:val="24"/>
              </w:rPr>
              <w:t>Managerial burden (hours)</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996297" w:rsidRPr="00AA70CF" w:rsidP="00F22B0E" w14:paraId="380FFB26" w14:textId="77777777">
            <w:pPr>
              <w:autoSpaceDE/>
              <w:autoSpaceDN/>
              <w:adjustRightInd/>
              <w:jc w:val="center"/>
              <w:rPr>
                <w:b/>
                <w:color w:val="000000"/>
                <w:sz w:val="24"/>
                <w:szCs w:val="24"/>
              </w:rPr>
            </w:pPr>
            <w:r w:rsidRPr="00AA70CF">
              <w:rPr>
                <w:b/>
                <w:color w:val="000000" w:themeColor="text1"/>
                <w:sz w:val="24"/>
                <w:szCs w:val="24"/>
              </w:rPr>
              <w:t>Technical burden (hours)</w:t>
            </w:r>
          </w:p>
        </w:tc>
      </w:tr>
      <w:tr w14:paraId="5A6B5F2F"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9E4E88" w:rsidP="00F22B0E" w14:paraId="4625CBB6" w14:textId="77777777">
            <w:pPr>
              <w:autoSpaceDE/>
              <w:autoSpaceDN/>
              <w:adjustRightInd/>
              <w:rPr>
                <w:color w:val="000000"/>
                <w:sz w:val="24"/>
                <w:szCs w:val="24"/>
              </w:rPr>
            </w:pPr>
            <w:r w:rsidRPr="009E1FFA">
              <w:rPr>
                <w:color w:val="000000" w:themeColor="text1"/>
                <w:sz w:val="24"/>
                <w:szCs w:val="24"/>
              </w:rPr>
              <w:t>Identify and tier coastal recreational waters.</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9E4E88" w:rsidP="00F22B0E" w14:paraId="3304D358" w14:textId="77777777">
            <w:pPr>
              <w:autoSpaceDE/>
              <w:autoSpaceDN/>
              <w:adjustRightInd/>
              <w:ind w:firstLine="480" w:firstLineChars="200"/>
              <w:jc w:val="right"/>
              <w:rPr>
                <w:color w:val="000000"/>
                <w:sz w:val="24"/>
                <w:szCs w:val="24"/>
              </w:rPr>
            </w:pPr>
            <w:r w:rsidRPr="009E4E88">
              <w:rPr>
                <w:color w:val="000000" w:themeColor="text1"/>
                <w:sz w:val="24"/>
                <w:szCs w:val="24"/>
              </w:rPr>
              <w:t>35</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9E4E88" w:rsidP="00F22B0E" w14:paraId="5B2CA2B8" w14:textId="77777777">
            <w:pPr>
              <w:autoSpaceDE/>
              <w:autoSpaceDN/>
              <w:adjustRightInd/>
              <w:ind w:firstLine="480" w:firstLineChars="200"/>
              <w:jc w:val="right"/>
              <w:rPr>
                <w:color w:val="000000"/>
                <w:sz w:val="24"/>
                <w:szCs w:val="24"/>
              </w:rPr>
            </w:pPr>
            <w:r w:rsidRPr="009E4E88">
              <w:rPr>
                <w:color w:val="000000" w:themeColor="text1"/>
                <w:sz w:val="24"/>
                <w:szCs w:val="24"/>
              </w:rPr>
              <w:t>200</w:t>
            </w:r>
          </w:p>
        </w:tc>
      </w:tr>
      <w:tr w14:paraId="282C863B"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9E4E88" w:rsidP="00F22B0E" w14:paraId="642F6EF4" w14:textId="77777777">
            <w:pPr>
              <w:autoSpaceDE/>
              <w:autoSpaceDN/>
              <w:adjustRightInd/>
              <w:rPr>
                <w:color w:val="000000"/>
                <w:sz w:val="24"/>
                <w:szCs w:val="24"/>
              </w:rPr>
            </w:pPr>
            <w:r w:rsidRPr="009E4E88">
              <w:rPr>
                <w:color w:val="000000" w:themeColor="text1"/>
                <w:sz w:val="24"/>
                <w:szCs w:val="24"/>
              </w:rPr>
              <w:t>Provide for public review of coastal recreational waters and tier classifications.</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9E4E88" w:rsidP="00F22B0E" w14:paraId="0AC08187" w14:textId="77777777">
            <w:pPr>
              <w:autoSpaceDE/>
              <w:autoSpaceDN/>
              <w:adjustRightInd/>
              <w:ind w:firstLine="480" w:firstLineChars="200"/>
              <w:jc w:val="right"/>
              <w:rPr>
                <w:color w:val="000000"/>
                <w:sz w:val="24"/>
                <w:szCs w:val="24"/>
              </w:rPr>
            </w:pPr>
            <w:r w:rsidRPr="009E4E88">
              <w:rPr>
                <w:color w:val="000000" w:themeColor="text1"/>
                <w:sz w:val="24"/>
                <w:szCs w:val="24"/>
              </w:rPr>
              <w:t>10</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9E4E88" w:rsidP="00F22B0E" w14:paraId="1635C753" w14:textId="77777777">
            <w:pPr>
              <w:autoSpaceDE/>
              <w:autoSpaceDN/>
              <w:adjustRightInd/>
              <w:ind w:firstLine="480" w:firstLineChars="200"/>
              <w:jc w:val="right"/>
              <w:rPr>
                <w:color w:val="000000"/>
                <w:sz w:val="24"/>
                <w:szCs w:val="24"/>
              </w:rPr>
            </w:pPr>
            <w:r w:rsidRPr="009E4E88">
              <w:rPr>
                <w:color w:val="000000" w:themeColor="text1"/>
                <w:sz w:val="24"/>
                <w:szCs w:val="24"/>
              </w:rPr>
              <w:t>90</w:t>
            </w:r>
          </w:p>
        </w:tc>
      </w:tr>
      <w:tr w14:paraId="31A66860"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9E4E88" w:rsidP="00F22B0E" w14:paraId="4F265F6C" w14:textId="77777777">
            <w:pPr>
              <w:autoSpaceDE/>
              <w:autoSpaceDN/>
              <w:adjustRightInd/>
              <w:rPr>
                <w:color w:val="000000"/>
                <w:sz w:val="24"/>
                <w:szCs w:val="24"/>
              </w:rPr>
            </w:pPr>
            <w:r w:rsidRPr="009E4E88">
              <w:rPr>
                <w:color w:val="000000" w:themeColor="text1"/>
                <w:sz w:val="24"/>
                <w:szCs w:val="24"/>
              </w:rPr>
              <w:t>Develop monitoring methods, monitoring plans, and associated QA/QC measures.</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906049" w:rsidP="00F22B0E" w14:paraId="0E2791D9" w14:textId="77777777">
            <w:pPr>
              <w:autoSpaceDE/>
              <w:autoSpaceDN/>
              <w:adjustRightInd/>
              <w:ind w:firstLine="480" w:firstLineChars="200"/>
              <w:jc w:val="right"/>
              <w:rPr>
                <w:color w:val="000000"/>
                <w:sz w:val="24"/>
                <w:szCs w:val="24"/>
              </w:rPr>
            </w:pPr>
            <w:r w:rsidRPr="009E4E88">
              <w:rPr>
                <w:color w:val="000000" w:themeColor="text1"/>
                <w:sz w:val="24"/>
                <w:szCs w:val="24"/>
              </w:rPr>
              <w:t>50</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8F6792" w:rsidP="00F22B0E" w14:paraId="1F12DC9E" w14:textId="77777777">
            <w:pPr>
              <w:autoSpaceDE/>
              <w:autoSpaceDN/>
              <w:adjustRightInd/>
              <w:ind w:firstLine="480" w:firstLineChars="200"/>
              <w:jc w:val="right"/>
              <w:rPr>
                <w:color w:val="000000"/>
                <w:sz w:val="24"/>
                <w:szCs w:val="24"/>
              </w:rPr>
            </w:pPr>
            <w:r w:rsidRPr="00906049">
              <w:rPr>
                <w:color w:val="000000" w:themeColor="text1"/>
                <w:sz w:val="24"/>
                <w:szCs w:val="24"/>
              </w:rPr>
              <w:t>240</w:t>
            </w:r>
          </w:p>
        </w:tc>
      </w:tr>
      <w:tr w14:paraId="1E9BF1FF"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F32A3C" w:rsidP="00F22B0E" w14:paraId="57FEEF95" w14:textId="77777777">
            <w:pPr>
              <w:autoSpaceDE/>
              <w:autoSpaceDN/>
              <w:adjustRightInd/>
              <w:rPr>
                <w:color w:val="000000"/>
                <w:sz w:val="24"/>
                <w:szCs w:val="24"/>
              </w:rPr>
            </w:pPr>
            <w:r w:rsidRPr="00F32A3C">
              <w:rPr>
                <w:color w:val="000000" w:themeColor="text1"/>
                <w:sz w:val="24"/>
                <w:szCs w:val="24"/>
              </w:rPr>
              <w:t>Submit monitoring methods and monitoring plan to EPA for approval.</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6A3A169F" w14:textId="77777777">
            <w:pPr>
              <w:autoSpaceDE/>
              <w:autoSpaceDN/>
              <w:adjustRightInd/>
              <w:ind w:firstLine="480" w:firstLineChars="200"/>
              <w:jc w:val="right"/>
              <w:rPr>
                <w:color w:val="000000"/>
                <w:sz w:val="24"/>
                <w:szCs w:val="24"/>
              </w:rPr>
            </w:pPr>
            <w:r w:rsidRPr="00F32A3C">
              <w:rPr>
                <w:color w:val="000000" w:themeColor="text1"/>
                <w:sz w:val="24"/>
                <w:szCs w:val="24"/>
              </w:rPr>
              <w:t>4</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5182B664" w14:textId="77777777">
            <w:pPr>
              <w:autoSpaceDE/>
              <w:autoSpaceDN/>
              <w:adjustRightInd/>
              <w:ind w:firstLine="480" w:firstLineChars="200"/>
              <w:jc w:val="right"/>
              <w:rPr>
                <w:color w:val="000000"/>
                <w:sz w:val="24"/>
                <w:szCs w:val="24"/>
              </w:rPr>
            </w:pPr>
            <w:r w:rsidRPr="00F32A3C">
              <w:rPr>
                <w:color w:val="000000" w:themeColor="text1"/>
                <w:sz w:val="24"/>
                <w:szCs w:val="24"/>
              </w:rPr>
              <w:t>16</w:t>
            </w:r>
          </w:p>
        </w:tc>
      </w:tr>
      <w:tr w14:paraId="3F8B8D1A" w14:textId="77777777" w:rsidTr="003854B3">
        <w:tblPrEx>
          <w:tblW w:w="9360" w:type="dxa"/>
          <w:tblLook w:val="04A0"/>
        </w:tblPrEx>
        <w:trPr>
          <w:trHeight w:val="88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F32A3C" w:rsidP="00F22B0E" w14:paraId="5F9F8B0B" w14:textId="77777777">
            <w:pPr>
              <w:autoSpaceDE/>
              <w:autoSpaceDN/>
              <w:adjustRightInd/>
              <w:rPr>
                <w:color w:val="000000"/>
                <w:sz w:val="24"/>
                <w:szCs w:val="24"/>
              </w:rPr>
            </w:pPr>
            <w:r w:rsidRPr="00F32A3C">
              <w:rPr>
                <w:color w:val="000000" w:themeColor="text1"/>
                <w:sz w:val="24"/>
                <w:szCs w:val="24"/>
              </w:rPr>
              <w:t>Develop methods to inform EPA and local governments when indicator bacteria have exceeded a beach notification threshold.</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06A602CF" w14:textId="77777777">
            <w:pPr>
              <w:autoSpaceDE/>
              <w:autoSpaceDN/>
              <w:adjustRightInd/>
              <w:ind w:firstLine="480" w:firstLineChars="200"/>
              <w:jc w:val="right"/>
              <w:rPr>
                <w:sz w:val="24"/>
                <w:szCs w:val="24"/>
              </w:rPr>
            </w:pPr>
            <w:r w:rsidRPr="00F32A3C">
              <w:rPr>
                <w:sz w:val="24"/>
                <w:szCs w:val="24"/>
              </w:rPr>
              <w:t>10</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29C68290" w14:textId="77777777">
            <w:pPr>
              <w:autoSpaceDE/>
              <w:autoSpaceDN/>
              <w:adjustRightInd/>
              <w:ind w:firstLine="480" w:firstLineChars="200"/>
              <w:jc w:val="right"/>
              <w:rPr>
                <w:color w:val="000000"/>
                <w:sz w:val="24"/>
                <w:szCs w:val="24"/>
              </w:rPr>
            </w:pPr>
            <w:r w:rsidRPr="00F32A3C">
              <w:rPr>
                <w:color w:val="000000" w:themeColor="text1"/>
                <w:sz w:val="24"/>
                <w:szCs w:val="24"/>
              </w:rPr>
              <w:t>12</w:t>
            </w:r>
          </w:p>
        </w:tc>
      </w:tr>
      <w:tr w14:paraId="19909355" w14:textId="77777777" w:rsidTr="003854B3">
        <w:tblPrEx>
          <w:tblW w:w="9360" w:type="dxa"/>
          <w:tblLook w:val="04A0"/>
        </w:tblPrEx>
        <w:trPr>
          <w:trHeight w:val="574"/>
        </w:trPr>
        <w:tc>
          <w:tcPr>
            <w:tcW w:w="3981" w:type="dxa"/>
            <w:tcBorders>
              <w:top w:val="nil"/>
              <w:left w:val="single" w:sz="8" w:space="0" w:color="auto"/>
              <w:bottom w:val="single" w:sz="8" w:space="0" w:color="auto"/>
              <w:right w:val="single" w:sz="8" w:space="0" w:color="auto"/>
            </w:tcBorders>
            <w:shd w:val="clear" w:color="auto" w:fill="auto"/>
            <w:hideMark/>
          </w:tcPr>
          <w:p w:rsidR="00996297" w:rsidRPr="00F32A3C" w:rsidP="00F22B0E" w14:paraId="67B10086" w14:textId="77777777">
            <w:pPr>
              <w:autoSpaceDE/>
              <w:autoSpaceDN/>
              <w:adjustRightInd/>
              <w:rPr>
                <w:color w:val="000000"/>
                <w:sz w:val="24"/>
                <w:szCs w:val="24"/>
              </w:rPr>
            </w:pPr>
            <w:r w:rsidRPr="00F32A3C">
              <w:rPr>
                <w:color w:val="000000" w:themeColor="text1"/>
                <w:sz w:val="24"/>
                <w:szCs w:val="24"/>
              </w:rPr>
              <w:t>Develop methods to inform and notify the public about potential risks associated with water quality.</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0C6E0BF8" w14:textId="77777777">
            <w:pPr>
              <w:autoSpaceDE/>
              <w:autoSpaceDN/>
              <w:adjustRightInd/>
              <w:ind w:firstLine="480" w:firstLineChars="200"/>
              <w:jc w:val="right"/>
              <w:rPr>
                <w:sz w:val="24"/>
                <w:szCs w:val="24"/>
              </w:rPr>
            </w:pPr>
            <w:r w:rsidRPr="00F32A3C">
              <w:rPr>
                <w:sz w:val="24"/>
                <w:szCs w:val="24"/>
              </w:rPr>
              <w:t>10</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74CDE329" w14:textId="77777777">
            <w:pPr>
              <w:autoSpaceDE/>
              <w:autoSpaceDN/>
              <w:adjustRightInd/>
              <w:ind w:firstLine="480" w:firstLineChars="200"/>
              <w:jc w:val="right"/>
              <w:rPr>
                <w:color w:val="000000"/>
                <w:sz w:val="24"/>
                <w:szCs w:val="24"/>
              </w:rPr>
            </w:pPr>
            <w:r w:rsidRPr="00F32A3C">
              <w:rPr>
                <w:color w:val="000000" w:themeColor="text1"/>
                <w:sz w:val="24"/>
                <w:szCs w:val="24"/>
              </w:rPr>
              <w:t>24</w:t>
            </w:r>
          </w:p>
        </w:tc>
      </w:tr>
      <w:tr w14:paraId="14E80058"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hideMark/>
          </w:tcPr>
          <w:p w:rsidR="00996297" w:rsidRPr="00F32A3C" w:rsidP="00F22B0E" w14:paraId="5A70EC09" w14:textId="77777777">
            <w:pPr>
              <w:autoSpaceDE/>
              <w:autoSpaceDN/>
              <w:adjustRightInd/>
              <w:rPr>
                <w:color w:val="000000"/>
                <w:sz w:val="24"/>
                <w:szCs w:val="24"/>
              </w:rPr>
            </w:pPr>
            <w:r w:rsidRPr="00F32A3C">
              <w:rPr>
                <w:color w:val="000000" w:themeColor="text1"/>
                <w:sz w:val="24"/>
                <w:szCs w:val="24"/>
              </w:rPr>
              <w:t>Provide for public review of public notification and risk communication plan.</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391BEC0A" w14:textId="77777777">
            <w:pPr>
              <w:autoSpaceDE/>
              <w:autoSpaceDN/>
              <w:adjustRightInd/>
              <w:ind w:firstLine="480" w:firstLineChars="200"/>
              <w:jc w:val="right"/>
              <w:rPr>
                <w:sz w:val="24"/>
                <w:szCs w:val="24"/>
              </w:rPr>
            </w:pPr>
            <w:r w:rsidRPr="00F32A3C">
              <w:rPr>
                <w:sz w:val="24"/>
                <w:szCs w:val="24"/>
              </w:rPr>
              <w:t>5</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7F3AFC24" w14:textId="77777777">
            <w:pPr>
              <w:autoSpaceDE/>
              <w:autoSpaceDN/>
              <w:adjustRightInd/>
              <w:ind w:firstLine="480" w:firstLineChars="200"/>
              <w:jc w:val="right"/>
              <w:rPr>
                <w:color w:val="000000"/>
                <w:sz w:val="24"/>
                <w:szCs w:val="24"/>
              </w:rPr>
            </w:pPr>
            <w:r w:rsidRPr="00F32A3C">
              <w:rPr>
                <w:color w:val="000000" w:themeColor="text1"/>
                <w:sz w:val="24"/>
                <w:szCs w:val="24"/>
              </w:rPr>
              <w:t>16</w:t>
            </w:r>
          </w:p>
        </w:tc>
      </w:tr>
      <w:tr w14:paraId="450D5BB9" w14:textId="77777777" w:rsidTr="003854B3">
        <w:tblPrEx>
          <w:tblW w:w="9360" w:type="dxa"/>
          <w:tblLook w:val="04A0"/>
        </w:tblPrEx>
        <w:trPr>
          <w:trHeight w:val="590"/>
        </w:trPr>
        <w:tc>
          <w:tcPr>
            <w:tcW w:w="3981" w:type="dxa"/>
            <w:tcBorders>
              <w:top w:val="nil"/>
              <w:left w:val="single" w:sz="8" w:space="0" w:color="auto"/>
              <w:bottom w:val="single" w:sz="8" w:space="0" w:color="auto"/>
              <w:right w:val="single" w:sz="8" w:space="0" w:color="auto"/>
            </w:tcBorders>
            <w:shd w:val="clear" w:color="auto" w:fill="auto"/>
            <w:vAlign w:val="center"/>
            <w:hideMark/>
          </w:tcPr>
          <w:p w:rsidR="00996297" w:rsidRPr="00F32A3C" w:rsidP="00F22B0E" w14:paraId="2361EED6" w14:textId="77777777">
            <w:pPr>
              <w:autoSpaceDE/>
              <w:autoSpaceDN/>
              <w:adjustRightInd/>
              <w:rPr>
                <w:color w:val="000000"/>
                <w:sz w:val="24"/>
                <w:szCs w:val="24"/>
              </w:rPr>
            </w:pPr>
            <w:r w:rsidRPr="00F32A3C">
              <w:rPr>
                <w:color w:val="000000" w:themeColor="text1"/>
                <w:sz w:val="24"/>
                <w:szCs w:val="24"/>
              </w:rPr>
              <w:t>Total</w:t>
            </w:r>
          </w:p>
        </w:tc>
        <w:tc>
          <w:tcPr>
            <w:tcW w:w="1254"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7F144A6D" w14:textId="77777777">
            <w:pPr>
              <w:autoSpaceDE/>
              <w:autoSpaceDN/>
              <w:adjustRightInd/>
              <w:ind w:firstLine="480" w:firstLineChars="200"/>
              <w:jc w:val="right"/>
              <w:rPr>
                <w:sz w:val="24"/>
                <w:szCs w:val="24"/>
              </w:rPr>
            </w:pPr>
            <w:r w:rsidRPr="00F32A3C">
              <w:rPr>
                <w:sz w:val="24"/>
                <w:szCs w:val="24"/>
              </w:rPr>
              <w:t>124</w:t>
            </w:r>
          </w:p>
        </w:tc>
        <w:tc>
          <w:tcPr>
            <w:tcW w:w="1225" w:type="dxa"/>
            <w:tcBorders>
              <w:top w:val="nil"/>
              <w:left w:val="nil"/>
              <w:bottom w:val="single" w:sz="8" w:space="0" w:color="auto"/>
              <w:right w:val="single" w:sz="8" w:space="0" w:color="auto"/>
            </w:tcBorders>
            <w:shd w:val="clear" w:color="auto" w:fill="auto"/>
            <w:noWrap/>
            <w:vAlign w:val="center"/>
            <w:hideMark/>
          </w:tcPr>
          <w:p w:rsidR="00996297" w:rsidRPr="00F32A3C" w:rsidP="00F22B0E" w14:paraId="48782AC3" w14:textId="77777777">
            <w:pPr>
              <w:autoSpaceDE/>
              <w:autoSpaceDN/>
              <w:adjustRightInd/>
              <w:ind w:firstLine="480" w:firstLineChars="200"/>
              <w:jc w:val="right"/>
              <w:rPr>
                <w:color w:val="000000"/>
                <w:sz w:val="24"/>
                <w:szCs w:val="24"/>
              </w:rPr>
            </w:pPr>
            <w:r w:rsidRPr="00F32A3C">
              <w:rPr>
                <w:color w:val="000000" w:themeColor="text1"/>
                <w:sz w:val="24"/>
                <w:szCs w:val="24"/>
              </w:rPr>
              <w:t>598</w:t>
            </w:r>
          </w:p>
        </w:tc>
      </w:tr>
    </w:tbl>
    <w:p w:rsidR="00996297" w:rsidP="00DA31DD" w14:paraId="637CF119" w14:textId="77777777">
      <w:pPr>
        <w:pStyle w:val="Bullet-last"/>
        <w:rPr>
          <w:u w:val="single"/>
        </w:rPr>
      </w:pPr>
    </w:p>
    <w:p w:rsidR="007C3C95" w:rsidP="006A6555" w14:paraId="0AEFDAA2" w14:textId="555B0829">
      <w:pPr>
        <w:pStyle w:val="Bullet-last"/>
        <w:keepNext/>
      </w:pPr>
      <w:r w:rsidRPr="005E3533">
        <w:rPr>
          <w:u w:val="single"/>
        </w:rPr>
        <w:t>Annual Grant Activities</w:t>
      </w:r>
      <w:r>
        <w:rPr>
          <w:u w:val="single"/>
        </w:rPr>
        <w:t xml:space="preserve"> </w:t>
      </w:r>
      <w:r w:rsidRPr="00452D4E">
        <w:rPr>
          <w:u w:val="single"/>
        </w:rPr>
        <w:t>for Programs in the Implementation Stage</w:t>
      </w:r>
    </w:p>
    <w:p w:rsidR="00C4073D" w:rsidRPr="008A5FC5" w:rsidP="005E3533" w14:paraId="2C89ABD0" w14:textId="74FAC9BE">
      <w:pPr>
        <w:spacing w:after="240"/>
        <w:rPr>
          <w:b/>
          <w:bCs/>
          <w:sz w:val="24"/>
          <w:szCs w:val="24"/>
        </w:rPr>
      </w:pPr>
      <w:r>
        <w:rPr>
          <w:i/>
          <w:iCs/>
          <w:sz w:val="24"/>
          <w:szCs w:val="24"/>
        </w:rPr>
        <w:t>Respondent</w:t>
      </w:r>
      <w:r w:rsidRPr="008A5FC5" w:rsidR="003A426D">
        <w:rPr>
          <w:i/>
          <w:iCs/>
          <w:sz w:val="24"/>
          <w:szCs w:val="24"/>
        </w:rPr>
        <w:t xml:space="preserve"> </w:t>
      </w:r>
      <w:r w:rsidR="000B1451">
        <w:rPr>
          <w:i/>
          <w:iCs/>
          <w:sz w:val="24"/>
          <w:szCs w:val="24"/>
        </w:rPr>
        <w:t xml:space="preserve">labor </w:t>
      </w:r>
      <w:r w:rsidRPr="008A5FC5">
        <w:rPr>
          <w:i/>
          <w:iCs/>
          <w:sz w:val="24"/>
          <w:szCs w:val="24"/>
        </w:rPr>
        <w:t xml:space="preserve">burden: </w:t>
      </w:r>
      <w:r w:rsidRPr="008A5FC5">
        <w:rPr>
          <w:sz w:val="24"/>
          <w:szCs w:val="24"/>
        </w:rPr>
        <w:t xml:space="preserve">EPA has estimated the respondent burden for all aspects of administering </w:t>
      </w:r>
      <w:r w:rsidR="008A5FC5">
        <w:rPr>
          <w:sz w:val="24"/>
          <w:szCs w:val="24"/>
        </w:rPr>
        <w:t>the beach program</w:t>
      </w:r>
      <w:r w:rsidRPr="008A5FC5">
        <w:rPr>
          <w:sz w:val="24"/>
          <w:szCs w:val="24"/>
        </w:rPr>
        <w:t xml:space="preserve"> described in section 4</w:t>
      </w:r>
      <w:r w:rsidR="008A5FC5">
        <w:rPr>
          <w:sz w:val="24"/>
          <w:szCs w:val="24"/>
        </w:rPr>
        <w:t>(b)</w:t>
      </w:r>
      <w:r w:rsidRPr="008A5FC5">
        <w:rPr>
          <w:sz w:val="24"/>
          <w:szCs w:val="24"/>
        </w:rPr>
        <w:t xml:space="preserve">, </w:t>
      </w:r>
      <w:r w:rsidR="008A5FC5">
        <w:rPr>
          <w:sz w:val="24"/>
          <w:szCs w:val="24"/>
        </w:rPr>
        <w:t xml:space="preserve">shown in Table </w:t>
      </w:r>
      <w:r w:rsidR="00561A5D">
        <w:rPr>
          <w:sz w:val="24"/>
          <w:szCs w:val="24"/>
        </w:rPr>
        <w:t>2</w:t>
      </w:r>
      <w:r w:rsidR="008A5FC5">
        <w:rPr>
          <w:sz w:val="24"/>
          <w:szCs w:val="24"/>
        </w:rPr>
        <w:t xml:space="preserve">. </w:t>
      </w:r>
      <w:r w:rsidRPr="008A5FC5">
        <w:rPr>
          <w:sz w:val="24"/>
          <w:szCs w:val="24"/>
        </w:rPr>
        <w:t xml:space="preserve">EPA estimates that the annual burden on the average </w:t>
      </w:r>
      <w:r w:rsidR="008A5FC5">
        <w:rPr>
          <w:sz w:val="24"/>
          <w:szCs w:val="24"/>
        </w:rPr>
        <w:t>jurisdiction</w:t>
      </w:r>
      <w:r w:rsidRPr="008A5FC5">
        <w:rPr>
          <w:sz w:val="24"/>
          <w:szCs w:val="24"/>
        </w:rPr>
        <w:t xml:space="preserve"> for these actions is </w:t>
      </w:r>
      <w:r w:rsidR="008721D4">
        <w:rPr>
          <w:sz w:val="24"/>
          <w:szCs w:val="24"/>
        </w:rPr>
        <w:t>445</w:t>
      </w:r>
      <w:r w:rsidRPr="008A5FC5">
        <w:rPr>
          <w:sz w:val="24"/>
          <w:szCs w:val="24"/>
        </w:rPr>
        <w:t xml:space="preserve"> hours</w:t>
      </w:r>
      <w:r w:rsidR="008A5FC5">
        <w:rPr>
          <w:sz w:val="24"/>
          <w:szCs w:val="24"/>
        </w:rPr>
        <w:t xml:space="preserve"> for beach program managers and </w:t>
      </w:r>
      <w:r w:rsidR="004053A3">
        <w:rPr>
          <w:sz w:val="24"/>
          <w:szCs w:val="24"/>
        </w:rPr>
        <w:t>7,525</w:t>
      </w:r>
      <w:r w:rsidR="008A5FC5">
        <w:rPr>
          <w:sz w:val="24"/>
          <w:szCs w:val="24"/>
        </w:rPr>
        <w:t xml:space="preserve"> hours for technical staff</w:t>
      </w:r>
      <w:r w:rsidRPr="008A5FC5">
        <w:rPr>
          <w:sz w:val="24"/>
          <w:szCs w:val="24"/>
        </w:rPr>
        <w:t xml:space="preserve">. Based on a total of </w:t>
      </w:r>
      <w:r w:rsidR="00996297">
        <w:rPr>
          <w:sz w:val="24"/>
          <w:szCs w:val="24"/>
        </w:rPr>
        <w:t>40</w:t>
      </w:r>
      <w:r w:rsidR="008A5FC5">
        <w:rPr>
          <w:sz w:val="24"/>
          <w:szCs w:val="24"/>
        </w:rPr>
        <w:t xml:space="preserve"> jurisdictions</w:t>
      </w:r>
      <w:r w:rsidRPr="008A5FC5">
        <w:rPr>
          <w:sz w:val="24"/>
          <w:szCs w:val="24"/>
        </w:rPr>
        <w:t>, the total estimated burden hours are (</w:t>
      </w:r>
      <w:r w:rsidR="004053A3">
        <w:rPr>
          <w:sz w:val="24"/>
          <w:szCs w:val="24"/>
        </w:rPr>
        <w:t>7,970</w:t>
      </w:r>
      <w:r w:rsidRPr="008A5FC5">
        <w:rPr>
          <w:sz w:val="24"/>
          <w:szCs w:val="24"/>
        </w:rPr>
        <w:t xml:space="preserve"> hours) </w:t>
      </w:r>
      <w:r w:rsidR="008A5FC5">
        <w:rPr>
          <w:sz w:val="24"/>
          <w:szCs w:val="24"/>
        </w:rPr>
        <w:t>* (</w:t>
      </w:r>
      <w:r w:rsidR="00996297">
        <w:rPr>
          <w:sz w:val="24"/>
          <w:szCs w:val="24"/>
        </w:rPr>
        <w:t>40</w:t>
      </w:r>
      <w:r w:rsidR="008A5FC5">
        <w:rPr>
          <w:sz w:val="24"/>
          <w:szCs w:val="24"/>
        </w:rPr>
        <w:t xml:space="preserve"> jurisdictions) </w:t>
      </w:r>
      <w:r w:rsidRPr="008A5FC5">
        <w:rPr>
          <w:sz w:val="24"/>
          <w:szCs w:val="24"/>
        </w:rPr>
        <w:t xml:space="preserve">= </w:t>
      </w:r>
      <w:r w:rsidR="004053A3">
        <w:rPr>
          <w:b/>
          <w:bCs/>
          <w:sz w:val="24"/>
          <w:szCs w:val="24"/>
        </w:rPr>
        <w:t>318,800</w:t>
      </w:r>
      <w:r w:rsidRPr="008A5FC5">
        <w:rPr>
          <w:b/>
          <w:bCs/>
          <w:sz w:val="24"/>
          <w:szCs w:val="24"/>
        </w:rPr>
        <w:t xml:space="preserve"> hours</w:t>
      </w:r>
      <w:r w:rsidRPr="008A5FC5">
        <w:rPr>
          <w:sz w:val="24"/>
          <w:szCs w:val="24"/>
        </w:rPr>
        <w:t>.</w:t>
      </w:r>
    </w:p>
    <w:p w:rsidR="00C4073D" w:rsidRPr="008A5FC5" w:rsidP="005E3533" w14:paraId="389104DC" w14:textId="2205C8FA">
      <w:pPr>
        <w:spacing w:after="120"/>
        <w:rPr>
          <w:sz w:val="24"/>
          <w:szCs w:val="24"/>
        </w:rPr>
      </w:pPr>
      <w:r>
        <w:rPr>
          <w:i/>
          <w:iCs/>
          <w:sz w:val="24"/>
          <w:szCs w:val="24"/>
        </w:rPr>
        <w:t>Respondent</w:t>
      </w:r>
      <w:r w:rsidRPr="008A5FC5">
        <w:rPr>
          <w:i/>
          <w:iCs/>
          <w:sz w:val="24"/>
          <w:szCs w:val="24"/>
        </w:rPr>
        <w:t xml:space="preserve"> </w:t>
      </w:r>
      <w:r w:rsidR="001606AE">
        <w:rPr>
          <w:i/>
          <w:iCs/>
          <w:sz w:val="24"/>
          <w:szCs w:val="24"/>
        </w:rPr>
        <w:t xml:space="preserve">labor </w:t>
      </w:r>
      <w:r w:rsidRPr="008A5FC5">
        <w:rPr>
          <w:i/>
          <w:iCs/>
          <w:sz w:val="24"/>
          <w:szCs w:val="24"/>
        </w:rPr>
        <w:t xml:space="preserve">costs: </w:t>
      </w:r>
      <w:r w:rsidRPr="008A5FC5">
        <w:rPr>
          <w:sz w:val="24"/>
          <w:szCs w:val="24"/>
        </w:rPr>
        <w:t xml:space="preserve">Total estimated annual costs are </w:t>
      </w:r>
      <w:r w:rsidR="007B29A4">
        <w:rPr>
          <w:sz w:val="24"/>
          <w:szCs w:val="24"/>
        </w:rPr>
        <w:t>[</w:t>
      </w:r>
      <w:r w:rsidRPr="008A5FC5">
        <w:rPr>
          <w:sz w:val="24"/>
          <w:szCs w:val="24"/>
        </w:rPr>
        <w:t>(</w:t>
      </w:r>
      <w:r w:rsidR="008721D4">
        <w:rPr>
          <w:sz w:val="24"/>
          <w:szCs w:val="24"/>
        </w:rPr>
        <w:t>445</w:t>
      </w:r>
      <w:r w:rsidRPr="008A5FC5">
        <w:rPr>
          <w:sz w:val="24"/>
          <w:szCs w:val="24"/>
        </w:rPr>
        <w:t xml:space="preserve"> hours) * ($</w:t>
      </w:r>
      <w:r w:rsidR="00BF49C7">
        <w:rPr>
          <w:sz w:val="24"/>
          <w:szCs w:val="24"/>
        </w:rPr>
        <w:t>79.28</w:t>
      </w:r>
      <w:r w:rsidRPr="008A5FC5" w:rsidR="00416429">
        <w:rPr>
          <w:sz w:val="24"/>
          <w:szCs w:val="24"/>
        </w:rPr>
        <w:t xml:space="preserve"> </w:t>
      </w:r>
      <w:r w:rsidRPr="008A5FC5">
        <w:rPr>
          <w:sz w:val="24"/>
          <w:szCs w:val="24"/>
        </w:rPr>
        <w:t xml:space="preserve">per hour) </w:t>
      </w:r>
      <w:r w:rsidR="008A5FC5">
        <w:rPr>
          <w:sz w:val="24"/>
          <w:szCs w:val="24"/>
        </w:rPr>
        <w:t>+ (</w:t>
      </w:r>
      <w:r w:rsidR="004053A3">
        <w:rPr>
          <w:sz w:val="24"/>
          <w:szCs w:val="24"/>
        </w:rPr>
        <w:t>7,525</w:t>
      </w:r>
      <w:r w:rsidR="008A5FC5">
        <w:rPr>
          <w:sz w:val="24"/>
          <w:szCs w:val="24"/>
        </w:rPr>
        <w:t xml:space="preserve"> hours) * ($</w:t>
      </w:r>
      <w:r w:rsidR="008B2EB9">
        <w:rPr>
          <w:sz w:val="24"/>
          <w:szCs w:val="24"/>
        </w:rPr>
        <w:t>37</w:t>
      </w:r>
      <w:r w:rsidR="006745D3">
        <w:rPr>
          <w:sz w:val="24"/>
          <w:szCs w:val="24"/>
        </w:rPr>
        <w:t>.76</w:t>
      </w:r>
      <w:r w:rsidR="00416429">
        <w:rPr>
          <w:sz w:val="24"/>
          <w:szCs w:val="24"/>
        </w:rPr>
        <w:t xml:space="preserve"> </w:t>
      </w:r>
      <w:r w:rsidR="008A5FC5">
        <w:rPr>
          <w:sz w:val="24"/>
          <w:szCs w:val="24"/>
        </w:rPr>
        <w:t>per hour)</w:t>
      </w:r>
      <w:r w:rsidR="007B29A4">
        <w:rPr>
          <w:sz w:val="24"/>
          <w:szCs w:val="24"/>
        </w:rPr>
        <w:t>] * (40 jurisdictions)</w:t>
      </w:r>
      <w:r w:rsidR="008A5FC5">
        <w:rPr>
          <w:sz w:val="24"/>
          <w:szCs w:val="24"/>
        </w:rPr>
        <w:t xml:space="preserve"> </w:t>
      </w:r>
      <w:r w:rsidRPr="008A5FC5">
        <w:rPr>
          <w:sz w:val="24"/>
          <w:szCs w:val="24"/>
        </w:rPr>
        <w:t xml:space="preserve">= </w:t>
      </w:r>
      <w:r w:rsidRPr="008A5FC5">
        <w:rPr>
          <w:b/>
          <w:bCs/>
          <w:sz w:val="24"/>
          <w:szCs w:val="24"/>
        </w:rPr>
        <w:t>$</w:t>
      </w:r>
      <w:r w:rsidR="004053A3">
        <w:rPr>
          <w:b/>
          <w:bCs/>
          <w:sz w:val="24"/>
          <w:szCs w:val="24"/>
        </w:rPr>
        <w:t>12,776,944</w:t>
      </w:r>
      <w:r w:rsidRPr="008721D4" w:rsidR="00840894">
        <w:rPr>
          <w:sz w:val="24"/>
          <w:szCs w:val="24"/>
        </w:rPr>
        <w:t>,</w:t>
      </w:r>
      <w:r w:rsidR="00840894">
        <w:rPr>
          <w:b/>
          <w:bCs/>
          <w:sz w:val="24"/>
          <w:szCs w:val="24"/>
        </w:rPr>
        <w:t xml:space="preserve"> </w:t>
      </w:r>
      <w:r w:rsidRPr="008721D4" w:rsidR="00840894">
        <w:rPr>
          <w:sz w:val="24"/>
          <w:szCs w:val="24"/>
        </w:rPr>
        <w:t>rounded to the nearest dollar</w:t>
      </w:r>
      <w:r w:rsidRPr="008721D4">
        <w:rPr>
          <w:sz w:val="24"/>
          <w:szCs w:val="24"/>
        </w:rPr>
        <w:t>.</w:t>
      </w:r>
    </w:p>
    <w:p w:rsidR="001606AE" w:rsidRPr="008A5FC5" w:rsidP="005E3533" w14:paraId="7053C60F" w14:textId="0778A185">
      <w:pPr>
        <w:spacing w:after="120"/>
        <w:rPr>
          <w:sz w:val="24"/>
          <w:szCs w:val="24"/>
        </w:rPr>
      </w:pPr>
      <w:r w:rsidRPr="132B522A">
        <w:rPr>
          <w:i/>
          <w:iCs/>
          <w:sz w:val="24"/>
          <w:szCs w:val="24"/>
        </w:rPr>
        <w:t>Respondent</w:t>
      </w:r>
      <w:r w:rsidRPr="132B522A">
        <w:rPr>
          <w:i/>
          <w:iCs/>
          <w:sz w:val="24"/>
          <w:szCs w:val="24"/>
        </w:rPr>
        <w:t xml:space="preserve"> O&amp;M costs: </w:t>
      </w:r>
      <w:r w:rsidRPr="132B522A">
        <w:rPr>
          <w:sz w:val="24"/>
          <w:szCs w:val="24"/>
        </w:rPr>
        <w:t xml:space="preserve">Total estimated annual costs </w:t>
      </w:r>
      <w:r w:rsidRPr="132B522A" w:rsidR="005D31A6">
        <w:rPr>
          <w:sz w:val="24"/>
          <w:szCs w:val="24"/>
        </w:rPr>
        <w:t xml:space="preserve">for </w:t>
      </w:r>
      <w:r w:rsidRPr="132B522A" w:rsidR="00452D4E">
        <w:rPr>
          <w:sz w:val="24"/>
          <w:szCs w:val="24"/>
        </w:rPr>
        <w:t>40</w:t>
      </w:r>
      <w:r w:rsidRPr="132B522A" w:rsidR="005D31A6">
        <w:rPr>
          <w:sz w:val="24"/>
          <w:szCs w:val="24"/>
        </w:rPr>
        <w:t xml:space="preserve"> </w:t>
      </w:r>
      <w:r w:rsidRPr="132B522A" w:rsidR="0013539D">
        <w:rPr>
          <w:sz w:val="24"/>
          <w:szCs w:val="24"/>
        </w:rPr>
        <w:t xml:space="preserve">jurisdictions </w:t>
      </w:r>
      <w:r w:rsidRPr="132B522A">
        <w:rPr>
          <w:sz w:val="24"/>
          <w:szCs w:val="24"/>
        </w:rPr>
        <w:t xml:space="preserve">are </w:t>
      </w:r>
      <w:r w:rsidRPr="132B522A">
        <w:rPr>
          <w:b/>
          <w:bCs/>
          <w:sz w:val="24"/>
          <w:szCs w:val="24"/>
        </w:rPr>
        <w:t>$</w:t>
      </w:r>
      <w:r w:rsidRPr="132B522A" w:rsidR="4F1F4D52">
        <w:rPr>
          <w:b/>
          <w:bCs/>
          <w:sz w:val="24"/>
          <w:szCs w:val="24"/>
        </w:rPr>
        <w:t>9,515,800</w:t>
      </w:r>
      <w:r w:rsidRPr="132B522A">
        <w:rPr>
          <w:sz w:val="24"/>
          <w:szCs w:val="24"/>
        </w:rPr>
        <w:t xml:space="preserve"> for analyzing coastal water quality samples</w:t>
      </w:r>
      <w:r w:rsidRPr="132B522A" w:rsidR="00EE5669">
        <w:rPr>
          <w:sz w:val="24"/>
          <w:szCs w:val="24"/>
        </w:rPr>
        <w:t xml:space="preserve">, explained </w:t>
      </w:r>
      <w:r w:rsidRPr="132B522A" w:rsidR="007A7FDD">
        <w:rPr>
          <w:sz w:val="24"/>
          <w:szCs w:val="24"/>
        </w:rPr>
        <w:t>after Table 2</w:t>
      </w:r>
      <w:r w:rsidRPr="132B522A">
        <w:rPr>
          <w:sz w:val="24"/>
          <w:szCs w:val="24"/>
        </w:rPr>
        <w:t>.</w:t>
      </w:r>
    </w:p>
    <w:p w:rsidR="00C4073D" w:rsidRPr="00AF3032" w:rsidP="005E3533" w14:paraId="07B7E50F" w14:textId="516E252A">
      <w:pPr>
        <w:pStyle w:val="Bullet-last"/>
        <w:rPr>
          <w:b/>
          <w:bCs/>
        </w:rPr>
      </w:pPr>
      <w:r w:rsidRPr="00AF3032">
        <w:rPr>
          <w:b/>
          <w:bCs/>
        </w:rPr>
        <w:t xml:space="preserve">Table </w:t>
      </w:r>
      <w:r w:rsidRPr="00AF3032" w:rsidR="00561A5D">
        <w:rPr>
          <w:b/>
          <w:bCs/>
        </w:rPr>
        <w:t>2</w:t>
      </w:r>
      <w:r w:rsidRPr="00AF3032">
        <w:rPr>
          <w:b/>
          <w:bCs/>
        </w:rPr>
        <w:t xml:space="preserve">. Burden Associated </w:t>
      </w:r>
      <w:r w:rsidRPr="00AF3032" w:rsidR="00F66027">
        <w:rPr>
          <w:b/>
          <w:bCs/>
        </w:rPr>
        <w:t>w</w:t>
      </w:r>
      <w:r w:rsidRPr="00AF3032">
        <w:rPr>
          <w:b/>
          <w:bCs/>
        </w:rPr>
        <w:t>ith Annual Grant Activities</w:t>
      </w:r>
      <w:r w:rsidRPr="00AF3032" w:rsidR="00667509">
        <w:rPr>
          <w:b/>
          <w:bCs/>
        </w:rPr>
        <w:t xml:space="preserve"> for a Program in the Implementation Stage</w:t>
      </w:r>
    </w:p>
    <w:tbl>
      <w:tblPr>
        <w:tblW w:w="9360" w:type="dxa"/>
        <w:tblLook w:val="04A0"/>
      </w:tblPr>
      <w:tblGrid>
        <w:gridCol w:w="1737"/>
        <w:gridCol w:w="4558"/>
        <w:gridCol w:w="1528"/>
        <w:gridCol w:w="1537"/>
      </w:tblGrid>
      <w:tr w14:paraId="56037853" w14:textId="77777777" w:rsidTr="005219E5">
        <w:tblPrEx>
          <w:tblW w:w="9360" w:type="dxa"/>
          <w:tblLook w:val="04A0"/>
        </w:tblPrEx>
        <w:trPr>
          <w:cantSplit/>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noWrap/>
            <w:hideMark/>
          </w:tcPr>
          <w:p w:rsidR="005219E5" w:rsidRPr="005219E5" w:rsidP="005219E5" w14:paraId="54EDE5C9" w14:textId="77777777">
            <w:pPr>
              <w:autoSpaceDE/>
              <w:autoSpaceDN/>
              <w:adjustRightInd/>
              <w:rPr>
                <w:b/>
                <w:bCs/>
                <w:color w:val="000000"/>
                <w:sz w:val="24"/>
                <w:szCs w:val="24"/>
              </w:rPr>
            </w:pPr>
            <w:r w:rsidRPr="005219E5">
              <w:rPr>
                <w:b/>
                <w:bCs/>
                <w:color w:val="000000"/>
                <w:sz w:val="24"/>
                <w:szCs w:val="24"/>
              </w:rPr>
              <w:t>Area</w:t>
            </w:r>
          </w:p>
        </w:tc>
        <w:tc>
          <w:tcPr>
            <w:tcW w:w="4558" w:type="dxa"/>
            <w:tcBorders>
              <w:top w:val="single" w:sz="4" w:space="0" w:color="000000"/>
              <w:left w:val="nil"/>
              <w:bottom w:val="single" w:sz="4" w:space="0" w:color="000000"/>
              <w:right w:val="single" w:sz="4" w:space="0" w:color="000000"/>
            </w:tcBorders>
            <w:shd w:val="clear" w:color="auto" w:fill="auto"/>
            <w:noWrap/>
            <w:hideMark/>
          </w:tcPr>
          <w:p w:rsidR="005219E5" w:rsidRPr="005219E5" w:rsidP="005219E5" w14:paraId="459545BB" w14:textId="77777777">
            <w:pPr>
              <w:autoSpaceDE/>
              <w:autoSpaceDN/>
              <w:adjustRightInd/>
              <w:rPr>
                <w:b/>
                <w:bCs/>
                <w:color w:val="000000"/>
                <w:sz w:val="24"/>
                <w:szCs w:val="24"/>
              </w:rPr>
            </w:pPr>
            <w:r w:rsidRPr="005219E5">
              <w:rPr>
                <w:b/>
                <w:bCs/>
                <w:color w:val="000000"/>
                <w:sz w:val="24"/>
                <w:szCs w:val="24"/>
              </w:rPr>
              <w:t>Activity</w:t>
            </w:r>
          </w:p>
        </w:tc>
        <w:tc>
          <w:tcPr>
            <w:tcW w:w="1528" w:type="dxa"/>
            <w:tcBorders>
              <w:top w:val="single" w:sz="4" w:space="0" w:color="000000"/>
              <w:left w:val="nil"/>
              <w:bottom w:val="single" w:sz="4" w:space="0" w:color="000000"/>
              <w:right w:val="single" w:sz="4" w:space="0" w:color="000000"/>
            </w:tcBorders>
            <w:shd w:val="clear" w:color="auto" w:fill="auto"/>
            <w:hideMark/>
          </w:tcPr>
          <w:p w:rsidR="005219E5" w:rsidRPr="005219E5" w:rsidP="005219E5" w14:paraId="0AA0FE7D" w14:textId="77777777">
            <w:pPr>
              <w:autoSpaceDE/>
              <w:autoSpaceDN/>
              <w:adjustRightInd/>
              <w:jc w:val="center"/>
              <w:rPr>
                <w:b/>
                <w:bCs/>
                <w:color w:val="000000"/>
                <w:sz w:val="24"/>
                <w:szCs w:val="24"/>
              </w:rPr>
            </w:pPr>
            <w:r w:rsidRPr="005219E5">
              <w:rPr>
                <w:b/>
                <w:bCs/>
                <w:color w:val="000000"/>
                <w:sz w:val="24"/>
                <w:szCs w:val="24"/>
              </w:rPr>
              <w:t>1-year managerial burden (hours)</w:t>
            </w:r>
          </w:p>
        </w:tc>
        <w:tc>
          <w:tcPr>
            <w:tcW w:w="0" w:type="auto"/>
            <w:tcBorders>
              <w:top w:val="single" w:sz="4" w:space="0" w:color="000000"/>
              <w:left w:val="nil"/>
              <w:bottom w:val="single" w:sz="4" w:space="0" w:color="000000"/>
              <w:right w:val="single" w:sz="4" w:space="0" w:color="000000"/>
            </w:tcBorders>
            <w:shd w:val="clear" w:color="auto" w:fill="auto"/>
            <w:hideMark/>
          </w:tcPr>
          <w:p w:rsidR="005219E5" w:rsidRPr="005219E5" w:rsidP="005219E5" w14:paraId="5D4FB5EF" w14:textId="77777777">
            <w:pPr>
              <w:autoSpaceDE/>
              <w:autoSpaceDN/>
              <w:adjustRightInd/>
              <w:jc w:val="center"/>
              <w:rPr>
                <w:b/>
                <w:bCs/>
                <w:color w:val="000000"/>
                <w:sz w:val="24"/>
                <w:szCs w:val="24"/>
              </w:rPr>
            </w:pPr>
            <w:r w:rsidRPr="005219E5">
              <w:rPr>
                <w:b/>
                <w:bCs/>
                <w:color w:val="000000"/>
                <w:sz w:val="24"/>
                <w:szCs w:val="24"/>
              </w:rPr>
              <w:t>1-year technical burden (hours)</w:t>
            </w:r>
          </w:p>
        </w:tc>
      </w:tr>
      <w:tr w14:paraId="24A5A494" w14:textId="77777777" w:rsidTr="005219E5">
        <w:tblPrEx>
          <w:tblW w:w="9360" w:type="dxa"/>
          <w:tblLook w:val="04A0"/>
        </w:tblPrEx>
        <w:trPr>
          <w:trHeight w:val="620"/>
        </w:trPr>
        <w:tc>
          <w:tcPr>
            <w:tcW w:w="1737" w:type="dxa"/>
            <w:tcBorders>
              <w:top w:val="nil"/>
              <w:left w:val="single" w:sz="4" w:space="0" w:color="000000"/>
              <w:bottom w:val="single" w:sz="4" w:space="0" w:color="000000"/>
              <w:right w:val="single" w:sz="4" w:space="0" w:color="000000"/>
            </w:tcBorders>
            <w:shd w:val="clear" w:color="auto" w:fill="auto"/>
            <w:hideMark/>
          </w:tcPr>
          <w:p w:rsidR="005219E5" w:rsidRPr="005219E5" w:rsidP="005219E5" w14:paraId="5E2BF492" w14:textId="77777777">
            <w:pPr>
              <w:autoSpaceDE/>
              <w:autoSpaceDN/>
              <w:adjustRightInd/>
              <w:rPr>
                <w:color w:val="000000"/>
                <w:sz w:val="24"/>
                <w:szCs w:val="24"/>
              </w:rPr>
            </w:pPr>
            <w:r w:rsidRPr="005219E5">
              <w:rPr>
                <w:color w:val="000000"/>
                <w:sz w:val="24"/>
                <w:szCs w:val="24"/>
              </w:rPr>
              <w:t>Grant Application</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57527EDF" w14:textId="77777777">
            <w:pPr>
              <w:autoSpaceDE/>
              <w:autoSpaceDN/>
              <w:adjustRightInd/>
              <w:rPr>
                <w:color w:val="000000"/>
                <w:sz w:val="24"/>
                <w:szCs w:val="24"/>
              </w:rPr>
            </w:pPr>
            <w:r w:rsidRPr="005219E5">
              <w:rPr>
                <w:color w:val="000000"/>
                <w:sz w:val="24"/>
                <w:szCs w:val="24"/>
              </w:rPr>
              <w:t>Assemble and submit required paperwork for grant application</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12DA1831" w14:textId="77777777">
            <w:pPr>
              <w:autoSpaceDE/>
              <w:autoSpaceDN/>
              <w:adjustRightInd/>
              <w:jc w:val="center"/>
              <w:rPr>
                <w:color w:val="000000"/>
                <w:sz w:val="24"/>
                <w:szCs w:val="24"/>
              </w:rPr>
            </w:pPr>
            <w:r w:rsidRPr="005219E5">
              <w:rPr>
                <w:color w:val="000000"/>
                <w:sz w:val="24"/>
                <w:szCs w:val="24"/>
              </w:rPr>
              <w:t>4</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53DEC7D9" w14:textId="77777777">
            <w:pPr>
              <w:autoSpaceDE/>
              <w:autoSpaceDN/>
              <w:adjustRightInd/>
              <w:jc w:val="center"/>
              <w:rPr>
                <w:color w:val="000000"/>
                <w:sz w:val="24"/>
                <w:szCs w:val="24"/>
              </w:rPr>
            </w:pPr>
            <w:r w:rsidRPr="005219E5">
              <w:rPr>
                <w:color w:val="000000"/>
                <w:sz w:val="24"/>
                <w:szCs w:val="24"/>
              </w:rPr>
              <w:t>30</w:t>
            </w:r>
          </w:p>
        </w:tc>
      </w:tr>
      <w:tr w14:paraId="38CBCFC1" w14:textId="77777777" w:rsidTr="005219E5">
        <w:tblPrEx>
          <w:tblW w:w="9360" w:type="dxa"/>
          <w:tblLook w:val="04A0"/>
        </w:tblPrEx>
        <w:trPr>
          <w:trHeight w:val="620"/>
        </w:trPr>
        <w:tc>
          <w:tcPr>
            <w:tcW w:w="1737" w:type="dxa"/>
            <w:tcBorders>
              <w:top w:val="nil"/>
              <w:left w:val="single" w:sz="4" w:space="0" w:color="000000"/>
              <w:bottom w:val="nil"/>
              <w:right w:val="single" w:sz="4" w:space="0" w:color="000000"/>
            </w:tcBorders>
            <w:shd w:val="clear" w:color="auto" w:fill="auto"/>
            <w:hideMark/>
          </w:tcPr>
          <w:p w:rsidR="005219E5" w:rsidRPr="005219E5" w:rsidP="005219E5" w14:paraId="01A785F4" w14:textId="77777777">
            <w:pPr>
              <w:autoSpaceDE/>
              <w:autoSpaceDN/>
              <w:adjustRightInd/>
              <w:rPr>
                <w:color w:val="000000"/>
                <w:sz w:val="24"/>
                <w:szCs w:val="24"/>
              </w:rPr>
            </w:pPr>
            <w:r w:rsidRPr="005219E5">
              <w:rPr>
                <w:color w:val="000000"/>
                <w:sz w:val="24"/>
                <w:szCs w:val="24"/>
              </w:rPr>
              <w:t>Grant Paperwork</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12CAA05C" w14:textId="77777777">
            <w:pPr>
              <w:autoSpaceDE/>
              <w:autoSpaceDN/>
              <w:adjustRightInd/>
              <w:rPr>
                <w:color w:val="000000"/>
                <w:sz w:val="24"/>
                <w:szCs w:val="24"/>
              </w:rPr>
            </w:pPr>
            <w:r w:rsidRPr="005219E5">
              <w:rPr>
                <w:color w:val="000000"/>
                <w:sz w:val="24"/>
                <w:szCs w:val="24"/>
              </w:rPr>
              <w:t>Write and submit annual report or final report and grant close-out paperwork</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02769E2D" w14:textId="77777777">
            <w:pPr>
              <w:autoSpaceDE/>
              <w:autoSpaceDN/>
              <w:adjustRightInd/>
              <w:jc w:val="center"/>
              <w:rPr>
                <w:color w:val="000000"/>
                <w:sz w:val="24"/>
                <w:szCs w:val="24"/>
              </w:rPr>
            </w:pPr>
            <w:r w:rsidRPr="005219E5">
              <w:rPr>
                <w:color w:val="000000"/>
                <w:sz w:val="24"/>
                <w:szCs w:val="24"/>
              </w:rPr>
              <w:t>4</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1B9EDE88" w14:textId="77777777">
            <w:pPr>
              <w:autoSpaceDE/>
              <w:autoSpaceDN/>
              <w:adjustRightInd/>
              <w:jc w:val="center"/>
              <w:rPr>
                <w:color w:val="000000"/>
                <w:sz w:val="24"/>
                <w:szCs w:val="24"/>
              </w:rPr>
            </w:pPr>
            <w:r w:rsidRPr="005219E5">
              <w:rPr>
                <w:color w:val="000000"/>
                <w:sz w:val="24"/>
                <w:szCs w:val="24"/>
              </w:rPr>
              <w:t>80</w:t>
            </w:r>
          </w:p>
        </w:tc>
      </w:tr>
      <w:tr w14:paraId="47DAABA3" w14:textId="77777777" w:rsidTr="005219E5">
        <w:tblPrEx>
          <w:tblW w:w="9360" w:type="dxa"/>
          <w:tblLook w:val="04A0"/>
        </w:tblPrEx>
        <w:trPr>
          <w:trHeight w:val="530"/>
        </w:trPr>
        <w:tc>
          <w:tcPr>
            <w:tcW w:w="1737" w:type="dxa"/>
            <w:tcBorders>
              <w:top w:val="single" w:sz="4" w:space="0" w:color="000000"/>
              <w:left w:val="single" w:sz="4" w:space="0" w:color="000000"/>
              <w:bottom w:val="nil"/>
              <w:right w:val="single" w:sz="4" w:space="0" w:color="000000"/>
            </w:tcBorders>
            <w:shd w:val="clear" w:color="auto" w:fill="auto"/>
            <w:noWrap/>
            <w:hideMark/>
          </w:tcPr>
          <w:p w:rsidR="005219E5" w:rsidRPr="005219E5" w:rsidP="005219E5" w14:paraId="7DEDE4C1" w14:textId="77777777">
            <w:pPr>
              <w:autoSpaceDE/>
              <w:autoSpaceDN/>
              <w:adjustRightInd/>
              <w:rPr>
                <w:color w:val="000000"/>
                <w:sz w:val="24"/>
                <w:szCs w:val="24"/>
              </w:rPr>
            </w:pPr>
            <w:r w:rsidRPr="005219E5">
              <w:rPr>
                <w:color w:val="000000"/>
                <w:sz w:val="24"/>
                <w:szCs w:val="24"/>
              </w:rPr>
              <w:t>Program Implementation</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2A6DCD21" w14:textId="77777777">
            <w:pPr>
              <w:autoSpaceDE/>
              <w:autoSpaceDN/>
              <w:adjustRightInd/>
              <w:rPr>
                <w:color w:val="000000"/>
                <w:sz w:val="24"/>
                <w:szCs w:val="24"/>
              </w:rPr>
            </w:pPr>
            <w:r w:rsidRPr="005219E5">
              <w:rPr>
                <w:color w:val="000000"/>
                <w:sz w:val="24"/>
                <w:szCs w:val="24"/>
              </w:rPr>
              <w:t>Determine if any of these are needed and provide opportunity for public comment/review, if appropriate:</w:t>
            </w:r>
            <w:r w:rsidRPr="005219E5">
              <w:rPr>
                <w:color w:val="000000"/>
                <w:sz w:val="24"/>
                <w:szCs w:val="24"/>
              </w:rPr>
              <w:br/>
              <w:t>- changes to list and/or tiering of beaches</w:t>
            </w:r>
            <w:r w:rsidRPr="005219E5">
              <w:rPr>
                <w:color w:val="000000"/>
                <w:sz w:val="24"/>
                <w:szCs w:val="24"/>
              </w:rPr>
              <w:br/>
              <w:t>- changes to monitoring frequency or method</w:t>
            </w:r>
            <w:r w:rsidRPr="005219E5">
              <w:rPr>
                <w:color w:val="000000"/>
                <w:sz w:val="24"/>
                <w:szCs w:val="24"/>
              </w:rPr>
              <w:br/>
              <w:t>- changes to public notification and risk communication</w:t>
            </w:r>
            <w:r w:rsidRPr="005219E5">
              <w:rPr>
                <w:color w:val="000000"/>
                <w:sz w:val="24"/>
                <w:szCs w:val="24"/>
              </w:rPr>
              <w:br/>
              <w:t>- other program changes</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51633F22" w14:textId="77777777">
            <w:pPr>
              <w:autoSpaceDE/>
              <w:autoSpaceDN/>
              <w:adjustRightInd/>
              <w:jc w:val="center"/>
              <w:rPr>
                <w:color w:val="000000"/>
                <w:sz w:val="24"/>
                <w:szCs w:val="24"/>
              </w:rPr>
            </w:pPr>
            <w:r w:rsidRPr="005219E5">
              <w:rPr>
                <w:color w:val="000000"/>
                <w:sz w:val="24"/>
                <w:szCs w:val="24"/>
              </w:rPr>
              <w:t>4</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6779D484" w14:textId="77777777">
            <w:pPr>
              <w:autoSpaceDE/>
              <w:autoSpaceDN/>
              <w:adjustRightInd/>
              <w:jc w:val="center"/>
              <w:rPr>
                <w:color w:val="000000"/>
                <w:sz w:val="24"/>
                <w:szCs w:val="24"/>
              </w:rPr>
            </w:pPr>
            <w:r w:rsidRPr="005219E5">
              <w:rPr>
                <w:color w:val="000000"/>
                <w:sz w:val="24"/>
                <w:szCs w:val="24"/>
              </w:rPr>
              <w:t>40</w:t>
            </w:r>
          </w:p>
        </w:tc>
      </w:tr>
      <w:tr w14:paraId="3EB0A862" w14:textId="77777777" w:rsidTr="005219E5">
        <w:tblPrEx>
          <w:tblW w:w="9360" w:type="dxa"/>
          <w:tblLook w:val="04A0"/>
        </w:tblPrEx>
        <w:trPr>
          <w:trHeight w:val="310"/>
        </w:trPr>
        <w:tc>
          <w:tcPr>
            <w:tcW w:w="1737" w:type="dxa"/>
            <w:tcBorders>
              <w:top w:val="nil"/>
              <w:left w:val="single" w:sz="4" w:space="0" w:color="000000"/>
              <w:bottom w:val="nil"/>
              <w:right w:val="single" w:sz="4" w:space="0" w:color="000000"/>
            </w:tcBorders>
            <w:shd w:val="clear" w:color="auto" w:fill="auto"/>
            <w:noWrap/>
            <w:hideMark/>
          </w:tcPr>
          <w:p w:rsidR="005219E5" w:rsidRPr="005219E5" w:rsidP="005219E5" w14:paraId="2AF76455" w14:textId="77777777">
            <w:pPr>
              <w:autoSpaceDE/>
              <w:autoSpaceDN/>
              <w:adjustRightInd/>
              <w:rPr>
                <w:color w:val="000000"/>
                <w:sz w:val="24"/>
                <w:szCs w:val="24"/>
              </w:rPr>
            </w:pPr>
            <w:r w:rsidRPr="005219E5">
              <w:rPr>
                <w:color w:val="000000"/>
                <w:sz w:val="24"/>
                <w:szCs w:val="24"/>
              </w:rPr>
              <w:t> </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6FD0DBBB" w14:textId="77777777">
            <w:pPr>
              <w:autoSpaceDE/>
              <w:autoSpaceDN/>
              <w:adjustRightInd/>
              <w:rPr>
                <w:color w:val="000000"/>
                <w:sz w:val="24"/>
                <w:szCs w:val="24"/>
              </w:rPr>
            </w:pPr>
            <w:r w:rsidRPr="005219E5">
              <w:rPr>
                <w:color w:val="000000"/>
                <w:sz w:val="24"/>
                <w:szCs w:val="24"/>
              </w:rPr>
              <w:t>Submit program changes to EPA</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3A8A8062" w14:textId="77777777">
            <w:pPr>
              <w:autoSpaceDE/>
              <w:autoSpaceDN/>
              <w:adjustRightInd/>
              <w:jc w:val="center"/>
              <w:rPr>
                <w:color w:val="000000"/>
                <w:sz w:val="24"/>
                <w:szCs w:val="24"/>
              </w:rPr>
            </w:pPr>
            <w:r w:rsidRPr="005219E5">
              <w:rPr>
                <w:color w:val="000000"/>
                <w:sz w:val="24"/>
                <w:szCs w:val="24"/>
              </w:rPr>
              <w:t>2</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6E6BF55B" w14:textId="77777777">
            <w:pPr>
              <w:autoSpaceDE/>
              <w:autoSpaceDN/>
              <w:adjustRightInd/>
              <w:jc w:val="center"/>
              <w:rPr>
                <w:color w:val="000000"/>
                <w:sz w:val="24"/>
                <w:szCs w:val="24"/>
              </w:rPr>
            </w:pPr>
            <w:r w:rsidRPr="005219E5">
              <w:rPr>
                <w:color w:val="000000"/>
                <w:sz w:val="24"/>
                <w:szCs w:val="24"/>
              </w:rPr>
              <w:t>8</w:t>
            </w:r>
          </w:p>
        </w:tc>
      </w:tr>
      <w:tr w14:paraId="6349499F" w14:textId="77777777" w:rsidTr="005219E5">
        <w:tblPrEx>
          <w:tblW w:w="9360" w:type="dxa"/>
          <w:tblLook w:val="04A0"/>
        </w:tblPrEx>
        <w:trPr>
          <w:trHeight w:val="310"/>
        </w:trPr>
        <w:tc>
          <w:tcPr>
            <w:tcW w:w="1737" w:type="dxa"/>
            <w:tcBorders>
              <w:top w:val="nil"/>
              <w:left w:val="single" w:sz="4" w:space="0" w:color="000000"/>
              <w:bottom w:val="nil"/>
              <w:right w:val="single" w:sz="4" w:space="0" w:color="000000"/>
            </w:tcBorders>
            <w:shd w:val="clear" w:color="auto" w:fill="auto"/>
            <w:noWrap/>
            <w:hideMark/>
          </w:tcPr>
          <w:p w:rsidR="005219E5" w:rsidRPr="005219E5" w:rsidP="005219E5" w14:paraId="1A38890D" w14:textId="77777777">
            <w:pPr>
              <w:autoSpaceDE/>
              <w:autoSpaceDN/>
              <w:adjustRightInd/>
              <w:rPr>
                <w:color w:val="000000"/>
                <w:sz w:val="24"/>
                <w:szCs w:val="24"/>
              </w:rPr>
            </w:pPr>
            <w:r w:rsidRPr="005219E5">
              <w:rPr>
                <w:color w:val="000000"/>
                <w:sz w:val="24"/>
                <w:szCs w:val="24"/>
              </w:rPr>
              <w:t> </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05EE7C36" w14:textId="77777777">
            <w:pPr>
              <w:autoSpaceDE/>
              <w:autoSpaceDN/>
              <w:adjustRightInd/>
              <w:rPr>
                <w:color w:val="000000"/>
                <w:sz w:val="24"/>
                <w:szCs w:val="24"/>
              </w:rPr>
            </w:pPr>
            <w:r w:rsidRPr="005219E5">
              <w:rPr>
                <w:color w:val="000000"/>
                <w:sz w:val="24"/>
                <w:szCs w:val="24"/>
              </w:rPr>
              <w:t>Prepare and train personnel for monitoring</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291FD7D8" w14:textId="77777777">
            <w:pPr>
              <w:autoSpaceDE/>
              <w:autoSpaceDN/>
              <w:adjustRightInd/>
              <w:jc w:val="center"/>
              <w:rPr>
                <w:color w:val="000000"/>
                <w:sz w:val="24"/>
                <w:szCs w:val="24"/>
              </w:rPr>
            </w:pPr>
            <w:r w:rsidRPr="005219E5">
              <w:rPr>
                <w:color w:val="000000"/>
                <w:sz w:val="24"/>
                <w:szCs w:val="24"/>
              </w:rPr>
              <w:t>8</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45A84419" w14:textId="77777777">
            <w:pPr>
              <w:autoSpaceDE/>
              <w:autoSpaceDN/>
              <w:adjustRightInd/>
              <w:jc w:val="center"/>
              <w:rPr>
                <w:color w:val="000000"/>
                <w:sz w:val="24"/>
                <w:szCs w:val="24"/>
              </w:rPr>
            </w:pPr>
            <w:r w:rsidRPr="005219E5">
              <w:rPr>
                <w:color w:val="000000"/>
                <w:sz w:val="24"/>
                <w:szCs w:val="24"/>
              </w:rPr>
              <w:t>60</w:t>
            </w:r>
          </w:p>
        </w:tc>
      </w:tr>
      <w:tr w14:paraId="5F89FBAE" w14:textId="77777777" w:rsidTr="005219E5">
        <w:tblPrEx>
          <w:tblW w:w="9360" w:type="dxa"/>
          <w:tblLook w:val="04A0"/>
        </w:tblPrEx>
        <w:trPr>
          <w:trHeight w:val="310"/>
        </w:trPr>
        <w:tc>
          <w:tcPr>
            <w:tcW w:w="1737" w:type="dxa"/>
            <w:tcBorders>
              <w:top w:val="nil"/>
              <w:left w:val="single" w:sz="4" w:space="0" w:color="000000"/>
              <w:bottom w:val="nil"/>
              <w:right w:val="single" w:sz="4" w:space="0" w:color="000000"/>
            </w:tcBorders>
            <w:shd w:val="clear" w:color="auto" w:fill="auto"/>
            <w:noWrap/>
            <w:hideMark/>
          </w:tcPr>
          <w:p w:rsidR="005219E5" w:rsidRPr="005219E5" w:rsidP="005219E5" w14:paraId="0D9A511A" w14:textId="77777777">
            <w:pPr>
              <w:autoSpaceDE/>
              <w:autoSpaceDN/>
              <w:adjustRightInd/>
              <w:rPr>
                <w:color w:val="000000"/>
                <w:sz w:val="24"/>
                <w:szCs w:val="24"/>
              </w:rPr>
            </w:pPr>
            <w:r w:rsidRPr="005219E5">
              <w:rPr>
                <w:color w:val="000000"/>
                <w:sz w:val="24"/>
                <w:szCs w:val="24"/>
              </w:rPr>
              <w:t> </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7425FAFB" w14:textId="77777777">
            <w:pPr>
              <w:autoSpaceDE/>
              <w:autoSpaceDN/>
              <w:adjustRightInd/>
              <w:rPr>
                <w:color w:val="000000"/>
                <w:sz w:val="24"/>
                <w:szCs w:val="24"/>
              </w:rPr>
            </w:pPr>
            <w:r w:rsidRPr="005219E5">
              <w:rPr>
                <w:color w:val="000000"/>
                <w:sz w:val="24"/>
                <w:szCs w:val="24"/>
              </w:rPr>
              <w:t>Monitor coastal water quality</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701A5349" w14:textId="77777777">
            <w:pPr>
              <w:autoSpaceDE/>
              <w:autoSpaceDN/>
              <w:adjustRightInd/>
              <w:jc w:val="center"/>
              <w:rPr>
                <w:color w:val="000000"/>
                <w:sz w:val="24"/>
                <w:szCs w:val="24"/>
              </w:rPr>
            </w:pPr>
            <w:r w:rsidRPr="005219E5">
              <w:rPr>
                <w:color w:val="000000"/>
                <w:sz w:val="24"/>
                <w:szCs w:val="24"/>
              </w:rPr>
              <w:t>0</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3CFA0B22" w14:textId="52FBDDAF">
            <w:pPr>
              <w:autoSpaceDE/>
              <w:autoSpaceDN/>
              <w:adjustRightInd/>
              <w:jc w:val="center"/>
              <w:rPr>
                <w:color w:val="000000"/>
                <w:sz w:val="24"/>
                <w:szCs w:val="24"/>
              </w:rPr>
            </w:pPr>
            <w:r>
              <w:rPr>
                <w:color w:val="000000"/>
                <w:sz w:val="24"/>
                <w:szCs w:val="24"/>
              </w:rPr>
              <w:t>5947</w:t>
            </w:r>
          </w:p>
        </w:tc>
      </w:tr>
      <w:tr w14:paraId="156AD246" w14:textId="77777777" w:rsidTr="005219E5">
        <w:tblPrEx>
          <w:tblW w:w="9360" w:type="dxa"/>
          <w:tblLook w:val="04A0"/>
        </w:tblPrEx>
        <w:trPr>
          <w:trHeight w:val="620"/>
        </w:trPr>
        <w:tc>
          <w:tcPr>
            <w:tcW w:w="1737" w:type="dxa"/>
            <w:tcBorders>
              <w:top w:val="nil"/>
              <w:left w:val="single" w:sz="4" w:space="0" w:color="000000"/>
              <w:bottom w:val="nil"/>
              <w:right w:val="single" w:sz="4" w:space="0" w:color="000000"/>
            </w:tcBorders>
            <w:shd w:val="clear" w:color="auto" w:fill="auto"/>
            <w:noWrap/>
            <w:hideMark/>
          </w:tcPr>
          <w:p w:rsidR="005219E5" w:rsidRPr="005219E5" w:rsidP="005219E5" w14:paraId="4B89245E" w14:textId="77777777">
            <w:pPr>
              <w:autoSpaceDE/>
              <w:autoSpaceDN/>
              <w:adjustRightInd/>
              <w:rPr>
                <w:color w:val="000000"/>
                <w:sz w:val="24"/>
                <w:szCs w:val="24"/>
              </w:rPr>
            </w:pPr>
            <w:r w:rsidRPr="005219E5">
              <w:rPr>
                <w:color w:val="000000"/>
                <w:sz w:val="24"/>
                <w:szCs w:val="24"/>
              </w:rPr>
              <w:t> </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6745020A" w14:textId="77777777">
            <w:pPr>
              <w:autoSpaceDE/>
              <w:autoSpaceDN/>
              <w:adjustRightInd/>
              <w:rPr>
                <w:color w:val="000000"/>
                <w:sz w:val="24"/>
                <w:szCs w:val="24"/>
              </w:rPr>
            </w:pPr>
            <w:r w:rsidRPr="005219E5">
              <w:rPr>
                <w:color w:val="000000"/>
                <w:sz w:val="24"/>
                <w:szCs w:val="24"/>
              </w:rPr>
              <w:t>Issue public notification for exceedance of the beach notification threshold</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5D6C15F1" w14:textId="77777777">
            <w:pPr>
              <w:autoSpaceDE/>
              <w:autoSpaceDN/>
              <w:adjustRightInd/>
              <w:jc w:val="center"/>
              <w:rPr>
                <w:color w:val="000000"/>
                <w:sz w:val="24"/>
                <w:szCs w:val="24"/>
              </w:rPr>
            </w:pPr>
            <w:r w:rsidRPr="005219E5">
              <w:rPr>
                <w:color w:val="000000"/>
                <w:sz w:val="24"/>
                <w:szCs w:val="24"/>
              </w:rPr>
              <w:t>123</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1692B65D" w14:textId="77777777">
            <w:pPr>
              <w:autoSpaceDE/>
              <w:autoSpaceDN/>
              <w:adjustRightInd/>
              <w:jc w:val="center"/>
              <w:rPr>
                <w:color w:val="000000"/>
                <w:sz w:val="24"/>
                <w:szCs w:val="24"/>
              </w:rPr>
            </w:pPr>
            <w:r w:rsidRPr="005219E5">
              <w:rPr>
                <w:color w:val="000000"/>
                <w:sz w:val="24"/>
                <w:szCs w:val="24"/>
              </w:rPr>
              <w:t>616</w:t>
            </w:r>
          </w:p>
        </w:tc>
      </w:tr>
      <w:tr w14:paraId="285567CC" w14:textId="77777777" w:rsidTr="005219E5">
        <w:tblPrEx>
          <w:tblW w:w="9360" w:type="dxa"/>
          <w:tblLook w:val="04A0"/>
        </w:tblPrEx>
        <w:trPr>
          <w:trHeight w:val="620"/>
        </w:trPr>
        <w:tc>
          <w:tcPr>
            <w:tcW w:w="1737" w:type="dxa"/>
            <w:tcBorders>
              <w:top w:val="nil"/>
              <w:left w:val="single" w:sz="4" w:space="0" w:color="000000"/>
              <w:bottom w:val="single" w:sz="4" w:space="0" w:color="000000"/>
              <w:right w:val="single" w:sz="4" w:space="0" w:color="000000"/>
            </w:tcBorders>
            <w:shd w:val="clear" w:color="auto" w:fill="auto"/>
            <w:noWrap/>
            <w:hideMark/>
          </w:tcPr>
          <w:p w:rsidR="005219E5" w:rsidRPr="005219E5" w:rsidP="005219E5" w14:paraId="3E117BA8" w14:textId="77777777">
            <w:pPr>
              <w:autoSpaceDE/>
              <w:autoSpaceDN/>
              <w:adjustRightInd/>
              <w:rPr>
                <w:color w:val="000000"/>
                <w:sz w:val="24"/>
                <w:szCs w:val="24"/>
              </w:rPr>
            </w:pPr>
            <w:r w:rsidRPr="005219E5">
              <w:rPr>
                <w:color w:val="000000"/>
                <w:sz w:val="24"/>
                <w:szCs w:val="24"/>
              </w:rPr>
              <w:t> </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3FC1A6A9" w14:textId="77777777">
            <w:pPr>
              <w:autoSpaceDE/>
              <w:autoSpaceDN/>
              <w:adjustRightInd/>
              <w:rPr>
                <w:color w:val="000000"/>
                <w:sz w:val="24"/>
                <w:szCs w:val="24"/>
              </w:rPr>
            </w:pPr>
            <w:r w:rsidRPr="005219E5">
              <w:rPr>
                <w:color w:val="000000"/>
                <w:sz w:val="24"/>
                <w:szCs w:val="24"/>
              </w:rPr>
              <w:t>Make monitoring data available to the public (e.g., post online)</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032377F1" w14:textId="77777777">
            <w:pPr>
              <w:autoSpaceDE/>
              <w:autoSpaceDN/>
              <w:adjustRightInd/>
              <w:jc w:val="center"/>
              <w:rPr>
                <w:color w:val="000000"/>
                <w:sz w:val="24"/>
                <w:szCs w:val="24"/>
              </w:rPr>
            </w:pPr>
            <w:r w:rsidRPr="005219E5">
              <w:rPr>
                <w:color w:val="000000"/>
                <w:sz w:val="24"/>
                <w:szCs w:val="24"/>
              </w:rPr>
              <w:t>100</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02BD042A" w14:textId="77777777">
            <w:pPr>
              <w:autoSpaceDE/>
              <w:autoSpaceDN/>
              <w:adjustRightInd/>
              <w:jc w:val="center"/>
              <w:rPr>
                <w:color w:val="000000"/>
                <w:sz w:val="24"/>
                <w:szCs w:val="24"/>
              </w:rPr>
            </w:pPr>
            <w:r w:rsidRPr="005219E5">
              <w:rPr>
                <w:color w:val="000000"/>
                <w:sz w:val="24"/>
                <w:szCs w:val="24"/>
              </w:rPr>
              <w:t>480</w:t>
            </w:r>
          </w:p>
        </w:tc>
      </w:tr>
      <w:tr w14:paraId="6C0BDE5D" w14:textId="77777777" w:rsidTr="005219E5">
        <w:tblPrEx>
          <w:tblW w:w="9360" w:type="dxa"/>
          <w:tblLook w:val="04A0"/>
        </w:tblPrEx>
        <w:trPr>
          <w:trHeight w:val="310"/>
        </w:trPr>
        <w:tc>
          <w:tcPr>
            <w:tcW w:w="1737" w:type="dxa"/>
            <w:tcBorders>
              <w:top w:val="nil"/>
              <w:left w:val="single" w:sz="4" w:space="0" w:color="000000"/>
              <w:bottom w:val="single" w:sz="4" w:space="0" w:color="000000"/>
              <w:right w:val="single" w:sz="4" w:space="0" w:color="000000"/>
            </w:tcBorders>
            <w:shd w:val="clear" w:color="auto" w:fill="auto"/>
            <w:noWrap/>
            <w:hideMark/>
          </w:tcPr>
          <w:p w:rsidR="005219E5" w:rsidRPr="005219E5" w:rsidP="005219E5" w14:paraId="6F7BD1D9" w14:textId="77777777">
            <w:pPr>
              <w:autoSpaceDE/>
              <w:autoSpaceDN/>
              <w:adjustRightInd/>
              <w:rPr>
                <w:color w:val="000000"/>
                <w:sz w:val="24"/>
                <w:szCs w:val="24"/>
              </w:rPr>
            </w:pPr>
            <w:r w:rsidRPr="005219E5">
              <w:rPr>
                <w:color w:val="000000"/>
                <w:sz w:val="24"/>
                <w:szCs w:val="24"/>
              </w:rPr>
              <w:t>Data Submission</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7C2E54BC" w14:textId="77777777">
            <w:pPr>
              <w:autoSpaceDE/>
              <w:autoSpaceDN/>
              <w:adjustRightInd/>
              <w:rPr>
                <w:color w:val="000000"/>
                <w:sz w:val="24"/>
                <w:szCs w:val="24"/>
              </w:rPr>
            </w:pPr>
            <w:r w:rsidRPr="005219E5">
              <w:rPr>
                <w:color w:val="000000"/>
                <w:sz w:val="24"/>
                <w:szCs w:val="24"/>
              </w:rPr>
              <w:t>Submit monitoring and public notification data to EPA</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1875A783" w14:textId="77777777">
            <w:pPr>
              <w:autoSpaceDE/>
              <w:autoSpaceDN/>
              <w:adjustRightInd/>
              <w:jc w:val="center"/>
              <w:rPr>
                <w:color w:val="000000"/>
                <w:sz w:val="24"/>
                <w:szCs w:val="24"/>
              </w:rPr>
            </w:pPr>
            <w:r w:rsidRPr="005219E5">
              <w:rPr>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74A7FFC3" w14:textId="77777777">
            <w:pPr>
              <w:autoSpaceDE/>
              <w:autoSpaceDN/>
              <w:adjustRightInd/>
              <w:jc w:val="center"/>
              <w:rPr>
                <w:color w:val="000000"/>
                <w:sz w:val="24"/>
                <w:szCs w:val="24"/>
              </w:rPr>
            </w:pPr>
            <w:r w:rsidRPr="005219E5">
              <w:rPr>
                <w:color w:val="000000"/>
                <w:sz w:val="24"/>
                <w:szCs w:val="24"/>
              </w:rPr>
              <w:t>264</w:t>
            </w:r>
          </w:p>
        </w:tc>
      </w:tr>
      <w:tr w14:paraId="4958D83A" w14:textId="77777777" w:rsidTr="005219E5">
        <w:tblPrEx>
          <w:tblW w:w="9360" w:type="dxa"/>
          <w:tblLook w:val="04A0"/>
        </w:tblPrEx>
        <w:trPr>
          <w:trHeight w:val="310"/>
        </w:trPr>
        <w:tc>
          <w:tcPr>
            <w:tcW w:w="1737" w:type="dxa"/>
            <w:tcBorders>
              <w:top w:val="nil"/>
              <w:left w:val="single" w:sz="4" w:space="0" w:color="000000"/>
              <w:bottom w:val="single" w:sz="4" w:space="0" w:color="000000"/>
              <w:right w:val="single" w:sz="4" w:space="0" w:color="000000"/>
            </w:tcBorders>
            <w:shd w:val="clear" w:color="auto" w:fill="auto"/>
            <w:noWrap/>
            <w:hideMark/>
          </w:tcPr>
          <w:p w:rsidR="005219E5" w:rsidRPr="005219E5" w:rsidP="005219E5" w14:paraId="1E5E7FD0" w14:textId="77777777">
            <w:pPr>
              <w:autoSpaceDE/>
              <w:autoSpaceDN/>
              <w:adjustRightInd/>
              <w:rPr>
                <w:b/>
                <w:bCs/>
                <w:color w:val="000000"/>
                <w:sz w:val="24"/>
                <w:szCs w:val="24"/>
              </w:rPr>
            </w:pPr>
            <w:r w:rsidRPr="005219E5">
              <w:rPr>
                <w:b/>
                <w:bCs/>
                <w:color w:val="000000"/>
                <w:sz w:val="24"/>
                <w:szCs w:val="24"/>
              </w:rPr>
              <w:t>Total</w:t>
            </w:r>
          </w:p>
        </w:tc>
        <w:tc>
          <w:tcPr>
            <w:tcW w:w="4558" w:type="dxa"/>
            <w:tcBorders>
              <w:top w:val="nil"/>
              <w:left w:val="nil"/>
              <w:bottom w:val="single" w:sz="4" w:space="0" w:color="000000"/>
              <w:right w:val="single" w:sz="4" w:space="0" w:color="000000"/>
            </w:tcBorders>
            <w:shd w:val="clear" w:color="auto" w:fill="auto"/>
            <w:hideMark/>
          </w:tcPr>
          <w:p w:rsidR="005219E5" w:rsidRPr="005219E5" w:rsidP="005219E5" w14:paraId="2A5A02F0" w14:textId="77777777">
            <w:pPr>
              <w:autoSpaceDE/>
              <w:autoSpaceDN/>
              <w:adjustRightInd/>
              <w:rPr>
                <w:color w:val="000000"/>
                <w:sz w:val="24"/>
                <w:szCs w:val="24"/>
              </w:rPr>
            </w:pPr>
            <w:r w:rsidRPr="005219E5">
              <w:rPr>
                <w:color w:val="000000"/>
                <w:sz w:val="24"/>
                <w:szCs w:val="24"/>
              </w:rPr>
              <w:t> </w:t>
            </w:r>
          </w:p>
        </w:tc>
        <w:tc>
          <w:tcPr>
            <w:tcW w:w="1528" w:type="dxa"/>
            <w:tcBorders>
              <w:top w:val="nil"/>
              <w:left w:val="nil"/>
              <w:bottom w:val="single" w:sz="4" w:space="0" w:color="000000"/>
              <w:right w:val="single" w:sz="4" w:space="0" w:color="000000"/>
            </w:tcBorders>
            <w:shd w:val="clear" w:color="auto" w:fill="auto"/>
            <w:noWrap/>
            <w:hideMark/>
          </w:tcPr>
          <w:p w:rsidR="005219E5" w:rsidRPr="005219E5" w:rsidP="005219E5" w14:paraId="5A2F89C0" w14:textId="77777777">
            <w:pPr>
              <w:autoSpaceDE/>
              <w:autoSpaceDN/>
              <w:adjustRightInd/>
              <w:jc w:val="center"/>
              <w:rPr>
                <w:color w:val="000000"/>
                <w:sz w:val="24"/>
                <w:szCs w:val="24"/>
              </w:rPr>
            </w:pPr>
            <w:r w:rsidRPr="005219E5">
              <w:rPr>
                <w:color w:val="000000"/>
                <w:sz w:val="24"/>
                <w:szCs w:val="24"/>
              </w:rPr>
              <w:t>445</w:t>
            </w:r>
          </w:p>
        </w:tc>
        <w:tc>
          <w:tcPr>
            <w:tcW w:w="0" w:type="auto"/>
            <w:tcBorders>
              <w:top w:val="nil"/>
              <w:left w:val="nil"/>
              <w:bottom w:val="single" w:sz="4" w:space="0" w:color="000000"/>
              <w:right w:val="single" w:sz="4" w:space="0" w:color="000000"/>
            </w:tcBorders>
            <w:shd w:val="clear" w:color="auto" w:fill="auto"/>
            <w:noWrap/>
            <w:hideMark/>
          </w:tcPr>
          <w:p w:rsidR="005219E5" w:rsidRPr="005219E5" w:rsidP="005219E5" w14:paraId="6CC47F69" w14:textId="23746BA0">
            <w:pPr>
              <w:autoSpaceDE/>
              <w:autoSpaceDN/>
              <w:adjustRightInd/>
              <w:jc w:val="center"/>
              <w:rPr>
                <w:color w:val="000000"/>
                <w:sz w:val="24"/>
                <w:szCs w:val="24"/>
              </w:rPr>
            </w:pPr>
            <w:r>
              <w:rPr>
                <w:color w:val="000000"/>
                <w:sz w:val="24"/>
                <w:szCs w:val="24"/>
              </w:rPr>
              <w:t>7525</w:t>
            </w:r>
          </w:p>
        </w:tc>
      </w:tr>
    </w:tbl>
    <w:p w:rsidR="00C4073D" w:rsidP="00DA31DD" w14:paraId="48414AAB" w14:textId="77777777">
      <w:pPr>
        <w:pStyle w:val="Bullet-last"/>
      </w:pPr>
    </w:p>
    <w:p w:rsidR="00DA31DD" w:rsidP="00DA31DD" w14:paraId="6A35CBAE" w14:textId="21B9BAA7">
      <w:pPr>
        <w:pStyle w:val="Bullet-last"/>
      </w:pPr>
      <w:bookmarkStart w:id="103" w:name="_1__26_"/>
      <w:bookmarkStart w:id="104" w:name="_1__27_"/>
      <w:bookmarkEnd w:id="103"/>
      <w:bookmarkEnd w:id="104"/>
      <w:r>
        <w:t>In addition to labor costs, the states, territories</w:t>
      </w:r>
      <w:r w:rsidR="00107DB7">
        <w:t>,</w:t>
      </w:r>
      <w:r>
        <w:t xml:space="preserve"> and tribes incur O&amp;M costs associated with the analytical fees and shipping for the water quality samples. Non-labor costs are solely attributed to the laboratory fees that will be charged for analysis and to </w:t>
      </w:r>
      <w:r w:rsidR="005219E5">
        <w:t xml:space="preserve">any </w:t>
      </w:r>
      <w:r>
        <w:t>shipping charges for sending the samples to the appropriate laboratory.</w:t>
      </w:r>
      <w:bookmarkStart w:id="105" w:name="_Toc296530879"/>
      <w:bookmarkStart w:id="106" w:name="_Toc430347926"/>
    </w:p>
    <w:p w:rsidR="00A40500" w:rsidP="00A40500" w14:paraId="46E5F5FE" w14:textId="23BB1263">
      <w:pPr>
        <w:pStyle w:val="Bullet-last"/>
        <w:spacing w:after="0"/>
      </w:pPr>
      <w:bookmarkStart w:id="107" w:name="_1__29_"/>
      <w:bookmarkEnd w:id="105"/>
      <w:bookmarkEnd w:id="106"/>
      <w:bookmarkEnd w:id="107"/>
      <w:r>
        <w:t xml:space="preserve">The following assumptions, based on </w:t>
      </w:r>
      <w:r w:rsidRPr="00A37A36">
        <w:t xml:space="preserve">data collected by </w:t>
      </w:r>
      <w:r w:rsidR="00EC2C03">
        <w:t>EPA</w:t>
      </w:r>
      <w:r w:rsidRPr="00A37A36">
        <w:t xml:space="preserve"> and consultations with respondents listed in </w:t>
      </w:r>
      <w:r>
        <w:t>s</w:t>
      </w:r>
      <w:r w:rsidRPr="00A37A36">
        <w:t>ection 3(c)</w:t>
      </w:r>
      <w:r>
        <w:t>, were used to calculate the O&amp;M costs</w:t>
      </w:r>
      <w:r w:rsidR="000B0ECA">
        <w:t xml:space="preserve"> for respondents</w:t>
      </w:r>
      <w:r>
        <w:t>:</w:t>
      </w:r>
    </w:p>
    <w:p w:rsidR="00A40500" w:rsidP="00A40500" w14:paraId="14C87F91" w14:textId="3A4C1566">
      <w:pPr>
        <w:pStyle w:val="Style1"/>
        <w:numPr>
          <w:ilvl w:val="0"/>
          <w:numId w:val="26"/>
        </w:numPr>
        <w:spacing w:before="0"/>
        <w:rPr>
          <w:rFonts w:ascii="Times New Roman" w:hAnsi="Times New Roman"/>
          <w:b w:val="0"/>
          <w:bCs w:val="0"/>
          <w:sz w:val="24"/>
        </w:rPr>
      </w:pPr>
      <w:r w:rsidRPr="00A40500">
        <w:rPr>
          <w:rFonts w:ascii="Times New Roman" w:hAnsi="Times New Roman"/>
          <w:b w:val="0"/>
          <w:bCs w:val="0"/>
          <w:sz w:val="24"/>
        </w:rPr>
        <w:t xml:space="preserve">The average cost of sample analysis </w:t>
      </w:r>
      <w:r w:rsidR="008721D4">
        <w:rPr>
          <w:rFonts w:ascii="Times New Roman" w:hAnsi="Times New Roman"/>
          <w:b w:val="0"/>
          <w:bCs w:val="0"/>
          <w:sz w:val="24"/>
        </w:rPr>
        <w:t>is</w:t>
      </w:r>
      <w:r w:rsidRPr="00A40500">
        <w:rPr>
          <w:rFonts w:ascii="Times New Roman" w:hAnsi="Times New Roman"/>
          <w:b w:val="0"/>
          <w:bCs w:val="0"/>
          <w:sz w:val="24"/>
        </w:rPr>
        <w:t xml:space="preserve"> $</w:t>
      </w:r>
      <w:r w:rsidR="00933527">
        <w:rPr>
          <w:rFonts w:ascii="Times New Roman" w:hAnsi="Times New Roman"/>
          <w:b w:val="0"/>
          <w:bCs w:val="0"/>
          <w:sz w:val="24"/>
        </w:rPr>
        <w:t>40</w:t>
      </w:r>
      <w:r w:rsidRPr="00A40500" w:rsidR="00933527">
        <w:rPr>
          <w:rFonts w:ascii="Times New Roman" w:hAnsi="Times New Roman"/>
          <w:b w:val="0"/>
          <w:bCs w:val="0"/>
          <w:sz w:val="24"/>
        </w:rPr>
        <w:t xml:space="preserve"> </w:t>
      </w:r>
      <w:r w:rsidRPr="00A40500">
        <w:rPr>
          <w:rFonts w:ascii="Times New Roman" w:hAnsi="Times New Roman"/>
          <w:b w:val="0"/>
          <w:bCs w:val="0"/>
          <w:sz w:val="24"/>
        </w:rPr>
        <w:t>per sample.</w:t>
      </w:r>
    </w:p>
    <w:p w:rsidR="008721D4" w:rsidRPr="00A40500" w:rsidP="132B522A" w14:paraId="49060D3A" w14:textId="5E104B23">
      <w:pPr>
        <w:pStyle w:val="Style1"/>
        <w:numPr>
          <w:ilvl w:val="0"/>
          <w:numId w:val="26"/>
        </w:numPr>
        <w:spacing w:before="0"/>
        <w:rPr>
          <w:rFonts w:ascii="Times New Roman" w:hAnsi="Times New Roman"/>
          <w:b w:val="0"/>
          <w:bCs w:val="0"/>
          <w:sz w:val="24"/>
        </w:rPr>
      </w:pPr>
      <w:r w:rsidRPr="132B522A">
        <w:rPr>
          <w:rFonts w:ascii="Times New Roman" w:hAnsi="Times New Roman"/>
          <w:b w:val="0"/>
          <w:bCs w:val="0"/>
          <w:sz w:val="24"/>
        </w:rPr>
        <w:t xml:space="preserve">The average number of water quality samples analyzed is </w:t>
      </w:r>
      <w:r w:rsidRPr="132B522A" w:rsidR="17D3F951">
        <w:rPr>
          <w:rFonts w:ascii="Times New Roman" w:hAnsi="Times New Roman"/>
          <w:b w:val="0"/>
          <w:bCs w:val="0"/>
          <w:sz w:val="24"/>
        </w:rPr>
        <w:t>237,895</w:t>
      </w:r>
      <w:r>
        <w:rPr>
          <w:rStyle w:val="FootnoteReference"/>
          <w:rFonts w:ascii="Times New Roman" w:hAnsi="Times New Roman"/>
          <w:b w:val="0"/>
          <w:bCs w:val="0"/>
          <w:sz w:val="24"/>
        </w:rPr>
        <w:footnoteReference w:id="9"/>
      </w:r>
      <w:r w:rsidRPr="132B522A">
        <w:rPr>
          <w:rFonts w:ascii="Times New Roman" w:hAnsi="Times New Roman"/>
          <w:b w:val="0"/>
          <w:bCs w:val="0"/>
          <w:sz w:val="24"/>
        </w:rPr>
        <w:t xml:space="preserve"> per year, based on </w:t>
      </w:r>
      <w:r w:rsidRPr="132B522A" w:rsidR="008C20E5">
        <w:rPr>
          <w:rFonts w:ascii="Times New Roman" w:hAnsi="Times New Roman"/>
          <w:b w:val="0"/>
          <w:bCs w:val="0"/>
          <w:sz w:val="24"/>
        </w:rPr>
        <w:t xml:space="preserve">information </w:t>
      </w:r>
      <w:r w:rsidRPr="132B522A">
        <w:rPr>
          <w:rFonts w:ascii="Times New Roman" w:hAnsi="Times New Roman"/>
          <w:b w:val="0"/>
          <w:bCs w:val="0"/>
          <w:sz w:val="24"/>
        </w:rPr>
        <w:t xml:space="preserve">jurisdictions reported </w:t>
      </w:r>
      <w:r w:rsidRPr="132B522A" w:rsidR="009D1C63">
        <w:rPr>
          <w:rFonts w:ascii="Times New Roman" w:hAnsi="Times New Roman"/>
          <w:b w:val="0"/>
          <w:bCs w:val="0"/>
          <w:sz w:val="24"/>
        </w:rPr>
        <w:t xml:space="preserve">to EPA </w:t>
      </w:r>
      <w:r w:rsidRPr="132B522A">
        <w:rPr>
          <w:rFonts w:ascii="Times New Roman" w:hAnsi="Times New Roman"/>
          <w:b w:val="0"/>
          <w:bCs w:val="0"/>
          <w:sz w:val="24"/>
        </w:rPr>
        <w:t xml:space="preserve">in 2017, 2018, and 2019. </w:t>
      </w:r>
      <w:r w:rsidRPr="132B522A" w:rsidR="003B5251">
        <w:rPr>
          <w:rFonts w:ascii="Times New Roman" w:hAnsi="Times New Roman"/>
          <w:b w:val="0"/>
          <w:bCs w:val="0"/>
          <w:sz w:val="24"/>
        </w:rPr>
        <w:t>EPA used t</w:t>
      </w:r>
      <w:r w:rsidRPr="132B522A">
        <w:rPr>
          <w:rFonts w:ascii="Times New Roman" w:hAnsi="Times New Roman"/>
          <w:b w:val="0"/>
          <w:bCs w:val="0"/>
          <w:sz w:val="24"/>
        </w:rPr>
        <w:t>hose years</w:t>
      </w:r>
      <w:r w:rsidRPr="132B522A" w:rsidR="003B5251">
        <w:rPr>
          <w:rFonts w:ascii="Times New Roman" w:hAnsi="Times New Roman"/>
          <w:b w:val="0"/>
          <w:bCs w:val="0"/>
          <w:sz w:val="24"/>
        </w:rPr>
        <w:t xml:space="preserve"> instead of more recent years to</w:t>
      </w:r>
      <w:r w:rsidRPr="132B522A">
        <w:rPr>
          <w:rFonts w:ascii="Times New Roman" w:hAnsi="Times New Roman"/>
          <w:b w:val="0"/>
          <w:bCs w:val="0"/>
          <w:sz w:val="24"/>
        </w:rPr>
        <w:t xml:space="preserve"> eliminate any COVID-19-related impacts to </w:t>
      </w:r>
      <w:r w:rsidRPr="132B522A" w:rsidR="00B162D8">
        <w:rPr>
          <w:rFonts w:ascii="Times New Roman" w:hAnsi="Times New Roman"/>
          <w:b w:val="0"/>
          <w:bCs w:val="0"/>
          <w:sz w:val="24"/>
        </w:rPr>
        <w:t xml:space="preserve">the average number of </w:t>
      </w:r>
      <w:r w:rsidRPr="132B522A">
        <w:rPr>
          <w:rFonts w:ascii="Times New Roman" w:hAnsi="Times New Roman"/>
          <w:b w:val="0"/>
          <w:bCs w:val="0"/>
          <w:sz w:val="24"/>
        </w:rPr>
        <w:t>sampl</w:t>
      </w:r>
      <w:r w:rsidRPr="132B522A" w:rsidR="008D68C2">
        <w:rPr>
          <w:rFonts w:ascii="Times New Roman" w:hAnsi="Times New Roman"/>
          <w:b w:val="0"/>
          <w:bCs w:val="0"/>
          <w:sz w:val="24"/>
        </w:rPr>
        <w:t xml:space="preserve">es collected and analyzed. </w:t>
      </w:r>
    </w:p>
    <w:p w:rsidR="00DA31DD" w:rsidRPr="00911542" w:rsidP="00DA31DD" w14:paraId="2CD3B8CA" w14:textId="74B443C1">
      <w:pPr>
        <w:pStyle w:val="Bullet-last"/>
      </w:pPr>
      <w:r w:rsidRPr="00911542">
        <w:t xml:space="preserve">The </w:t>
      </w:r>
      <w:r w:rsidR="007E2C38">
        <w:t xml:space="preserve">total annual O&amp;M </w:t>
      </w:r>
      <w:r w:rsidRPr="00911542">
        <w:t>cost</w:t>
      </w:r>
      <w:r w:rsidR="007E2C38">
        <w:t>s</w:t>
      </w:r>
      <w:r w:rsidRPr="00911542">
        <w:t xml:space="preserve"> </w:t>
      </w:r>
      <w:r w:rsidR="00621D29">
        <w:t xml:space="preserve">for respondents </w:t>
      </w:r>
      <w:r w:rsidRPr="00911542">
        <w:t>w</w:t>
      </w:r>
      <w:r w:rsidR="007E2C38">
        <w:t>ere</w:t>
      </w:r>
      <w:r w:rsidRPr="00911542">
        <w:t xml:space="preserve"> calculated using the </w:t>
      </w:r>
      <w:r>
        <w:t xml:space="preserve">following </w:t>
      </w:r>
      <w:r w:rsidRPr="00911542">
        <w:t>equation:</w:t>
      </w:r>
    </w:p>
    <w:p w:rsidR="00DA31DD" w:rsidRPr="007B29A4" w:rsidP="009D1C63" w14:paraId="301E0253" w14:textId="1108233C">
      <w:pPr>
        <w:autoSpaceDE/>
        <w:autoSpaceDN/>
        <w:adjustRightInd/>
        <w:spacing w:after="120"/>
        <w:ind w:left="540" w:right="86"/>
        <w:rPr>
          <w:sz w:val="24"/>
          <w:szCs w:val="24"/>
        </w:rPr>
      </w:pPr>
      <w:r w:rsidRPr="132B522A">
        <w:rPr>
          <w:sz w:val="24"/>
          <w:szCs w:val="24"/>
        </w:rPr>
        <w:t>237,895</w:t>
      </w:r>
      <w:r w:rsidRPr="132B522A">
        <w:rPr>
          <w:sz w:val="24"/>
          <w:szCs w:val="24"/>
        </w:rPr>
        <w:t xml:space="preserve"> samples/year × $</w:t>
      </w:r>
      <w:r w:rsidRPr="132B522A" w:rsidR="00433CE9">
        <w:rPr>
          <w:sz w:val="24"/>
          <w:szCs w:val="24"/>
        </w:rPr>
        <w:t>40</w:t>
      </w:r>
      <w:r w:rsidRPr="132B522A">
        <w:rPr>
          <w:sz w:val="24"/>
          <w:szCs w:val="24"/>
        </w:rPr>
        <w:t>/sample = $</w:t>
      </w:r>
      <w:r w:rsidRPr="132B522A" w:rsidR="1FEF916C">
        <w:rPr>
          <w:sz w:val="24"/>
          <w:szCs w:val="24"/>
        </w:rPr>
        <w:t>9,515,800</w:t>
      </w:r>
      <w:r w:rsidRPr="132B522A" w:rsidR="007E2C38">
        <w:rPr>
          <w:sz w:val="24"/>
          <w:szCs w:val="24"/>
        </w:rPr>
        <w:t xml:space="preserve"> per</w:t>
      </w:r>
      <w:r w:rsidRPr="132B522A">
        <w:rPr>
          <w:sz w:val="24"/>
          <w:szCs w:val="24"/>
        </w:rPr>
        <w:t xml:space="preserve"> year</w:t>
      </w:r>
    </w:p>
    <w:p w:rsidR="00DA31DD" w:rsidRPr="00B369CA" w:rsidP="00DA31DD" w14:paraId="216A3723" w14:textId="7A1C7C23">
      <w:pPr>
        <w:pStyle w:val="Heading2"/>
      </w:pPr>
      <w:bookmarkStart w:id="108" w:name="_1__30_"/>
      <w:bookmarkStart w:id="109" w:name="_Toc296531036"/>
      <w:bookmarkStart w:id="110" w:name="_Toc431211678"/>
      <w:bookmarkStart w:id="111" w:name="_Toc105018609"/>
      <w:bookmarkEnd w:id="108"/>
      <w:r w:rsidRPr="00B369CA">
        <w:t>6(</w:t>
      </w:r>
      <w:r w:rsidR="00A40500">
        <w:t>b</w:t>
      </w:r>
      <w:r w:rsidRPr="00B369CA">
        <w:t>)</w:t>
      </w:r>
      <w:r w:rsidRPr="00B369CA">
        <w:tab/>
        <w:t>Estimating Agency Burden and Cost</w:t>
      </w:r>
      <w:bookmarkEnd w:id="109"/>
      <w:bookmarkEnd w:id="110"/>
      <w:bookmarkEnd w:id="111"/>
      <w:r w:rsidR="00DC76C6">
        <w:t>s</w:t>
      </w:r>
    </w:p>
    <w:p w:rsidR="003C7EB0" w:rsidRPr="008A5FC5" w:rsidP="003C7EB0" w14:paraId="54C25659" w14:textId="0545706F">
      <w:pPr>
        <w:spacing w:after="240"/>
        <w:rPr>
          <w:b/>
          <w:bCs/>
          <w:sz w:val="24"/>
          <w:szCs w:val="24"/>
        </w:rPr>
      </w:pPr>
      <w:r>
        <w:rPr>
          <w:i/>
          <w:iCs/>
          <w:sz w:val="24"/>
          <w:szCs w:val="24"/>
        </w:rPr>
        <w:t>Agency</w:t>
      </w:r>
      <w:r w:rsidRPr="008A5FC5">
        <w:rPr>
          <w:i/>
          <w:iCs/>
          <w:sz w:val="24"/>
          <w:szCs w:val="24"/>
        </w:rPr>
        <w:t xml:space="preserve"> burden: </w:t>
      </w:r>
      <w:r w:rsidRPr="008A5FC5">
        <w:rPr>
          <w:sz w:val="24"/>
          <w:szCs w:val="24"/>
        </w:rPr>
        <w:t xml:space="preserve">EPA has estimated the </w:t>
      </w:r>
      <w:r w:rsidRPr="5F7E708A">
        <w:rPr>
          <w:sz w:val="24"/>
          <w:szCs w:val="24"/>
        </w:rPr>
        <w:t>Agency</w:t>
      </w:r>
      <w:r w:rsidRPr="008A5FC5">
        <w:rPr>
          <w:sz w:val="24"/>
          <w:szCs w:val="24"/>
        </w:rPr>
        <w:t xml:space="preserve"> burden for all aspects of administering </w:t>
      </w:r>
      <w:r>
        <w:rPr>
          <w:sz w:val="24"/>
          <w:szCs w:val="24"/>
        </w:rPr>
        <w:t xml:space="preserve">the </w:t>
      </w:r>
      <w:r w:rsidR="00AF3032">
        <w:rPr>
          <w:sz w:val="24"/>
          <w:szCs w:val="24"/>
        </w:rPr>
        <w:t>BEACH Act Grant P</w:t>
      </w:r>
      <w:r>
        <w:rPr>
          <w:sz w:val="24"/>
          <w:szCs w:val="24"/>
        </w:rPr>
        <w:t>rogram</w:t>
      </w:r>
      <w:r w:rsidRPr="008A5FC5">
        <w:rPr>
          <w:sz w:val="24"/>
          <w:szCs w:val="24"/>
        </w:rPr>
        <w:t xml:space="preserve"> described in section </w:t>
      </w:r>
      <w:r>
        <w:rPr>
          <w:sz w:val="24"/>
          <w:szCs w:val="24"/>
        </w:rPr>
        <w:t>5(a)</w:t>
      </w:r>
      <w:r w:rsidRPr="008A5FC5">
        <w:rPr>
          <w:sz w:val="24"/>
          <w:szCs w:val="24"/>
        </w:rPr>
        <w:t xml:space="preserve">, </w:t>
      </w:r>
      <w:r>
        <w:rPr>
          <w:sz w:val="24"/>
          <w:szCs w:val="24"/>
        </w:rPr>
        <w:t xml:space="preserve">shown in Table 3. </w:t>
      </w:r>
      <w:r w:rsidR="00DA31DD">
        <w:rPr>
          <w:sz w:val="24"/>
          <w:szCs w:val="24"/>
        </w:rPr>
        <w:t>T</w:t>
      </w:r>
      <w:r w:rsidRPr="008A5FC5" w:rsidR="00DA31DD">
        <w:rPr>
          <w:sz w:val="24"/>
          <w:szCs w:val="24"/>
        </w:rPr>
        <w:t xml:space="preserve">he </w:t>
      </w:r>
      <w:r w:rsidRPr="008A5FC5">
        <w:rPr>
          <w:sz w:val="24"/>
          <w:szCs w:val="24"/>
        </w:rPr>
        <w:t xml:space="preserve">total estimated burden hours are </w:t>
      </w:r>
      <w:r w:rsidR="00FD229F">
        <w:rPr>
          <w:b/>
          <w:bCs/>
          <w:sz w:val="24"/>
          <w:szCs w:val="24"/>
        </w:rPr>
        <w:t>3,</w:t>
      </w:r>
      <w:r w:rsidR="00CD4005">
        <w:rPr>
          <w:b/>
          <w:bCs/>
          <w:sz w:val="24"/>
          <w:szCs w:val="24"/>
        </w:rPr>
        <w:t>432</w:t>
      </w:r>
      <w:r w:rsidRPr="008A5FC5">
        <w:rPr>
          <w:b/>
          <w:bCs/>
          <w:sz w:val="24"/>
          <w:szCs w:val="24"/>
        </w:rPr>
        <w:t xml:space="preserve"> hours</w:t>
      </w:r>
      <w:r w:rsidRPr="008A5FC5">
        <w:rPr>
          <w:sz w:val="24"/>
          <w:szCs w:val="24"/>
        </w:rPr>
        <w:t>.</w:t>
      </w:r>
    </w:p>
    <w:p w:rsidR="003C7EB0" w:rsidP="003C7EB0" w14:paraId="3E77687A" w14:textId="6F1F7CB0">
      <w:pPr>
        <w:spacing w:after="120"/>
        <w:rPr>
          <w:sz w:val="24"/>
          <w:szCs w:val="24"/>
        </w:rPr>
      </w:pPr>
      <w:r>
        <w:rPr>
          <w:i/>
          <w:iCs/>
          <w:sz w:val="24"/>
          <w:szCs w:val="24"/>
        </w:rPr>
        <w:t>Agency</w:t>
      </w:r>
      <w:r w:rsidRPr="008A5FC5">
        <w:rPr>
          <w:i/>
          <w:iCs/>
          <w:sz w:val="24"/>
          <w:szCs w:val="24"/>
        </w:rPr>
        <w:t xml:space="preserve"> </w:t>
      </w:r>
      <w:r>
        <w:rPr>
          <w:i/>
          <w:iCs/>
          <w:sz w:val="24"/>
          <w:szCs w:val="24"/>
        </w:rPr>
        <w:t xml:space="preserve">labor </w:t>
      </w:r>
      <w:r w:rsidRPr="008A5FC5">
        <w:rPr>
          <w:i/>
          <w:iCs/>
          <w:sz w:val="24"/>
          <w:szCs w:val="24"/>
        </w:rPr>
        <w:t xml:space="preserve">costs: </w:t>
      </w:r>
      <w:r w:rsidRPr="008A5FC5">
        <w:rPr>
          <w:sz w:val="24"/>
          <w:szCs w:val="24"/>
        </w:rPr>
        <w:t xml:space="preserve">Total estimated annual costs are </w:t>
      </w:r>
      <w:r w:rsidR="00453133">
        <w:rPr>
          <w:sz w:val="24"/>
          <w:szCs w:val="24"/>
        </w:rPr>
        <w:t>[</w:t>
      </w:r>
      <w:r w:rsidRPr="008A5FC5">
        <w:rPr>
          <w:sz w:val="24"/>
          <w:szCs w:val="24"/>
        </w:rPr>
        <w:t>(</w:t>
      </w:r>
      <w:r w:rsidR="009D1C63">
        <w:rPr>
          <w:sz w:val="24"/>
          <w:szCs w:val="24"/>
        </w:rPr>
        <w:t>2,</w:t>
      </w:r>
      <w:r w:rsidR="00716C76">
        <w:rPr>
          <w:sz w:val="24"/>
          <w:szCs w:val="24"/>
        </w:rPr>
        <w:t>712</w:t>
      </w:r>
      <w:r w:rsidRPr="008A5FC5">
        <w:rPr>
          <w:sz w:val="24"/>
          <w:szCs w:val="24"/>
        </w:rPr>
        <w:t xml:space="preserve"> hours) * ($</w:t>
      </w:r>
      <w:r w:rsidR="00634CD3">
        <w:rPr>
          <w:sz w:val="24"/>
          <w:szCs w:val="24"/>
        </w:rPr>
        <w:t>52.37</w:t>
      </w:r>
      <w:r w:rsidRPr="008A5FC5">
        <w:rPr>
          <w:sz w:val="24"/>
          <w:szCs w:val="24"/>
        </w:rPr>
        <w:t xml:space="preserve"> per hour)</w:t>
      </w:r>
      <w:r w:rsidR="00453133">
        <w:rPr>
          <w:sz w:val="24"/>
          <w:szCs w:val="24"/>
        </w:rPr>
        <w:t>]</w:t>
      </w:r>
      <w:r w:rsidR="00905DC8">
        <w:rPr>
          <w:sz w:val="24"/>
          <w:szCs w:val="24"/>
        </w:rPr>
        <w:t xml:space="preserve"> + </w:t>
      </w:r>
      <w:r w:rsidR="00453133">
        <w:rPr>
          <w:sz w:val="24"/>
          <w:szCs w:val="24"/>
        </w:rPr>
        <w:t>[</w:t>
      </w:r>
      <w:r w:rsidR="00905DC8">
        <w:rPr>
          <w:sz w:val="24"/>
          <w:szCs w:val="24"/>
        </w:rPr>
        <w:t>(</w:t>
      </w:r>
      <w:r w:rsidR="009D1C63">
        <w:rPr>
          <w:sz w:val="24"/>
          <w:szCs w:val="24"/>
        </w:rPr>
        <w:t>7</w:t>
      </w:r>
      <w:r w:rsidR="007D074B">
        <w:rPr>
          <w:sz w:val="24"/>
          <w:szCs w:val="24"/>
        </w:rPr>
        <w:t>2</w:t>
      </w:r>
      <w:r w:rsidR="009D1C63">
        <w:rPr>
          <w:sz w:val="24"/>
          <w:szCs w:val="24"/>
        </w:rPr>
        <w:t>0</w:t>
      </w:r>
      <w:r w:rsidR="00905DC8">
        <w:rPr>
          <w:sz w:val="24"/>
          <w:szCs w:val="24"/>
        </w:rPr>
        <w:t xml:space="preserve"> hours</w:t>
      </w:r>
      <w:r w:rsidR="00230BA3">
        <w:rPr>
          <w:sz w:val="24"/>
          <w:szCs w:val="24"/>
        </w:rPr>
        <w:t>) * ($</w:t>
      </w:r>
      <w:r w:rsidR="006141B5">
        <w:rPr>
          <w:sz w:val="24"/>
          <w:szCs w:val="24"/>
        </w:rPr>
        <w:t>96.78</w:t>
      </w:r>
      <w:r w:rsidR="00230BA3">
        <w:rPr>
          <w:sz w:val="24"/>
          <w:szCs w:val="24"/>
        </w:rPr>
        <w:t xml:space="preserve"> per hour)</w:t>
      </w:r>
      <w:r w:rsidR="005A35E4">
        <w:rPr>
          <w:sz w:val="24"/>
          <w:szCs w:val="24"/>
        </w:rPr>
        <w:t>]</w:t>
      </w:r>
      <w:r w:rsidRPr="008A5FC5">
        <w:rPr>
          <w:sz w:val="24"/>
          <w:szCs w:val="24"/>
        </w:rPr>
        <w:t xml:space="preserve"> = </w:t>
      </w:r>
      <w:r w:rsidRPr="008A5FC5">
        <w:rPr>
          <w:b/>
          <w:bCs/>
          <w:sz w:val="24"/>
          <w:szCs w:val="24"/>
        </w:rPr>
        <w:t>$</w:t>
      </w:r>
      <w:r w:rsidR="009D1C63">
        <w:rPr>
          <w:b/>
          <w:bCs/>
          <w:sz w:val="24"/>
          <w:szCs w:val="24"/>
        </w:rPr>
        <w:t>2</w:t>
      </w:r>
      <w:r w:rsidR="005563BE">
        <w:rPr>
          <w:b/>
          <w:bCs/>
          <w:sz w:val="24"/>
          <w:szCs w:val="24"/>
        </w:rPr>
        <w:t>11</w:t>
      </w:r>
      <w:r w:rsidRPr="008A5FC5">
        <w:rPr>
          <w:b/>
          <w:bCs/>
          <w:sz w:val="24"/>
          <w:szCs w:val="24"/>
        </w:rPr>
        <w:t>,</w:t>
      </w:r>
      <w:r w:rsidR="005563BE">
        <w:rPr>
          <w:b/>
          <w:bCs/>
          <w:sz w:val="24"/>
          <w:szCs w:val="24"/>
        </w:rPr>
        <w:t>709</w:t>
      </w:r>
      <w:r w:rsidRPr="001F7BA9" w:rsidR="00840894">
        <w:rPr>
          <w:sz w:val="24"/>
          <w:szCs w:val="24"/>
        </w:rPr>
        <w:t>, rounded to the nearest dollar</w:t>
      </w:r>
      <w:r w:rsidRPr="008A5FC5">
        <w:rPr>
          <w:sz w:val="24"/>
          <w:szCs w:val="24"/>
        </w:rPr>
        <w:t>.</w:t>
      </w:r>
    </w:p>
    <w:p w:rsidR="000C3793" w:rsidRPr="003408E7" w:rsidP="000C3793" w14:paraId="75FB0017" w14:textId="544BB3F1">
      <w:pPr>
        <w:pStyle w:val="Tabletext"/>
        <w:spacing w:before="0" w:after="120"/>
        <w:rPr>
          <w:bCs w:val="0"/>
        </w:rPr>
      </w:pPr>
      <w:r w:rsidRPr="003408E7">
        <w:rPr>
          <w:rFonts w:ascii="Times New Roman" w:hAnsi="Times New Roman" w:cs="Times New Roman"/>
          <w:bCs w:val="0"/>
          <w:i/>
          <w:iCs/>
          <w:sz w:val="24"/>
          <w:szCs w:val="24"/>
        </w:rPr>
        <w:t xml:space="preserve">Agency </w:t>
      </w:r>
      <w:r>
        <w:rPr>
          <w:rFonts w:ascii="Times New Roman" w:hAnsi="Times New Roman" w:cs="Times New Roman"/>
          <w:bCs w:val="0"/>
          <w:i/>
          <w:iCs/>
          <w:sz w:val="24"/>
          <w:szCs w:val="24"/>
        </w:rPr>
        <w:t>O&amp;M</w:t>
      </w:r>
      <w:r w:rsidRPr="003408E7">
        <w:rPr>
          <w:rFonts w:ascii="Times New Roman" w:hAnsi="Times New Roman" w:cs="Times New Roman"/>
          <w:bCs w:val="0"/>
          <w:i/>
          <w:iCs/>
          <w:sz w:val="24"/>
          <w:szCs w:val="24"/>
        </w:rPr>
        <w:t xml:space="preserve"> costs:</w:t>
      </w:r>
      <w:r w:rsidRPr="008A5FC5">
        <w:rPr>
          <w:i/>
          <w:iCs/>
          <w:sz w:val="24"/>
          <w:szCs w:val="24"/>
        </w:rPr>
        <w:t xml:space="preserve"> </w:t>
      </w:r>
      <w:r w:rsidRPr="003408E7">
        <w:rPr>
          <w:rFonts w:ascii="Times New Roman" w:hAnsi="Times New Roman" w:cs="Times New Roman"/>
          <w:bCs w:val="0"/>
          <w:sz w:val="24"/>
          <w:szCs w:val="24"/>
        </w:rPr>
        <w:t>Total estimated annual costs are</w:t>
      </w:r>
      <w:r>
        <w:rPr>
          <w:rFonts w:ascii="Times New Roman" w:hAnsi="Times New Roman" w:cs="Times New Roman"/>
          <w:bCs w:val="0"/>
          <w:sz w:val="24"/>
          <w:szCs w:val="24"/>
        </w:rPr>
        <w:t xml:space="preserve"> </w:t>
      </w:r>
      <w:r>
        <w:rPr>
          <w:rFonts w:ascii="Times New Roman" w:hAnsi="Times New Roman" w:cs="Times New Roman"/>
          <w:b/>
          <w:sz w:val="24"/>
          <w:szCs w:val="24"/>
        </w:rPr>
        <w:t>$</w:t>
      </w:r>
      <w:r w:rsidR="001F7BA9">
        <w:rPr>
          <w:rFonts w:ascii="Times New Roman" w:hAnsi="Times New Roman" w:cs="Times New Roman"/>
          <w:b/>
          <w:sz w:val="24"/>
          <w:szCs w:val="24"/>
        </w:rPr>
        <w:t>440</w:t>
      </w:r>
      <w:r w:rsidR="003854B3">
        <w:rPr>
          <w:rFonts w:ascii="Times New Roman" w:hAnsi="Times New Roman" w:cs="Times New Roman"/>
          <w:b/>
          <w:sz w:val="24"/>
          <w:szCs w:val="24"/>
        </w:rPr>
        <w:t>,</w:t>
      </w:r>
      <w:r w:rsidR="001F7BA9">
        <w:rPr>
          <w:rFonts w:ascii="Times New Roman" w:hAnsi="Times New Roman" w:cs="Times New Roman"/>
          <w:b/>
          <w:sz w:val="24"/>
          <w:szCs w:val="24"/>
        </w:rPr>
        <w:t>0</w:t>
      </w:r>
      <w:r w:rsidR="003854B3">
        <w:rPr>
          <w:rFonts w:ascii="Times New Roman" w:hAnsi="Times New Roman" w:cs="Times New Roman"/>
          <w:b/>
          <w:sz w:val="24"/>
          <w:szCs w:val="24"/>
        </w:rPr>
        <w:t>00</w:t>
      </w:r>
      <w:r>
        <w:rPr>
          <w:rFonts w:ascii="Times New Roman" w:hAnsi="Times New Roman" w:cs="Times New Roman"/>
          <w:bCs w:val="0"/>
          <w:sz w:val="24"/>
          <w:szCs w:val="24"/>
        </w:rPr>
        <w:t xml:space="preserve"> for contractor help to maintain the </w:t>
      </w:r>
      <w:r w:rsidR="00102EF0">
        <w:rPr>
          <w:rFonts w:ascii="Times New Roman" w:hAnsi="Times New Roman" w:cs="Times New Roman"/>
          <w:bCs w:val="0"/>
          <w:sz w:val="24"/>
          <w:szCs w:val="24"/>
        </w:rPr>
        <w:t>eBeaches</w:t>
      </w:r>
      <w:r w:rsidR="00102EF0">
        <w:rPr>
          <w:rFonts w:ascii="Times New Roman" w:hAnsi="Times New Roman" w:cs="Times New Roman"/>
          <w:bCs w:val="0"/>
          <w:sz w:val="24"/>
          <w:szCs w:val="24"/>
        </w:rPr>
        <w:t xml:space="preserve"> system</w:t>
      </w:r>
      <w:r>
        <w:rPr>
          <w:rFonts w:ascii="Times New Roman" w:hAnsi="Times New Roman" w:cs="Times New Roman"/>
          <w:bCs w:val="0"/>
          <w:sz w:val="24"/>
          <w:szCs w:val="24"/>
        </w:rPr>
        <w:t xml:space="preserve"> and provide technical help to jurisdictions submitting data.</w:t>
      </w:r>
    </w:p>
    <w:p w:rsidR="00DA31DD" w:rsidRPr="000C694A" w:rsidP="00DA31DD" w14:paraId="62E5EED8" w14:textId="632D30C2">
      <w:pPr>
        <w:pStyle w:val="Bullet-last"/>
        <w:rPr>
          <w:spacing w:val="-3"/>
        </w:rPr>
      </w:pPr>
      <w:r w:rsidRPr="000C694A">
        <w:rPr>
          <w:spacing w:val="-3"/>
        </w:rPr>
        <w:t xml:space="preserve">Table 3 presents an estimate of the </w:t>
      </w:r>
      <w:r w:rsidR="00130250">
        <w:rPr>
          <w:spacing w:val="-3"/>
        </w:rPr>
        <w:t xml:space="preserve">annual </w:t>
      </w:r>
      <w:r w:rsidRPr="000C694A">
        <w:rPr>
          <w:spacing w:val="-3"/>
        </w:rPr>
        <w:t xml:space="preserve">burden that </w:t>
      </w:r>
      <w:r w:rsidR="00EC2C03">
        <w:rPr>
          <w:spacing w:val="-3"/>
        </w:rPr>
        <w:t>EPA</w:t>
      </w:r>
      <w:r w:rsidRPr="000C694A">
        <w:rPr>
          <w:spacing w:val="-3"/>
        </w:rPr>
        <w:t xml:space="preserve"> will incur to manage the BEACH Act </w:t>
      </w:r>
      <w:r w:rsidR="00A96707">
        <w:rPr>
          <w:spacing w:val="-3"/>
        </w:rPr>
        <w:t>G</w:t>
      </w:r>
      <w:r w:rsidRPr="000C694A">
        <w:rPr>
          <w:spacing w:val="-3"/>
        </w:rPr>
        <w:t xml:space="preserve">rant </w:t>
      </w:r>
      <w:r w:rsidR="00D3645B">
        <w:rPr>
          <w:spacing w:val="-3"/>
        </w:rPr>
        <w:t>P</w:t>
      </w:r>
      <w:r w:rsidRPr="000C694A">
        <w:rPr>
          <w:spacing w:val="-3"/>
        </w:rPr>
        <w:t>rogram.</w:t>
      </w:r>
    </w:p>
    <w:p w:rsidR="00DA31DD" w:rsidP="00845E05" w14:paraId="2A08C683" w14:textId="6C9A5BDC">
      <w:pPr>
        <w:pStyle w:val="TableHeader"/>
        <w:keepNext/>
        <w:spacing w:before="0" w:after="200"/>
        <w:rPr>
          <w:rFonts w:ascii="Times New Roman" w:hAnsi="Times New Roman"/>
          <w:b w:val="0"/>
          <w:sz w:val="24"/>
        </w:rPr>
      </w:pPr>
      <w:bookmarkStart w:id="112" w:name="_1__31_"/>
      <w:bookmarkStart w:id="113" w:name="_Toc296530880"/>
      <w:bookmarkStart w:id="114" w:name="_Toc430347927"/>
      <w:bookmarkEnd w:id="112"/>
      <w:r w:rsidRPr="00EB7B9D">
        <w:rPr>
          <w:rFonts w:ascii="Times New Roman" w:hAnsi="Times New Roman"/>
          <w:bCs w:val="0"/>
          <w:sz w:val="24"/>
        </w:rPr>
        <w:t>Table</w:t>
      </w:r>
      <w:bookmarkEnd w:id="113"/>
      <w:bookmarkEnd w:id="114"/>
      <w:r w:rsidRPr="00EB7B9D">
        <w:rPr>
          <w:rFonts w:ascii="Times New Roman" w:hAnsi="Times New Roman"/>
          <w:bCs w:val="0"/>
          <w:sz w:val="24"/>
        </w:rPr>
        <w:t xml:space="preserve"> 3. </w:t>
      </w:r>
      <w:r w:rsidR="00561A5D">
        <w:rPr>
          <w:rFonts w:ascii="Times New Roman" w:hAnsi="Times New Roman"/>
          <w:bCs w:val="0"/>
          <w:sz w:val="24"/>
        </w:rPr>
        <w:t xml:space="preserve">Burden Associated with </w:t>
      </w:r>
      <w:r w:rsidR="00B71726">
        <w:rPr>
          <w:rFonts w:ascii="Times New Roman" w:hAnsi="Times New Roman"/>
          <w:bCs w:val="0"/>
          <w:sz w:val="24"/>
        </w:rPr>
        <w:t>Annual</w:t>
      </w:r>
      <w:r w:rsidRPr="00EB7B9D">
        <w:rPr>
          <w:rFonts w:ascii="Times New Roman" w:hAnsi="Times New Roman"/>
          <w:bCs w:val="0"/>
          <w:sz w:val="24"/>
        </w:rPr>
        <w:t xml:space="preserve"> Agency </w:t>
      </w:r>
      <w:r w:rsidR="00561A5D">
        <w:rPr>
          <w:rFonts w:ascii="Times New Roman" w:hAnsi="Times New Roman"/>
          <w:bCs w:val="0"/>
          <w:sz w:val="24"/>
        </w:rPr>
        <w:t>Activities</w:t>
      </w:r>
    </w:p>
    <w:tbl>
      <w:tblPr>
        <w:tblW w:w="4765" w:type="dxa"/>
        <w:tblCellMar>
          <w:top w:w="15" w:type="dxa"/>
          <w:bottom w:w="15" w:type="dxa"/>
        </w:tblCellMar>
        <w:tblLook w:val="04A0"/>
      </w:tblPr>
      <w:tblGrid>
        <w:gridCol w:w="2900"/>
        <w:gridCol w:w="1865"/>
      </w:tblGrid>
      <w:tr w14:paraId="3A0AF292" w14:textId="77777777" w:rsidTr="002117F7">
        <w:tblPrEx>
          <w:tblW w:w="4765" w:type="dxa"/>
          <w:tblCellMar>
            <w:top w:w="15" w:type="dxa"/>
            <w:bottom w:w="15" w:type="dxa"/>
          </w:tblCellMar>
          <w:tblLook w:val="04A0"/>
        </w:tblPrEx>
        <w:trPr>
          <w:cantSplit/>
          <w:trHeight w:val="315"/>
          <w:tblHeader/>
        </w:trPr>
        <w:tc>
          <w:tcPr>
            <w:tcW w:w="2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A77AF" w:rsidRPr="00DA77AF" w:rsidP="00DA77AF" w14:paraId="3B1895BA" w14:textId="77777777">
            <w:pPr>
              <w:autoSpaceDE/>
              <w:autoSpaceDN/>
              <w:adjustRightInd/>
              <w:rPr>
                <w:b/>
                <w:bCs/>
                <w:color w:val="000000"/>
                <w:sz w:val="24"/>
                <w:szCs w:val="24"/>
              </w:rPr>
            </w:pPr>
            <w:r w:rsidRPr="00DA77AF">
              <w:rPr>
                <w:b/>
                <w:bCs/>
                <w:color w:val="000000"/>
                <w:sz w:val="24"/>
                <w:szCs w:val="24"/>
              </w:rPr>
              <w:t>Group</w:t>
            </w:r>
          </w:p>
        </w:tc>
        <w:tc>
          <w:tcPr>
            <w:tcW w:w="1865" w:type="dxa"/>
            <w:tcBorders>
              <w:top w:val="single" w:sz="4" w:space="0" w:color="auto"/>
              <w:left w:val="nil"/>
              <w:bottom w:val="single" w:sz="4" w:space="0" w:color="auto"/>
              <w:right w:val="single" w:sz="4" w:space="0" w:color="auto"/>
            </w:tcBorders>
            <w:shd w:val="clear" w:color="000000" w:fill="BFBFBF"/>
            <w:noWrap/>
            <w:vAlign w:val="bottom"/>
            <w:hideMark/>
          </w:tcPr>
          <w:p w:rsidR="00DA77AF" w:rsidRPr="00DA77AF" w:rsidP="00DA77AF" w14:paraId="3934CF8C" w14:textId="77777777">
            <w:pPr>
              <w:autoSpaceDE/>
              <w:autoSpaceDN/>
              <w:adjustRightInd/>
              <w:jc w:val="right"/>
              <w:rPr>
                <w:b/>
                <w:bCs/>
                <w:color w:val="000000"/>
                <w:sz w:val="24"/>
                <w:szCs w:val="24"/>
              </w:rPr>
            </w:pPr>
            <w:r w:rsidRPr="00DA77AF">
              <w:rPr>
                <w:b/>
                <w:bCs/>
                <w:color w:val="000000"/>
                <w:sz w:val="24"/>
                <w:szCs w:val="24"/>
              </w:rPr>
              <w:t>Burden (hours)</w:t>
            </w:r>
          </w:p>
        </w:tc>
      </w:tr>
      <w:tr w14:paraId="30E0E0EB" w14:textId="77777777" w:rsidTr="00DA77AF">
        <w:tblPrEx>
          <w:tblW w:w="4765" w:type="dxa"/>
          <w:tblCellMar>
            <w:top w:w="15" w:type="dxa"/>
            <w:bottom w:w="15" w:type="dxa"/>
          </w:tblCellMar>
          <w:tblLook w:val="04A0"/>
        </w:tblPrEx>
        <w:trPr>
          <w:trHeight w:val="315"/>
        </w:trPr>
        <w:tc>
          <w:tcPr>
            <w:tcW w:w="2900" w:type="dxa"/>
            <w:tcBorders>
              <w:top w:val="nil"/>
              <w:left w:val="single" w:sz="4" w:space="0" w:color="auto"/>
              <w:bottom w:val="single" w:sz="4" w:space="0" w:color="auto"/>
              <w:right w:val="single" w:sz="4" w:space="0" w:color="auto"/>
            </w:tcBorders>
            <w:noWrap/>
            <w:vAlign w:val="bottom"/>
            <w:hideMark/>
          </w:tcPr>
          <w:p w:rsidR="00DA77AF" w:rsidRPr="00DA77AF" w:rsidP="00DA77AF" w14:paraId="5108942B" w14:textId="77777777">
            <w:pPr>
              <w:autoSpaceDE/>
              <w:autoSpaceDN/>
              <w:adjustRightInd/>
              <w:rPr>
                <w:b/>
                <w:bCs/>
                <w:color w:val="000000"/>
                <w:sz w:val="24"/>
                <w:szCs w:val="24"/>
              </w:rPr>
            </w:pPr>
            <w:r w:rsidRPr="00DA77AF">
              <w:rPr>
                <w:b/>
                <w:bCs/>
                <w:color w:val="000000"/>
                <w:sz w:val="24"/>
                <w:szCs w:val="24"/>
              </w:rPr>
              <w:t>EPA Regions</w:t>
            </w:r>
          </w:p>
        </w:tc>
        <w:tc>
          <w:tcPr>
            <w:tcW w:w="1865" w:type="dxa"/>
            <w:tcBorders>
              <w:top w:val="nil"/>
              <w:left w:val="nil"/>
              <w:bottom w:val="single" w:sz="4" w:space="0" w:color="auto"/>
              <w:right w:val="single" w:sz="4" w:space="0" w:color="auto"/>
            </w:tcBorders>
            <w:noWrap/>
            <w:vAlign w:val="bottom"/>
            <w:hideMark/>
          </w:tcPr>
          <w:p w:rsidR="00DA77AF" w:rsidRPr="00DA77AF" w:rsidP="00DA77AF" w14:paraId="51291A40" w14:textId="753E256F">
            <w:pPr>
              <w:autoSpaceDE/>
              <w:autoSpaceDN/>
              <w:adjustRightInd/>
              <w:jc w:val="right"/>
              <w:rPr>
                <w:color w:val="000000"/>
                <w:sz w:val="24"/>
                <w:szCs w:val="24"/>
              </w:rPr>
            </w:pPr>
            <w:r w:rsidRPr="00DA77AF">
              <w:rPr>
                <w:color w:val="000000"/>
                <w:sz w:val="24"/>
                <w:szCs w:val="24"/>
              </w:rPr>
              <w:t>2,</w:t>
            </w:r>
            <w:r w:rsidR="00EE5B34">
              <w:rPr>
                <w:color w:val="000000"/>
                <w:sz w:val="24"/>
                <w:szCs w:val="24"/>
              </w:rPr>
              <w:t>712</w:t>
            </w:r>
          </w:p>
        </w:tc>
      </w:tr>
      <w:tr w14:paraId="5C4B8D2B" w14:textId="77777777" w:rsidTr="00DA77AF">
        <w:tblPrEx>
          <w:tblW w:w="4765" w:type="dxa"/>
          <w:tblCellMar>
            <w:top w:w="15" w:type="dxa"/>
            <w:bottom w:w="15" w:type="dxa"/>
          </w:tblCellMar>
          <w:tblLook w:val="04A0"/>
        </w:tblPrEx>
        <w:trPr>
          <w:trHeight w:val="315"/>
        </w:trPr>
        <w:tc>
          <w:tcPr>
            <w:tcW w:w="2900" w:type="dxa"/>
            <w:tcBorders>
              <w:top w:val="nil"/>
              <w:left w:val="single" w:sz="4" w:space="0" w:color="auto"/>
              <w:bottom w:val="single" w:sz="4" w:space="0" w:color="auto"/>
              <w:right w:val="single" w:sz="4" w:space="0" w:color="auto"/>
            </w:tcBorders>
            <w:noWrap/>
            <w:vAlign w:val="bottom"/>
            <w:hideMark/>
          </w:tcPr>
          <w:p w:rsidR="00DA77AF" w:rsidRPr="00DA77AF" w:rsidP="00DA77AF" w14:paraId="3E215EC7" w14:textId="77777777">
            <w:pPr>
              <w:autoSpaceDE/>
              <w:autoSpaceDN/>
              <w:adjustRightInd/>
              <w:rPr>
                <w:b/>
                <w:bCs/>
                <w:color w:val="000000"/>
                <w:sz w:val="24"/>
                <w:szCs w:val="24"/>
              </w:rPr>
            </w:pPr>
            <w:r w:rsidRPr="00DA77AF">
              <w:rPr>
                <w:b/>
                <w:bCs/>
                <w:color w:val="000000"/>
                <w:sz w:val="24"/>
                <w:szCs w:val="24"/>
              </w:rPr>
              <w:t>EPA Headquarters</w:t>
            </w:r>
          </w:p>
        </w:tc>
        <w:tc>
          <w:tcPr>
            <w:tcW w:w="1865" w:type="dxa"/>
            <w:tcBorders>
              <w:top w:val="nil"/>
              <w:left w:val="nil"/>
              <w:bottom w:val="single" w:sz="4" w:space="0" w:color="auto"/>
              <w:right w:val="single" w:sz="4" w:space="0" w:color="auto"/>
            </w:tcBorders>
            <w:noWrap/>
            <w:vAlign w:val="bottom"/>
            <w:hideMark/>
          </w:tcPr>
          <w:p w:rsidR="00DA77AF" w:rsidRPr="00DA77AF" w:rsidP="00DA77AF" w14:paraId="213DD61B" w14:textId="63AE4391">
            <w:pPr>
              <w:autoSpaceDE/>
              <w:autoSpaceDN/>
              <w:adjustRightInd/>
              <w:jc w:val="right"/>
              <w:rPr>
                <w:color w:val="000000"/>
                <w:sz w:val="24"/>
                <w:szCs w:val="24"/>
              </w:rPr>
            </w:pPr>
            <w:r>
              <w:rPr>
                <w:color w:val="000000"/>
                <w:sz w:val="24"/>
                <w:szCs w:val="24"/>
              </w:rPr>
              <w:t>7</w:t>
            </w:r>
            <w:r w:rsidR="00EE5B34">
              <w:rPr>
                <w:color w:val="000000"/>
                <w:sz w:val="24"/>
                <w:szCs w:val="24"/>
              </w:rPr>
              <w:t>2</w:t>
            </w:r>
            <w:r w:rsidR="009D1C63">
              <w:rPr>
                <w:color w:val="000000"/>
                <w:sz w:val="24"/>
                <w:szCs w:val="24"/>
              </w:rPr>
              <w:t>0</w:t>
            </w:r>
          </w:p>
        </w:tc>
      </w:tr>
      <w:tr w14:paraId="07E52104" w14:textId="77777777" w:rsidTr="00DA77AF">
        <w:tblPrEx>
          <w:tblW w:w="4765" w:type="dxa"/>
          <w:tblCellMar>
            <w:top w:w="15" w:type="dxa"/>
            <w:bottom w:w="15" w:type="dxa"/>
          </w:tblCellMar>
          <w:tblLook w:val="04A0"/>
        </w:tblPrEx>
        <w:trPr>
          <w:trHeight w:val="315"/>
        </w:trPr>
        <w:tc>
          <w:tcPr>
            <w:tcW w:w="2900" w:type="dxa"/>
            <w:tcBorders>
              <w:top w:val="nil"/>
              <w:left w:val="single" w:sz="4" w:space="0" w:color="auto"/>
              <w:bottom w:val="single" w:sz="4" w:space="0" w:color="auto"/>
              <w:right w:val="single" w:sz="4" w:space="0" w:color="auto"/>
            </w:tcBorders>
            <w:shd w:val="clear" w:color="000000" w:fill="BFBFBF"/>
            <w:noWrap/>
            <w:vAlign w:val="bottom"/>
            <w:hideMark/>
          </w:tcPr>
          <w:p w:rsidR="00DA77AF" w:rsidRPr="00DA77AF" w:rsidP="00DA77AF" w14:paraId="59738FC6" w14:textId="77777777">
            <w:pPr>
              <w:autoSpaceDE/>
              <w:autoSpaceDN/>
              <w:adjustRightInd/>
              <w:rPr>
                <w:b/>
                <w:bCs/>
                <w:color w:val="000000"/>
                <w:sz w:val="24"/>
                <w:szCs w:val="24"/>
              </w:rPr>
            </w:pPr>
            <w:r w:rsidRPr="00DA77AF">
              <w:rPr>
                <w:b/>
                <w:bCs/>
                <w:color w:val="000000"/>
                <w:sz w:val="24"/>
                <w:szCs w:val="24"/>
              </w:rPr>
              <w:t>Total</w:t>
            </w:r>
          </w:p>
        </w:tc>
        <w:tc>
          <w:tcPr>
            <w:tcW w:w="1865" w:type="dxa"/>
            <w:tcBorders>
              <w:top w:val="nil"/>
              <w:left w:val="nil"/>
              <w:bottom w:val="single" w:sz="4" w:space="0" w:color="auto"/>
              <w:right w:val="single" w:sz="4" w:space="0" w:color="auto"/>
            </w:tcBorders>
            <w:shd w:val="clear" w:color="000000" w:fill="BFBFBF"/>
            <w:noWrap/>
            <w:vAlign w:val="bottom"/>
            <w:hideMark/>
          </w:tcPr>
          <w:p w:rsidR="00DA77AF" w:rsidRPr="00DA77AF" w:rsidP="00DA77AF" w14:paraId="415F8103" w14:textId="028A2644">
            <w:pPr>
              <w:autoSpaceDE/>
              <w:autoSpaceDN/>
              <w:adjustRightInd/>
              <w:jc w:val="right"/>
              <w:rPr>
                <w:color w:val="000000"/>
                <w:sz w:val="24"/>
                <w:szCs w:val="24"/>
              </w:rPr>
            </w:pPr>
            <w:r w:rsidRPr="00DA77AF">
              <w:rPr>
                <w:color w:val="000000"/>
                <w:sz w:val="24"/>
                <w:szCs w:val="24"/>
              </w:rPr>
              <w:t>3,</w:t>
            </w:r>
            <w:r w:rsidR="00EE5B34">
              <w:rPr>
                <w:color w:val="000000"/>
                <w:sz w:val="24"/>
                <w:szCs w:val="24"/>
              </w:rPr>
              <w:t>432</w:t>
            </w:r>
          </w:p>
        </w:tc>
      </w:tr>
    </w:tbl>
    <w:p w:rsidR="00DA77AF" w:rsidRPr="00DA77AF" w:rsidP="00082DE6" w14:paraId="4DB66508" w14:textId="77777777">
      <w:pPr>
        <w:pStyle w:val="Tabletext"/>
        <w:spacing w:before="0" w:after="0"/>
      </w:pPr>
    </w:p>
    <w:p w:rsidR="00DA31DD" w:rsidP="00082DE6" w14:paraId="5F2790B6" w14:textId="74EC839A">
      <w:pPr>
        <w:pStyle w:val="Heading2"/>
        <w:spacing w:before="120"/>
        <w:ind w:left="547" w:hanging="547"/>
      </w:pPr>
      <w:bookmarkStart w:id="115" w:name="_1__32_"/>
      <w:bookmarkStart w:id="116" w:name="_Toc296531037"/>
      <w:bookmarkStart w:id="117" w:name="_Toc431211679"/>
      <w:bookmarkStart w:id="118" w:name="_Toc105018610"/>
      <w:bookmarkEnd w:id="115"/>
      <w:r>
        <w:t>6(</w:t>
      </w:r>
      <w:r w:rsidR="00A40500">
        <w:t>c</w:t>
      </w:r>
      <w:r>
        <w:t>)</w:t>
      </w:r>
      <w:r>
        <w:tab/>
        <w:t>Estimating Total Burden and Cost</w:t>
      </w:r>
      <w:bookmarkEnd w:id="116"/>
      <w:bookmarkEnd w:id="117"/>
      <w:r w:rsidR="00DC76C6">
        <w:t>s</w:t>
      </w:r>
      <w:r w:rsidR="00A55477">
        <w:t xml:space="preserve"> for Respondents and EPA</w:t>
      </w:r>
      <w:bookmarkEnd w:id="118"/>
    </w:p>
    <w:p w:rsidR="00DA31DD" w:rsidRPr="00911542" w:rsidP="132B522A" w14:paraId="6B924A29" w14:textId="277E3D6D">
      <w:pPr>
        <w:pStyle w:val="Bullet-last"/>
      </w:pPr>
      <w:r>
        <w:t xml:space="preserve">Table </w:t>
      </w:r>
      <w:r w:rsidR="00561A5D">
        <w:t>4</w:t>
      </w:r>
      <w:r>
        <w:t xml:space="preserve"> </w:t>
      </w:r>
      <w:r w:rsidR="00AB2553">
        <w:t>shows the</w:t>
      </w:r>
      <w:r>
        <w:t xml:space="preserve"> estimate of the total annual burden and costs</w:t>
      </w:r>
      <w:r w:rsidR="00EB10E3">
        <w:t xml:space="preserve"> for the respondents and Agency</w:t>
      </w:r>
      <w:r>
        <w:t xml:space="preserve"> expected for the BEACH Act </w:t>
      </w:r>
      <w:r w:rsidR="00D765FE">
        <w:t>G</w:t>
      </w:r>
      <w:r>
        <w:t xml:space="preserve">rant </w:t>
      </w:r>
      <w:r w:rsidR="00AA07AB">
        <w:t>P</w:t>
      </w:r>
      <w:r>
        <w:t xml:space="preserve">rogram. </w:t>
      </w:r>
      <w:r w:rsidR="00AB2553">
        <w:t>T</w:t>
      </w:r>
      <w:r>
        <w:t xml:space="preserve">he annual burden for the Agency and states, tribes, and territories with coastal recreation waters is </w:t>
      </w:r>
      <w:r w:rsidR="004053A3">
        <w:rPr>
          <w:b/>
          <w:bCs/>
        </w:rPr>
        <w:t>322,954</w:t>
      </w:r>
      <w:r w:rsidRPr="132B522A">
        <w:rPr>
          <w:b/>
          <w:bCs/>
        </w:rPr>
        <w:t xml:space="preserve"> hours and $</w:t>
      </w:r>
      <w:r w:rsidR="00D3599F">
        <w:rPr>
          <w:b/>
          <w:bCs/>
        </w:rPr>
        <w:t>22,</w:t>
      </w:r>
      <w:r w:rsidR="00451544">
        <w:rPr>
          <w:b/>
          <w:bCs/>
        </w:rPr>
        <w:t>976,864</w:t>
      </w:r>
      <w:r>
        <w:t>.</w:t>
      </w:r>
    </w:p>
    <w:p w:rsidR="00DA31DD" w:rsidRPr="00EB7B9D" w:rsidP="00DA31DD" w14:paraId="6634061F" w14:textId="7BFD87ED">
      <w:pPr>
        <w:pStyle w:val="Bullet-last"/>
        <w:keepNext/>
        <w:rPr>
          <w:b/>
        </w:rPr>
      </w:pPr>
      <w:bookmarkStart w:id="119" w:name="_1__35_"/>
      <w:bookmarkStart w:id="120" w:name="_Toc296530882"/>
      <w:bookmarkStart w:id="121" w:name="_Toc430347929"/>
      <w:bookmarkEnd w:id="119"/>
      <w:r w:rsidRPr="00EB7B9D">
        <w:rPr>
          <w:b/>
        </w:rPr>
        <w:t xml:space="preserve">Table </w:t>
      </w:r>
      <w:r w:rsidR="00561A5D">
        <w:rPr>
          <w:b/>
        </w:rPr>
        <w:t>4</w:t>
      </w:r>
      <w:r w:rsidRPr="00EB7B9D">
        <w:rPr>
          <w:b/>
        </w:rPr>
        <w:t>. Total annual respondent and Agency burden and costs</w:t>
      </w:r>
      <w:bookmarkEnd w:id="120"/>
      <w:bookmarkEnd w:id="121"/>
    </w:p>
    <w:tbl>
      <w:tblPr>
        <w:tblW w:w="7030" w:type="dxa"/>
        <w:tblLook w:val="04A0"/>
      </w:tblPr>
      <w:tblGrid>
        <w:gridCol w:w="1912"/>
        <w:gridCol w:w="996"/>
        <w:gridCol w:w="1416"/>
        <w:gridCol w:w="1416"/>
        <w:gridCol w:w="1416"/>
      </w:tblGrid>
      <w:tr w14:paraId="60006DF9" w14:textId="77777777" w:rsidTr="3DE99B94">
        <w:tblPrEx>
          <w:tblW w:w="7030" w:type="dxa"/>
          <w:tblLook w:val="04A0"/>
        </w:tblPrEx>
        <w:trPr>
          <w:trHeight w:val="600"/>
        </w:trPr>
        <w:tc>
          <w:tcPr>
            <w:tcW w:w="1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31DD" w:rsidRPr="00A66BC0" w:rsidP="00A65D6C" w14:paraId="74DBBD95" w14:textId="77777777">
            <w:pPr>
              <w:keepNext/>
              <w:autoSpaceDE/>
              <w:autoSpaceDN/>
              <w:adjustRightInd/>
              <w:jc w:val="center"/>
              <w:rPr>
                <w:color w:val="000000"/>
                <w:sz w:val="24"/>
                <w:szCs w:val="24"/>
              </w:rPr>
            </w:pPr>
            <w:bookmarkStart w:id="122" w:name="_1__36_"/>
            <w:bookmarkStart w:id="123" w:name="_Toc296531039"/>
            <w:bookmarkEnd w:id="122"/>
            <w:r w:rsidRPr="00A66BC0">
              <w:rPr>
                <w:b/>
                <w:color w:val="000000"/>
                <w:sz w:val="24"/>
                <w:szCs w:val="24"/>
              </w:rPr>
              <w:t>Group</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hideMark/>
          </w:tcPr>
          <w:p w:rsidR="00DA31DD" w:rsidRPr="00A66BC0" w:rsidP="00A65D6C" w14:paraId="2D04F3AB" w14:textId="77777777">
            <w:pPr>
              <w:keepNext/>
              <w:autoSpaceDE/>
              <w:autoSpaceDN/>
              <w:adjustRightInd/>
              <w:jc w:val="center"/>
              <w:rPr>
                <w:b/>
                <w:bCs/>
                <w:color w:val="000000"/>
                <w:sz w:val="24"/>
                <w:szCs w:val="24"/>
              </w:rPr>
            </w:pPr>
            <w:r w:rsidRPr="00A66BC0">
              <w:rPr>
                <w:b/>
                <w:bCs/>
                <w:color w:val="000000"/>
                <w:sz w:val="24"/>
                <w:szCs w:val="24"/>
              </w:rPr>
              <w:t>Burden (hours)</w:t>
            </w:r>
          </w:p>
        </w:tc>
        <w:tc>
          <w:tcPr>
            <w:tcW w:w="1296" w:type="dxa"/>
            <w:tcBorders>
              <w:top w:val="single" w:sz="4" w:space="0" w:color="auto"/>
              <w:left w:val="nil"/>
              <w:bottom w:val="single" w:sz="4" w:space="0" w:color="auto"/>
              <w:right w:val="single" w:sz="4" w:space="0" w:color="auto"/>
            </w:tcBorders>
            <w:shd w:val="clear" w:color="auto" w:fill="BFBFBF" w:themeFill="background1" w:themeFillShade="BF"/>
            <w:hideMark/>
          </w:tcPr>
          <w:p w:rsidR="00DA31DD" w:rsidRPr="00A66BC0" w:rsidP="00A65D6C" w14:paraId="3204A863" w14:textId="77777777">
            <w:pPr>
              <w:keepNext/>
              <w:autoSpaceDE/>
              <w:autoSpaceDN/>
              <w:adjustRightInd/>
              <w:jc w:val="center"/>
              <w:rPr>
                <w:b/>
                <w:bCs/>
                <w:color w:val="000000"/>
                <w:sz w:val="24"/>
                <w:szCs w:val="24"/>
              </w:rPr>
            </w:pPr>
            <w:r>
              <w:rPr>
                <w:b/>
                <w:bCs/>
                <w:color w:val="000000"/>
                <w:sz w:val="24"/>
                <w:szCs w:val="24"/>
              </w:rPr>
              <w:t xml:space="preserve">Labor </w:t>
            </w:r>
            <w:r w:rsidRPr="00A66BC0">
              <w:rPr>
                <w:b/>
                <w:bCs/>
                <w:color w:val="000000"/>
                <w:sz w:val="24"/>
                <w:szCs w:val="24"/>
              </w:rPr>
              <w:t>cost</w:t>
            </w:r>
          </w:p>
        </w:tc>
        <w:tc>
          <w:tcPr>
            <w:tcW w:w="1416" w:type="dxa"/>
            <w:tcBorders>
              <w:top w:val="single" w:sz="4" w:space="0" w:color="auto"/>
              <w:left w:val="nil"/>
              <w:bottom w:val="single" w:sz="4" w:space="0" w:color="auto"/>
              <w:right w:val="single" w:sz="4" w:space="0" w:color="auto"/>
            </w:tcBorders>
            <w:shd w:val="clear" w:color="auto" w:fill="BFBFBF" w:themeFill="background1" w:themeFillShade="BF"/>
            <w:hideMark/>
          </w:tcPr>
          <w:p w:rsidR="00DA31DD" w:rsidRPr="00A66BC0" w:rsidP="00A65D6C" w14:paraId="77BC9974" w14:textId="77777777">
            <w:pPr>
              <w:keepNext/>
              <w:autoSpaceDE/>
              <w:autoSpaceDN/>
              <w:adjustRightInd/>
              <w:jc w:val="center"/>
              <w:rPr>
                <w:b/>
                <w:bCs/>
                <w:color w:val="000000"/>
                <w:sz w:val="24"/>
                <w:szCs w:val="24"/>
              </w:rPr>
            </w:pPr>
            <w:r w:rsidRPr="00A66BC0">
              <w:rPr>
                <w:b/>
                <w:bCs/>
                <w:color w:val="000000"/>
                <w:sz w:val="24"/>
                <w:szCs w:val="24"/>
              </w:rPr>
              <w:t>O&amp;M cost</w:t>
            </w:r>
          </w:p>
        </w:tc>
        <w:tc>
          <w:tcPr>
            <w:tcW w:w="1416" w:type="dxa"/>
            <w:tcBorders>
              <w:top w:val="single" w:sz="4" w:space="0" w:color="auto"/>
              <w:left w:val="nil"/>
              <w:bottom w:val="single" w:sz="4" w:space="0" w:color="auto"/>
              <w:right w:val="single" w:sz="4" w:space="0" w:color="auto"/>
            </w:tcBorders>
            <w:shd w:val="clear" w:color="auto" w:fill="BFBFBF" w:themeFill="background1" w:themeFillShade="BF"/>
            <w:hideMark/>
          </w:tcPr>
          <w:p w:rsidR="00DA31DD" w:rsidRPr="00A66BC0" w:rsidP="00A65D6C" w14:paraId="1957FFE3" w14:textId="77777777">
            <w:pPr>
              <w:keepNext/>
              <w:autoSpaceDE/>
              <w:autoSpaceDN/>
              <w:adjustRightInd/>
              <w:jc w:val="center"/>
              <w:rPr>
                <w:b/>
                <w:bCs/>
                <w:color w:val="000000"/>
                <w:sz w:val="24"/>
                <w:szCs w:val="24"/>
              </w:rPr>
            </w:pPr>
            <w:r w:rsidRPr="00A66BC0">
              <w:rPr>
                <w:b/>
                <w:bCs/>
                <w:color w:val="000000"/>
                <w:sz w:val="24"/>
                <w:szCs w:val="24"/>
              </w:rPr>
              <w:t>Total cost</w:t>
            </w:r>
          </w:p>
        </w:tc>
      </w:tr>
      <w:tr w14:paraId="1C1834CC" w14:textId="77777777" w:rsidTr="3DE99B94">
        <w:tblPrEx>
          <w:tblW w:w="7030" w:type="dxa"/>
          <w:tblLook w:val="04A0"/>
        </w:tblPrEx>
        <w:trPr>
          <w:trHeight w:val="30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DA31DD" w:rsidRPr="00A66BC0" w:rsidP="00F22B0E" w14:paraId="0B87C061" w14:textId="50783DFD">
            <w:pPr>
              <w:autoSpaceDE/>
              <w:autoSpaceDN/>
              <w:adjustRightInd/>
              <w:jc w:val="right"/>
              <w:rPr>
                <w:b/>
                <w:bCs/>
                <w:color w:val="000000"/>
                <w:sz w:val="24"/>
                <w:szCs w:val="24"/>
              </w:rPr>
            </w:pPr>
            <w:r>
              <w:rPr>
                <w:b/>
                <w:bCs/>
                <w:color w:val="000000"/>
                <w:sz w:val="24"/>
                <w:szCs w:val="24"/>
              </w:rPr>
              <w:t>R</w:t>
            </w:r>
            <w:r w:rsidRPr="00A66BC0">
              <w:rPr>
                <w:b/>
                <w:bCs/>
                <w:color w:val="000000"/>
                <w:sz w:val="24"/>
                <w:szCs w:val="24"/>
              </w:rPr>
              <w:t>espondents</w:t>
            </w:r>
          </w:p>
        </w:tc>
        <w:tc>
          <w:tcPr>
            <w:tcW w:w="990"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71EBF152" w14:textId="7ABCD21C">
            <w:pPr>
              <w:autoSpaceDE/>
              <w:autoSpaceDN/>
              <w:adjustRightInd/>
              <w:jc w:val="right"/>
              <w:rPr>
                <w:color w:val="000000"/>
                <w:sz w:val="24"/>
                <w:szCs w:val="24"/>
              </w:rPr>
            </w:pPr>
            <w:r>
              <w:rPr>
                <w:color w:val="000000"/>
                <w:sz w:val="24"/>
                <w:szCs w:val="24"/>
              </w:rPr>
              <w:t>319,522</w:t>
            </w:r>
          </w:p>
        </w:tc>
        <w:tc>
          <w:tcPr>
            <w:tcW w:w="129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0395DDD0" w14:textId="376F3BE2">
            <w:pPr>
              <w:autoSpaceDE/>
              <w:autoSpaceDN/>
              <w:adjustRightInd/>
              <w:jc w:val="right"/>
              <w:rPr>
                <w:color w:val="000000"/>
                <w:sz w:val="24"/>
                <w:szCs w:val="24"/>
              </w:rPr>
            </w:pPr>
            <w:r>
              <w:rPr>
                <w:color w:val="000000"/>
                <w:sz w:val="24"/>
                <w:szCs w:val="24"/>
              </w:rPr>
              <w:t>$</w:t>
            </w:r>
            <w:r w:rsidR="004053A3">
              <w:rPr>
                <w:color w:val="000000"/>
                <w:sz w:val="24"/>
                <w:szCs w:val="24"/>
              </w:rPr>
              <w:t>12,809,355</w:t>
            </w:r>
          </w:p>
        </w:tc>
        <w:tc>
          <w:tcPr>
            <w:tcW w:w="141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276B3454" w14:textId="004301A7">
            <w:pPr>
              <w:autoSpaceDE/>
              <w:autoSpaceDN/>
              <w:adjustRightInd/>
              <w:jc w:val="right"/>
              <w:rPr>
                <w:color w:val="000000"/>
                <w:sz w:val="24"/>
                <w:szCs w:val="24"/>
              </w:rPr>
            </w:pPr>
            <w:bookmarkStart w:id="124" w:name="_Hlk521684474"/>
            <w:r w:rsidRPr="132B522A">
              <w:rPr>
                <w:color w:val="000000" w:themeColor="text1"/>
                <w:sz w:val="24"/>
                <w:szCs w:val="24"/>
              </w:rPr>
              <w:t>$</w:t>
            </w:r>
            <w:r w:rsidRPr="132B522A" w:rsidR="085ED006">
              <w:rPr>
                <w:color w:val="000000" w:themeColor="text1"/>
                <w:sz w:val="24"/>
                <w:szCs w:val="24"/>
              </w:rPr>
              <w:t>9,515,800</w:t>
            </w:r>
            <w:bookmarkEnd w:id="124"/>
          </w:p>
        </w:tc>
        <w:tc>
          <w:tcPr>
            <w:tcW w:w="141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56C34418" w14:textId="74EC5D3A">
            <w:pPr>
              <w:autoSpaceDE/>
              <w:autoSpaceDN/>
              <w:adjustRightInd/>
              <w:jc w:val="right"/>
              <w:rPr>
                <w:color w:val="000000"/>
                <w:sz w:val="24"/>
                <w:szCs w:val="24"/>
              </w:rPr>
            </w:pPr>
            <w:r w:rsidRPr="3DE99B94">
              <w:rPr>
                <w:color w:val="000000" w:themeColor="text1"/>
                <w:sz w:val="24"/>
                <w:szCs w:val="24"/>
              </w:rPr>
              <w:t>$</w:t>
            </w:r>
            <w:r w:rsidR="004053A3">
              <w:rPr>
                <w:color w:val="000000" w:themeColor="text1"/>
                <w:sz w:val="24"/>
                <w:szCs w:val="24"/>
              </w:rPr>
              <w:t>22,325,155</w:t>
            </w:r>
          </w:p>
        </w:tc>
      </w:tr>
      <w:tr w14:paraId="5F34998E" w14:textId="77777777" w:rsidTr="3DE99B94">
        <w:tblPrEx>
          <w:tblW w:w="7030" w:type="dxa"/>
          <w:tblLook w:val="04A0"/>
        </w:tblPrEx>
        <w:trPr>
          <w:trHeight w:val="30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DA31DD" w:rsidRPr="00A66BC0" w:rsidP="00F22B0E" w14:paraId="67AE350C" w14:textId="77777777">
            <w:pPr>
              <w:autoSpaceDE/>
              <w:autoSpaceDN/>
              <w:adjustRightInd/>
              <w:jc w:val="right"/>
              <w:rPr>
                <w:b/>
                <w:bCs/>
                <w:color w:val="000000"/>
                <w:sz w:val="24"/>
                <w:szCs w:val="24"/>
              </w:rPr>
            </w:pPr>
            <w:r w:rsidRPr="00A66BC0">
              <w:rPr>
                <w:b/>
                <w:bCs/>
                <w:color w:val="000000"/>
                <w:sz w:val="24"/>
                <w:szCs w:val="24"/>
              </w:rPr>
              <w:t>Agency</w:t>
            </w:r>
          </w:p>
        </w:tc>
        <w:tc>
          <w:tcPr>
            <w:tcW w:w="990"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2135FD61" w14:textId="0DE6A5D2">
            <w:pPr>
              <w:autoSpaceDE/>
              <w:autoSpaceDN/>
              <w:adjustRightInd/>
              <w:jc w:val="right"/>
              <w:rPr>
                <w:color w:val="000000"/>
                <w:sz w:val="24"/>
                <w:szCs w:val="24"/>
              </w:rPr>
            </w:pPr>
            <w:r w:rsidRPr="00A66BC0">
              <w:rPr>
                <w:color w:val="000000"/>
                <w:sz w:val="24"/>
                <w:szCs w:val="24"/>
              </w:rPr>
              <w:t>3,</w:t>
            </w:r>
            <w:r w:rsidR="00C84EBB">
              <w:rPr>
                <w:color w:val="000000"/>
                <w:sz w:val="24"/>
                <w:szCs w:val="24"/>
              </w:rPr>
              <w:t>432</w:t>
            </w:r>
          </w:p>
        </w:tc>
        <w:tc>
          <w:tcPr>
            <w:tcW w:w="129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2F463AEC" w14:textId="3BEFC171">
            <w:pPr>
              <w:autoSpaceDE/>
              <w:autoSpaceDN/>
              <w:adjustRightInd/>
              <w:jc w:val="right"/>
              <w:rPr>
                <w:color w:val="000000"/>
                <w:sz w:val="24"/>
                <w:szCs w:val="24"/>
              </w:rPr>
            </w:pPr>
            <w:r w:rsidRPr="00A66BC0">
              <w:rPr>
                <w:color w:val="000000"/>
                <w:sz w:val="24"/>
                <w:szCs w:val="24"/>
              </w:rPr>
              <w:t>$</w:t>
            </w:r>
            <w:r w:rsidR="0092624F">
              <w:rPr>
                <w:color w:val="000000"/>
                <w:sz w:val="24"/>
                <w:szCs w:val="24"/>
              </w:rPr>
              <w:t>2</w:t>
            </w:r>
            <w:r w:rsidR="009648AC">
              <w:rPr>
                <w:color w:val="000000"/>
                <w:sz w:val="24"/>
                <w:szCs w:val="24"/>
              </w:rPr>
              <w:t>11</w:t>
            </w:r>
            <w:r w:rsidRPr="00A66BC0">
              <w:rPr>
                <w:color w:val="000000"/>
                <w:sz w:val="24"/>
                <w:szCs w:val="24"/>
              </w:rPr>
              <w:t>,</w:t>
            </w:r>
            <w:r w:rsidR="0092624F">
              <w:rPr>
                <w:color w:val="000000"/>
                <w:sz w:val="24"/>
                <w:szCs w:val="24"/>
              </w:rPr>
              <w:t>7</w:t>
            </w:r>
            <w:r w:rsidR="009648AC">
              <w:rPr>
                <w:color w:val="000000"/>
                <w:sz w:val="24"/>
                <w:szCs w:val="24"/>
              </w:rPr>
              <w:t>09</w:t>
            </w:r>
          </w:p>
        </w:tc>
        <w:tc>
          <w:tcPr>
            <w:tcW w:w="141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344F2A8E" w14:textId="7DA0FDF8">
            <w:pPr>
              <w:autoSpaceDE/>
              <w:autoSpaceDN/>
              <w:adjustRightInd/>
              <w:jc w:val="right"/>
              <w:rPr>
                <w:color w:val="000000"/>
                <w:sz w:val="24"/>
                <w:szCs w:val="24"/>
              </w:rPr>
            </w:pPr>
            <w:r w:rsidRPr="00A66BC0">
              <w:rPr>
                <w:color w:val="000000"/>
                <w:sz w:val="24"/>
                <w:szCs w:val="24"/>
              </w:rPr>
              <w:t>$</w:t>
            </w:r>
            <w:r w:rsidR="006A1F87">
              <w:rPr>
                <w:color w:val="000000"/>
                <w:sz w:val="24"/>
                <w:szCs w:val="24"/>
              </w:rPr>
              <w:t>440,</w:t>
            </w:r>
            <w:r w:rsidR="00C730FC">
              <w:rPr>
                <w:color w:val="000000"/>
                <w:sz w:val="24"/>
                <w:szCs w:val="24"/>
              </w:rPr>
              <w:t>000</w:t>
            </w:r>
          </w:p>
        </w:tc>
        <w:tc>
          <w:tcPr>
            <w:tcW w:w="1416" w:type="dxa"/>
            <w:tcBorders>
              <w:top w:val="nil"/>
              <w:left w:val="nil"/>
              <w:bottom w:val="single" w:sz="4" w:space="0" w:color="auto"/>
              <w:right w:val="single" w:sz="4" w:space="0" w:color="auto"/>
            </w:tcBorders>
            <w:shd w:val="clear" w:color="auto" w:fill="auto"/>
            <w:noWrap/>
            <w:vAlign w:val="center"/>
            <w:hideMark/>
          </w:tcPr>
          <w:p w:rsidR="00DA31DD" w:rsidRPr="00A66BC0" w:rsidP="00F22B0E" w14:paraId="5C20539D" w14:textId="567F147F">
            <w:pPr>
              <w:autoSpaceDE/>
              <w:autoSpaceDN/>
              <w:adjustRightInd/>
              <w:jc w:val="right"/>
              <w:rPr>
                <w:color w:val="000000"/>
                <w:sz w:val="24"/>
                <w:szCs w:val="24"/>
              </w:rPr>
            </w:pPr>
            <w:r w:rsidRPr="00A66BC0">
              <w:rPr>
                <w:color w:val="000000"/>
                <w:sz w:val="24"/>
                <w:szCs w:val="24"/>
              </w:rPr>
              <w:t>$</w:t>
            </w:r>
            <w:r w:rsidR="0092624F">
              <w:rPr>
                <w:color w:val="000000"/>
                <w:sz w:val="24"/>
                <w:szCs w:val="24"/>
              </w:rPr>
              <w:t>6</w:t>
            </w:r>
            <w:r w:rsidR="00142E79">
              <w:rPr>
                <w:color w:val="000000"/>
                <w:sz w:val="24"/>
                <w:szCs w:val="24"/>
              </w:rPr>
              <w:t>51</w:t>
            </w:r>
            <w:r w:rsidRPr="00A66BC0">
              <w:rPr>
                <w:color w:val="000000"/>
                <w:sz w:val="24"/>
                <w:szCs w:val="24"/>
              </w:rPr>
              <w:t>,</w:t>
            </w:r>
            <w:r w:rsidR="00142E79">
              <w:rPr>
                <w:color w:val="000000"/>
                <w:sz w:val="24"/>
                <w:szCs w:val="24"/>
              </w:rPr>
              <w:t>709</w:t>
            </w:r>
          </w:p>
        </w:tc>
      </w:tr>
      <w:tr w14:paraId="3827C1C7" w14:textId="77777777" w:rsidTr="3DE99B94">
        <w:tblPrEx>
          <w:tblW w:w="7030" w:type="dxa"/>
          <w:tblLook w:val="04A0"/>
        </w:tblPrEx>
        <w:trPr>
          <w:trHeight w:val="300"/>
        </w:trPr>
        <w:tc>
          <w:tcPr>
            <w:tcW w:w="191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DA31DD" w:rsidRPr="00A66BC0" w:rsidP="00F22B0E" w14:paraId="7FF3CF86" w14:textId="77777777">
            <w:pPr>
              <w:autoSpaceDE/>
              <w:autoSpaceDN/>
              <w:adjustRightInd/>
              <w:jc w:val="right"/>
              <w:rPr>
                <w:b/>
                <w:bCs/>
                <w:color w:val="000000"/>
                <w:sz w:val="24"/>
                <w:szCs w:val="24"/>
              </w:rPr>
            </w:pPr>
            <w:r w:rsidRPr="00A66BC0">
              <w:rPr>
                <w:b/>
                <w:bCs/>
                <w:color w:val="000000"/>
                <w:sz w:val="24"/>
                <w:szCs w:val="24"/>
              </w:rPr>
              <w:t>Total</w:t>
            </w:r>
          </w:p>
        </w:tc>
        <w:tc>
          <w:tcPr>
            <w:tcW w:w="990" w:type="dxa"/>
            <w:tcBorders>
              <w:top w:val="nil"/>
              <w:left w:val="nil"/>
              <w:bottom w:val="single" w:sz="4" w:space="0" w:color="auto"/>
              <w:right w:val="single" w:sz="4" w:space="0" w:color="auto"/>
            </w:tcBorders>
            <w:shd w:val="clear" w:color="auto" w:fill="BFBFBF" w:themeFill="background1" w:themeFillShade="BF"/>
            <w:noWrap/>
            <w:vAlign w:val="center"/>
            <w:hideMark/>
          </w:tcPr>
          <w:p w:rsidR="00DA31DD" w:rsidRPr="00A66BC0" w:rsidP="00F22B0E" w14:paraId="476D39F2" w14:textId="5C8AD505">
            <w:pPr>
              <w:autoSpaceDE/>
              <w:autoSpaceDN/>
              <w:adjustRightInd/>
              <w:jc w:val="right"/>
              <w:rPr>
                <w:color w:val="000000"/>
                <w:sz w:val="24"/>
                <w:szCs w:val="24"/>
              </w:rPr>
            </w:pPr>
            <w:r>
              <w:rPr>
                <w:color w:val="000000"/>
                <w:sz w:val="24"/>
                <w:szCs w:val="24"/>
              </w:rPr>
              <w:t>322,954</w:t>
            </w:r>
          </w:p>
        </w:tc>
        <w:tc>
          <w:tcPr>
            <w:tcW w:w="1296" w:type="dxa"/>
            <w:tcBorders>
              <w:top w:val="nil"/>
              <w:left w:val="nil"/>
              <w:bottom w:val="single" w:sz="4" w:space="0" w:color="auto"/>
              <w:right w:val="single" w:sz="4" w:space="0" w:color="auto"/>
            </w:tcBorders>
            <w:shd w:val="clear" w:color="auto" w:fill="BFBFBF" w:themeFill="background1" w:themeFillShade="BF"/>
            <w:noWrap/>
            <w:vAlign w:val="center"/>
            <w:hideMark/>
          </w:tcPr>
          <w:p w:rsidR="00DA31DD" w:rsidRPr="00A66BC0" w:rsidP="00F22B0E" w14:paraId="4454D2E7" w14:textId="74610E12">
            <w:pPr>
              <w:autoSpaceDE/>
              <w:autoSpaceDN/>
              <w:adjustRightInd/>
              <w:jc w:val="right"/>
              <w:rPr>
                <w:color w:val="000000"/>
                <w:sz w:val="24"/>
                <w:szCs w:val="24"/>
              </w:rPr>
            </w:pPr>
            <w:r w:rsidRPr="00A66BC0">
              <w:rPr>
                <w:color w:val="000000"/>
                <w:sz w:val="24"/>
                <w:szCs w:val="24"/>
              </w:rPr>
              <w:t>$</w:t>
            </w:r>
            <w:r w:rsidR="004053A3">
              <w:rPr>
                <w:color w:val="000000"/>
                <w:sz w:val="24"/>
                <w:szCs w:val="24"/>
              </w:rPr>
              <w:t>13,021,064</w:t>
            </w:r>
          </w:p>
        </w:tc>
        <w:tc>
          <w:tcPr>
            <w:tcW w:w="1416" w:type="dxa"/>
            <w:tcBorders>
              <w:top w:val="nil"/>
              <w:left w:val="nil"/>
              <w:bottom w:val="single" w:sz="4" w:space="0" w:color="auto"/>
              <w:right w:val="single" w:sz="4" w:space="0" w:color="auto"/>
            </w:tcBorders>
            <w:shd w:val="clear" w:color="auto" w:fill="BFBFBF" w:themeFill="background1" w:themeFillShade="BF"/>
            <w:noWrap/>
            <w:vAlign w:val="center"/>
            <w:hideMark/>
          </w:tcPr>
          <w:p w:rsidR="00DA31DD" w:rsidRPr="00A66BC0" w:rsidP="00F22B0E" w14:paraId="052BC788" w14:textId="5677AC2E">
            <w:pPr>
              <w:autoSpaceDE/>
              <w:autoSpaceDN/>
              <w:adjustRightInd/>
              <w:jc w:val="right"/>
              <w:rPr>
                <w:color w:val="000000"/>
                <w:sz w:val="24"/>
                <w:szCs w:val="24"/>
              </w:rPr>
            </w:pPr>
            <w:r w:rsidRPr="132B522A">
              <w:rPr>
                <w:color w:val="000000" w:themeColor="text1"/>
                <w:sz w:val="24"/>
                <w:szCs w:val="24"/>
              </w:rPr>
              <w:t>$</w:t>
            </w:r>
            <w:r w:rsidRPr="132B522A" w:rsidR="35555813">
              <w:rPr>
                <w:color w:val="000000" w:themeColor="text1"/>
                <w:sz w:val="24"/>
                <w:szCs w:val="24"/>
              </w:rPr>
              <w:t>9,955,800</w:t>
            </w:r>
          </w:p>
        </w:tc>
        <w:tc>
          <w:tcPr>
            <w:tcW w:w="1416" w:type="dxa"/>
            <w:tcBorders>
              <w:top w:val="nil"/>
              <w:left w:val="nil"/>
              <w:bottom w:val="single" w:sz="4" w:space="0" w:color="auto"/>
              <w:right w:val="single" w:sz="4" w:space="0" w:color="auto"/>
            </w:tcBorders>
            <w:shd w:val="clear" w:color="auto" w:fill="BFBFBF" w:themeFill="background1" w:themeFillShade="BF"/>
            <w:noWrap/>
            <w:vAlign w:val="center"/>
            <w:hideMark/>
          </w:tcPr>
          <w:p w:rsidR="00574EF9" w:rsidRPr="00A66BC0" w:rsidP="00D14C19" w14:paraId="7B925730" w14:textId="3DC4937E">
            <w:pPr>
              <w:autoSpaceDE/>
              <w:autoSpaceDN/>
              <w:adjustRightInd/>
              <w:jc w:val="right"/>
              <w:rPr>
                <w:color w:val="000000"/>
                <w:sz w:val="24"/>
                <w:szCs w:val="24"/>
              </w:rPr>
            </w:pPr>
            <w:r w:rsidRPr="3DE99B94">
              <w:rPr>
                <w:color w:val="000000" w:themeColor="text1"/>
                <w:sz w:val="24"/>
                <w:szCs w:val="24"/>
              </w:rPr>
              <w:t>$</w:t>
            </w:r>
            <w:r w:rsidR="004053A3">
              <w:rPr>
                <w:color w:val="000000" w:themeColor="text1"/>
                <w:sz w:val="24"/>
                <w:szCs w:val="24"/>
              </w:rPr>
              <w:t>22,976,864</w:t>
            </w:r>
          </w:p>
        </w:tc>
      </w:tr>
    </w:tbl>
    <w:p w:rsidR="00DA31DD" w:rsidP="00DA31DD" w14:paraId="6841B426" w14:textId="77777777"/>
    <w:p w:rsidR="00DA31DD" w:rsidRPr="00B369CA" w:rsidP="00DA31DD" w14:paraId="3BA9133C" w14:textId="53892E81">
      <w:pPr>
        <w:pStyle w:val="Heading2"/>
      </w:pPr>
      <w:bookmarkStart w:id="125" w:name="_Toc431211681"/>
      <w:bookmarkStart w:id="126" w:name="_Toc105018611"/>
      <w:bookmarkStart w:id="127" w:name="_Hlk521916321"/>
      <w:r w:rsidRPr="00B369CA">
        <w:t>6(</w:t>
      </w:r>
      <w:r w:rsidR="00A40500">
        <w:t>e</w:t>
      </w:r>
      <w:r w:rsidRPr="00B369CA">
        <w:t>)</w:t>
      </w:r>
      <w:r w:rsidRPr="00B369CA">
        <w:tab/>
        <w:t>Reasons for Change in Burden</w:t>
      </w:r>
      <w:bookmarkEnd w:id="123"/>
      <w:bookmarkEnd w:id="125"/>
      <w:bookmarkEnd w:id="126"/>
    </w:p>
    <w:p w:rsidR="00705688" w:rsidP="00934DCA" w14:paraId="281C081D" w14:textId="4B13F181">
      <w:pPr>
        <w:autoSpaceDE/>
        <w:autoSpaceDN/>
        <w:adjustRightInd/>
        <w:spacing w:after="200"/>
        <w:rPr>
          <w:sz w:val="24"/>
          <w:szCs w:val="24"/>
        </w:rPr>
      </w:pPr>
      <w:bookmarkStart w:id="128" w:name="_Hlk118625271"/>
      <w:bookmarkStart w:id="129" w:name="_Hlk118625535"/>
      <w:r w:rsidRPr="001F4F52">
        <w:rPr>
          <w:sz w:val="24"/>
          <w:szCs w:val="24"/>
        </w:rPr>
        <w:t>There is a</w:t>
      </w:r>
      <w:r w:rsidR="006D3EFA">
        <w:rPr>
          <w:sz w:val="24"/>
          <w:szCs w:val="24"/>
        </w:rPr>
        <w:t>n</w:t>
      </w:r>
      <w:r w:rsidRPr="001F4F52">
        <w:rPr>
          <w:sz w:val="24"/>
          <w:szCs w:val="24"/>
        </w:rPr>
        <w:t xml:space="preserve"> </w:t>
      </w:r>
      <w:r w:rsidR="006D3EFA">
        <w:rPr>
          <w:sz w:val="24"/>
          <w:szCs w:val="24"/>
        </w:rPr>
        <w:t>increase</w:t>
      </w:r>
      <w:r w:rsidRPr="001F4F52">
        <w:rPr>
          <w:sz w:val="24"/>
          <w:szCs w:val="24"/>
        </w:rPr>
        <w:t xml:space="preserve"> of </w:t>
      </w:r>
      <w:r w:rsidR="004053A3">
        <w:rPr>
          <w:sz w:val="24"/>
          <w:szCs w:val="24"/>
        </w:rPr>
        <w:t>230,953</w:t>
      </w:r>
      <w:r w:rsidRPr="001F4F52">
        <w:rPr>
          <w:sz w:val="24"/>
          <w:szCs w:val="24"/>
        </w:rPr>
        <w:t xml:space="preserve"> hours </w:t>
      </w:r>
      <w:r w:rsidR="00954E02">
        <w:rPr>
          <w:sz w:val="24"/>
          <w:szCs w:val="24"/>
        </w:rPr>
        <w:t>(from 88</w:t>
      </w:r>
      <w:r w:rsidR="00375D4B">
        <w:rPr>
          <w:sz w:val="24"/>
          <w:szCs w:val="24"/>
        </w:rPr>
        <w:t xml:space="preserve">,569 to </w:t>
      </w:r>
      <w:r w:rsidR="004053A3">
        <w:rPr>
          <w:sz w:val="24"/>
          <w:szCs w:val="24"/>
        </w:rPr>
        <w:t>319,522</w:t>
      </w:r>
      <w:r w:rsidR="00375D4B">
        <w:rPr>
          <w:sz w:val="24"/>
          <w:szCs w:val="24"/>
        </w:rPr>
        <w:t xml:space="preserve">) </w:t>
      </w:r>
      <w:r w:rsidRPr="001F4F52">
        <w:rPr>
          <w:sz w:val="24"/>
          <w:szCs w:val="24"/>
        </w:rPr>
        <w:t xml:space="preserve">in the total respondent burden compared with the ICR approved by OMB </w:t>
      </w:r>
      <w:bookmarkStart w:id="130" w:name="_Hlk521684250"/>
      <w:r>
        <w:rPr>
          <w:sz w:val="24"/>
          <w:szCs w:val="24"/>
        </w:rPr>
        <w:t xml:space="preserve">in </w:t>
      </w:r>
      <w:r w:rsidR="008F651E">
        <w:rPr>
          <w:sz w:val="24"/>
          <w:szCs w:val="24"/>
        </w:rPr>
        <w:t xml:space="preserve">April </w:t>
      </w:r>
      <w:r w:rsidRPr="00155874" w:rsidR="008F651E">
        <w:rPr>
          <w:sz w:val="24"/>
          <w:szCs w:val="24"/>
        </w:rPr>
        <w:t>2020</w:t>
      </w:r>
      <w:r w:rsidRPr="00155874" w:rsidR="006D3EFA">
        <w:rPr>
          <w:sz w:val="24"/>
          <w:szCs w:val="24"/>
        </w:rPr>
        <w:t xml:space="preserve">. </w:t>
      </w:r>
      <w:bookmarkEnd w:id="128"/>
      <w:r w:rsidRPr="000B470A" w:rsidR="00E8551F">
        <w:rPr>
          <w:sz w:val="24"/>
          <w:szCs w:val="24"/>
        </w:rPr>
        <w:t>This increase is</w:t>
      </w:r>
      <w:r w:rsidRPr="000B470A" w:rsidR="00E8551F">
        <w:rPr>
          <w:b/>
          <w:bCs/>
          <w:sz w:val="24"/>
          <w:szCs w:val="24"/>
        </w:rPr>
        <w:t xml:space="preserve"> </w:t>
      </w:r>
      <w:r w:rsidRPr="000B470A" w:rsidR="00E8551F">
        <w:rPr>
          <w:sz w:val="24"/>
          <w:szCs w:val="24"/>
        </w:rPr>
        <w:t>in response to feedback to better account for labor costs and to structure the ICR to better align with the burden associated with the present program. Specifically, the increase is</w:t>
      </w:r>
      <w:r w:rsidRPr="000B470A" w:rsidR="00E8551F">
        <w:rPr>
          <w:b/>
          <w:bCs/>
          <w:sz w:val="24"/>
          <w:szCs w:val="24"/>
        </w:rPr>
        <w:t xml:space="preserve"> </w:t>
      </w:r>
      <w:r w:rsidRPr="00EF5899">
        <w:rPr>
          <w:sz w:val="24"/>
          <w:szCs w:val="24"/>
        </w:rPr>
        <w:t xml:space="preserve">due to </w:t>
      </w:r>
      <w:bookmarkEnd w:id="130"/>
      <w:r w:rsidR="006D3EFA">
        <w:rPr>
          <w:sz w:val="24"/>
          <w:szCs w:val="24"/>
        </w:rPr>
        <w:t>t</w:t>
      </w:r>
      <w:r w:rsidR="00934DCA">
        <w:rPr>
          <w:sz w:val="24"/>
          <w:szCs w:val="24"/>
        </w:rPr>
        <w:t>hree</w:t>
      </w:r>
      <w:r w:rsidR="006D3EFA">
        <w:rPr>
          <w:sz w:val="24"/>
          <w:szCs w:val="24"/>
        </w:rPr>
        <w:t xml:space="preserve"> main reasons: </w:t>
      </w:r>
      <w:r w:rsidR="00934DCA">
        <w:rPr>
          <w:sz w:val="24"/>
          <w:szCs w:val="24"/>
        </w:rPr>
        <w:t xml:space="preserve">(1) </w:t>
      </w:r>
      <w:r w:rsidR="006D3EFA">
        <w:rPr>
          <w:sz w:val="24"/>
          <w:szCs w:val="24"/>
        </w:rPr>
        <w:t>fully captur</w:t>
      </w:r>
      <w:r w:rsidR="00D45422">
        <w:rPr>
          <w:sz w:val="24"/>
          <w:szCs w:val="24"/>
        </w:rPr>
        <w:t>ing</w:t>
      </w:r>
      <w:r w:rsidR="006D3EFA">
        <w:rPr>
          <w:sz w:val="24"/>
          <w:szCs w:val="24"/>
        </w:rPr>
        <w:t xml:space="preserve"> the respondent labor associated with collecting water quality samples</w:t>
      </w:r>
      <w:r w:rsidR="00934DCA">
        <w:rPr>
          <w:sz w:val="24"/>
          <w:szCs w:val="24"/>
        </w:rPr>
        <w:t xml:space="preserve">, (2) </w:t>
      </w:r>
      <w:r w:rsidR="007C30F7">
        <w:rPr>
          <w:sz w:val="24"/>
          <w:szCs w:val="24"/>
        </w:rPr>
        <w:t xml:space="preserve">the </w:t>
      </w:r>
      <w:r w:rsidR="00934DCA">
        <w:rPr>
          <w:sz w:val="24"/>
          <w:szCs w:val="24"/>
        </w:rPr>
        <w:t>restructur</w:t>
      </w:r>
      <w:r w:rsidR="007C30F7">
        <w:rPr>
          <w:sz w:val="24"/>
          <w:szCs w:val="24"/>
        </w:rPr>
        <w:t>ing of</w:t>
      </w:r>
      <w:r w:rsidR="00934DCA">
        <w:rPr>
          <w:sz w:val="24"/>
          <w:szCs w:val="24"/>
        </w:rPr>
        <w:t xml:space="preserve"> activities into developmental and </w:t>
      </w:r>
      <w:r w:rsidR="005975C2">
        <w:rPr>
          <w:sz w:val="24"/>
          <w:szCs w:val="24"/>
        </w:rPr>
        <w:t>implementation program stages</w:t>
      </w:r>
      <w:r w:rsidR="00934DCA">
        <w:rPr>
          <w:sz w:val="24"/>
          <w:szCs w:val="24"/>
        </w:rPr>
        <w:t xml:space="preserve"> and </w:t>
      </w:r>
      <w:r w:rsidR="007C30F7">
        <w:rPr>
          <w:sz w:val="24"/>
          <w:szCs w:val="24"/>
        </w:rPr>
        <w:t xml:space="preserve">subsequent </w:t>
      </w:r>
      <w:r w:rsidR="00934DCA">
        <w:rPr>
          <w:sz w:val="24"/>
          <w:szCs w:val="24"/>
        </w:rPr>
        <w:t>recalculat</w:t>
      </w:r>
      <w:r w:rsidR="000A199D">
        <w:rPr>
          <w:sz w:val="24"/>
          <w:szCs w:val="24"/>
        </w:rPr>
        <w:t>ion of</w:t>
      </w:r>
      <w:r w:rsidR="00934DCA">
        <w:rPr>
          <w:sz w:val="24"/>
          <w:szCs w:val="24"/>
        </w:rPr>
        <w:t xml:space="preserve"> the associated burden, and (3) </w:t>
      </w:r>
      <w:r w:rsidR="000A199D">
        <w:rPr>
          <w:sz w:val="24"/>
          <w:szCs w:val="24"/>
        </w:rPr>
        <w:t xml:space="preserve">the anticipated </w:t>
      </w:r>
      <w:r w:rsidR="00934DCA">
        <w:rPr>
          <w:sz w:val="24"/>
          <w:szCs w:val="24"/>
        </w:rPr>
        <w:t xml:space="preserve">addition of one </w:t>
      </w:r>
      <w:r w:rsidR="00747077">
        <w:rPr>
          <w:sz w:val="24"/>
          <w:szCs w:val="24"/>
        </w:rPr>
        <w:t xml:space="preserve">tribal </w:t>
      </w:r>
      <w:r w:rsidR="00934DCA">
        <w:rPr>
          <w:sz w:val="24"/>
          <w:szCs w:val="24"/>
        </w:rPr>
        <w:t>respondent.</w:t>
      </w:r>
    </w:p>
    <w:bookmarkEnd w:id="129"/>
    <w:p w:rsidR="00705688" w:rsidP="00705688" w14:paraId="14ACB954" w14:textId="7EF8C7EA">
      <w:pPr>
        <w:pStyle w:val="ListParagraph"/>
        <w:numPr>
          <w:ilvl w:val="0"/>
          <w:numId w:val="30"/>
        </w:numPr>
        <w:spacing w:after="200"/>
        <w:rPr>
          <w:szCs w:val="24"/>
        </w:rPr>
      </w:pPr>
      <w:r w:rsidRPr="00705688">
        <w:rPr>
          <w:szCs w:val="24"/>
        </w:rPr>
        <w:t>The burden associated with sampling water quality in the previous ICR</w:t>
      </w:r>
      <w:r w:rsidRPr="00705688" w:rsidR="006D3EFA">
        <w:rPr>
          <w:szCs w:val="24"/>
        </w:rPr>
        <w:t xml:space="preserve"> only captured “resamples” collected </w:t>
      </w:r>
      <w:r w:rsidRPr="00705688" w:rsidR="00276639">
        <w:rPr>
          <w:szCs w:val="24"/>
        </w:rPr>
        <w:t xml:space="preserve">before issuing a notification if there was a reason to doubt the accuracy of the first sample. </w:t>
      </w:r>
      <w:r w:rsidRPr="00705688">
        <w:rPr>
          <w:szCs w:val="24"/>
        </w:rPr>
        <w:t>Including all water quality samples collected</w:t>
      </w:r>
      <w:r w:rsidRPr="00705688" w:rsidR="006D3EFA">
        <w:rPr>
          <w:szCs w:val="24"/>
        </w:rPr>
        <w:t xml:space="preserve"> added </w:t>
      </w:r>
      <w:r w:rsidR="00250184">
        <w:rPr>
          <w:szCs w:val="24"/>
        </w:rPr>
        <w:t>226,180</w:t>
      </w:r>
      <w:r w:rsidRPr="00705688" w:rsidR="006D3EFA">
        <w:rPr>
          <w:szCs w:val="24"/>
        </w:rPr>
        <w:t xml:space="preserve"> hours</w:t>
      </w:r>
      <w:r w:rsidRPr="00705688">
        <w:rPr>
          <w:szCs w:val="24"/>
        </w:rPr>
        <w:t xml:space="preserve"> to the total respondent burden</w:t>
      </w:r>
      <w:r w:rsidRPr="00705688" w:rsidR="006D3EFA">
        <w:rPr>
          <w:szCs w:val="24"/>
        </w:rPr>
        <w:t>.</w:t>
      </w:r>
    </w:p>
    <w:p w:rsidR="001E0B0B" w:rsidRPr="001E0B0B" w:rsidP="00705688" w14:paraId="57D534AC" w14:textId="196DADEE">
      <w:pPr>
        <w:pStyle w:val="ListParagraph"/>
        <w:numPr>
          <w:ilvl w:val="0"/>
          <w:numId w:val="30"/>
        </w:numPr>
        <w:spacing w:after="200"/>
        <w:rPr>
          <w:szCs w:val="24"/>
        </w:rPr>
      </w:pPr>
      <w:r w:rsidRPr="001E0B0B">
        <w:rPr>
          <w:szCs w:val="24"/>
        </w:rPr>
        <w:t xml:space="preserve">In addition, the previous ICR was mainly based on activities to meet the performance criteria in the National Beach </w:t>
      </w:r>
      <w:r w:rsidR="00BC20E1">
        <w:rPr>
          <w:szCs w:val="24"/>
        </w:rPr>
        <w:t>G</w:t>
      </w:r>
      <w:r w:rsidRPr="001E0B0B">
        <w:rPr>
          <w:szCs w:val="24"/>
        </w:rPr>
        <w:t>uidance, and most of those activities are associated with beach programs in the developmental stage, rather than established programs in the implementation stage. In this ICR, the burden reflects activities for programs in the development</w:t>
      </w:r>
      <w:r w:rsidR="004161B9">
        <w:rPr>
          <w:szCs w:val="24"/>
        </w:rPr>
        <w:t xml:space="preserve"> phase </w:t>
      </w:r>
      <w:r w:rsidR="0054432F">
        <w:rPr>
          <w:szCs w:val="24"/>
        </w:rPr>
        <w:t>(</w:t>
      </w:r>
      <w:r w:rsidR="004161B9">
        <w:rPr>
          <w:szCs w:val="24"/>
        </w:rPr>
        <w:t xml:space="preserve">such </w:t>
      </w:r>
      <w:r w:rsidRPr="001E0B0B" w:rsidR="004161B9">
        <w:rPr>
          <w:szCs w:val="24"/>
        </w:rPr>
        <w:t>as those needed to meet the performance criteria</w:t>
      </w:r>
      <w:r w:rsidR="0054432F">
        <w:rPr>
          <w:szCs w:val="24"/>
        </w:rPr>
        <w:t>)</w:t>
      </w:r>
      <w:r w:rsidR="003310B8">
        <w:rPr>
          <w:szCs w:val="24"/>
        </w:rPr>
        <w:t xml:space="preserve"> </w:t>
      </w:r>
      <w:r w:rsidRPr="001E0B0B">
        <w:rPr>
          <w:szCs w:val="24"/>
        </w:rPr>
        <w:t xml:space="preserve">or </w:t>
      </w:r>
      <w:r w:rsidR="003310B8">
        <w:rPr>
          <w:szCs w:val="24"/>
        </w:rPr>
        <w:t xml:space="preserve">activities for programs in the </w:t>
      </w:r>
      <w:r w:rsidRPr="001E0B0B">
        <w:rPr>
          <w:szCs w:val="24"/>
        </w:rPr>
        <w:t>implementation phase</w:t>
      </w:r>
      <w:r w:rsidR="003310B8">
        <w:rPr>
          <w:szCs w:val="24"/>
        </w:rPr>
        <w:t xml:space="preserve"> </w:t>
      </w:r>
      <w:r w:rsidR="0054432F">
        <w:rPr>
          <w:szCs w:val="24"/>
        </w:rPr>
        <w:t>(</w:t>
      </w:r>
      <w:r w:rsidRPr="001E0B0B">
        <w:rPr>
          <w:szCs w:val="24"/>
        </w:rPr>
        <w:t>such</w:t>
      </w:r>
      <w:r w:rsidR="003310B8">
        <w:rPr>
          <w:szCs w:val="24"/>
        </w:rPr>
        <w:t xml:space="preserve"> </w:t>
      </w:r>
      <w:r w:rsidR="0025056A">
        <w:rPr>
          <w:szCs w:val="24"/>
        </w:rPr>
        <w:t>as</w:t>
      </w:r>
      <w:r w:rsidRPr="001E0B0B">
        <w:rPr>
          <w:szCs w:val="24"/>
        </w:rPr>
        <w:t xml:space="preserve"> those related to grant application</w:t>
      </w:r>
      <w:r w:rsidR="0025056A">
        <w:rPr>
          <w:szCs w:val="24"/>
        </w:rPr>
        <w:t>s, grant paperwork</w:t>
      </w:r>
      <w:r w:rsidRPr="001E0B0B">
        <w:rPr>
          <w:szCs w:val="24"/>
        </w:rPr>
        <w:t>, and data submission</w:t>
      </w:r>
      <w:r w:rsidR="0054432F">
        <w:rPr>
          <w:szCs w:val="24"/>
        </w:rPr>
        <w:t>)</w:t>
      </w:r>
      <w:r w:rsidRPr="001E0B0B">
        <w:rPr>
          <w:szCs w:val="24"/>
        </w:rPr>
        <w:t>.</w:t>
      </w:r>
    </w:p>
    <w:p w:rsidR="00705688" w:rsidP="00705688" w14:paraId="42D4A53C" w14:textId="1651B074">
      <w:pPr>
        <w:pStyle w:val="ListParagraph"/>
        <w:numPr>
          <w:ilvl w:val="0"/>
          <w:numId w:val="30"/>
        </w:numPr>
        <w:spacing w:after="200"/>
        <w:rPr>
          <w:szCs w:val="24"/>
        </w:rPr>
      </w:pPr>
      <w:r w:rsidRPr="00705688">
        <w:rPr>
          <w:szCs w:val="24"/>
        </w:rPr>
        <w:t xml:space="preserve">An additional 6,262 hours are estimated when a newly eligible jurisdiction’s program moves from the developmental to implementation stage and performs the associated </w:t>
      </w:r>
      <w:r w:rsidR="006D1B01">
        <w:rPr>
          <w:szCs w:val="24"/>
        </w:rPr>
        <w:t xml:space="preserve">implementation stage </w:t>
      </w:r>
      <w:r w:rsidRPr="00705688">
        <w:rPr>
          <w:szCs w:val="24"/>
        </w:rPr>
        <w:t>activities.</w:t>
      </w:r>
    </w:p>
    <w:p w:rsidR="00934DCA" w:rsidP="00934DCA" w14:paraId="3EFA57CB" w14:textId="3A02DEB7">
      <w:pPr>
        <w:autoSpaceDE/>
        <w:autoSpaceDN/>
        <w:adjustRightInd/>
        <w:spacing w:after="240"/>
        <w:rPr>
          <w:color w:val="000000"/>
          <w:sz w:val="24"/>
          <w:szCs w:val="24"/>
        </w:rPr>
      </w:pPr>
      <w:bookmarkStart w:id="131" w:name="_Hlk119938653"/>
      <w:r w:rsidRPr="132B522A">
        <w:rPr>
          <w:sz w:val="24"/>
          <w:szCs w:val="24"/>
        </w:rPr>
        <w:t xml:space="preserve">The total respondent cost </w:t>
      </w:r>
      <w:r w:rsidRPr="132B522A" w:rsidR="00276639">
        <w:rPr>
          <w:sz w:val="24"/>
          <w:szCs w:val="24"/>
        </w:rPr>
        <w:t>increased</w:t>
      </w:r>
      <w:r w:rsidRPr="132B522A">
        <w:rPr>
          <w:sz w:val="24"/>
          <w:szCs w:val="24"/>
        </w:rPr>
        <w:t xml:space="preserve"> </w:t>
      </w:r>
      <w:bookmarkStart w:id="132" w:name="_Hlk119939015"/>
      <w:r w:rsidRPr="132B522A">
        <w:rPr>
          <w:sz w:val="24"/>
          <w:szCs w:val="24"/>
        </w:rPr>
        <w:t>by $</w:t>
      </w:r>
      <w:r w:rsidR="00250184">
        <w:rPr>
          <w:sz w:val="24"/>
          <w:szCs w:val="24"/>
        </w:rPr>
        <w:t>7.</w:t>
      </w:r>
      <w:r w:rsidR="001A5A56">
        <w:rPr>
          <w:sz w:val="24"/>
          <w:szCs w:val="24"/>
        </w:rPr>
        <w:t>4</w:t>
      </w:r>
      <w:r w:rsidR="00250184">
        <w:rPr>
          <w:sz w:val="24"/>
          <w:szCs w:val="24"/>
        </w:rPr>
        <w:t>5</w:t>
      </w:r>
      <w:r w:rsidR="001A5A56">
        <w:rPr>
          <w:sz w:val="24"/>
          <w:szCs w:val="24"/>
        </w:rPr>
        <w:t xml:space="preserve">9 </w:t>
      </w:r>
      <w:r w:rsidRPr="132B522A" w:rsidR="00276639">
        <w:rPr>
          <w:sz w:val="24"/>
          <w:szCs w:val="24"/>
        </w:rPr>
        <w:t>M</w:t>
      </w:r>
      <w:r w:rsidR="00082DE6">
        <w:rPr>
          <w:sz w:val="24"/>
          <w:szCs w:val="24"/>
        </w:rPr>
        <w:t xml:space="preserve"> </w:t>
      </w:r>
      <w:r w:rsidRPr="132B522A" w:rsidR="00705688">
        <w:rPr>
          <w:sz w:val="24"/>
          <w:szCs w:val="24"/>
        </w:rPr>
        <w:t xml:space="preserve">(from $14,865,812 to </w:t>
      </w:r>
      <w:r w:rsidRPr="132B522A" w:rsidR="00482D5C">
        <w:rPr>
          <w:sz w:val="24"/>
          <w:szCs w:val="24"/>
        </w:rPr>
        <w:t>$</w:t>
      </w:r>
      <w:r w:rsidR="00250184">
        <w:rPr>
          <w:sz w:val="24"/>
          <w:szCs w:val="24"/>
        </w:rPr>
        <w:t>22,325,155</w:t>
      </w:r>
      <w:r w:rsidRPr="132B522A" w:rsidR="00705688">
        <w:rPr>
          <w:sz w:val="24"/>
          <w:szCs w:val="24"/>
        </w:rPr>
        <w:t>)</w:t>
      </w:r>
      <w:r w:rsidRPr="132B522A" w:rsidR="006635A0">
        <w:rPr>
          <w:sz w:val="24"/>
          <w:szCs w:val="24"/>
        </w:rPr>
        <w:t>.</w:t>
      </w:r>
      <w:r w:rsidRPr="132B522A">
        <w:rPr>
          <w:sz w:val="24"/>
          <w:szCs w:val="24"/>
        </w:rPr>
        <w:t xml:space="preserve"> </w:t>
      </w:r>
      <w:bookmarkEnd w:id="132"/>
      <w:r w:rsidRPr="132B522A">
        <w:rPr>
          <w:sz w:val="24"/>
          <w:szCs w:val="24"/>
        </w:rPr>
        <w:t xml:space="preserve">The </w:t>
      </w:r>
      <w:r w:rsidRPr="132B522A" w:rsidR="006D3EFA">
        <w:rPr>
          <w:sz w:val="24"/>
          <w:szCs w:val="24"/>
        </w:rPr>
        <w:t>increase</w:t>
      </w:r>
      <w:r w:rsidRPr="132B522A">
        <w:rPr>
          <w:sz w:val="24"/>
          <w:szCs w:val="24"/>
        </w:rPr>
        <w:t xml:space="preserve"> in cost is </w:t>
      </w:r>
      <w:r w:rsidRPr="132B522A" w:rsidR="006D3EFA">
        <w:rPr>
          <w:sz w:val="24"/>
          <w:szCs w:val="24"/>
        </w:rPr>
        <w:t xml:space="preserve">due to the changes </w:t>
      </w:r>
      <w:r w:rsidRPr="132B522A" w:rsidR="006635A0">
        <w:rPr>
          <w:sz w:val="24"/>
          <w:szCs w:val="24"/>
        </w:rPr>
        <w:t>in the ICR</w:t>
      </w:r>
      <w:r w:rsidRPr="132B522A" w:rsidR="00A90757">
        <w:rPr>
          <w:sz w:val="24"/>
          <w:szCs w:val="24"/>
        </w:rPr>
        <w:t xml:space="preserve"> </w:t>
      </w:r>
      <w:r w:rsidRPr="132B522A" w:rsidR="006D3EFA">
        <w:rPr>
          <w:sz w:val="24"/>
          <w:szCs w:val="24"/>
        </w:rPr>
        <w:t xml:space="preserve">described </w:t>
      </w:r>
      <w:r w:rsidRPr="132B522A" w:rsidR="00705688">
        <w:rPr>
          <w:sz w:val="24"/>
          <w:szCs w:val="24"/>
        </w:rPr>
        <w:t>above</w:t>
      </w:r>
      <w:r w:rsidRPr="132B522A" w:rsidR="00A56756">
        <w:rPr>
          <w:sz w:val="24"/>
          <w:szCs w:val="24"/>
        </w:rPr>
        <w:t xml:space="preserve">, a </w:t>
      </w:r>
      <w:r w:rsidRPr="132B522A" w:rsidR="009610BB">
        <w:rPr>
          <w:sz w:val="24"/>
          <w:szCs w:val="24"/>
        </w:rPr>
        <w:t>14%</w:t>
      </w:r>
      <w:r w:rsidRPr="132B522A" w:rsidR="00957BD0">
        <w:rPr>
          <w:sz w:val="24"/>
          <w:szCs w:val="24"/>
        </w:rPr>
        <w:t xml:space="preserve"> increase in the cost to analyze a water sample (from $35 to $40), and</w:t>
      </w:r>
      <w:r w:rsidRPr="132B522A">
        <w:rPr>
          <w:sz w:val="24"/>
          <w:szCs w:val="24"/>
        </w:rPr>
        <w:t xml:space="preserve"> slight increases in the salary rates</w:t>
      </w:r>
      <w:r w:rsidRPr="132B522A" w:rsidR="00705688">
        <w:rPr>
          <w:sz w:val="24"/>
          <w:szCs w:val="24"/>
        </w:rPr>
        <w:t xml:space="preserve">. However, this increase is </w:t>
      </w:r>
      <w:r w:rsidRPr="132B522A" w:rsidR="009D3589">
        <w:rPr>
          <w:sz w:val="24"/>
          <w:szCs w:val="24"/>
        </w:rPr>
        <w:t>offset by a $</w:t>
      </w:r>
      <w:r w:rsidRPr="132B522A" w:rsidR="04D669FF">
        <w:rPr>
          <w:sz w:val="24"/>
          <w:szCs w:val="24"/>
        </w:rPr>
        <w:t>1.5</w:t>
      </w:r>
      <w:r w:rsidRPr="132B522A" w:rsidR="00750E52">
        <w:rPr>
          <w:sz w:val="24"/>
          <w:szCs w:val="24"/>
        </w:rPr>
        <w:t>M</w:t>
      </w:r>
      <w:r w:rsidRPr="132B522A" w:rsidR="009D3589">
        <w:rPr>
          <w:sz w:val="24"/>
          <w:szCs w:val="24"/>
        </w:rPr>
        <w:t xml:space="preserve"> decrease in</w:t>
      </w:r>
      <w:r w:rsidRPr="132B522A">
        <w:rPr>
          <w:sz w:val="24"/>
          <w:szCs w:val="24"/>
        </w:rPr>
        <w:t xml:space="preserve"> </w:t>
      </w:r>
      <w:r w:rsidRPr="132B522A" w:rsidR="00561A5D">
        <w:rPr>
          <w:sz w:val="24"/>
          <w:szCs w:val="24"/>
        </w:rPr>
        <w:t>respondent</w:t>
      </w:r>
      <w:r w:rsidRPr="132B522A">
        <w:rPr>
          <w:sz w:val="24"/>
          <w:szCs w:val="24"/>
        </w:rPr>
        <w:t xml:space="preserve"> O&amp;M </w:t>
      </w:r>
      <w:r w:rsidRPr="132B522A" w:rsidR="009D3589">
        <w:rPr>
          <w:sz w:val="24"/>
          <w:szCs w:val="24"/>
        </w:rPr>
        <w:t>cost</w:t>
      </w:r>
      <w:r w:rsidRPr="132B522A" w:rsidR="00705688">
        <w:rPr>
          <w:sz w:val="24"/>
          <w:szCs w:val="24"/>
        </w:rPr>
        <w:t xml:space="preserve"> (from $11,063,780 to $</w:t>
      </w:r>
      <w:r w:rsidRPr="132B522A" w:rsidR="3E15ECB2">
        <w:rPr>
          <w:sz w:val="24"/>
          <w:szCs w:val="24"/>
        </w:rPr>
        <w:t>9,515,800</w:t>
      </w:r>
      <w:r w:rsidRPr="132B522A" w:rsidR="00705688">
        <w:rPr>
          <w:sz w:val="24"/>
          <w:szCs w:val="24"/>
        </w:rPr>
        <w:t>)</w:t>
      </w:r>
      <w:r w:rsidRPr="132B522A" w:rsidR="003F7080">
        <w:rPr>
          <w:sz w:val="24"/>
          <w:szCs w:val="24"/>
        </w:rPr>
        <w:t>, in spite of the increase in sample analysis cost</w:t>
      </w:r>
      <w:r w:rsidRPr="132B522A" w:rsidR="009D3589">
        <w:rPr>
          <w:sz w:val="24"/>
          <w:szCs w:val="24"/>
        </w:rPr>
        <w:t xml:space="preserve">. This decrease </w:t>
      </w:r>
      <w:r w:rsidRPr="132B522A" w:rsidR="00705688">
        <w:rPr>
          <w:sz w:val="24"/>
          <w:szCs w:val="24"/>
        </w:rPr>
        <w:t xml:space="preserve">in O&amp;M cost </w:t>
      </w:r>
      <w:r w:rsidRPr="132B522A" w:rsidR="009D3589">
        <w:rPr>
          <w:sz w:val="24"/>
          <w:szCs w:val="24"/>
        </w:rPr>
        <w:t xml:space="preserve">resulted from use of </w:t>
      </w:r>
      <w:r w:rsidRPr="132B522A" w:rsidR="006D3EFA">
        <w:rPr>
          <w:color w:val="000000" w:themeColor="text1"/>
          <w:sz w:val="24"/>
          <w:szCs w:val="24"/>
        </w:rPr>
        <w:t>actual respondent sampling</w:t>
      </w:r>
      <w:r w:rsidRPr="132B522A" w:rsidR="007D004F">
        <w:rPr>
          <w:color w:val="000000" w:themeColor="text1"/>
          <w:sz w:val="24"/>
          <w:szCs w:val="24"/>
        </w:rPr>
        <w:t xml:space="preserve"> frequency </w:t>
      </w:r>
      <w:r w:rsidRPr="132B522A" w:rsidR="006D3EFA">
        <w:rPr>
          <w:color w:val="000000" w:themeColor="text1"/>
          <w:sz w:val="24"/>
          <w:szCs w:val="24"/>
        </w:rPr>
        <w:t xml:space="preserve">rather than </w:t>
      </w:r>
      <w:r w:rsidR="00042B5E">
        <w:rPr>
          <w:color w:val="000000" w:themeColor="text1"/>
          <w:sz w:val="24"/>
          <w:szCs w:val="24"/>
        </w:rPr>
        <w:t xml:space="preserve">projected </w:t>
      </w:r>
      <w:r w:rsidRPr="132B522A" w:rsidR="00705688">
        <w:rPr>
          <w:color w:val="000000" w:themeColor="text1"/>
          <w:sz w:val="24"/>
          <w:szCs w:val="24"/>
        </w:rPr>
        <w:t xml:space="preserve">sampling </w:t>
      </w:r>
      <w:r w:rsidR="00042B5E">
        <w:rPr>
          <w:color w:val="000000" w:themeColor="text1"/>
          <w:sz w:val="24"/>
          <w:szCs w:val="24"/>
        </w:rPr>
        <w:t>frequ</w:t>
      </w:r>
      <w:r w:rsidR="00D74735">
        <w:rPr>
          <w:color w:val="000000" w:themeColor="text1"/>
          <w:sz w:val="24"/>
          <w:szCs w:val="24"/>
        </w:rPr>
        <w:t>e</w:t>
      </w:r>
      <w:r w:rsidR="00042B5E">
        <w:rPr>
          <w:color w:val="000000" w:themeColor="text1"/>
          <w:sz w:val="24"/>
          <w:szCs w:val="24"/>
        </w:rPr>
        <w:t>ncy</w:t>
      </w:r>
      <w:r w:rsidR="006D1B01">
        <w:rPr>
          <w:color w:val="000000" w:themeColor="text1"/>
          <w:sz w:val="24"/>
          <w:szCs w:val="24"/>
        </w:rPr>
        <w:t xml:space="preserve"> </w:t>
      </w:r>
      <w:r w:rsidRPr="132B522A" w:rsidR="006D3EFA">
        <w:rPr>
          <w:color w:val="000000" w:themeColor="text1"/>
          <w:sz w:val="24"/>
          <w:szCs w:val="24"/>
        </w:rPr>
        <w:t>estimates</w:t>
      </w:r>
      <w:r w:rsidRPr="132B522A" w:rsidR="00705688">
        <w:rPr>
          <w:color w:val="000000" w:themeColor="text1"/>
          <w:sz w:val="24"/>
          <w:szCs w:val="24"/>
        </w:rPr>
        <w:t xml:space="preserve"> based on</w:t>
      </w:r>
      <w:r w:rsidRPr="132B522A" w:rsidR="006D3EFA">
        <w:rPr>
          <w:color w:val="000000" w:themeColor="text1"/>
          <w:sz w:val="24"/>
          <w:szCs w:val="24"/>
        </w:rPr>
        <w:t xml:space="preserve"> assuming water at every beach would be analyzed twice a week.</w:t>
      </w:r>
    </w:p>
    <w:p w:rsidR="00DA31DD" w:rsidRPr="00AB2A1C" w:rsidP="00DA31DD" w14:paraId="6053C12F" w14:textId="12B23F31">
      <w:pPr>
        <w:autoSpaceDE/>
        <w:autoSpaceDN/>
        <w:adjustRightInd/>
        <w:rPr>
          <w:szCs w:val="24"/>
        </w:rPr>
      </w:pPr>
      <w:bookmarkStart w:id="133" w:name="_Hlk118625751"/>
      <w:bookmarkStart w:id="134" w:name="_Hlk119933481"/>
      <w:bookmarkEnd w:id="131"/>
      <w:r>
        <w:rPr>
          <w:color w:val="000000"/>
          <w:sz w:val="24"/>
          <w:szCs w:val="24"/>
        </w:rPr>
        <w:t xml:space="preserve">The </w:t>
      </w:r>
      <w:r w:rsidR="007D004F">
        <w:rPr>
          <w:color w:val="000000"/>
          <w:sz w:val="24"/>
          <w:szCs w:val="24"/>
        </w:rPr>
        <w:t xml:space="preserve">Agency burden increased by </w:t>
      </w:r>
      <w:r w:rsidR="00894304">
        <w:rPr>
          <w:color w:val="000000"/>
          <w:sz w:val="24"/>
          <w:szCs w:val="24"/>
        </w:rPr>
        <w:t>117</w:t>
      </w:r>
      <w:r w:rsidR="007D004F">
        <w:rPr>
          <w:color w:val="000000"/>
          <w:sz w:val="24"/>
          <w:szCs w:val="24"/>
        </w:rPr>
        <w:t xml:space="preserve"> hours </w:t>
      </w:r>
      <w:r w:rsidR="00422BD6">
        <w:rPr>
          <w:color w:val="000000"/>
          <w:sz w:val="24"/>
          <w:szCs w:val="24"/>
        </w:rPr>
        <w:t xml:space="preserve">(from </w:t>
      </w:r>
      <w:r w:rsidR="00E1781C">
        <w:rPr>
          <w:color w:val="000000"/>
          <w:sz w:val="24"/>
          <w:szCs w:val="24"/>
        </w:rPr>
        <w:t>3,315</w:t>
      </w:r>
      <w:r w:rsidR="00422BD6">
        <w:rPr>
          <w:color w:val="000000"/>
          <w:sz w:val="24"/>
          <w:szCs w:val="24"/>
        </w:rPr>
        <w:t xml:space="preserve"> to 3,</w:t>
      </w:r>
      <w:r w:rsidR="00E61567">
        <w:rPr>
          <w:color w:val="000000"/>
          <w:sz w:val="24"/>
          <w:szCs w:val="24"/>
        </w:rPr>
        <w:t>432</w:t>
      </w:r>
      <w:bookmarkEnd w:id="133"/>
      <w:r w:rsidR="00422BD6">
        <w:rPr>
          <w:color w:val="000000"/>
          <w:sz w:val="24"/>
          <w:szCs w:val="24"/>
        </w:rPr>
        <w:t xml:space="preserve">) </w:t>
      </w:r>
      <w:r w:rsidR="00D74CCE">
        <w:rPr>
          <w:color w:val="000000"/>
          <w:sz w:val="24"/>
          <w:szCs w:val="24"/>
        </w:rPr>
        <w:t xml:space="preserve">to fully </w:t>
      </w:r>
      <w:r w:rsidR="007D004F">
        <w:rPr>
          <w:color w:val="000000"/>
          <w:sz w:val="24"/>
          <w:szCs w:val="24"/>
        </w:rPr>
        <w:t xml:space="preserve">capture </w:t>
      </w:r>
      <w:r w:rsidR="00D74CCE">
        <w:rPr>
          <w:color w:val="000000"/>
          <w:sz w:val="24"/>
          <w:szCs w:val="24"/>
        </w:rPr>
        <w:t>the following: additional</w:t>
      </w:r>
      <w:r w:rsidR="007D004F">
        <w:rPr>
          <w:color w:val="000000"/>
          <w:sz w:val="24"/>
          <w:szCs w:val="24"/>
        </w:rPr>
        <w:t xml:space="preserve"> EPA Headquarters labor associated with </w:t>
      </w:r>
      <w:r w:rsidR="00F13B60">
        <w:rPr>
          <w:color w:val="000000"/>
          <w:sz w:val="24"/>
          <w:szCs w:val="24"/>
        </w:rPr>
        <w:t>administration of</w:t>
      </w:r>
      <w:r w:rsidR="00025D05">
        <w:rPr>
          <w:color w:val="000000"/>
          <w:sz w:val="24"/>
          <w:szCs w:val="24"/>
        </w:rPr>
        <w:t xml:space="preserve"> </w:t>
      </w:r>
      <w:r w:rsidR="007D004F">
        <w:rPr>
          <w:color w:val="000000"/>
          <w:sz w:val="24"/>
          <w:szCs w:val="24"/>
        </w:rPr>
        <w:t xml:space="preserve">the </w:t>
      </w:r>
      <w:r w:rsidR="0059248B">
        <w:rPr>
          <w:color w:val="000000"/>
          <w:sz w:val="24"/>
          <w:szCs w:val="24"/>
        </w:rPr>
        <w:t>B</w:t>
      </w:r>
      <w:r w:rsidR="00785DB8">
        <w:rPr>
          <w:color w:val="000000"/>
          <w:sz w:val="24"/>
          <w:szCs w:val="24"/>
        </w:rPr>
        <w:t>EACH Act</w:t>
      </w:r>
      <w:r w:rsidR="007D004F">
        <w:rPr>
          <w:color w:val="000000"/>
          <w:sz w:val="24"/>
          <w:szCs w:val="24"/>
        </w:rPr>
        <w:t xml:space="preserve"> </w:t>
      </w:r>
      <w:r w:rsidR="0059248B">
        <w:rPr>
          <w:color w:val="000000"/>
          <w:sz w:val="24"/>
          <w:szCs w:val="24"/>
        </w:rPr>
        <w:t>G</w:t>
      </w:r>
      <w:r w:rsidR="007D004F">
        <w:rPr>
          <w:color w:val="000000"/>
          <w:sz w:val="24"/>
          <w:szCs w:val="24"/>
        </w:rPr>
        <w:t xml:space="preserve">rant </w:t>
      </w:r>
      <w:r w:rsidR="00380BB0">
        <w:rPr>
          <w:color w:val="000000"/>
          <w:sz w:val="24"/>
          <w:szCs w:val="24"/>
        </w:rPr>
        <w:t>P</w:t>
      </w:r>
      <w:r w:rsidR="007D004F">
        <w:rPr>
          <w:color w:val="000000"/>
          <w:sz w:val="24"/>
          <w:szCs w:val="24"/>
        </w:rPr>
        <w:t>rogram</w:t>
      </w:r>
      <w:r w:rsidR="0077456C">
        <w:rPr>
          <w:color w:val="000000"/>
          <w:sz w:val="24"/>
          <w:szCs w:val="24"/>
        </w:rPr>
        <w:t>,</w:t>
      </w:r>
      <w:r w:rsidR="00400F89">
        <w:rPr>
          <w:color w:val="000000"/>
          <w:sz w:val="24"/>
          <w:szCs w:val="24"/>
        </w:rPr>
        <w:t xml:space="preserve"> such as calculating grant allocation</w:t>
      </w:r>
      <w:r w:rsidR="00340481">
        <w:rPr>
          <w:color w:val="000000"/>
          <w:sz w:val="24"/>
          <w:szCs w:val="24"/>
        </w:rPr>
        <w:t>s</w:t>
      </w:r>
      <w:r w:rsidR="000B346D">
        <w:rPr>
          <w:color w:val="000000"/>
          <w:sz w:val="24"/>
          <w:szCs w:val="24"/>
        </w:rPr>
        <w:t xml:space="preserve"> and creating </w:t>
      </w:r>
      <w:r w:rsidR="00541F5F">
        <w:rPr>
          <w:color w:val="000000"/>
          <w:sz w:val="24"/>
          <w:szCs w:val="24"/>
        </w:rPr>
        <w:t>funding recommendation</w:t>
      </w:r>
      <w:r w:rsidR="00290787">
        <w:rPr>
          <w:color w:val="000000"/>
          <w:sz w:val="24"/>
          <w:szCs w:val="24"/>
        </w:rPr>
        <w:t xml:space="preserve"> templates</w:t>
      </w:r>
      <w:r w:rsidR="007D004F">
        <w:rPr>
          <w:color w:val="000000"/>
          <w:sz w:val="24"/>
          <w:szCs w:val="24"/>
        </w:rPr>
        <w:t xml:space="preserve">. In addition, the Agency O&amp;M cost </w:t>
      </w:r>
      <w:r w:rsidR="00D45422">
        <w:rPr>
          <w:color w:val="000000"/>
          <w:sz w:val="24"/>
          <w:szCs w:val="24"/>
        </w:rPr>
        <w:t>increased in order to provide</w:t>
      </w:r>
      <w:r w:rsidR="00422BD6">
        <w:rPr>
          <w:color w:val="000000"/>
          <w:sz w:val="24"/>
          <w:szCs w:val="24"/>
        </w:rPr>
        <w:t xml:space="preserve"> </w:t>
      </w:r>
      <w:r w:rsidR="007D004F">
        <w:rPr>
          <w:color w:val="000000"/>
          <w:sz w:val="24"/>
          <w:szCs w:val="24"/>
        </w:rPr>
        <w:t xml:space="preserve">contractor </w:t>
      </w:r>
      <w:r w:rsidR="004A0703">
        <w:rPr>
          <w:color w:val="000000"/>
          <w:sz w:val="24"/>
          <w:szCs w:val="24"/>
        </w:rPr>
        <w:t xml:space="preserve">support </w:t>
      </w:r>
      <w:r w:rsidR="00422BD6">
        <w:rPr>
          <w:color w:val="000000"/>
          <w:sz w:val="24"/>
          <w:szCs w:val="24"/>
        </w:rPr>
        <w:t>to</w:t>
      </w:r>
      <w:r w:rsidR="007D004F">
        <w:rPr>
          <w:color w:val="000000"/>
          <w:sz w:val="24"/>
          <w:szCs w:val="24"/>
        </w:rPr>
        <w:t xml:space="preserve"> jurisdictions </w:t>
      </w:r>
      <w:r w:rsidR="00422BD6">
        <w:rPr>
          <w:color w:val="000000"/>
          <w:sz w:val="24"/>
          <w:szCs w:val="24"/>
        </w:rPr>
        <w:t xml:space="preserve">on </w:t>
      </w:r>
      <w:r w:rsidR="007D004F">
        <w:rPr>
          <w:color w:val="000000"/>
          <w:sz w:val="24"/>
          <w:szCs w:val="24"/>
        </w:rPr>
        <w:t>data submission</w:t>
      </w:r>
      <w:r w:rsidR="00422BD6">
        <w:rPr>
          <w:color w:val="000000"/>
          <w:sz w:val="24"/>
          <w:szCs w:val="24"/>
        </w:rPr>
        <w:t>s</w:t>
      </w:r>
      <w:r w:rsidR="007D004F">
        <w:rPr>
          <w:color w:val="000000"/>
          <w:sz w:val="24"/>
          <w:szCs w:val="24"/>
        </w:rPr>
        <w:t xml:space="preserve"> and</w:t>
      </w:r>
      <w:r w:rsidR="00422BD6">
        <w:rPr>
          <w:color w:val="000000"/>
          <w:sz w:val="24"/>
          <w:szCs w:val="24"/>
        </w:rPr>
        <w:t xml:space="preserve"> </w:t>
      </w:r>
      <w:r w:rsidR="003C35B6">
        <w:rPr>
          <w:color w:val="000000"/>
          <w:sz w:val="24"/>
          <w:szCs w:val="24"/>
        </w:rPr>
        <w:t xml:space="preserve">to </w:t>
      </w:r>
      <w:r w:rsidR="007D004F">
        <w:rPr>
          <w:color w:val="000000"/>
          <w:sz w:val="24"/>
          <w:szCs w:val="24"/>
        </w:rPr>
        <w:t xml:space="preserve"> maintain the statut</w:t>
      </w:r>
      <w:r w:rsidR="002758F7">
        <w:rPr>
          <w:color w:val="000000"/>
          <w:sz w:val="24"/>
          <w:szCs w:val="24"/>
        </w:rPr>
        <w:t xml:space="preserve">orily </w:t>
      </w:r>
      <w:r w:rsidR="007D004F">
        <w:rPr>
          <w:color w:val="000000"/>
          <w:sz w:val="24"/>
          <w:szCs w:val="24"/>
        </w:rPr>
        <w:t>required database</w:t>
      </w:r>
      <w:r w:rsidR="00D74CCE">
        <w:rPr>
          <w:color w:val="000000"/>
          <w:sz w:val="24"/>
          <w:szCs w:val="24"/>
        </w:rPr>
        <w:t>.</w:t>
      </w:r>
    </w:p>
    <w:p w:rsidR="00DA31DD" w:rsidP="00DA31DD" w14:paraId="0827007E" w14:textId="2061AFBC">
      <w:pPr>
        <w:pStyle w:val="Heading2"/>
      </w:pPr>
      <w:bookmarkStart w:id="135" w:name="_1__38_"/>
      <w:bookmarkStart w:id="136" w:name="_Toc296531040"/>
      <w:bookmarkStart w:id="137" w:name="_Toc431211682"/>
      <w:bookmarkStart w:id="138" w:name="_Toc105018612"/>
      <w:bookmarkEnd w:id="127"/>
      <w:bookmarkEnd w:id="135"/>
      <w:bookmarkEnd w:id="134"/>
      <w:r>
        <w:t>6(</w:t>
      </w:r>
      <w:r w:rsidR="00A40500">
        <w:t>f</w:t>
      </w:r>
      <w:r>
        <w:t>)</w:t>
      </w:r>
      <w:r>
        <w:tab/>
        <w:t>Burden Statement</w:t>
      </w:r>
      <w:bookmarkEnd w:id="136"/>
      <w:bookmarkEnd w:id="137"/>
      <w:bookmarkEnd w:id="138"/>
    </w:p>
    <w:p w:rsidR="00DA31DD" w:rsidRPr="00B036C4" w:rsidP="00DA31DD" w14:paraId="5B4AA223" w14:textId="5B2EEC54">
      <w:pPr>
        <w:pStyle w:val="Bullet-last"/>
      </w:pPr>
      <w:r w:rsidRPr="00C27305">
        <w:t xml:space="preserve">The annual </w:t>
      </w:r>
      <w:r w:rsidR="00725CA5">
        <w:t xml:space="preserve">total </w:t>
      </w:r>
      <w:r>
        <w:t>respondent</w:t>
      </w:r>
      <w:r w:rsidRPr="00C27305">
        <w:t xml:space="preserve"> reporting and recordkeeping burden for this collection of information is estimated to </w:t>
      </w:r>
      <w:r w:rsidR="007A6448">
        <w:t>be</w:t>
      </w:r>
      <w:r w:rsidRPr="00C27305">
        <w:t xml:space="preserve"> </w:t>
      </w:r>
      <w:r w:rsidR="007D467C">
        <w:t>319,522</w:t>
      </w:r>
      <w:r>
        <w:t xml:space="preserve"> </w:t>
      </w:r>
      <w:r w:rsidRPr="00C27305">
        <w:t xml:space="preserve">hours. </w:t>
      </w:r>
      <w:r w:rsidRPr="002449C1">
        <w:t>Burden means</w:t>
      </w:r>
      <w:r w:rsidRPr="00B369CA">
        <w:t xml:space="preserve"> the total time, effort, or financial resources expended by persons to generate, maintain, retain, or disclose or provide information to or for a federal agency</w:t>
      </w:r>
      <w:r>
        <w:t xml:space="preserve">. </w:t>
      </w:r>
      <w:r w:rsidRPr="00B369CA">
        <w:t>That includes the time needed to review</w:t>
      </w:r>
      <w:r>
        <w:t xml:space="preserve"> instructions; develop, acquire, install, and use technology and systems for the purposes of collecting, validating, and verifying information, processing and maintaining information, and disclosing and providing information; </w:t>
      </w:r>
      <w:r>
        <w:t>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w:t>
      </w:r>
      <w:r w:rsidRPr="00B036C4">
        <w:t>nformation unless it displays a currently valid OMB control number. The OMB control numbers for EPA’s regulations are listed in 40 CFR Part 9 and 48 CFR Part 15.</w:t>
      </w:r>
    </w:p>
    <w:p w:rsidR="00EB2421" w:rsidRPr="00FE7FD3" w:rsidP="0096046A" w14:paraId="1C7B3EAE" w14:textId="46EFB1D0">
      <w:pPr>
        <w:pStyle w:val="Bullet-last"/>
      </w:pPr>
      <w:r w:rsidRPr="50179B47">
        <w:t xml:space="preserve">To comment on the Agency’s need for this information, the accuracy of the provided burden estimates, and any suggested methods for minimizing respondent burden, including the use of automated collection techniques, </w:t>
      </w:r>
      <w:r w:rsidR="00EC2C03">
        <w:t>EPA</w:t>
      </w:r>
      <w:r w:rsidRPr="50179B47">
        <w:t xml:space="preserve"> has established a public docket for this ICR under Docket ID No. EPA-HQ-OW-2015-0641, which is available for public viewing at the Water Docket in the EPA Docket Center (EPA/DC), EPA West, Room 3334, 1301 Constitution Ave., NW, Washington, DC. The EPA Docket Center Public Reading Room is open from 8:30 a.m. to 4:30 p.m., Monday through Friday, excluding legal holidays. The telephone number for the Water Docket is (202) 566-2426. An electronic version of the public docket is available through </w:t>
      </w:r>
      <w:r w:rsidRPr="00FE7FD3">
        <w:t>Regulations.gov at http://www.regulations.gov/. To submit or view public comments, access the index listing of the contents of the public docket, and to access those documents in the public docket that are available electronically, use the Regulations.gov website. Once there, click search, then key in the docket ID number identified above. Also, you can send comments to the Office of Information and Regulatory Affairs, Office of Management and Budget via oira_submission@omb.eop.gov, Attention: Desk Office for the EPA. Please include the EPA Docket ID No. EPA-HQ-OW-2015-0641and OMB control number 2040-0244 in any correspondence.</w:t>
      </w:r>
    </w:p>
    <w:p w:rsidR="00653724" w:rsidP="006C7D07" w14:paraId="2C078E63" w14:textId="0A1E547C">
      <w:pPr>
        <w:pStyle w:val="Bullet-last"/>
      </w:pPr>
      <w:r w:rsidRPr="00FE7FD3">
        <w:t xml:space="preserve">See the accompanying </w:t>
      </w:r>
      <w:r w:rsidRPr="0096046A">
        <w:rPr>
          <w:i/>
          <w:iCs/>
        </w:rPr>
        <w:t>Federal Register</w:t>
      </w:r>
      <w:r w:rsidRPr="00FE7FD3">
        <w:t xml:space="preserve"> notice for instructions to provide comments on the Agency’s need for this information, the accuracy of the provided burden estimates, and any suggested methods for minimizing respondent burden, including the use of automated collection techniques</w:t>
      </w:r>
      <w:r w:rsidRPr="50179B47" w:rsidR="008F651E">
        <w:t>.</w:t>
      </w:r>
    </w:p>
    <w:sectPr w:rsidSect="00F22B0E">
      <w:headerReference w:type="default" r:id="rId13"/>
      <w:footerReference w:type="defaul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31DD" w:rsidP="00F22B0E" w14:paraId="109629E9" w14:textId="77777777">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152400</wp:posOffset>
              </wp:positionV>
              <wp:extent cx="0" cy="0"/>
              <wp:effectExtent l="19050" t="19685" r="19050" b="18415"/>
              <wp:wrapNone/>
              <wp:docPr id="1"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4384">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49" style="mso-height-percent:0;mso-height-relative:page;mso-position-horizontal-relative:margin;mso-width-percent:0;mso-width-relative:page;mso-wrap-distance-bottom:0;mso-wrap-distance-left:9pt;mso-wrap-distance-right:9pt;mso-wrap-distance-top:0;mso-wrap-style:square;position:absolute;visibility:visible;z-index:251659264" from="0,12pt" to="0,12pt" o:allowincell="f" strokecolor="#020000" strokeweight="1.92pt">
              <w10:wrap anchorx="margin"/>
            </v:line>
          </w:pict>
        </mc:Fallback>
      </mc:AlternateConten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color w:val="2B579A"/>
        <w:shd w:val="clear" w:color="auto" w:fill="E6E6E6"/>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31DD" w:rsidP="00F22B0E" w14:paraId="5C3570EB" w14:textId="10F9D8B0">
    <w:pPr>
      <w:pStyle w:val="Header"/>
    </w:pPr>
    <w:r>
      <w:tab/>
    </w:r>
    <w:r w:rsidRPr="000C694A">
      <w:rPr>
        <w:color w:val="2B579A"/>
        <w:sz w:val="22"/>
        <w:szCs w:val="22"/>
        <w:shd w:val="clear" w:color="auto" w:fill="E6E6E6"/>
      </w:rPr>
      <w:fldChar w:fldCharType="begin"/>
    </w:r>
    <w:r w:rsidRPr="000C694A">
      <w:rPr>
        <w:sz w:val="22"/>
        <w:szCs w:val="22"/>
      </w:rPr>
      <w:instrText xml:space="preserve"> PAGE   \* MERGEFORMAT </w:instrText>
    </w:r>
    <w:r w:rsidRPr="000C694A">
      <w:rPr>
        <w:color w:val="2B579A"/>
        <w:sz w:val="22"/>
        <w:szCs w:val="22"/>
        <w:shd w:val="clear" w:color="auto" w:fill="E6E6E6"/>
      </w:rPr>
      <w:fldChar w:fldCharType="separate"/>
    </w:r>
    <w:r>
      <w:rPr>
        <w:noProof/>
        <w:sz w:val="22"/>
        <w:szCs w:val="22"/>
      </w:rPr>
      <w:t>1</w:t>
    </w:r>
    <w:r w:rsidRPr="000C694A">
      <w:rPr>
        <w:color w:val="2B579A"/>
        <w:sz w:val="22"/>
        <w:szCs w:val="22"/>
        <w:shd w:val="clear" w:color="auto" w:fill="E6E6E6"/>
      </w:rPr>
      <w:fldChar w:fldCharType="end"/>
    </w:r>
    <w:r>
      <w:tab/>
    </w:r>
    <w:r>
      <w:rPr>
        <w:color w:val="2B579A"/>
        <w:shd w:val="clear" w:color="auto" w:fill="E6E6E6"/>
      </w:rPr>
      <w:fldChar w:fldCharType="begin"/>
    </w:r>
    <w:r>
      <w:instrText xml:space="preserve"> DATE \@ "M/d/yyyy" </w:instrText>
    </w:r>
    <w:r>
      <w:rPr>
        <w:color w:val="2B579A"/>
        <w:shd w:val="clear" w:color="auto" w:fill="E6E6E6"/>
      </w:rPr>
      <w:fldChar w:fldCharType="separate"/>
    </w:r>
    <w:r w:rsidR="00C621BA">
      <w:rPr>
        <w:noProof/>
      </w:rPr>
      <w:t>11/28/2022</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9729446"/>
      <w:docPartObj>
        <w:docPartGallery w:val="Page Numbers (Bottom of Page)"/>
        <w:docPartUnique/>
      </w:docPartObj>
    </w:sdtPr>
    <w:sdtEndPr>
      <w:rPr>
        <w:noProof/>
      </w:rPr>
    </w:sdtEndPr>
    <w:sdtContent>
      <w:p w:rsidR="00F22B0E" w:rsidP="00F22B0E" w14:paraId="36460CBD" w14:textId="77777777">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5365" w:rsidP="00DA31DD" w14:paraId="128F232A" w14:textId="77777777">
      <w:r>
        <w:separator/>
      </w:r>
    </w:p>
  </w:footnote>
  <w:footnote w:type="continuationSeparator" w:id="1">
    <w:p w:rsidR="00265365" w:rsidP="00DA31DD" w14:paraId="1DB7ED96" w14:textId="77777777">
      <w:r>
        <w:continuationSeparator/>
      </w:r>
    </w:p>
  </w:footnote>
  <w:footnote w:type="continuationNotice" w:id="2">
    <w:p w:rsidR="00265365" w14:paraId="22C4415D" w14:textId="77777777"/>
  </w:footnote>
  <w:footnote w:id="3">
    <w:p w:rsidR="00DA31DD" w:rsidP="00DA31DD" w14:paraId="7D381529" w14:textId="77777777">
      <w:r w:rsidRPr="00DB16CA">
        <w:rPr>
          <w:rStyle w:val="CommentReference"/>
          <w:sz w:val="20"/>
          <w:szCs w:val="20"/>
          <w:vertAlign w:val="superscript"/>
        </w:rPr>
        <w:footnoteRef/>
      </w:r>
      <w:r>
        <w:t xml:space="preserve"> The BEACH Act (Public Law 106-284) defines coastal recreation waters as “(i) the Great Lakes; and (ii) marine coastal waters (including coastal estuaries) that are designated under section 303(c) by a State for use for swimming, bathing, surfing, or similar water contact activities.”</w:t>
      </w:r>
    </w:p>
  </w:footnote>
  <w:footnote w:id="4">
    <w:p w:rsidR="00F731B1" w14:paraId="31289037" w14:textId="6770CE8C">
      <w:pPr>
        <w:pStyle w:val="FootnoteText"/>
      </w:pPr>
      <w:r>
        <w:rPr>
          <w:rStyle w:val="FootnoteReference"/>
        </w:rPr>
        <w:footnoteRef/>
      </w:r>
      <w:r>
        <w:t xml:space="preserve"> </w:t>
      </w:r>
      <w:r w:rsidR="00280A97">
        <w:t>As discussed in the last ICR renewal</w:t>
      </w:r>
      <w:r w:rsidR="00070D54">
        <w:t xml:space="preserve"> in 2020</w:t>
      </w:r>
      <w:r w:rsidR="00280A97">
        <w:t xml:space="preserve">, </w:t>
      </w:r>
      <w:r w:rsidR="008C5C3E">
        <w:t>t</w:t>
      </w:r>
      <w:r w:rsidR="00471C8E">
        <w:t>he performance crit</w:t>
      </w:r>
      <w:r w:rsidR="00527674">
        <w:t xml:space="preserve">erion to submit </w:t>
      </w:r>
      <w:r w:rsidR="008C5C3E">
        <w:t>s</w:t>
      </w:r>
      <w:r w:rsidRPr="00562403" w:rsidR="00527674">
        <w:t xml:space="preserve">chedules for adoption of new or revised </w:t>
      </w:r>
      <w:r w:rsidR="00E8660B">
        <w:t>water quality standards</w:t>
      </w:r>
      <w:r w:rsidRPr="00562403" w:rsidR="00527674">
        <w:t xml:space="preserve"> and identification and use of a beach notification threshold</w:t>
      </w:r>
      <w:r w:rsidRPr="00562403" w:rsidR="00280A97">
        <w:t xml:space="preserve"> </w:t>
      </w:r>
      <w:r w:rsidRPr="00562403" w:rsidR="00562403">
        <w:t>i</w:t>
      </w:r>
      <w:r w:rsidRPr="00562403" w:rsidR="00280A97">
        <w:t xml:space="preserve">s no longer </w:t>
      </w:r>
      <w:r w:rsidR="00D21B72">
        <w:t>required</w:t>
      </w:r>
      <w:r w:rsidR="00EA71F4">
        <w:t xml:space="preserve"> for respondents</w:t>
      </w:r>
      <w:r w:rsidRPr="00562403" w:rsidR="00280A97">
        <w:t xml:space="preserve"> because </w:t>
      </w:r>
      <w:r w:rsidR="002D4C42">
        <w:t>existing grantees</w:t>
      </w:r>
      <w:r w:rsidRPr="00562403" w:rsidR="00280A97">
        <w:t xml:space="preserve"> have adopted </w:t>
      </w:r>
      <w:r w:rsidR="00A04E51">
        <w:t>appropriate</w:t>
      </w:r>
      <w:r w:rsidRPr="00562403" w:rsidR="00280A97">
        <w:t xml:space="preserve"> water quality standards for recreation and have identified beach notification</w:t>
      </w:r>
      <w:r w:rsidR="00451365">
        <w:t xml:space="preserve"> thresholds and any new grantee would have them </w:t>
      </w:r>
      <w:r w:rsidR="006D29F3">
        <w:t>in order</w:t>
      </w:r>
      <w:r w:rsidR="00451365">
        <w:t xml:space="preserve"> to be eligible for a grant.</w:t>
      </w:r>
    </w:p>
  </w:footnote>
  <w:footnote w:id="5">
    <w:p w:rsidR="008D2A4A" w:rsidP="008D2A4A" w14:paraId="08D0A0C1" w14:textId="757ACB96">
      <w:pPr>
        <w:pStyle w:val="FootnoteText"/>
      </w:pPr>
      <w:r>
        <w:rPr>
          <w:rStyle w:val="FootnoteReference"/>
          <w:rFonts w:eastAsiaTheme="majorEastAsia"/>
        </w:rPr>
        <w:footnoteRef/>
      </w:r>
      <w:r>
        <w:t xml:space="preserve"> </w:t>
      </w:r>
      <w:r w:rsidR="00727F5A">
        <w:t xml:space="preserve">Management </w:t>
      </w:r>
      <w:r w:rsidR="00A4760A">
        <w:t xml:space="preserve">(Occupation Code </w:t>
      </w:r>
      <w:r w:rsidR="00727F5A">
        <w:t>11-0000</w:t>
      </w:r>
      <w:r w:rsidR="00A4760A">
        <w:t>)</w:t>
      </w:r>
      <w:r w:rsidR="00727F5A">
        <w:t xml:space="preserve"> median</w:t>
      </w:r>
      <w:r w:rsidRPr="0043135F">
        <w:t xml:space="preserve"> rate</w:t>
      </w:r>
      <w:r w:rsidR="00727F5A">
        <w:t xml:space="preserve"> from </w:t>
      </w:r>
      <w:r w:rsidR="00A6258B">
        <w:t xml:space="preserve">U.S. </w:t>
      </w:r>
      <w:r w:rsidR="00727F5A">
        <w:t xml:space="preserve">Bureau of Labor Statistics’ </w:t>
      </w:r>
      <w:r w:rsidRPr="007C560D" w:rsidR="00727F5A">
        <w:t>May 20</w:t>
      </w:r>
      <w:r w:rsidR="00727F5A">
        <w:t>21</w:t>
      </w:r>
      <w:r w:rsidRPr="007C560D" w:rsidR="00727F5A">
        <w:t xml:space="preserve"> National Occupational Employment and Wage Estimates</w:t>
      </w:r>
      <w:r w:rsidR="00416429">
        <w:t xml:space="preserve"> for </w:t>
      </w:r>
      <w:r w:rsidRPr="00416429" w:rsidR="00416429">
        <w:t>NAICS 999200 - State Government, excluding schools and hospitals</w:t>
      </w:r>
      <w:r>
        <w:t xml:space="preserve">. See </w:t>
      </w:r>
      <w:r w:rsidRPr="00727F5A" w:rsidR="00727F5A">
        <w:t>https://www.bls.gov/oes/current/</w:t>
      </w:r>
      <w:r w:rsidRPr="00416429" w:rsidR="00416429">
        <w:t>naics4_999200</w:t>
      </w:r>
      <w:r w:rsidRPr="00727F5A" w:rsidR="00727F5A">
        <w:t>.htm#11-0000</w:t>
      </w:r>
    </w:p>
  </w:footnote>
  <w:footnote w:id="6">
    <w:p w:rsidR="008D2A4A" w:rsidP="008D2A4A" w14:paraId="2D93C32D" w14:textId="655DA010">
      <w:pPr>
        <w:pStyle w:val="FootnoteText"/>
      </w:pPr>
      <w:r>
        <w:rPr>
          <w:rStyle w:val="FootnoteReference"/>
          <w:rFonts w:eastAsiaTheme="majorEastAsia"/>
        </w:rPr>
        <w:footnoteRef/>
      </w:r>
      <w:r>
        <w:t xml:space="preserve"> </w:t>
      </w:r>
      <w:r w:rsidR="00A4760A">
        <w:t>L</w:t>
      </w:r>
      <w:r w:rsidRPr="00FA6275" w:rsidR="00A4760A">
        <w:t xml:space="preserve">ife, </w:t>
      </w:r>
      <w:r w:rsidR="00A4760A">
        <w:t>P</w:t>
      </w:r>
      <w:r w:rsidRPr="00FA6275" w:rsidR="00A4760A">
        <w:t xml:space="preserve">hysical and </w:t>
      </w:r>
      <w:r w:rsidR="00A4760A">
        <w:t>S</w:t>
      </w:r>
      <w:r w:rsidRPr="00FA6275" w:rsidR="00A4760A">
        <w:t xml:space="preserve">ocial </w:t>
      </w:r>
      <w:r w:rsidR="00A4760A">
        <w:t>S</w:t>
      </w:r>
      <w:r w:rsidRPr="00FA6275" w:rsidR="00A4760A">
        <w:t xml:space="preserve">cience </w:t>
      </w:r>
      <w:r w:rsidR="00A4760A">
        <w:t>T</w:t>
      </w:r>
      <w:r w:rsidRPr="00FA6275" w:rsidR="00A4760A">
        <w:t>echnicians</w:t>
      </w:r>
      <w:r w:rsidRPr="0043135F" w:rsidR="00A4760A">
        <w:rPr>
          <w:color w:val="000000"/>
        </w:rPr>
        <w:t xml:space="preserve"> </w:t>
      </w:r>
      <w:r w:rsidR="00A4760A">
        <w:rPr>
          <w:color w:val="000000"/>
        </w:rPr>
        <w:t xml:space="preserve">(Occupation Code 19-4000) </w:t>
      </w:r>
      <w:r w:rsidR="00A4760A">
        <w:t>median</w:t>
      </w:r>
      <w:r w:rsidRPr="0043135F" w:rsidR="00A4760A">
        <w:t xml:space="preserve"> rate</w:t>
      </w:r>
      <w:r w:rsidR="00A4760A">
        <w:t xml:space="preserve"> from </w:t>
      </w:r>
      <w:r w:rsidR="00A6258B">
        <w:t xml:space="preserve">U.S. </w:t>
      </w:r>
      <w:r w:rsidR="00A4760A">
        <w:t xml:space="preserve">Bureau of Labor Statistics’ </w:t>
      </w:r>
      <w:r w:rsidRPr="007C560D" w:rsidR="00A4760A">
        <w:t>May 20</w:t>
      </w:r>
      <w:r w:rsidR="00A4760A">
        <w:t>21</w:t>
      </w:r>
      <w:r w:rsidRPr="007C560D" w:rsidR="00A4760A">
        <w:t xml:space="preserve"> National Occupational Employment and Wage </w:t>
      </w:r>
      <w:r w:rsidR="00416429">
        <w:t xml:space="preserve">for </w:t>
      </w:r>
      <w:r w:rsidRPr="00416429" w:rsidR="00416429">
        <w:t>NAICS 999200 - State Government, excluding schools and hospitals</w:t>
      </w:r>
      <w:r w:rsidR="00416429">
        <w:t>.</w:t>
      </w:r>
      <w:r w:rsidR="00A4760A">
        <w:t xml:space="preserve"> See</w:t>
      </w:r>
      <w:r w:rsidR="00A6258B">
        <w:t xml:space="preserve"> </w:t>
      </w:r>
      <w:r w:rsidRPr="00A6258B" w:rsidR="00A6258B">
        <w:t>https://www.bls.gov/oes/current/</w:t>
      </w:r>
      <w:r w:rsidRPr="00416429" w:rsidR="00416429">
        <w:t>naics4_999200</w:t>
      </w:r>
      <w:r w:rsidRPr="00A6258B" w:rsidR="00A6258B">
        <w:t>.htm#19-4000</w:t>
      </w:r>
    </w:p>
  </w:footnote>
  <w:footnote w:id="7">
    <w:p w:rsidR="0026710E" w:rsidRPr="00345F0C" w:rsidP="0026710E" w14:paraId="43113130" w14:textId="6AC50843">
      <w:pPr>
        <w:pStyle w:val="FootnoteText"/>
      </w:pPr>
      <w:r w:rsidRPr="00345F0C">
        <w:rPr>
          <w:rStyle w:val="FootnoteReference"/>
          <w:rFonts w:eastAsiaTheme="majorEastAsia"/>
        </w:rPr>
        <w:footnoteRef/>
      </w:r>
      <w:r w:rsidRPr="00345F0C">
        <w:t xml:space="preserve"> General Schedule rate</w:t>
      </w:r>
      <w:r w:rsidR="00727F5A">
        <w:t xml:space="preserve"> from </w:t>
      </w:r>
      <w:r w:rsidR="00A6258B">
        <w:t xml:space="preserve">U.S. </w:t>
      </w:r>
      <w:r w:rsidR="00727F5A">
        <w:t xml:space="preserve">Office of </w:t>
      </w:r>
      <w:r w:rsidR="00A6258B">
        <w:t xml:space="preserve">Personnel </w:t>
      </w:r>
      <w:r w:rsidR="00727F5A">
        <w:t>Management pay tables</w:t>
      </w:r>
      <w:r w:rsidRPr="00345F0C">
        <w:t>, effective January 202</w:t>
      </w:r>
      <w:r w:rsidR="00345F0C">
        <w:t>2</w:t>
      </w:r>
      <w:r w:rsidRPr="00345F0C">
        <w:t>, assuming base pay rate with locality adjustment</w:t>
      </w:r>
      <w:r w:rsidRPr="00345F0C" w:rsidR="00345F0C">
        <w:t xml:space="preserve"> for </w:t>
      </w:r>
      <w:r w:rsidRPr="00345F0C" w:rsidR="00345F0C">
        <w:rPr>
          <w:color w:val="363636"/>
          <w:shd w:val="clear" w:color="auto" w:fill="FFFFFF"/>
        </w:rPr>
        <w:t>locality pay area of Washington-Baltimore-Arlington, DC-MD-VA-WV-PA</w:t>
      </w:r>
      <w:r w:rsidRPr="00345F0C">
        <w:t xml:space="preserve">. See </w:t>
      </w:r>
      <w:r w:rsidRPr="00345F0C" w:rsidR="00345F0C">
        <w:t>https://www.opm.gov/policy-data-oversight/pay-leave/salaries-wages/salary-tables/22Tables/html/DCB_h.aspx</w:t>
      </w:r>
    </w:p>
  </w:footnote>
  <w:footnote w:id="8">
    <w:p w:rsidR="0026710E" w:rsidRPr="00345F0C" w:rsidP="0026710E" w14:paraId="4E046E7C" w14:textId="6FADED8A">
      <w:pPr>
        <w:pStyle w:val="FootnoteText"/>
      </w:pPr>
      <w:r w:rsidRPr="00345F0C">
        <w:rPr>
          <w:rStyle w:val="FootnoteReference"/>
          <w:rFonts w:eastAsiaTheme="majorEastAsia"/>
        </w:rPr>
        <w:footnoteRef/>
      </w:r>
      <w:r w:rsidRPr="00345F0C">
        <w:t xml:space="preserve"> General Schedule rate</w:t>
      </w:r>
      <w:r w:rsidR="00727F5A">
        <w:t xml:space="preserve"> from </w:t>
      </w:r>
      <w:r w:rsidR="00A6258B">
        <w:t xml:space="preserve">U.S. </w:t>
      </w:r>
      <w:r w:rsidR="00727F5A">
        <w:t xml:space="preserve">Office of </w:t>
      </w:r>
      <w:r w:rsidR="00A6258B">
        <w:t xml:space="preserve">Personnel </w:t>
      </w:r>
      <w:r w:rsidR="00727F5A">
        <w:t>Management pay tables</w:t>
      </w:r>
      <w:r w:rsidRPr="00345F0C">
        <w:t>, effective January 202</w:t>
      </w:r>
      <w:r w:rsidRPr="00345F0C" w:rsidR="00345F0C">
        <w:t>2</w:t>
      </w:r>
      <w:r w:rsidRPr="00345F0C">
        <w:t xml:space="preserve">, assuming base pay rate with no locality adjustment. See </w:t>
      </w:r>
      <w:r w:rsidRPr="00345F0C" w:rsidR="00345F0C">
        <w:t>https://www.opm.gov/policy-data-oversight/pay-leave/salaries-wages/salary-tables/22Tables/html/GS_h.aspx</w:t>
      </w:r>
      <w:r w:rsidRPr="00345F0C">
        <w:t xml:space="preserve"> </w:t>
      </w:r>
    </w:p>
  </w:footnote>
  <w:footnote w:id="9">
    <w:p w:rsidR="00527F5D" w:rsidP="00082DE6" w14:paraId="321F77ED" w14:textId="73FF8DAE">
      <w:pPr>
        <w:pStyle w:val="CommentText"/>
      </w:pPr>
      <w:r>
        <w:rPr>
          <w:rStyle w:val="FootnoteReference"/>
        </w:rPr>
        <w:footnoteRef/>
      </w:r>
      <w:r>
        <w:t xml:space="preserve"> </w:t>
      </w:r>
      <w:r w:rsidRPr="00082DE6">
        <w:rPr>
          <w:rFonts w:ascii="Times New Roman" w:hAnsi="Times New Roman"/>
          <w:sz w:val="20"/>
        </w:rPr>
        <w:t xml:space="preserve">The number of samples has changed from </w:t>
      </w:r>
      <w:r w:rsidRPr="00082DE6" w:rsidR="007E7F10">
        <w:rPr>
          <w:rFonts w:ascii="Times New Roman" w:hAnsi="Times New Roman"/>
          <w:sz w:val="20"/>
        </w:rPr>
        <w:t>169,557</w:t>
      </w:r>
      <w:r w:rsidRPr="00082DE6" w:rsidR="00D32609">
        <w:rPr>
          <w:rFonts w:ascii="Times New Roman" w:hAnsi="Times New Roman"/>
          <w:sz w:val="20"/>
        </w:rPr>
        <w:t xml:space="preserve"> to 237,895 </w:t>
      </w:r>
      <w:r w:rsidRPr="00082DE6">
        <w:rPr>
          <w:rFonts w:ascii="Times New Roman" w:hAnsi="Times New Roman"/>
          <w:sz w:val="20"/>
        </w:rPr>
        <w:t xml:space="preserve">since the July 11, 2022 </w:t>
      </w:r>
      <w:r w:rsidRPr="00082DE6">
        <w:rPr>
          <w:rFonts w:ascii="Times New Roman" w:hAnsi="Times New Roman"/>
          <w:i/>
          <w:iCs/>
          <w:sz w:val="20"/>
        </w:rPr>
        <w:t>Federal Register</w:t>
      </w:r>
      <w:r w:rsidRPr="00082DE6">
        <w:rPr>
          <w:rFonts w:ascii="Times New Roman" w:hAnsi="Times New Roman"/>
          <w:sz w:val="20"/>
        </w:rPr>
        <w:t xml:space="preserve"> notice. </w:t>
      </w:r>
      <w:r w:rsidRPr="00082DE6" w:rsidR="00D32609">
        <w:rPr>
          <w:rFonts w:ascii="Times New Roman" w:hAnsi="Times New Roman"/>
          <w:sz w:val="20"/>
        </w:rPr>
        <w:t>The average</w:t>
      </w:r>
      <w:r w:rsidRPr="00082DE6">
        <w:rPr>
          <w:rFonts w:ascii="Times New Roman" w:hAnsi="Times New Roman"/>
          <w:sz w:val="20"/>
        </w:rPr>
        <w:t xml:space="preserve"> number of water quality samples </w:t>
      </w:r>
      <w:r w:rsidRPr="00082DE6" w:rsidR="00D32609">
        <w:rPr>
          <w:rFonts w:ascii="Times New Roman" w:hAnsi="Times New Roman"/>
          <w:sz w:val="20"/>
        </w:rPr>
        <w:t xml:space="preserve">collected </w:t>
      </w:r>
      <w:r w:rsidRPr="00082DE6" w:rsidR="007E7F10">
        <w:rPr>
          <w:rFonts w:ascii="Times New Roman" w:hAnsi="Times New Roman"/>
          <w:sz w:val="20"/>
        </w:rPr>
        <w:t xml:space="preserve">each year </w:t>
      </w:r>
      <w:r w:rsidRPr="00082DE6" w:rsidR="00D32609">
        <w:rPr>
          <w:rFonts w:ascii="Times New Roman" w:hAnsi="Times New Roman"/>
          <w:sz w:val="20"/>
        </w:rPr>
        <w:t xml:space="preserve">is 237,895; </w:t>
      </w:r>
      <w:r w:rsidRPr="00082DE6" w:rsidR="007E7F10">
        <w:rPr>
          <w:rFonts w:ascii="Times New Roman" w:hAnsi="Times New Roman"/>
          <w:sz w:val="20"/>
        </w:rPr>
        <w:t>169,557</w:t>
      </w:r>
      <w:r w:rsidRPr="00082DE6" w:rsidR="00D32609">
        <w:rPr>
          <w:rFonts w:ascii="Times New Roman" w:hAnsi="Times New Roman"/>
          <w:sz w:val="20"/>
        </w:rPr>
        <w:t xml:space="preserve"> was the </w:t>
      </w:r>
      <w:r w:rsidRPr="00082DE6">
        <w:rPr>
          <w:rFonts w:ascii="Times New Roman" w:hAnsi="Times New Roman"/>
          <w:sz w:val="20"/>
        </w:rPr>
        <w:t>number</w:t>
      </w:r>
      <w:r w:rsidRPr="00082DE6" w:rsidR="00D32609">
        <w:rPr>
          <w:rFonts w:ascii="Times New Roman" w:hAnsi="Times New Roman"/>
          <w:sz w:val="20"/>
        </w:rPr>
        <w:t xml:space="preserve"> of samples jurisdictions had projected to collect</w:t>
      </w:r>
      <w:r w:rsidRPr="00082DE6">
        <w:rPr>
          <w:rFonts w:ascii="Times New Roman" w:hAnsi="Times New Roman"/>
          <w:sz w:val="20"/>
        </w:rPr>
        <w:t>. As a result, total respondent labor and O&amp;M costs changed; those changes have been captured throughout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31DD" w:rsidP="00F22B0E" w14:paraId="0969C67E" w14:textId="77777777">
    <w:pPr>
      <w:pStyle w:val="Level1"/>
      <w:pBdr>
        <w:bottom w:val="single" w:sz="12" w:space="1" w:color="00206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B0E" w:rsidP="00ED18FA" w14:paraId="653EC866" w14:textId="77777777">
    <w:pPr>
      <w:pStyle w:val="Level1"/>
      <w:pBdr>
        <w:bottom w:val="single" w:sz="12" w:space="1" w:color="002060"/>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E644D96"/>
    <w:lvl w:ilvl="0">
      <w:start w:val="1"/>
      <w:numFmt w:val="decimal"/>
      <w:lvlText w:val="%1."/>
      <w:lvlJc w:val="left"/>
      <w:pPr>
        <w:tabs>
          <w:tab w:val="num" w:pos="1800"/>
        </w:tabs>
        <w:ind w:left="1800" w:hanging="360"/>
      </w:pPr>
    </w:lvl>
  </w:abstractNum>
  <w:abstractNum w:abstractNumId="1">
    <w:nsid w:val="FFFFFF7D"/>
    <w:multiLevelType w:val="singleLevel"/>
    <w:tmpl w:val="DEF289DA"/>
    <w:lvl w:ilvl="0">
      <w:start w:val="1"/>
      <w:numFmt w:val="decimal"/>
      <w:lvlText w:val="%1."/>
      <w:lvlJc w:val="left"/>
      <w:pPr>
        <w:tabs>
          <w:tab w:val="num" w:pos="1440"/>
        </w:tabs>
        <w:ind w:left="1440" w:hanging="360"/>
      </w:pPr>
    </w:lvl>
  </w:abstractNum>
  <w:abstractNum w:abstractNumId="2">
    <w:nsid w:val="FFFFFF7E"/>
    <w:multiLevelType w:val="singleLevel"/>
    <w:tmpl w:val="DC7E4A00"/>
    <w:lvl w:ilvl="0">
      <w:start w:val="1"/>
      <w:numFmt w:val="decimal"/>
      <w:lvlText w:val="%1."/>
      <w:lvlJc w:val="left"/>
      <w:pPr>
        <w:tabs>
          <w:tab w:val="num" w:pos="1080"/>
        </w:tabs>
        <w:ind w:left="1080" w:hanging="360"/>
      </w:pPr>
    </w:lvl>
  </w:abstractNum>
  <w:abstractNum w:abstractNumId="3">
    <w:nsid w:val="FFFFFF7F"/>
    <w:multiLevelType w:val="singleLevel"/>
    <w:tmpl w:val="088A0AC0"/>
    <w:lvl w:ilvl="0">
      <w:start w:val="1"/>
      <w:numFmt w:val="decimal"/>
      <w:lvlText w:val="%1."/>
      <w:lvlJc w:val="left"/>
      <w:pPr>
        <w:tabs>
          <w:tab w:val="num" w:pos="720"/>
        </w:tabs>
        <w:ind w:left="720" w:hanging="360"/>
      </w:pPr>
    </w:lvl>
  </w:abstractNum>
  <w:abstractNum w:abstractNumId="4">
    <w:nsid w:val="FFFFFF80"/>
    <w:multiLevelType w:val="singleLevel"/>
    <w:tmpl w:val="927053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F6A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3620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4643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302028"/>
    <w:lvl w:ilvl="0">
      <w:start w:val="1"/>
      <w:numFmt w:val="decimal"/>
      <w:lvlText w:val="%1."/>
      <w:lvlJc w:val="left"/>
      <w:pPr>
        <w:tabs>
          <w:tab w:val="num" w:pos="360"/>
        </w:tabs>
        <w:ind w:left="360" w:hanging="360"/>
      </w:pPr>
    </w:lvl>
  </w:abstractNum>
  <w:abstractNum w:abstractNumId="9">
    <w:nsid w:val="FFFFFF89"/>
    <w:multiLevelType w:val="singleLevel"/>
    <w:tmpl w:val="40DEDA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30E4FF70"/>
    <w:lvl w:ilvl="0">
      <w:start w:val="0"/>
      <w:numFmt w:val="bullet"/>
      <w:pStyle w:val="Bullet"/>
      <w:lvlText w:val="*"/>
      <w:lvlJc w:val="left"/>
    </w:lvl>
  </w:abstractNum>
  <w:abstractNum w:abstractNumId="11">
    <w:nsid w:val="132771A6"/>
    <w:multiLevelType w:val="hybridMultilevel"/>
    <w:tmpl w:val="6CA80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5316E5"/>
    <w:multiLevelType w:val="hybridMultilevel"/>
    <w:tmpl w:val="17F44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81532A"/>
    <w:multiLevelType w:val="hybridMultilevel"/>
    <w:tmpl w:val="5CE64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250954"/>
    <w:multiLevelType w:val="hybridMultilevel"/>
    <w:tmpl w:val="1FB02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7D2D17"/>
    <w:multiLevelType w:val="hybridMultilevel"/>
    <w:tmpl w:val="ED3E1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F13D77"/>
    <w:multiLevelType w:val="hybridMultilevel"/>
    <w:tmpl w:val="33DA9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754681"/>
    <w:multiLevelType w:val="hybridMultilevel"/>
    <w:tmpl w:val="0C9E8E6A"/>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abstractNum w:abstractNumId="18">
    <w:nsid w:val="3DC44171"/>
    <w:multiLevelType w:val="hybridMultilevel"/>
    <w:tmpl w:val="16F03356"/>
    <w:lvl w:ilvl="0">
      <w:start w:val="1"/>
      <w:numFmt w:val="bullet"/>
      <w:pStyle w:val="BulletList1"/>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38B68C7"/>
    <w:multiLevelType w:val="hybridMultilevel"/>
    <w:tmpl w:val="C726B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514462"/>
    <w:multiLevelType w:val="hybridMultilevel"/>
    <w:tmpl w:val="C4D46C7A"/>
    <w:lvl w:ilvl="0">
      <w:start w:val="1"/>
      <w:numFmt w:val="decimal"/>
      <w:pStyle w:val="Heading3"/>
      <w:lvlText w:val="%1)"/>
      <w:lvlJc w:val="left"/>
      <w:pPr>
        <w:ind w:left="726" w:hanging="360"/>
      </w:pPr>
    </w:lvl>
    <w:lvl w:ilvl="1" w:tentative="1">
      <w:start w:val="1"/>
      <w:numFmt w:val="lowerLetter"/>
      <w:lvlText w:val="%2."/>
      <w:lvlJc w:val="left"/>
      <w:pPr>
        <w:ind w:left="1446" w:hanging="360"/>
      </w:pPr>
    </w:lvl>
    <w:lvl w:ilvl="2" w:tentative="1">
      <w:start w:val="1"/>
      <w:numFmt w:val="lowerRoman"/>
      <w:lvlText w:val="%3."/>
      <w:lvlJc w:val="right"/>
      <w:pPr>
        <w:ind w:left="2166" w:hanging="180"/>
      </w:pPr>
    </w:lvl>
    <w:lvl w:ilvl="3" w:tentative="1">
      <w:start w:val="1"/>
      <w:numFmt w:val="decimal"/>
      <w:lvlText w:val="%4."/>
      <w:lvlJc w:val="left"/>
      <w:pPr>
        <w:ind w:left="2886" w:hanging="360"/>
      </w:pPr>
    </w:lvl>
    <w:lvl w:ilvl="4" w:tentative="1">
      <w:start w:val="1"/>
      <w:numFmt w:val="lowerLetter"/>
      <w:lvlText w:val="%5."/>
      <w:lvlJc w:val="left"/>
      <w:pPr>
        <w:ind w:left="3606" w:hanging="360"/>
      </w:pPr>
    </w:lvl>
    <w:lvl w:ilvl="5" w:tentative="1">
      <w:start w:val="1"/>
      <w:numFmt w:val="lowerRoman"/>
      <w:lvlText w:val="%6."/>
      <w:lvlJc w:val="right"/>
      <w:pPr>
        <w:ind w:left="4326" w:hanging="180"/>
      </w:pPr>
    </w:lvl>
    <w:lvl w:ilvl="6" w:tentative="1">
      <w:start w:val="1"/>
      <w:numFmt w:val="decimal"/>
      <w:lvlText w:val="%7."/>
      <w:lvlJc w:val="left"/>
      <w:pPr>
        <w:ind w:left="5046" w:hanging="360"/>
      </w:pPr>
    </w:lvl>
    <w:lvl w:ilvl="7" w:tentative="1">
      <w:start w:val="1"/>
      <w:numFmt w:val="lowerLetter"/>
      <w:lvlText w:val="%8."/>
      <w:lvlJc w:val="left"/>
      <w:pPr>
        <w:ind w:left="5766" w:hanging="360"/>
      </w:pPr>
    </w:lvl>
    <w:lvl w:ilvl="8" w:tentative="1">
      <w:start w:val="1"/>
      <w:numFmt w:val="lowerRoman"/>
      <w:lvlText w:val="%9."/>
      <w:lvlJc w:val="right"/>
      <w:pPr>
        <w:ind w:left="6486" w:hanging="180"/>
      </w:pPr>
    </w:lvl>
  </w:abstractNum>
  <w:abstractNum w:abstractNumId="21">
    <w:nsid w:val="56EFA0BE"/>
    <w:multiLevelType w:val="hybridMultilevel"/>
    <w:tmpl w:val="F9D0313C"/>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9025D1A"/>
    <w:multiLevelType w:val="singleLevel"/>
    <w:tmpl w:val="6AE4392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3">
    <w:nsid w:val="680B4871"/>
    <w:multiLevelType w:val="hybridMultilevel"/>
    <w:tmpl w:val="9BAED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8846AB0"/>
    <w:multiLevelType w:val="hybridMultilevel"/>
    <w:tmpl w:val="0D20F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D77814"/>
    <w:multiLevelType w:val="singleLevel"/>
    <w:tmpl w:val="D73A6C00"/>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21"/>
  </w:num>
  <w:num w:numId="2">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3">
    <w:abstractNumId w:val="25"/>
  </w:num>
  <w:num w:numId="4">
    <w:abstractNumId w:val="22"/>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3"/>
  </w:num>
  <w:num w:numId="18">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19">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0">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1">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2">
    <w:abstractNumId w:val="12"/>
  </w:num>
  <w:num w:numId="23">
    <w:abstractNumId w:val="14"/>
  </w:num>
  <w:num w:numId="24">
    <w:abstractNumId w:val="15"/>
  </w:num>
  <w:num w:numId="25">
    <w:abstractNumId w:val="13"/>
  </w:num>
  <w:num w:numId="26">
    <w:abstractNumId w:val="11"/>
  </w:num>
  <w:num w:numId="27">
    <w:abstractNumId w:val="24"/>
  </w:num>
  <w:num w:numId="28">
    <w:abstractNumId w:val="17"/>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FC30E4"/>
    <w:rsid w:val="0000134D"/>
    <w:rsid w:val="00001FF1"/>
    <w:rsid w:val="00005661"/>
    <w:rsid w:val="00005FB1"/>
    <w:rsid w:val="0000646D"/>
    <w:rsid w:val="00006FB0"/>
    <w:rsid w:val="000072C4"/>
    <w:rsid w:val="00007475"/>
    <w:rsid w:val="000121A2"/>
    <w:rsid w:val="000125B0"/>
    <w:rsid w:val="00015EC5"/>
    <w:rsid w:val="0001678F"/>
    <w:rsid w:val="00017453"/>
    <w:rsid w:val="00017EA2"/>
    <w:rsid w:val="00020221"/>
    <w:rsid w:val="00020420"/>
    <w:rsid w:val="00020694"/>
    <w:rsid w:val="00025D05"/>
    <w:rsid w:val="00026011"/>
    <w:rsid w:val="000263D6"/>
    <w:rsid w:val="00027601"/>
    <w:rsid w:val="00027AAE"/>
    <w:rsid w:val="00036A99"/>
    <w:rsid w:val="00036F93"/>
    <w:rsid w:val="00042B5E"/>
    <w:rsid w:val="000431B4"/>
    <w:rsid w:val="00046D36"/>
    <w:rsid w:val="00054DB2"/>
    <w:rsid w:val="00054DF3"/>
    <w:rsid w:val="00056125"/>
    <w:rsid w:val="00057F46"/>
    <w:rsid w:val="0006061B"/>
    <w:rsid w:val="00060850"/>
    <w:rsid w:val="00062664"/>
    <w:rsid w:val="00063165"/>
    <w:rsid w:val="00063F46"/>
    <w:rsid w:val="00064EF1"/>
    <w:rsid w:val="00066A18"/>
    <w:rsid w:val="000677E8"/>
    <w:rsid w:val="00070D54"/>
    <w:rsid w:val="0007138B"/>
    <w:rsid w:val="00072D74"/>
    <w:rsid w:val="00073847"/>
    <w:rsid w:val="0007512B"/>
    <w:rsid w:val="00077E79"/>
    <w:rsid w:val="00080132"/>
    <w:rsid w:val="00082297"/>
    <w:rsid w:val="00082DE6"/>
    <w:rsid w:val="00083824"/>
    <w:rsid w:val="000909FA"/>
    <w:rsid w:val="00090CFE"/>
    <w:rsid w:val="000917C0"/>
    <w:rsid w:val="00093610"/>
    <w:rsid w:val="00094435"/>
    <w:rsid w:val="00097055"/>
    <w:rsid w:val="000A10BD"/>
    <w:rsid w:val="000A199D"/>
    <w:rsid w:val="000A2A52"/>
    <w:rsid w:val="000A2B72"/>
    <w:rsid w:val="000A316F"/>
    <w:rsid w:val="000A3685"/>
    <w:rsid w:val="000A4BDC"/>
    <w:rsid w:val="000A7549"/>
    <w:rsid w:val="000A7A20"/>
    <w:rsid w:val="000B0CA6"/>
    <w:rsid w:val="000B0ECA"/>
    <w:rsid w:val="000B11C1"/>
    <w:rsid w:val="000B1451"/>
    <w:rsid w:val="000B14C4"/>
    <w:rsid w:val="000B2CB9"/>
    <w:rsid w:val="000B346D"/>
    <w:rsid w:val="000B470A"/>
    <w:rsid w:val="000B60D9"/>
    <w:rsid w:val="000B67F7"/>
    <w:rsid w:val="000B6CB2"/>
    <w:rsid w:val="000B796C"/>
    <w:rsid w:val="000C22B5"/>
    <w:rsid w:val="000C3793"/>
    <w:rsid w:val="000C400E"/>
    <w:rsid w:val="000C4AB0"/>
    <w:rsid w:val="000C5098"/>
    <w:rsid w:val="000C694A"/>
    <w:rsid w:val="000D12E7"/>
    <w:rsid w:val="000D58AB"/>
    <w:rsid w:val="000D5AAF"/>
    <w:rsid w:val="000D7516"/>
    <w:rsid w:val="000D7682"/>
    <w:rsid w:val="000D7DF7"/>
    <w:rsid w:val="000E047B"/>
    <w:rsid w:val="000E0DC1"/>
    <w:rsid w:val="000E45C6"/>
    <w:rsid w:val="000E51B3"/>
    <w:rsid w:val="000E64F9"/>
    <w:rsid w:val="000E6A74"/>
    <w:rsid w:val="000E6B8F"/>
    <w:rsid w:val="000F0DD7"/>
    <w:rsid w:val="000F1E28"/>
    <w:rsid w:val="000F66F1"/>
    <w:rsid w:val="000F7480"/>
    <w:rsid w:val="0010083C"/>
    <w:rsid w:val="00100A7F"/>
    <w:rsid w:val="00101C51"/>
    <w:rsid w:val="00102EF0"/>
    <w:rsid w:val="001059BB"/>
    <w:rsid w:val="00105D44"/>
    <w:rsid w:val="00105D6D"/>
    <w:rsid w:val="00106946"/>
    <w:rsid w:val="00107DB7"/>
    <w:rsid w:val="00110A5B"/>
    <w:rsid w:val="00110D5E"/>
    <w:rsid w:val="0011136B"/>
    <w:rsid w:val="0011161B"/>
    <w:rsid w:val="00112172"/>
    <w:rsid w:val="001132DE"/>
    <w:rsid w:val="00114834"/>
    <w:rsid w:val="001150AC"/>
    <w:rsid w:val="0011531D"/>
    <w:rsid w:val="00116DC7"/>
    <w:rsid w:val="001200EF"/>
    <w:rsid w:val="00124209"/>
    <w:rsid w:val="00124395"/>
    <w:rsid w:val="00124416"/>
    <w:rsid w:val="001248C4"/>
    <w:rsid w:val="00126003"/>
    <w:rsid w:val="00130250"/>
    <w:rsid w:val="00134295"/>
    <w:rsid w:val="001345AC"/>
    <w:rsid w:val="00134903"/>
    <w:rsid w:val="00134B15"/>
    <w:rsid w:val="0013539D"/>
    <w:rsid w:val="00136596"/>
    <w:rsid w:val="00136BD3"/>
    <w:rsid w:val="001374CF"/>
    <w:rsid w:val="00141C1C"/>
    <w:rsid w:val="001421E3"/>
    <w:rsid w:val="00142E6F"/>
    <w:rsid w:val="00142E79"/>
    <w:rsid w:val="00142EE3"/>
    <w:rsid w:val="00143FDF"/>
    <w:rsid w:val="00146157"/>
    <w:rsid w:val="00150210"/>
    <w:rsid w:val="00154A37"/>
    <w:rsid w:val="00154BD3"/>
    <w:rsid w:val="00155772"/>
    <w:rsid w:val="00155874"/>
    <w:rsid w:val="00155B5C"/>
    <w:rsid w:val="00155D19"/>
    <w:rsid w:val="001560C1"/>
    <w:rsid w:val="001606AE"/>
    <w:rsid w:val="00162392"/>
    <w:rsid w:val="00165F2C"/>
    <w:rsid w:val="001663C3"/>
    <w:rsid w:val="00166454"/>
    <w:rsid w:val="0016652F"/>
    <w:rsid w:val="00171E8B"/>
    <w:rsid w:val="00173423"/>
    <w:rsid w:val="00173B85"/>
    <w:rsid w:val="001751A1"/>
    <w:rsid w:val="001753F0"/>
    <w:rsid w:val="00182A7C"/>
    <w:rsid w:val="00182B20"/>
    <w:rsid w:val="0018421A"/>
    <w:rsid w:val="001842C0"/>
    <w:rsid w:val="00184853"/>
    <w:rsid w:val="00185D97"/>
    <w:rsid w:val="001868BF"/>
    <w:rsid w:val="00191B65"/>
    <w:rsid w:val="0019299B"/>
    <w:rsid w:val="0019312F"/>
    <w:rsid w:val="001942F8"/>
    <w:rsid w:val="001951A3"/>
    <w:rsid w:val="0019537B"/>
    <w:rsid w:val="00195B05"/>
    <w:rsid w:val="00195EF5"/>
    <w:rsid w:val="00196A21"/>
    <w:rsid w:val="001A3C27"/>
    <w:rsid w:val="001A40BB"/>
    <w:rsid w:val="001A5A56"/>
    <w:rsid w:val="001B1586"/>
    <w:rsid w:val="001B3F97"/>
    <w:rsid w:val="001B4AAA"/>
    <w:rsid w:val="001B4D92"/>
    <w:rsid w:val="001B7037"/>
    <w:rsid w:val="001B717B"/>
    <w:rsid w:val="001C11F3"/>
    <w:rsid w:val="001C6492"/>
    <w:rsid w:val="001C6DE2"/>
    <w:rsid w:val="001D5287"/>
    <w:rsid w:val="001D542D"/>
    <w:rsid w:val="001E0B0B"/>
    <w:rsid w:val="001E0F0B"/>
    <w:rsid w:val="001E10F8"/>
    <w:rsid w:val="001E1A6F"/>
    <w:rsid w:val="001E437D"/>
    <w:rsid w:val="001E53FF"/>
    <w:rsid w:val="001E5CB3"/>
    <w:rsid w:val="001F38A5"/>
    <w:rsid w:val="001F4F52"/>
    <w:rsid w:val="001F5AEE"/>
    <w:rsid w:val="001F7BA9"/>
    <w:rsid w:val="00201CAD"/>
    <w:rsid w:val="002029C1"/>
    <w:rsid w:val="00202ACF"/>
    <w:rsid w:val="00204457"/>
    <w:rsid w:val="00204741"/>
    <w:rsid w:val="00205FBA"/>
    <w:rsid w:val="00206165"/>
    <w:rsid w:val="00206F91"/>
    <w:rsid w:val="0020712C"/>
    <w:rsid w:val="00210F93"/>
    <w:rsid w:val="00211481"/>
    <w:rsid w:val="002117F7"/>
    <w:rsid w:val="00213047"/>
    <w:rsid w:val="00213707"/>
    <w:rsid w:val="00214761"/>
    <w:rsid w:val="00215438"/>
    <w:rsid w:val="00221255"/>
    <w:rsid w:val="00221616"/>
    <w:rsid w:val="00221B14"/>
    <w:rsid w:val="00224080"/>
    <w:rsid w:val="00225218"/>
    <w:rsid w:val="002272BB"/>
    <w:rsid w:val="00227A87"/>
    <w:rsid w:val="00230BA3"/>
    <w:rsid w:val="00230DD5"/>
    <w:rsid w:val="00231A13"/>
    <w:rsid w:val="00233A35"/>
    <w:rsid w:val="0023616B"/>
    <w:rsid w:val="00237274"/>
    <w:rsid w:val="002412D2"/>
    <w:rsid w:val="002419F0"/>
    <w:rsid w:val="00241EB3"/>
    <w:rsid w:val="002449C1"/>
    <w:rsid w:val="00245EBB"/>
    <w:rsid w:val="00250019"/>
    <w:rsid w:val="00250184"/>
    <w:rsid w:val="0025022B"/>
    <w:rsid w:val="0025056A"/>
    <w:rsid w:val="00251807"/>
    <w:rsid w:val="00252F3C"/>
    <w:rsid w:val="002531B8"/>
    <w:rsid w:val="00253AB3"/>
    <w:rsid w:val="002560C0"/>
    <w:rsid w:val="00257464"/>
    <w:rsid w:val="002620D5"/>
    <w:rsid w:val="00263317"/>
    <w:rsid w:val="00263D81"/>
    <w:rsid w:val="00264F09"/>
    <w:rsid w:val="00265365"/>
    <w:rsid w:val="0026710E"/>
    <w:rsid w:val="00267686"/>
    <w:rsid w:val="00267CE9"/>
    <w:rsid w:val="00271810"/>
    <w:rsid w:val="00272899"/>
    <w:rsid w:val="00274E87"/>
    <w:rsid w:val="002754A4"/>
    <w:rsid w:val="002758F7"/>
    <w:rsid w:val="00276639"/>
    <w:rsid w:val="002770C4"/>
    <w:rsid w:val="0027789D"/>
    <w:rsid w:val="002807F6"/>
    <w:rsid w:val="00280A97"/>
    <w:rsid w:val="00283047"/>
    <w:rsid w:val="0028427F"/>
    <w:rsid w:val="002845DA"/>
    <w:rsid w:val="00285570"/>
    <w:rsid w:val="0028697D"/>
    <w:rsid w:val="00286CBA"/>
    <w:rsid w:val="00290787"/>
    <w:rsid w:val="002915FD"/>
    <w:rsid w:val="00292822"/>
    <w:rsid w:val="00293311"/>
    <w:rsid w:val="00294F96"/>
    <w:rsid w:val="00295F5C"/>
    <w:rsid w:val="00296632"/>
    <w:rsid w:val="00296DE8"/>
    <w:rsid w:val="002971F1"/>
    <w:rsid w:val="0029741B"/>
    <w:rsid w:val="002A3C69"/>
    <w:rsid w:val="002A429F"/>
    <w:rsid w:val="002A435D"/>
    <w:rsid w:val="002A4FE8"/>
    <w:rsid w:val="002A56BD"/>
    <w:rsid w:val="002A600A"/>
    <w:rsid w:val="002A6083"/>
    <w:rsid w:val="002A6167"/>
    <w:rsid w:val="002A6DDC"/>
    <w:rsid w:val="002A7A71"/>
    <w:rsid w:val="002B16A7"/>
    <w:rsid w:val="002B1CEC"/>
    <w:rsid w:val="002B3CB6"/>
    <w:rsid w:val="002B5473"/>
    <w:rsid w:val="002B7826"/>
    <w:rsid w:val="002C2B38"/>
    <w:rsid w:val="002C7FA9"/>
    <w:rsid w:val="002D0C58"/>
    <w:rsid w:val="002D26BA"/>
    <w:rsid w:val="002D2D80"/>
    <w:rsid w:val="002D4C42"/>
    <w:rsid w:val="002D5E51"/>
    <w:rsid w:val="002D7204"/>
    <w:rsid w:val="002D7DA5"/>
    <w:rsid w:val="002E0302"/>
    <w:rsid w:val="002E04D1"/>
    <w:rsid w:val="002E0FAA"/>
    <w:rsid w:val="002E61AD"/>
    <w:rsid w:val="002E7DB2"/>
    <w:rsid w:val="002F7ABA"/>
    <w:rsid w:val="00301148"/>
    <w:rsid w:val="003048EA"/>
    <w:rsid w:val="00306AE0"/>
    <w:rsid w:val="00310F03"/>
    <w:rsid w:val="003126CE"/>
    <w:rsid w:val="00316794"/>
    <w:rsid w:val="00317663"/>
    <w:rsid w:val="0032068E"/>
    <w:rsid w:val="00322730"/>
    <w:rsid w:val="003237E1"/>
    <w:rsid w:val="0032640A"/>
    <w:rsid w:val="0032686A"/>
    <w:rsid w:val="00327E06"/>
    <w:rsid w:val="003310B8"/>
    <w:rsid w:val="003327C3"/>
    <w:rsid w:val="00335278"/>
    <w:rsid w:val="00335A34"/>
    <w:rsid w:val="00335E90"/>
    <w:rsid w:val="003364EE"/>
    <w:rsid w:val="00336F77"/>
    <w:rsid w:val="00340481"/>
    <w:rsid w:val="003408E7"/>
    <w:rsid w:val="00340CDD"/>
    <w:rsid w:val="003427EF"/>
    <w:rsid w:val="00344DBB"/>
    <w:rsid w:val="00345F0C"/>
    <w:rsid w:val="00346356"/>
    <w:rsid w:val="00350D63"/>
    <w:rsid w:val="0035213E"/>
    <w:rsid w:val="003532CF"/>
    <w:rsid w:val="00355F00"/>
    <w:rsid w:val="003571FA"/>
    <w:rsid w:val="003574EA"/>
    <w:rsid w:val="003606C0"/>
    <w:rsid w:val="00360725"/>
    <w:rsid w:val="003615CE"/>
    <w:rsid w:val="00361DDF"/>
    <w:rsid w:val="00364A63"/>
    <w:rsid w:val="00365501"/>
    <w:rsid w:val="00367082"/>
    <w:rsid w:val="0037236A"/>
    <w:rsid w:val="003730DB"/>
    <w:rsid w:val="00375D4B"/>
    <w:rsid w:val="00376435"/>
    <w:rsid w:val="00376ACC"/>
    <w:rsid w:val="00376ECF"/>
    <w:rsid w:val="00377651"/>
    <w:rsid w:val="00377960"/>
    <w:rsid w:val="00380BB0"/>
    <w:rsid w:val="00380F1E"/>
    <w:rsid w:val="00382C37"/>
    <w:rsid w:val="0038336E"/>
    <w:rsid w:val="003843B9"/>
    <w:rsid w:val="003854B3"/>
    <w:rsid w:val="00385CC3"/>
    <w:rsid w:val="00385F83"/>
    <w:rsid w:val="00386251"/>
    <w:rsid w:val="003863BF"/>
    <w:rsid w:val="0038692E"/>
    <w:rsid w:val="0039236A"/>
    <w:rsid w:val="0039284F"/>
    <w:rsid w:val="00393B1A"/>
    <w:rsid w:val="0039506F"/>
    <w:rsid w:val="003979E0"/>
    <w:rsid w:val="003A0BA1"/>
    <w:rsid w:val="003A112A"/>
    <w:rsid w:val="003A15E1"/>
    <w:rsid w:val="003A1DDE"/>
    <w:rsid w:val="003A266D"/>
    <w:rsid w:val="003A26C0"/>
    <w:rsid w:val="003A426D"/>
    <w:rsid w:val="003A7DC6"/>
    <w:rsid w:val="003B2F32"/>
    <w:rsid w:val="003B38D1"/>
    <w:rsid w:val="003B3B1B"/>
    <w:rsid w:val="003B3B39"/>
    <w:rsid w:val="003B47FF"/>
    <w:rsid w:val="003B5251"/>
    <w:rsid w:val="003B5A4F"/>
    <w:rsid w:val="003C12E1"/>
    <w:rsid w:val="003C196F"/>
    <w:rsid w:val="003C35B6"/>
    <w:rsid w:val="003C3906"/>
    <w:rsid w:val="003C62BB"/>
    <w:rsid w:val="003C64B4"/>
    <w:rsid w:val="003C7EB0"/>
    <w:rsid w:val="003D0C49"/>
    <w:rsid w:val="003D1638"/>
    <w:rsid w:val="003D1687"/>
    <w:rsid w:val="003D1C96"/>
    <w:rsid w:val="003D5194"/>
    <w:rsid w:val="003D5254"/>
    <w:rsid w:val="003D6C61"/>
    <w:rsid w:val="003E01A4"/>
    <w:rsid w:val="003E09B8"/>
    <w:rsid w:val="003E0FDD"/>
    <w:rsid w:val="003E1FC7"/>
    <w:rsid w:val="003E2558"/>
    <w:rsid w:val="003E260C"/>
    <w:rsid w:val="003E2C72"/>
    <w:rsid w:val="003E3965"/>
    <w:rsid w:val="003E3C8C"/>
    <w:rsid w:val="003E6AA9"/>
    <w:rsid w:val="003E77DD"/>
    <w:rsid w:val="003E7AF3"/>
    <w:rsid w:val="003F034E"/>
    <w:rsid w:val="003F2C44"/>
    <w:rsid w:val="003F3592"/>
    <w:rsid w:val="003F3873"/>
    <w:rsid w:val="003F5F12"/>
    <w:rsid w:val="003F7080"/>
    <w:rsid w:val="004005AB"/>
    <w:rsid w:val="00400F89"/>
    <w:rsid w:val="00401BD3"/>
    <w:rsid w:val="004053A3"/>
    <w:rsid w:val="00405E1E"/>
    <w:rsid w:val="004063A6"/>
    <w:rsid w:val="00407419"/>
    <w:rsid w:val="00407983"/>
    <w:rsid w:val="00407C8A"/>
    <w:rsid w:val="00411ED7"/>
    <w:rsid w:val="0041311C"/>
    <w:rsid w:val="004161B9"/>
    <w:rsid w:val="00416429"/>
    <w:rsid w:val="0041671F"/>
    <w:rsid w:val="00420998"/>
    <w:rsid w:val="0042151A"/>
    <w:rsid w:val="00422BD6"/>
    <w:rsid w:val="004230C6"/>
    <w:rsid w:val="004246D7"/>
    <w:rsid w:val="00426AD0"/>
    <w:rsid w:val="00426DF0"/>
    <w:rsid w:val="00431352"/>
    <w:rsid w:val="0043135F"/>
    <w:rsid w:val="00433CE9"/>
    <w:rsid w:val="0043480C"/>
    <w:rsid w:val="004359D0"/>
    <w:rsid w:val="00437441"/>
    <w:rsid w:val="00437ABA"/>
    <w:rsid w:val="00440873"/>
    <w:rsid w:val="00440EAA"/>
    <w:rsid w:val="00442456"/>
    <w:rsid w:val="004452D7"/>
    <w:rsid w:val="004455C6"/>
    <w:rsid w:val="00451365"/>
    <w:rsid w:val="00451544"/>
    <w:rsid w:val="00452B55"/>
    <w:rsid w:val="00452D4E"/>
    <w:rsid w:val="00453133"/>
    <w:rsid w:val="00454606"/>
    <w:rsid w:val="004570DB"/>
    <w:rsid w:val="0046243D"/>
    <w:rsid w:val="00462E55"/>
    <w:rsid w:val="004640E8"/>
    <w:rsid w:val="00466BF0"/>
    <w:rsid w:val="00471C8E"/>
    <w:rsid w:val="00472E21"/>
    <w:rsid w:val="00472EE2"/>
    <w:rsid w:val="00482D5C"/>
    <w:rsid w:val="00483544"/>
    <w:rsid w:val="004837B9"/>
    <w:rsid w:val="00486DE3"/>
    <w:rsid w:val="004872FE"/>
    <w:rsid w:val="00491AB4"/>
    <w:rsid w:val="004920A3"/>
    <w:rsid w:val="00492460"/>
    <w:rsid w:val="00492F90"/>
    <w:rsid w:val="004931FA"/>
    <w:rsid w:val="00493414"/>
    <w:rsid w:val="00494D85"/>
    <w:rsid w:val="00495682"/>
    <w:rsid w:val="00496029"/>
    <w:rsid w:val="00496993"/>
    <w:rsid w:val="00496A76"/>
    <w:rsid w:val="00496D46"/>
    <w:rsid w:val="0049BF98"/>
    <w:rsid w:val="004A0703"/>
    <w:rsid w:val="004A1A1C"/>
    <w:rsid w:val="004A571B"/>
    <w:rsid w:val="004A5EA6"/>
    <w:rsid w:val="004A60DC"/>
    <w:rsid w:val="004A60EF"/>
    <w:rsid w:val="004A63F1"/>
    <w:rsid w:val="004A6654"/>
    <w:rsid w:val="004A7812"/>
    <w:rsid w:val="004B1172"/>
    <w:rsid w:val="004B17A4"/>
    <w:rsid w:val="004B5851"/>
    <w:rsid w:val="004B5D00"/>
    <w:rsid w:val="004B7A55"/>
    <w:rsid w:val="004C1137"/>
    <w:rsid w:val="004C5884"/>
    <w:rsid w:val="004C700C"/>
    <w:rsid w:val="004C7687"/>
    <w:rsid w:val="004D0725"/>
    <w:rsid w:val="004D6D5A"/>
    <w:rsid w:val="004D7DAA"/>
    <w:rsid w:val="004E2696"/>
    <w:rsid w:val="004E29B7"/>
    <w:rsid w:val="004E36C9"/>
    <w:rsid w:val="004E422C"/>
    <w:rsid w:val="004E4590"/>
    <w:rsid w:val="004E5CF0"/>
    <w:rsid w:val="004E7AC5"/>
    <w:rsid w:val="004F071D"/>
    <w:rsid w:val="004F0837"/>
    <w:rsid w:val="004F2B5F"/>
    <w:rsid w:val="004F3F0D"/>
    <w:rsid w:val="004F65F6"/>
    <w:rsid w:val="005021B5"/>
    <w:rsid w:val="00503362"/>
    <w:rsid w:val="00503EA7"/>
    <w:rsid w:val="00506E70"/>
    <w:rsid w:val="005149C2"/>
    <w:rsid w:val="0051585C"/>
    <w:rsid w:val="00515EFF"/>
    <w:rsid w:val="005160B4"/>
    <w:rsid w:val="00516DE1"/>
    <w:rsid w:val="00517A62"/>
    <w:rsid w:val="00521002"/>
    <w:rsid w:val="005217C6"/>
    <w:rsid w:val="005219E5"/>
    <w:rsid w:val="00522B50"/>
    <w:rsid w:val="0052375A"/>
    <w:rsid w:val="005240D0"/>
    <w:rsid w:val="00524D0A"/>
    <w:rsid w:val="0052711B"/>
    <w:rsid w:val="00527674"/>
    <w:rsid w:val="00527F5D"/>
    <w:rsid w:val="00531506"/>
    <w:rsid w:val="005326F8"/>
    <w:rsid w:val="00534B0D"/>
    <w:rsid w:val="005356E6"/>
    <w:rsid w:val="00537B18"/>
    <w:rsid w:val="00540A2A"/>
    <w:rsid w:val="00540AF5"/>
    <w:rsid w:val="00540FCE"/>
    <w:rsid w:val="00541AD0"/>
    <w:rsid w:val="00541F5F"/>
    <w:rsid w:val="00543C7A"/>
    <w:rsid w:val="0054432F"/>
    <w:rsid w:val="00545173"/>
    <w:rsid w:val="005476F4"/>
    <w:rsid w:val="00551DC8"/>
    <w:rsid w:val="00551F87"/>
    <w:rsid w:val="005533B3"/>
    <w:rsid w:val="00553772"/>
    <w:rsid w:val="00553C44"/>
    <w:rsid w:val="00553D49"/>
    <w:rsid w:val="005551EB"/>
    <w:rsid w:val="005556A1"/>
    <w:rsid w:val="005563BE"/>
    <w:rsid w:val="00556D90"/>
    <w:rsid w:val="005611B9"/>
    <w:rsid w:val="00561A5D"/>
    <w:rsid w:val="00562403"/>
    <w:rsid w:val="00564224"/>
    <w:rsid w:val="005643EB"/>
    <w:rsid w:val="0056552A"/>
    <w:rsid w:val="0056555C"/>
    <w:rsid w:val="0056712E"/>
    <w:rsid w:val="0057249A"/>
    <w:rsid w:val="00573218"/>
    <w:rsid w:val="0057368F"/>
    <w:rsid w:val="00574EF9"/>
    <w:rsid w:val="00580E5A"/>
    <w:rsid w:val="00581C8D"/>
    <w:rsid w:val="005835C3"/>
    <w:rsid w:val="00585419"/>
    <w:rsid w:val="0058544D"/>
    <w:rsid w:val="00585500"/>
    <w:rsid w:val="00585A5D"/>
    <w:rsid w:val="00591743"/>
    <w:rsid w:val="00591F44"/>
    <w:rsid w:val="0059248B"/>
    <w:rsid w:val="0059286E"/>
    <w:rsid w:val="00592890"/>
    <w:rsid w:val="00593018"/>
    <w:rsid w:val="005944F4"/>
    <w:rsid w:val="005975C2"/>
    <w:rsid w:val="005A21A4"/>
    <w:rsid w:val="005A35E4"/>
    <w:rsid w:val="005A394F"/>
    <w:rsid w:val="005A3F36"/>
    <w:rsid w:val="005A57AC"/>
    <w:rsid w:val="005A7594"/>
    <w:rsid w:val="005B02D7"/>
    <w:rsid w:val="005B1D31"/>
    <w:rsid w:val="005B20ED"/>
    <w:rsid w:val="005B4D79"/>
    <w:rsid w:val="005B4EEE"/>
    <w:rsid w:val="005B676F"/>
    <w:rsid w:val="005B6D12"/>
    <w:rsid w:val="005B6E64"/>
    <w:rsid w:val="005C2D58"/>
    <w:rsid w:val="005C7565"/>
    <w:rsid w:val="005C7BA5"/>
    <w:rsid w:val="005D004A"/>
    <w:rsid w:val="005D0D27"/>
    <w:rsid w:val="005D1A9F"/>
    <w:rsid w:val="005D20A4"/>
    <w:rsid w:val="005D309A"/>
    <w:rsid w:val="005D31A6"/>
    <w:rsid w:val="005D56EB"/>
    <w:rsid w:val="005D575E"/>
    <w:rsid w:val="005D7729"/>
    <w:rsid w:val="005E0479"/>
    <w:rsid w:val="005E185F"/>
    <w:rsid w:val="005E2513"/>
    <w:rsid w:val="005E3533"/>
    <w:rsid w:val="005E3759"/>
    <w:rsid w:val="005E39B3"/>
    <w:rsid w:val="005E44F9"/>
    <w:rsid w:val="005E55DD"/>
    <w:rsid w:val="005F2605"/>
    <w:rsid w:val="005F2B54"/>
    <w:rsid w:val="00601C6D"/>
    <w:rsid w:val="00611787"/>
    <w:rsid w:val="0061199B"/>
    <w:rsid w:val="00611F52"/>
    <w:rsid w:val="00613C29"/>
    <w:rsid w:val="006141B5"/>
    <w:rsid w:val="0062143D"/>
    <w:rsid w:val="00621787"/>
    <w:rsid w:val="00621D29"/>
    <w:rsid w:val="0062240C"/>
    <w:rsid w:val="0062387F"/>
    <w:rsid w:val="00624D8B"/>
    <w:rsid w:val="0062674F"/>
    <w:rsid w:val="00626CAA"/>
    <w:rsid w:val="00631059"/>
    <w:rsid w:val="00632EC2"/>
    <w:rsid w:val="00634CD3"/>
    <w:rsid w:val="006360C7"/>
    <w:rsid w:val="00637A31"/>
    <w:rsid w:val="00640B5D"/>
    <w:rsid w:val="00644993"/>
    <w:rsid w:val="00644F9B"/>
    <w:rsid w:val="00647E72"/>
    <w:rsid w:val="00651074"/>
    <w:rsid w:val="0065170E"/>
    <w:rsid w:val="006517E6"/>
    <w:rsid w:val="00653724"/>
    <w:rsid w:val="00653C04"/>
    <w:rsid w:val="00654AD5"/>
    <w:rsid w:val="006571EE"/>
    <w:rsid w:val="00657954"/>
    <w:rsid w:val="00661FD3"/>
    <w:rsid w:val="00662DFF"/>
    <w:rsid w:val="006635A0"/>
    <w:rsid w:val="00664776"/>
    <w:rsid w:val="006659AF"/>
    <w:rsid w:val="00666A43"/>
    <w:rsid w:val="00667509"/>
    <w:rsid w:val="00673D06"/>
    <w:rsid w:val="00674567"/>
    <w:rsid w:val="006745D3"/>
    <w:rsid w:val="00674986"/>
    <w:rsid w:val="00674D8A"/>
    <w:rsid w:val="00676A85"/>
    <w:rsid w:val="00677AE5"/>
    <w:rsid w:val="00677B28"/>
    <w:rsid w:val="00681E28"/>
    <w:rsid w:val="00684914"/>
    <w:rsid w:val="006860F1"/>
    <w:rsid w:val="00687233"/>
    <w:rsid w:val="0069016A"/>
    <w:rsid w:val="006918BA"/>
    <w:rsid w:val="00693660"/>
    <w:rsid w:val="00693E8C"/>
    <w:rsid w:val="00695688"/>
    <w:rsid w:val="006960EE"/>
    <w:rsid w:val="006A0E66"/>
    <w:rsid w:val="006A1F87"/>
    <w:rsid w:val="006A27AD"/>
    <w:rsid w:val="006A39B0"/>
    <w:rsid w:val="006A60B0"/>
    <w:rsid w:val="006A6555"/>
    <w:rsid w:val="006A7C32"/>
    <w:rsid w:val="006B1232"/>
    <w:rsid w:val="006B157A"/>
    <w:rsid w:val="006B1B14"/>
    <w:rsid w:val="006B21BA"/>
    <w:rsid w:val="006B25BC"/>
    <w:rsid w:val="006B2676"/>
    <w:rsid w:val="006B48FE"/>
    <w:rsid w:val="006B59F8"/>
    <w:rsid w:val="006B6756"/>
    <w:rsid w:val="006C11DB"/>
    <w:rsid w:val="006C2FEB"/>
    <w:rsid w:val="006C409B"/>
    <w:rsid w:val="006C560B"/>
    <w:rsid w:val="006C5F64"/>
    <w:rsid w:val="006C6D84"/>
    <w:rsid w:val="006C7860"/>
    <w:rsid w:val="006C7D07"/>
    <w:rsid w:val="006D1315"/>
    <w:rsid w:val="006D161F"/>
    <w:rsid w:val="006D193F"/>
    <w:rsid w:val="006D1B01"/>
    <w:rsid w:val="006D2120"/>
    <w:rsid w:val="006D29F3"/>
    <w:rsid w:val="006D3EFA"/>
    <w:rsid w:val="006D4BF5"/>
    <w:rsid w:val="006D665D"/>
    <w:rsid w:val="006D6FDA"/>
    <w:rsid w:val="006D7BC6"/>
    <w:rsid w:val="006E2AB5"/>
    <w:rsid w:val="006E45B8"/>
    <w:rsid w:val="006E492D"/>
    <w:rsid w:val="006E5DC1"/>
    <w:rsid w:val="006E6D21"/>
    <w:rsid w:val="006E6F28"/>
    <w:rsid w:val="006F0C4E"/>
    <w:rsid w:val="006F1BE2"/>
    <w:rsid w:val="006F1F9B"/>
    <w:rsid w:val="006F283A"/>
    <w:rsid w:val="006F2ABC"/>
    <w:rsid w:val="006F484E"/>
    <w:rsid w:val="006F4EFD"/>
    <w:rsid w:val="006F5175"/>
    <w:rsid w:val="006F51C5"/>
    <w:rsid w:val="0070189C"/>
    <w:rsid w:val="00702B0B"/>
    <w:rsid w:val="007033B5"/>
    <w:rsid w:val="00705688"/>
    <w:rsid w:val="00706F40"/>
    <w:rsid w:val="00712018"/>
    <w:rsid w:val="00714010"/>
    <w:rsid w:val="00715184"/>
    <w:rsid w:val="007168A2"/>
    <w:rsid w:val="00716C76"/>
    <w:rsid w:val="00717079"/>
    <w:rsid w:val="0072172D"/>
    <w:rsid w:val="00725CA5"/>
    <w:rsid w:val="00726547"/>
    <w:rsid w:val="00727F5A"/>
    <w:rsid w:val="00730C1F"/>
    <w:rsid w:val="007320C2"/>
    <w:rsid w:val="00733483"/>
    <w:rsid w:val="00733DD4"/>
    <w:rsid w:val="00734371"/>
    <w:rsid w:val="007356FA"/>
    <w:rsid w:val="007368FD"/>
    <w:rsid w:val="0073735B"/>
    <w:rsid w:val="00742FEF"/>
    <w:rsid w:val="00744E37"/>
    <w:rsid w:val="00747077"/>
    <w:rsid w:val="00750D38"/>
    <w:rsid w:val="00750E52"/>
    <w:rsid w:val="0075230E"/>
    <w:rsid w:val="007542F4"/>
    <w:rsid w:val="007613E3"/>
    <w:rsid w:val="00764117"/>
    <w:rsid w:val="0076544F"/>
    <w:rsid w:val="00765667"/>
    <w:rsid w:val="007673DE"/>
    <w:rsid w:val="00767EB1"/>
    <w:rsid w:val="007725CB"/>
    <w:rsid w:val="00773F0C"/>
    <w:rsid w:val="0077430C"/>
    <w:rsid w:val="0077456C"/>
    <w:rsid w:val="00774704"/>
    <w:rsid w:val="00774A59"/>
    <w:rsid w:val="00774DCB"/>
    <w:rsid w:val="00775B7A"/>
    <w:rsid w:val="00776FD8"/>
    <w:rsid w:val="00785237"/>
    <w:rsid w:val="00785DB8"/>
    <w:rsid w:val="00786E0D"/>
    <w:rsid w:val="007874EC"/>
    <w:rsid w:val="00787ADD"/>
    <w:rsid w:val="00791A76"/>
    <w:rsid w:val="0079232C"/>
    <w:rsid w:val="00793957"/>
    <w:rsid w:val="0079395C"/>
    <w:rsid w:val="00795D47"/>
    <w:rsid w:val="00796BD1"/>
    <w:rsid w:val="00796EDE"/>
    <w:rsid w:val="0079703B"/>
    <w:rsid w:val="007A420B"/>
    <w:rsid w:val="007A45A2"/>
    <w:rsid w:val="007A4755"/>
    <w:rsid w:val="007A49EA"/>
    <w:rsid w:val="007A6448"/>
    <w:rsid w:val="007A764A"/>
    <w:rsid w:val="007A7FDD"/>
    <w:rsid w:val="007B0BA4"/>
    <w:rsid w:val="007B1DE9"/>
    <w:rsid w:val="007B27EA"/>
    <w:rsid w:val="007B29A4"/>
    <w:rsid w:val="007B4536"/>
    <w:rsid w:val="007B6968"/>
    <w:rsid w:val="007C0567"/>
    <w:rsid w:val="007C0D58"/>
    <w:rsid w:val="007C129C"/>
    <w:rsid w:val="007C28B2"/>
    <w:rsid w:val="007C30F7"/>
    <w:rsid w:val="007C3C95"/>
    <w:rsid w:val="007C559D"/>
    <w:rsid w:val="007C560D"/>
    <w:rsid w:val="007D004F"/>
    <w:rsid w:val="007D074B"/>
    <w:rsid w:val="007D2640"/>
    <w:rsid w:val="007D3004"/>
    <w:rsid w:val="007D3497"/>
    <w:rsid w:val="007D445D"/>
    <w:rsid w:val="007D467C"/>
    <w:rsid w:val="007D4A30"/>
    <w:rsid w:val="007D5AB4"/>
    <w:rsid w:val="007D5BED"/>
    <w:rsid w:val="007D5D62"/>
    <w:rsid w:val="007D677C"/>
    <w:rsid w:val="007E1493"/>
    <w:rsid w:val="007E2689"/>
    <w:rsid w:val="007E2C38"/>
    <w:rsid w:val="007E374E"/>
    <w:rsid w:val="007E480F"/>
    <w:rsid w:val="007E4F34"/>
    <w:rsid w:val="007E4FF2"/>
    <w:rsid w:val="007E5861"/>
    <w:rsid w:val="007E68EC"/>
    <w:rsid w:val="007E6DBC"/>
    <w:rsid w:val="007E760C"/>
    <w:rsid w:val="007E7F10"/>
    <w:rsid w:val="007F0D6A"/>
    <w:rsid w:val="007F15E7"/>
    <w:rsid w:val="007F1C30"/>
    <w:rsid w:val="007F1F73"/>
    <w:rsid w:val="007F4028"/>
    <w:rsid w:val="007F5617"/>
    <w:rsid w:val="007F5FE2"/>
    <w:rsid w:val="007F7475"/>
    <w:rsid w:val="007F76DC"/>
    <w:rsid w:val="0080110E"/>
    <w:rsid w:val="008013A5"/>
    <w:rsid w:val="0080140C"/>
    <w:rsid w:val="00801FD9"/>
    <w:rsid w:val="008032C8"/>
    <w:rsid w:val="00804845"/>
    <w:rsid w:val="008104B6"/>
    <w:rsid w:val="00810C1A"/>
    <w:rsid w:val="0081334E"/>
    <w:rsid w:val="00817810"/>
    <w:rsid w:val="00820A15"/>
    <w:rsid w:val="00822BB0"/>
    <w:rsid w:val="0082467E"/>
    <w:rsid w:val="00824748"/>
    <w:rsid w:val="008323C3"/>
    <w:rsid w:val="00834690"/>
    <w:rsid w:val="00834905"/>
    <w:rsid w:val="00834E87"/>
    <w:rsid w:val="008352F7"/>
    <w:rsid w:val="0083621B"/>
    <w:rsid w:val="008364EA"/>
    <w:rsid w:val="00837593"/>
    <w:rsid w:val="00837BC1"/>
    <w:rsid w:val="00840894"/>
    <w:rsid w:val="0084123C"/>
    <w:rsid w:val="00841486"/>
    <w:rsid w:val="00843764"/>
    <w:rsid w:val="00844244"/>
    <w:rsid w:val="00845E05"/>
    <w:rsid w:val="0084745A"/>
    <w:rsid w:val="00854CAD"/>
    <w:rsid w:val="00855F64"/>
    <w:rsid w:val="0085680C"/>
    <w:rsid w:val="00857FE9"/>
    <w:rsid w:val="00860127"/>
    <w:rsid w:val="00861844"/>
    <w:rsid w:val="008638AC"/>
    <w:rsid w:val="00864963"/>
    <w:rsid w:val="00871302"/>
    <w:rsid w:val="008721D4"/>
    <w:rsid w:val="00874090"/>
    <w:rsid w:val="00876943"/>
    <w:rsid w:val="008826DE"/>
    <w:rsid w:val="00884399"/>
    <w:rsid w:val="0088486D"/>
    <w:rsid w:val="00884AE3"/>
    <w:rsid w:val="0089144C"/>
    <w:rsid w:val="00891CD7"/>
    <w:rsid w:val="0089230B"/>
    <w:rsid w:val="00892361"/>
    <w:rsid w:val="008935D2"/>
    <w:rsid w:val="00894304"/>
    <w:rsid w:val="0089510D"/>
    <w:rsid w:val="008963B3"/>
    <w:rsid w:val="008974B1"/>
    <w:rsid w:val="00897796"/>
    <w:rsid w:val="00897802"/>
    <w:rsid w:val="008A2199"/>
    <w:rsid w:val="008A27D1"/>
    <w:rsid w:val="008A5FC5"/>
    <w:rsid w:val="008A68D6"/>
    <w:rsid w:val="008B033E"/>
    <w:rsid w:val="008B0702"/>
    <w:rsid w:val="008B0E7E"/>
    <w:rsid w:val="008B1CF5"/>
    <w:rsid w:val="008B284E"/>
    <w:rsid w:val="008B2EB9"/>
    <w:rsid w:val="008B33AF"/>
    <w:rsid w:val="008B386A"/>
    <w:rsid w:val="008B3C2E"/>
    <w:rsid w:val="008B62E7"/>
    <w:rsid w:val="008C20E5"/>
    <w:rsid w:val="008C311F"/>
    <w:rsid w:val="008C41E8"/>
    <w:rsid w:val="008C5C3E"/>
    <w:rsid w:val="008C649E"/>
    <w:rsid w:val="008C6AF2"/>
    <w:rsid w:val="008C7C31"/>
    <w:rsid w:val="008D2A4A"/>
    <w:rsid w:val="008D46CB"/>
    <w:rsid w:val="008D68C2"/>
    <w:rsid w:val="008D6C8F"/>
    <w:rsid w:val="008E3877"/>
    <w:rsid w:val="008E4EE6"/>
    <w:rsid w:val="008E5F84"/>
    <w:rsid w:val="008F0401"/>
    <w:rsid w:val="008F154A"/>
    <w:rsid w:val="008F2E98"/>
    <w:rsid w:val="008F3F87"/>
    <w:rsid w:val="008F58E1"/>
    <w:rsid w:val="008F5A23"/>
    <w:rsid w:val="008F651E"/>
    <w:rsid w:val="008F6792"/>
    <w:rsid w:val="00901321"/>
    <w:rsid w:val="009022F1"/>
    <w:rsid w:val="00904FE0"/>
    <w:rsid w:val="00905DC8"/>
    <w:rsid w:val="00906049"/>
    <w:rsid w:val="00906BD6"/>
    <w:rsid w:val="00910F0B"/>
    <w:rsid w:val="00911542"/>
    <w:rsid w:val="00913E0E"/>
    <w:rsid w:val="009156E5"/>
    <w:rsid w:val="00920935"/>
    <w:rsid w:val="00922292"/>
    <w:rsid w:val="009238E8"/>
    <w:rsid w:val="00925A6B"/>
    <w:rsid w:val="0092624F"/>
    <w:rsid w:val="00926D18"/>
    <w:rsid w:val="00930162"/>
    <w:rsid w:val="00931999"/>
    <w:rsid w:val="009330CA"/>
    <w:rsid w:val="00933527"/>
    <w:rsid w:val="00934DCA"/>
    <w:rsid w:val="00935D66"/>
    <w:rsid w:val="009365A4"/>
    <w:rsid w:val="00941552"/>
    <w:rsid w:val="0094289D"/>
    <w:rsid w:val="00943109"/>
    <w:rsid w:val="0094359A"/>
    <w:rsid w:val="00945ABE"/>
    <w:rsid w:val="00945C37"/>
    <w:rsid w:val="00945CC2"/>
    <w:rsid w:val="00952B40"/>
    <w:rsid w:val="0095415D"/>
    <w:rsid w:val="00954E02"/>
    <w:rsid w:val="00955D6D"/>
    <w:rsid w:val="00957BD0"/>
    <w:rsid w:val="00960093"/>
    <w:rsid w:val="0096039F"/>
    <w:rsid w:val="0096046A"/>
    <w:rsid w:val="009610BB"/>
    <w:rsid w:val="00963368"/>
    <w:rsid w:val="00964057"/>
    <w:rsid w:val="009648AC"/>
    <w:rsid w:val="009649C5"/>
    <w:rsid w:val="00965657"/>
    <w:rsid w:val="009721F2"/>
    <w:rsid w:val="009767B2"/>
    <w:rsid w:val="00982FED"/>
    <w:rsid w:val="00983124"/>
    <w:rsid w:val="00986FAF"/>
    <w:rsid w:val="009873D3"/>
    <w:rsid w:val="00987FB6"/>
    <w:rsid w:val="0099165C"/>
    <w:rsid w:val="0099549D"/>
    <w:rsid w:val="00995BBA"/>
    <w:rsid w:val="0099622C"/>
    <w:rsid w:val="00996297"/>
    <w:rsid w:val="009A44DE"/>
    <w:rsid w:val="009A48BE"/>
    <w:rsid w:val="009A62BE"/>
    <w:rsid w:val="009A67BF"/>
    <w:rsid w:val="009A6C8E"/>
    <w:rsid w:val="009B1088"/>
    <w:rsid w:val="009B1DE7"/>
    <w:rsid w:val="009B4F62"/>
    <w:rsid w:val="009C0F04"/>
    <w:rsid w:val="009C17EC"/>
    <w:rsid w:val="009C1A33"/>
    <w:rsid w:val="009C1B70"/>
    <w:rsid w:val="009C2138"/>
    <w:rsid w:val="009C4A48"/>
    <w:rsid w:val="009C69B6"/>
    <w:rsid w:val="009C72F0"/>
    <w:rsid w:val="009C794F"/>
    <w:rsid w:val="009C7D99"/>
    <w:rsid w:val="009D025E"/>
    <w:rsid w:val="009D056B"/>
    <w:rsid w:val="009D06FE"/>
    <w:rsid w:val="009D1C63"/>
    <w:rsid w:val="009D1EC1"/>
    <w:rsid w:val="009D3589"/>
    <w:rsid w:val="009D4BE8"/>
    <w:rsid w:val="009D4E1E"/>
    <w:rsid w:val="009D5403"/>
    <w:rsid w:val="009D7C76"/>
    <w:rsid w:val="009E1D98"/>
    <w:rsid w:val="009E1FFA"/>
    <w:rsid w:val="009E2777"/>
    <w:rsid w:val="009E2A67"/>
    <w:rsid w:val="009E3080"/>
    <w:rsid w:val="009E330C"/>
    <w:rsid w:val="009E47A4"/>
    <w:rsid w:val="009E4E88"/>
    <w:rsid w:val="009E6E42"/>
    <w:rsid w:val="009E766B"/>
    <w:rsid w:val="009F006B"/>
    <w:rsid w:val="009F3A6D"/>
    <w:rsid w:val="009F6377"/>
    <w:rsid w:val="009F67B0"/>
    <w:rsid w:val="009F7217"/>
    <w:rsid w:val="00A010CB"/>
    <w:rsid w:val="00A01C95"/>
    <w:rsid w:val="00A03A88"/>
    <w:rsid w:val="00A0468E"/>
    <w:rsid w:val="00A04E51"/>
    <w:rsid w:val="00A054A4"/>
    <w:rsid w:val="00A05DE6"/>
    <w:rsid w:val="00A10308"/>
    <w:rsid w:val="00A108D6"/>
    <w:rsid w:val="00A116F5"/>
    <w:rsid w:val="00A1213B"/>
    <w:rsid w:val="00A12868"/>
    <w:rsid w:val="00A12940"/>
    <w:rsid w:val="00A137A4"/>
    <w:rsid w:val="00A15021"/>
    <w:rsid w:val="00A15B8A"/>
    <w:rsid w:val="00A16F89"/>
    <w:rsid w:val="00A26152"/>
    <w:rsid w:val="00A30B6C"/>
    <w:rsid w:val="00A319A5"/>
    <w:rsid w:val="00A34296"/>
    <w:rsid w:val="00A350DD"/>
    <w:rsid w:val="00A35EFB"/>
    <w:rsid w:val="00A37A36"/>
    <w:rsid w:val="00A40500"/>
    <w:rsid w:val="00A4138C"/>
    <w:rsid w:val="00A41824"/>
    <w:rsid w:val="00A41D72"/>
    <w:rsid w:val="00A42CD0"/>
    <w:rsid w:val="00A42E47"/>
    <w:rsid w:val="00A45013"/>
    <w:rsid w:val="00A452E4"/>
    <w:rsid w:val="00A46FC3"/>
    <w:rsid w:val="00A4760A"/>
    <w:rsid w:val="00A5163A"/>
    <w:rsid w:val="00A52E51"/>
    <w:rsid w:val="00A55477"/>
    <w:rsid w:val="00A566DC"/>
    <w:rsid w:val="00A56756"/>
    <w:rsid w:val="00A605B9"/>
    <w:rsid w:val="00A6258B"/>
    <w:rsid w:val="00A63D37"/>
    <w:rsid w:val="00A64EA6"/>
    <w:rsid w:val="00A64F20"/>
    <w:rsid w:val="00A65D6C"/>
    <w:rsid w:val="00A66BC0"/>
    <w:rsid w:val="00A66CB0"/>
    <w:rsid w:val="00A701EF"/>
    <w:rsid w:val="00A7135D"/>
    <w:rsid w:val="00A71435"/>
    <w:rsid w:val="00A719EC"/>
    <w:rsid w:val="00A74109"/>
    <w:rsid w:val="00A74D1B"/>
    <w:rsid w:val="00A750FB"/>
    <w:rsid w:val="00A77C65"/>
    <w:rsid w:val="00A80091"/>
    <w:rsid w:val="00A82C34"/>
    <w:rsid w:val="00A842E5"/>
    <w:rsid w:val="00A848AF"/>
    <w:rsid w:val="00A8680A"/>
    <w:rsid w:val="00A86888"/>
    <w:rsid w:val="00A90757"/>
    <w:rsid w:val="00A9277F"/>
    <w:rsid w:val="00A93DB3"/>
    <w:rsid w:val="00A9663F"/>
    <w:rsid w:val="00A96707"/>
    <w:rsid w:val="00AA07AB"/>
    <w:rsid w:val="00AA70CF"/>
    <w:rsid w:val="00AB2553"/>
    <w:rsid w:val="00AB2A1C"/>
    <w:rsid w:val="00AB5F81"/>
    <w:rsid w:val="00AB6CAF"/>
    <w:rsid w:val="00AB7394"/>
    <w:rsid w:val="00AC19D4"/>
    <w:rsid w:val="00AC3AA7"/>
    <w:rsid w:val="00AC4567"/>
    <w:rsid w:val="00AC46EA"/>
    <w:rsid w:val="00AC5B93"/>
    <w:rsid w:val="00AC764E"/>
    <w:rsid w:val="00AD0AB5"/>
    <w:rsid w:val="00AD2762"/>
    <w:rsid w:val="00AD3404"/>
    <w:rsid w:val="00AD3659"/>
    <w:rsid w:val="00AD3AAB"/>
    <w:rsid w:val="00AD4503"/>
    <w:rsid w:val="00AD6E75"/>
    <w:rsid w:val="00AE0B19"/>
    <w:rsid w:val="00AE26FD"/>
    <w:rsid w:val="00AE28A0"/>
    <w:rsid w:val="00AE5D14"/>
    <w:rsid w:val="00AE63BD"/>
    <w:rsid w:val="00AF3032"/>
    <w:rsid w:val="00AF3057"/>
    <w:rsid w:val="00AF3670"/>
    <w:rsid w:val="00AF3A3D"/>
    <w:rsid w:val="00AF4986"/>
    <w:rsid w:val="00AF76D2"/>
    <w:rsid w:val="00AF7B71"/>
    <w:rsid w:val="00B014D0"/>
    <w:rsid w:val="00B036C4"/>
    <w:rsid w:val="00B048CC"/>
    <w:rsid w:val="00B055F7"/>
    <w:rsid w:val="00B112A5"/>
    <w:rsid w:val="00B1218F"/>
    <w:rsid w:val="00B149EA"/>
    <w:rsid w:val="00B154D7"/>
    <w:rsid w:val="00B162D8"/>
    <w:rsid w:val="00B178A5"/>
    <w:rsid w:val="00B2193A"/>
    <w:rsid w:val="00B259A5"/>
    <w:rsid w:val="00B25F12"/>
    <w:rsid w:val="00B26114"/>
    <w:rsid w:val="00B27F32"/>
    <w:rsid w:val="00B30536"/>
    <w:rsid w:val="00B3147B"/>
    <w:rsid w:val="00B33952"/>
    <w:rsid w:val="00B369CA"/>
    <w:rsid w:val="00B37963"/>
    <w:rsid w:val="00B37DEE"/>
    <w:rsid w:val="00B40943"/>
    <w:rsid w:val="00B40CAD"/>
    <w:rsid w:val="00B40DBB"/>
    <w:rsid w:val="00B424DF"/>
    <w:rsid w:val="00B43178"/>
    <w:rsid w:val="00B432FF"/>
    <w:rsid w:val="00B4583B"/>
    <w:rsid w:val="00B46A01"/>
    <w:rsid w:val="00B46D17"/>
    <w:rsid w:val="00B536F5"/>
    <w:rsid w:val="00B54701"/>
    <w:rsid w:val="00B55C59"/>
    <w:rsid w:val="00B56947"/>
    <w:rsid w:val="00B63A18"/>
    <w:rsid w:val="00B65EBF"/>
    <w:rsid w:val="00B6610E"/>
    <w:rsid w:val="00B6657E"/>
    <w:rsid w:val="00B71726"/>
    <w:rsid w:val="00B72D5D"/>
    <w:rsid w:val="00B732D1"/>
    <w:rsid w:val="00B75E06"/>
    <w:rsid w:val="00B7618A"/>
    <w:rsid w:val="00B773DC"/>
    <w:rsid w:val="00B8305B"/>
    <w:rsid w:val="00B84A4E"/>
    <w:rsid w:val="00B87975"/>
    <w:rsid w:val="00B90AC8"/>
    <w:rsid w:val="00B90F58"/>
    <w:rsid w:val="00B9295E"/>
    <w:rsid w:val="00B94087"/>
    <w:rsid w:val="00B944E8"/>
    <w:rsid w:val="00B95F3E"/>
    <w:rsid w:val="00B9699C"/>
    <w:rsid w:val="00B975E5"/>
    <w:rsid w:val="00B97DAC"/>
    <w:rsid w:val="00BA072D"/>
    <w:rsid w:val="00BA4DAA"/>
    <w:rsid w:val="00BA6A19"/>
    <w:rsid w:val="00BA7BFC"/>
    <w:rsid w:val="00BB1E3B"/>
    <w:rsid w:val="00BB3561"/>
    <w:rsid w:val="00BB469D"/>
    <w:rsid w:val="00BB4AD2"/>
    <w:rsid w:val="00BB6564"/>
    <w:rsid w:val="00BC20E1"/>
    <w:rsid w:val="00BC27AF"/>
    <w:rsid w:val="00BC2819"/>
    <w:rsid w:val="00BC3996"/>
    <w:rsid w:val="00BC54DE"/>
    <w:rsid w:val="00BC6487"/>
    <w:rsid w:val="00BC6653"/>
    <w:rsid w:val="00BC6E23"/>
    <w:rsid w:val="00BC7143"/>
    <w:rsid w:val="00BC7438"/>
    <w:rsid w:val="00BD4C60"/>
    <w:rsid w:val="00BD6EE7"/>
    <w:rsid w:val="00BE0F30"/>
    <w:rsid w:val="00BE1451"/>
    <w:rsid w:val="00BE2C81"/>
    <w:rsid w:val="00BE36E3"/>
    <w:rsid w:val="00BE3E3A"/>
    <w:rsid w:val="00BE4B59"/>
    <w:rsid w:val="00BE5466"/>
    <w:rsid w:val="00BE5CF9"/>
    <w:rsid w:val="00BF0193"/>
    <w:rsid w:val="00BF0215"/>
    <w:rsid w:val="00BF090D"/>
    <w:rsid w:val="00BF298E"/>
    <w:rsid w:val="00BF3E5D"/>
    <w:rsid w:val="00BF4537"/>
    <w:rsid w:val="00BF49C7"/>
    <w:rsid w:val="00BF56F1"/>
    <w:rsid w:val="00BF772E"/>
    <w:rsid w:val="00BF7E23"/>
    <w:rsid w:val="00C006B7"/>
    <w:rsid w:val="00C027A6"/>
    <w:rsid w:val="00C035E4"/>
    <w:rsid w:val="00C04180"/>
    <w:rsid w:val="00C063BA"/>
    <w:rsid w:val="00C11037"/>
    <w:rsid w:val="00C13D97"/>
    <w:rsid w:val="00C15761"/>
    <w:rsid w:val="00C15A8A"/>
    <w:rsid w:val="00C160FA"/>
    <w:rsid w:val="00C1759A"/>
    <w:rsid w:val="00C17BC0"/>
    <w:rsid w:val="00C20997"/>
    <w:rsid w:val="00C24AB5"/>
    <w:rsid w:val="00C24E70"/>
    <w:rsid w:val="00C25A0E"/>
    <w:rsid w:val="00C25B4D"/>
    <w:rsid w:val="00C25E4F"/>
    <w:rsid w:val="00C271D4"/>
    <w:rsid w:val="00C27305"/>
    <w:rsid w:val="00C27B49"/>
    <w:rsid w:val="00C30678"/>
    <w:rsid w:val="00C30F08"/>
    <w:rsid w:val="00C33C01"/>
    <w:rsid w:val="00C34516"/>
    <w:rsid w:val="00C4073D"/>
    <w:rsid w:val="00C46A94"/>
    <w:rsid w:val="00C537AE"/>
    <w:rsid w:val="00C55447"/>
    <w:rsid w:val="00C574FE"/>
    <w:rsid w:val="00C60087"/>
    <w:rsid w:val="00C6075C"/>
    <w:rsid w:val="00C61389"/>
    <w:rsid w:val="00C61FFA"/>
    <w:rsid w:val="00C621BA"/>
    <w:rsid w:val="00C622AB"/>
    <w:rsid w:val="00C6611B"/>
    <w:rsid w:val="00C6722A"/>
    <w:rsid w:val="00C70C87"/>
    <w:rsid w:val="00C72DB8"/>
    <w:rsid w:val="00C730FC"/>
    <w:rsid w:val="00C73E18"/>
    <w:rsid w:val="00C7728E"/>
    <w:rsid w:val="00C77CFD"/>
    <w:rsid w:val="00C81A4F"/>
    <w:rsid w:val="00C81BD2"/>
    <w:rsid w:val="00C81EB3"/>
    <w:rsid w:val="00C846A0"/>
    <w:rsid w:val="00C84D64"/>
    <w:rsid w:val="00C84EBB"/>
    <w:rsid w:val="00C85A1F"/>
    <w:rsid w:val="00C867EE"/>
    <w:rsid w:val="00C92B7D"/>
    <w:rsid w:val="00C933CF"/>
    <w:rsid w:val="00C96A40"/>
    <w:rsid w:val="00C96D74"/>
    <w:rsid w:val="00CA155F"/>
    <w:rsid w:val="00CA42E5"/>
    <w:rsid w:val="00CA4A35"/>
    <w:rsid w:val="00CA6AD3"/>
    <w:rsid w:val="00CA7DC8"/>
    <w:rsid w:val="00CB112B"/>
    <w:rsid w:val="00CB270D"/>
    <w:rsid w:val="00CB3970"/>
    <w:rsid w:val="00CB57C0"/>
    <w:rsid w:val="00CB779E"/>
    <w:rsid w:val="00CB7CA9"/>
    <w:rsid w:val="00CC02EA"/>
    <w:rsid w:val="00CC17CF"/>
    <w:rsid w:val="00CC1936"/>
    <w:rsid w:val="00CC3509"/>
    <w:rsid w:val="00CC38F1"/>
    <w:rsid w:val="00CC56C6"/>
    <w:rsid w:val="00CC5B8C"/>
    <w:rsid w:val="00CC5BE6"/>
    <w:rsid w:val="00CC649B"/>
    <w:rsid w:val="00CC7186"/>
    <w:rsid w:val="00CD164C"/>
    <w:rsid w:val="00CD2AF4"/>
    <w:rsid w:val="00CD4005"/>
    <w:rsid w:val="00CD439B"/>
    <w:rsid w:val="00CE126F"/>
    <w:rsid w:val="00CE144E"/>
    <w:rsid w:val="00CE165C"/>
    <w:rsid w:val="00CE41AC"/>
    <w:rsid w:val="00CE4CD5"/>
    <w:rsid w:val="00CE73FC"/>
    <w:rsid w:val="00CF0AC1"/>
    <w:rsid w:val="00CF2009"/>
    <w:rsid w:val="00CF2CD5"/>
    <w:rsid w:val="00CF2D0A"/>
    <w:rsid w:val="00CF5EC9"/>
    <w:rsid w:val="00D008A4"/>
    <w:rsid w:val="00D01DA0"/>
    <w:rsid w:val="00D03773"/>
    <w:rsid w:val="00D03ED0"/>
    <w:rsid w:val="00D0427E"/>
    <w:rsid w:val="00D0588C"/>
    <w:rsid w:val="00D10A6E"/>
    <w:rsid w:val="00D139E3"/>
    <w:rsid w:val="00D13B4C"/>
    <w:rsid w:val="00D14C19"/>
    <w:rsid w:val="00D14F0C"/>
    <w:rsid w:val="00D2000A"/>
    <w:rsid w:val="00D21B72"/>
    <w:rsid w:val="00D27398"/>
    <w:rsid w:val="00D27BDE"/>
    <w:rsid w:val="00D304DC"/>
    <w:rsid w:val="00D32461"/>
    <w:rsid w:val="00D32609"/>
    <w:rsid w:val="00D344EE"/>
    <w:rsid w:val="00D3599F"/>
    <w:rsid w:val="00D3645B"/>
    <w:rsid w:val="00D37E85"/>
    <w:rsid w:val="00D444AC"/>
    <w:rsid w:val="00D4517C"/>
    <w:rsid w:val="00D45422"/>
    <w:rsid w:val="00D46D07"/>
    <w:rsid w:val="00D51540"/>
    <w:rsid w:val="00D55B2E"/>
    <w:rsid w:val="00D571B4"/>
    <w:rsid w:val="00D6573D"/>
    <w:rsid w:val="00D65B34"/>
    <w:rsid w:val="00D66588"/>
    <w:rsid w:val="00D673EA"/>
    <w:rsid w:val="00D67853"/>
    <w:rsid w:val="00D70FBF"/>
    <w:rsid w:val="00D738AB"/>
    <w:rsid w:val="00D745B9"/>
    <w:rsid w:val="00D74735"/>
    <w:rsid w:val="00D74CCE"/>
    <w:rsid w:val="00D765FE"/>
    <w:rsid w:val="00D802B8"/>
    <w:rsid w:val="00D808F4"/>
    <w:rsid w:val="00D82594"/>
    <w:rsid w:val="00D8271C"/>
    <w:rsid w:val="00D82ED1"/>
    <w:rsid w:val="00D858A7"/>
    <w:rsid w:val="00D85AA6"/>
    <w:rsid w:val="00D924FF"/>
    <w:rsid w:val="00D95084"/>
    <w:rsid w:val="00D978B3"/>
    <w:rsid w:val="00DA0CA7"/>
    <w:rsid w:val="00DA13B0"/>
    <w:rsid w:val="00DA1680"/>
    <w:rsid w:val="00DA29D2"/>
    <w:rsid w:val="00DA31DD"/>
    <w:rsid w:val="00DA3414"/>
    <w:rsid w:val="00DA3670"/>
    <w:rsid w:val="00DA4FEE"/>
    <w:rsid w:val="00DA5626"/>
    <w:rsid w:val="00DA5E00"/>
    <w:rsid w:val="00DA77AF"/>
    <w:rsid w:val="00DB0FEA"/>
    <w:rsid w:val="00DB16CA"/>
    <w:rsid w:val="00DB2CB0"/>
    <w:rsid w:val="00DB6CE6"/>
    <w:rsid w:val="00DC1CCF"/>
    <w:rsid w:val="00DC2826"/>
    <w:rsid w:val="00DC2A3E"/>
    <w:rsid w:val="00DC2D4F"/>
    <w:rsid w:val="00DC3F29"/>
    <w:rsid w:val="00DC4D82"/>
    <w:rsid w:val="00DC76C6"/>
    <w:rsid w:val="00DC7F23"/>
    <w:rsid w:val="00DD1951"/>
    <w:rsid w:val="00DD2518"/>
    <w:rsid w:val="00DD45C5"/>
    <w:rsid w:val="00DD7158"/>
    <w:rsid w:val="00DE0515"/>
    <w:rsid w:val="00DE1DF5"/>
    <w:rsid w:val="00DE2E45"/>
    <w:rsid w:val="00DE4B42"/>
    <w:rsid w:val="00DE5F6C"/>
    <w:rsid w:val="00DF1BB3"/>
    <w:rsid w:val="00DF1EDB"/>
    <w:rsid w:val="00E0090C"/>
    <w:rsid w:val="00E027BA"/>
    <w:rsid w:val="00E04217"/>
    <w:rsid w:val="00E05D8B"/>
    <w:rsid w:val="00E1145C"/>
    <w:rsid w:val="00E11F24"/>
    <w:rsid w:val="00E133C3"/>
    <w:rsid w:val="00E1781C"/>
    <w:rsid w:val="00E21213"/>
    <w:rsid w:val="00E21ABB"/>
    <w:rsid w:val="00E21D4F"/>
    <w:rsid w:val="00E21E08"/>
    <w:rsid w:val="00E21EF7"/>
    <w:rsid w:val="00E22B40"/>
    <w:rsid w:val="00E245D5"/>
    <w:rsid w:val="00E249D7"/>
    <w:rsid w:val="00E255D8"/>
    <w:rsid w:val="00E27A27"/>
    <w:rsid w:val="00E30A1A"/>
    <w:rsid w:val="00E33E46"/>
    <w:rsid w:val="00E40AF8"/>
    <w:rsid w:val="00E44B58"/>
    <w:rsid w:val="00E454C6"/>
    <w:rsid w:val="00E520C9"/>
    <w:rsid w:val="00E547A5"/>
    <w:rsid w:val="00E56F25"/>
    <w:rsid w:val="00E57306"/>
    <w:rsid w:val="00E61567"/>
    <w:rsid w:val="00E61C79"/>
    <w:rsid w:val="00E62ECF"/>
    <w:rsid w:val="00E637F4"/>
    <w:rsid w:val="00E666F9"/>
    <w:rsid w:val="00E71306"/>
    <w:rsid w:val="00E7364B"/>
    <w:rsid w:val="00E73F39"/>
    <w:rsid w:val="00E7670C"/>
    <w:rsid w:val="00E81171"/>
    <w:rsid w:val="00E82514"/>
    <w:rsid w:val="00E83223"/>
    <w:rsid w:val="00E839DB"/>
    <w:rsid w:val="00E84666"/>
    <w:rsid w:val="00E8551F"/>
    <w:rsid w:val="00E8660B"/>
    <w:rsid w:val="00E92783"/>
    <w:rsid w:val="00E92FB4"/>
    <w:rsid w:val="00E94442"/>
    <w:rsid w:val="00E957CE"/>
    <w:rsid w:val="00E95C1C"/>
    <w:rsid w:val="00E9603A"/>
    <w:rsid w:val="00EA1A4C"/>
    <w:rsid w:val="00EA39E3"/>
    <w:rsid w:val="00EA479B"/>
    <w:rsid w:val="00EA71F4"/>
    <w:rsid w:val="00EB10E3"/>
    <w:rsid w:val="00EB19AD"/>
    <w:rsid w:val="00EB1E9B"/>
    <w:rsid w:val="00EB21DA"/>
    <w:rsid w:val="00EB2421"/>
    <w:rsid w:val="00EB258C"/>
    <w:rsid w:val="00EB333A"/>
    <w:rsid w:val="00EB347A"/>
    <w:rsid w:val="00EB381D"/>
    <w:rsid w:val="00EB7B9D"/>
    <w:rsid w:val="00EC1008"/>
    <w:rsid w:val="00EC2C03"/>
    <w:rsid w:val="00EC31F6"/>
    <w:rsid w:val="00EC38EB"/>
    <w:rsid w:val="00EC3DFE"/>
    <w:rsid w:val="00EC4038"/>
    <w:rsid w:val="00EC7788"/>
    <w:rsid w:val="00ED02EF"/>
    <w:rsid w:val="00ED18FA"/>
    <w:rsid w:val="00ED3EA2"/>
    <w:rsid w:val="00ED4771"/>
    <w:rsid w:val="00ED58B5"/>
    <w:rsid w:val="00ED78C3"/>
    <w:rsid w:val="00EE2DFF"/>
    <w:rsid w:val="00EE55D8"/>
    <w:rsid w:val="00EE5669"/>
    <w:rsid w:val="00EE5B34"/>
    <w:rsid w:val="00EE685D"/>
    <w:rsid w:val="00EF0A12"/>
    <w:rsid w:val="00EF0D01"/>
    <w:rsid w:val="00EF47DC"/>
    <w:rsid w:val="00EF5899"/>
    <w:rsid w:val="00EF63F3"/>
    <w:rsid w:val="00EF6E44"/>
    <w:rsid w:val="00EF7EAB"/>
    <w:rsid w:val="00F1009A"/>
    <w:rsid w:val="00F10251"/>
    <w:rsid w:val="00F13B60"/>
    <w:rsid w:val="00F14CD0"/>
    <w:rsid w:val="00F150C2"/>
    <w:rsid w:val="00F16927"/>
    <w:rsid w:val="00F22B0E"/>
    <w:rsid w:val="00F22BC6"/>
    <w:rsid w:val="00F23953"/>
    <w:rsid w:val="00F26588"/>
    <w:rsid w:val="00F3090F"/>
    <w:rsid w:val="00F31562"/>
    <w:rsid w:val="00F32A3C"/>
    <w:rsid w:val="00F32C5F"/>
    <w:rsid w:val="00F33840"/>
    <w:rsid w:val="00F34952"/>
    <w:rsid w:val="00F3739B"/>
    <w:rsid w:val="00F40BD0"/>
    <w:rsid w:val="00F4125B"/>
    <w:rsid w:val="00F4273F"/>
    <w:rsid w:val="00F4373C"/>
    <w:rsid w:val="00F46C6C"/>
    <w:rsid w:val="00F5089F"/>
    <w:rsid w:val="00F519F7"/>
    <w:rsid w:val="00F52E60"/>
    <w:rsid w:val="00F553F4"/>
    <w:rsid w:val="00F57B45"/>
    <w:rsid w:val="00F61013"/>
    <w:rsid w:val="00F62BAE"/>
    <w:rsid w:val="00F644C5"/>
    <w:rsid w:val="00F64580"/>
    <w:rsid w:val="00F66027"/>
    <w:rsid w:val="00F6641A"/>
    <w:rsid w:val="00F67DDE"/>
    <w:rsid w:val="00F72C57"/>
    <w:rsid w:val="00F731B1"/>
    <w:rsid w:val="00F7597C"/>
    <w:rsid w:val="00F75B84"/>
    <w:rsid w:val="00F75F27"/>
    <w:rsid w:val="00F800E3"/>
    <w:rsid w:val="00F80F4F"/>
    <w:rsid w:val="00F823B3"/>
    <w:rsid w:val="00F83146"/>
    <w:rsid w:val="00F84701"/>
    <w:rsid w:val="00F90E9D"/>
    <w:rsid w:val="00F92FCB"/>
    <w:rsid w:val="00F9598C"/>
    <w:rsid w:val="00F962AD"/>
    <w:rsid w:val="00F96EA9"/>
    <w:rsid w:val="00F97FF9"/>
    <w:rsid w:val="00FA127C"/>
    <w:rsid w:val="00FA1BEA"/>
    <w:rsid w:val="00FA35E2"/>
    <w:rsid w:val="00FA484E"/>
    <w:rsid w:val="00FA55C3"/>
    <w:rsid w:val="00FA5667"/>
    <w:rsid w:val="00FA5FCB"/>
    <w:rsid w:val="00FA6275"/>
    <w:rsid w:val="00FB119E"/>
    <w:rsid w:val="00FB1A0D"/>
    <w:rsid w:val="00FB24BC"/>
    <w:rsid w:val="00FB3536"/>
    <w:rsid w:val="00FB3DCF"/>
    <w:rsid w:val="00FB49A9"/>
    <w:rsid w:val="00FB6BBF"/>
    <w:rsid w:val="00FC00AF"/>
    <w:rsid w:val="00FC0608"/>
    <w:rsid w:val="00FC1399"/>
    <w:rsid w:val="00FC13DC"/>
    <w:rsid w:val="00FC14EE"/>
    <w:rsid w:val="00FC1D16"/>
    <w:rsid w:val="00FC2BF2"/>
    <w:rsid w:val="00FC4B71"/>
    <w:rsid w:val="00FC66DB"/>
    <w:rsid w:val="00FC6762"/>
    <w:rsid w:val="00FD13E9"/>
    <w:rsid w:val="00FD16A8"/>
    <w:rsid w:val="00FD1E38"/>
    <w:rsid w:val="00FD229F"/>
    <w:rsid w:val="00FD6C95"/>
    <w:rsid w:val="00FD6D96"/>
    <w:rsid w:val="00FE0D0D"/>
    <w:rsid w:val="00FE15ED"/>
    <w:rsid w:val="00FE1BA1"/>
    <w:rsid w:val="00FE2DC6"/>
    <w:rsid w:val="00FE3A8C"/>
    <w:rsid w:val="00FE501E"/>
    <w:rsid w:val="00FE63FA"/>
    <w:rsid w:val="00FE6AA2"/>
    <w:rsid w:val="00FE6F2E"/>
    <w:rsid w:val="00FE7FD3"/>
    <w:rsid w:val="00FF18E7"/>
    <w:rsid w:val="00FF23E9"/>
    <w:rsid w:val="00FF2B53"/>
    <w:rsid w:val="00FF34BD"/>
    <w:rsid w:val="00FF4343"/>
    <w:rsid w:val="00FF4D85"/>
    <w:rsid w:val="00FF7212"/>
    <w:rsid w:val="00FF763F"/>
    <w:rsid w:val="014583C8"/>
    <w:rsid w:val="0168D125"/>
    <w:rsid w:val="01708BDA"/>
    <w:rsid w:val="01ADC814"/>
    <w:rsid w:val="01CA540D"/>
    <w:rsid w:val="020CD54B"/>
    <w:rsid w:val="020F4AFC"/>
    <w:rsid w:val="02437734"/>
    <w:rsid w:val="02A0F38F"/>
    <w:rsid w:val="045F910C"/>
    <w:rsid w:val="04629E35"/>
    <w:rsid w:val="04D669FF"/>
    <w:rsid w:val="05660868"/>
    <w:rsid w:val="06618515"/>
    <w:rsid w:val="06CB5180"/>
    <w:rsid w:val="07014F6C"/>
    <w:rsid w:val="071F05BD"/>
    <w:rsid w:val="07B0F052"/>
    <w:rsid w:val="085ED006"/>
    <w:rsid w:val="0869C31C"/>
    <w:rsid w:val="08F16678"/>
    <w:rsid w:val="092EB5DA"/>
    <w:rsid w:val="09CD914E"/>
    <w:rsid w:val="0A227C3D"/>
    <w:rsid w:val="0A985F57"/>
    <w:rsid w:val="0B459A92"/>
    <w:rsid w:val="0B881E7E"/>
    <w:rsid w:val="0BF0C1F5"/>
    <w:rsid w:val="0C4904C5"/>
    <w:rsid w:val="0D87D454"/>
    <w:rsid w:val="0E0AAF6B"/>
    <w:rsid w:val="0E93FBCE"/>
    <w:rsid w:val="0EB8E3F7"/>
    <w:rsid w:val="10014519"/>
    <w:rsid w:val="10230CB7"/>
    <w:rsid w:val="1062E33F"/>
    <w:rsid w:val="1077B445"/>
    <w:rsid w:val="11467E12"/>
    <w:rsid w:val="114AF8CD"/>
    <w:rsid w:val="118FEFBC"/>
    <w:rsid w:val="11C2EFBF"/>
    <w:rsid w:val="132B522A"/>
    <w:rsid w:val="1385D676"/>
    <w:rsid w:val="13D19A18"/>
    <w:rsid w:val="14122587"/>
    <w:rsid w:val="14AA6D0D"/>
    <w:rsid w:val="16408E56"/>
    <w:rsid w:val="17010BFD"/>
    <w:rsid w:val="170A4AC3"/>
    <w:rsid w:val="17D3F951"/>
    <w:rsid w:val="18376F48"/>
    <w:rsid w:val="185DFFD5"/>
    <w:rsid w:val="18F8F2EB"/>
    <w:rsid w:val="19AADBB2"/>
    <w:rsid w:val="1A0EB32E"/>
    <w:rsid w:val="1A7C9AD7"/>
    <w:rsid w:val="1AE5D874"/>
    <w:rsid w:val="1B42C8D0"/>
    <w:rsid w:val="1BF1F741"/>
    <w:rsid w:val="1C2B2C6D"/>
    <w:rsid w:val="1D4D7FEC"/>
    <w:rsid w:val="1D6EAD32"/>
    <w:rsid w:val="1E329C56"/>
    <w:rsid w:val="1E83A04B"/>
    <w:rsid w:val="1FEF916C"/>
    <w:rsid w:val="2098F360"/>
    <w:rsid w:val="210A618D"/>
    <w:rsid w:val="2278CBFC"/>
    <w:rsid w:val="22CDC467"/>
    <w:rsid w:val="2300F73B"/>
    <w:rsid w:val="23501BC3"/>
    <w:rsid w:val="23BA3F80"/>
    <w:rsid w:val="23D43BC3"/>
    <w:rsid w:val="24BAE72C"/>
    <w:rsid w:val="24D2E099"/>
    <w:rsid w:val="24F60CC0"/>
    <w:rsid w:val="250798D0"/>
    <w:rsid w:val="25195CEB"/>
    <w:rsid w:val="252ED1D6"/>
    <w:rsid w:val="259E8A9C"/>
    <w:rsid w:val="25A3E241"/>
    <w:rsid w:val="26082988"/>
    <w:rsid w:val="26E09524"/>
    <w:rsid w:val="2799ADA6"/>
    <w:rsid w:val="28071808"/>
    <w:rsid w:val="2809E9E3"/>
    <w:rsid w:val="28CAA387"/>
    <w:rsid w:val="29A35C64"/>
    <w:rsid w:val="2A76EEBD"/>
    <w:rsid w:val="2AD0B6F0"/>
    <w:rsid w:val="2EC15648"/>
    <w:rsid w:val="2FFB01BE"/>
    <w:rsid w:val="2FFC30E4"/>
    <w:rsid w:val="3095CE2B"/>
    <w:rsid w:val="30EF965E"/>
    <w:rsid w:val="3117CE83"/>
    <w:rsid w:val="32EEB00F"/>
    <w:rsid w:val="3389A325"/>
    <w:rsid w:val="33F9A226"/>
    <w:rsid w:val="34F2774C"/>
    <w:rsid w:val="35420348"/>
    <w:rsid w:val="35555813"/>
    <w:rsid w:val="3559FCB5"/>
    <w:rsid w:val="358FFE32"/>
    <w:rsid w:val="36C76DD3"/>
    <w:rsid w:val="37222EC6"/>
    <w:rsid w:val="37C4CC39"/>
    <w:rsid w:val="37DA4D70"/>
    <w:rsid w:val="37F5FE8C"/>
    <w:rsid w:val="388DEF8A"/>
    <w:rsid w:val="38AE8229"/>
    <w:rsid w:val="39218B29"/>
    <w:rsid w:val="39ADEF02"/>
    <w:rsid w:val="3A74679D"/>
    <w:rsid w:val="3B32CD7B"/>
    <w:rsid w:val="3CE4F84C"/>
    <w:rsid w:val="3D09CD13"/>
    <w:rsid w:val="3D348448"/>
    <w:rsid w:val="3DE99B94"/>
    <w:rsid w:val="3E15ECB2"/>
    <w:rsid w:val="3EFD9B2C"/>
    <w:rsid w:val="40DA74DA"/>
    <w:rsid w:val="4324552A"/>
    <w:rsid w:val="44612520"/>
    <w:rsid w:val="45582712"/>
    <w:rsid w:val="458A19F4"/>
    <w:rsid w:val="45F5EA15"/>
    <w:rsid w:val="46F19993"/>
    <w:rsid w:val="476B48B9"/>
    <w:rsid w:val="49D857FE"/>
    <w:rsid w:val="4B00C6FC"/>
    <w:rsid w:val="4B44067D"/>
    <w:rsid w:val="4D228AED"/>
    <w:rsid w:val="4DA22419"/>
    <w:rsid w:val="4E930934"/>
    <w:rsid w:val="4ED13EBF"/>
    <w:rsid w:val="4EE1403B"/>
    <w:rsid w:val="4F1F4D52"/>
    <w:rsid w:val="4F75C326"/>
    <w:rsid w:val="50179B47"/>
    <w:rsid w:val="50CE6300"/>
    <w:rsid w:val="511B14A4"/>
    <w:rsid w:val="513C8B65"/>
    <w:rsid w:val="52ED30D3"/>
    <w:rsid w:val="54E11DFF"/>
    <w:rsid w:val="55A583CC"/>
    <w:rsid w:val="55AE5113"/>
    <w:rsid w:val="55DF432E"/>
    <w:rsid w:val="5627B222"/>
    <w:rsid w:val="56834754"/>
    <w:rsid w:val="571BE053"/>
    <w:rsid w:val="5727717F"/>
    <w:rsid w:val="575B6029"/>
    <w:rsid w:val="5790F9D4"/>
    <w:rsid w:val="57D359F4"/>
    <w:rsid w:val="58D15589"/>
    <w:rsid w:val="592673B0"/>
    <w:rsid w:val="59278481"/>
    <w:rsid w:val="5BCB2299"/>
    <w:rsid w:val="5CB93A92"/>
    <w:rsid w:val="5DAE76D1"/>
    <w:rsid w:val="5DBE784D"/>
    <w:rsid w:val="5E636CC1"/>
    <w:rsid w:val="5F7E708A"/>
    <w:rsid w:val="61043E75"/>
    <w:rsid w:val="633F94B8"/>
    <w:rsid w:val="6341B193"/>
    <w:rsid w:val="636C923A"/>
    <w:rsid w:val="63C91AEF"/>
    <w:rsid w:val="64164B4F"/>
    <w:rsid w:val="65D4B6B7"/>
    <w:rsid w:val="65DC716C"/>
    <w:rsid w:val="660C0602"/>
    <w:rsid w:val="66154255"/>
    <w:rsid w:val="667FDE1A"/>
    <w:rsid w:val="66821850"/>
    <w:rsid w:val="668B6F46"/>
    <w:rsid w:val="673ACFF4"/>
    <w:rsid w:val="6746494F"/>
    <w:rsid w:val="682488D8"/>
    <w:rsid w:val="6859B4FE"/>
    <w:rsid w:val="688CCF57"/>
    <w:rsid w:val="68C107D2"/>
    <w:rsid w:val="68E9BFB3"/>
    <w:rsid w:val="68F6EEBD"/>
    <w:rsid w:val="69141E9D"/>
    <w:rsid w:val="6934F177"/>
    <w:rsid w:val="6A51E917"/>
    <w:rsid w:val="6AB89963"/>
    <w:rsid w:val="6C254133"/>
    <w:rsid w:val="6D06029D"/>
    <w:rsid w:val="6E290870"/>
    <w:rsid w:val="6E9B6188"/>
    <w:rsid w:val="6ED4EBE2"/>
    <w:rsid w:val="6F5C4A7D"/>
    <w:rsid w:val="6FB73112"/>
    <w:rsid w:val="6FC97991"/>
    <w:rsid w:val="70CE0E9F"/>
    <w:rsid w:val="70F9E146"/>
    <w:rsid w:val="7152AD5A"/>
    <w:rsid w:val="727AACA1"/>
    <w:rsid w:val="748EA16C"/>
    <w:rsid w:val="74A1B011"/>
    <w:rsid w:val="754D658D"/>
    <w:rsid w:val="76D1367D"/>
    <w:rsid w:val="76D54F28"/>
    <w:rsid w:val="771580BA"/>
    <w:rsid w:val="77F0B2C8"/>
    <w:rsid w:val="78329C8E"/>
    <w:rsid w:val="79045BB3"/>
    <w:rsid w:val="796B495B"/>
    <w:rsid w:val="7BCB28C0"/>
    <w:rsid w:val="7CFBF51C"/>
    <w:rsid w:val="7DB84B85"/>
    <w:rsid w:val="7F26B5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E9839C"/>
  <w15:chartTrackingRefBased/>
  <w15:docId w15:val="{7C239567-D1B9-42EC-AE09-A46E27B9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1DD"/>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A31DD"/>
    <w:pPr>
      <w:keepNext/>
      <w:keepLines/>
      <w:tabs>
        <w:tab w:val="left" w:pos="342"/>
      </w:tabs>
      <w:spacing w:before="300" w:after="120"/>
      <w:ind w:left="360" w:hanging="360"/>
      <w:outlineLvl w:val="0"/>
    </w:pPr>
    <w:rPr>
      <w:rFonts w:ascii="Arial" w:hAnsi="Arial"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A31DD"/>
    <w:pPr>
      <w:keepNext/>
      <w:keepLines/>
      <w:tabs>
        <w:tab w:val="left" w:pos="513"/>
      </w:tabs>
      <w:spacing w:before="200" w:after="100"/>
      <w:ind w:left="540" w:hanging="540"/>
      <w:outlineLvl w:val="1"/>
    </w:pPr>
    <w:rPr>
      <w:rFonts w:ascii="Arial" w:hAnsi="Arial" w:eastAsiaTheme="majorEastAsia" w:cstheme="majorBidi"/>
      <w:b/>
      <w:bCs/>
      <w:color w:val="4472C4" w:themeColor="accent1"/>
      <w:sz w:val="26"/>
      <w:szCs w:val="26"/>
    </w:rPr>
  </w:style>
  <w:style w:type="paragraph" w:styleId="Heading3">
    <w:name w:val="heading 3"/>
    <w:next w:val="BodyText"/>
    <w:link w:val="Heading3Char"/>
    <w:uiPriority w:val="9"/>
    <w:unhideWhenUsed/>
    <w:rsid w:val="00DA31DD"/>
    <w:pPr>
      <w:keepNext/>
      <w:numPr>
        <w:numId w:val="16"/>
      </w:numPr>
      <w:spacing w:before="180" w:after="60" w:line="240" w:lineRule="auto"/>
      <w:ind w:left="864" w:hanging="432"/>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DD"/>
    <w:rPr>
      <w:rFonts w:ascii="Arial" w:hAnsi="Arial"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A31DD"/>
    <w:rPr>
      <w:rFonts w:ascii="Arial" w:hAnsi="Arial" w:eastAsiaTheme="majorEastAsia" w:cstheme="majorBidi"/>
      <w:b/>
      <w:bCs/>
      <w:color w:val="4472C4" w:themeColor="accent1"/>
      <w:sz w:val="26"/>
      <w:szCs w:val="26"/>
    </w:rPr>
  </w:style>
  <w:style w:type="paragraph" w:styleId="BodyText">
    <w:name w:val="Body Text"/>
    <w:link w:val="BodyTextChar"/>
    <w:uiPriority w:val="99"/>
    <w:unhideWhenUsed/>
    <w:rsid w:val="00DA31DD"/>
    <w:pPr>
      <w:spacing w:after="20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A31D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DA31DD"/>
    <w:rPr>
      <w:rFonts w:ascii="Arial" w:eastAsia="Times New Roman" w:hAnsi="Arial" w:cs="Times New Roman"/>
      <w:b/>
      <w:bCs/>
      <w:sz w:val="24"/>
      <w:szCs w:val="24"/>
    </w:rPr>
  </w:style>
  <w:style w:type="paragraph" w:customStyle="1" w:styleId="Level1">
    <w:name w:val="Level 1"/>
    <w:rsid w:val="00DA31DD"/>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DA31DD"/>
    <w:rPr>
      <w:color w:val="0000FF"/>
      <w:u w:val="single"/>
    </w:rPr>
  </w:style>
  <w:style w:type="paragraph" w:styleId="Header">
    <w:name w:val="header"/>
    <w:basedOn w:val="Normal"/>
    <w:link w:val="HeaderChar"/>
    <w:rsid w:val="00DA31DD"/>
    <w:pPr>
      <w:tabs>
        <w:tab w:val="center" w:pos="4320"/>
        <w:tab w:val="right" w:pos="8640"/>
      </w:tabs>
    </w:pPr>
  </w:style>
  <w:style w:type="character" w:customStyle="1" w:styleId="HeaderChar">
    <w:name w:val="Header Char"/>
    <w:basedOn w:val="DefaultParagraphFont"/>
    <w:link w:val="Header"/>
    <w:rsid w:val="00DA31DD"/>
    <w:rPr>
      <w:rFonts w:ascii="Times New Roman" w:eastAsia="Times New Roman" w:hAnsi="Times New Roman" w:cs="Times New Roman"/>
      <w:sz w:val="20"/>
      <w:szCs w:val="20"/>
    </w:rPr>
  </w:style>
  <w:style w:type="paragraph" w:styleId="Footer">
    <w:name w:val="footer"/>
    <w:basedOn w:val="Normal"/>
    <w:link w:val="FooterChar"/>
    <w:uiPriority w:val="99"/>
    <w:rsid w:val="00DA31DD"/>
    <w:pPr>
      <w:pBdr>
        <w:top w:val="single" w:sz="8" w:space="1" w:color="002060"/>
      </w:pBdr>
      <w:tabs>
        <w:tab w:val="center" w:pos="4680"/>
        <w:tab w:val="right" w:pos="9360"/>
      </w:tabs>
    </w:pPr>
    <w:rPr>
      <w:rFonts w:ascii="Arial Narrow" w:hAnsi="Arial Narrow"/>
      <w:i/>
      <w:color w:val="002060"/>
    </w:rPr>
  </w:style>
  <w:style w:type="character" w:customStyle="1" w:styleId="FooterChar">
    <w:name w:val="Footer Char"/>
    <w:basedOn w:val="DefaultParagraphFont"/>
    <w:link w:val="Footer"/>
    <w:uiPriority w:val="99"/>
    <w:rsid w:val="00DA31DD"/>
    <w:rPr>
      <w:rFonts w:ascii="Arial Narrow" w:eastAsia="Times New Roman" w:hAnsi="Arial Narrow" w:cs="Times New Roman"/>
      <w:i/>
      <w:color w:val="002060"/>
      <w:sz w:val="20"/>
      <w:szCs w:val="20"/>
    </w:rPr>
  </w:style>
  <w:style w:type="character" w:customStyle="1" w:styleId="CommentTextChar">
    <w:name w:val="Comment Text Char"/>
    <w:basedOn w:val="DefaultParagraphFont"/>
    <w:link w:val="CommentText"/>
    <w:rsid w:val="00DA31DD"/>
    <w:rPr>
      <w:rFonts w:ascii="Verdana" w:eastAsia="Times New Roman" w:hAnsi="Verdana" w:cs="Times New Roman"/>
      <w:sz w:val="18"/>
      <w:szCs w:val="20"/>
    </w:rPr>
  </w:style>
  <w:style w:type="paragraph" w:styleId="CommentText">
    <w:name w:val="annotation text"/>
    <w:basedOn w:val="Normal"/>
    <w:link w:val="CommentTextChar"/>
    <w:rsid w:val="00DA31DD"/>
    <w:rPr>
      <w:rFonts w:ascii="Verdana" w:hAnsi="Verdana"/>
      <w:sz w:val="18"/>
    </w:rPr>
  </w:style>
  <w:style w:type="character" w:customStyle="1" w:styleId="CommentSubjectChar">
    <w:name w:val="Comment Subject Char"/>
    <w:basedOn w:val="CommentTextChar"/>
    <w:link w:val="CommentSubject"/>
    <w:semiHidden/>
    <w:rsid w:val="00DA31DD"/>
    <w:rPr>
      <w:rFonts w:ascii="Verdana" w:eastAsia="Times New Roman" w:hAnsi="Verdana" w:cs="Times New Roman"/>
      <w:b/>
      <w:bCs/>
      <w:sz w:val="18"/>
      <w:szCs w:val="20"/>
    </w:rPr>
  </w:style>
  <w:style w:type="paragraph" w:styleId="CommentSubject">
    <w:name w:val="annotation subject"/>
    <w:basedOn w:val="CommentText"/>
    <w:next w:val="CommentText"/>
    <w:link w:val="CommentSubjectChar"/>
    <w:semiHidden/>
    <w:rsid w:val="00DA31DD"/>
    <w:rPr>
      <w:b/>
      <w:bCs/>
    </w:rPr>
  </w:style>
  <w:style w:type="paragraph" w:styleId="BalloonText">
    <w:name w:val="Balloon Text"/>
    <w:basedOn w:val="Normal"/>
    <w:link w:val="BalloonTextChar"/>
    <w:semiHidden/>
    <w:rsid w:val="00DA31DD"/>
    <w:rPr>
      <w:rFonts w:ascii="Tahoma" w:hAnsi="Tahoma" w:cs="Tahoma"/>
      <w:sz w:val="16"/>
      <w:szCs w:val="16"/>
    </w:rPr>
  </w:style>
  <w:style w:type="character" w:customStyle="1" w:styleId="BalloonTextChar">
    <w:name w:val="Balloon Text Char"/>
    <w:basedOn w:val="DefaultParagraphFont"/>
    <w:link w:val="BalloonText"/>
    <w:semiHidden/>
    <w:rsid w:val="00DA31DD"/>
    <w:rPr>
      <w:rFonts w:ascii="Tahoma" w:eastAsia="Times New Roman" w:hAnsi="Tahoma" w:cs="Tahoma"/>
      <w:sz w:val="16"/>
      <w:szCs w:val="16"/>
    </w:rPr>
  </w:style>
  <w:style w:type="character" w:styleId="Hyperlink">
    <w:name w:val="Hyperlink"/>
    <w:basedOn w:val="DefaultParagraphFont"/>
    <w:uiPriority w:val="99"/>
    <w:rsid w:val="00DA31DD"/>
    <w:rPr>
      <w:color w:val="0000FF"/>
      <w:u w:val="single"/>
    </w:rPr>
  </w:style>
  <w:style w:type="paragraph" w:styleId="Title">
    <w:name w:val="Title"/>
    <w:basedOn w:val="Normal"/>
    <w:next w:val="Normal"/>
    <w:link w:val="TitleChar"/>
    <w:uiPriority w:val="10"/>
    <w:qFormat/>
    <w:rsid w:val="00DA31DD"/>
    <w:pPr>
      <w:pBdr>
        <w:bottom w:val="single" w:sz="8" w:space="4" w:color="4472C4" w:themeColor="accent1"/>
      </w:pBdr>
      <w:spacing w:after="300"/>
      <w:contextualSpacing/>
    </w:pPr>
    <w:rPr>
      <w:rFonts w:ascii="Arial Bold" w:hAnsi="Arial Bold" w:eastAsiaTheme="majorEastAsia" w:cstheme="majorBidi"/>
      <w:b/>
      <w:color w:val="323E4F" w:themeColor="text2" w:themeShade="BF"/>
      <w:spacing w:val="5"/>
      <w:kern w:val="28"/>
      <w:sz w:val="44"/>
      <w:szCs w:val="52"/>
    </w:rPr>
  </w:style>
  <w:style w:type="character" w:customStyle="1" w:styleId="TitleChar">
    <w:name w:val="Title Char"/>
    <w:basedOn w:val="DefaultParagraphFont"/>
    <w:link w:val="Title"/>
    <w:uiPriority w:val="10"/>
    <w:rsid w:val="00DA31DD"/>
    <w:rPr>
      <w:rFonts w:ascii="Arial Bold" w:hAnsi="Arial Bold" w:eastAsiaTheme="majorEastAsia" w:cstheme="majorBidi"/>
      <w:b/>
      <w:color w:val="323E4F" w:themeColor="text2" w:themeShade="BF"/>
      <w:spacing w:val="5"/>
      <w:kern w:val="28"/>
      <w:sz w:val="44"/>
      <w:szCs w:val="52"/>
    </w:rPr>
  </w:style>
  <w:style w:type="paragraph" w:styleId="TOCHeading">
    <w:name w:val="TOC Heading"/>
    <w:basedOn w:val="Heading1"/>
    <w:next w:val="Normal"/>
    <w:uiPriority w:val="39"/>
    <w:unhideWhenUsed/>
    <w:qFormat/>
    <w:rsid w:val="00DA31DD"/>
    <w:pPr>
      <w:spacing w:after="240"/>
      <w:outlineLvl w:val="9"/>
    </w:pPr>
  </w:style>
  <w:style w:type="paragraph" w:customStyle="1" w:styleId="ChapterTitle">
    <w:name w:val="Chapter Title"/>
    <w:basedOn w:val="Heading1"/>
    <w:qFormat/>
    <w:rsid w:val="00DA31DD"/>
    <w:pPr>
      <w:jc w:val="center"/>
    </w:pPr>
    <w:rPr>
      <w:rFonts w:ascii="Arial Bold" w:hAnsi="Arial Bold"/>
      <w:bCs w:val="0"/>
      <w:smallCaps/>
      <w:sz w:val="36"/>
      <w:szCs w:val="36"/>
    </w:rPr>
  </w:style>
  <w:style w:type="paragraph" w:customStyle="1" w:styleId="Bullet">
    <w:name w:val="Bullet"/>
    <w:qFormat/>
    <w:rsid w:val="00DA31DD"/>
    <w:pPr>
      <w:numPr>
        <w:numId w:val="2"/>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pPr>
    <w:rPr>
      <w:rFonts w:ascii="Times New Roman" w:eastAsia="Times New Roman" w:hAnsi="Times New Roman" w:cs="Times New Roman"/>
      <w:sz w:val="24"/>
      <w:szCs w:val="24"/>
    </w:rPr>
  </w:style>
  <w:style w:type="paragraph" w:customStyle="1" w:styleId="Bullet-last">
    <w:name w:val="Bullet-last"/>
    <w:basedOn w:val="Bullet"/>
    <w:qFormat/>
    <w:rsid w:val="00DA31DD"/>
    <w:pPr>
      <w:numPr>
        <w:numId w:val="0"/>
      </w:numPr>
      <w:spacing w:after="200"/>
    </w:pPr>
  </w:style>
  <w:style w:type="paragraph" w:customStyle="1" w:styleId="Bodytextbeforebullet">
    <w:name w:val="Body text before bullet"/>
    <w:basedOn w:val="BodyText"/>
    <w:qFormat/>
    <w:rsid w:val="00DA31DD"/>
    <w:pPr>
      <w:spacing w:after="100"/>
    </w:pPr>
  </w:style>
  <w:style w:type="paragraph" w:customStyle="1" w:styleId="Style1">
    <w:name w:val="Style1"/>
    <w:qFormat/>
    <w:rsid w:val="00DA31DD"/>
    <w:pPr>
      <w:numPr>
        <w:ilvl w:val="12"/>
      </w:numPr>
      <w:spacing w:before="240" w:after="80" w:line="240" w:lineRule="auto"/>
    </w:pPr>
    <w:rPr>
      <w:rFonts w:ascii="Arial Bold" w:eastAsia="Times New Roman" w:hAnsi="Arial Bold" w:cs="Times New Roman"/>
      <w:b/>
      <w:bCs/>
      <w:szCs w:val="24"/>
    </w:rPr>
  </w:style>
  <w:style w:type="paragraph" w:customStyle="1" w:styleId="TableTitle">
    <w:name w:val="Table Title"/>
    <w:qFormat/>
    <w:rsid w:val="00DA31DD"/>
    <w:pPr>
      <w:keepNext/>
      <w:numPr>
        <w:ilvl w:val="12"/>
      </w:numPr>
      <w:spacing w:before="200" w:after="40" w:line="240" w:lineRule="auto"/>
    </w:pPr>
    <w:rPr>
      <w:rFonts w:ascii="Arial Bold" w:eastAsia="Times New Roman" w:hAnsi="Arial Bold" w:cs="Times New Roman"/>
      <w:b/>
      <w:bCs/>
      <w:szCs w:val="24"/>
    </w:rPr>
  </w:style>
  <w:style w:type="paragraph" w:customStyle="1" w:styleId="Tabletext">
    <w:name w:val="Table text"/>
    <w:qFormat/>
    <w:rsid w:val="00DA31DD"/>
    <w:pPr>
      <w:numPr>
        <w:ilvl w:val="12"/>
      </w:numPr>
      <w:spacing w:before="20" w:after="20" w:line="240" w:lineRule="auto"/>
    </w:pPr>
    <w:rPr>
      <w:rFonts w:ascii="Arial" w:eastAsia="Times New Roman" w:hAnsi="Arial" w:cs="Arial"/>
      <w:bCs/>
      <w:sz w:val="20"/>
      <w:szCs w:val="20"/>
    </w:rPr>
  </w:style>
  <w:style w:type="paragraph" w:customStyle="1" w:styleId="Tablenote">
    <w:name w:val="Table note"/>
    <w:basedOn w:val="Tabletext"/>
    <w:qFormat/>
    <w:rsid w:val="00DA31DD"/>
    <w:rPr>
      <w:sz w:val="18"/>
      <w:szCs w:val="24"/>
    </w:rPr>
  </w:style>
  <w:style w:type="paragraph" w:styleId="TOC1">
    <w:name w:val="toc 1"/>
    <w:next w:val="Normal"/>
    <w:autoRedefine/>
    <w:uiPriority w:val="39"/>
    <w:unhideWhenUsed/>
    <w:rsid w:val="00DA31DD"/>
    <w:pPr>
      <w:tabs>
        <w:tab w:val="left" w:pos="432"/>
        <w:tab w:val="right" w:leader="dot" w:pos="9350"/>
      </w:tabs>
      <w:spacing w:before="80" w:after="40" w:line="240" w:lineRule="auto"/>
      <w:ind w:left="446" w:hanging="446"/>
    </w:pPr>
    <w:rPr>
      <w:rFonts w:ascii="Times New Roman" w:eastAsia="Times New Roman" w:hAnsi="Times New Roman" w:cs="Times New Roman"/>
      <w:szCs w:val="20"/>
    </w:rPr>
  </w:style>
  <w:style w:type="paragraph" w:customStyle="1" w:styleId="ItalicHead">
    <w:name w:val="Italic Head"/>
    <w:basedOn w:val="BodyText"/>
    <w:qFormat/>
    <w:rsid w:val="00DA31DD"/>
    <w:pPr>
      <w:keepNext/>
      <w:numPr>
        <w:ilvl w:val="12"/>
      </w:numPr>
      <w:spacing w:before="120" w:after="80"/>
    </w:pPr>
    <w:rPr>
      <w:i/>
      <w:iCs/>
      <w:szCs w:val="24"/>
    </w:rPr>
  </w:style>
  <w:style w:type="paragraph" w:customStyle="1" w:styleId="TableHeader">
    <w:name w:val="Table Header"/>
    <w:basedOn w:val="Tabletext"/>
    <w:next w:val="Tabletext"/>
    <w:qFormat/>
    <w:rsid w:val="00DA31DD"/>
    <w:pPr>
      <w:spacing w:before="40"/>
    </w:pPr>
    <w:rPr>
      <w:b/>
    </w:rPr>
  </w:style>
  <w:style w:type="paragraph" w:styleId="TOC2">
    <w:name w:val="toc 2"/>
    <w:basedOn w:val="Normal"/>
    <w:next w:val="Normal"/>
    <w:autoRedefine/>
    <w:uiPriority w:val="39"/>
    <w:unhideWhenUsed/>
    <w:rsid w:val="00082DE6"/>
    <w:pPr>
      <w:tabs>
        <w:tab w:val="left" w:pos="880"/>
        <w:tab w:val="right" w:leader="dot" w:pos="9350"/>
      </w:tabs>
      <w:spacing w:after="40"/>
      <w:ind w:left="202"/>
    </w:pPr>
    <w:rPr>
      <w:noProof/>
      <w:sz w:val="22"/>
    </w:rPr>
  </w:style>
  <w:style w:type="paragraph" w:styleId="TableofFigures">
    <w:name w:val="table of figures"/>
    <w:basedOn w:val="Normal"/>
    <w:next w:val="Normal"/>
    <w:uiPriority w:val="99"/>
    <w:unhideWhenUsed/>
    <w:rsid w:val="00DA31DD"/>
    <w:pPr>
      <w:spacing w:before="40" w:after="40"/>
    </w:pPr>
    <w:rPr>
      <w:sz w:val="22"/>
    </w:rPr>
  </w:style>
  <w:style w:type="paragraph" w:customStyle="1" w:styleId="Default">
    <w:name w:val="Default"/>
    <w:rsid w:val="00DA31D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A31DD"/>
    <w:pPr>
      <w:autoSpaceDE/>
      <w:autoSpaceDN/>
      <w:adjustRightInd/>
      <w:ind w:left="720"/>
      <w:contextualSpacing/>
    </w:pPr>
    <w:rPr>
      <w:rFonts w:eastAsiaTheme="minorHAnsi" w:cs="Calibri"/>
      <w:sz w:val="24"/>
      <w:szCs w:val="22"/>
    </w:rPr>
  </w:style>
  <w:style w:type="paragraph" w:styleId="TOC3">
    <w:name w:val="toc 3"/>
    <w:basedOn w:val="Normal"/>
    <w:next w:val="Normal"/>
    <w:autoRedefine/>
    <w:uiPriority w:val="39"/>
    <w:unhideWhenUsed/>
    <w:rsid w:val="00DA31DD"/>
    <w:pPr>
      <w:tabs>
        <w:tab w:val="left" w:pos="880"/>
        <w:tab w:val="right" w:leader="dot" w:pos="9350"/>
      </w:tabs>
      <w:spacing w:after="100"/>
      <w:ind w:left="403"/>
    </w:p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
    <w:basedOn w:val="Normal"/>
    <w:link w:val="FootnoteTextChar"/>
    <w:uiPriority w:val="99"/>
    <w:unhideWhenUsed/>
    <w:rsid w:val="00DA31DD"/>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uiPriority w:val="99"/>
    <w:rsid w:val="00DA31D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A31DD"/>
    <w:rPr>
      <w:vertAlign w:val="superscript"/>
    </w:rPr>
  </w:style>
  <w:style w:type="paragraph" w:styleId="NormalWeb">
    <w:name w:val="Normal (Web)"/>
    <w:basedOn w:val="Normal"/>
    <w:uiPriority w:val="99"/>
    <w:semiHidden/>
    <w:unhideWhenUsed/>
    <w:rsid w:val="00DA31DD"/>
    <w:pPr>
      <w:autoSpaceDE/>
      <w:autoSpaceDN/>
      <w:adjustRightInd/>
      <w:spacing w:before="100" w:beforeAutospacing="1" w:after="100" w:afterAutospacing="1"/>
    </w:pPr>
    <w:rPr>
      <w:sz w:val="24"/>
      <w:szCs w:val="24"/>
    </w:rPr>
  </w:style>
  <w:style w:type="table" w:customStyle="1" w:styleId="TableGrid1">
    <w:name w:val="Table Grid1"/>
    <w:basedOn w:val="TableNormal"/>
    <w:next w:val="TableGrid"/>
    <w:uiPriority w:val="39"/>
    <w:rsid w:val="00DA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3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F7EAB"/>
    <w:rPr>
      <w:sz w:val="16"/>
      <w:szCs w:val="16"/>
    </w:rPr>
  </w:style>
  <w:style w:type="character" w:customStyle="1" w:styleId="normaltextrun">
    <w:name w:val="normaltextrun"/>
    <w:basedOn w:val="DefaultParagraphFont"/>
    <w:rsid w:val="00C20997"/>
  </w:style>
  <w:style w:type="character" w:styleId="UnresolvedMention">
    <w:name w:val="Unresolved Mention"/>
    <w:basedOn w:val="DefaultParagraphFont"/>
    <w:uiPriority w:val="99"/>
    <w:unhideWhenUsed/>
    <w:rsid w:val="0080110E"/>
    <w:rPr>
      <w:color w:val="605E5C"/>
      <w:shd w:val="clear" w:color="auto" w:fill="E1DFDD"/>
    </w:rPr>
  </w:style>
  <w:style w:type="character" w:styleId="SubtleEmphasis">
    <w:name w:val="Subtle Emphasis"/>
    <w:basedOn w:val="DefaultParagraphFont"/>
    <w:uiPriority w:val="19"/>
    <w:qFormat/>
    <w:rsid w:val="00BC7143"/>
    <w:rPr>
      <w:i/>
      <w:iCs/>
      <w:color w:val="404040" w:themeColor="text1" w:themeTint="BF"/>
    </w:rPr>
  </w:style>
  <w:style w:type="paragraph" w:styleId="Revision">
    <w:name w:val="Revision"/>
    <w:hidden/>
    <w:uiPriority w:val="99"/>
    <w:semiHidden/>
    <w:rsid w:val="0062674F"/>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944E8"/>
    <w:rPr>
      <w:color w:val="2B579A"/>
      <w:shd w:val="clear" w:color="auto" w:fill="E6E6E6"/>
    </w:rPr>
  </w:style>
  <w:style w:type="paragraph" w:customStyle="1" w:styleId="StyleTimesNewRomanBoldCentered">
    <w:name w:val="Style Times New Roman Bold Centered"/>
    <w:basedOn w:val="Normal"/>
    <w:rsid w:val="002A6083"/>
    <w:pPr>
      <w:autoSpaceDE/>
      <w:autoSpaceDN/>
      <w:adjustRightInd/>
      <w:jc w:val="center"/>
    </w:pPr>
    <w:rPr>
      <w:b/>
      <w:bCs/>
      <w:sz w:val="24"/>
    </w:rPr>
  </w:style>
  <w:style w:type="character" w:styleId="Strong">
    <w:name w:val="Strong"/>
    <w:basedOn w:val="DefaultParagraphFont"/>
    <w:uiPriority w:val="22"/>
    <w:qFormat/>
    <w:rsid w:val="00B9295E"/>
    <w:rPr>
      <w:b/>
      <w:bCs/>
    </w:rPr>
  </w:style>
  <w:style w:type="paragraph" w:customStyle="1" w:styleId="BulletList1">
    <w:name w:val="Bullet List 1"/>
    <w:basedOn w:val="ListBullet"/>
    <w:rsid w:val="00A9277F"/>
    <w:pPr>
      <w:numPr>
        <w:numId w:val="29"/>
      </w:numPr>
      <w:tabs>
        <w:tab w:val="clear" w:pos="360"/>
      </w:tabs>
      <w:autoSpaceDE/>
      <w:autoSpaceDN/>
      <w:adjustRightInd/>
      <w:spacing w:after="120"/>
      <w:ind w:left="1" w:hanging="1"/>
      <w:contextualSpacing w:val="0"/>
    </w:pPr>
    <w:rPr>
      <w:bCs/>
      <w:sz w:val="24"/>
      <w:szCs w:val="22"/>
    </w:rPr>
  </w:style>
  <w:style w:type="paragraph" w:styleId="ListBullet">
    <w:name w:val="List Bullet"/>
    <w:basedOn w:val="Normal"/>
    <w:uiPriority w:val="99"/>
    <w:semiHidden/>
    <w:unhideWhenUsed/>
    <w:rsid w:val="00A9277F"/>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FDEDAC364B134DAF28295D7A2C0977" ma:contentTypeVersion="13" ma:contentTypeDescription="Create a new document." ma:contentTypeScope="" ma:versionID="82dde27dc93a2302280cd156035db34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31d27c-bd9a-4785-9d0a-0d08af1932bd" xmlns:ns6="a3640afc-a918-4ffa-ac5d-cd5d7a07b546" targetNamespace="http://schemas.microsoft.com/office/2006/metadata/properties" ma:root="true" ma:fieldsID="d391affbdb13477f78155ffa84eda94c" ns1:_="" ns2:_="" ns3:_="" ns4:_="" ns5:_="" ns6:_="">
    <xsd:import namespace="http://schemas.microsoft.com/sharepoint/v3"/>
    <xsd:import namespace="4ffa91fb-a0ff-4ac5-b2db-65c790d184a4"/>
    <xsd:import namespace="http://schemas.microsoft.com/sharepoint.v3"/>
    <xsd:import namespace="http://schemas.microsoft.com/sharepoint/v3/fields"/>
    <xsd:import namespace="b331d27c-bd9a-4785-9d0a-0d08af1932bd"/>
    <xsd:import namespace="a3640afc-a918-4ffa-ac5d-cd5d7a07b54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770873a-609f-47b7-8789-5d62d8da9654}" ma:internalName="TaxCatchAllLabel" ma:readOnly="true" ma:showField="CatchAllDataLabel" ma:web="a3640afc-a918-4ffa-ac5d-cd5d7a07b5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770873a-609f-47b7-8789-5d62d8da9654}" ma:internalName="TaxCatchAll" ma:showField="CatchAllData" ma:web="a3640afc-a918-4ffa-ac5d-cd5d7a07b5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1d27c-bd9a-4785-9d0a-0d08af1932b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40afc-a918-4ffa-ac5d-cd5d7a07b54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2022-05-03T04:00:00+00:00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Office of Water</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3640afc-a918-4ffa-ac5d-cd5d7a07b546">
      <UserInfo>
        <DisplayName>Barash, Shari</DisplayName>
        <AccountId>36</AccountId>
        <AccountType/>
      </UserInfo>
      <UserInfo>
        <DisplayName>Martinez, Menchu</DisplayName>
        <AccountId>38</AccountId>
        <AccountType/>
      </UserInfo>
      <UserInfo>
        <DisplayName>Contreras Balbuena, Andrea</DisplayName>
        <AccountId>83</AccountId>
        <AccountType/>
      </UserInfo>
      <UserInfo>
        <DisplayName>Larimer, Lisa</DisplayName>
        <AccountId>10</AccountId>
        <AccountType/>
      </UserInfo>
      <UserInfo>
        <DisplayName>Reed, Khesha</DisplayName>
        <AccountId>51</AccountId>
        <AccountType/>
      </UserInfo>
      <UserInfo>
        <DisplayName>Hisel-Mccoy, Sara</DisplayName>
        <AccountId>99</AccountId>
        <AccountType/>
      </UserInfo>
      <UserInfo>
        <DisplayName>Nagle, Deborah</DisplayName>
        <AccountId>105</AccountId>
        <AccountType/>
      </UserInfo>
      <UserInfo>
        <DisplayName>Weyer, Erica</DisplayName>
        <AccountId>104</AccountId>
        <AccountType/>
      </UserInfo>
      <UserInfo>
        <DisplayName>Lewicki, Chris</DisplayName>
        <AccountId>85</AccountId>
        <AccountType/>
      </UserInfo>
      <UserInfo>
        <DisplayName>Wilcut, Lars</DisplayName>
        <AccountId>76</AccountId>
        <AccountType/>
      </UserInfo>
    </SharedWithUsers>
  </documentManagement>
</p:properties>
</file>

<file path=customXml/itemProps1.xml><?xml version="1.0" encoding="utf-8"?>
<ds:datastoreItem xmlns:ds="http://schemas.openxmlformats.org/officeDocument/2006/customXml" ds:itemID="{3F8AAA5B-26C0-491F-BC05-D24D2B80858B}">
  <ds:schemaRefs>
    <ds:schemaRef ds:uri="http://schemas.openxmlformats.org/officeDocument/2006/bibliography"/>
  </ds:schemaRefs>
</ds:datastoreItem>
</file>

<file path=customXml/itemProps2.xml><?xml version="1.0" encoding="utf-8"?>
<ds:datastoreItem xmlns:ds="http://schemas.openxmlformats.org/officeDocument/2006/customXml" ds:itemID="{09F74956-60E8-499B-8CC2-510F5540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31d27c-bd9a-4785-9d0a-0d08af1932bd"/>
    <ds:schemaRef ds:uri="a3640afc-a918-4ffa-ac5d-cd5d7a07b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ACC47-2A59-48F2-A138-B0CBEE147D7A}">
  <ds:schemaRefs>
    <ds:schemaRef ds:uri="http://schemas.microsoft.com/sharepoint/v3/contenttype/forms"/>
  </ds:schemaRefs>
</ds:datastoreItem>
</file>

<file path=customXml/itemProps4.xml><?xml version="1.0" encoding="utf-8"?>
<ds:datastoreItem xmlns:ds="http://schemas.openxmlformats.org/officeDocument/2006/customXml" ds:itemID="{D8FE0B42-280D-4ABA-9EE4-01EB818515F7}">
  <ds:schemaRefs>
    <ds:schemaRef ds:uri="Microsoft.SharePoint.Taxonomy.ContentTypeSync"/>
  </ds:schemaRefs>
</ds:datastoreItem>
</file>

<file path=customXml/itemProps5.xml><?xml version="1.0" encoding="utf-8"?>
<ds:datastoreItem xmlns:ds="http://schemas.openxmlformats.org/officeDocument/2006/customXml" ds:itemID="{3137DB14-FA86-49D9-8750-F31514AC4861}">
  <ds:schemaRefs>
    <ds:schemaRef ds:uri="http://www.w3.org/XML/1998/namespace"/>
    <ds:schemaRef ds:uri="http://schemas.microsoft.com/office/2006/metadata/properties"/>
    <ds:schemaRef ds:uri="b331d27c-bd9a-4785-9d0a-0d08af1932bd"/>
    <ds:schemaRef ds:uri="http://schemas.microsoft.com/office/2006/documentManagement/types"/>
    <ds:schemaRef ds:uri="http://schemas.microsoft.com/sharepoint.v3"/>
    <ds:schemaRef ds:uri="http://purl.org/dc/dcmitype/"/>
    <ds:schemaRef ds:uri="http://purl.org/dc/elements/1.1/"/>
    <ds:schemaRef ds:uri="http://schemas.microsoft.com/office/infopath/2007/PartnerControls"/>
    <ds:schemaRef ds:uri="http://schemas.microsoft.com/sharepoint/v3"/>
    <ds:schemaRef ds:uri="4ffa91fb-a0ff-4ac5-b2db-65c790d184a4"/>
    <ds:schemaRef ds:uri="http://schemas.openxmlformats.org/package/2006/metadata/core-properties"/>
    <ds:schemaRef ds:uri="a3640afc-a918-4ffa-ac5d-cd5d7a07b546"/>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5325</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Information Collection Request for BEACH Act Grant Program (Renewal)</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BEACH Act Grant Program (Renewal)</dc:title>
  <dc:creator>Contreras Balbuena, Andrea</dc:creator>
  <cp:lastModifiedBy>Weyer, Erica</cp:lastModifiedBy>
  <cp:revision>2</cp:revision>
  <dcterms:created xsi:type="dcterms:W3CDTF">2022-11-28T20:41:00Z</dcterms:created>
  <dcterms:modified xsi:type="dcterms:W3CDTF">2022-11-28T20:41:00Z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0x01010092FDEDAC364B134DAF28295D7A2C0977</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