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5612EB" w14:paraId="7577C1FD"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0E59EF83" w14:textId="77777777">
      <w:pPr>
        <w:pStyle w:val="Title"/>
        <w:outlineLvl w:val="0"/>
        <w:rPr>
          <w:rFonts w:ascii="Times New Roman" w:hAnsi="Times New Roman"/>
          <w:sz w:val="32"/>
          <w:szCs w:val="32"/>
        </w:rPr>
      </w:pPr>
      <w:r w:rsidRPr="1925D291">
        <w:rPr>
          <w:rFonts w:ascii="Times New Roman" w:hAnsi="Times New Roman"/>
          <w:sz w:val="28"/>
          <w:szCs w:val="28"/>
          <w:u w:val="none"/>
        </w:rPr>
        <w:t>Federal Motor Carrier Safety Administration</w:t>
      </w:r>
    </w:p>
    <w:p w:rsidR="1925D291" w:rsidRPr="00031E20" w:rsidP="00B151EA" w14:paraId="48E12009" w14:textId="15F9DF7B"/>
    <w:p w:rsidR="0004749E" w:rsidRPr="005612EB" w:rsidP="00407E96" w14:paraId="12E7C725" w14:textId="77777777">
      <w:pPr>
        <w:pStyle w:val="Title"/>
        <w:outlineLvl w:val="0"/>
        <w:rPr>
          <w:rFonts w:ascii="Times New Roman" w:hAnsi="Times New Roman"/>
        </w:rPr>
      </w:pPr>
      <w:r w:rsidRPr="005612EB">
        <w:rPr>
          <w:rFonts w:ascii="Times New Roman" w:hAnsi="Times New Roman"/>
        </w:rPr>
        <w:t>SUPPORTING STATEMENT</w:t>
      </w:r>
      <w:r w:rsidR="00DE314B">
        <w:rPr>
          <w:rFonts w:ascii="Times New Roman" w:hAnsi="Times New Roman"/>
        </w:rPr>
        <w:t xml:space="preserve"> – Part A</w:t>
      </w:r>
    </w:p>
    <w:p w:rsidR="0004749E" w:rsidRPr="005612EB" w:rsidP="6ABB762F" w14:paraId="60CF8352" w14:textId="516CB8B0">
      <w:pPr>
        <w:pStyle w:val="Title"/>
        <w:rPr>
          <w:rFonts w:ascii="Times New Roman" w:hAnsi="Times New Roman"/>
          <w:u w:val="none"/>
        </w:rPr>
      </w:pPr>
      <w:r w:rsidRPr="6ABB762F">
        <w:rPr>
          <w:rFonts w:ascii="Times New Roman" w:hAnsi="Times New Roman"/>
          <w:u w:val="none"/>
        </w:rPr>
        <w:t>Effectiveness of Third-Party Testing and Minimum Standards for Commercial Driver’s License (CDL) Knowledge and Skills Test</w:t>
      </w:r>
      <w:r w:rsidR="00197355">
        <w:rPr>
          <w:rFonts w:ascii="Times New Roman" w:hAnsi="Times New Roman"/>
          <w:u w:val="none"/>
        </w:rPr>
        <w:t>s</w:t>
      </w:r>
    </w:p>
    <w:p w:rsidR="0004749E" w:rsidRPr="005612EB" w14:paraId="13EDD96D" w14:textId="77777777">
      <w:pPr>
        <w:rPr>
          <w:rFonts w:ascii="Times New Roman" w:hAnsi="Times New Roman"/>
          <w:b/>
          <w:bCs/>
          <w:sz w:val="24"/>
          <w:szCs w:val="24"/>
        </w:rPr>
      </w:pPr>
    </w:p>
    <w:p w:rsidR="00C9162C" w:rsidP="00F77AAC" w14:paraId="5C1E4279" w14:textId="77777777">
      <w:pPr>
        <w:rPr>
          <w:rFonts w:ascii="Times New Roman" w:hAnsi="Times New Roman"/>
          <w:b/>
          <w:sz w:val="24"/>
          <w:szCs w:val="24"/>
          <w:u w:val="single"/>
        </w:rPr>
      </w:pPr>
      <w:r w:rsidRPr="00C9162C">
        <w:rPr>
          <w:rFonts w:ascii="Times New Roman" w:hAnsi="Times New Roman"/>
          <w:b/>
          <w:sz w:val="24"/>
          <w:szCs w:val="24"/>
          <w:u w:val="single"/>
        </w:rPr>
        <w:t>SUMMARY</w:t>
      </w:r>
    </w:p>
    <w:p w:rsidR="00105F8E" w:rsidRPr="00FF689B" w14:paraId="6D5095BC" w14:textId="79B143B2">
      <w:pPr>
        <w:rPr>
          <w:rFonts w:ascii="Times New Roman" w:hAnsi="Times New Roman"/>
          <w:sz w:val="24"/>
          <w:szCs w:val="24"/>
        </w:rPr>
      </w:pPr>
      <w:r w:rsidRPr="01F1B685">
        <w:rPr>
          <w:rFonts w:ascii="Times New Roman" w:hAnsi="Times New Roman"/>
          <w:sz w:val="24"/>
          <w:szCs w:val="24"/>
        </w:rPr>
        <w:t xml:space="preserve">The Federal Motor Carrier Safety Administration (FMCSA) is seeking </w:t>
      </w:r>
      <w:r w:rsidR="007422F5">
        <w:rPr>
          <w:rFonts w:ascii="Times New Roman" w:hAnsi="Times New Roman"/>
          <w:sz w:val="24"/>
          <w:szCs w:val="24"/>
        </w:rPr>
        <w:t>Office of Management and Budget (</w:t>
      </w:r>
      <w:r w:rsidRPr="01F1B685">
        <w:rPr>
          <w:rFonts w:ascii="Times New Roman" w:hAnsi="Times New Roman"/>
          <w:sz w:val="24"/>
          <w:szCs w:val="24"/>
        </w:rPr>
        <w:t>OMB</w:t>
      </w:r>
      <w:r w:rsidR="007422F5">
        <w:rPr>
          <w:rFonts w:ascii="Times New Roman" w:hAnsi="Times New Roman"/>
          <w:sz w:val="24"/>
          <w:szCs w:val="24"/>
        </w:rPr>
        <w:t>)</w:t>
      </w:r>
      <w:r w:rsidRPr="01F1B685">
        <w:rPr>
          <w:rFonts w:ascii="Times New Roman" w:hAnsi="Times New Roman"/>
          <w:sz w:val="24"/>
          <w:szCs w:val="24"/>
        </w:rPr>
        <w:t xml:space="preserve"> approval of a new information collection titled “Effectiveness of Third-Party Testing and Minimum Standards for </w:t>
      </w:r>
      <w:r w:rsidR="007422F5">
        <w:rPr>
          <w:rFonts w:ascii="Times New Roman" w:hAnsi="Times New Roman"/>
          <w:sz w:val="24"/>
          <w:szCs w:val="24"/>
        </w:rPr>
        <w:t>CDL</w:t>
      </w:r>
      <w:r w:rsidRPr="01F1B685">
        <w:rPr>
          <w:rFonts w:ascii="Times New Roman" w:hAnsi="Times New Roman"/>
          <w:sz w:val="24"/>
          <w:szCs w:val="24"/>
        </w:rPr>
        <w:t xml:space="preserve"> Knowledge and Skills Tests</w:t>
      </w:r>
      <w:r w:rsidR="007422F5">
        <w:rPr>
          <w:rFonts w:ascii="Times New Roman" w:hAnsi="Times New Roman"/>
          <w:sz w:val="24"/>
          <w:szCs w:val="24"/>
        </w:rPr>
        <w:t>.</w:t>
      </w:r>
      <w:r w:rsidRPr="01F1B685">
        <w:rPr>
          <w:rFonts w:ascii="Times New Roman" w:hAnsi="Times New Roman"/>
          <w:sz w:val="24"/>
          <w:szCs w:val="24"/>
        </w:rPr>
        <w:t>”</w:t>
      </w:r>
      <w:r w:rsidR="00D8621F">
        <w:rPr>
          <w:rFonts w:ascii="Times New Roman" w:hAnsi="Times New Roman"/>
          <w:sz w:val="24"/>
          <w:szCs w:val="24"/>
        </w:rPr>
        <w:t xml:space="preserve"> </w:t>
      </w:r>
      <w:r w:rsidR="0037473F">
        <w:rPr>
          <w:rFonts w:ascii="Times New Roman" w:hAnsi="Times New Roman"/>
          <w:sz w:val="24"/>
          <w:szCs w:val="24"/>
        </w:rPr>
        <w:t xml:space="preserve">The </w:t>
      </w:r>
      <w:r w:rsidR="006665C5">
        <w:rPr>
          <w:rFonts w:ascii="Times New Roman" w:hAnsi="Times New Roman"/>
          <w:sz w:val="24"/>
          <w:szCs w:val="24"/>
        </w:rPr>
        <w:t xml:space="preserve">total </w:t>
      </w:r>
      <w:r w:rsidR="0037473F">
        <w:rPr>
          <w:rFonts w:ascii="Times New Roman" w:hAnsi="Times New Roman"/>
          <w:sz w:val="24"/>
          <w:szCs w:val="24"/>
        </w:rPr>
        <w:t>number of respondents is 51 respondents (one per each State and the District of Columbia). This is a one-</w:t>
      </w:r>
      <w:r w:rsidRPr="00FF689B" w:rsidR="0037473F">
        <w:rPr>
          <w:rFonts w:ascii="Times New Roman" w:hAnsi="Times New Roman"/>
          <w:sz w:val="24"/>
          <w:szCs w:val="24"/>
        </w:rPr>
        <w:t>time information collection to support a research study.</w:t>
      </w:r>
      <w:r w:rsidRPr="00FF689B" w:rsidR="00D8621F">
        <w:rPr>
          <w:rFonts w:ascii="Times New Roman" w:hAnsi="Times New Roman"/>
          <w:sz w:val="24"/>
          <w:szCs w:val="24"/>
        </w:rPr>
        <w:t xml:space="preserve"> </w:t>
      </w:r>
      <w:r w:rsidRPr="00FF689B">
        <w:rPr>
          <w:rFonts w:ascii="Times New Roman" w:hAnsi="Times New Roman"/>
          <w:sz w:val="24"/>
          <w:szCs w:val="24"/>
        </w:rPr>
        <w:t xml:space="preserve">The estimated burden for all respondents is </w:t>
      </w:r>
      <w:r w:rsidRPr="00FF689B" w:rsidR="0049794D">
        <w:rPr>
          <w:rFonts w:ascii="Times New Roman" w:hAnsi="Times New Roman"/>
          <w:sz w:val="24"/>
          <w:szCs w:val="24"/>
        </w:rPr>
        <w:t>72.</w:t>
      </w:r>
      <w:r w:rsidRPr="00FF689B" w:rsidR="00657C9D">
        <w:rPr>
          <w:rFonts w:ascii="Times New Roman" w:hAnsi="Times New Roman"/>
          <w:sz w:val="24"/>
          <w:szCs w:val="24"/>
        </w:rPr>
        <w:t>42</w:t>
      </w:r>
      <w:r w:rsidRPr="00FF689B">
        <w:rPr>
          <w:rFonts w:ascii="Times New Roman" w:hAnsi="Times New Roman"/>
          <w:sz w:val="24"/>
          <w:szCs w:val="24"/>
        </w:rPr>
        <w:t xml:space="preserve"> hour</w:t>
      </w:r>
      <w:r w:rsidRPr="00FF689B">
        <w:rPr>
          <w:rFonts w:ascii="Times New Roman" w:hAnsi="Times New Roman"/>
          <w:sz w:val="24"/>
          <w:szCs w:val="24"/>
        </w:rPr>
        <w:t>s at a</w:t>
      </w:r>
      <w:r w:rsidRPr="00FF689B" w:rsidR="00031E20">
        <w:rPr>
          <w:rFonts w:ascii="Times New Roman" w:hAnsi="Times New Roman"/>
          <w:sz w:val="24"/>
          <w:szCs w:val="24"/>
        </w:rPr>
        <w:t xml:space="preserve"> total </w:t>
      </w:r>
      <w:r w:rsidRPr="00FF689B">
        <w:rPr>
          <w:rFonts w:ascii="Times New Roman" w:hAnsi="Times New Roman"/>
          <w:sz w:val="24"/>
          <w:szCs w:val="24"/>
        </w:rPr>
        <w:t>cost of $</w:t>
      </w:r>
      <w:r w:rsidRPr="00DC074F" w:rsidR="00DC074F">
        <w:rPr>
          <w:rFonts w:ascii="Times New Roman" w:hAnsi="Times New Roman"/>
          <w:sz w:val="24"/>
          <w:szCs w:val="24"/>
        </w:rPr>
        <w:t>5,469.24</w:t>
      </w:r>
      <w:r w:rsidRPr="12611CEE">
        <w:rPr>
          <w:rFonts w:ascii="Times New Roman" w:hAnsi="Times New Roman"/>
          <w:sz w:val="24"/>
          <w:szCs w:val="24"/>
        </w:rPr>
        <w:t>.</w:t>
      </w:r>
    </w:p>
    <w:p w:rsidR="002F4B49" w:rsidRPr="005612EB" w14:paraId="5DBB0B46" w14:textId="77777777">
      <w:pPr>
        <w:rPr>
          <w:rFonts w:ascii="Times New Roman" w:hAnsi="Times New Roman"/>
          <w:b/>
          <w:bCs/>
          <w:sz w:val="24"/>
          <w:szCs w:val="24"/>
        </w:rPr>
      </w:pPr>
    </w:p>
    <w:p w:rsidR="0004749E" w:rsidRPr="005612EB" w:rsidP="00407E96" w14:paraId="478D3812" w14:textId="77777777">
      <w:pPr>
        <w:pStyle w:val="Subtitle"/>
        <w:outlineLvl w:val="0"/>
        <w:rPr>
          <w:rFonts w:ascii="Times New Roman" w:hAnsi="Times New Roman"/>
        </w:rPr>
      </w:pPr>
      <w:r w:rsidRPr="005612EB">
        <w:rPr>
          <w:rFonts w:ascii="Times New Roman" w:hAnsi="Times New Roman"/>
        </w:rPr>
        <w:t>INTRODUCTION</w:t>
      </w:r>
    </w:p>
    <w:p w:rsidR="0004749E" w:rsidRPr="005612EB" w14:paraId="0FACDE3D" w14:textId="77777777">
      <w:pPr>
        <w:rPr>
          <w:rFonts w:ascii="Times New Roman" w:hAnsi="Times New Roman"/>
          <w:b/>
          <w:bCs/>
          <w:sz w:val="24"/>
          <w:szCs w:val="24"/>
        </w:rPr>
      </w:pPr>
    </w:p>
    <w:p w:rsidR="0004749E" w:rsidRPr="005612EB" w:rsidP="17B78628" w14:paraId="75D67983" w14:textId="0C35CBC6">
      <w:pPr>
        <w:rPr>
          <w:rFonts w:ascii="Times New Roman" w:hAnsi="Times New Roman"/>
          <w:sz w:val="24"/>
          <w:szCs w:val="24"/>
        </w:rPr>
      </w:pPr>
      <w:r w:rsidRPr="17B78628">
        <w:rPr>
          <w:rFonts w:ascii="Times New Roman" w:hAnsi="Times New Roman"/>
          <w:sz w:val="24"/>
          <w:szCs w:val="24"/>
        </w:rPr>
        <w:t xml:space="preserve">This is to request </w:t>
      </w:r>
      <w:r w:rsidR="007422F5">
        <w:rPr>
          <w:rFonts w:ascii="Times New Roman" w:hAnsi="Times New Roman"/>
          <w:sz w:val="24"/>
          <w:szCs w:val="24"/>
        </w:rPr>
        <w:t>OMB</w:t>
      </w:r>
      <w:r w:rsidRPr="17B78628">
        <w:rPr>
          <w:rFonts w:ascii="Times New Roman" w:hAnsi="Times New Roman"/>
          <w:sz w:val="24"/>
          <w:szCs w:val="24"/>
        </w:rPr>
        <w:t xml:space="preserve"> </w:t>
      </w:r>
      <w:r w:rsidR="00A03F32">
        <w:rPr>
          <w:rFonts w:ascii="Times New Roman" w:hAnsi="Times New Roman"/>
          <w:sz w:val="24"/>
          <w:szCs w:val="24"/>
        </w:rPr>
        <w:t>approval of a new</w:t>
      </w:r>
      <w:r w:rsidRPr="17B78628" w:rsidR="17B78628">
        <w:rPr>
          <w:rFonts w:ascii="Times New Roman" w:hAnsi="Times New Roman"/>
          <w:sz w:val="24"/>
          <w:szCs w:val="24"/>
        </w:rPr>
        <w:t xml:space="preserve"> information collection titled</w:t>
      </w:r>
      <w:r w:rsidRPr="17B78628">
        <w:rPr>
          <w:rFonts w:ascii="Times New Roman" w:hAnsi="Times New Roman"/>
          <w:sz w:val="24"/>
          <w:szCs w:val="24"/>
        </w:rPr>
        <w:t xml:space="preserve">, </w:t>
      </w:r>
      <w:r w:rsidRPr="17B78628" w:rsidR="00D25D6B">
        <w:rPr>
          <w:rFonts w:ascii="Times New Roman" w:hAnsi="Times New Roman"/>
          <w:i/>
          <w:iCs/>
          <w:sz w:val="24"/>
          <w:szCs w:val="24"/>
        </w:rPr>
        <w:t>Effectiveness of Third-Party Testing and Minimum Standards for CDL Knowledge and Skills Test</w:t>
      </w:r>
      <w:r w:rsidR="00197355">
        <w:rPr>
          <w:rFonts w:ascii="Times New Roman" w:hAnsi="Times New Roman"/>
          <w:i/>
          <w:iCs/>
          <w:sz w:val="24"/>
          <w:szCs w:val="24"/>
        </w:rPr>
        <w:t>s</w:t>
      </w:r>
      <w:r w:rsidR="00197355">
        <w:rPr>
          <w:rStyle w:val="CommentReference"/>
        </w:rPr>
        <w:t>.</w:t>
      </w:r>
    </w:p>
    <w:p w:rsidR="0004749E" w:rsidRPr="005612EB" w14:paraId="40008F00" w14:textId="77777777">
      <w:pPr>
        <w:rPr>
          <w:rFonts w:ascii="Times New Roman" w:hAnsi="Times New Roman"/>
          <w:b/>
          <w:bCs/>
          <w:sz w:val="24"/>
          <w:szCs w:val="24"/>
        </w:rPr>
      </w:pPr>
    </w:p>
    <w:p w:rsidR="0004749E" w:rsidRPr="005612EB" w:rsidP="00F77AAC" w14:paraId="707AC8F1"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P="00F77AAC" w14:paraId="317BAC81" w14:textId="77777777">
      <w:pPr>
        <w:tabs>
          <w:tab w:val="left" w:pos="-1440"/>
          <w:tab w:val="left" w:pos="-720"/>
        </w:tabs>
        <w:rPr>
          <w:rFonts w:ascii="Times New Roman" w:hAnsi="Times New Roman"/>
          <w:b/>
          <w:bCs/>
          <w:sz w:val="24"/>
          <w:szCs w:val="24"/>
        </w:rPr>
      </w:pPr>
    </w:p>
    <w:p w:rsidR="00DF4F9D" w:rsidRPr="00526548" w:rsidP="00B57147" w14:paraId="3BAF092E" w14:textId="77777777">
      <w:pPr>
        <w:pStyle w:val="ListParagraph"/>
        <w:numPr>
          <w:ilvl w:val="0"/>
          <w:numId w:val="44"/>
        </w:numPr>
        <w:ind w:left="360"/>
        <w:rPr>
          <w:rFonts w:ascii="Times New Roman" w:hAnsi="Times New Roman"/>
          <w:b/>
          <w:bCs/>
          <w:sz w:val="24"/>
          <w:szCs w:val="24"/>
        </w:rPr>
      </w:pPr>
      <w:r w:rsidRPr="00526548">
        <w:rPr>
          <w:rFonts w:ascii="Times New Roman" w:hAnsi="Times New Roman"/>
          <w:b/>
          <w:bCs/>
          <w:sz w:val="24"/>
          <w:szCs w:val="24"/>
        </w:rPr>
        <w:t>CIRCUMSTANCES THAT MAKE THE COLLECTION OF INFORMATION NECESSARY</w:t>
      </w:r>
      <w:r w:rsidRPr="00526548">
        <w:rPr>
          <w:rFonts w:ascii="Times New Roman" w:hAnsi="Times New Roman"/>
          <w:b/>
          <w:bCs/>
          <w:sz w:val="24"/>
          <w:szCs w:val="24"/>
        </w:rPr>
        <w:br/>
      </w:r>
    </w:p>
    <w:p w:rsidR="00F24D9A" w:rsidP="00F24D9A" w14:paraId="1A1E80FB" w14:textId="5BA321A5">
      <w:pPr>
        <w:ind w:left="360"/>
        <w:rPr>
          <w:rFonts w:ascii="Times New Roman" w:hAnsi="Times New Roman"/>
          <w:sz w:val="24"/>
          <w:szCs w:val="24"/>
        </w:rPr>
      </w:pPr>
      <w:r w:rsidRPr="6ABB762F">
        <w:rPr>
          <w:rFonts w:ascii="Times New Roman" w:hAnsi="Times New Roman"/>
          <w:sz w:val="24"/>
          <w:szCs w:val="24"/>
        </w:rPr>
        <w:t xml:space="preserve">The </w:t>
      </w:r>
      <w:r w:rsidR="007422F5">
        <w:rPr>
          <w:rFonts w:ascii="Times New Roman" w:hAnsi="Times New Roman"/>
          <w:sz w:val="24"/>
          <w:szCs w:val="24"/>
        </w:rPr>
        <w:t>CDL</w:t>
      </w:r>
      <w:r w:rsidRPr="6ABB762F">
        <w:rPr>
          <w:rFonts w:ascii="Times New Roman" w:hAnsi="Times New Roman"/>
          <w:sz w:val="24"/>
          <w:szCs w:val="24"/>
        </w:rPr>
        <w:t xml:space="preserve"> </w:t>
      </w:r>
      <w:r w:rsidR="00FB1245">
        <w:rPr>
          <w:rFonts w:ascii="Times New Roman" w:hAnsi="Times New Roman"/>
          <w:sz w:val="24"/>
          <w:szCs w:val="24"/>
        </w:rPr>
        <w:t>p</w:t>
      </w:r>
      <w:r w:rsidRPr="6ABB762F">
        <w:rPr>
          <w:rFonts w:ascii="Times New Roman" w:hAnsi="Times New Roman"/>
          <w:sz w:val="24"/>
          <w:szCs w:val="24"/>
        </w:rPr>
        <w:t xml:space="preserve">rogram was enacted through the Commercial Motor Vehicle Safety Act of 1986 (CMVSA) </w:t>
      </w:r>
      <w:r w:rsidR="007A770F">
        <w:rPr>
          <w:rFonts w:ascii="Times New Roman" w:hAnsi="Times New Roman"/>
          <w:sz w:val="24"/>
          <w:szCs w:val="24"/>
        </w:rPr>
        <w:t>(</w:t>
      </w:r>
      <w:r w:rsidRPr="007A770F" w:rsidR="007A770F">
        <w:rPr>
          <w:rFonts w:ascii="Times New Roman" w:hAnsi="Times New Roman"/>
          <w:sz w:val="24"/>
          <w:szCs w:val="24"/>
        </w:rPr>
        <w:t xml:space="preserve">Pub. L. 99-570, 100 Stat. 3207-170) </w:t>
      </w:r>
      <w:r w:rsidRPr="6ABB762F">
        <w:rPr>
          <w:rFonts w:ascii="Times New Roman" w:hAnsi="Times New Roman"/>
          <w:sz w:val="24"/>
          <w:szCs w:val="24"/>
        </w:rPr>
        <w:t xml:space="preserve">in response to jurisdiction concerns about avoidable </w:t>
      </w:r>
      <w:r w:rsidR="00281308">
        <w:rPr>
          <w:rFonts w:ascii="Times New Roman" w:hAnsi="Times New Roman"/>
          <w:sz w:val="24"/>
          <w:szCs w:val="24"/>
        </w:rPr>
        <w:t>c</w:t>
      </w:r>
      <w:r w:rsidRPr="6ABB762F" w:rsidR="00281308">
        <w:rPr>
          <w:rFonts w:ascii="Times New Roman" w:hAnsi="Times New Roman"/>
          <w:sz w:val="24"/>
          <w:szCs w:val="24"/>
        </w:rPr>
        <w:t xml:space="preserve">ommercial </w:t>
      </w:r>
      <w:r w:rsidR="00281308">
        <w:rPr>
          <w:rFonts w:ascii="Times New Roman" w:hAnsi="Times New Roman"/>
          <w:sz w:val="24"/>
          <w:szCs w:val="24"/>
        </w:rPr>
        <w:t>m</w:t>
      </w:r>
      <w:r w:rsidRPr="6ABB762F" w:rsidR="00281308">
        <w:rPr>
          <w:rFonts w:ascii="Times New Roman" w:hAnsi="Times New Roman"/>
          <w:sz w:val="24"/>
          <w:szCs w:val="24"/>
        </w:rPr>
        <w:t xml:space="preserve">otor </w:t>
      </w:r>
      <w:r w:rsidR="00281308">
        <w:rPr>
          <w:rFonts w:ascii="Times New Roman" w:hAnsi="Times New Roman"/>
          <w:sz w:val="24"/>
          <w:szCs w:val="24"/>
        </w:rPr>
        <w:t>v</w:t>
      </w:r>
      <w:r w:rsidRPr="6ABB762F" w:rsidR="00281308">
        <w:rPr>
          <w:rFonts w:ascii="Times New Roman" w:hAnsi="Times New Roman"/>
          <w:sz w:val="24"/>
          <w:szCs w:val="24"/>
        </w:rPr>
        <w:t xml:space="preserve">ehicle </w:t>
      </w:r>
      <w:r w:rsidRPr="6ABB762F">
        <w:rPr>
          <w:rFonts w:ascii="Times New Roman" w:hAnsi="Times New Roman"/>
          <w:sz w:val="24"/>
          <w:szCs w:val="24"/>
        </w:rPr>
        <w:t xml:space="preserve">(CMV) crashes and commercial driver qualifications. The CMVSA required the Secretary of Transportation </w:t>
      </w:r>
      <w:r w:rsidR="005F1F05">
        <w:rPr>
          <w:rFonts w:ascii="Times New Roman" w:hAnsi="Times New Roman"/>
          <w:sz w:val="24"/>
          <w:szCs w:val="24"/>
        </w:rPr>
        <w:t xml:space="preserve">(the Secretary) </w:t>
      </w:r>
      <w:r w:rsidRPr="6ABB762F">
        <w:rPr>
          <w:rFonts w:ascii="Times New Roman" w:hAnsi="Times New Roman"/>
          <w:sz w:val="24"/>
          <w:szCs w:val="24"/>
        </w:rPr>
        <w:t>to promulgate regulations establishing minimum Federal requ</w:t>
      </w:r>
      <w:r w:rsidRPr="6ABB762F">
        <w:rPr>
          <w:rFonts w:ascii="Times New Roman" w:hAnsi="Times New Roman"/>
          <w:sz w:val="24"/>
          <w:szCs w:val="24"/>
        </w:rPr>
        <w:t>irements for CMV driver licensing, testing, qualifications, and driver classifications depending on the vehicle configuration. CMVSA further established the “one driver, one license” requirement, prohibiting any person who does not hold a valid CDL or lear</w:t>
      </w:r>
      <w:r w:rsidRPr="6ABB762F">
        <w:rPr>
          <w:rFonts w:ascii="Times New Roman" w:hAnsi="Times New Roman"/>
          <w:sz w:val="24"/>
          <w:szCs w:val="24"/>
        </w:rPr>
        <w:t xml:space="preserve">ner's permit issued by </w:t>
      </w:r>
      <w:r w:rsidR="005764AE">
        <w:rPr>
          <w:rFonts w:ascii="Times New Roman" w:hAnsi="Times New Roman"/>
          <w:sz w:val="24"/>
          <w:szCs w:val="24"/>
        </w:rPr>
        <w:t>their</w:t>
      </w:r>
      <w:r w:rsidRPr="6ABB762F">
        <w:rPr>
          <w:rFonts w:ascii="Times New Roman" w:hAnsi="Times New Roman"/>
          <w:sz w:val="24"/>
          <w:szCs w:val="24"/>
        </w:rPr>
        <w:t xml:space="preserve"> jurisdiction of domicile from operating a CMV that requires a driver with a CDL and established additional requirements for drivers who transport hazardous materials. The prohibition further affected driver training activities </w:t>
      </w:r>
      <w:r w:rsidRPr="6ABB762F">
        <w:rPr>
          <w:rFonts w:ascii="Times New Roman" w:hAnsi="Times New Roman"/>
          <w:sz w:val="24"/>
          <w:szCs w:val="24"/>
        </w:rPr>
        <w:t>by requiring trainees to receive the training and behind-the-wheel experience necessary to acquire their CDL in their jurisdiction of domicile. CMVSA</w:t>
      </w:r>
      <w:r w:rsidR="00EB4E46">
        <w:rPr>
          <w:rFonts w:ascii="Times New Roman" w:hAnsi="Times New Roman"/>
          <w:sz w:val="24"/>
          <w:szCs w:val="24"/>
        </w:rPr>
        <w:t>’s requirements</w:t>
      </w:r>
      <w:r w:rsidRPr="6ABB762F">
        <w:rPr>
          <w:rFonts w:ascii="Times New Roman" w:hAnsi="Times New Roman"/>
          <w:sz w:val="24"/>
          <w:szCs w:val="24"/>
        </w:rPr>
        <w:t xml:space="preserve"> became </w:t>
      </w:r>
      <w:r w:rsidR="00EB4E46">
        <w:rPr>
          <w:rFonts w:ascii="Times New Roman" w:hAnsi="Times New Roman"/>
          <w:sz w:val="24"/>
          <w:szCs w:val="24"/>
        </w:rPr>
        <w:t>effective</w:t>
      </w:r>
      <w:r w:rsidRPr="6ABB762F">
        <w:rPr>
          <w:rFonts w:ascii="Times New Roman" w:hAnsi="Times New Roman"/>
          <w:sz w:val="24"/>
          <w:szCs w:val="24"/>
        </w:rPr>
        <w:t xml:space="preserve"> in 1992 and the requirements of the Act are </w:t>
      </w:r>
      <w:r w:rsidR="007A770F">
        <w:rPr>
          <w:rFonts w:ascii="Times New Roman" w:hAnsi="Times New Roman"/>
          <w:sz w:val="24"/>
          <w:szCs w:val="24"/>
        </w:rPr>
        <w:t>implemented</w:t>
      </w:r>
      <w:r w:rsidRPr="6ABB762F" w:rsidR="007A770F">
        <w:rPr>
          <w:rFonts w:ascii="Times New Roman" w:hAnsi="Times New Roman"/>
          <w:sz w:val="24"/>
          <w:szCs w:val="24"/>
        </w:rPr>
        <w:t xml:space="preserve"> </w:t>
      </w:r>
      <w:r w:rsidRPr="6ABB762F">
        <w:rPr>
          <w:rFonts w:ascii="Times New Roman" w:hAnsi="Times New Roman"/>
          <w:sz w:val="24"/>
          <w:szCs w:val="24"/>
        </w:rPr>
        <w:t xml:space="preserve">in Title 49, Code </w:t>
      </w:r>
      <w:r w:rsidRPr="6ABB762F">
        <w:rPr>
          <w:rFonts w:ascii="Times New Roman" w:hAnsi="Times New Roman"/>
          <w:sz w:val="24"/>
          <w:szCs w:val="24"/>
        </w:rPr>
        <w:t xml:space="preserve">of Federal Regulations (CFR), </w:t>
      </w:r>
      <w:r w:rsidR="001B3790">
        <w:rPr>
          <w:rFonts w:ascii="Times New Roman" w:hAnsi="Times New Roman"/>
          <w:sz w:val="24"/>
          <w:szCs w:val="24"/>
        </w:rPr>
        <w:t>p</w:t>
      </w:r>
      <w:r w:rsidRPr="6ABB762F">
        <w:rPr>
          <w:rFonts w:ascii="Times New Roman" w:hAnsi="Times New Roman"/>
          <w:sz w:val="24"/>
          <w:szCs w:val="24"/>
        </w:rPr>
        <w:t xml:space="preserve">arts 383 and 384, with </w:t>
      </w:r>
      <w:r w:rsidR="00EB4E46">
        <w:rPr>
          <w:rFonts w:ascii="Times New Roman" w:hAnsi="Times New Roman"/>
          <w:sz w:val="24"/>
          <w:szCs w:val="24"/>
        </w:rPr>
        <w:t>section</w:t>
      </w:r>
      <w:r w:rsidRPr="6ABB762F">
        <w:rPr>
          <w:rFonts w:ascii="Times New Roman" w:hAnsi="Times New Roman"/>
          <w:sz w:val="24"/>
          <w:szCs w:val="24"/>
        </w:rPr>
        <w:t xml:space="preserve"> 383.51 establishing disqualifications and penalties for drivers convicted of traffic violations. </w:t>
      </w:r>
    </w:p>
    <w:p w:rsidR="00F24D9A" w:rsidRPr="00EC43D7" w:rsidP="00F24D9A" w14:paraId="1F46E6C4" w14:textId="77777777">
      <w:pPr>
        <w:ind w:left="360"/>
        <w:rPr>
          <w:rFonts w:ascii="Times New Roman" w:hAnsi="Times New Roman"/>
          <w:sz w:val="24"/>
          <w:szCs w:val="24"/>
        </w:rPr>
      </w:pPr>
    </w:p>
    <w:p w:rsidR="00F24D9A" w:rsidP="00F24D9A" w14:paraId="7E0FAEE9" w14:textId="1C4E9C9F">
      <w:pPr>
        <w:ind w:left="360"/>
        <w:rPr>
          <w:rFonts w:ascii="Times New Roman" w:hAnsi="Times New Roman"/>
          <w:sz w:val="24"/>
          <w:szCs w:val="24"/>
        </w:rPr>
      </w:pPr>
      <w:r w:rsidRPr="6ABB762F">
        <w:rPr>
          <w:rFonts w:ascii="Times New Roman" w:hAnsi="Times New Roman"/>
          <w:sz w:val="24"/>
          <w:szCs w:val="24"/>
        </w:rPr>
        <w:t>In 2005, the American Association of Motor Vehicle Administrators (AAMVA) developed a model testing system that the Federal Motor Carrier Safety Administration (FMCSA) approved, thus ensuring that jurisdictions using the Test Model maintain compliance with</w:t>
      </w:r>
      <w:r w:rsidRPr="6ABB762F">
        <w:rPr>
          <w:rFonts w:ascii="Times New Roman" w:hAnsi="Times New Roman"/>
          <w:sz w:val="24"/>
          <w:szCs w:val="24"/>
        </w:rPr>
        <w:t xml:space="preserve"> Federal Motor Carrier Safety Regulations governing CDL program training and licensing standards. </w:t>
      </w:r>
      <w:r w:rsidR="007A770F">
        <w:rPr>
          <w:rFonts w:ascii="Times New Roman" w:hAnsi="Times New Roman"/>
          <w:sz w:val="24"/>
          <w:szCs w:val="24"/>
        </w:rPr>
        <w:t xml:space="preserve">In 2011, </w:t>
      </w:r>
      <w:r w:rsidRPr="6ABB762F">
        <w:rPr>
          <w:rFonts w:ascii="Times New Roman" w:hAnsi="Times New Roman"/>
          <w:sz w:val="24"/>
          <w:szCs w:val="24"/>
        </w:rPr>
        <w:t xml:space="preserve">FMCSA established by regulation a requirement that all jurisdictions utilize a testing system that substantially conforms with the 2005 </w:t>
      </w:r>
      <w:r w:rsidR="00FB1245">
        <w:rPr>
          <w:rFonts w:ascii="Times New Roman" w:hAnsi="Times New Roman"/>
          <w:sz w:val="24"/>
          <w:szCs w:val="24"/>
        </w:rPr>
        <w:t xml:space="preserve">AAMVA </w:t>
      </w:r>
      <w:r w:rsidR="00706CE2">
        <w:rPr>
          <w:rFonts w:ascii="Times New Roman" w:hAnsi="Times New Roman"/>
          <w:sz w:val="24"/>
          <w:szCs w:val="24"/>
        </w:rPr>
        <w:t>CDL</w:t>
      </w:r>
      <w:r w:rsidRPr="6ABB762F" w:rsidR="00706CE2">
        <w:rPr>
          <w:rFonts w:ascii="Times New Roman" w:hAnsi="Times New Roman"/>
          <w:sz w:val="24"/>
          <w:szCs w:val="24"/>
        </w:rPr>
        <w:t xml:space="preserve"> Test</w:t>
      </w:r>
      <w:r w:rsidRPr="6ABB762F">
        <w:rPr>
          <w:rFonts w:ascii="Times New Roman" w:hAnsi="Times New Roman"/>
          <w:sz w:val="24"/>
          <w:szCs w:val="24"/>
        </w:rPr>
        <w:t xml:space="preserve"> Model. </w:t>
      </w:r>
      <w:r w:rsidRPr="6ABB762F">
        <w:rPr>
          <w:rFonts w:ascii="Times New Roman" w:hAnsi="Times New Roman"/>
          <w:sz w:val="24"/>
          <w:szCs w:val="24"/>
        </w:rPr>
        <w:t>The Test Model</w:t>
      </w:r>
      <w:r w:rsidR="007A770F">
        <w:rPr>
          <w:rFonts w:ascii="Times New Roman" w:hAnsi="Times New Roman"/>
          <w:sz w:val="24"/>
          <w:szCs w:val="24"/>
        </w:rPr>
        <w:t xml:space="preserve"> (</w:t>
      </w:r>
      <w:r w:rsidRPr="007A770F" w:rsidR="007A770F">
        <w:rPr>
          <w:rFonts w:ascii="Times New Roman" w:hAnsi="Times New Roman"/>
          <w:sz w:val="24"/>
          <w:szCs w:val="24"/>
        </w:rPr>
        <w:t xml:space="preserve">76 FR </w:t>
      </w:r>
      <w:r w:rsidRPr="007A770F" w:rsidR="00EB4E46">
        <w:rPr>
          <w:rFonts w:ascii="Times New Roman" w:hAnsi="Times New Roman"/>
          <w:sz w:val="24"/>
          <w:szCs w:val="24"/>
        </w:rPr>
        <w:t>2685</w:t>
      </w:r>
      <w:r w:rsidR="00EB4E46">
        <w:rPr>
          <w:rFonts w:ascii="Times New Roman" w:hAnsi="Times New Roman"/>
          <w:sz w:val="24"/>
          <w:szCs w:val="24"/>
        </w:rPr>
        <w:t>4</w:t>
      </w:r>
      <w:r w:rsidR="007A770F">
        <w:rPr>
          <w:rFonts w:ascii="Times New Roman" w:hAnsi="Times New Roman"/>
          <w:sz w:val="24"/>
          <w:szCs w:val="24"/>
        </w:rPr>
        <w:t>)</w:t>
      </w:r>
      <w:r w:rsidRPr="6ABB762F">
        <w:rPr>
          <w:rFonts w:ascii="Times New Roman" w:hAnsi="Times New Roman"/>
          <w:sz w:val="24"/>
          <w:szCs w:val="24"/>
        </w:rPr>
        <w:t>, which was upgraded in 2010 and 2014, is currently being used to some degree in all 51 jurisdictions</w:t>
      </w:r>
      <w:r w:rsidR="00FB1245">
        <w:rPr>
          <w:rFonts w:ascii="Times New Roman" w:hAnsi="Times New Roman"/>
          <w:sz w:val="24"/>
          <w:szCs w:val="24"/>
        </w:rPr>
        <w:t>;</w:t>
      </w:r>
      <w:r w:rsidRPr="6ABB762F">
        <w:rPr>
          <w:rFonts w:ascii="Times New Roman" w:hAnsi="Times New Roman"/>
          <w:sz w:val="24"/>
          <w:szCs w:val="24"/>
        </w:rPr>
        <w:t xml:space="preserve"> however, the safety benefits and </w:t>
      </w:r>
      <w:r w:rsidR="00FB1245">
        <w:rPr>
          <w:rFonts w:ascii="Times New Roman" w:hAnsi="Times New Roman"/>
          <w:sz w:val="24"/>
          <w:szCs w:val="24"/>
        </w:rPr>
        <w:t xml:space="preserve">other </w:t>
      </w:r>
      <w:r w:rsidRPr="6ABB762F">
        <w:rPr>
          <w:rFonts w:ascii="Times New Roman" w:hAnsi="Times New Roman"/>
          <w:sz w:val="24"/>
          <w:szCs w:val="24"/>
        </w:rPr>
        <w:t xml:space="preserve">potential benefits of utilizing the </w:t>
      </w:r>
      <w:r w:rsidR="00FB1245">
        <w:rPr>
          <w:rFonts w:ascii="Times New Roman" w:hAnsi="Times New Roman"/>
          <w:sz w:val="24"/>
          <w:szCs w:val="24"/>
        </w:rPr>
        <w:t>2005 AAMVA CDL</w:t>
      </w:r>
      <w:r w:rsidRPr="6ABB762F">
        <w:rPr>
          <w:rFonts w:ascii="Times New Roman" w:hAnsi="Times New Roman"/>
          <w:sz w:val="24"/>
          <w:szCs w:val="24"/>
        </w:rPr>
        <w:t xml:space="preserve"> Test Model have not been f</w:t>
      </w:r>
      <w:r w:rsidRPr="6ABB762F">
        <w:rPr>
          <w:rFonts w:ascii="Times New Roman" w:hAnsi="Times New Roman"/>
          <w:sz w:val="24"/>
          <w:szCs w:val="24"/>
        </w:rPr>
        <w:t>ully evaluated.</w:t>
      </w:r>
    </w:p>
    <w:p w:rsidR="00F24D9A" w:rsidP="00F24D9A" w14:paraId="3AB62C50" w14:textId="77777777">
      <w:pPr>
        <w:ind w:left="360"/>
        <w:rPr>
          <w:rFonts w:ascii="Times New Roman" w:hAnsi="Times New Roman"/>
          <w:sz w:val="24"/>
          <w:szCs w:val="24"/>
        </w:rPr>
      </w:pPr>
    </w:p>
    <w:p w:rsidR="00F24D9A" w:rsidP="00F24D9A" w14:paraId="79CEC2B7" w14:textId="0B95AE54">
      <w:pPr>
        <w:ind w:left="360"/>
        <w:rPr>
          <w:rFonts w:ascii="Times New Roman" w:hAnsi="Times New Roman"/>
          <w:sz w:val="24"/>
          <w:szCs w:val="24"/>
        </w:rPr>
      </w:pPr>
      <w:r w:rsidRPr="1979765D">
        <w:rPr>
          <w:rFonts w:ascii="Times New Roman" w:hAnsi="Times New Roman"/>
          <w:sz w:val="24"/>
          <w:szCs w:val="24"/>
        </w:rPr>
        <w:t xml:space="preserve">In the Moving Ahead for Progress in the 21st Century Act legislation signed into law on July 6, 2012, Congress passed a requirement for FMCSA to establish an Entry Level Driver Training (ELDT) program that both enhanced existing </w:t>
      </w:r>
      <w:r w:rsidRPr="1979765D">
        <w:rPr>
          <w:rFonts w:ascii="Times New Roman" w:hAnsi="Times New Roman"/>
          <w:sz w:val="24"/>
          <w:szCs w:val="24"/>
        </w:rPr>
        <w:t>training standards and established minimum level CDL requirements consistent across all jurisdictions</w:t>
      </w:r>
      <w:r w:rsidR="007A770F">
        <w:rPr>
          <w:rFonts w:ascii="Times New Roman" w:hAnsi="Times New Roman"/>
          <w:sz w:val="24"/>
          <w:szCs w:val="24"/>
        </w:rPr>
        <w:t xml:space="preserve"> </w:t>
      </w:r>
      <w:r w:rsidRPr="007A770F" w:rsidR="007A770F">
        <w:rPr>
          <w:rFonts w:ascii="Times New Roman" w:hAnsi="Times New Roman"/>
          <w:sz w:val="24"/>
          <w:szCs w:val="24"/>
        </w:rPr>
        <w:t>(P</w:t>
      </w:r>
      <w:r w:rsidR="00D6012E">
        <w:rPr>
          <w:rFonts w:ascii="Times New Roman" w:hAnsi="Times New Roman"/>
          <w:sz w:val="24"/>
          <w:szCs w:val="24"/>
        </w:rPr>
        <w:t>ub</w:t>
      </w:r>
      <w:r w:rsidRPr="007A770F" w:rsidR="007A770F">
        <w:rPr>
          <w:rFonts w:ascii="Times New Roman" w:hAnsi="Times New Roman"/>
          <w:sz w:val="24"/>
          <w:szCs w:val="24"/>
        </w:rPr>
        <w:t>.</w:t>
      </w:r>
      <w:r w:rsidR="00AA3992">
        <w:rPr>
          <w:rFonts w:ascii="Times New Roman" w:hAnsi="Times New Roman"/>
          <w:sz w:val="24"/>
          <w:szCs w:val="24"/>
        </w:rPr>
        <w:t xml:space="preserve"> </w:t>
      </w:r>
      <w:r w:rsidRPr="007A770F" w:rsidR="007A770F">
        <w:rPr>
          <w:rFonts w:ascii="Times New Roman" w:hAnsi="Times New Roman"/>
          <w:sz w:val="24"/>
          <w:szCs w:val="24"/>
        </w:rPr>
        <w:t>L. 112-141, 126 Stat. 405)</w:t>
      </w:r>
      <w:r w:rsidRPr="1979765D">
        <w:rPr>
          <w:rFonts w:ascii="Times New Roman" w:hAnsi="Times New Roman"/>
          <w:sz w:val="24"/>
          <w:szCs w:val="24"/>
        </w:rPr>
        <w:t>. FMCSA’s goal was to raise the standard of training, improve the quality of training, and reduce commercial vehicle accid</w:t>
      </w:r>
      <w:r w:rsidRPr="1979765D">
        <w:rPr>
          <w:rFonts w:ascii="Times New Roman" w:hAnsi="Times New Roman"/>
          <w:sz w:val="24"/>
          <w:szCs w:val="24"/>
        </w:rPr>
        <w:t xml:space="preserve">ents in every jurisdiction. </w:t>
      </w:r>
      <w:r w:rsidR="007A770F">
        <w:rPr>
          <w:rFonts w:ascii="Times New Roman" w:hAnsi="Times New Roman"/>
          <w:sz w:val="24"/>
          <w:szCs w:val="24"/>
        </w:rPr>
        <w:t>Implemented</w:t>
      </w:r>
      <w:r w:rsidRPr="1979765D" w:rsidR="007A770F">
        <w:rPr>
          <w:rFonts w:ascii="Times New Roman" w:hAnsi="Times New Roman"/>
          <w:sz w:val="24"/>
          <w:szCs w:val="24"/>
        </w:rPr>
        <w:t xml:space="preserve"> </w:t>
      </w:r>
      <w:r w:rsidRPr="1979765D">
        <w:rPr>
          <w:rFonts w:ascii="Times New Roman" w:hAnsi="Times New Roman"/>
          <w:sz w:val="24"/>
          <w:szCs w:val="24"/>
        </w:rPr>
        <w:t xml:space="preserve">in Title 49 </w:t>
      </w:r>
      <w:r w:rsidR="00302CC3">
        <w:rPr>
          <w:rFonts w:ascii="Times New Roman" w:hAnsi="Times New Roman"/>
          <w:sz w:val="24"/>
          <w:szCs w:val="24"/>
        </w:rPr>
        <w:t>p</w:t>
      </w:r>
      <w:r w:rsidRPr="1979765D">
        <w:rPr>
          <w:rFonts w:ascii="Times New Roman" w:hAnsi="Times New Roman"/>
          <w:sz w:val="24"/>
          <w:szCs w:val="24"/>
        </w:rPr>
        <w:t xml:space="preserve">art 380, </w:t>
      </w:r>
      <w:r w:rsidR="00302CC3">
        <w:rPr>
          <w:rFonts w:ascii="Times New Roman" w:hAnsi="Times New Roman"/>
          <w:sz w:val="24"/>
          <w:szCs w:val="24"/>
        </w:rPr>
        <w:t>s</w:t>
      </w:r>
      <w:r w:rsidRPr="1979765D" w:rsidR="00302CC3">
        <w:rPr>
          <w:rFonts w:ascii="Times New Roman" w:hAnsi="Times New Roman"/>
          <w:sz w:val="24"/>
          <w:szCs w:val="24"/>
        </w:rPr>
        <w:t xml:space="preserve">ubpart </w:t>
      </w:r>
      <w:r w:rsidRPr="1979765D">
        <w:rPr>
          <w:rFonts w:ascii="Times New Roman" w:hAnsi="Times New Roman"/>
          <w:sz w:val="24"/>
          <w:szCs w:val="24"/>
        </w:rPr>
        <w:t>F, the ELDT rule revise</w:t>
      </w:r>
      <w:r w:rsidR="007A770F">
        <w:rPr>
          <w:rFonts w:ascii="Times New Roman" w:hAnsi="Times New Roman"/>
          <w:sz w:val="24"/>
          <w:szCs w:val="24"/>
        </w:rPr>
        <w:t>d</w:t>
      </w:r>
      <w:r w:rsidRPr="1979765D">
        <w:rPr>
          <w:rFonts w:ascii="Times New Roman" w:hAnsi="Times New Roman"/>
          <w:sz w:val="24"/>
          <w:szCs w:val="24"/>
        </w:rPr>
        <w:t xml:space="preserve"> the mandatory training requirements for entry-level CMV operators who are required to possess a Class A or B </w:t>
      </w:r>
      <w:r w:rsidR="00FB1245">
        <w:rPr>
          <w:rFonts w:ascii="Times New Roman" w:hAnsi="Times New Roman"/>
          <w:sz w:val="24"/>
          <w:szCs w:val="24"/>
        </w:rPr>
        <w:t>CDL</w:t>
      </w:r>
      <w:r w:rsidRPr="1979765D">
        <w:rPr>
          <w:rFonts w:ascii="Times New Roman" w:hAnsi="Times New Roman"/>
          <w:sz w:val="24"/>
          <w:szCs w:val="24"/>
        </w:rPr>
        <w:t>; seek to upgrade their CDL; or wish to obtain a hazardous material, school bus, or passenger endorsement</w:t>
      </w:r>
      <w:r w:rsidR="007A770F">
        <w:rPr>
          <w:rFonts w:ascii="Times New Roman" w:hAnsi="Times New Roman"/>
          <w:sz w:val="24"/>
          <w:szCs w:val="24"/>
        </w:rPr>
        <w:t xml:space="preserve"> </w:t>
      </w:r>
      <w:r w:rsidRPr="007A770F" w:rsidR="007A770F">
        <w:rPr>
          <w:rFonts w:ascii="Times New Roman" w:hAnsi="Times New Roman"/>
          <w:sz w:val="24"/>
          <w:szCs w:val="24"/>
        </w:rPr>
        <w:t>(86 FR 34631)</w:t>
      </w:r>
      <w:r w:rsidRPr="1979765D">
        <w:rPr>
          <w:rFonts w:ascii="Times New Roman" w:hAnsi="Times New Roman"/>
          <w:sz w:val="24"/>
          <w:szCs w:val="24"/>
        </w:rPr>
        <w:t>. The ELDT program was i</w:t>
      </w:r>
      <w:r w:rsidRPr="1979765D">
        <w:rPr>
          <w:rFonts w:ascii="Times New Roman" w:hAnsi="Times New Roman"/>
          <w:sz w:val="24"/>
          <w:szCs w:val="24"/>
        </w:rPr>
        <w:t>mplemented beginning February 7, 2022.</w:t>
      </w:r>
    </w:p>
    <w:p w:rsidR="00F24D9A" w:rsidRPr="001864CB" w:rsidP="00F24D9A" w14:paraId="0C10D587" w14:textId="77777777">
      <w:pPr>
        <w:ind w:left="360"/>
        <w:rPr>
          <w:rFonts w:ascii="Times New Roman" w:hAnsi="Times New Roman"/>
          <w:sz w:val="24"/>
          <w:szCs w:val="24"/>
        </w:rPr>
      </w:pPr>
    </w:p>
    <w:p w:rsidR="00F24D9A" w:rsidP="00F24D9A" w14:paraId="7CDC5702" w14:textId="486F8068">
      <w:pPr>
        <w:ind w:left="360"/>
        <w:rPr>
          <w:rFonts w:ascii="Times New Roman" w:hAnsi="Times New Roman"/>
          <w:sz w:val="24"/>
          <w:szCs w:val="24"/>
        </w:rPr>
      </w:pPr>
      <w:r w:rsidRPr="6ABB762F">
        <w:rPr>
          <w:rFonts w:ascii="Times New Roman" w:hAnsi="Times New Roman"/>
          <w:sz w:val="24"/>
          <w:szCs w:val="24"/>
        </w:rPr>
        <w:t xml:space="preserve">An additional benefit of implementing ELDT </w:t>
      </w:r>
      <w:r w:rsidR="007A770F">
        <w:rPr>
          <w:rFonts w:ascii="Times New Roman" w:hAnsi="Times New Roman"/>
          <w:sz w:val="24"/>
          <w:szCs w:val="24"/>
        </w:rPr>
        <w:t>is</w:t>
      </w:r>
      <w:r w:rsidRPr="6ABB762F">
        <w:rPr>
          <w:rFonts w:ascii="Times New Roman" w:hAnsi="Times New Roman"/>
          <w:sz w:val="24"/>
          <w:szCs w:val="24"/>
        </w:rPr>
        <w:t xml:space="preserve"> that the training standards and minimum</w:t>
      </w:r>
      <w:r w:rsidR="00FB1245">
        <w:rPr>
          <w:rFonts w:ascii="Times New Roman" w:hAnsi="Times New Roman"/>
          <w:sz w:val="24"/>
          <w:szCs w:val="24"/>
        </w:rPr>
        <w:t>-</w:t>
      </w:r>
      <w:r w:rsidRPr="6ABB762F">
        <w:rPr>
          <w:rFonts w:ascii="Times New Roman" w:hAnsi="Times New Roman"/>
          <w:sz w:val="24"/>
          <w:szCs w:val="24"/>
        </w:rPr>
        <w:t>level CDL requirements will apply to both jurisdiction and third-party examiners. Many jurisdictions rely extensively on third-par</w:t>
      </w:r>
      <w:r w:rsidRPr="6ABB762F">
        <w:rPr>
          <w:rFonts w:ascii="Times New Roman" w:hAnsi="Times New Roman"/>
          <w:sz w:val="24"/>
          <w:szCs w:val="24"/>
        </w:rPr>
        <w:t xml:space="preserve">ty entities to provide training and conduct knowledge and skills tests. FMCSA currently prohibits </w:t>
      </w:r>
      <w:r w:rsidR="007A770F">
        <w:rPr>
          <w:rFonts w:ascii="Times New Roman" w:hAnsi="Times New Roman"/>
          <w:sz w:val="24"/>
          <w:szCs w:val="24"/>
        </w:rPr>
        <w:t>the same</w:t>
      </w:r>
      <w:r w:rsidRPr="6ABB762F" w:rsidR="007A770F">
        <w:rPr>
          <w:rFonts w:ascii="Times New Roman" w:hAnsi="Times New Roman"/>
          <w:sz w:val="24"/>
          <w:szCs w:val="24"/>
        </w:rPr>
        <w:t xml:space="preserve"> </w:t>
      </w:r>
      <w:r w:rsidRPr="6ABB762F">
        <w:rPr>
          <w:rFonts w:ascii="Times New Roman" w:hAnsi="Times New Roman"/>
          <w:sz w:val="24"/>
          <w:szCs w:val="24"/>
        </w:rPr>
        <w:t>third-party entity from serving as both trainer and examiner. Current prohibitions limit the ability jurisdictions have to increase training capacity</w:t>
      </w:r>
      <w:r w:rsidRPr="6ABB762F">
        <w:rPr>
          <w:rFonts w:ascii="Times New Roman" w:hAnsi="Times New Roman"/>
          <w:sz w:val="24"/>
          <w:szCs w:val="24"/>
        </w:rPr>
        <w:t>. This has resulted in the more frequent use of third-party entities to make up shortfalls between the demand for CDLs and a jurisdiction’s ability to provide training and examinations. There is a well-documented driver shortfall in the trucking industry a</w:t>
      </w:r>
      <w:r w:rsidRPr="6ABB762F">
        <w:rPr>
          <w:rFonts w:ascii="Times New Roman" w:hAnsi="Times New Roman"/>
          <w:sz w:val="24"/>
          <w:szCs w:val="24"/>
        </w:rPr>
        <w:t>nd the use of third-party entities to conduct training and examinations helps with increasing examiner capacity and reducing delays in drivers being issued CDLs. However, a challenge for FMCSA and jurisdictions is that to date, there is limited research av</w:t>
      </w:r>
      <w:r w:rsidRPr="6ABB762F">
        <w:rPr>
          <w:rFonts w:ascii="Times New Roman" w:hAnsi="Times New Roman"/>
          <w:sz w:val="24"/>
          <w:szCs w:val="24"/>
        </w:rPr>
        <w:t>ailable correlating driver performance with the type of training received (jurisdiction or third party).</w:t>
      </w:r>
    </w:p>
    <w:p w:rsidR="00F24D9A" w:rsidP="00F24D9A" w14:paraId="2C02E60F" w14:textId="77777777">
      <w:pPr>
        <w:ind w:left="360"/>
        <w:rPr>
          <w:rFonts w:ascii="Times New Roman" w:hAnsi="Times New Roman"/>
          <w:sz w:val="24"/>
          <w:szCs w:val="24"/>
        </w:rPr>
      </w:pPr>
    </w:p>
    <w:p w:rsidR="00F24D9A" w:rsidRPr="001864CB" w:rsidP="00F24D9A" w14:paraId="06408A85" w14:textId="02C3CF8C">
      <w:pPr>
        <w:ind w:left="360"/>
        <w:rPr>
          <w:rFonts w:ascii="Times New Roman" w:hAnsi="Times New Roman"/>
          <w:sz w:val="24"/>
          <w:szCs w:val="24"/>
        </w:rPr>
      </w:pPr>
      <w:r w:rsidRPr="6ABB762F">
        <w:rPr>
          <w:rFonts w:ascii="Times New Roman" w:hAnsi="Times New Roman"/>
          <w:sz w:val="24"/>
          <w:szCs w:val="24"/>
        </w:rPr>
        <w:t xml:space="preserve">An additional challenge that has faced the CDL program since its inception has been fraud associated with the current AAMVA </w:t>
      </w:r>
      <w:r w:rsidR="00FB1245">
        <w:rPr>
          <w:rFonts w:ascii="Times New Roman" w:hAnsi="Times New Roman"/>
          <w:sz w:val="24"/>
          <w:szCs w:val="24"/>
        </w:rPr>
        <w:t>CDL T</w:t>
      </w:r>
      <w:r w:rsidRPr="6ABB762F">
        <w:rPr>
          <w:rFonts w:ascii="Times New Roman" w:hAnsi="Times New Roman"/>
          <w:sz w:val="24"/>
          <w:szCs w:val="24"/>
        </w:rPr>
        <w:t xml:space="preserve">est </w:t>
      </w:r>
      <w:r w:rsidR="00FB1245">
        <w:rPr>
          <w:rFonts w:ascii="Times New Roman" w:hAnsi="Times New Roman"/>
          <w:sz w:val="24"/>
          <w:szCs w:val="24"/>
        </w:rPr>
        <w:t>M</w:t>
      </w:r>
      <w:r w:rsidRPr="6ABB762F">
        <w:rPr>
          <w:rFonts w:ascii="Times New Roman" w:hAnsi="Times New Roman"/>
          <w:sz w:val="24"/>
          <w:szCs w:val="24"/>
        </w:rPr>
        <w:t>odel. The provis</w:t>
      </w:r>
      <w:r w:rsidRPr="6ABB762F">
        <w:rPr>
          <w:rFonts w:ascii="Times New Roman" w:hAnsi="Times New Roman"/>
          <w:sz w:val="24"/>
          <w:szCs w:val="24"/>
        </w:rPr>
        <w:t xml:space="preserve">ions of 49 CFR 384.228 and 384.229 are intended to provide </w:t>
      </w:r>
      <w:r w:rsidR="00FB1245">
        <w:rPr>
          <w:rFonts w:ascii="Times New Roman" w:hAnsi="Times New Roman"/>
          <w:sz w:val="24"/>
          <w:szCs w:val="24"/>
        </w:rPr>
        <w:t>S</w:t>
      </w:r>
      <w:r w:rsidRPr="6ABB762F">
        <w:rPr>
          <w:rFonts w:ascii="Times New Roman" w:hAnsi="Times New Roman"/>
          <w:sz w:val="24"/>
          <w:szCs w:val="24"/>
        </w:rPr>
        <w:t>tates with a mechanism for detecting potential fraud and ensuring that all requirements are being addressed. Maintaining proper oversight and auditing third-party training providers remains a chal</w:t>
      </w:r>
      <w:r w:rsidRPr="6ABB762F">
        <w:rPr>
          <w:rFonts w:ascii="Times New Roman" w:hAnsi="Times New Roman"/>
          <w:sz w:val="24"/>
          <w:szCs w:val="24"/>
        </w:rPr>
        <w:t xml:space="preserve">lenge. The Training Provider Registry requirement of self-certification of compliance with ELDT and </w:t>
      </w:r>
      <w:r w:rsidR="00FB1245">
        <w:rPr>
          <w:rFonts w:ascii="Times New Roman" w:hAnsi="Times New Roman"/>
          <w:sz w:val="24"/>
          <w:szCs w:val="24"/>
        </w:rPr>
        <w:t>S</w:t>
      </w:r>
      <w:r w:rsidRPr="6ABB762F">
        <w:rPr>
          <w:rFonts w:ascii="Times New Roman" w:hAnsi="Times New Roman"/>
          <w:sz w:val="24"/>
          <w:szCs w:val="24"/>
        </w:rPr>
        <w:t xml:space="preserve">tate </w:t>
      </w:r>
      <w:r w:rsidR="00FB1245">
        <w:rPr>
          <w:rFonts w:ascii="Times New Roman" w:hAnsi="Times New Roman"/>
          <w:sz w:val="24"/>
          <w:szCs w:val="24"/>
        </w:rPr>
        <w:t>CMV instruction</w:t>
      </w:r>
      <w:r w:rsidRPr="6ABB762F" w:rsidR="00FB1245">
        <w:rPr>
          <w:rFonts w:ascii="Times New Roman" w:hAnsi="Times New Roman"/>
          <w:sz w:val="24"/>
          <w:szCs w:val="24"/>
        </w:rPr>
        <w:t xml:space="preserve"> </w:t>
      </w:r>
      <w:r w:rsidRPr="6ABB762F">
        <w:rPr>
          <w:rFonts w:ascii="Times New Roman" w:hAnsi="Times New Roman"/>
          <w:sz w:val="24"/>
          <w:szCs w:val="24"/>
        </w:rPr>
        <w:t xml:space="preserve">requirements adds to this challenge and will require </w:t>
      </w:r>
      <w:r w:rsidR="00FB1245">
        <w:rPr>
          <w:rFonts w:ascii="Times New Roman" w:hAnsi="Times New Roman"/>
          <w:sz w:val="24"/>
          <w:szCs w:val="24"/>
        </w:rPr>
        <w:t xml:space="preserve">FMCSA and the </w:t>
      </w:r>
      <w:r w:rsidR="00EB4E46">
        <w:rPr>
          <w:rFonts w:ascii="Times New Roman" w:hAnsi="Times New Roman"/>
          <w:sz w:val="24"/>
          <w:szCs w:val="24"/>
        </w:rPr>
        <w:t>State Driver Licensing Agencies (</w:t>
      </w:r>
      <w:r w:rsidRPr="6ABB762F">
        <w:rPr>
          <w:rFonts w:ascii="Times New Roman" w:hAnsi="Times New Roman"/>
          <w:sz w:val="24"/>
          <w:szCs w:val="24"/>
        </w:rPr>
        <w:t>SDLAs</w:t>
      </w:r>
      <w:r w:rsidR="00EB4E46">
        <w:rPr>
          <w:rFonts w:ascii="Times New Roman" w:hAnsi="Times New Roman"/>
          <w:sz w:val="24"/>
          <w:szCs w:val="24"/>
        </w:rPr>
        <w:t>)</w:t>
      </w:r>
      <w:r w:rsidRPr="6ABB762F">
        <w:rPr>
          <w:rFonts w:ascii="Times New Roman" w:hAnsi="Times New Roman"/>
          <w:sz w:val="24"/>
          <w:szCs w:val="24"/>
        </w:rPr>
        <w:t xml:space="preserve"> to ensure third-party training provider self-certifications are accurate and meet all requirements</w:t>
      </w:r>
      <w:r w:rsidR="00FB1245">
        <w:rPr>
          <w:rFonts w:ascii="Times New Roman" w:hAnsi="Times New Roman"/>
          <w:sz w:val="24"/>
          <w:szCs w:val="24"/>
        </w:rPr>
        <w:t xml:space="preserve">, in accordance with 49 CFR </w:t>
      </w:r>
      <w:r w:rsidR="00ED451E">
        <w:rPr>
          <w:rFonts w:ascii="Times New Roman" w:hAnsi="Times New Roman"/>
          <w:sz w:val="24"/>
          <w:szCs w:val="24"/>
        </w:rPr>
        <w:t>p</w:t>
      </w:r>
      <w:r w:rsidR="00FB1245">
        <w:rPr>
          <w:rFonts w:ascii="Times New Roman" w:hAnsi="Times New Roman"/>
          <w:sz w:val="24"/>
          <w:szCs w:val="24"/>
        </w:rPr>
        <w:t>art 380 and 49 CFR 383.73(p)</w:t>
      </w:r>
      <w:r w:rsidRPr="6ABB762F">
        <w:rPr>
          <w:rFonts w:ascii="Times New Roman" w:hAnsi="Times New Roman"/>
          <w:sz w:val="24"/>
          <w:szCs w:val="24"/>
        </w:rPr>
        <w:t xml:space="preserve">. </w:t>
      </w:r>
    </w:p>
    <w:p w:rsidR="00F24D9A" w:rsidP="00F24D9A" w14:paraId="750EC536" w14:textId="77777777">
      <w:pPr>
        <w:ind w:left="360"/>
        <w:rPr>
          <w:rFonts w:ascii="Times New Roman" w:hAnsi="Times New Roman"/>
          <w:sz w:val="24"/>
          <w:szCs w:val="24"/>
        </w:rPr>
      </w:pPr>
    </w:p>
    <w:p w:rsidR="009B50C5" w:rsidP="6ABB762F" w14:paraId="5C0997C9" w14:textId="1BFA4F8E">
      <w:pPr>
        <w:ind w:left="360"/>
        <w:rPr>
          <w:rFonts w:ascii="Times New Roman" w:hAnsi="Times New Roman"/>
          <w:sz w:val="24"/>
          <w:szCs w:val="24"/>
        </w:rPr>
      </w:pPr>
      <w:r w:rsidRPr="6ABB762F">
        <w:rPr>
          <w:rFonts w:ascii="Times New Roman" w:hAnsi="Times New Roman"/>
          <w:sz w:val="24"/>
          <w:szCs w:val="24"/>
        </w:rPr>
        <w:t xml:space="preserve">To </w:t>
      </w:r>
      <w:r w:rsidR="004C5033">
        <w:rPr>
          <w:rFonts w:ascii="Times New Roman" w:hAnsi="Times New Roman"/>
          <w:sz w:val="24"/>
          <w:szCs w:val="24"/>
        </w:rPr>
        <w:t>address</w:t>
      </w:r>
      <w:r>
        <w:rPr>
          <w:rFonts w:ascii="Times New Roman" w:hAnsi="Times New Roman"/>
          <w:sz w:val="24"/>
          <w:szCs w:val="24"/>
        </w:rPr>
        <w:t xml:space="preserve"> this knowledge gap, </w:t>
      </w:r>
      <w:r w:rsidRPr="01F1B685" w:rsidR="001864CB">
        <w:rPr>
          <w:rFonts w:ascii="Times New Roman" w:hAnsi="Times New Roman"/>
          <w:sz w:val="24"/>
          <w:szCs w:val="24"/>
        </w:rPr>
        <w:t xml:space="preserve">FMCSA is </w:t>
      </w:r>
      <w:r w:rsidR="00DF4F9D">
        <w:rPr>
          <w:rFonts w:ascii="Times New Roman" w:hAnsi="Times New Roman"/>
          <w:sz w:val="24"/>
          <w:szCs w:val="24"/>
        </w:rPr>
        <w:t>conducting</w:t>
      </w:r>
      <w:r w:rsidRPr="01F1B685" w:rsidR="001864CB">
        <w:rPr>
          <w:rFonts w:ascii="Times New Roman" w:hAnsi="Times New Roman"/>
          <w:sz w:val="24"/>
          <w:szCs w:val="24"/>
        </w:rPr>
        <w:t xml:space="preserve"> a </w:t>
      </w:r>
      <w:r>
        <w:rPr>
          <w:rFonts w:ascii="Times New Roman" w:hAnsi="Times New Roman"/>
          <w:sz w:val="24"/>
          <w:szCs w:val="24"/>
        </w:rPr>
        <w:t>research study titled</w:t>
      </w:r>
      <w:r w:rsidR="00DF4F9D">
        <w:rPr>
          <w:rFonts w:ascii="Times New Roman" w:hAnsi="Times New Roman"/>
          <w:sz w:val="24"/>
          <w:szCs w:val="24"/>
        </w:rPr>
        <w:t xml:space="preserve"> </w:t>
      </w:r>
      <w:r w:rsidRPr="01F1B685" w:rsidR="001864CB">
        <w:rPr>
          <w:rFonts w:ascii="Times New Roman" w:hAnsi="Times New Roman"/>
          <w:sz w:val="24"/>
          <w:szCs w:val="24"/>
        </w:rPr>
        <w:t>“Effectiveness of Third-Party Testing and Minimum Standards for CDL Knowledge and Skills Test</w:t>
      </w:r>
      <w:r w:rsidR="00C972E8">
        <w:rPr>
          <w:rFonts w:ascii="Times New Roman" w:hAnsi="Times New Roman"/>
          <w:sz w:val="24"/>
          <w:szCs w:val="24"/>
        </w:rPr>
        <w:t>s</w:t>
      </w:r>
      <w:r w:rsidR="00AB6AA5">
        <w:rPr>
          <w:rFonts w:ascii="Times New Roman" w:hAnsi="Times New Roman"/>
          <w:sz w:val="24"/>
          <w:szCs w:val="24"/>
        </w:rPr>
        <w:t>,</w:t>
      </w:r>
      <w:r w:rsidRPr="01F1B685" w:rsidR="001864CB">
        <w:rPr>
          <w:rFonts w:ascii="Times New Roman" w:hAnsi="Times New Roman"/>
          <w:sz w:val="24"/>
          <w:szCs w:val="24"/>
        </w:rPr>
        <w:t xml:space="preserve">” which will assess the effectiveness of the ELDT program, assess third-party training provider performance, and verify/validate compliance with ELDT minimum standards. </w:t>
      </w:r>
      <w:r w:rsidRPr="01F1B685">
        <w:rPr>
          <w:rFonts w:ascii="Times New Roman" w:hAnsi="Times New Roman"/>
          <w:sz w:val="24"/>
          <w:szCs w:val="24"/>
        </w:rPr>
        <w:t>There are two</w:t>
      </w:r>
      <w:r w:rsidRPr="01F1B685">
        <w:rPr>
          <w:rFonts w:ascii="Times New Roman" w:hAnsi="Times New Roman"/>
          <w:sz w:val="24"/>
          <w:szCs w:val="24"/>
        </w:rPr>
        <w:t xml:space="preserve"> main objectives for this project:</w:t>
      </w:r>
    </w:p>
    <w:p w:rsidR="08FF0FC8" w:rsidP="08FF0FC8" w14:paraId="13895FD2" w14:textId="7A113619">
      <w:pPr>
        <w:ind w:left="360"/>
        <w:rPr>
          <w:sz w:val="24"/>
          <w:szCs w:val="24"/>
        </w:rPr>
      </w:pPr>
    </w:p>
    <w:p w:rsidR="009B50C5" w:rsidP="00B57147" w14:paraId="7710E77D" w14:textId="77777777">
      <w:pPr>
        <w:numPr>
          <w:ilvl w:val="0"/>
          <w:numId w:val="41"/>
        </w:numPr>
        <w:ind w:left="720"/>
        <w:rPr>
          <w:rFonts w:ascii="Times New Roman" w:hAnsi="Times New Roman"/>
          <w:color w:val="000000" w:themeColor="text1"/>
          <w:sz w:val="24"/>
          <w:szCs w:val="24"/>
        </w:rPr>
      </w:pPr>
      <w:r w:rsidRPr="6ABB762F">
        <w:rPr>
          <w:rFonts w:ascii="Times New Roman" w:hAnsi="Times New Roman"/>
          <w:sz w:val="24"/>
          <w:szCs w:val="24"/>
        </w:rPr>
        <w:t>To determine the effectiveness of third-party testing programs for CDL skills tests; and</w:t>
      </w:r>
    </w:p>
    <w:p w:rsidR="009B50C5" w:rsidP="006634EB" w14:paraId="5E8D8EB5" w14:textId="77777777">
      <w:pPr>
        <w:numPr>
          <w:ilvl w:val="0"/>
          <w:numId w:val="41"/>
        </w:numPr>
        <w:spacing w:after="240"/>
        <w:ind w:left="720"/>
        <w:rPr>
          <w:rFonts w:ascii="Times New Roman" w:hAnsi="Times New Roman"/>
          <w:color w:val="000000" w:themeColor="text1"/>
          <w:sz w:val="24"/>
          <w:szCs w:val="24"/>
        </w:rPr>
      </w:pPr>
      <w:r w:rsidRPr="6ABB762F">
        <w:rPr>
          <w:rFonts w:ascii="Times New Roman" w:hAnsi="Times New Roman"/>
          <w:sz w:val="24"/>
          <w:szCs w:val="24"/>
        </w:rPr>
        <w:t xml:space="preserve">To determine the effectiveness of minimum training and minimum testing standards for CDL knowledge and skills tests. </w:t>
      </w:r>
    </w:p>
    <w:p w:rsidR="009B50C5" w:rsidP="6ABB762F" w14:paraId="293CAD28" w14:textId="145D86AC">
      <w:pPr>
        <w:pStyle w:val="FMCSAText1"/>
        <w:ind w:left="288"/>
        <w:rPr>
          <w:rFonts w:ascii="Times New Roman" w:hAnsi="Times New Roman"/>
          <w:color w:val="000000" w:themeColor="text1"/>
        </w:rPr>
      </w:pPr>
      <w:r w:rsidRPr="452FB3DF">
        <w:rPr>
          <w:rFonts w:ascii="Times New Roman" w:hAnsi="Times New Roman"/>
          <w:color w:val="000000" w:themeColor="text1"/>
        </w:rPr>
        <w:t xml:space="preserve">This </w:t>
      </w:r>
      <w:r w:rsidRPr="452FB3DF">
        <w:rPr>
          <w:rFonts w:ascii="Times New Roman" w:hAnsi="Times New Roman"/>
          <w:color w:val="000000" w:themeColor="text1"/>
        </w:rPr>
        <w:t>project is intended to address the following research questions:</w:t>
      </w:r>
    </w:p>
    <w:p w:rsidR="009B50C5" w:rsidRPr="001E0564" w:rsidP="001E0564" w14:paraId="6BE45D92" w14:textId="749B5D3B">
      <w:pPr>
        <w:numPr>
          <w:ilvl w:val="0"/>
          <w:numId w:val="43"/>
        </w:numPr>
        <w:rPr>
          <w:rFonts w:ascii="Times New Roman" w:hAnsi="Times New Roman"/>
          <w:sz w:val="24"/>
          <w:szCs w:val="24"/>
        </w:rPr>
      </w:pPr>
      <w:r w:rsidRPr="000D6ACD">
        <w:rPr>
          <w:rFonts w:ascii="Times New Roman" w:hAnsi="Times New Roman"/>
          <w:sz w:val="24"/>
          <w:szCs w:val="24"/>
        </w:rPr>
        <w:t xml:space="preserve">Is there evidence of increasing or decreasing fraud among third-party examiners based on the pass rates and subsequent safety history of CDL holders who were tested by third-party testers? </w:t>
      </w:r>
    </w:p>
    <w:p w:rsidR="009B50C5" w:rsidRPr="001E0564" w:rsidP="001E0564" w14:paraId="5C2FD134" w14:textId="0C380E57">
      <w:pPr>
        <w:numPr>
          <w:ilvl w:val="0"/>
          <w:numId w:val="43"/>
        </w:numPr>
        <w:rPr>
          <w:rFonts w:ascii="Times New Roman" w:hAnsi="Times New Roman"/>
          <w:sz w:val="24"/>
          <w:szCs w:val="24"/>
        </w:rPr>
      </w:pPr>
      <w:r w:rsidRPr="000D6ACD">
        <w:rPr>
          <w:rFonts w:ascii="Times New Roman" w:hAnsi="Times New Roman"/>
          <w:sz w:val="24"/>
          <w:szCs w:val="24"/>
        </w:rPr>
        <w:t>A</w:t>
      </w:r>
      <w:r w:rsidRPr="000D6ACD">
        <w:rPr>
          <w:rFonts w:ascii="Times New Roman" w:hAnsi="Times New Roman"/>
          <w:sz w:val="24"/>
          <w:szCs w:val="24"/>
        </w:rPr>
        <w:t xml:space="preserve">re there significant differences in the outcomes of third-party testing on CDL testing? </w:t>
      </w:r>
    </w:p>
    <w:p w:rsidR="009B50C5" w:rsidRPr="001E0564" w:rsidP="001E0564" w14:paraId="0479B499" w14:textId="0BFB2113">
      <w:pPr>
        <w:numPr>
          <w:ilvl w:val="0"/>
          <w:numId w:val="43"/>
        </w:numPr>
        <w:rPr>
          <w:rFonts w:ascii="Times New Roman" w:hAnsi="Times New Roman"/>
          <w:sz w:val="24"/>
          <w:szCs w:val="24"/>
        </w:rPr>
      </w:pPr>
      <w:r w:rsidRPr="000D6ACD">
        <w:rPr>
          <w:rFonts w:ascii="Times New Roman" w:hAnsi="Times New Roman"/>
          <w:sz w:val="24"/>
          <w:szCs w:val="24"/>
        </w:rPr>
        <w:t xml:space="preserve">Would it be feasible to conduct a future study on the safety impacts of delegating CDL knowledge testing to third-party testers based on available data? </w:t>
      </w:r>
    </w:p>
    <w:p w:rsidR="009B50C5" w:rsidRPr="001E0564" w:rsidP="001E0564" w14:paraId="20B6E354" w14:textId="39B98A2A">
      <w:pPr>
        <w:numPr>
          <w:ilvl w:val="0"/>
          <w:numId w:val="43"/>
        </w:numPr>
        <w:rPr>
          <w:rFonts w:ascii="Times New Roman" w:hAnsi="Times New Roman"/>
          <w:sz w:val="24"/>
          <w:szCs w:val="24"/>
        </w:rPr>
      </w:pPr>
      <w:r w:rsidRPr="000D6ACD">
        <w:rPr>
          <w:rFonts w:ascii="Times New Roman" w:hAnsi="Times New Roman"/>
          <w:sz w:val="24"/>
          <w:szCs w:val="24"/>
        </w:rPr>
        <w:t>How do the dr</w:t>
      </w:r>
      <w:r w:rsidRPr="000D6ACD">
        <w:rPr>
          <w:rFonts w:ascii="Times New Roman" w:hAnsi="Times New Roman"/>
          <w:sz w:val="24"/>
          <w:szCs w:val="24"/>
        </w:rPr>
        <w:t xml:space="preserve">iving histories of drivers who received behind-the-wheel training (pre-ELDT requirements) compare to drivers who completed the new ELDT requirements? </w:t>
      </w:r>
    </w:p>
    <w:p w:rsidR="009B50C5" w:rsidRPr="001E0564" w:rsidP="001E0564" w14:paraId="3F68BCD1" w14:textId="45C2DABC">
      <w:pPr>
        <w:numPr>
          <w:ilvl w:val="0"/>
          <w:numId w:val="43"/>
        </w:numPr>
        <w:rPr>
          <w:rFonts w:ascii="Times New Roman" w:hAnsi="Times New Roman"/>
          <w:sz w:val="24"/>
          <w:szCs w:val="24"/>
        </w:rPr>
      </w:pPr>
      <w:r w:rsidRPr="000D6ACD">
        <w:rPr>
          <w:rFonts w:ascii="Times New Roman" w:hAnsi="Times New Roman"/>
          <w:sz w:val="24"/>
          <w:szCs w:val="24"/>
        </w:rPr>
        <w:t>How do the driving histories of drivers who received theory instruction (pre-ELDT requirements) compare t</w:t>
      </w:r>
      <w:r w:rsidRPr="000D6ACD">
        <w:rPr>
          <w:rFonts w:ascii="Times New Roman" w:hAnsi="Times New Roman"/>
          <w:sz w:val="24"/>
          <w:szCs w:val="24"/>
        </w:rPr>
        <w:t xml:space="preserve">o drivers who completed the new ELDT requirements? </w:t>
      </w:r>
    </w:p>
    <w:p w:rsidR="009B50C5" w:rsidRPr="001E0564" w:rsidP="001E0564" w14:paraId="0CF1C268" w14:textId="77490907">
      <w:pPr>
        <w:numPr>
          <w:ilvl w:val="0"/>
          <w:numId w:val="43"/>
        </w:numPr>
        <w:rPr>
          <w:rFonts w:ascii="Times New Roman" w:hAnsi="Times New Roman"/>
          <w:sz w:val="24"/>
          <w:szCs w:val="24"/>
        </w:rPr>
      </w:pPr>
      <w:r w:rsidRPr="000D6ACD">
        <w:rPr>
          <w:rFonts w:ascii="Times New Roman" w:hAnsi="Times New Roman"/>
          <w:sz w:val="24"/>
          <w:szCs w:val="24"/>
        </w:rPr>
        <w:t xml:space="preserve">How do skills test pass rates of drivers pre-ELDT compliance compare to pass rates of drivers after the ELDT compliance date? </w:t>
      </w:r>
    </w:p>
    <w:p w:rsidR="009B50C5" w:rsidRPr="001E0564" w:rsidP="001E0564" w14:paraId="5793C364" w14:textId="1AEB7BE8">
      <w:pPr>
        <w:numPr>
          <w:ilvl w:val="0"/>
          <w:numId w:val="43"/>
        </w:numPr>
        <w:rPr>
          <w:rFonts w:ascii="Times New Roman" w:hAnsi="Times New Roman"/>
          <w:sz w:val="24"/>
          <w:szCs w:val="24"/>
        </w:rPr>
      </w:pPr>
      <w:r w:rsidRPr="000D6ACD">
        <w:rPr>
          <w:rFonts w:ascii="Times New Roman" w:hAnsi="Times New Roman"/>
          <w:sz w:val="24"/>
          <w:szCs w:val="24"/>
        </w:rPr>
        <w:t>Are there identifiable safety benefits that have been realized by the adoptio</w:t>
      </w:r>
      <w:r w:rsidRPr="000D6ACD">
        <w:rPr>
          <w:rFonts w:ascii="Times New Roman" w:hAnsi="Times New Roman"/>
          <w:sz w:val="24"/>
          <w:szCs w:val="24"/>
        </w:rPr>
        <w:t xml:space="preserve">n of the 2005 </w:t>
      </w:r>
      <w:r w:rsidR="005B7FF7">
        <w:rPr>
          <w:rFonts w:ascii="Times New Roman" w:hAnsi="Times New Roman"/>
          <w:sz w:val="24"/>
          <w:szCs w:val="24"/>
        </w:rPr>
        <w:t>AAMVA</w:t>
      </w:r>
      <w:r w:rsidRPr="000D6ACD">
        <w:rPr>
          <w:rFonts w:ascii="Times New Roman" w:hAnsi="Times New Roman"/>
          <w:sz w:val="24"/>
          <w:szCs w:val="24"/>
        </w:rPr>
        <w:t xml:space="preserve"> CDL Test Model? </w:t>
      </w:r>
    </w:p>
    <w:p w:rsidR="009B50C5" w:rsidRPr="001E0564" w:rsidP="001E0564" w14:paraId="01DEFB90" w14:textId="6B823BBB">
      <w:pPr>
        <w:numPr>
          <w:ilvl w:val="0"/>
          <w:numId w:val="43"/>
        </w:numPr>
        <w:rPr>
          <w:rFonts w:ascii="Times New Roman" w:hAnsi="Times New Roman"/>
          <w:sz w:val="24"/>
          <w:szCs w:val="24"/>
        </w:rPr>
      </w:pPr>
      <w:r w:rsidRPr="000D6ACD">
        <w:rPr>
          <w:rFonts w:ascii="Times New Roman" w:hAnsi="Times New Roman"/>
          <w:sz w:val="24"/>
          <w:szCs w:val="24"/>
        </w:rPr>
        <w:t>Are there external factors preventing</w:t>
      </w:r>
      <w:r w:rsidRPr="01F1B685">
        <w:rPr>
          <w:rFonts w:ascii="Times New Roman" w:hAnsi="Times New Roman"/>
          <w:sz w:val="24"/>
          <w:szCs w:val="24"/>
        </w:rPr>
        <w:t xml:space="preserve"> </w:t>
      </w:r>
      <w:r w:rsidRPr="01F1B685" w:rsidR="01F1B685">
        <w:rPr>
          <w:rFonts w:ascii="Times New Roman" w:hAnsi="Times New Roman"/>
          <w:sz w:val="24"/>
          <w:szCs w:val="24"/>
        </w:rPr>
        <w:t>State Driver</w:t>
      </w:r>
      <w:r w:rsidR="005B7FF7">
        <w:rPr>
          <w:rFonts w:ascii="Times New Roman" w:hAnsi="Times New Roman"/>
          <w:sz w:val="24"/>
          <w:szCs w:val="24"/>
        </w:rPr>
        <w:t>’s</w:t>
      </w:r>
      <w:r w:rsidRPr="01F1B685" w:rsidR="01F1B685">
        <w:rPr>
          <w:rFonts w:ascii="Times New Roman" w:hAnsi="Times New Roman"/>
          <w:sz w:val="24"/>
          <w:szCs w:val="24"/>
        </w:rPr>
        <w:t xml:space="preserve"> Licensing Agencies</w:t>
      </w:r>
      <w:r w:rsidRPr="000D6ACD">
        <w:rPr>
          <w:rFonts w:ascii="Times New Roman" w:hAnsi="Times New Roman"/>
          <w:sz w:val="24"/>
          <w:szCs w:val="24"/>
        </w:rPr>
        <w:t xml:space="preserve"> </w:t>
      </w:r>
      <w:r w:rsidRPr="01F1B685">
        <w:rPr>
          <w:rFonts w:ascii="Times New Roman" w:hAnsi="Times New Roman"/>
          <w:sz w:val="24"/>
          <w:szCs w:val="24"/>
        </w:rPr>
        <w:t>(</w:t>
      </w:r>
      <w:r w:rsidRPr="000D6ACD">
        <w:rPr>
          <w:rFonts w:ascii="Times New Roman" w:hAnsi="Times New Roman"/>
          <w:sz w:val="24"/>
          <w:szCs w:val="24"/>
        </w:rPr>
        <w:t>SDLAs</w:t>
      </w:r>
      <w:r w:rsidRPr="01F1B685">
        <w:rPr>
          <w:rFonts w:ascii="Times New Roman" w:hAnsi="Times New Roman"/>
          <w:sz w:val="24"/>
          <w:szCs w:val="24"/>
        </w:rPr>
        <w:t>)</w:t>
      </w:r>
      <w:r w:rsidRPr="000D6ACD">
        <w:rPr>
          <w:rFonts w:ascii="Times New Roman" w:hAnsi="Times New Roman"/>
          <w:sz w:val="24"/>
          <w:szCs w:val="24"/>
        </w:rPr>
        <w:t xml:space="preserve"> and the CDL community from achieving the full potential of safety benefits of the 2005 AAMVA CDL Test Model?</w:t>
      </w:r>
    </w:p>
    <w:p w:rsidR="009B50C5" w:rsidP="6ABB762F" w14:paraId="77A8AFF5" w14:textId="2D48EEA1">
      <w:pPr>
        <w:rPr>
          <w:sz w:val="24"/>
          <w:szCs w:val="24"/>
        </w:rPr>
      </w:pPr>
    </w:p>
    <w:p w:rsidR="00E44D02" w:rsidP="6ABB762F" w14:paraId="1D735406" w14:textId="56FD4627">
      <w:pPr>
        <w:ind w:left="360"/>
        <w:rPr>
          <w:rFonts w:ascii="Times New Roman" w:hAnsi="Times New Roman"/>
          <w:sz w:val="24"/>
          <w:szCs w:val="24"/>
        </w:rPr>
      </w:pPr>
      <w:r w:rsidRPr="452FB3DF">
        <w:rPr>
          <w:rFonts w:ascii="Times New Roman" w:hAnsi="Times New Roman"/>
          <w:sz w:val="24"/>
          <w:szCs w:val="24"/>
        </w:rPr>
        <w:t xml:space="preserve">FMCSA is requesting approval to conduct </w:t>
      </w:r>
      <w:r w:rsidRPr="452FB3DF" w:rsidR="008B1C1F">
        <w:rPr>
          <w:rFonts w:ascii="Times New Roman" w:hAnsi="Times New Roman"/>
          <w:sz w:val="24"/>
          <w:szCs w:val="24"/>
        </w:rPr>
        <w:t xml:space="preserve">a </w:t>
      </w:r>
      <w:r w:rsidRPr="452FB3DF" w:rsidR="00DF4F9D">
        <w:rPr>
          <w:rFonts w:ascii="Times New Roman" w:hAnsi="Times New Roman"/>
          <w:sz w:val="24"/>
          <w:szCs w:val="24"/>
        </w:rPr>
        <w:t xml:space="preserve">one-time </w:t>
      </w:r>
      <w:r w:rsidRPr="452FB3DF">
        <w:rPr>
          <w:rFonts w:ascii="Times New Roman" w:hAnsi="Times New Roman"/>
          <w:sz w:val="24"/>
          <w:szCs w:val="24"/>
        </w:rPr>
        <w:t xml:space="preserve">survey </w:t>
      </w:r>
      <w:r w:rsidRPr="452FB3DF" w:rsidR="00DF4F9D">
        <w:rPr>
          <w:rFonts w:ascii="Times New Roman" w:hAnsi="Times New Roman"/>
          <w:sz w:val="24"/>
          <w:szCs w:val="24"/>
        </w:rPr>
        <w:t>which will</w:t>
      </w:r>
      <w:r w:rsidRPr="452FB3DF">
        <w:rPr>
          <w:rFonts w:ascii="Times New Roman" w:hAnsi="Times New Roman"/>
          <w:sz w:val="24"/>
          <w:szCs w:val="24"/>
        </w:rPr>
        <w:t xml:space="preserve"> be distributed to </w:t>
      </w:r>
      <w:r w:rsidRPr="452FB3DF" w:rsidR="008146EC">
        <w:rPr>
          <w:rFonts w:ascii="Times New Roman" w:hAnsi="Times New Roman"/>
          <w:sz w:val="24"/>
          <w:szCs w:val="24"/>
        </w:rPr>
        <w:t xml:space="preserve">the 51 </w:t>
      </w:r>
      <w:r w:rsidRPr="452FB3DF">
        <w:rPr>
          <w:rFonts w:ascii="Times New Roman" w:hAnsi="Times New Roman"/>
          <w:sz w:val="24"/>
          <w:szCs w:val="24"/>
        </w:rPr>
        <w:t>SDLA ju</w:t>
      </w:r>
      <w:r w:rsidRPr="452FB3DF" w:rsidR="008146EC">
        <w:rPr>
          <w:rFonts w:ascii="Times New Roman" w:hAnsi="Times New Roman"/>
          <w:sz w:val="24"/>
          <w:szCs w:val="24"/>
        </w:rPr>
        <w:t xml:space="preserve">risdictions </w:t>
      </w:r>
      <w:r w:rsidRPr="452FB3DF" w:rsidR="006B4C61">
        <w:rPr>
          <w:rFonts w:ascii="Times New Roman" w:hAnsi="Times New Roman"/>
          <w:sz w:val="24"/>
          <w:szCs w:val="24"/>
        </w:rPr>
        <w:t>(</w:t>
      </w:r>
      <w:r w:rsidRPr="452FB3DF" w:rsidR="008146EC">
        <w:rPr>
          <w:rFonts w:ascii="Times New Roman" w:hAnsi="Times New Roman"/>
          <w:sz w:val="24"/>
          <w:szCs w:val="24"/>
        </w:rPr>
        <w:t xml:space="preserve">all 50 </w:t>
      </w:r>
      <w:r w:rsidR="00B5625A">
        <w:rPr>
          <w:rFonts w:ascii="Times New Roman" w:hAnsi="Times New Roman"/>
          <w:sz w:val="24"/>
          <w:szCs w:val="24"/>
        </w:rPr>
        <w:t>S</w:t>
      </w:r>
      <w:r w:rsidRPr="452FB3DF" w:rsidR="008146EC">
        <w:rPr>
          <w:rFonts w:ascii="Times New Roman" w:hAnsi="Times New Roman"/>
          <w:sz w:val="24"/>
          <w:szCs w:val="24"/>
        </w:rPr>
        <w:t>tates and Washington, D.C</w:t>
      </w:r>
      <w:r w:rsidRPr="452FB3DF" w:rsidR="006B4C61">
        <w:rPr>
          <w:rFonts w:ascii="Times New Roman" w:hAnsi="Times New Roman"/>
          <w:sz w:val="24"/>
          <w:szCs w:val="24"/>
        </w:rPr>
        <w:t>)</w:t>
      </w:r>
      <w:r w:rsidRPr="452FB3DF" w:rsidR="008B1C1F">
        <w:rPr>
          <w:rFonts w:ascii="Times New Roman" w:hAnsi="Times New Roman"/>
          <w:sz w:val="24"/>
          <w:szCs w:val="24"/>
        </w:rPr>
        <w:t>.</w:t>
      </w:r>
    </w:p>
    <w:p w:rsidR="00B112BA" w:rsidP="6ABB762F" w14:paraId="0E6540D6" w14:textId="0D2897E8">
      <w:pPr>
        <w:ind w:left="360"/>
        <w:rPr>
          <w:rFonts w:ascii="Times New Roman" w:hAnsi="Times New Roman"/>
          <w:sz w:val="24"/>
          <w:szCs w:val="24"/>
        </w:rPr>
      </w:pPr>
    </w:p>
    <w:p w:rsidR="00B112BA" w:rsidP="6ABB762F" w14:paraId="695865B6" w14:textId="4D791BF6">
      <w:pPr>
        <w:ind w:left="360"/>
        <w:rPr>
          <w:rFonts w:ascii="Times New Roman" w:hAnsi="Times New Roman"/>
          <w:sz w:val="24"/>
          <w:szCs w:val="24"/>
        </w:rPr>
      </w:pPr>
      <w:r w:rsidRPr="452FB3DF">
        <w:rPr>
          <w:rFonts w:ascii="Times New Roman" w:hAnsi="Times New Roman"/>
          <w:sz w:val="24"/>
          <w:szCs w:val="24"/>
        </w:rPr>
        <w:t xml:space="preserve">Thoroughly addressing all eight research questions will require a combination of both </w:t>
      </w:r>
      <w:r w:rsidRPr="452FB3DF">
        <w:rPr>
          <w:rFonts w:ascii="Times New Roman" w:hAnsi="Times New Roman"/>
          <w:sz w:val="24"/>
          <w:szCs w:val="24"/>
        </w:rPr>
        <w:t>qualitative and quantitative data. The proposed survey will comprise the first stage of the three-stage data collection process</w:t>
      </w:r>
      <w:r w:rsidR="00AB6AA5">
        <w:rPr>
          <w:rFonts w:ascii="Times New Roman" w:hAnsi="Times New Roman"/>
          <w:sz w:val="24"/>
          <w:szCs w:val="24"/>
        </w:rPr>
        <w:t>,</w:t>
      </w:r>
      <w:r w:rsidRPr="452FB3DF">
        <w:rPr>
          <w:rFonts w:ascii="Times New Roman" w:hAnsi="Times New Roman"/>
          <w:sz w:val="24"/>
          <w:szCs w:val="24"/>
        </w:rPr>
        <w:t xml:space="preserve"> </w:t>
      </w:r>
      <w:r w:rsidR="00AB6AA5">
        <w:rPr>
          <w:rFonts w:ascii="Times New Roman" w:hAnsi="Times New Roman"/>
          <w:sz w:val="24"/>
          <w:szCs w:val="24"/>
        </w:rPr>
        <w:t>and the</w:t>
      </w:r>
      <w:r w:rsidRPr="452FB3DF" w:rsidR="00AB6AA5">
        <w:rPr>
          <w:rFonts w:ascii="Times New Roman" w:hAnsi="Times New Roman"/>
          <w:sz w:val="24"/>
          <w:szCs w:val="24"/>
        </w:rPr>
        <w:t xml:space="preserve"> </w:t>
      </w:r>
      <w:r w:rsidRPr="452FB3DF">
        <w:rPr>
          <w:rFonts w:ascii="Times New Roman" w:hAnsi="Times New Roman"/>
          <w:sz w:val="24"/>
          <w:szCs w:val="24"/>
        </w:rPr>
        <w:t xml:space="preserve">survey results </w:t>
      </w:r>
      <w:r w:rsidR="00AB6AA5">
        <w:rPr>
          <w:rFonts w:ascii="Times New Roman" w:hAnsi="Times New Roman"/>
          <w:sz w:val="24"/>
          <w:szCs w:val="24"/>
        </w:rPr>
        <w:t xml:space="preserve">will be </w:t>
      </w:r>
      <w:r w:rsidRPr="452FB3DF">
        <w:rPr>
          <w:rFonts w:ascii="Times New Roman" w:hAnsi="Times New Roman"/>
          <w:sz w:val="24"/>
          <w:szCs w:val="24"/>
        </w:rPr>
        <w:t>used to identify issues and guide follow-on data collection (second stage of the data collection</w:t>
      </w:r>
      <w:r w:rsidRPr="452FB3DF">
        <w:rPr>
          <w:rFonts w:ascii="Times New Roman" w:hAnsi="Times New Roman"/>
          <w:sz w:val="24"/>
          <w:szCs w:val="24"/>
        </w:rPr>
        <w:t xml:space="preserve"> process), and </w:t>
      </w:r>
      <w:r w:rsidR="00B5625A">
        <w:rPr>
          <w:rFonts w:ascii="Times New Roman" w:hAnsi="Times New Roman"/>
          <w:sz w:val="24"/>
          <w:szCs w:val="24"/>
        </w:rPr>
        <w:t>S</w:t>
      </w:r>
      <w:r w:rsidRPr="452FB3DF">
        <w:rPr>
          <w:rFonts w:ascii="Times New Roman" w:hAnsi="Times New Roman"/>
          <w:sz w:val="24"/>
          <w:szCs w:val="24"/>
        </w:rPr>
        <w:t>tate interviews and site visits (third sta</w:t>
      </w:r>
      <w:r w:rsidR="004805A9">
        <w:rPr>
          <w:rFonts w:ascii="Times New Roman" w:hAnsi="Times New Roman"/>
          <w:sz w:val="24"/>
          <w:szCs w:val="24"/>
        </w:rPr>
        <w:t>g</w:t>
      </w:r>
      <w:r w:rsidRPr="452FB3DF">
        <w:rPr>
          <w:rFonts w:ascii="Times New Roman" w:hAnsi="Times New Roman"/>
          <w:sz w:val="24"/>
          <w:szCs w:val="24"/>
        </w:rPr>
        <w:t>e of the data collection process). Table 1 links</w:t>
      </w:r>
      <w:r w:rsidRPr="452FB3DF" w:rsidR="0056424D">
        <w:rPr>
          <w:rFonts w:ascii="Times New Roman" w:hAnsi="Times New Roman"/>
          <w:sz w:val="24"/>
          <w:szCs w:val="24"/>
        </w:rPr>
        <w:t xml:space="preserve"> each stage of the proposed data collection process </w:t>
      </w:r>
      <w:r w:rsidR="003C342B">
        <w:rPr>
          <w:rFonts w:ascii="Times New Roman" w:hAnsi="Times New Roman"/>
          <w:sz w:val="24"/>
          <w:szCs w:val="24"/>
        </w:rPr>
        <w:t xml:space="preserve">that </w:t>
      </w:r>
      <w:r w:rsidRPr="452FB3DF" w:rsidR="00D70CC2">
        <w:rPr>
          <w:rFonts w:ascii="Times New Roman" w:hAnsi="Times New Roman"/>
          <w:sz w:val="24"/>
          <w:szCs w:val="24"/>
        </w:rPr>
        <w:t>will be used to address the project research questions</w:t>
      </w:r>
      <w:r w:rsidRPr="452FB3DF" w:rsidR="0056424D">
        <w:rPr>
          <w:rFonts w:ascii="Times New Roman" w:hAnsi="Times New Roman"/>
          <w:sz w:val="24"/>
          <w:szCs w:val="24"/>
        </w:rPr>
        <w:t xml:space="preserve">. </w:t>
      </w:r>
    </w:p>
    <w:p w:rsidR="00DB4EFE" w:rsidP="6ABB762F" w14:paraId="26D7B1C6" w14:textId="77777777">
      <w:pPr>
        <w:ind w:left="360"/>
        <w:rPr>
          <w:rFonts w:ascii="Times New Roman" w:hAnsi="Times New Roman"/>
          <w:sz w:val="24"/>
          <w:szCs w:val="24"/>
        </w:rPr>
      </w:pPr>
    </w:p>
    <w:p w:rsidR="00DB4EFE" w:rsidRPr="00B57147" w:rsidP="00B57147" w14:paraId="110EF308" w14:textId="6BD59A84">
      <w:pPr>
        <w:pStyle w:val="Caption"/>
        <w:keepNext/>
        <w:spacing w:after="120"/>
        <w:jc w:val="center"/>
        <w:rPr>
          <w:rFonts w:ascii="Times New Roman" w:hAnsi="Times New Roman"/>
          <w:sz w:val="24"/>
          <w:szCs w:val="24"/>
        </w:rPr>
      </w:pPr>
      <w:r w:rsidRPr="00B57147">
        <w:rPr>
          <w:rFonts w:ascii="Times New Roman" w:hAnsi="Times New Roman"/>
        </w:rPr>
        <w:t xml:space="preserve">Table </w:t>
      </w:r>
      <w:r w:rsidRPr="00B57147">
        <w:rPr>
          <w:rFonts w:ascii="Times New Roman" w:hAnsi="Times New Roman"/>
          <w:color w:val="2B579A"/>
          <w:shd w:val="clear" w:color="auto" w:fill="E6E6E6"/>
        </w:rPr>
        <w:fldChar w:fldCharType="begin"/>
      </w:r>
      <w:r w:rsidRPr="00B57147">
        <w:rPr>
          <w:rFonts w:ascii="Times New Roman" w:hAnsi="Times New Roman"/>
        </w:rPr>
        <w:instrText xml:space="preserve"> SEQ Table \* ARABIC </w:instrText>
      </w:r>
      <w:r w:rsidRPr="00B57147">
        <w:rPr>
          <w:rFonts w:ascii="Times New Roman" w:hAnsi="Times New Roman"/>
          <w:color w:val="2B579A"/>
          <w:shd w:val="clear" w:color="auto" w:fill="E6E6E6"/>
        </w:rPr>
        <w:fldChar w:fldCharType="separate"/>
      </w:r>
      <w:r w:rsidRPr="00B57147">
        <w:rPr>
          <w:rFonts w:ascii="Times New Roman" w:hAnsi="Times New Roman"/>
          <w:noProof/>
        </w:rPr>
        <w:t>1</w:t>
      </w:r>
      <w:r w:rsidRPr="00B57147">
        <w:rPr>
          <w:rFonts w:ascii="Times New Roman" w:hAnsi="Times New Roman"/>
          <w:color w:val="2B579A"/>
          <w:shd w:val="clear" w:color="auto" w:fill="E6E6E6"/>
        </w:rPr>
        <w:fldChar w:fldCharType="end"/>
      </w:r>
      <w:r w:rsidRPr="00B57147">
        <w:rPr>
          <w:rFonts w:ascii="Times New Roman" w:hAnsi="Times New Roman"/>
        </w:rPr>
        <w:t xml:space="preserve">. </w:t>
      </w:r>
      <w:r w:rsidRPr="00B57147" w:rsidR="0020410F">
        <w:rPr>
          <w:rFonts w:ascii="Times New Roman" w:hAnsi="Times New Roman"/>
        </w:rPr>
        <w:t xml:space="preserve">Description of data collection activities </w:t>
      </w:r>
      <w:r w:rsidRPr="00B57147" w:rsidR="00E16D52">
        <w:rPr>
          <w:rFonts w:ascii="Times New Roman" w:hAnsi="Times New Roman"/>
        </w:rPr>
        <w:t>and how they will inform the research effort.</w:t>
      </w:r>
    </w:p>
    <w:tbl>
      <w:tblPr>
        <w:tblStyle w:val="TableGrid"/>
        <w:tblW w:w="0" w:type="auto"/>
        <w:tblInd w:w="360" w:type="dxa"/>
        <w:tblCellMar>
          <w:left w:w="72" w:type="dxa"/>
          <w:right w:w="72" w:type="dxa"/>
        </w:tblCellMar>
        <w:tblLook w:val="04A0"/>
      </w:tblPr>
      <w:tblGrid>
        <w:gridCol w:w="1525"/>
        <w:gridCol w:w="1530"/>
        <w:gridCol w:w="3870"/>
        <w:gridCol w:w="2065"/>
      </w:tblGrid>
      <w:tr w14:paraId="257DEFCB" w14:textId="77777777" w:rsidTr="00C70723">
        <w:tblPrEx>
          <w:tblW w:w="0" w:type="auto"/>
          <w:tblInd w:w="360" w:type="dxa"/>
          <w:tblCellMar>
            <w:left w:w="72" w:type="dxa"/>
            <w:right w:w="72" w:type="dxa"/>
          </w:tblCellMar>
          <w:tblLook w:val="04A0"/>
        </w:tblPrEx>
        <w:trPr>
          <w:tblHeader/>
        </w:trPr>
        <w:tc>
          <w:tcPr>
            <w:tcW w:w="1525" w:type="dxa"/>
            <w:shd w:val="clear" w:color="auto" w:fill="D9D9D9" w:themeFill="background1" w:themeFillShade="D9"/>
            <w:vAlign w:val="bottom"/>
          </w:tcPr>
          <w:p w:rsidR="0056424D" w:rsidRPr="00B57147" w:rsidP="006151E7" w14:paraId="4FFAED5A" w14:textId="23CA13C1">
            <w:pPr>
              <w:keepNext/>
              <w:jc w:val="center"/>
              <w:rPr>
                <w:rFonts w:ascii="Times New Roman" w:hAnsi="Times New Roman"/>
                <w:b/>
                <w:bCs/>
              </w:rPr>
            </w:pPr>
            <w:r w:rsidRPr="00B57147">
              <w:rPr>
                <w:rFonts w:ascii="Times New Roman" w:hAnsi="Times New Roman"/>
                <w:b/>
                <w:bCs/>
              </w:rPr>
              <w:t>Data Collection Activity</w:t>
            </w:r>
          </w:p>
        </w:tc>
        <w:tc>
          <w:tcPr>
            <w:tcW w:w="1530" w:type="dxa"/>
            <w:shd w:val="clear" w:color="auto" w:fill="D9D9D9" w:themeFill="background1" w:themeFillShade="D9"/>
            <w:vAlign w:val="bottom"/>
          </w:tcPr>
          <w:p w:rsidR="0056424D" w:rsidRPr="00B57147" w:rsidP="006151E7" w14:paraId="68708616" w14:textId="62034381">
            <w:pPr>
              <w:keepNext/>
              <w:jc w:val="center"/>
              <w:rPr>
                <w:rFonts w:ascii="Times New Roman" w:hAnsi="Times New Roman"/>
                <w:b/>
                <w:bCs/>
              </w:rPr>
            </w:pPr>
            <w:r w:rsidRPr="00B57147">
              <w:rPr>
                <w:rFonts w:ascii="Times New Roman" w:hAnsi="Times New Roman"/>
                <w:b/>
                <w:bCs/>
              </w:rPr>
              <w:t>Sample Size</w:t>
            </w:r>
          </w:p>
        </w:tc>
        <w:tc>
          <w:tcPr>
            <w:tcW w:w="3870" w:type="dxa"/>
            <w:shd w:val="clear" w:color="auto" w:fill="D9D9D9" w:themeFill="background1" w:themeFillShade="D9"/>
            <w:vAlign w:val="bottom"/>
          </w:tcPr>
          <w:p w:rsidR="0056424D" w:rsidRPr="00B57147" w:rsidP="006151E7" w14:paraId="3FD4E584" w14:textId="780ADFB7">
            <w:pPr>
              <w:keepNext/>
              <w:jc w:val="center"/>
              <w:rPr>
                <w:rFonts w:ascii="Times New Roman" w:hAnsi="Times New Roman"/>
                <w:b/>
                <w:bCs/>
              </w:rPr>
            </w:pPr>
            <w:r w:rsidRPr="00B57147">
              <w:rPr>
                <w:rFonts w:ascii="Times New Roman" w:hAnsi="Times New Roman"/>
                <w:b/>
                <w:bCs/>
              </w:rPr>
              <w:t>Description/Purpose</w:t>
            </w:r>
          </w:p>
        </w:tc>
        <w:tc>
          <w:tcPr>
            <w:tcW w:w="2065" w:type="dxa"/>
            <w:shd w:val="clear" w:color="auto" w:fill="D9D9D9" w:themeFill="background1" w:themeFillShade="D9"/>
            <w:vAlign w:val="bottom"/>
          </w:tcPr>
          <w:p w:rsidR="0056424D" w:rsidRPr="00B57147" w:rsidP="006151E7" w14:paraId="6575C587" w14:textId="43DA5082">
            <w:pPr>
              <w:keepNext/>
              <w:jc w:val="center"/>
              <w:rPr>
                <w:rFonts w:ascii="Times New Roman" w:hAnsi="Times New Roman"/>
                <w:b/>
                <w:bCs/>
              </w:rPr>
            </w:pPr>
            <w:r w:rsidRPr="00B57147">
              <w:rPr>
                <w:rFonts w:ascii="Times New Roman" w:hAnsi="Times New Roman"/>
                <w:b/>
                <w:bCs/>
              </w:rPr>
              <w:t>Research Questions Addressed</w:t>
            </w:r>
          </w:p>
        </w:tc>
      </w:tr>
      <w:tr w14:paraId="3800CA94" w14:textId="77777777" w:rsidTr="00C70723">
        <w:tblPrEx>
          <w:tblW w:w="0" w:type="auto"/>
          <w:tblInd w:w="360" w:type="dxa"/>
          <w:tblCellMar>
            <w:left w:w="72" w:type="dxa"/>
            <w:right w:w="72" w:type="dxa"/>
          </w:tblCellMar>
          <w:tblLook w:val="04A0"/>
        </w:tblPrEx>
        <w:tc>
          <w:tcPr>
            <w:tcW w:w="1525" w:type="dxa"/>
          </w:tcPr>
          <w:p w:rsidR="0056424D" w:rsidRPr="00B57147" w:rsidP="006151E7" w14:paraId="79BCB69C" w14:textId="69BC61A8">
            <w:pPr>
              <w:keepNext/>
              <w:rPr>
                <w:rFonts w:ascii="Times New Roman" w:hAnsi="Times New Roman"/>
              </w:rPr>
            </w:pPr>
            <w:r w:rsidRPr="00B57147">
              <w:rPr>
                <w:rFonts w:ascii="Times New Roman" w:hAnsi="Times New Roman"/>
              </w:rPr>
              <w:t>SDLA Survey</w:t>
            </w:r>
          </w:p>
        </w:tc>
        <w:tc>
          <w:tcPr>
            <w:tcW w:w="1530" w:type="dxa"/>
          </w:tcPr>
          <w:p w:rsidR="0056424D" w:rsidRPr="00B57147" w:rsidP="006151E7" w14:paraId="57B67DAD" w14:textId="4B870A4C">
            <w:pPr>
              <w:keepNext/>
              <w:rPr>
                <w:rFonts w:ascii="Times New Roman" w:hAnsi="Times New Roman"/>
              </w:rPr>
            </w:pPr>
            <w:r w:rsidRPr="00B57147">
              <w:rPr>
                <w:rFonts w:ascii="Times New Roman" w:hAnsi="Times New Roman"/>
                <w:b/>
                <w:bCs/>
                <w:u w:val="single"/>
              </w:rPr>
              <w:t>51</w:t>
            </w:r>
            <w:r w:rsidRPr="00B57147">
              <w:rPr>
                <w:rFonts w:ascii="Times New Roman" w:hAnsi="Times New Roman"/>
              </w:rPr>
              <w:t xml:space="preserve"> sites (one representative from each SDL</w:t>
            </w:r>
            <w:r w:rsidRPr="00B57147">
              <w:rPr>
                <w:rFonts w:ascii="Times New Roman" w:hAnsi="Times New Roman"/>
              </w:rPr>
              <w:t xml:space="preserve">A in all 50 </w:t>
            </w:r>
            <w:r w:rsidRPr="00B57147" w:rsidR="00B5625A">
              <w:rPr>
                <w:rFonts w:ascii="Times New Roman" w:hAnsi="Times New Roman"/>
              </w:rPr>
              <w:t>S</w:t>
            </w:r>
            <w:r w:rsidRPr="00B57147">
              <w:rPr>
                <w:rFonts w:ascii="Times New Roman" w:hAnsi="Times New Roman"/>
              </w:rPr>
              <w:t>tates and Washington, D.C.)</w:t>
            </w:r>
          </w:p>
        </w:tc>
        <w:tc>
          <w:tcPr>
            <w:tcW w:w="3870" w:type="dxa"/>
          </w:tcPr>
          <w:p w:rsidR="0056424D" w:rsidRPr="00B57147" w:rsidP="006151E7" w14:paraId="0F002B32" w14:textId="5277AA4F">
            <w:pPr>
              <w:keepNext/>
              <w:rPr>
                <w:rFonts w:ascii="Times New Roman" w:hAnsi="Times New Roman"/>
              </w:rPr>
            </w:pPr>
            <w:r w:rsidRPr="00B57147">
              <w:rPr>
                <w:rFonts w:ascii="Times New Roman" w:hAnsi="Times New Roman"/>
              </w:rPr>
              <w:t xml:space="preserve">Survey of all SDLAs to determine which version of AAMVA </w:t>
            </w:r>
            <w:r w:rsidRPr="00B57147" w:rsidR="00C972E8">
              <w:rPr>
                <w:rFonts w:ascii="Times New Roman" w:hAnsi="Times New Roman"/>
              </w:rPr>
              <w:t>CDL T</w:t>
            </w:r>
            <w:r w:rsidRPr="00B57147">
              <w:rPr>
                <w:rFonts w:ascii="Times New Roman" w:hAnsi="Times New Roman"/>
              </w:rPr>
              <w:t xml:space="preserve">est </w:t>
            </w:r>
            <w:r w:rsidRPr="00B57147" w:rsidR="00C972E8">
              <w:rPr>
                <w:rFonts w:ascii="Times New Roman" w:hAnsi="Times New Roman"/>
              </w:rPr>
              <w:t>M</w:t>
            </w:r>
            <w:r w:rsidRPr="00B57147">
              <w:rPr>
                <w:rFonts w:ascii="Times New Roman" w:hAnsi="Times New Roman"/>
              </w:rPr>
              <w:t>odel or equivalent is being utilized.</w:t>
            </w:r>
            <w:r w:rsidR="00C70723">
              <w:rPr>
                <w:rFonts w:ascii="Times New Roman" w:hAnsi="Times New Roman"/>
              </w:rPr>
              <w:t xml:space="preserve"> More details are provided in the narrative below.  </w:t>
            </w:r>
          </w:p>
        </w:tc>
        <w:tc>
          <w:tcPr>
            <w:tcW w:w="2065" w:type="dxa"/>
          </w:tcPr>
          <w:p w:rsidR="0056424D" w:rsidRPr="00B57147" w:rsidP="006151E7" w14:paraId="1485CC5F" w14:textId="4451C7C6">
            <w:pPr>
              <w:keepNext/>
              <w:rPr>
                <w:rFonts w:ascii="Times New Roman" w:hAnsi="Times New Roman"/>
              </w:rPr>
            </w:pPr>
            <w:r w:rsidRPr="00B57147">
              <w:rPr>
                <w:rFonts w:ascii="Times New Roman" w:hAnsi="Times New Roman"/>
              </w:rPr>
              <w:t>S</w:t>
            </w:r>
            <w:r w:rsidRPr="00B57147" w:rsidR="452FB3DF">
              <w:rPr>
                <w:rFonts w:ascii="Times New Roman" w:hAnsi="Times New Roman"/>
              </w:rPr>
              <w:t>urvey results will be used to identify issues that will guide data analysis, interviews and site visits, which will be used to address all research questions.</w:t>
            </w:r>
          </w:p>
        </w:tc>
      </w:tr>
      <w:tr w14:paraId="4FF96C1A" w14:textId="77777777" w:rsidTr="00C70723">
        <w:tblPrEx>
          <w:tblW w:w="0" w:type="auto"/>
          <w:tblInd w:w="360" w:type="dxa"/>
          <w:tblCellMar>
            <w:left w:w="72" w:type="dxa"/>
            <w:right w:w="72" w:type="dxa"/>
          </w:tblCellMar>
          <w:tblLook w:val="04A0"/>
        </w:tblPrEx>
        <w:tc>
          <w:tcPr>
            <w:tcW w:w="1525" w:type="dxa"/>
          </w:tcPr>
          <w:p w:rsidR="0056424D" w:rsidRPr="00B57147" w:rsidP="006151E7" w14:paraId="0E9CDDE0" w14:textId="6D97FCE7">
            <w:pPr>
              <w:rPr>
                <w:rFonts w:ascii="Times New Roman" w:hAnsi="Times New Roman"/>
              </w:rPr>
            </w:pPr>
            <w:r w:rsidRPr="00B57147">
              <w:rPr>
                <w:rFonts w:ascii="Times New Roman" w:hAnsi="Times New Roman"/>
              </w:rPr>
              <w:t>Database Data Collection</w:t>
            </w:r>
          </w:p>
        </w:tc>
        <w:tc>
          <w:tcPr>
            <w:tcW w:w="1530" w:type="dxa"/>
          </w:tcPr>
          <w:p w:rsidR="0056424D" w:rsidRPr="00B57147" w:rsidP="006151E7" w14:paraId="32F8933F" w14:textId="38321CB2">
            <w:pPr>
              <w:rPr>
                <w:rFonts w:ascii="Times New Roman" w:hAnsi="Times New Roman"/>
              </w:rPr>
            </w:pPr>
            <w:r w:rsidRPr="00B57147">
              <w:rPr>
                <w:rFonts w:ascii="Times New Roman" w:hAnsi="Times New Roman"/>
                <w:b/>
                <w:bCs/>
                <w:u w:val="single"/>
              </w:rPr>
              <w:t>8</w:t>
            </w:r>
            <w:r w:rsidRPr="00B57147">
              <w:rPr>
                <w:rFonts w:ascii="Times New Roman" w:hAnsi="Times New Roman"/>
              </w:rPr>
              <w:t xml:space="preserve"> </w:t>
            </w:r>
            <w:r w:rsidRPr="00B57147" w:rsidR="00B5625A">
              <w:rPr>
                <w:rFonts w:ascii="Times New Roman" w:hAnsi="Times New Roman"/>
              </w:rPr>
              <w:t>S</w:t>
            </w:r>
            <w:r w:rsidRPr="00B57147">
              <w:rPr>
                <w:rFonts w:ascii="Times New Roman" w:hAnsi="Times New Roman"/>
              </w:rPr>
              <w:t>tates will be systematically selected for participation</w:t>
            </w:r>
          </w:p>
        </w:tc>
        <w:tc>
          <w:tcPr>
            <w:tcW w:w="3870" w:type="dxa"/>
          </w:tcPr>
          <w:p w:rsidR="0056424D" w:rsidRPr="00B57147" w:rsidP="006151E7" w14:paraId="0535AC8F" w14:textId="79C7F153">
            <w:pPr>
              <w:rPr>
                <w:rFonts w:ascii="Times New Roman" w:hAnsi="Times New Roman"/>
              </w:rPr>
            </w:pPr>
            <w:r w:rsidRPr="00B57147">
              <w:rPr>
                <w:rFonts w:ascii="Times New Roman" w:hAnsi="Times New Roman"/>
              </w:rPr>
              <w:t>Quantitative data analysis compiled from various databases and focused on drivers</w:t>
            </w:r>
            <w:r w:rsidR="00C70723">
              <w:rPr>
                <w:rFonts w:ascii="Times New Roman" w:hAnsi="Times New Roman"/>
              </w:rPr>
              <w:t xml:space="preserve">. </w:t>
            </w:r>
            <w:r w:rsidRPr="00C70723" w:rsidR="00C70723">
              <w:rPr>
                <w:rFonts w:ascii="Times New Roman" w:hAnsi="Times New Roman"/>
              </w:rPr>
              <w:t xml:space="preserve">The database data collection will be incurred by a representative from each of the eight SDLAs that agree to participate. Once a State agrees to participate, and State data access requirements are identified, the project team will establish a memorandum of understanding and data use agreement with </w:t>
            </w:r>
            <w:r w:rsidRPr="00C70723" w:rsidR="00C70723">
              <w:rPr>
                <w:rFonts w:ascii="Times New Roman" w:hAnsi="Times New Roman"/>
              </w:rPr>
              <w:t xml:space="preserve">detailed data collection procedures for each State. These documents will govern data access and how PII will be protected. </w:t>
            </w:r>
            <w:r w:rsidRPr="00B57147">
              <w:rPr>
                <w:rFonts w:ascii="Times New Roman" w:hAnsi="Times New Roman"/>
              </w:rPr>
              <w:t xml:space="preserve"> </w:t>
            </w:r>
          </w:p>
        </w:tc>
        <w:tc>
          <w:tcPr>
            <w:tcW w:w="2065" w:type="dxa"/>
          </w:tcPr>
          <w:p w:rsidR="0056424D" w:rsidRPr="00B57147" w:rsidP="006151E7" w14:paraId="7729A72A" w14:textId="1069CEC0">
            <w:pPr>
              <w:rPr>
                <w:rFonts w:ascii="Times New Roman" w:hAnsi="Times New Roman"/>
              </w:rPr>
            </w:pPr>
            <w:r w:rsidRPr="00B57147">
              <w:rPr>
                <w:rFonts w:ascii="Times New Roman" w:hAnsi="Times New Roman"/>
              </w:rPr>
              <w:t>1, 2,</w:t>
            </w:r>
            <w:r w:rsidRPr="00B57147">
              <w:rPr>
                <w:rFonts w:ascii="Times New Roman" w:hAnsi="Times New Roman"/>
              </w:rPr>
              <w:t xml:space="preserve"> 4, 5 and 6</w:t>
            </w:r>
          </w:p>
        </w:tc>
      </w:tr>
      <w:tr w14:paraId="10886BDF" w14:textId="77777777" w:rsidTr="00C70723">
        <w:tblPrEx>
          <w:tblW w:w="0" w:type="auto"/>
          <w:tblInd w:w="360" w:type="dxa"/>
          <w:tblCellMar>
            <w:left w:w="72" w:type="dxa"/>
            <w:right w:w="72" w:type="dxa"/>
          </w:tblCellMar>
          <w:tblLook w:val="04A0"/>
        </w:tblPrEx>
        <w:tc>
          <w:tcPr>
            <w:tcW w:w="1525" w:type="dxa"/>
          </w:tcPr>
          <w:p w:rsidR="0056424D" w:rsidRPr="00B57147" w:rsidP="006151E7" w14:paraId="33CF663E" w14:textId="1986B92A">
            <w:pPr>
              <w:rPr>
                <w:rFonts w:ascii="Times New Roman" w:hAnsi="Times New Roman"/>
              </w:rPr>
            </w:pPr>
            <w:r w:rsidRPr="00B57147">
              <w:rPr>
                <w:rFonts w:ascii="Times New Roman" w:hAnsi="Times New Roman"/>
              </w:rPr>
              <w:t>Interviews / Site Visits</w:t>
            </w:r>
          </w:p>
        </w:tc>
        <w:tc>
          <w:tcPr>
            <w:tcW w:w="1530" w:type="dxa"/>
          </w:tcPr>
          <w:p w:rsidR="00D70CC2" w:rsidRPr="00B57147" w:rsidP="006151E7" w14:paraId="2BC21871" w14:textId="7583B859">
            <w:pPr>
              <w:rPr>
                <w:rFonts w:ascii="Times New Roman" w:hAnsi="Times New Roman"/>
              </w:rPr>
            </w:pPr>
            <w:r w:rsidRPr="00B57147">
              <w:rPr>
                <w:rFonts w:ascii="Times New Roman" w:hAnsi="Times New Roman"/>
              </w:rPr>
              <w:t xml:space="preserve">Interviews with </w:t>
            </w:r>
            <w:r w:rsidRPr="00B57147">
              <w:rPr>
                <w:rFonts w:ascii="Times New Roman" w:hAnsi="Times New Roman"/>
                <w:b/>
                <w:bCs/>
                <w:u w:val="single"/>
              </w:rPr>
              <w:t>8</w:t>
            </w:r>
            <w:r w:rsidRPr="00B57147">
              <w:rPr>
                <w:rFonts w:ascii="Times New Roman" w:hAnsi="Times New Roman"/>
              </w:rPr>
              <w:t xml:space="preserve"> participating </w:t>
            </w:r>
            <w:r w:rsidRPr="00B57147" w:rsidR="00B5625A">
              <w:rPr>
                <w:rFonts w:ascii="Times New Roman" w:hAnsi="Times New Roman"/>
              </w:rPr>
              <w:t>S</w:t>
            </w:r>
            <w:r w:rsidRPr="00B57147">
              <w:rPr>
                <w:rFonts w:ascii="Times New Roman" w:hAnsi="Times New Roman"/>
              </w:rPr>
              <w:t xml:space="preserve">tates. </w:t>
            </w:r>
          </w:p>
          <w:p w:rsidR="0056424D" w:rsidRPr="00B57147" w:rsidP="006151E7" w14:paraId="36923117" w14:textId="59441D73">
            <w:pPr>
              <w:rPr>
                <w:rFonts w:ascii="Times New Roman" w:hAnsi="Times New Roman"/>
              </w:rPr>
            </w:pPr>
            <w:r w:rsidRPr="00B57147">
              <w:rPr>
                <w:rFonts w:ascii="Times New Roman" w:hAnsi="Times New Roman"/>
              </w:rPr>
              <w:t xml:space="preserve">Site visits with </w:t>
            </w:r>
            <w:r w:rsidRPr="00B57147">
              <w:rPr>
                <w:rFonts w:ascii="Times New Roman" w:hAnsi="Times New Roman"/>
                <w:b/>
                <w:bCs/>
                <w:u w:val="single"/>
              </w:rPr>
              <w:t>4</w:t>
            </w:r>
            <w:r w:rsidRPr="00B57147">
              <w:rPr>
                <w:rFonts w:ascii="Times New Roman" w:hAnsi="Times New Roman"/>
              </w:rPr>
              <w:t xml:space="preserve"> of the participating </w:t>
            </w:r>
            <w:r w:rsidRPr="00B57147" w:rsidR="00B5625A">
              <w:rPr>
                <w:rFonts w:ascii="Times New Roman" w:hAnsi="Times New Roman"/>
              </w:rPr>
              <w:t>S</w:t>
            </w:r>
            <w:r w:rsidRPr="00B57147">
              <w:rPr>
                <w:rFonts w:ascii="Times New Roman" w:hAnsi="Times New Roman"/>
              </w:rPr>
              <w:t>tates</w:t>
            </w:r>
            <w:r w:rsidRPr="00B57147" w:rsidR="00D70CC2">
              <w:rPr>
                <w:rFonts w:ascii="Times New Roman" w:hAnsi="Times New Roman"/>
              </w:rPr>
              <w:t>.</w:t>
            </w:r>
          </w:p>
        </w:tc>
        <w:tc>
          <w:tcPr>
            <w:tcW w:w="3870" w:type="dxa"/>
          </w:tcPr>
          <w:p w:rsidR="0056424D" w:rsidRPr="00B57147" w:rsidP="006151E7" w14:paraId="21720DA8" w14:textId="5A74910C">
            <w:pPr>
              <w:rPr>
                <w:rFonts w:ascii="Times New Roman" w:hAnsi="Times New Roman"/>
              </w:rPr>
            </w:pPr>
            <w:r w:rsidRPr="00B57147">
              <w:rPr>
                <w:rFonts w:ascii="Times New Roman" w:hAnsi="Times New Roman"/>
              </w:rPr>
              <w:t xml:space="preserve">Interviews and site visits serve to gather qualitative data from participating jurisdictions to supplement </w:t>
            </w:r>
            <w:r w:rsidRPr="00B57147" w:rsidR="00D70CC2">
              <w:rPr>
                <w:rFonts w:ascii="Times New Roman" w:hAnsi="Times New Roman"/>
              </w:rPr>
              <w:t>the quantitative data analysis from databases.</w:t>
            </w:r>
            <w:r w:rsidR="00C70723">
              <w:rPr>
                <w:rFonts w:ascii="Times New Roman" w:hAnsi="Times New Roman"/>
              </w:rPr>
              <w:t xml:space="preserve"> </w:t>
            </w:r>
            <w:r w:rsidRPr="00C70723" w:rsidR="00C70723">
              <w:rPr>
                <w:rFonts w:ascii="Times New Roman" w:hAnsi="Times New Roman"/>
              </w:rPr>
              <w:t xml:space="preserve">Interviews will be conducted virtually </w:t>
            </w:r>
            <w:r w:rsidR="00C70723">
              <w:rPr>
                <w:rFonts w:ascii="Times New Roman" w:hAnsi="Times New Roman"/>
              </w:rPr>
              <w:t xml:space="preserve">with eight participating States </w:t>
            </w:r>
            <w:r w:rsidRPr="00C70723" w:rsidR="00C70723">
              <w:rPr>
                <w:rFonts w:ascii="Times New Roman" w:hAnsi="Times New Roman"/>
              </w:rPr>
              <w:t>and are expected to last approximately 1 hour per State. Site visits will be conducted with four of the eight participating States. Site visits are expected to span 3 days for each State. The site visits will include informal conversations with examiners and SDLA personnel and observations of CDL tests conducted by third-party and State examiners. Observing training will not require time from State personnel or examiners, since the informal discussions will be conducted after the training is completed.</w:t>
            </w:r>
          </w:p>
        </w:tc>
        <w:tc>
          <w:tcPr>
            <w:tcW w:w="2065" w:type="dxa"/>
          </w:tcPr>
          <w:p w:rsidR="0056424D" w:rsidRPr="00B57147" w:rsidP="006151E7" w14:paraId="2F82B8C1" w14:textId="462D4ABB">
            <w:pPr>
              <w:rPr>
                <w:rFonts w:ascii="Times New Roman" w:hAnsi="Times New Roman"/>
              </w:rPr>
            </w:pPr>
            <w:r w:rsidRPr="00B57147">
              <w:rPr>
                <w:rFonts w:ascii="Times New Roman" w:hAnsi="Times New Roman"/>
              </w:rPr>
              <w:t>1, 3, 7, 8</w:t>
            </w:r>
          </w:p>
        </w:tc>
      </w:tr>
    </w:tbl>
    <w:p w:rsidR="00FF689B" w:rsidP="6ABB762F" w14:paraId="43AFD460" w14:textId="77777777">
      <w:pPr>
        <w:ind w:left="360"/>
        <w:rPr>
          <w:rFonts w:ascii="Times New Roman" w:hAnsi="Times New Roman"/>
          <w:sz w:val="24"/>
          <w:szCs w:val="24"/>
        </w:rPr>
      </w:pPr>
    </w:p>
    <w:p w:rsidR="008146EC" w:rsidP="00C70723" w14:paraId="67BBE0E7" w14:textId="7B6D0C19">
      <w:pPr>
        <w:ind w:left="360"/>
        <w:rPr>
          <w:rFonts w:ascii="Times New Roman" w:hAnsi="Times New Roman"/>
          <w:sz w:val="24"/>
          <w:szCs w:val="24"/>
        </w:rPr>
      </w:pPr>
      <w:r w:rsidRPr="6ABB762F">
        <w:rPr>
          <w:rFonts w:ascii="Times New Roman" w:hAnsi="Times New Roman"/>
          <w:sz w:val="24"/>
          <w:szCs w:val="24"/>
        </w:rPr>
        <w:t xml:space="preserve">It is necessary to conduct a survey of the jurisdictions to determine which version of the AAMVA </w:t>
      </w:r>
      <w:r w:rsidR="00C972E8">
        <w:rPr>
          <w:rFonts w:ascii="Times New Roman" w:hAnsi="Times New Roman"/>
          <w:sz w:val="24"/>
          <w:szCs w:val="24"/>
        </w:rPr>
        <w:t>CDL</w:t>
      </w:r>
      <w:r w:rsidRPr="6ABB762F" w:rsidR="00C972E8">
        <w:rPr>
          <w:rFonts w:ascii="Times New Roman" w:hAnsi="Times New Roman"/>
          <w:sz w:val="24"/>
          <w:szCs w:val="24"/>
        </w:rPr>
        <w:t xml:space="preserve"> </w:t>
      </w:r>
      <w:r w:rsidR="00C972E8">
        <w:rPr>
          <w:rFonts w:ascii="Times New Roman" w:hAnsi="Times New Roman"/>
          <w:sz w:val="24"/>
          <w:szCs w:val="24"/>
        </w:rPr>
        <w:t>T</w:t>
      </w:r>
      <w:r w:rsidRPr="6ABB762F">
        <w:rPr>
          <w:rFonts w:ascii="Times New Roman" w:hAnsi="Times New Roman"/>
          <w:sz w:val="24"/>
          <w:szCs w:val="24"/>
        </w:rPr>
        <w:t xml:space="preserve">est </w:t>
      </w:r>
      <w:r w:rsidR="00C972E8">
        <w:rPr>
          <w:rFonts w:ascii="Times New Roman" w:hAnsi="Times New Roman"/>
          <w:sz w:val="24"/>
          <w:szCs w:val="24"/>
        </w:rPr>
        <w:t>M</w:t>
      </w:r>
      <w:r w:rsidRPr="6ABB762F">
        <w:rPr>
          <w:rFonts w:ascii="Times New Roman" w:hAnsi="Times New Roman"/>
          <w:sz w:val="24"/>
          <w:szCs w:val="24"/>
        </w:rPr>
        <w:t xml:space="preserve">odel or equivalent is being utilized as </w:t>
      </w:r>
      <w:r w:rsidRPr="6ABB762F">
        <w:rPr>
          <w:rFonts w:ascii="Times New Roman" w:hAnsi="Times New Roman"/>
          <w:sz w:val="24"/>
          <w:szCs w:val="24"/>
        </w:rPr>
        <w:t>required by 49 CFR 383.131</w:t>
      </w:r>
      <w:r w:rsidR="00D52B1D">
        <w:rPr>
          <w:rFonts w:ascii="Times New Roman" w:hAnsi="Times New Roman"/>
          <w:sz w:val="24"/>
          <w:szCs w:val="24"/>
        </w:rPr>
        <w:t>-</w:t>
      </w:r>
      <w:r w:rsidRPr="6ABB762F">
        <w:rPr>
          <w:rFonts w:ascii="Times New Roman" w:hAnsi="Times New Roman"/>
          <w:sz w:val="24"/>
          <w:szCs w:val="24"/>
        </w:rPr>
        <w:t xml:space="preserve">133. The survey results will provide insight into each jurisdiction’s compliance with applicable </w:t>
      </w:r>
      <w:r w:rsidR="00B5625A">
        <w:rPr>
          <w:rFonts w:ascii="Times New Roman" w:hAnsi="Times New Roman"/>
          <w:sz w:val="24"/>
          <w:szCs w:val="24"/>
        </w:rPr>
        <w:t>S</w:t>
      </w:r>
      <w:r w:rsidRPr="6ABB762F">
        <w:rPr>
          <w:rFonts w:ascii="Times New Roman" w:hAnsi="Times New Roman"/>
          <w:sz w:val="24"/>
          <w:szCs w:val="24"/>
        </w:rPr>
        <w:t xml:space="preserve">tate and </w:t>
      </w:r>
      <w:r w:rsidR="005948F0">
        <w:rPr>
          <w:rFonts w:ascii="Times New Roman" w:hAnsi="Times New Roman"/>
          <w:sz w:val="24"/>
          <w:szCs w:val="24"/>
        </w:rPr>
        <w:t>F</w:t>
      </w:r>
      <w:r w:rsidRPr="6ABB762F">
        <w:rPr>
          <w:rFonts w:ascii="Times New Roman" w:hAnsi="Times New Roman"/>
          <w:sz w:val="24"/>
          <w:szCs w:val="24"/>
        </w:rPr>
        <w:t xml:space="preserve">ederal regulations. Jurisdictions are currently required to use the </w:t>
      </w:r>
      <w:r w:rsidR="00FE027B">
        <w:rPr>
          <w:rFonts w:ascii="Times New Roman" w:hAnsi="Times New Roman"/>
          <w:sz w:val="24"/>
          <w:szCs w:val="24"/>
        </w:rPr>
        <w:t xml:space="preserve">July </w:t>
      </w:r>
      <w:r w:rsidRPr="6ABB762F">
        <w:rPr>
          <w:rFonts w:ascii="Times New Roman" w:hAnsi="Times New Roman"/>
          <w:sz w:val="24"/>
          <w:szCs w:val="24"/>
        </w:rPr>
        <w:t xml:space="preserve">2010 or newer version of the AAMVA </w:t>
      </w:r>
      <w:r w:rsidR="00C972E8">
        <w:rPr>
          <w:rFonts w:ascii="Times New Roman" w:hAnsi="Times New Roman"/>
          <w:sz w:val="24"/>
          <w:szCs w:val="24"/>
        </w:rPr>
        <w:t>CDL</w:t>
      </w:r>
      <w:r w:rsidRPr="6ABB762F" w:rsidR="00C972E8">
        <w:rPr>
          <w:rFonts w:ascii="Times New Roman" w:hAnsi="Times New Roman"/>
          <w:sz w:val="24"/>
          <w:szCs w:val="24"/>
        </w:rPr>
        <w:t xml:space="preserve"> </w:t>
      </w:r>
      <w:r w:rsidR="00C972E8">
        <w:rPr>
          <w:rFonts w:ascii="Times New Roman" w:hAnsi="Times New Roman"/>
          <w:sz w:val="24"/>
          <w:szCs w:val="24"/>
        </w:rPr>
        <w:t>T</w:t>
      </w:r>
      <w:r w:rsidRPr="6ABB762F">
        <w:rPr>
          <w:rFonts w:ascii="Times New Roman" w:hAnsi="Times New Roman"/>
          <w:sz w:val="24"/>
          <w:szCs w:val="24"/>
        </w:rPr>
        <w:t xml:space="preserve">est </w:t>
      </w:r>
      <w:r w:rsidR="00C972E8">
        <w:rPr>
          <w:rFonts w:ascii="Times New Roman" w:hAnsi="Times New Roman"/>
          <w:sz w:val="24"/>
          <w:szCs w:val="24"/>
        </w:rPr>
        <w:t>M</w:t>
      </w:r>
      <w:r w:rsidRPr="6ABB762F">
        <w:rPr>
          <w:rFonts w:ascii="Times New Roman" w:hAnsi="Times New Roman"/>
          <w:sz w:val="24"/>
          <w:szCs w:val="24"/>
        </w:rPr>
        <w:t>ode</w:t>
      </w:r>
      <w:r w:rsidRPr="6ABB762F">
        <w:rPr>
          <w:rFonts w:ascii="Times New Roman" w:hAnsi="Times New Roman"/>
          <w:sz w:val="24"/>
          <w:szCs w:val="24"/>
        </w:rPr>
        <w:t>l</w:t>
      </w:r>
      <w:r w:rsidR="006B4C61">
        <w:rPr>
          <w:rFonts w:ascii="Times New Roman" w:hAnsi="Times New Roman"/>
          <w:sz w:val="24"/>
          <w:szCs w:val="24"/>
        </w:rPr>
        <w:t>,</w:t>
      </w:r>
      <w:r w:rsidRPr="6ABB762F">
        <w:rPr>
          <w:rFonts w:ascii="Times New Roman" w:hAnsi="Times New Roman"/>
          <w:sz w:val="24"/>
          <w:szCs w:val="24"/>
        </w:rPr>
        <w:t xml:space="preserve"> or its equivalent. Two additional versions of the AAMVA </w:t>
      </w:r>
      <w:r w:rsidR="00C972E8">
        <w:rPr>
          <w:rFonts w:ascii="Times New Roman" w:hAnsi="Times New Roman"/>
          <w:sz w:val="24"/>
          <w:szCs w:val="24"/>
        </w:rPr>
        <w:t>CDL</w:t>
      </w:r>
      <w:r w:rsidRPr="6ABB762F" w:rsidR="00C972E8">
        <w:rPr>
          <w:rFonts w:ascii="Times New Roman" w:hAnsi="Times New Roman"/>
          <w:sz w:val="24"/>
          <w:szCs w:val="24"/>
        </w:rPr>
        <w:t xml:space="preserve"> </w:t>
      </w:r>
      <w:r w:rsidR="00C972E8">
        <w:rPr>
          <w:rFonts w:ascii="Times New Roman" w:hAnsi="Times New Roman"/>
          <w:sz w:val="24"/>
          <w:szCs w:val="24"/>
        </w:rPr>
        <w:t>T</w:t>
      </w:r>
      <w:r w:rsidRPr="6ABB762F">
        <w:rPr>
          <w:rFonts w:ascii="Times New Roman" w:hAnsi="Times New Roman"/>
          <w:sz w:val="24"/>
          <w:szCs w:val="24"/>
        </w:rPr>
        <w:t xml:space="preserve">est </w:t>
      </w:r>
      <w:r w:rsidR="00C972E8">
        <w:rPr>
          <w:rFonts w:ascii="Times New Roman" w:hAnsi="Times New Roman"/>
          <w:sz w:val="24"/>
          <w:szCs w:val="24"/>
        </w:rPr>
        <w:t>M</w:t>
      </w:r>
      <w:r w:rsidRPr="6ABB762F">
        <w:rPr>
          <w:rFonts w:ascii="Times New Roman" w:hAnsi="Times New Roman"/>
          <w:sz w:val="24"/>
          <w:szCs w:val="24"/>
        </w:rPr>
        <w:t xml:space="preserve">odel have been developed since the original. As such, it is imperative that the team ascertains which version is in use at each jurisdiction. Data gathered from this survey will identify </w:t>
      </w:r>
      <w:r w:rsidRPr="6ABB762F">
        <w:rPr>
          <w:rFonts w:ascii="Times New Roman" w:hAnsi="Times New Roman"/>
          <w:sz w:val="24"/>
          <w:szCs w:val="24"/>
        </w:rPr>
        <w:t>any impediments to jurisdictions’ ability to comply with and conduct reliable and valid evaluations of CDL applicants' knowledge and skill level</w:t>
      </w:r>
      <w:r w:rsidR="00DF050B">
        <w:rPr>
          <w:rFonts w:ascii="Times New Roman" w:hAnsi="Times New Roman"/>
          <w:sz w:val="24"/>
          <w:szCs w:val="24"/>
        </w:rPr>
        <w:t>s</w:t>
      </w:r>
      <w:r w:rsidRPr="6ABB762F">
        <w:rPr>
          <w:rFonts w:ascii="Times New Roman" w:hAnsi="Times New Roman"/>
          <w:sz w:val="24"/>
          <w:szCs w:val="24"/>
        </w:rPr>
        <w:t>. Findings may also shed light on any fraudulent activities or opportunities.</w:t>
      </w:r>
    </w:p>
    <w:p w:rsidR="00002DC0" w:rsidP="6ABB762F" w14:paraId="2DAFF521" w14:textId="77777777">
      <w:pPr>
        <w:ind w:left="360"/>
        <w:rPr>
          <w:rFonts w:ascii="Times New Roman" w:hAnsi="Times New Roman"/>
          <w:sz w:val="24"/>
          <w:szCs w:val="24"/>
        </w:rPr>
      </w:pPr>
    </w:p>
    <w:p w:rsidR="001C23E3" w:rsidP="001C23E3" w14:paraId="4AC94D76" w14:textId="07925481">
      <w:pPr>
        <w:ind w:left="360"/>
        <w:rPr>
          <w:rFonts w:ascii="Times New Roman" w:hAnsi="Times New Roman"/>
          <w:sz w:val="24"/>
          <w:szCs w:val="24"/>
        </w:rPr>
      </w:pPr>
      <w:r w:rsidRPr="452FB3DF">
        <w:rPr>
          <w:rFonts w:ascii="Times New Roman" w:hAnsi="Times New Roman"/>
          <w:sz w:val="24"/>
          <w:szCs w:val="24"/>
        </w:rPr>
        <w:t xml:space="preserve">The survey results </w:t>
      </w:r>
      <w:r w:rsidRPr="452FB3DF" w:rsidR="000672A9">
        <w:rPr>
          <w:rFonts w:ascii="Times New Roman" w:hAnsi="Times New Roman"/>
          <w:sz w:val="24"/>
          <w:szCs w:val="24"/>
        </w:rPr>
        <w:t>are also necessary in providing</w:t>
      </w:r>
      <w:r w:rsidRPr="452FB3DF">
        <w:rPr>
          <w:rFonts w:ascii="Times New Roman" w:hAnsi="Times New Roman"/>
          <w:sz w:val="24"/>
          <w:szCs w:val="24"/>
        </w:rPr>
        <w:t xml:space="preserve"> background information on SDLA testing programs that will help inform and guide </w:t>
      </w:r>
      <w:r w:rsidRPr="452FB3DF" w:rsidR="00D70CC2">
        <w:rPr>
          <w:rFonts w:ascii="Times New Roman" w:hAnsi="Times New Roman"/>
          <w:sz w:val="24"/>
          <w:szCs w:val="24"/>
        </w:rPr>
        <w:t xml:space="preserve">the </w:t>
      </w:r>
      <w:r w:rsidRPr="452FB3DF">
        <w:rPr>
          <w:rFonts w:ascii="Times New Roman" w:hAnsi="Times New Roman"/>
          <w:sz w:val="24"/>
          <w:szCs w:val="24"/>
        </w:rPr>
        <w:t xml:space="preserve">separate data collection efforts </w:t>
      </w:r>
      <w:r w:rsidRPr="452FB3DF" w:rsidR="00D70CC2">
        <w:rPr>
          <w:rFonts w:ascii="Times New Roman" w:hAnsi="Times New Roman"/>
          <w:sz w:val="24"/>
          <w:szCs w:val="24"/>
        </w:rPr>
        <w:t xml:space="preserve">(see Table 1) </w:t>
      </w:r>
      <w:r w:rsidRPr="452FB3DF" w:rsidR="000672A9">
        <w:rPr>
          <w:rFonts w:ascii="Times New Roman" w:hAnsi="Times New Roman"/>
          <w:sz w:val="24"/>
          <w:szCs w:val="24"/>
        </w:rPr>
        <w:t>used to accomplish the project objectives</w:t>
      </w:r>
      <w:r w:rsidRPr="452FB3DF" w:rsidR="49840059">
        <w:rPr>
          <w:rFonts w:ascii="Times New Roman" w:hAnsi="Times New Roman"/>
          <w:sz w:val="24"/>
          <w:szCs w:val="24"/>
        </w:rPr>
        <w:t xml:space="preserve"> and answer the research questions</w:t>
      </w:r>
      <w:r w:rsidRPr="452FB3DF" w:rsidR="000672A9">
        <w:rPr>
          <w:rFonts w:ascii="Times New Roman" w:hAnsi="Times New Roman"/>
          <w:sz w:val="24"/>
          <w:szCs w:val="24"/>
        </w:rPr>
        <w:t>. These separate efforts include</w:t>
      </w:r>
      <w:r w:rsidRPr="452FB3DF">
        <w:rPr>
          <w:rFonts w:ascii="Times New Roman" w:hAnsi="Times New Roman"/>
          <w:sz w:val="24"/>
          <w:szCs w:val="24"/>
        </w:rPr>
        <w:t xml:space="preserve"> the analysis of quantitative data gathered from SDLAs and follow-on interviews with selected jurisdictions. The quantitative data collection and follow-on interviews will each be conducted </w:t>
      </w:r>
      <w:r w:rsidRPr="452FB3DF">
        <w:rPr>
          <w:rFonts w:ascii="Times New Roman" w:hAnsi="Times New Roman"/>
          <w:sz w:val="24"/>
          <w:szCs w:val="24"/>
        </w:rPr>
        <w:t xml:space="preserve">with eight or fewer respondents and </w:t>
      </w:r>
      <w:r w:rsidRPr="452FB3DF" w:rsidR="000672A9">
        <w:rPr>
          <w:rFonts w:ascii="Times New Roman" w:hAnsi="Times New Roman"/>
          <w:sz w:val="24"/>
          <w:szCs w:val="24"/>
        </w:rPr>
        <w:t>are</w:t>
      </w:r>
      <w:r w:rsidRPr="452FB3DF">
        <w:rPr>
          <w:rFonts w:ascii="Times New Roman" w:hAnsi="Times New Roman"/>
          <w:sz w:val="24"/>
          <w:szCs w:val="24"/>
        </w:rPr>
        <w:t xml:space="preserve"> therefore not included as part of this ICR. The project team will systematically select </w:t>
      </w:r>
      <w:r w:rsidR="00AB6AA5">
        <w:rPr>
          <w:rFonts w:ascii="Times New Roman" w:hAnsi="Times New Roman"/>
          <w:sz w:val="24"/>
          <w:szCs w:val="24"/>
        </w:rPr>
        <w:t>eight</w:t>
      </w:r>
      <w:r w:rsidRPr="452FB3DF" w:rsidR="00AB6AA5">
        <w:rPr>
          <w:rFonts w:ascii="Times New Roman" w:hAnsi="Times New Roman"/>
          <w:sz w:val="24"/>
          <w:szCs w:val="24"/>
        </w:rPr>
        <w:t xml:space="preserve"> </w:t>
      </w:r>
      <w:r w:rsidRPr="452FB3DF">
        <w:rPr>
          <w:rFonts w:ascii="Times New Roman" w:hAnsi="Times New Roman"/>
          <w:sz w:val="24"/>
          <w:szCs w:val="24"/>
        </w:rPr>
        <w:t xml:space="preserve">participating </w:t>
      </w:r>
      <w:r w:rsidR="00B5625A">
        <w:rPr>
          <w:rFonts w:ascii="Times New Roman" w:hAnsi="Times New Roman"/>
          <w:sz w:val="24"/>
          <w:szCs w:val="24"/>
        </w:rPr>
        <w:t>S</w:t>
      </w:r>
      <w:r w:rsidRPr="452FB3DF">
        <w:rPr>
          <w:rFonts w:ascii="Times New Roman" w:hAnsi="Times New Roman"/>
          <w:sz w:val="24"/>
          <w:szCs w:val="24"/>
        </w:rPr>
        <w:t xml:space="preserve">tates for the subsequent quantitative analysis. They will be selected to represent different AAMVA regions </w:t>
      </w:r>
      <w:r w:rsidRPr="452FB3DF">
        <w:rPr>
          <w:rFonts w:ascii="Times New Roman" w:hAnsi="Times New Roman"/>
          <w:sz w:val="24"/>
          <w:szCs w:val="24"/>
        </w:rPr>
        <w:t>(</w:t>
      </w:r>
      <w:r w:rsidR="00AB6AA5">
        <w:rPr>
          <w:rFonts w:ascii="Times New Roman" w:hAnsi="Times New Roman"/>
          <w:sz w:val="24"/>
          <w:szCs w:val="24"/>
        </w:rPr>
        <w:t>two</w:t>
      </w:r>
      <w:r w:rsidRPr="452FB3DF" w:rsidR="00AB6AA5">
        <w:rPr>
          <w:rFonts w:ascii="Times New Roman" w:hAnsi="Times New Roman"/>
          <w:sz w:val="24"/>
          <w:szCs w:val="24"/>
        </w:rPr>
        <w:t xml:space="preserve"> </w:t>
      </w:r>
      <w:r w:rsidR="00B5625A">
        <w:rPr>
          <w:rFonts w:ascii="Times New Roman" w:hAnsi="Times New Roman"/>
          <w:sz w:val="24"/>
          <w:szCs w:val="24"/>
        </w:rPr>
        <w:t>S</w:t>
      </w:r>
      <w:r w:rsidRPr="452FB3DF">
        <w:rPr>
          <w:rFonts w:ascii="Times New Roman" w:hAnsi="Times New Roman"/>
          <w:sz w:val="24"/>
          <w:szCs w:val="24"/>
        </w:rPr>
        <w:t xml:space="preserve">tates from each AAMVA region), different size </w:t>
      </w:r>
      <w:r w:rsidR="00B5625A">
        <w:rPr>
          <w:rFonts w:ascii="Times New Roman" w:hAnsi="Times New Roman"/>
          <w:sz w:val="24"/>
          <w:szCs w:val="24"/>
        </w:rPr>
        <w:t>S</w:t>
      </w:r>
      <w:r w:rsidRPr="452FB3DF">
        <w:rPr>
          <w:rFonts w:ascii="Times New Roman" w:hAnsi="Times New Roman"/>
          <w:sz w:val="24"/>
          <w:szCs w:val="24"/>
        </w:rPr>
        <w:t xml:space="preserve">tates (small and large), and will be based on the effectiveness of </w:t>
      </w:r>
      <w:r w:rsidR="00B5625A">
        <w:rPr>
          <w:rFonts w:ascii="Times New Roman" w:hAnsi="Times New Roman"/>
          <w:sz w:val="24"/>
          <w:szCs w:val="24"/>
        </w:rPr>
        <w:t>S</w:t>
      </w:r>
      <w:r w:rsidRPr="452FB3DF">
        <w:rPr>
          <w:rFonts w:ascii="Times New Roman" w:hAnsi="Times New Roman"/>
          <w:sz w:val="24"/>
          <w:szCs w:val="24"/>
        </w:rPr>
        <w:t xml:space="preserve">tates’ third-party testing monitoring and oversight programs. This approach of using a smaller number of </w:t>
      </w:r>
      <w:r w:rsidR="00B5625A">
        <w:rPr>
          <w:rFonts w:ascii="Times New Roman" w:hAnsi="Times New Roman"/>
          <w:sz w:val="24"/>
          <w:szCs w:val="24"/>
        </w:rPr>
        <w:t>S</w:t>
      </w:r>
      <w:r w:rsidRPr="452FB3DF">
        <w:rPr>
          <w:rFonts w:ascii="Times New Roman" w:hAnsi="Times New Roman"/>
          <w:sz w:val="24"/>
          <w:szCs w:val="24"/>
        </w:rPr>
        <w:t>tates for quantitative data a</w:t>
      </w:r>
      <w:r w:rsidRPr="452FB3DF">
        <w:rPr>
          <w:rFonts w:ascii="Times New Roman" w:hAnsi="Times New Roman"/>
          <w:sz w:val="24"/>
          <w:szCs w:val="24"/>
        </w:rPr>
        <w:t xml:space="preserve">nalysis is intended to reduce the overall burden on SDLAs. </w:t>
      </w:r>
      <w:r w:rsidRPr="452FB3DF" w:rsidR="00A04AB1">
        <w:rPr>
          <w:rFonts w:ascii="Times New Roman" w:hAnsi="Times New Roman"/>
          <w:sz w:val="24"/>
          <w:szCs w:val="24"/>
        </w:rPr>
        <w:t xml:space="preserve">Similarly, although interviews will be conducted with one representative from each of the eight participating </w:t>
      </w:r>
      <w:r w:rsidR="00B5625A">
        <w:rPr>
          <w:rFonts w:ascii="Times New Roman" w:hAnsi="Times New Roman"/>
          <w:sz w:val="24"/>
          <w:szCs w:val="24"/>
        </w:rPr>
        <w:t>S</w:t>
      </w:r>
      <w:r w:rsidRPr="452FB3DF" w:rsidR="00A04AB1">
        <w:rPr>
          <w:rFonts w:ascii="Times New Roman" w:hAnsi="Times New Roman"/>
          <w:sz w:val="24"/>
          <w:szCs w:val="24"/>
        </w:rPr>
        <w:t xml:space="preserve">tates, site visits will only be conducted with four of those </w:t>
      </w:r>
      <w:r w:rsidR="00B5625A">
        <w:rPr>
          <w:rFonts w:ascii="Times New Roman" w:hAnsi="Times New Roman"/>
          <w:sz w:val="24"/>
          <w:szCs w:val="24"/>
        </w:rPr>
        <w:t>S</w:t>
      </w:r>
      <w:r w:rsidRPr="452FB3DF" w:rsidR="00A04AB1">
        <w:rPr>
          <w:rFonts w:ascii="Times New Roman" w:hAnsi="Times New Roman"/>
          <w:sz w:val="24"/>
          <w:szCs w:val="24"/>
        </w:rPr>
        <w:t xml:space="preserve">tates to further reduce the burden. This tiered approach will enable the project team to gather all necessary information to thoroughly address the project research questions, while limiting the burden placed on SDLAs. </w:t>
      </w:r>
    </w:p>
    <w:p w:rsidR="00002DC0" w:rsidP="6ABB762F" w14:paraId="26BF5356" w14:textId="77777777">
      <w:pPr>
        <w:ind w:left="360"/>
        <w:rPr>
          <w:rFonts w:ascii="Times New Roman" w:hAnsi="Times New Roman"/>
          <w:sz w:val="24"/>
          <w:szCs w:val="24"/>
        </w:rPr>
      </w:pPr>
    </w:p>
    <w:p w:rsidR="00002DC0" w:rsidP="6ABB762F" w14:paraId="14ECD1E0" w14:textId="581C6670">
      <w:pPr>
        <w:ind w:left="360"/>
        <w:rPr>
          <w:rFonts w:ascii="Times New Roman" w:hAnsi="Times New Roman"/>
          <w:sz w:val="24"/>
          <w:szCs w:val="24"/>
        </w:rPr>
      </w:pPr>
      <w:r w:rsidRPr="6ABB762F">
        <w:rPr>
          <w:rFonts w:ascii="Times New Roman" w:hAnsi="Times New Roman"/>
          <w:sz w:val="24"/>
          <w:szCs w:val="24"/>
        </w:rPr>
        <w:t>Appendix A</w:t>
      </w:r>
      <w:r w:rsidRPr="6ABB762F" w:rsidR="7EC8D6D0">
        <w:rPr>
          <w:rFonts w:ascii="Times New Roman" w:hAnsi="Times New Roman"/>
          <w:sz w:val="24"/>
          <w:szCs w:val="24"/>
        </w:rPr>
        <w:t>-1</w:t>
      </w:r>
      <w:r w:rsidRPr="6ABB762F">
        <w:rPr>
          <w:rFonts w:ascii="Times New Roman" w:hAnsi="Times New Roman"/>
          <w:sz w:val="24"/>
          <w:szCs w:val="24"/>
        </w:rPr>
        <w:t xml:space="preserve"> provides the SDLA survey questions.</w:t>
      </w:r>
      <w:r w:rsidR="003961A1">
        <w:rPr>
          <w:rFonts w:ascii="Times New Roman" w:hAnsi="Times New Roman"/>
          <w:sz w:val="24"/>
          <w:szCs w:val="24"/>
        </w:rPr>
        <w:t xml:space="preserve"> </w:t>
      </w:r>
      <w:r w:rsidR="007B418B">
        <w:rPr>
          <w:rFonts w:ascii="Times New Roman" w:hAnsi="Times New Roman"/>
          <w:sz w:val="24"/>
          <w:szCs w:val="24"/>
        </w:rPr>
        <w:t xml:space="preserve">Appendix A-2 provides the email correspondence to introduce the survey, and Appendix A-3 provides the text for the body of the email used to distribute the survey. </w:t>
      </w:r>
    </w:p>
    <w:p w:rsidR="00002DC0" w:rsidP="6ABB762F" w14:paraId="5C3C4ABA" w14:textId="77777777">
      <w:pPr>
        <w:ind w:left="360"/>
        <w:rPr>
          <w:rFonts w:ascii="Times New Roman" w:hAnsi="Times New Roman"/>
          <w:sz w:val="24"/>
          <w:szCs w:val="24"/>
        </w:rPr>
      </w:pPr>
    </w:p>
    <w:p w:rsidR="00002DC0" w:rsidP="6ABB762F" w14:paraId="100B9EEF" w14:textId="2EB47016">
      <w:pPr>
        <w:ind w:left="360"/>
        <w:rPr>
          <w:rFonts w:ascii="Times New Roman" w:hAnsi="Times New Roman"/>
          <w:sz w:val="24"/>
          <w:szCs w:val="24"/>
        </w:rPr>
      </w:pPr>
      <w:r w:rsidRPr="6ABB762F">
        <w:rPr>
          <w:rFonts w:ascii="Times New Roman" w:hAnsi="Times New Roman"/>
          <w:sz w:val="24"/>
          <w:szCs w:val="24"/>
        </w:rPr>
        <w:t xml:space="preserve">This information collection </w:t>
      </w:r>
      <w:r w:rsidRPr="6ABB762F" w:rsidR="00211D79">
        <w:rPr>
          <w:rFonts w:ascii="Times New Roman" w:hAnsi="Times New Roman"/>
          <w:sz w:val="24"/>
          <w:szCs w:val="24"/>
        </w:rPr>
        <w:t>supports the DOT Strategic Goal of Safety. The SDLA questionnaire is necessary in determining institutional and programmatic issues and thus in assessing the effectiveness of the ELDT programs and where improvements should be made; this will ultimately contribute to the safety of our transportation system.</w:t>
      </w:r>
      <w:r w:rsidR="000D16B6">
        <w:rPr>
          <w:rFonts w:ascii="Times New Roman" w:hAnsi="Times New Roman"/>
          <w:sz w:val="24"/>
          <w:szCs w:val="24"/>
        </w:rPr>
        <w:t xml:space="preserve"> Additionally, the subsequent data collection activities (i.e., database data collection and interviews/site visits) are necessary in fully addressing the projects’ eight research questions.</w:t>
      </w:r>
    </w:p>
    <w:p w:rsidR="00C720B1" w:rsidP="6ABB762F" w14:paraId="28DCF6BD" w14:textId="77777777">
      <w:pPr>
        <w:ind w:left="360"/>
        <w:rPr>
          <w:rFonts w:ascii="Times New Roman" w:hAnsi="Times New Roman"/>
          <w:sz w:val="24"/>
          <w:szCs w:val="24"/>
        </w:rPr>
      </w:pPr>
    </w:p>
    <w:p w:rsidR="005612EB" w:rsidP="6ABB762F" w14:paraId="565F062E" w14:textId="655DEAF3">
      <w:pPr>
        <w:ind w:left="360"/>
        <w:rPr>
          <w:rFonts w:ascii="Times New Roman" w:hAnsi="Times New Roman"/>
          <w:sz w:val="24"/>
          <w:szCs w:val="24"/>
        </w:rPr>
      </w:pPr>
      <w:r w:rsidRPr="00426789">
        <w:rPr>
          <w:rFonts w:ascii="Times New Roman" w:hAnsi="Times New Roman"/>
          <w:sz w:val="24"/>
          <w:szCs w:val="24"/>
        </w:rPr>
        <w:t>Title 23, United States Code</w:t>
      </w:r>
      <w:r w:rsidR="008B466E">
        <w:rPr>
          <w:rFonts w:ascii="Times New Roman" w:hAnsi="Times New Roman"/>
          <w:sz w:val="24"/>
          <w:szCs w:val="24"/>
        </w:rPr>
        <w:t xml:space="preserve"> (U. S. C.)</w:t>
      </w:r>
      <w:r w:rsidRPr="00426789">
        <w:rPr>
          <w:rFonts w:ascii="Times New Roman" w:hAnsi="Times New Roman"/>
          <w:sz w:val="24"/>
          <w:szCs w:val="24"/>
        </w:rPr>
        <w:t xml:space="preserve">, Chapter 4, Section 403 </w:t>
      </w:r>
      <w:r w:rsidRPr="6ABB762F">
        <w:rPr>
          <w:rFonts w:ascii="Times New Roman" w:hAnsi="Times New Roman"/>
          <w:sz w:val="24"/>
          <w:szCs w:val="24"/>
        </w:rPr>
        <w:t>a</w:t>
      </w:r>
      <w:r w:rsidRPr="6ABB762F">
        <w:rPr>
          <w:rFonts w:ascii="Times New Roman" w:hAnsi="Times New Roman"/>
          <w:sz w:val="24"/>
          <w:szCs w:val="24"/>
        </w:rPr>
        <w:t>uthorizes the Secretary to use funds appropriated to carry out th</w:t>
      </w:r>
      <w:r w:rsidR="009D26F3">
        <w:rPr>
          <w:rFonts w:ascii="Times New Roman" w:hAnsi="Times New Roman"/>
          <w:sz w:val="24"/>
          <w:szCs w:val="24"/>
        </w:rPr>
        <w:t>at</w:t>
      </w:r>
      <w:r w:rsidRPr="6ABB762F">
        <w:rPr>
          <w:rFonts w:ascii="Times New Roman" w:hAnsi="Times New Roman"/>
          <w:sz w:val="24"/>
          <w:szCs w:val="24"/>
        </w:rPr>
        <w:t xml:space="preserve"> section to conduct research and development activities, including demonstration projects and the collection and analysis of highway and motor vehicle safety data and related information wi</w:t>
      </w:r>
      <w:r w:rsidRPr="6ABB762F">
        <w:rPr>
          <w:rFonts w:ascii="Times New Roman" w:hAnsi="Times New Roman"/>
          <w:sz w:val="24"/>
          <w:szCs w:val="24"/>
        </w:rPr>
        <w:t>th respect to all aspects of highway and traffic safety systems and conditions relating to vehicle, highway, driver, passenger, motorcyclist, bicyclist, and pedestrian characteristics; accident causation and investigations; human behavioral factors and the</w:t>
      </w:r>
      <w:r w:rsidRPr="6ABB762F">
        <w:rPr>
          <w:rFonts w:ascii="Times New Roman" w:hAnsi="Times New Roman"/>
          <w:sz w:val="24"/>
          <w:szCs w:val="24"/>
        </w:rPr>
        <w:t xml:space="preserve">ir effect on highway and traffic safety, including </w:t>
      </w:r>
      <w:r w:rsidRPr="6ABB762F" w:rsidR="001311CE">
        <w:rPr>
          <w:rFonts w:ascii="Times New Roman" w:hAnsi="Times New Roman"/>
          <w:sz w:val="24"/>
          <w:szCs w:val="24"/>
        </w:rPr>
        <w:t xml:space="preserve">driver education, </w:t>
      </w:r>
      <w:r w:rsidRPr="6ABB762F">
        <w:rPr>
          <w:rFonts w:ascii="Times New Roman" w:hAnsi="Times New Roman"/>
          <w:sz w:val="24"/>
          <w:szCs w:val="24"/>
        </w:rPr>
        <w:t>impaired driving</w:t>
      </w:r>
      <w:r w:rsidRPr="6ABB762F" w:rsidR="001311CE">
        <w:rPr>
          <w:rFonts w:ascii="Times New Roman" w:hAnsi="Times New Roman"/>
          <w:sz w:val="24"/>
          <w:szCs w:val="24"/>
        </w:rPr>
        <w:t xml:space="preserve"> and distracted driving; research on, evaluations of, and identification of best practices related to driver education programs (including driver education curricula, instructor training and certification, program administration, and delivery mechanisms) and recommendations for harmonizing driver education and multistage graduated licensing</w:t>
      </w:r>
      <w:r w:rsidRPr="6ABB762F" w:rsidR="00C21FD2">
        <w:rPr>
          <w:rFonts w:ascii="Times New Roman" w:hAnsi="Times New Roman"/>
          <w:sz w:val="24"/>
          <w:szCs w:val="24"/>
        </w:rPr>
        <w:t xml:space="preserve"> systems; and the effect of State laws on any aspects, activities, or programs described </w:t>
      </w:r>
      <w:r w:rsidR="009D26F3">
        <w:rPr>
          <w:rFonts w:ascii="Times New Roman" w:hAnsi="Times New Roman"/>
          <w:sz w:val="24"/>
          <w:szCs w:val="24"/>
        </w:rPr>
        <w:t>above</w:t>
      </w:r>
      <w:r w:rsidRPr="6ABB762F">
        <w:rPr>
          <w:rFonts w:ascii="Times New Roman" w:hAnsi="Times New Roman"/>
          <w:sz w:val="24"/>
          <w:szCs w:val="24"/>
        </w:rPr>
        <w:t xml:space="preserve"> </w:t>
      </w:r>
      <w:r w:rsidR="00AB6AA5">
        <w:rPr>
          <w:rFonts w:ascii="Times New Roman" w:hAnsi="Times New Roman"/>
          <w:sz w:val="24"/>
          <w:szCs w:val="24"/>
        </w:rPr>
        <w:t>(</w:t>
      </w:r>
      <w:r w:rsidR="00FC04E7">
        <w:rPr>
          <w:rFonts w:ascii="Times New Roman" w:hAnsi="Times New Roman"/>
          <w:sz w:val="24"/>
          <w:szCs w:val="24"/>
        </w:rPr>
        <w:t>s</w:t>
      </w:r>
      <w:r w:rsidRPr="6ABB762F">
        <w:rPr>
          <w:rFonts w:ascii="Times New Roman" w:hAnsi="Times New Roman"/>
          <w:sz w:val="24"/>
          <w:szCs w:val="24"/>
        </w:rPr>
        <w:t>ee 23 U.S.C. 403(b)(1)(A)(i)-(ii), 23 U.S.C. 403(b)(1)(B)</w:t>
      </w:r>
      <w:r w:rsidRPr="6ABB762F" w:rsidR="001311CE">
        <w:rPr>
          <w:rFonts w:ascii="Times New Roman" w:hAnsi="Times New Roman"/>
          <w:sz w:val="24"/>
          <w:szCs w:val="24"/>
        </w:rPr>
        <w:t>(i)-</w:t>
      </w:r>
      <w:r w:rsidRPr="6ABB762F">
        <w:rPr>
          <w:rFonts w:ascii="Times New Roman" w:hAnsi="Times New Roman"/>
          <w:sz w:val="24"/>
          <w:szCs w:val="24"/>
        </w:rPr>
        <w:t>(ii</w:t>
      </w:r>
      <w:r w:rsidRPr="6ABB762F" w:rsidR="001311CE">
        <w:rPr>
          <w:rFonts w:ascii="Times New Roman" w:hAnsi="Times New Roman"/>
          <w:sz w:val="24"/>
          <w:szCs w:val="24"/>
        </w:rPr>
        <w:t>i</w:t>
      </w:r>
      <w:r w:rsidRPr="6ABB762F">
        <w:rPr>
          <w:rFonts w:ascii="Times New Roman" w:hAnsi="Times New Roman"/>
          <w:sz w:val="24"/>
          <w:szCs w:val="24"/>
        </w:rPr>
        <w:t>)</w:t>
      </w:r>
      <w:r w:rsidRPr="6ABB762F" w:rsidR="00C21FD2">
        <w:rPr>
          <w:rFonts w:ascii="Times New Roman" w:hAnsi="Times New Roman"/>
          <w:sz w:val="24"/>
          <w:szCs w:val="24"/>
        </w:rPr>
        <w:t>, 23 U.S.C. 403(b)(1)(E), 23 U.S.C. 403(b)(1)(F)</w:t>
      </w:r>
      <w:r w:rsidR="00AB6AA5">
        <w:rPr>
          <w:rFonts w:ascii="Times New Roman" w:hAnsi="Times New Roman"/>
          <w:sz w:val="24"/>
          <w:szCs w:val="24"/>
        </w:rPr>
        <w:t>)</w:t>
      </w:r>
      <w:r w:rsidRPr="6ABB762F">
        <w:rPr>
          <w:rFonts w:ascii="Times New Roman" w:hAnsi="Times New Roman"/>
          <w:sz w:val="24"/>
          <w:szCs w:val="24"/>
        </w:rPr>
        <w:t>.</w:t>
      </w:r>
      <w:r w:rsidR="00F92057">
        <w:br/>
      </w:r>
    </w:p>
    <w:p w:rsidR="00065C40" w:rsidRPr="00526548" w:rsidP="00B57147" w14:paraId="2D96CCC3" w14:textId="10BB39A1">
      <w:pPr>
        <w:ind w:left="360" w:hanging="360"/>
        <w:rPr>
          <w:rFonts w:ascii="Times New Roman" w:hAnsi="Times New Roman"/>
          <w:sz w:val="24"/>
          <w:szCs w:val="24"/>
        </w:rPr>
      </w:pPr>
      <w:r>
        <w:rPr>
          <w:rFonts w:ascii="Times New Roman" w:hAnsi="Times New Roman"/>
          <w:b/>
          <w:bCs/>
          <w:sz w:val="24"/>
          <w:szCs w:val="24"/>
        </w:rPr>
        <w:t xml:space="preserve">2. </w:t>
      </w:r>
      <w:r w:rsidR="00215C96">
        <w:rPr>
          <w:rFonts w:ascii="Times New Roman" w:hAnsi="Times New Roman"/>
          <w:b/>
          <w:bCs/>
          <w:sz w:val="24"/>
          <w:szCs w:val="24"/>
        </w:rPr>
        <w:tab/>
      </w:r>
      <w:r w:rsidRPr="00526548" w:rsidR="00C14920">
        <w:rPr>
          <w:rFonts w:ascii="Times New Roman" w:hAnsi="Times New Roman"/>
          <w:b/>
          <w:bCs/>
          <w:sz w:val="24"/>
          <w:szCs w:val="24"/>
        </w:rPr>
        <w:t>HOW, BY WHOM, AND FOR WHAT PURPOSE IS THE INFORMATION USED</w:t>
      </w:r>
      <w:r w:rsidRPr="00526548" w:rsidR="009D4F72">
        <w:rPr>
          <w:rFonts w:ascii="Times New Roman" w:hAnsi="Times New Roman"/>
          <w:b/>
          <w:bCs/>
          <w:sz w:val="24"/>
          <w:szCs w:val="24"/>
        </w:rPr>
        <w:t xml:space="preserve"> </w:t>
      </w:r>
      <w:r>
        <w:br/>
      </w:r>
    </w:p>
    <w:p w:rsidR="001F355A" w:rsidP="6ABB762F" w14:paraId="0D3A1369" w14:textId="0CBFD8EA">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6ABB762F">
        <w:rPr>
          <w:rFonts w:ascii="Times New Roman" w:hAnsi="Times New Roman"/>
          <w:color w:val="auto"/>
        </w:rPr>
        <w:t xml:space="preserve">This is a new collection of information </w:t>
      </w:r>
      <w:r w:rsidRPr="6ABB762F" w:rsidR="00083634">
        <w:rPr>
          <w:rFonts w:ascii="Times New Roman" w:hAnsi="Times New Roman"/>
          <w:color w:val="auto"/>
        </w:rPr>
        <w:t>involving</w:t>
      </w:r>
      <w:r w:rsidRPr="6ABB762F" w:rsidR="006E65F5">
        <w:rPr>
          <w:rFonts w:ascii="Times New Roman" w:hAnsi="Times New Roman"/>
          <w:color w:val="auto"/>
        </w:rPr>
        <w:t xml:space="preserve"> </w:t>
      </w:r>
      <w:r w:rsidR="00CB0B39">
        <w:rPr>
          <w:rFonts w:ascii="Times New Roman" w:hAnsi="Times New Roman"/>
          <w:color w:val="auto"/>
        </w:rPr>
        <w:t>SDLAs</w:t>
      </w:r>
      <w:r w:rsidRPr="6ABB762F" w:rsidR="006E65F5">
        <w:rPr>
          <w:rFonts w:ascii="Times New Roman" w:hAnsi="Times New Roman"/>
          <w:color w:val="auto"/>
        </w:rPr>
        <w:t xml:space="preserve"> from all 50 </w:t>
      </w:r>
      <w:r w:rsidRPr="6ABB762F" w:rsidR="000672A9">
        <w:rPr>
          <w:rFonts w:ascii="Times New Roman" w:hAnsi="Times New Roman"/>
          <w:color w:val="auto"/>
        </w:rPr>
        <w:t>S</w:t>
      </w:r>
      <w:r w:rsidRPr="6ABB762F" w:rsidR="006E65F5">
        <w:rPr>
          <w:rFonts w:ascii="Times New Roman" w:hAnsi="Times New Roman"/>
          <w:color w:val="auto"/>
        </w:rPr>
        <w:t xml:space="preserve">tates and Washington, D.C. </w:t>
      </w:r>
      <w:r w:rsidRPr="6ABB762F" w:rsidR="00083634">
        <w:rPr>
          <w:rFonts w:ascii="Times New Roman" w:hAnsi="Times New Roman"/>
          <w:color w:val="auto"/>
        </w:rPr>
        <w:t xml:space="preserve">No similar studies have focused on </w:t>
      </w:r>
      <w:r w:rsidRPr="6ABB762F" w:rsidR="006E65F5">
        <w:rPr>
          <w:rFonts w:ascii="Times New Roman" w:hAnsi="Times New Roman"/>
          <w:color w:val="auto"/>
        </w:rPr>
        <w:t xml:space="preserve">gathering this specific information from these populations using these methodologies. </w:t>
      </w:r>
    </w:p>
    <w:p w:rsidR="001F355A" w:rsidP="6ABB762F" w14:paraId="080749F6"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7A1FD9" w:rsidP="6ABB762F" w14:paraId="1AAD194B" w14:textId="272060DB">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6ABB762F">
        <w:rPr>
          <w:rFonts w:ascii="Times New Roman" w:hAnsi="Times New Roman"/>
          <w:color w:val="auto"/>
        </w:rPr>
        <w:t>FMCSA will use the information gather</w:t>
      </w:r>
      <w:r w:rsidRPr="6ABB762F">
        <w:rPr>
          <w:rFonts w:ascii="Times New Roman" w:hAnsi="Times New Roman"/>
          <w:color w:val="auto"/>
        </w:rPr>
        <w:t xml:space="preserve">ed to determine which version of the AAMVA </w:t>
      </w:r>
      <w:r w:rsidR="00C972E8">
        <w:rPr>
          <w:rFonts w:ascii="Times New Roman" w:hAnsi="Times New Roman"/>
          <w:color w:val="auto"/>
        </w:rPr>
        <w:t>CDL</w:t>
      </w:r>
      <w:r w:rsidRPr="6ABB762F" w:rsidR="00C972E8">
        <w:rPr>
          <w:rFonts w:ascii="Times New Roman" w:hAnsi="Times New Roman"/>
          <w:color w:val="auto"/>
        </w:rPr>
        <w:t xml:space="preserve"> </w:t>
      </w:r>
      <w:r w:rsidR="00C972E8">
        <w:rPr>
          <w:rFonts w:ascii="Times New Roman" w:hAnsi="Times New Roman"/>
          <w:color w:val="auto"/>
        </w:rPr>
        <w:t>T</w:t>
      </w:r>
      <w:r w:rsidRPr="6ABB762F">
        <w:rPr>
          <w:rFonts w:ascii="Times New Roman" w:hAnsi="Times New Roman"/>
          <w:color w:val="auto"/>
        </w:rPr>
        <w:t xml:space="preserve">est </w:t>
      </w:r>
      <w:r w:rsidR="00C972E8">
        <w:rPr>
          <w:rFonts w:ascii="Times New Roman" w:hAnsi="Times New Roman"/>
          <w:color w:val="auto"/>
        </w:rPr>
        <w:t>M</w:t>
      </w:r>
      <w:r w:rsidRPr="6ABB762F">
        <w:rPr>
          <w:rFonts w:ascii="Times New Roman" w:hAnsi="Times New Roman"/>
          <w:color w:val="auto"/>
        </w:rPr>
        <w:t>odel or equivalent is being utilized</w:t>
      </w:r>
      <w:r w:rsidR="00426789">
        <w:rPr>
          <w:rFonts w:ascii="Times New Roman" w:hAnsi="Times New Roman"/>
          <w:color w:val="auto"/>
        </w:rPr>
        <w:t>,</w:t>
      </w:r>
      <w:r w:rsidRPr="6ABB762F">
        <w:rPr>
          <w:rFonts w:ascii="Times New Roman" w:hAnsi="Times New Roman"/>
          <w:color w:val="auto"/>
        </w:rPr>
        <w:t xml:space="preserve"> as required by 49 CFR parts 383.131-133. The survey will provide insight into each jurisdiction’s compliance with applicable </w:t>
      </w:r>
      <w:r w:rsidR="00B5625A">
        <w:rPr>
          <w:rFonts w:ascii="Times New Roman" w:hAnsi="Times New Roman"/>
          <w:color w:val="auto"/>
        </w:rPr>
        <w:t>S</w:t>
      </w:r>
      <w:r w:rsidRPr="6ABB762F">
        <w:rPr>
          <w:rFonts w:ascii="Times New Roman" w:hAnsi="Times New Roman"/>
          <w:color w:val="auto"/>
        </w:rPr>
        <w:t xml:space="preserve">tate and </w:t>
      </w:r>
      <w:r w:rsidR="00E82535">
        <w:rPr>
          <w:rFonts w:ascii="Times New Roman" w:hAnsi="Times New Roman"/>
          <w:color w:val="auto"/>
        </w:rPr>
        <w:t>F</w:t>
      </w:r>
      <w:r w:rsidRPr="6ABB762F">
        <w:rPr>
          <w:rFonts w:ascii="Times New Roman" w:hAnsi="Times New Roman"/>
          <w:color w:val="auto"/>
        </w:rPr>
        <w:t xml:space="preserve">ederal regulations. Additionally, the survey results will inform </w:t>
      </w:r>
      <w:r w:rsidR="000D16B6">
        <w:rPr>
          <w:rFonts w:ascii="Times New Roman" w:hAnsi="Times New Roman"/>
          <w:color w:val="auto"/>
        </w:rPr>
        <w:t xml:space="preserve">the </w:t>
      </w:r>
      <w:r w:rsidRPr="6ABB762F">
        <w:rPr>
          <w:rFonts w:ascii="Times New Roman" w:hAnsi="Times New Roman"/>
          <w:color w:val="auto"/>
        </w:rPr>
        <w:t>follow-on data collection efforts including interv</w:t>
      </w:r>
      <w:r w:rsidRPr="6ABB762F">
        <w:rPr>
          <w:rFonts w:ascii="Times New Roman" w:hAnsi="Times New Roman"/>
          <w:color w:val="auto"/>
        </w:rPr>
        <w:t>iews with a few selected jurisdictions as well as any third-party examiners and programs, and analysis of quantitative data from selected jurisdictions.</w:t>
      </w:r>
    </w:p>
    <w:p w:rsidR="00083634" w:rsidP="6ABB762F" w14:paraId="7DB00B30"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5612EB" w:rsidP="6ABB762F" w14:paraId="4D5DD238" w14:textId="7DF79603">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6ABB762F">
        <w:rPr>
          <w:rFonts w:ascii="Times New Roman" w:hAnsi="Times New Roman"/>
          <w:color w:val="auto"/>
        </w:rPr>
        <w:t xml:space="preserve">FMCSA will produce </w:t>
      </w:r>
      <w:r w:rsidRPr="6ABB762F" w:rsidR="00B64FE7">
        <w:rPr>
          <w:rFonts w:ascii="Times New Roman" w:hAnsi="Times New Roman"/>
          <w:color w:val="auto"/>
        </w:rPr>
        <w:t xml:space="preserve">two technical reports addressing each of the two project objectives. One report will present the results of the research on the effectiveness of third-party testing programs and one report will present the results of the research on the effectiveness of minimum training and minimum testing standards. The survey results will be presented in these technical reports along with the overall project results. </w:t>
      </w:r>
      <w:r w:rsidRPr="6ABB762F" w:rsidR="000B5C21">
        <w:rPr>
          <w:rFonts w:ascii="Times New Roman" w:hAnsi="Times New Roman"/>
          <w:color w:val="auto"/>
        </w:rPr>
        <w:t>The survey r</w:t>
      </w:r>
      <w:r w:rsidRPr="6ABB762F">
        <w:rPr>
          <w:rFonts w:ascii="Times New Roman" w:hAnsi="Times New Roman"/>
          <w:color w:val="auto"/>
        </w:rPr>
        <w:t>esults will be presented in summary form including summary statistics and tables</w:t>
      </w:r>
      <w:r w:rsidRPr="6ABB762F" w:rsidR="000B5C21">
        <w:rPr>
          <w:rFonts w:ascii="Times New Roman" w:hAnsi="Times New Roman"/>
          <w:color w:val="auto"/>
        </w:rPr>
        <w:t>; the</w:t>
      </w:r>
      <w:r w:rsidRPr="6ABB762F">
        <w:rPr>
          <w:rFonts w:ascii="Times New Roman" w:hAnsi="Times New Roman"/>
          <w:color w:val="auto"/>
        </w:rPr>
        <w:t xml:space="preserve"> report</w:t>
      </w:r>
      <w:r w:rsidRPr="6ABB762F" w:rsidR="00B64FE7">
        <w:rPr>
          <w:rFonts w:ascii="Times New Roman" w:hAnsi="Times New Roman"/>
          <w:color w:val="auto"/>
        </w:rPr>
        <w:t>s</w:t>
      </w:r>
      <w:r w:rsidRPr="6ABB762F">
        <w:rPr>
          <w:rFonts w:ascii="Times New Roman" w:hAnsi="Times New Roman"/>
          <w:color w:val="auto"/>
        </w:rPr>
        <w:t xml:space="preserve"> will not include any personal</w:t>
      </w:r>
      <w:r w:rsidR="00AB6AA5">
        <w:rPr>
          <w:rFonts w:ascii="Times New Roman" w:hAnsi="Times New Roman"/>
          <w:color w:val="auto"/>
        </w:rPr>
        <w:t>ly</w:t>
      </w:r>
      <w:r w:rsidRPr="6ABB762F">
        <w:rPr>
          <w:rFonts w:ascii="Times New Roman" w:hAnsi="Times New Roman"/>
          <w:color w:val="auto"/>
        </w:rPr>
        <w:t xml:space="preserve"> identifying information</w:t>
      </w:r>
      <w:r w:rsidR="007A770F">
        <w:rPr>
          <w:rFonts w:ascii="Times New Roman" w:hAnsi="Times New Roman"/>
          <w:color w:val="auto"/>
        </w:rPr>
        <w:t xml:space="preserve"> (PII)</w:t>
      </w:r>
      <w:r w:rsidRPr="6ABB762F">
        <w:rPr>
          <w:rFonts w:ascii="Times New Roman" w:hAnsi="Times New Roman"/>
          <w:color w:val="auto"/>
        </w:rPr>
        <w:t>. The technical report</w:t>
      </w:r>
      <w:r w:rsidRPr="6ABB762F" w:rsidR="00B64FE7">
        <w:rPr>
          <w:rFonts w:ascii="Times New Roman" w:hAnsi="Times New Roman"/>
          <w:color w:val="auto"/>
        </w:rPr>
        <w:t>s</w:t>
      </w:r>
      <w:r w:rsidRPr="6ABB762F">
        <w:rPr>
          <w:rFonts w:ascii="Times New Roman" w:hAnsi="Times New Roman"/>
          <w:color w:val="auto"/>
        </w:rPr>
        <w:t xml:space="preserve"> will</w:t>
      </w:r>
      <w:r w:rsidRPr="6ABB762F" w:rsidR="000B5C21">
        <w:rPr>
          <w:rFonts w:ascii="Times New Roman" w:hAnsi="Times New Roman"/>
          <w:color w:val="auto"/>
        </w:rPr>
        <w:t xml:space="preserve"> be available to anyone in the public and private sectors through FMCSA’s website. The s</w:t>
      </w:r>
      <w:r w:rsidRPr="6ABB762F" w:rsidR="00AD5802">
        <w:rPr>
          <w:rFonts w:ascii="Times New Roman" w:hAnsi="Times New Roman"/>
          <w:color w:val="auto"/>
        </w:rPr>
        <w:t>tudy results will be used by FMCSA to</w:t>
      </w:r>
      <w:r w:rsidRPr="6ABB762F" w:rsidR="000E729A">
        <w:rPr>
          <w:rFonts w:ascii="Times New Roman" w:hAnsi="Times New Roman"/>
          <w:color w:val="auto"/>
        </w:rPr>
        <w:t xml:space="preserve"> (1) determine the effectiveness of third-party testing programs for </w:t>
      </w:r>
      <w:r w:rsidRPr="6ABB762F" w:rsidR="000E729A">
        <w:rPr>
          <w:rFonts w:ascii="Times New Roman" w:hAnsi="Times New Roman"/>
          <w:color w:val="auto"/>
        </w:rPr>
        <w:t xml:space="preserve">CDL skills tests; and (2) determine the effectiveness of minimum training and minimum testing standards for CDL knowledge and skills tests. </w:t>
      </w:r>
    </w:p>
    <w:p w:rsidR="00A613EE" w:rsidRPr="00526548" w:rsidP="00470720" w14:paraId="23569EE3" w14:textId="77777777">
      <w:pPr>
        <w:rPr>
          <w:rFonts w:ascii="Times New Roman" w:hAnsi="Times New Roman"/>
          <w:b/>
          <w:bCs/>
          <w:sz w:val="24"/>
          <w:szCs w:val="24"/>
        </w:rPr>
      </w:pPr>
    </w:p>
    <w:p w:rsidR="00470720" w:rsidRPr="00526548" w:rsidP="00215C96" w14:paraId="4D1A3D8F" w14:textId="20307CB7">
      <w:pPr>
        <w:pStyle w:val="ListParagraph"/>
        <w:numPr>
          <w:ilvl w:val="0"/>
          <w:numId w:val="41"/>
        </w:numPr>
        <w:tabs>
          <w:tab w:val="left" w:pos="0"/>
        </w:tabs>
        <w:rPr>
          <w:rFonts w:ascii="Times New Roman" w:hAnsi="Times New Roman"/>
          <w:b/>
          <w:bCs/>
          <w:sz w:val="24"/>
          <w:szCs w:val="24"/>
        </w:rPr>
      </w:pPr>
      <w:r w:rsidRPr="00526548">
        <w:rPr>
          <w:rFonts w:ascii="Times New Roman" w:hAnsi="Times New Roman"/>
          <w:b/>
          <w:bCs/>
          <w:sz w:val="24"/>
          <w:szCs w:val="24"/>
        </w:rPr>
        <w:t>EXTENT OF AUTOMATED INFORMATION COLLECTION</w:t>
      </w:r>
      <w:r w:rsidRPr="00526548" w:rsidR="009D4F72">
        <w:rPr>
          <w:rFonts w:ascii="Times New Roman" w:hAnsi="Times New Roman"/>
          <w:b/>
          <w:bCs/>
        </w:rPr>
        <w:t xml:space="preserve"> </w:t>
      </w:r>
      <w:r w:rsidRPr="00526548">
        <w:rPr>
          <w:b/>
          <w:bCs/>
        </w:rPr>
        <w:br/>
      </w:r>
    </w:p>
    <w:p w:rsidR="00A613EE" w:rsidRPr="005612EB" w:rsidP="6ABB762F" w14:paraId="01798D2E" w14:textId="6DAA0FC1">
      <w:pPr>
        <w:ind w:left="432"/>
        <w:rPr>
          <w:rFonts w:ascii="Times New Roman" w:hAnsi="Times New Roman"/>
          <w:sz w:val="24"/>
          <w:szCs w:val="24"/>
        </w:rPr>
      </w:pPr>
      <w:r w:rsidRPr="6ABB762F">
        <w:rPr>
          <w:rFonts w:ascii="Times New Roman" w:hAnsi="Times New Roman"/>
          <w:sz w:val="24"/>
          <w:szCs w:val="24"/>
        </w:rPr>
        <w:t xml:space="preserve">The survey will be </w:t>
      </w:r>
      <w:r w:rsidRPr="6ABB762F" w:rsidR="3F10D062">
        <w:rPr>
          <w:rFonts w:ascii="Times New Roman" w:hAnsi="Times New Roman"/>
          <w:sz w:val="24"/>
          <w:szCs w:val="24"/>
        </w:rPr>
        <w:t>administered via a web-based survey. A link to the survey will be</w:t>
      </w:r>
      <w:r w:rsidRPr="6ABB762F" w:rsidR="376B314F">
        <w:rPr>
          <w:rFonts w:ascii="Times New Roman" w:hAnsi="Times New Roman"/>
          <w:sz w:val="24"/>
          <w:szCs w:val="24"/>
        </w:rPr>
        <w:t xml:space="preserve"> d</w:t>
      </w:r>
      <w:r w:rsidRPr="6ABB762F" w:rsidR="3F10D062">
        <w:rPr>
          <w:rFonts w:ascii="Times New Roman" w:hAnsi="Times New Roman"/>
          <w:sz w:val="24"/>
          <w:szCs w:val="24"/>
        </w:rPr>
        <w:t>istributed to the SDLA jurisdiction representatives via email. A web-based survey was selected for ease of distribution and to maximize respon</w:t>
      </w:r>
      <w:r w:rsidRPr="6ABB762F" w:rsidR="62EA8C6E">
        <w:rPr>
          <w:rFonts w:ascii="Times New Roman" w:hAnsi="Times New Roman"/>
          <w:sz w:val="24"/>
          <w:szCs w:val="24"/>
        </w:rPr>
        <w:t xml:space="preserve">se rate. The web-based survey will also enable data to be analyzed more quickly and accurately and thus reduce cost. </w:t>
      </w:r>
    </w:p>
    <w:p w:rsidR="6ABB762F" w:rsidP="6ABB762F" w14:paraId="1004BD18" w14:textId="7A57B5E7">
      <w:pPr>
        <w:ind w:left="360"/>
        <w:rPr>
          <w:sz w:val="24"/>
          <w:szCs w:val="24"/>
        </w:rPr>
      </w:pPr>
    </w:p>
    <w:p w:rsidR="00B53F59" w:rsidRPr="00526548" w:rsidP="00B57147" w14:paraId="2FFFCEA6" w14:textId="40F42A85">
      <w:pPr>
        <w:pStyle w:val="NormalWeb"/>
        <w:numPr>
          <w:ilvl w:val="0"/>
          <w:numId w:val="41"/>
        </w:numPr>
        <w:spacing w:before="0" w:beforeAutospacing="0" w:after="0" w:afterAutospacing="0"/>
        <w:rPr>
          <w:rFonts w:ascii="Times New Roman" w:hAnsi="Times New Roman" w:cs="Times New Roman"/>
          <w:b/>
          <w:bCs/>
        </w:rPr>
      </w:pPr>
      <w:r w:rsidRPr="00526548">
        <w:rPr>
          <w:rFonts w:ascii="Times New Roman" w:hAnsi="Times New Roman" w:cs="Times New Roman"/>
          <w:b/>
          <w:bCs/>
        </w:rPr>
        <w:t>EFFORTS TO IDENTIFY DUPLICATION</w:t>
      </w:r>
      <w:r w:rsidRPr="00526548">
        <w:rPr>
          <w:b/>
          <w:bCs/>
        </w:rPr>
        <w:br/>
      </w:r>
    </w:p>
    <w:p w:rsidR="00C14920" w:rsidRPr="00FE7843" w:rsidP="6ABB762F" w14:paraId="4BB3EB3F" w14:textId="7F2D3312">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6ABB762F">
        <w:rPr>
          <w:rFonts w:ascii="Times New Roman" w:hAnsi="Times New Roman"/>
          <w:color w:val="auto"/>
        </w:rPr>
        <w:t xml:space="preserve">The FMCSA has not identified any previous effort to obtain widespread feedback on compliance with </w:t>
      </w:r>
      <w:r w:rsidRPr="6ABB762F" w:rsidR="00C00E53">
        <w:rPr>
          <w:rFonts w:ascii="Times New Roman" w:hAnsi="Times New Roman"/>
          <w:color w:val="auto"/>
        </w:rPr>
        <w:t xml:space="preserve">ELDT standards and effectiveness of the ELDT program. Additionally, the safety benefits and potential benefits of utilizing the </w:t>
      </w:r>
      <w:r w:rsidR="00C972E8">
        <w:rPr>
          <w:rFonts w:ascii="Times New Roman" w:hAnsi="Times New Roman"/>
          <w:color w:val="auto"/>
        </w:rPr>
        <w:t xml:space="preserve">2005 </w:t>
      </w:r>
      <w:r w:rsidRPr="6ABB762F" w:rsidR="00C00E53">
        <w:rPr>
          <w:rFonts w:ascii="Times New Roman" w:hAnsi="Times New Roman"/>
          <w:color w:val="auto"/>
        </w:rPr>
        <w:t xml:space="preserve">AAMVA </w:t>
      </w:r>
      <w:r w:rsidR="00C972E8">
        <w:rPr>
          <w:rFonts w:ascii="Times New Roman" w:hAnsi="Times New Roman"/>
          <w:color w:val="auto"/>
        </w:rPr>
        <w:t>CDL</w:t>
      </w:r>
      <w:r w:rsidRPr="6ABB762F" w:rsidR="00C972E8">
        <w:rPr>
          <w:rFonts w:ascii="Times New Roman" w:hAnsi="Times New Roman"/>
          <w:color w:val="auto"/>
        </w:rPr>
        <w:t xml:space="preserve"> </w:t>
      </w:r>
      <w:r w:rsidRPr="6ABB762F" w:rsidR="00C00E53">
        <w:rPr>
          <w:rFonts w:ascii="Times New Roman" w:hAnsi="Times New Roman"/>
          <w:color w:val="auto"/>
        </w:rPr>
        <w:t>Test Model have not been fully evaluated.</w:t>
      </w:r>
    </w:p>
    <w:p w:rsidR="00C14920" w:rsidRPr="00526548" w:rsidP="00B151EA" w14:paraId="5054AA66" w14:textId="77777777"/>
    <w:p w:rsidR="007B620F" w:rsidRPr="00526548" w:rsidP="00526548" w14:paraId="0DDBDAEF" w14:textId="66E30BD0">
      <w:pPr>
        <w:pStyle w:val="ListParagraph"/>
        <w:numPr>
          <w:ilvl w:val="0"/>
          <w:numId w:val="41"/>
        </w:numPr>
        <w:rPr>
          <w:rFonts w:ascii="Calibri" w:hAnsi="Calibri"/>
          <w:b/>
          <w:bCs/>
          <w:color w:val="1F497D"/>
        </w:rPr>
      </w:pPr>
      <w:r w:rsidRPr="00526548">
        <w:rPr>
          <w:rFonts w:ascii="Times New Roman" w:hAnsi="Times New Roman"/>
          <w:b/>
          <w:bCs/>
          <w:sz w:val="24"/>
          <w:szCs w:val="24"/>
        </w:rPr>
        <w:t>EFFORTS TO MINIMIZE THE BURDEN ON SMALL BUSINESSES</w:t>
      </w:r>
      <w:r w:rsidRPr="00526548" w:rsidR="00A613EE">
        <w:rPr>
          <w:rFonts w:ascii="Times New Roman" w:hAnsi="Times New Roman"/>
          <w:b/>
          <w:bCs/>
          <w:sz w:val="24"/>
          <w:szCs w:val="24"/>
        </w:rPr>
        <w:br/>
      </w:r>
    </w:p>
    <w:p w:rsidR="00A73995" w:rsidP="00515E06" w14:paraId="5BCF93F8" w14:textId="0AAC3CEE">
      <w:pPr>
        <w:ind w:left="360"/>
        <w:rPr>
          <w:rFonts w:ascii="Times New Roman" w:hAnsi="Times New Roman"/>
          <w:sz w:val="24"/>
          <w:szCs w:val="24"/>
        </w:rPr>
      </w:pPr>
      <w:r w:rsidRPr="6ABB762F">
        <w:rPr>
          <w:rFonts w:ascii="Times New Roman" w:hAnsi="Times New Roman"/>
          <w:sz w:val="24"/>
          <w:szCs w:val="24"/>
        </w:rPr>
        <w:t xml:space="preserve">Survey </w:t>
      </w:r>
      <w:r w:rsidR="00515E06">
        <w:rPr>
          <w:rFonts w:ascii="Times New Roman" w:hAnsi="Times New Roman"/>
          <w:sz w:val="24"/>
          <w:szCs w:val="24"/>
        </w:rPr>
        <w:t xml:space="preserve">respondents are part of </w:t>
      </w:r>
      <w:r w:rsidR="00B5625A">
        <w:rPr>
          <w:rFonts w:ascii="Times New Roman" w:hAnsi="Times New Roman"/>
          <w:sz w:val="24"/>
          <w:szCs w:val="24"/>
        </w:rPr>
        <w:t>S</w:t>
      </w:r>
      <w:r w:rsidR="00515E06">
        <w:rPr>
          <w:rFonts w:ascii="Times New Roman" w:hAnsi="Times New Roman"/>
          <w:sz w:val="24"/>
          <w:szCs w:val="24"/>
        </w:rPr>
        <w:t>tate</w:t>
      </w:r>
      <w:r w:rsidR="00BA70F9">
        <w:rPr>
          <w:rFonts w:ascii="Times New Roman" w:hAnsi="Times New Roman"/>
          <w:sz w:val="24"/>
          <w:szCs w:val="24"/>
        </w:rPr>
        <w:t>-</w:t>
      </w:r>
      <w:r w:rsidR="00515E06">
        <w:rPr>
          <w:rFonts w:ascii="Times New Roman" w:hAnsi="Times New Roman"/>
          <w:sz w:val="24"/>
          <w:szCs w:val="24"/>
        </w:rPr>
        <w:t>run CDL licensing agencies (SDLAs), and therefore this information collection</w:t>
      </w:r>
      <w:r w:rsidR="00AB4A8A">
        <w:rPr>
          <w:rFonts w:ascii="Times New Roman" w:hAnsi="Times New Roman"/>
          <w:sz w:val="24"/>
          <w:szCs w:val="24"/>
        </w:rPr>
        <w:t>, including the subsequent data collection tasks (i.e., database data collection and interviews/site visits)</w:t>
      </w:r>
      <w:r w:rsidR="00515E06">
        <w:rPr>
          <w:rFonts w:ascii="Times New Roman" w:hAnsi="Times New Roman"/>
          <w:sz w:val="24"/>
          <w:szCs w:val="24"/>
        </w:rPr>
        <w:t xml:space="preserve"> will not impact small businesses or small entities.</w:t>
      </w:r>
      <w:r w:rsidRPr="6ABB762F" w:rsidR="001D47EE">
        <w:rPr>
          <w:rFonts w:ascii="Times New Roman" w:hAnsi="Times New Roman"/>
          <w:sz w:val="24"/>
          <w:szCs w:val="24"/>
        </w:rPr>
        <w:t xml:space="preserve"> </w:t>
      </w:r>
    </w:p>
    <w:p w:rsidR="00D24300" w:rsidRPr="00AA1412" w:rsidP="6ABB762F" w14:paraId="456C8695" w14:textId="77777777">
      <w:pPr>
        <w:rPr>
          <w:rFonts w:ascii="Times New Roman" w:hAnsi="Times New Roman"/>
          <w:b/>
          <w:bCs/>
          <w:sz w:val="24"/>
          <w:szCs w:val="24"/>
        </w:rPr>
      </w:pPr>
    </w:p>
    <w:p w:rsidR="00C14920" w:rsidRPr="005612EB" w:rsidP="00526548" w14:paraId="39AC80D9" w14:textId="1E65A5B2">
      <w:pPr>
        <w:numPr>
          <w:ilvl w:val="0"/>
          <w:numId w:val="41"/>
        </w:numPr>
        <w:rPr>
          <w:rFonts w:ascii="Times New Roman" w:hAnsi="Times New Roman"/>
          <w:sz w:val="24"/>
          <w:szCs w:val="24"/>
        </w:rPr>
      </w:pPr>
      <w:r w:rsidRPr="6ABB762F">
        <w:rPr>
          <w:rFonts w:ascii="Times New Roman" w:hAnsi="Times New Roman"/>
          <w:b/>
          <w:bCs/>
          <w:sz w:val="24"/>
          <w:szCs w:val="24"/>
        </w:rPr>
        <w:t>IMPACT OF LESS FREQUENT COLLECTION OF INFORMATION</w:t>
      </w:r>
      <w:r>
        <w:br/>
      </w:r>
    </w:p>
    <w:p w:rsidR="00C14920" w:rsidRPr="005612EB" w:rsidP="004F33D3" w14:paraId="3C250BB1" w14:textId="7B987693">
      <w:pPr>
        <w:ind w:left="360"/>
        <w:rPr>
          <w:rFonts w:ascii="Times New Roman" w:hAnsi="Times New Roman"/>
          <w:sz w:val="24"/>
          <w:szCs w:val="24"/>
        </w:rPr>
      </w:pPr>
      <w:r>
        <w:rPr>
          <w:rFonts w:ascii="Times New Roman" w:hAnsi="Times New Roman"/>
          <w:sz w:val="24"/>
          <w:szCs w:val="24"/>
        </w:rPr>
        <w:t xml:space="preserve">This information collection will be a one-time survey conducted as part of the associated research study. The information collection will not occur on a regular or recurring basis. </w:t>
      </w:r>
      <w:r w:rsidRPr="45230092" w:rsidR="554C1EC6">
        <w:rPr>
          <w:rFonts w:ascii="Times New Roman" w:hAnsi="Times New Roman"/>
          <w:sz w:val="24"/>
          <w:szCs w:val="24"/>
        </w:rPr>
        <w:t xml:space="preserve">The results of the SDLA survey </w:t>
      </w:r>
      <w:r w:rsidR="00515E06">
        <w:rPr>
          <w:rFonts w:ascii="Times New Roman" w:hAnsi="Times New Roman"/>
          <w:sz w:val="24"/>
          <w:szCs w:val="24"/>
        </w:rPr>
        <w:t>are necessary to provide critical</w:t>
      </w:r>
      <w:r w:rsidRPr="45230092" w:rsidR="2FC6749E">
        <w:rPr>
          <w:rFonts w:ascii="Times New Roman" w:hAnsi="Times New Roman"/>
          <w:sz w:val="24"/>
          <w:szCs w:val="24"/>
        </w:rPr>
        <w:t xml:space="preserve"> information </w:t>
      </w:r>
      <w:r w:rsidR="00515E06">
        <w:rPr>
          <w:rFonts w:ascii="Times New Roman" w:hAnsi="Times New Roman"/>
          <w:sz w:val="24"/>
          <w:szCs w:val="24"/>
        </w:rPr>
        <w:t xml:space="preserve">to </w:t>
      </w:r>
      <w:r w:rsidRPr="45230092" w:rsidR="2FC6749E">
        <w:rPr>
          <w:rFonts w:ascii="Times New Roman" w:hAnsi="Times New Roman"/>
          <w:sz w:val="24"/>
          <w:szCs w:val="24"/>
        </w:rPr>
        <w:t>support the quantitative data analysis</w:t>
      </w:r>
      <w:r w:rsidR="00515E06">
        <w:rPr>
          <w:rFonts w:ascii="Times New Roman" w:hAnsi="Times New Roman"/>
          <w:sz w:val="24"/>
          <w:szCs w:val="24"/>
        </w:rPr>
        <w:t xml:space="preserve"> of already existing data</w:t>
      </w:r>
      <w:r w:rsidRPr="45230092" w:rsidR="554C1EC6">
        <w:rPr>
          <w:rFonts w:ascii="Times New Roman" w:hAnsi="Times New Roman"/>
          <w:sz w:val="24"/>
          <w:szCs w:val="24"/>
        </w:rPr>
        <w:t>. Additionally, the qualitative data gathered from jurisdictions through the SDLA surveys are vital in answering research questions 3, 7 and 8 w</w:t>
      </w:r>
      <w:r w:rsidRPr="45230092" w:rsidR="474E2269">
        <w:rPr>
          <w:rFonts w:ascii="Times New Roman" w:hAnsi="Times New Roman"/>
          <w:sz w:val="24"/>
          <w:szCs w:val="24"/>
        </w:rPr>
        <w:t>hich include:</w:t>
      </w:r>
    </w:p>
    <w:p w:rsidR="08FF0FC8" w:rsidP="08FF0FC8" w14:paraId="27819221" w14:textId="56009484">
      <w:pPr>
        <w:ind w:left="288"/>
        <w:rPr>
          <w:sz w:val="24"/>
          <w:szCs w:val="24"/>
        </w:rPr>
      </w:pPr>
    </w:p>
    <w:p w:rsidR="00C14920" w:rsidRPr="005612EB" w:rsidP="6ABB762F" w14:paraId="4F5F77D5" w14:textId="1BC3DBB3">
      <w:pPr>
        <w:pStyle w:val="ListParagraph"/>
        <w:numPr>
          <w:ilvl w:val="0"/>
          <w:numId w:val="1"/>
        </w:numPr>
        <w:rPr>
          <w:rFonts w:ascii="Times New Roman" w:hAnsi="Times New Roman"/>
          <w:color w:val="000000" w:themeColor="text1"/>
          <w:sz w:val="24"/>
          <w:szCs w:val="24"/>
        </w:rPr>
      </w:pPr>
      <w:r w:rsidRPr="6ABB762F">
        <w:rPr>
          <w:rFonts w:ascii="Times New Roman" w:hAnsi="Times New Roman"/>
          <w:color w:val="000000" w:themeColor="text1"/>
          <w:sz w:val="24"/>
          <w:szCs w:val="24"/>
        </w:rPr>
        <w:t>Would it be feasible to condu</w:t>
      </w:r>
      <w:r w:rsidRPr="6ABB762F">
        <w:rPr>
          <w:rFonts w:ascii="Times New Roman" w:hAnsi="Times New Roman"/>
          <w:color w:val="000000" w:themeColor="text1"/>
          <w:sz w:val="24"/>
          <w:szCs w:val="24"/>
        </w:rPr>
        <w:t>ct a future study on the safety impacts of delegating CDL knowledge testing to third-party testers based on available data?</w:t>
      </w:r>
    </w:p>
    <w:p w:rsidR="00C14920" w:rsidRPr="005612EB" w:rsidP="6ABB762F" w14:paraId="2C7CC483" w14:textId="39122769">
      <w:pPr>
        <w:pStyle w:val="ListParagraph"/>
        <w:numPr>
          <w:ilvl w:val="0"/>
          <w:numId w:val="1"/>
        </w:numPr>
        <w:rPr>
          <w:rFonts w:ascii="Times New Roman" w:hAnsi="Times New Roman"/>
          <w:color w:val="000000" w:themeColor="text1"/>
          <w:sz w:val="24"/>
          <w:szCs w:val="24"/>
        </w:rPr>
      </w:pPr>
      <w:r w:rsidRPr="6ABB762F">
        <w:rPr>
          <w:rFonts w:ascii="Times New Roman" w:hAnsi="Times New Roman"/>
          <w:color w:val="000000" w:themeColor="text1"/>
          <w:sz w:val="24"/>
          <w:szCs w:val="24"/>
        </w:rPr>
        <w:t xml:space="preserve">Are there identifiable safety benefits that have been realized by the adoption of the 2005 AAMVA CDL Test Model? </w:t>
      </w:r>
    </w:p>
    <w:p w:rsidR="00C14920" w:rsidRPr="000D16B6" w:rsidP="6ABB762F" w14:paraId="01E74319" w14:textId="10153201">
      <w:pPr>
        <w:pStyle w:val="ListParagraph"/>
        <w:numPr>
          <w:ilvl w:val="0"/>
          <w:numId w:val="1"/>
        </w:numPr>
        <w:rPr>
          <w:color w:val="000000" w:themeColor="text1"/>
          <w:sz w:val="24"/>
          <w:szCs w:val="24"/>
        </w:rPr>
      </w:pPr>
      <w:r w:rsidRPr="6ABB762F">
        <w:rPr>
          <w:rFonts w:ascii="Times New Roman" w:hAnsi="Times New Roman"/>
          <w:color w:val="000000" w:themeColor="text1"/>
          <w:sz w:val="24"/>
          <w:szCs w:val="24"/>
        </w:rPr>
        <w:t xml:space="preserve">Are there </w:t>
      </w:r>
      <w:r w:rsidRPr="6ABB762F">
        <w:rPr>
          <w:rFonts w:ascii="Times New Roman" w:hAnsi="Times New Roman"/>
          <w:color w:val="000000" w:themeColor="text1"/>
          <w:sz w:val="24"/>
          <w:szCs w:val="24"/>
        </w:rPr>
        <w:t>external factors preventing SDLAs and the CDL community from achieving the full potential of safety benefits of the 2005 AAMVA CDL Test Model?</w:t>
      </w:r>
    </w:p>
    <w:p w:rsidR="000D16B6" w:rsidP="000D16B6" w14:paraId="182BFB3A" w14:textId="17847A6B">
      <w:pPr>
        <w:rPr>
          <w:color w:val="000000" w:themeColor="text1"/>
          <w:sz w:val="24"/>
          <w:szCs w:val="24"/>
        </w:rPr>
      </w:pPr>
    </w:p>
    <w:p w:rsidR="000D16B6" w:rsidRPr="00B151EA" w:rsidP="00B57147" w14:paraId="50590F2C" w14:textId="2328B2CA">
      <w:pPr>
        <w:ind w:left="360"/>
        <w:rPr>
          <w:rFonts w:ascii="Times New Roman" w:hAnsi="Times New Roman"/>
          <w:color w:val="000000" w:themeColor="text1"/>
          <w:sz w:val="24"/>
          <w:szCs w:val="24"/>
        </w:rPr>
      </w:pPr>
      <w:r w:rsidRPr="00B151EA">
        <w:rPr>
          <w:rFonts w:ascii="Times New Roman" w:hAnsi="Times New Roman"/>
          <w:color w:val="000000" w:themeColor="text1"/>
          <w:sz w:val="24"/>
          <w:szCs w:val="24"/>
        </w:rPr>
        <w:t xml:space="preserve">The follow-on data collection activities (i.e., database data collection and interviews/site visits) are </w:t>
      </w:r>
      <w:r w:rsidRPr="00B151EA">
        <w:rPr>
          <w:rFonts w:ascii="Times New Roman" w:hAnsi="Times New Roman"/>
          <w:color w:val="000000" w:themeColor="text1"/>
          <w:sz w:val="24"/>
          <w:szCs w:val="24"/>
        </w:rPr>
        <w:t>also intended to be on</w:t>
      </w:r>
      <w:r w:rsidR="00AB6AA5">
        <w:rPr>
          <w:rFonts w:ascii="Times New Roman" w:hAnsi="Times New Roman"/>
          <w:color w:val="000000" w:themeColor="text1"/>
          <w:sz w:val="24"/>
          <w:szCs w:val="24"/>
        </w:rPr>
        <w:t>e</w:t>
      </w:r>
      <w:r w:rsidRPr="00B151EA">
        <w:rPr>
          <w:rFonts w:ascii="Times New Roman" w:hAnsi="Times New Roman"/>
          <w:color w:val="000000" w:themeColor="text1"/>
          <w:sz w:val="24"/>
          <w:szCs w:val="24"/>
        </w:rPr>
        <w:t xml:space="preserve">-time collection efforts that will not occur on a regular or recurring basis. Although the site visits with four of the participating </w:t>
      </w:r>
      <w:r w:rsidR="00B5625A">
        <w:rPr>
          <w:rFonts w:ascii="Times New Roman" w:hAnsi="Times New Roman"/>
          <w:color w:val="000000" w:themeColor="text1"/>
          <w:sz w:val="24"/>
          <w:szCs w:val="24"/>
        </w:rPr>
        <w:t>S</w:t>
      </w:r>
      <w:r w:rsidRPr="00B151EA">
        <w:rPr>
          <w:rFonts w:ascii="Times New Roman" w:hAnsi="Times New Roman"/>
          <w:color w:val="000000" w:themeColor="text1"/>
          <w:sz w:val="24"/>
          <w:szCs w:val="24"/>
        </w:rPr>
        <w:t xml:space="preserve">tates </w:t>
      </w:r>
      <w:r w:rsidR="002523BC">
        <w:rPr>
          <w:rFonts w:ascii="Times New Roman" w:hAnsi="Times New Roman"/>
          <w:color w:val="000000" w:themeColor="text1"/>
          <w:sz w:val="24"/>
          <w:szCs w:val="24"/>
        </w:rPr>
        <w:t>are</w:t>
      </w:r>
      <w:r w:rsidRPr="00B151EA">
        <w:rPr>
          <w:rFonts w:ascii="Times New Roman" w:hAnsi="Times New Roman"/>
          <w:color w:val="000000" w:themeColor="text1"/>
          <w:sz w:val="24"/>
          <w:szCs w:val="24"/>
        </w:rPr>
        <w:t xml:space="preserve"> expected to span up to </w:t>
      </w:r>
      <w:r w:rsidR="008F4635">
        <w:rPr>
          <w:rFonts w:ascii="Times New Roman" w:hAnsi="Times New Roman"/>
          <w:color w:val="000000" w:themeColor="text1"/>
          <w:sz w:val="24"/>
          <w:szCs w:val="24"/>
        </w:rPr>
        <w:t xml:space="preserve">3 </w:t>
      </w:r>
      <w:r w:rsidRPr="00B151EA">
        <w:rPr>
          <w:rFonts w:ascii="Times New Roman" w:hAnsi="Times New Roman"/>
          <w:color w:val="000000" w:themeColor="text1"/>
          <w:sz w:val="24"/>
          <w:szCs w:val="24"/>
        </w:rPr>
        <w:t xml:space="preserve">consecutive days, </w:t>
      </w:r>
      <w:r w:rsidRPr="00B151EA" w:rsidR="00343DB5">
        <w:rPr>
          <w:rFonts w:ascii="Times New Roman" w:hAnsi="Times New Roman"/>
          <w:color w:val="000000" w:themeColor="text1"/>
          <w:sz w:val="24"/>
          <w:szCs w:val="24"/>
        </w:rPr>
        <w:t xml:space="preserve">this amount of time is necessary for conducting informal conversations with examiners and SDLA personnel and observing CDL tests conducted by third-party and </w:t>
      </w:r>
      <w:r w:rsidR="00B5625A">
        <w:rPr>
          <w:rFonts w:ascii="Times New Roman" w:hAnsi="Times New Roman"/>
          <w:color w:val="000000" w:themeColor="text1"/>
          <w:sz w:val="24"/>
          <w:szCs w:val="24"/>
        </w:rPr>
        <w:t>S</w:t>
      </w:r>
      <w:r w:rsidRPr="00B151EA" w:rsidR="00343DB5">
        <w:rPr>
          <w:rFonts w:ascii="Times New Roman" w:hAnsi="Times New Roman"/>
          <w:color w:val="000000" w:themeColor="text1"/>
          <w:sz w:val="24"/>
          <w:szCs w:val="24"/>
        </w:rPr>
        <w:t>tate examiners.</w:t>
      </w:r>
    </w:p>
    <w:p w:rsidR="00C14920" w:rsidRPr="005612EB" w:rsidP="00B57147" w14:paraId="0751FEA7" w14:textId="60F2FFCC">
      <w:pPr>
        <w:ind w:left="360"/>
        <w:rPr>
          <w:sz w:val="24"/>
          <w:szCs w:val="24"/>
        </w:rPr>
      </w:pPr>
    </w:p>
    <w:p w:rsidR="00C14920" w:rsidRPr="005612EB" w:rsidP="00B57147" w14:paraId="49B6972E" w14:textId="5BD1FC3C">
      <w:pPr>
        <w:ind w:left="360"/>
        <w:rPr>
          <w:rFonts w:ascii="Times New Roman" w:hAnsi="Times New Roman"/>
          <w:sz w:val="24"/>
          <w:szCs w:val="24"/>
        </w:rPr>
      </w:pPr>
      <w:r w:rsidRPr="45230092">
        <w:rPr>
          <w:rFonts w:ascii="Times New Roman" w:hAnsi="Times New Roman"/>
          <w:sz w:val="24"/>
          <w:szCs w:val="24"/>
        </w:rPr>
        <w:t>If th</w:t>
      </w:r>
      <w:r w:rsidR="00515E06">
        <w:rPr>
          <w:rFonts w:ascii="Times New Roman" w:hAnsi="Times New Roman"/>
          <w:sz w:val="24"/>
          <w:szCs w:val="24"/>
        </w:rPr>
        <w:t xml:space="preserve">is information collection is </w:t>
      </w:r>
      <w:r w:rsidRPr="45230092">
        <w:rPr>
          <w:rFonts w:ascii="Times New Roman" w:hAnsi="Times New Roman"/>
          <w:sz w:val="24"/>
          <w:szCs w:val="24"/>
        </w:rPr>
        <w:t xml:space="preserve">not conducted, </w:t>
      </w:r>
      <w:r w:rsidRPr="45230092" w:rsidR="58784D6B">
        <w:rPr>
          <w:rFonts w:ascii="Times New Roman" w:hAnsi="Times New Roman"/>
          <w:sz w:val="24"/>
          <w:szCs w:val="24"/>
        </w:rPr>
        <w:t xml:space="preserve">the </w:t>
      </w:r>
      <w:r w:rsidR="004F33D3">
        <w:rPr>
          <w:rFonts w:ascii="Times New Roman" w:hAnsi="Times New Roman"/>
          <w:sz w:val="24"/>
          <w:szCs w:val="24"/>
        </w:rPr>
        <w:t>r</w:t>
      </w:r>
      <w:r w:rsidRPr="45230092" w:rsidR="004F33D3">
        <w:rPr>
          <w:rFonts w:ascii="Times New Roman" w:hAnsi="Times New Roman"/>
          <w:sz w:val="24"/>
          <w:szCs w:val="24"/>
        </w:rPr>
        <w:t xml:space="preserve">esearch </w:t>
      </w:r>
      <w:r w:rsidR="004F33D3">
        <w:rPr>
          <w:rFonts w:ascii="Times New Roman" w:hAnsi="Times New Roman"/>
          <w:sz w:val="24"/>
          <w:szCs w:val="24"/>
        </w:rPr>
        <w:t>t</w:t>
      </w:r>
      <w:r w:rsidRPr="45230092" w:rsidR="58784D6B">
        <w:rPr>
          <w:rFonts w:ascii="Times New Roman" w:hAnsi="Times New Roman"/>
          <w:sz w:val="24"/>
          <w:szCs w:val="24"/>
        </w:rPr>
        <w:t xml:space="preserve">eam will not be able to </w:t>
      </w:r>
      <w:r w:rsidRPr="45230092" w:rsidR="58784D6B">
        <w:rPr>
          <w:rFonts w:ascii="Times New Roman" w:hAnsi="Times New Roman"/>
          <w:sz w:val="24"/>
          <w:szCs w:val="24"/>
        </w:rPr>
        <w:t>sufficiently address these research questions and the</w:t>
      </w:r>
      <w:r w:rsidR="00515E06">
        <w:rPr>
          <w:rFonts w:ascii="Times New Roman" w:hAnsi="Times New Roman"/>
          <w:sz w:val="24"/>
          <w:szCs w:val="24"/>
        </w:rPr>
        <w:t>refore the</w:t>
      </w:r>
      <w:r w:rsidRPr="45230092" w:rsidR="58784D6B">
        <w:rPr>
          <w:rFonts w:ascii="Times New Roman" w:hAnsi="Times New Roman"/>
          <w:sz w:val="24"/>
          <w:szCs w:val="24"/>
        </w:rPr>
        <w:t xml:space="preserve"> overall project objectives</w:t>
      </w:r>
      <w:r w:rsidR="00515E06">
        <w:rPr>
          <w:rFonts w:ascii="Times New Roman" w:hAnsi="Times New Roman"/>
          <w:sz w:val="24"/>
          <w:szCs w:val="24"/>
        </w:rPr>
        <w:t xml:space="preserve"> would not be met</w:t>
      </w:r>
      <w:r w:rsidRPr="45230092" w:rsidR="58784D6B">
        <w:rPr>
          <w:rFonts w:ascii="Times New Roman" w:hAnsi="Times New Roman"/>
          <w:sz w:val="24"/>
          <w:szCs w:val="24"/>
        </w:rPr>
        <w:t>.</w:t>
      </w:r>
      <w:r w:rsidRPr="45230092" w:rsidR="17B18116">
        <w:rPr>
          <w:rFonts w:ascii="Times New Roman" w:hAnsi="Times New Roman"/>
          <w:sz w:val="24"/>
          <w:szCs w:val="24"/>
        </w:rPr>
        <w:t xml:space="preserve"> </w:t>
      </w:r>
    </w:p>
    <w:p w:rsidR="008E4E78" w:rsidRPr="005612EB" w:rsidP="6ABB762F" w14:paraId="7CD2A53C" w14:textId="77777777">
      <w:pPr>
        <w:rPr>
          <w:rFonts w:ascii="Times New Roman" w:hAnsi="Times New Roman"/>
          <w:b/>
          <w:bCs/>
          <w:sz w:val="24"/>
          <w:szCs w:val="24"/>
        </w:rPr>
      </w:pPr>
    </w:p>
    <w:p w:rsidR="009E6323" w:rsidP="00526548" w14:paraId="735B3768" w14:textId="3DD24275">
      <w:pPr>
        <w:numPr>
          <w:ilvl w:val="0"/>
          <w:numId w:val="41"/>
        </w:numPr>
        <w:rPr>
          <w:rFonts w:ascii="Times New Roman" w:hAnsi="Times New Roman"/>
          <w:b/>
          <w:bCs/>
          <w:sz w:val="24"/>
          <w:szCs w:val="24"/>
        </w:rPr>
      </w:pPr>
      <w:r w:rsidRPr="6ABB762F">
        <w:rPr>
          <w:rFonts w:ascii="Times New Roman" w:hAnsi="Times New Roman"/>
          <w:b/>
          <w:bCs/>
          <w:sz w:val="24"/>
          <w:szCs w:val="24"/>
        </w:rPr>
        <w:t>SPECIAL CIRCUMSTANCES</w:t>
      </w:r>
      <w:r w:rsidRPr="6ABB762F" w:rsidR="00470720">
        <w:rPr>
          <w:rFonts w:ascii="Times New Roman" w:hAnsi="Times New Roman"/>
          <w:b/>
          <w:bCs/>
        </w:rPr>
        <w:t xml:space="preserve">  </w:t>
      </w:r>
      <w:r>
        <w:br/>
      </w:r>
    </w:p>
    <w:p w:rsidR="009E6323" w:rsidP="6ABB762F" w14:paraId="0D6988BF" w14:textId="77777777">
      <w:pPr>
        <w:ind w:left="360"/>
        <w:rPr>
          <w:rFonts w:ascii="Times New Roman" w:hAnsi="Times New Roman"/>
          <w:sz w:val="24"/>
          <w:szCs w:val="24"/>
        </w:rPr>
      </w:pPr>
      <w:r w:rsidRPr="6ABB762F">
        <w:rPr>
          <w:rFonts w:ascii="Times New Roman" w:hAnsi="Times New Roman"/>
          <w:sz w:val="24"/>
          <w:szCs w:val="24"/>
        </w:rPr>
        <w:t xml:space="preserve">There are no special circumstances that would cause this collection to be conducted in a manner inconsistent with OMB guidelines. </w:t>
      </w:r>
    </w:p>
    <w:p w:rsidR="009E6323" w:rsidRPr="007157DA" w:rsidP="009E6323" w14:paraId="24AFB385" w14:textId="77777777">
      <w:pPr>
        <w:ind w:left="360"/>
        <w:rPr>
          <w:rFonts w:ascii="Times New Roman" w:hAnsi="Times New Roman"/>
          <w:sz w:val="24"/>
          <w:szCs w:val="24"/>
        </w:rPr>
      </w:pPr>
    </w:p>
    <w:p w:rsidR="009E6323" w:rsidP="00526548" w14:paraId="2FCB196E" w14:textId="21DF946F">
      <w:pPr>
        <w:numPr>
          <w:ilvl w:val="0"/>
          <w:numId w:val="41"/>
        </w:numPr>
        <w:rPr>
          <w:rFonts w:ascii="Times New Roman" w:hAnsi="Times New Roman"/>
          <w:b/>
          <w:bCs/>
        </w:rPr>
      </w:pPr>
      <w:r w:rsidRPr="45230092">
        <w:rPr>
          <w:rFonts w:ascii="Times New Roman" w:hAnsi="Times New Roman"/>
          <w:b/>
          <w:bCs/>
          <w:sz w:val="24"/>
          <w:szCs w:val="24"/>
        </w:rPr>
        <w:t>COMPLIANCE WITH</w:t>
      </w:r>
      <w:r w:rsidRPr="45230092">
        <w:rPr>
          <w:rFonts w:ascii="Times New Roman" w:hAnsi="Times New Roman"/>
          <w:b/>
          <w:bCs/>
          <w:sz w:val="24"/>
          <w:szCs w:val="24"/>
        </w:rPr>
        <w:t xml:space="preserve"> 5 CFR 1320.8</w:t>
      </w:r>
      <w:r w:rsidRPr="45230092" w:rsidR="0004749E">
        <w:rPr>
          <w:rFonts w:ascii="Times New Roman" w:hAnsi="Times New Roman"/>
          <w:sz w:val="24"/>
          <w:szCs w:val="24"/>
        </w:rPr>
        <w:t>:</w:t>
      </w:r>
      <w:r w:rsidRPr="45230092" w:rsidR="00470720">
        <w:rPr>
          <w:rFonts w:ascii="Times New Roman" w:hAnsi="Times New Roman"/>
          <w:b/>
          <w:bCs/>
        </w:rPr>
        <w:t xml:space="preserve">  </w:t>
      </w:r>
      <w:r>
        <w:br/>
      </w:r>
    </w:p>
    <w:p w:rsidR="00715BEF" w:rsidRPr="00715BEF" w:rsidP="00715BEF" w14:paraId="08B76817" w14:textId="16843220">
      <w:pPr>
        <w:pStyle w:val="BodyText3"/>
        <w:ind w:left="360"/>
        <w:rPr>
          <w:rFonts w:ascii="Times New Roman" w:hAnsi="Times New Roman"/>
          <w:color w:val="auto"/>
        </w:rPr>
      </w:pPr>
      <w:r w:rsidRPr="1979765D">
        <w:rPr>
          <w:rFonts w:ascii="Times New Roman" w:hAnsi="Times New Roman"/>
          <w:color w:val="auto"/>
        </w:rPr>
        <w:t xml:space="preserve">FMCSA published a notice to the </w:t>
      </w:r>
      <w:r w:rsidRPr="1979765D">
        <w:rPr>
          <w:rFonts w:ascii="Times New Roman" w:hAnsi="Times New Roman"/>
          <w:i/>
          <w:iCs/>
          <w:color w:val="auto"/>
        </w:rPr>
        <w:t>Federal Register</w:t>
      </w:r>
      <w:r w:rsidRPr="1979765D">
        <w:rPr>
          <w:rFonts w:ascii="Times New Roman" w:hAnsi="Times New Roman"/>
          <w:color w:val="auto"/>
        </w:rPr>
        <w:t xml:space="preserve"> with a 60-day public comment period to announce this proposed information collection on </w:t>
      </w:r>
      <w:r w:rsidR="00C972E8">
        <w:rPr>
          <w:rFonts w:ascii="Times New Roman" w:hAnsi="Times New Roman"/>
          <w:color w:val="auto"/>
        </w:rPr>
        <w:t>September 21, 2022</w:t>
      </w:r>
      <w:r w:rsidRPr="1979765D">
        <w:rPr>
          <w:rFonts w:ascii="Times New Roman" w:hAnsi="Times New Roman"/>
          <w:color w:val="auto"/>
        </w:rPr>
        <w:t xml:space="preserve"> (Volume </w:t>
      </w:r>
      <w:r w:rsidR="00C972E8">
        <w:rPr>
          <w:rFonts w:ascii="Times New Roman" w:hAnsi="Times New Roman"/>
          <w:color w:val="auto"/>
        </w:rPr>
        <w:t>87</w:t>
      </w:r>
      <w:r w:rsidRPr="1979765D">
        <w:rPr>
          <w:rFonts w:ascii="Times New Roman" w:hAnsi="Times New Roman"/>
          <w:color w:val="auto"/>
        </w:rPr>
        <w:t xml:space="preserve">, </w:t>
      </w:r>
      <w:r w:rsidR="0081389E">
        <w:rPr>
          <w:rFonts w:ascii="Times New Roman" w:hAnsi="Times New Roman"/>
          <w:color w:val="auto"/>
        </w:rPr>
        <w:t>FR</w:t>
      </w:r>
      <w:r w:rsidRPr="1979765D">
        <w:rPr>
          <w:rFonts w:ascii="Times New Roman" w:hAnsi="Times New Roman"/>
          <w:color w:val="auto"/>
        </w:rPr>
        <w:t xml:space="preserve">, pages </w:t>
      </w:r>
      <w:r w:rsidR="00C972E8">
        <w:rPr>
          <w:rFonts w:ascii="Times New Roman" w:hAnsi="Times New Roman"/>
          <w:color w:val="auto"/>
        </w:rPr>
        <w:t>57748</w:t>
      </w:r>
      <w:r w:rsidRPr="1979765D">
        <w:rPr>
          <w:rFonts w:ascii="Times New Roman" w:hAnsi="Times New Roman"/>
          <w:color w:val="auto"/>
        </w:rPr>
        <w:t>-</w:t>
      </w:r>
      <w:r w:rsidR="00C972E8">
        <w:rPr>
          <w:rFonts w:ascii="Times New Roman" w:hAnsi="Times New Roman"/>
          <w:color w:val="auto"/>
        </w:rPr>
        <w:t>57750</w:t>
      </w:r>
      <w:r w:rsidRPr="1979765D">
        <w:rPr>
          <w:rFonts w:ascii="Times New Roman" w:hAnsi="Times New Roman"/>
          <w:color w:val="auto"/>
        </w:rPr>
        <w:t>). It is attached as Appendix B-1.</w:t>
      </w:r>
      <w:r>
        <w:rPr>
          <w:rFonts w:ascii="Times New Roman" w:hAnsi="Times New Roman"/>
          <w:color w:val="auto"/>
        </w:rPr>
        <w:t xml:space="preserve"> </w:t>
      </w:r>
      <w:r w:rsidRPr="00715BEF">
        <w:rPr>
          <w:rFonts w:ascii="Times New Roman" w:hAnsi="Times New Roman"/>
          <w:color w:val="auto"/>
        </w:rPr>
        <w:t xml:space="preserve">FMCSA </w:t>
      </w:r>
      <w:r w:rsidRPr="00715BEF">
        <w:rPr>
          <w:rFonts w:ascii="Times New Roman" w:hAnsi="Times New Roman"/>
          <w:color w:val="auto"/>
        </w:rPr>
        <w:t>received five comments</w:t>
      </w:r>
      <w:r>
        <w:rPr>
          <w:rFonts w:ascii="Times New Roman" w:hAnsi="Times New Roman"/>
          <w:color w:val="auto"/>
        </w:rPr>
        <w:t xml:space="preserve"> on the </w:t>
      </w:r>
      <w:r w:rsidR="004C45CF">
        <w:rPr>
          <w:rFonts w:ascii="Times New Roman" w:hAnsi="Times New Roman"/>
          <w:color w:val="auto"/>
        </w:rPr>
        <w:t>60-day notice.</w:t>
      </w:r>
      <w:r w:rsidRPr="00715BEF">
        <w:rPr>
          <w:rFonts w:ascii="Times New Roman" w:hAnsi="Times New Roman"/>
          <w:color w:val="auto"/>
        </w:rPr>
        <w:t xml:space="preserve"> Below are summaries of the comments received, along with FMCSA’s responses. </w:t>
      </w:r>
    </w:p>
    <w:p w:rsidR="00715BEF" w:rsidP="00715BEF" w14:paraId="3306B101" w14:textId="77777777">
      <w:pPr>
        <w:pStyle w:val="BodyText3"/>
        <w:ind w:left="360"/>
        <w:rPr>
          <w:rFonts w:ascii="Times New Roman" w:hAnsi="Times New Roman"/>
          <w:color w:val="auto"/>
        </w:rPr>
      </w:pPr>
    </w:p>
    <w:p w:rsidR="00715BEF" w:rsidRPr="004C45CF" w:rsidP="00805B45" w14:paraId="18D4E87F" w14:textId="02766084">
      <w:pPr>
        <w:pStyle w:val="BodyText3"/>
        <w:tabs>
          <w:tab w:val="clear" w:pos="288"/>
          <w:tab w:val="left" w:pos="540"/>
        </w:tabs>
        <w:ind w:left="360"/>
        <w:rPr>
          <w:rFonts w:ascii="Times New Roman" w:hAnsi="Times New Roman"/>
          <w:b/>
          <w:bCs/>
          <w:i/>
          <w:iCs/>
          <w:color w:val="auto"/>
        </w:rPr>
      </w:pPr>
      <w:r w:rsidRPr="004C45CF">
        <w:rPr>
          <w:rFonts w:ascii="Times New Roman" w:hAnsi="Times New Roman"/>
          <w:b/>
          <w:bCs/>
          <w:i/>
          <w:iCs/>
          <w:color w:val="auto"/>
        </w:rPr>
        <w:t>Iowa Department of Transportation (DOT)</w:t>
      </w:r>
    </w:p>
    <w:p w:rsidR="00715BEF" w:rsidP="00805B45" w14:paraId="2CB5BD79" w14:textId="77777777">
      <w:pPr>
        <w:pStyle w:val="BodyText3"/>
        <w:tabs>
          <w:tab w:val="clear" w:pos="288"/>
          <w:tab w:val="left" w:pos="540"/>
        </w:tabs>
        <w:ind w:left="360"/>
        <w:rPr>
          <w:rFonts w:ascii="Times New Roman" w:hAnsi="Times New Roman"/>
          <w:color w:val="auto"/>
        </w:rPr>
      </w:pPr>
    </w:p>
    <w:p w:rsidR="00715BEF" w:rsidRPr="00715BEF" w:rsidP="00805B45" w14:paraId="2F815CD5" w14:textId="4C30C79B">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Comments:</w:t>
      </w:r>
      <w:r>
        <w:rPr>
          <w:rFonts w:ascii="Times New Roman" w:hAnsi="Times New Roman"/>
          <w:color w:val="auto"/>
        </w:rPr>
        <w:t xml:space="preserve"> </w:t>
      </w:r>
      <w:r w:rsidRPr="00715BEF">
        <w:rPr>
          <w:rFonts w:ascii="Times New Roman" w:hAnsi="Times New Roman"/>
          <w:color w:val="auto"/>
        </w:rPr>
        <w:t xml:space="preserve">Overall, the Iowa DOT was supportive of the study. </w:t>
      </w:r>
      <w:r w:rsidRPr="00BC7D42" w:rsidR="00BC7D42">
        <w:rPr>
          <w:rFonts w:ascii="Times New Roman" w:hAnsi="Times New Roman"/>
          <w:color w:val="auto"/>
        </w:rPr>
        <w:t>They raised concerns over a reference in the 60-day notice to SDLA challenges associated with maintaining proper oversight of third-party training providers</w:t>
      </w:r>
      <w:r w:rsidR="005733ED">
        <w:rPr>
          <w:rFonts w:ascii="Times New Roman" w:hAnsi="Times New Roman"/>
          <w:color w:val="auto"/>
        </w:rPr>
        <w:t xml:space="preserve"> and</w:t>
      </w:r>
      <w:r w:rsidRPr="00BC7D42" w:rsidR="00BC7D42">
        <w:rPr>
          <w:rFonts w:ascii="Times New Roman" w:hAnsi="Times New Roman"/>
          <w:color w:val="auto"/>
        </w:rPr>
        <w:t xml:space="preserve"> allocating resources to ensure third-party training providers’ self-certifications are accurate and meet all requirements (87 FR 57748, 57749-50)</w:t>
      </w:r>
      <w:r w:rsidRPr="00715BEF">
        <w:rPr>
          <w:rFonts w:ascii="Times New Roman" w:hAnsi="Times New Roman"/>
          <w:color w:val="auto"/>
        </w:rPr>
        <w:t>. The Iowa DOT stated that it is not a requirement for SDLAs to audit or oversee the training provided by ELDT providers. Separately, the Iowa DOT raised q</w:t>
      </w:r>
      <w:r w:rsidRPr="00715BEF">
        <w:rPr>
          <w:rFonts w:ascii="Times New Roman" w:hAnsi="Times New Roman"/>
          <w:color w:val="auto"/>
        </w:rPr>
        <w:t xml:space="preserve">uestions about the objectives of the planned research effort, the availability of necessary data to assess the effectiveness of ELDT and the 2005 AAMVA CDL Test Model, and the ability of States to provide specific data fields from driving history records. </w:t>
      </w:r>
      <w:r w:rsidRPr="00715BEF">
        <w:rPr>
          <w:rFonts w:ascii="Times New Roman" w:hAnsi="Times New Roman"/>
          <w:color w:val="auto"/>
        </w:rPr>
        <w:t>The Iowa DOT also recommended future ELDT-related research topics.</w:t>
      </w:r>
    </w:p>
    <w:p w:rsidR="00715BEF" w:rsidP="00805B45" w14:paraId="5D679387" w14:textId="77777777">
      <w:pPr>
        <w:pStyle w:val="BodyText3"/>
        <w:tabs>
          <w:tab w:val="clear" w:pos="288"/>
          <w:tab w:val="left" w:pos="540"/>
        </w:tabs>
        <w:ind w:left="360"/>
        <w:rPr>
          <w:rFonts w:ascii="Times New Roman" w:hAnsi="Times New Roman"/>
          <w:color w:val="auto"/>
        </w:rPr>
      </w:pPr>
    </w:p>
    <w:p w:rsidR="00715BEF" w:rsidRPr="00715BEF" w:rsidP="00805B45" w14:paraId="10D332DF" w14:textId="488FD967">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Agency Response:</w:t>
      </w:r>
      <w:r w:rsidRPr="00715BEF">
        <w:rPr>
          <w:rFonts w:ascii="Times New Roman" w:hAnsi="Times New Roman"/>
          <w:color w:val="auto"/>
        </w:rPr>
        <w:t xml:space="preserve"> FMCSA or its authorized representative will audit ELDT providers’ training operations</w:t>
      </w:r>
      <w:r w:rsidR="00C769A9">
        <w:rPr>
          <w:rFonts w:ascii="Times New Roman" w:hAnsi="Times New Roman"/>
          <w:color w:val="auto"/>
        </w:rPr>
        <w:t xml:space="preserve"> in accordance with 49 CFR part 380</w:t>
      </w:r>
      <w:r w:rsidRPr="00715BEF">
        <w:rPr>
          <w:rFonts w:ascii="Times New Roman" w:hAnsi="Times New Roman"/>
          <w:color w:val="auto"/>
        </w:rPr>
        <w:t xml:space="preserve">, to ensure providers are meeting the criteria set </w:t>
      </w:r>
      <w:r w:rsidRPr="00715BEF">
        <w:rPr>
          <w:rFonts w:ascii="Times New Roman" w:hAnsi="Times New Roman"/>
          <w:color w:val="auto"/>
        </w:rPr>
        <w:t xml:space="preserve">forth in the regulation. </w:t>
      </w:r>
      <w:r w:rsidR="0077463E">
        <w:rPr>
          <w:rFonts w:ascii="Times New Roman" w:hAnsi="Times New Roman"/>
          <w:color w:val="auto"/>
        </w:rPr>
        <w:t xml:space="preserve">Separately, </w:t>
      </w:r>
      <w:r w:rsidRPr="00715BEF">
        <w:rPr>
          <w:rFonts w:ascii="Times New Roman" w:hAnsi="Times New Roman"/>
          <w:color w:val="auto"/>
        </w:rPr>
        <w:t xml:space="preserve">49 CFR 383.73(p) </w:t>
      </w:r>
      <w:r w:rsidR="0077463E">
        <w:rPr>
          <w:rFonts w:ascii="Times New Roman" w:hAnsi="Times New Roman"/>
          <w:color w:val="auto"/>
        </w:rPr>
        <w:t>states</w:t>
      </w:r>
      <w:r w:rsidRPr="00715BEF" w:rsidR="0077463E">
        <w:rPr>
          <w:rFonts w:ascii="Times New Roman" w:hAnsi="Times New Roman"/>
          <w:color w:val="auto"/>
        </w:rPr>
        <w:t xml:space="preserve"> </w:t>
      </w:r>
      <w:r w:rsidRPr="00715BEF">
        <w:rPr>
          <w:rFonts w:ascii="Times New Roman" w:hAnsi="Times New Roman"/>
          <w:color w:val="auto"/>
        </w:rPr>
        <w:t>that after February 7, 2022, States must notify FMCSA that a training provider in the State does not meet applicable State requirements for CMV instruction. While States are not required to activ</w:t>
      </w:r>
      <w:r w:rsidRPr="00715BEF">
        <w:rPr>
          <w:rFonts w:ascii="Times New Roman" w:hAnsi="Times New Roman"/>
          <w:color w:val="auto"/>
        </w:rPr>
        <w:t>ely investigate training providers, when a State does become aware that a training provider conducting training in their State does not meet applicable State requirements for CMV instruction, the State is required to notify FMCSA. Thus, if a State has requ</w:t>
      </w:r>
      <w:r w:rsidRPr="00715BEF">
        <w:rPr>
          <w:rFonts w:ascii="Times New Roman" w:hAnsi="Times New Roman"/>
          <w:color w:val="auto"/>
        </w:rPr>
        <w:t>irements for CMV instruction (for example, if a State requires training providers to provide a minimum number of hours of behind-the-wheel training), the State is responsible for ensuring ELDT providers in the State are meeting those requirements. If an EL</w:t>
      </w:r>
      <w:r w:rsidRPr="00715BEF">
        <w:rPr>
          <w:rFonts w:ascii="Times New Roman" w:hAnsi="Times New Roman"/>
          <w:color w:val="auto"/>
        </w:rPr>
        <w:t xml:space="preserve">DT provider is not meeting the State’s CMV instruction requirements, the State must notify FMCSA. FMCSA has adjusted the wording in </w:t>
      </w:r>
      <w:r w:rsidR="00930999">
        <w:rPr>
          <w:rFonts w:ascii="Times New Roman" w:hAnsi="Times New Roman"/>
          <w:color w:val="auto"/>
        </w:rPr>
        <w:t>[the 30-day]</w:t>
      </w:r>
      <w:r w:rsidRPr="00715BEF" w:rsidR="00930999">
        <w:rPr>
          <w:rFonts w:ascii="Times New Roman" w:hAnsi="Times New Roman"/>
          <w:color w:val="auto"/>
        </w:rPr>
        <w:t xml:space="preserve"> </w:t>
      </w:r>
      <w:r w:rsidRPr="00715BEF">
        <w:rPr>
          <w:rFonts w:ascii="Times New Roman" w:hAnsi="Times New Roman"/>
          <w:color w:val="auto"/>
        </w:rPr>
        <w:t xml:space="preserve">notice to improve clarity around this issue. </w:t>
      </w:r>
    </w:p>
    <w:p w:rsidR="00715BEF" w:rsidRPr="00715BEF" w:rsidP="00805B45" w14:paraId="1153402C" w14:textId="77777777">
      <w:pPr>
        <w:pStyle w:val="BodyText3"/>
        <w:tabs>
          <w:tab w:val="clear" w:pos="288"/>
          <w:tab w:val="left" w:pos="540"/>
        </w:tabs>
        <w:ind w:left="360"/>
        <w:rPr>
          <w:rFonts w:ascii="Times New Roman" w:hAnsi="Times New Roman"/>
          <w:color w:val="auto"/>
        </w:rPr>
      </w:pPr>
    </w:p>
    <w:p w:rsidR="00715BEF" w:rsidRPr="00715BEF" w:rsidP="00805B45" w14:paraId="41D1A370" w14:textId="68AE632E">
      <w:pPr>
        <w:pStyle w:val="BodyText3"/>
        <w:tabs>
          <w:tab w:val="clear" w:pos="288"/>
          <w:tab w:val="left" w:pos="540"/>
        </w:tabs>
        <w:ind w:left="360"/>
        <w:rPr>
          <w:rFonts w:ascii="Times New Roman" w:hAnsi="Times New Roman"/>
          <w:color w:val="auto"/>
        </w:rPr>
      </w:pPr>
      <w:r w:rsidRPr="00715BEF">
        <w:rPr>
          <w:rFonts w:ascii="Times New Roman" w:hAnsi="Times New Roman"/>
          <w:color w:val="auto"/>
        </w:rPr>
        <w:t>The Iowa DOT raised concerns about the objectives of the study a</w:t>
      </w:r>
      <w:r w:rsidRPr="00715BEF">
        <w:rPr>
          <w:rFonts w:ascii="Times New Roman" w:hAnsi="Times New Roman"/>
          <w:color w:val="auto"/>
        </w:rPr>
        <w:t xml:space="preserve">nd the availability of necessary data to evaluate the effectiveness of ELDT. FMCSA has developed specific research questions for the current study, outlined in </w:t>
      </w:r>
      <w:r w:rsidR="00930999">
        <w:rPr>
          <w:rFonts w:ascii="Times New Roman" w:hAnsi="Times New Roman"/>
          <w:color w:val="auto"/>
        </w:rPr>
        <w:t>[the 30-day]</w:t>
      </w:r>
      <w:r w:rsidRPr="00715BEF" w:rsidR="00930999">
        <w:rPr>
          <w:rFonts w:ascii="Times New Roman" w:hAnsi="Times New Roman"/>
          <w:color w:val="auto"/>
        </w:rPr>
        <w:t xml:space="preserve"> </w:t>
      </w:r>
      <w:r w:rsidRPr="00715BEF">
        <w:rPr>
          <w:rFonts w:ascii="Times New Roman" w:hAnsi="Times New Roman"/>
          <w:color w:val="auto"/>
        </w:rPr>
        <w:t>notice. A broad objective of the study is to evaluate the effectiveness of the ELDT</w:t>
      </w:r>
      <w:r w:rsidRPr="00715BEF">
        <w:rPr>
          <w:rFonts w:ascii="Times New Roman" w:hAnsi="Times New Roman"/>
          <w:color w:val="auto"/>
        </w:rPr>
        <w:t xml:space="preserve"> program; however, the research questions narrow that objective to focus on the effect of the ELDT program on driver </w:t>
      </w:r>
      <w:r w:rsidRPr="00715BEF">
        <w:rPr>
          <w:rFonts w:ascii="Times New Roman" w:hAnsi="Times New Roman"/>
          <w:color w:val="auto"/>
        </w:rPr>
        <w:t>histories and Safety Measurement System (SMS) scores. The Agency will use data from the Training Provider Registry (TPR), the Commercial Dr</w:t>
      </w:r>
      <w:r w:rsidRPr="00715BEF">
        <w:rPr>
          <w:rFonts w:ascii="Times New Roman" w:hAnsi="Times New Roman"/>
          <w:color w:val="auto"/>
        </w:rPr>
        <w:t>iver’s License Information System (CDLIS), the Commercial Skills Test Information Management System (CSTIMS), AAMVA’s Report Out-of-State Test Results (ROOSTR) web application, the Motor Carrier Management Information System (MCMIS), and driver history rec</w:t>
      </w:r>
      <w:r w:rsidRPr="00715BEF">
        <w:rPr>
          <w:rFonts w:ascii="Times New Roman" w:hAnsi="Times New Roman"/>
          <w:color w:val="auto"/>
        </w:rPr>
        <w:t>ords to answer the ELDT-related research questions. The Iowa DOT noted that it may be difficult for States to provide specific data fields from driver history records to accommodate this study. FMCSA does not anticipate requesting data fields that SDLAs ar</w:t>
      </w:r>
      <w:r w:rsidRPr="00715BEF">
        <w:rPr>
          <w:rFonts w:ascii="Times New Roman" w:hAnsi="Times New Roman"/>
          <w:color w:val="auto"/>
        </w:rPr>
        <w:t xml:space="preserve">e not already providing through the systems listed above.  For example, FMCSA does not expect SDLAs to provide data regarding the training received by their drivers prior to the implementation of ELDT, nor does FMCSA expect SDLAs to perform comparisons of </w:t>
      </w:r>
      <w:r w:rsidRPr="00715BEF">
        <w:rPr>
          <w:rFonts w:ascii="Times New Roman" w:hAnsi="Times New Roman"/>
          <w:color w:val="auto"/>
        </w:rPr>
        <w:t xml:space="preserve">training data.  FMCSA welcomes the State’s suggestion to provide bulk driver history data so that FMCSA may perform its own analysis of the data. </w:t>
      </w:r>
    </w:p>
    <w:p w:rsidR="00715BEF" w:rsidRPr="00715BEF" w:rsidP="00805B45" w14:paraId="2277D628" w14:textId="77777777">
      <w:pPr>
        <w:pStyle w:val="BodyText3"/>
        <w:tabs>
          <w:tab w:val="clear" w:pos="288"/>
          <w:tab w:val="left" w:pos="540"/>
        </w:tabs>
        <w:ind w:left="360"/>
        <w:rPr>
          <w:rFonts w:ascii="Times New Roman" w:hAnsi="Times New Roman"/>
          <w:color w:val="auto"/>
        </w:rPr>
      </w:pPr>
    </w:p>
    <w:p w:rsidR="00715BEF" w:rsidRPr="00715BEF" w:rsidP="00805B45" w14:paraId="6A5F8788" w14:textId="77777777">
      <w:pPr>
        <w:pStyle w:val="BodyText3"/>
        <w:tabs>
          <w:tab w:val="clear" w:pos="288"/>
          <w:tab w:val="left" w:pos="540"/>
        </w:tabs>
        <w:ind w:left="360"/>
        <w:rPr>
          <w:rFonts w:ascii="Times New Roman" w:hAnsi="Times New Roman"/>
          <w:color w:val="auto"/>
        </w:rPr>
      </w:pPr>
      <w:r w:rsidRPr="00715BEF">
        <w:rPr>
          <w:rFonts w:ascii="Times New Roman" w:hAnsi="Times New Roman"/>
          <w:color w:val="auto"/>
        </w:rPr>
        <w:t>Regarding FMCSA’s plans to assess the benefits of the 2005 AAMVA CDL Test Model, the Iowa DOT questioned whe</w:t>
      </w:r>
      <w:r w:rsidRPr="00715BEF">
        <w:rPr>
          <w:rFonts w:ascii="Times New Roman" w:hAnsi="Times New Roman"/>
          <w:color w:val="auto"/>
        </w:rPr>
        <w:t>ther FMCSA would be able to draw comparisons between the 2005 AAMVA CDL Test Model and former models, as many States have been using the 2005 AAMVA Test Model for many years, and some States (like Iowa) will be implementing a modernized version in 2023. FM</w:t>
      </w:r>
      <w:r w:rsidRPr="00715BEF">
        <w:rPr>
          <w:rFonts w:ascii="Times New Roman" w:hAnsi="Times New Roman"/>
          <w:color w:val="auto"/>
        </w:rPr>
        <w:t>CSA is not drawing comparisons between the 2005 AAMVA CDL Test Model and former test models that States may have used prior to adopting the 2005 AAMVA CDL Test Model.  Instead, FMCSA is interested in assessing the benefits of the AAMVA CDL Test Model in ge</w:t>
      </w:r>
      <w:r w:rsidRPr="00715BEF">
        <w:rPr>
          <w:rFonts w:ascii="Times New Roman" w:hAnsi="Times New Roman"/>
          <w:color w:val="auto"/>
        </w:rPr>
        <w:t>neral.  The Agency will attempt to identify the version of the AAMVA CDL Test Model that each State is using by examining the road skills test score sheets being used by the State. Each variant of the road skills test sheet represents updates to the testin</w:t>
      </w:r>
      <w:r w:rsidRPr="00715BEF">
        <w:rPr>
          <w:rFonts w:ascii="Times New Roman" w:hAnsi="Times New Roman"/>
          <w:color w:val="auto"/>
        </w:rPr>
        <w:t>g model (e.g., 2010 score sheet or later) and the way that the skills test was conducted. FMCSA plans to look at data related to skills tests from various States, including in States that have historically implemented each version of the AAMVA CDL Test Mod</w:t>
      </w:r>
      <w:r w:rsidRPr="00715BEF">
        <w:rPr>
          <w:rFonts w:ascii="Times New Roman" w:hAnsi="Times New Roman"/>
          <w:color w:val="auto"/>
        </w:rPr>
        <w:t xml:space="preserve">el as it was released (including, if possible, the modernized version released in 2022). </w:t>
      </w:r>
    </w:p>
    <w:p w:rsidR="00715BEF" w:rsidRPr="00715BEF" w:rsidP="00805B45" w14:paraId="6DDF65CA" w14:textId="77777777">
      <w:pPr>
        <w:pStyle w:val="BodyText3"/>
        <w:tabs>
          <w:tab w:val="clear" w:pos="288"/>
          <w:tab w:val="left" w:pos="540"/>
        </w:tabs>
        <w:ind w:left="360"/>
        <w:rPr>
          <w:rFonts w:ascii="Times New Roman" w:hAnsi="Times New Roman"/>
          <w:color w:val="auto"/>
        </w:rPr>
      </w:pPr>
    </w:p>
    <w:p w:rsidR="00715BEF" w:rsidRPr="00715BEF" w:rsidP="00805B45" w14:paraId="2E50DA1D" w14:textId="77777777">
      <w:pPr>
        <w:pStyle w:val="BodyText3"/>
        <w:tabs>
          <w:tab w:val="clear" w:pos="288"/>
          <w:tab w:val="left" w:pos="540"/>
        </w:tabs>
        <w:ind w:left="360"/>
        <w:rPr>
          <w:rFonts w:ascii="Times New Roman" w:hAnsi="Times New Roman"/>
          <w:color w:val="auto"/>
        </w:rPr>
      </w:pPr>
      <w:r w:rsidRPr="00715BEF">
        <w:rPr>
          <w:rFonts w:ascii="Times New Roman" w:hAnsi="Times New Roman"/>
          <w:color w:val="auto"/>
        </w:rPr>
        <w:t xml:space="preserve">Finally, the Iowa DOT recommended several research topics to fully assess the effectiveness of the ELDT program. FMCSA acknowledges the Iowa DOT’s suggested research topics and will consider them in future research planning cycles. </w:t>
      </w:r>
    </w:p>
    <w:p w:rsidR="00715BEF" w:rsidP="00805B45" w14:paraId="2778125B" w14:textId="77777777">
      <w:pPr>
        <w:pStyle w:val="BodyText3"/>
        <w:tabs>
          <w:tab w:val="clear" w:pos="288"/>
          <w:tab w:val="left" w:pos="540"/>
        </w:tabs>
        <w:ind w:left="360"/>
        <w:rPr>
          <w:rFonts w:ascii="Times New Roman" w:hAnsi="Times New Roman"/>
          <w:color w:val="auto"/>
        </w:rPr>
      </w:pPr>
    </w:p>
    <w:p w:rsidR="00715BEF" w:rsidRPr="004C45CF" w:rsidP="00805B45" w14:paraId="6ECC5B61" w14:textId="4464FDD5">
      <w:pPr>
        <w:pStyle w:val="BodyText3"/>
        <w:tabs>
          <w:tab w:val="clear" w:pos="288"/>
          <w:tab w:val="left" w:pos="540"/>
        </w:tabs>
        <w:ind w:left="360"/>
        <w:rPr>
          <w:rFonts w:ascii="Times New Roman" w:hAnsi="Times New Roman"/>
          <w:b/>
          <w:bCs/>
          <w:i/>
          <w:iCs/>
          <w:color w:val="auto"/>
        </w:rPr>
      </w:pPr>
      <w:r w:rsidRPr="004C45CF">
        <w:rPr>
          <w:rFonts w:ascii="Times New Roman" w:hAnsi="Times New Roman"/>
          <w:b/>
          <w:bCs/>
          <w:i/>
          <w:iCs/>
          <w:color w:val="auto"/>
        </w:rPr>
        <w:t xml:space="preserve">Montana </w:t>
      </w:r>
      <w:r w:rsidRPr="004C45CF">
        <w:rPr>
          <w:rFonts w:ascii="Times New Roman" w:hAnsi="Times New Roman"/>
          <w:b/>
          <w:bCs/>
          <w:i/>
          <w:iCs/>
          <w:color w:val="auto"/>
        </w:rPr>
        <w:t>Department of Justice (DOJ) Motor Vehicle Division</w:t>
      </w:r>
    </w:p>
    <w:p w:rsidR="00715BEF" w:rsidRPr="00715BEF" w:rsidP="00805B45" w14:paraId="2390B8B1" w14:textId="77777777">
      <w:pPr>
        <w:pStyle w:val="BodyText3"/>
        <w:tabs>
          <w:tab w:val="clear" w:pos="288"/>
          <w:tab w:val="left" w:pos="540"/>
        </w:tabs>
        <w:ind w:left="360"/>
        <w:rPr>
          <w:rFonts w:ascii="Times New Roman" w:hAnsi="Times New Roman"/>
          <w:color w:val="auto"/>
        </w:rPr>
      </w:pPr>
    </w:p>
    <w:p w:rsidR="00715BEF" w:rsidRPr="00715BEF" w:rsidP="00805B45" w14:paraId="30DA9811" w14:textId="273DC7FA">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Comments:</w:t>
      </w:r>
      <w:r>
        <w:rPr>
          <w:rFonts w:ascii="Times New Roman" w:hAnsi="Times New Roman"/>
          <w:color w:val="auto"/>
        </w:rPr>
        <w:t xml:space="preserve"> </w:t>
      </w:r>
      <w:r w:rsidRPr="00715BEF">
        <w:rPr>
          <w:rFonts w:ascii="Times New Roman" w:hAnsi="Times New Roman"/>
          <w:color w:val="auto"/>
        </w:rPr>
        <w:t>The Montana DOJ Motor Vehicle Division was supportive of the study; however, they raised concerns about some of the language in the 60-day notice pertaining to the role of SDLAs in the oversight</w:t>
      </w:r>
      <w:r w:rsidRPr="00715BEF">
        <w:rPr>
          <w:rFonts w:ascii="Times New Roman" w:hAnsi="Times New Roman"/>
          <w:color w:val="auto"/>
        </w:rPr>
        <w:t xml:space="preserve"> of third-party ELDT providers. </w:t>
      </w:r>
    </w:p>
    <w:p w:rsidR="00715BEF" w:rsidP="00805B45" w14:paraId="34671517" w14:textId="77777777">
      <w:pPr>
        <w:pStyle w:val="BodyText3"/>
        <w:tabs>
          <w:tab w:val="clear" w:pos="288"/>
          <w:tab w:val="left" w:pos="540"/>
        </w:tabs>
        <w:ind w:left="360"/>
        <w:rPr>
          <w:rFonts w:ascii="Times New Roman" w:hAnsi="Times New Roman"/>
          <w:color w:val="auto"/>
        </w:rPr>
      </w:pPr>
    </w:p>
    <w:p w:rsidR="00715BEF" w:rsidRPr="00715BEF" w:rsidP="00805B45" w14:paraId="4D089985" w14:textId="08241966">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Agency Response:</w:t>
      </w:r>
      <w:r w:rsidRPr="00715BEF">
        <w:rPr>
          <w:rFonts w:ascii="Times New Roman" w:hAnsi="Times New Roman"/>
          <w:color w:val="auto"/>
        </w:rPr>
        <w:t xml:space="preserve"> The Iowa DOT identified similar concerns in its comments. See FMCSA’s response to the Iowa DOT, above.</w:t>
      </w:r>
    </w:p>
    <w:p w:rsidR="00715BEF" w:rsidP="00805B45" w14:paraId="4CD3E7D6" w14:textId="77777777">
      <w:pPr>
        <w:pStyle w:val="BodyText3"/>
        <w:tabs>
          <w:tab w:val="clear" w:pos="288"/>
          <w:tab w:val="left" w:pos="540"/>
        </w:tabs>
        <w:ind w:left="360"/>
        <w:rPr>
          <w:rFonts w:ascii="Times New Roman" w:hAnsi="Times New Roman"/>
          <w:color w:val="auto"/>
        </w:rPr>
      </w:pPr>
    </w:p>
    <w:p w:rsidR="00715BEF" w:rsidRPr="004C45CF" w:rsidP="00805B45" w14:paraId="5DF658E2" w14:textId="7871E75D">
      <w:pPr>
        <w:pStyle w:val="BodyText3"/>
        <w:tabs>
          <w:tab w:val="clear" w:pos="288"/>
          <w:tab w:val="left" w:pos="540"/>
        </w:tabs>
        <w:ind w:left="360"/>
        <w:rPr>
          <w:rFonts w:ascii="Times New Roman" w:hAnsi="Times New Roman"/>
          <w:b/>
          <w:bCs/>
          <w:i/>
          <w:iCs/>
          <w:color w:val="auto"/>
        </w:rPr>
      </w:pPr>
      <w:r w:rsidRPr="004C45CF">
        <w:rPr>
          <w:rFonts w:ascii="Times New Roman" w:hAnsi="Times New Roman"/>
          <w:b/>
          <w:bCs/>
          <w:i/>
          <w:iCs/>
          <w:color w:val="auto"/>
        </w:rPr>
        <w:t>New York State Department of Motor Vehicles (DMV)</w:t>
      </w:r>
    </w:p>
    <w:p w:rsidR="00715BEF" w:rsidP="00805B45" w14:paraId="0103B7EF" w14:textId="77777777">
      <w:pPr>
        <w:pStyle w:val="BodyText3"/>
        <w:tabs>
          <w:tab w:val="clear" w:pos="288"/>
          <w:tab w:val="left" w:pos="540"/>
        </w:tabs>
        <w:ind w:left="360"/>
        <w:rPr>
          <w:rFonts w:ascii="Times New Roman" w:hAnsi="Times New Roman"/>
          <w:color w:val="auto"/>
        </w:rPr>
      </w:pPr>
    </w:p>
    <w:p w:rsidR="00715BEF" w:rsidRPr="00715BEF" w:rsidP="00805B45" w14:paraId="4EBCC093" w14:textId="1014820F">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Comments:</w:t>
      </w:r>
      <w:r>
        <w:rPr>
          <w:rFonts w:ascii="Times New Roman" w:hAnsi="Times New Roman"/>
          <w:color w:val="auto"/>
        </w:rPr>
        <w:t xml:space="preserve"> </w:t>
      </w:r>
      <w:r w:rsidRPr="00715BEF">
        <w:rPr>
          <w:rFonts w:ascii="Times New Roman" w:hAnsi="Times New Roman"/>
          <w:color w:val="auto"/>
        </w:rPr>
        <w:t>The New York State DMV provided response</w:t>
      </w:r>
      <w:r w:rsidRPr="00715BEF">
        <w:rPr>
          <w:rFonts w:ascii="Times New Roman" w:hAnsi="Times New Roman"/>
          <w:color w:val="auto"/>
        </w:rPr>
        <w:t xml:space="preserve">s to the eight research questions listed in the 60-day Federal Register notice. </w:t>
      </w:r>
    </w:p>
    <w:p w:rsidR="00715BEF" w:rsidP="00805B45" w14:paraId="71A17246" w14:textId="77777777">
      <w:pPr>
        <w:pStyle w:val="BodyText3"/>
        <w:tabs>
          <w:tab w:val="clear" w:pos="288"/>
          <w:tab w:val="left" w:pos="540"/>
        </w:tabs>
        <w:ind w:left="360"/>
        <w:rPr>
          <w:rFonts w:ascii="Times New Roman" w:hAnsi="Times New Roman"/>
          <w:color w:val="auto"/>
        </w:rPr>
      </w:pPr>
    </w:p>
    <w:p w:rsidR="00715BEF" w:rsidP="00805B45" w14:paraId="3A34A583" w14:textId="38E1F2C7">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Agency Response:</w:t>
      </w:r>
      <w:r w:rsidRPr="00715BEF">
        <w:rPr>
          <w:rFonts w:ascii="Times New Roman" w:hAnsi="Times New Roman"/>
          <w:color w:val="auto"/>
        </w:rPr>
        <w:t xml:space="preserve"> FMCSA thanks the New York State DMV for its responses to the study research questions. The Agency will reach out to gather more information once data collect</w:t>
      </w:r>
      <w:r w:rsidRPr="00715BEF">
        <w:rPr>
          <w:rFonts w:ascii="Times New Roman" w:hAnsi="Times New Roman"/>
          <w:color w:val="auto"/>
        </w:rPr>
        <w:t>ion begins.</w:t>
      </w:r>
    </w:p>
    <w:p w:rsidR="00715BEF" w:rsidRPr="00715BEF" w:rsidP="00805B45" w14:paraId="53798710" w14:textId="77777777">
      <w:pPr>
        <w:pStyle w:val="BodyText3"/>
        <w:tabs>
          <w:tab w:val="clear" w:pos="288"/>
          <w:tab w:val="left" w:pos="540"/>
        </w:tabs>
        <w:ind w:left="360"/>
        <w:rPr>
          <w:rFonts w:ascii="Times New Roman" w:hAnsi="Times New Roman"/>
          <w:color w:val="auto"/>
        </w:rPr>
      </w:pPr>
    </w:p>
    <w:p w:rsidR="00715BEF" w:rsidRPr="004C45CF" w:rsidP="00805B45" w14:paraId="10BE71D4" w14:textId="2DCC899A">
      <w:pPr>
        <w:pStyle w:val="BodyText3"/>
        <w:tabs>
          <w:tab w:val="clear" w:pos="288"/>
          <w:tab w:val="left" w:pos="540"/>
        </w:tabs>
        <w:ind w:left="360"/>
        <w:rPr>
          <w:rFonts w:ascii="Times New Roman" w:hAnsi="Times New Roman"/>
          <w:b/>
          <w:bCs/>
          <w:i/>
          <w:iCs/>
          <w:color w:val="auto"/>
        </w:rPr>
      </w:pPr>
      <w:r w:rsidRPr="004C45CF">
        <w:rPr>
          <w:rFonts w:ascii="Times New Roman" w:hAnsi="Times New Roman"/>
          <w:b/>
          <w:bCs/>
          <w:i/>
          <w:iCs/>
          <w:color w:val="auto"/>
        </w:rPr>
        <w:t>National School Transportation Association (NSTA)</w:t>
      </w:r>
    </w:p>
    <w:p w:rsidR="00715BEF" w:rsidP="00805B45" w14:paraId="7025DEB9" w14:textId="77777777">
      <w:pPr>
        <w:pStyle w:val="BodyText3"/>
        <w:tabs>
          <w:tab w:val="clear" w:pos="288"/>
          <w:tab w:val="left" w:pos="540"/>
        </w:tabs>
        <w:ind w:left="360"/>
        <w:rPr>
          <w:rFonts w:ascii="Times New Roman" w:hAnsi="Times New Roman"/>
          <w:color w:val="auto"/>
        </w:rPr>
      </w:pPr>
    </w:p>
    <w:p w:rsidR="00715BEF" w:rsidRPr="00715BEF" w:rsidP="00805B45" w14:paraId="75218052" w14:textId="38235520">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Comments:</w:t>
      </w:r>
      <w:r>
        <w:rPr>
          <w:rFonts w:ascii="Times New Roman" w:hAnsi="Times New Roman"/>
          <w:color w:val="auto"/>
        </w:rPr>
        <w:t xml:space="preserve"> </w:t>
      </w:r>
      <w:r w:rsidRPr="00715BEF">
        <w:rPr>
          <w:rFonts w:ascii="Times New Roman" w:hAnsi="Times New Roman"/>
          <w:color w:val="auto"/>
        </w:rPr>
        <w:t>NSTA did not comment on the proposed information collection; however, the organization did state that it supports third-party testing implementation for CDL licensing, due to its pot</w:t>
      </w:r>
      <w:r w:rsidRPr="00715BEF">
        <w:rPr>
          <w:rFonts w:ascii="Times New Roman" w:hAnsi="Times New Roman"/>
          <w:color w:val="auto"/>
        </w:rPr>
        <w:t xml:space="preserve">ential to streamline the CDL process and address the nationwide bus driver shortage. Conversely, NSTA raised concerns that ELDT requirements negatively affect the ability of school bus contractors to recruit drivers, as “applicants </w:t>
      </w:r>
      <w:r w:rsidR="00473E98">
        <w:rPr>
          <w:rFonts w:ascii="Times New Roman" w:hAnsi="Times New Roman"/>
          <w:color w:val="auto"/>
        </w:rPr>
        <w:t>have to</w:t>
      </w:r>
      <w:r w:rsidRPr="00715BEF">
        <w:rPr>
          <w:rFonts w:ascii="Times New Roman" w:hAnsi="Times New Roman"/>
          <w:color w:val="auto"/>
        </w:rPr>
        <w:t xml:space="preserve"> learn and be tes</w:t>
      </w:r>
      <w:r w:rsidRPr="00715BEF">
        <w:rPr>
          <w:rFonts w:ascii="Times New Roman" w:hAnsi="Times New Roman"/>
          <w:color w:val="auto"/>
        </w:rPr>
        <w:t>ted in areas not germane to their role as a school bus driver.” NSTA also stated that ELDT requirements can be duplicative of State programs already in place, which can impede the licensing process for school bus drivers. NSTA stated that “removal of redun</w:t>
      </w:r>
      <w:r w:rsidRPr="00715BEF">
        <w:rPr>
          <w:rFonts w:ascii="Times New Roman" w:hAnsi="Times New Roman"/>
          <w:color w:val="auto"/>
        </w:rPr>
        <w:t xml:space="preserve">dancies is paramount” to alleviate the national school bus driver shortage. </w:t>
      </w:r>
    </w:p>
    <w:p w:rsidR="00970571" w:rsidP="00805B45" w14:paraId="1E2597E7" w14:textId="77777777">
      <w:pPr>
        <w:pStyle w:val="BodyText3"/>
        <w:tabs>
          <w:tab w:val="clear" w:pos="288"/>
          <w:tab w:val="left" w:pos="540"/>
        </w:tabs>
        <w:ind w:left="360"/>
        <w:rPr>
          <w:rFonts w:ascii="Times New Roman" w:hAnsi="Times New Roman"/>
          <w:color w:val="auto"/>
        </w:rPr>
      </w:pPr>
    </w:p>
    <w:p w:rsidR="00715BEF" w:rsidRPr="00715BEF" w:rsidP="00805B45" w14:paraId="2144AD5F" w14:textId="4CF29A4F">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Agency Response:</w:t>
      </w:r>
      <w:r w:rsidRPr="00715BEF">
        <w:rPr>
          <w:rFonts w:ascii="Times New Roman" w:hAnsi="Times New Roman"/>
          <w:color w:val="auto"/>
        </w:rPr>
        <w:t xml:space="preserve"> FMCSA invites NSTA to work with the Agency to identify redundancies in ELDT and State bus driver licensing requirements. </w:t>
      </w:r>
    </w:p>
    <w:p w:rsidR="00970571" w:rsidP="00805B45" w14:paraId="0B7FE1A0" w14:textId="77777777">
      <w:pPr>
        <w:pStyle w:val="BodyText3"/>
        <w:tabs>
          <w:tab w:val="clear" w:pos="288"/>
          <w:tab w:val="left" w:pos="540"/>
        </w:tabs>
        <w:ind w:left="360"/>
        <w:rPr>
          <w:rFonts w:ascii="Times New Roman" w:hAnsi="Times New Roman"/>
          <w:color w:val="auto"/>
        </w:rPr>
      </w:pPr>
    </w:p>
    <w:p w:rsidR="00715BEF" w:rsidRPr="004C45CF" w:rsidP="00805B45" w14:paraId="62BBD86C" w14:textId="43FF66C8">
      <w:pPr>
        <w:pStyle w:val="BodyText3"/>
        <w:keepNext/>
        <w:tabs>
          <w:tab w:val="clear" w:pos="288"/>
          <w:tab w:val="left" w:pos="540"/>
        </w:tabs>
        <w:ind w:left="360"/>
        <w:rPr>
          <w:rFonts w:ascii="Times New Roman" w:hAnsi="Times New Roman"/>
          <w:i/>
          <w:iCs/>
          <w:color w:val="auto"/>
        </w:rPr>
      </w:pPr>
      <w:r w:rsidRPr="004C45CF">
        <w:rPr>
          <w:rFonts w:ascii="Times New Roman" w:hAnsi="Times New Roman"/>
          <w:b/>
          <w:bCs/>
          <w:i/>
          <w:iCs/>
          <w:color w:val="auto"/>
        </w:rPr>
        <w:t>Alexandria Technical and Community Col</w:t>
      </w:r>
      <w:r w:rsidRPr="004C45CF">
        <w:rPr>
          <w:rFonts w:ascii="Times New Roman" w:hAnsi="Times New Roman"/>
          <w:b/>
          <w:bCs/>
          <w:i/>
          <w:iCs/>
          <w:color w:val="auto"/>
        </w:rPr>
        <w:t>lege</w:t>
      </w:r>
      <w:r w:rsidRPr="004C45CF">
        <w:rPr>
          <w:rFonts w:ascii="Times New Roman" w:hAnsi="Times New Roman"/>
          <w:i/>
          <w:iCs/>
          <w:color w:val="auto"/>
        </w:rPr>
        <w:t xml:space="preserve"> </w:t>
      </w:r>
    </w:p>
    <w:p w:rsidR="00970571" w:rsidP="00805B45" w14:paraId="7C6646FD" w14:textId="77777777">
      <w:pPr>
        <w:pStyle w:val="BodyText3"/>
        <w:tabs>
          <w:tab w:val="clear" w:pos="288"/>
          <w:tab w:val="left" w:pos="540"/>
        </w:tabs>
        <w:ind w:left="360"/>
        <w:rPr>
          <w:rFonts w:ascii="Times New Roman" w:hAnsi="Times New Roman"/>
          <w:color w:val="auto"/>
        </w:rPr>
      </w:pPr>
    </w:p>
    <w:p w:rsidR="00715BEF" w:rsidRPr="00715BEF" w:rsidP="00805B45" w14:paraId="5B6A88F1" w14:textId="315DF3FF">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Comments:</w:t>
      </w:r>
      <w:r>
        <w:rPr>
          <w:rFonts w:ascii="Times New Roman" w:hAnsi="Times New Roman"/>
          <w:color w:val="auto"/>
        </w:rPr>
        <w:t xml:space="preserve"> </w:t>
      </w:r>
      <w:r w:rsidRPr="00715BEF">
        <w:rPr>
          <w:rFonts w:ascii="Times New Roman" w:hAnsi="Times New Roman"/>
          <w:color w:val="auto"/>
        </w:rPr>
        <w:t>Alexandria Technical and Community College, a learning institution that provides professional truck driver training, indicated support for third-party testing and advocated for “broad sweeping” annual audits of ELDT providers, more stringent requirements f</w:t>
      </w:r>
      <w:r w:rsidRPr="00715BEF">
        <w:rPr>
          <w:rFonts w:ascii="Times New Roman" w:hAnsi="Times New Roman"/>
          <w:color w:val="auto"/>
        </w:rPr>
        <w:t xml:space="preserve">or ELDT providers and third-party CDL examiners, and minimum timeframe requirements for theory, behind-the-wheel range, and road training. </w:t>
      </w:r>
    </w:p>
    <w:p w:rsidR="00970571" w:rsidP="00805B45" w14:paraId="2B5EDDAD" w14:textId="77777777">
      <w:pPr>
        <w:pStyle w:val="BodyText3"/>
        <w:tabs>
          <w:tab w:val="clear" w:pos="288"/>
          <w:tab w:val="left" w:pos="540"/>
        </w:tabs>
        <w:ind w:left="360"/>
        <w:rPr>
          <w:rFonts w:ascii="Times New Roman" w:hAnsi="Times New Roman"/>
          <w:color w:val="auto"/>
        </w:rPr>
      </w:pPr>
    </w:p>
    <w:p w:rsidR="009E6323" w:rsidRPr="009E6323" w:rsidP="00805B45" w14:paraId="6C0CE6C9" w14:textId="7ECA20F2">
      <w:pPr>
        <w:pStyle w:val="BodyText3"/>
        <w:tabs>
          <w:tab w:val="clear" w:pos="288"/>
          <w:tab w:val="left" w:pos="540"/>
        </w:tabs>
        <w:ind w:left="360"/>
        <w:rPr>
          <w:rFonts w:ascii="Times New Roman" w:hAnsi="Times New Roman"/>
          <w:color w:val="auto"/>
        </w:rPr>
      </w:pPr>
      <w:r w:rsidRPr="004C45CF">
        <w:rPr>
          <w:rFonts w:ascii="Times New Roman" w:hAnsi="Times New Roman"/>
          <w:b/>
          <w:bCs/>
          <w:color w:val="auto"/>
        </w:rPr>
        <w:t xml:space="preserve">Agency </w:t>
      </w:r>
      <w:r w:rsidRPr="004C45CF" w:rsidR="00715BEF">
        <w:rPr>
          <w:rFonts w:ascii="Times New Roman" w:hAnsi="Times New Roman"/>
          <w:b/>
          <w:bCs/>
          <w:color w:val="auto"/>
        </w:rPr>
        <w:t xml:space="preserve">Response: </w:t>
      </w:r>
      <w:r w:rsidRPr="00715BEF" w:rsidR="00715BEF">
        <w:rPr>
          <w:rFonts w:ascii="Times New Roman" w:hAnsi="Times New Roman"/>
          <w:color w:val="auto"/>
        </w:rPr>
        <w:t xml:space="preserve">FMCSA is developing plans for an ELDT audit program. The Agency will continue to conduct research to support decision-making around the CDL and ELDT programs.  </w:t>
      </w:r>
    </w:p>
    <w:p w:rsidR="008E4E78" w:rsidRPr="000D6ACD" w:rsidP="000D6ACD" w14:paraId="42D994F2"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rPr>
      </w:pPr>
    </w:p>
    <w:p w:rsidR="002A017B" w:rsidRPr="007A060D" w:rsidP="00526548" w14:paraId="3C01FA1D" w14:textId="7757527E">
      <w:pPr>
        <w:numPr>
          <w:ilvl w:val="0"/>
          <w:numId w:val="41"/>
        </w:numPr>
        <w:rPr>
          <w:rFonts w:ascii="Times New Roman" w:hAnsi="Times New Roman"/>
        </w:rPr>
      </w:pPr>
      <w:r w:rsidRPr="6ABB762F">
        <w:rPr>
          <w:rFonts w:ascii="Times New Roman" w:hAnsi="Times New Roman"/>
          <w:b/>
          <w:bCs/>
          <w:sz w:val="24"/>
          <w:szCs w:val="24"/>
        </w:rPr>
        <w:t>PAYMENTS OR GIFTS TO RESPONDENTS</w:t>
      </w:r>
      <w:r>
        <w:br/>
      </w:r>
    </w:p>
    <w:p w:rsidR="00F358A1" w:rsidRPr="002A017B" w:rsidP="6ABB762F" w14:paraId="32E500A1" w14:textId="68E7826D">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R</w:t>
      </w:r>
      <w:r w:rsidRPr="6ABB762F" w:rsidR="002A017B">
        <w:rPr>
          <w:rFonts w:ascii="Times New Roman" w:hAnsi="Times New Roman"/>
          <w:color w:val="auto"/>
        </w:rPr>
        <w:t xml:space="preserve">espondents will not be compensated for their time or the effort they give to the study. Participation is voluntary. </w:t>
      </w:r>
    </w:p>
    <w:p w:rsidR="008E4E78" w:rsidRPr="005612EB" w:rsidP="008E4E78" w14:paraId="1655EF04" w14:textId="77777777">
      <w:pPr>
        <w:rPr>
          <w:rFonts w:ascii="Times New Roman" w:hAnsi="Times New Roman"/>
        </w:rPr>
      </w:pPr>
    </w:p>
    <w:p w:rsidR="002A017B" w:rsidP="00526548" w14:paraId="42A570C6" w14:textId="6186CE66">
      <w:pPr>
        <w:numPr>
          <w:ilvl w:val="0"/>
          <w:numId w:val="41"/>
        </w:numPr>
        <w:rPr>
          <w:rFonts w:ascii="Times New Roman" w:hAnsi="Times New Roman"/>
          <w:sz w:val="24"/>
          <w:szCs w:val="24"/>
        </w:rPr>
      </w:pPr>
      <w:r w:rsidRPr="452FB3DF">
        <w:rPr>
          <w:rFonts w:ascii="Times New Roman" w:hAnsi="Times New Roman"/>
          <w:b/>
          <w:bCs/>
          <w:sz w:val="24"/>
          <w:szCs w:val="24"/>
        </w:rPr>
        <w:t>ASSURANCE OF CONFIDENTIALITY</w:t>
      </w:r>
      <w:r>
        <w:br/>
      </w:r>
    </w:p>
    <w:p w:rsidR="002A017B" w:rsidP="00B57147" w14:paraId="5FE4304C" w14:textId="409DAB05">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This section outlines how</w:t>
      </w:r>
      <w:r w:rsidRPr="6ABB762F">
        <w:rPr>
          <w:rFonts w:ascii="Times New Roman" w:hAnsi="Times New Roman"/>
          <w:color w:val="auto"/>
        </w:rPr>
        <w:t xml:space="preserve"> the privacy of </w:t>
      </w:r>
      <w:r>
        <w:rPr>
          <w:rFonts w:ascii="Times New Roman" w:hAnsi="Times New Roman"/>
          <w:color w:val="auto"/>
        </w:rPr>
        <w:t>survey</w:t>
      </w:r>
      <w:r w:rsidRPr="6ABB762F">
        <w:rPr>
          <w:rFonts w:ascii="Times New Roman" w:hAnsi="Times New Roman"/>
          <w:color w:val="auto"/>
        </w:rPr>
        <w:t xml:space="preserve"> participants will be protected</w:t>
      </w:r>
      <w:r>
        <w:rPr>
          <w:rFonts w:ascii="Times New Roman" w:hAnsi="Times New Roman"/>
          <w:color w:val="auto"/>
        </w:rPr>
        <w:t xml:space="preserve"> throughout the project</w:t>
      </w:r>
      <w:r w:rsidRPr="6ABB762F">
        <w:rPr>
          <w:rFonts w:ascii="Times New Roman" w:hAnsi="Times New Roman"/>
          <w:color w:val="auto"/>
        </w:rPr>
        <w:t xml:space="preserve">. </w:t>
      </w:r>
    </w:p>
    <w:p w:rsidR="007569C7" w:rsidP="00B57147" w14:paraId="501DC1AE"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E67FD7E" w:rsidP="00B57147" w14:paraId="63541DB7" w14:textId="72961AF3">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6ABB762F">
        <w:rPr>
          <w:rFonts w:ascii="Times New Roman" w:hAnsi="Times New Roman"/>
          <w:color w:val="auto"/>
        </w:rPr>
        <w:t xml:space="preserve">As soon as respondents click the link to take the survey, they will be </w:t>
      </w:r>
      <w:r w:rsidRPr="6ABB762F" w:rsidR="4AD3AED6">
        <w:rPr>
          <w:rFonts w:ascii="Times New Roman" w:hAnsi="Times New Roman"/>
          <w:color w:val="auto"/>
        </w:rPr>
        <w:t>taken</w:t>
      </w:r>
      <w:r w:rsidRPr="6ABB762F">
        <w:rPr>
          <w:rFonts w:ascii="Times New Roman" w:hAnsi="Times New Roman"/>
          <w:color w:val="auto"/>
        </w:rPr>
        <w:t xml:space="preserve"> to an Informed Consent page which describes the purpose of the survey, how the information will be used, and the measures that will be taken to ensure p</w:t>
      </w:r>
      <w:r w:rsidRPr="6ABB762F">
        <w:rPr>
          <w:rFonts w:ascii="Times New Roman" w:hAnsi="Times New Roman"/>
          <w:color w:val="auto"/>
        </w:rPr>
        <w:t xml:space="preserve">articipant confidentiality. Respondents will then be informed that proceeding with the survey </w:t>
      </w:r>
      <w:r w:rsidRPr="6ABB762F" w:rsidR="184AEB4B">
        <w:rPr>
          <w:rFonts w:ascii="Times New Roman" w:hAnsi="Times New Roman"/>
          <w:color w:val="auto"/>
        </w:rPr>
        <w:t xml:space="preserve">indicates that they have thoroughly read this information and agree to participate. </w:t>
      </w:r>
    </w:p>
    <w:p w:rsidR="000A4471" w:rsidP="00B57147" w14:paraId="1C4051A6"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A4471" w:rsidP="00B57147" w14:paraId="5E9B4B0D" w14:textId="2CB32CB4">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45230092">
        <w:rPr>
          <w:rFonts w:ascii="Times New Roman" w:hAnsi="Times New Roman"/>
          <w:color w:val="auto"/>
        </w:rPr>
        <w:t>Though survey respondents will be asked to indicate their SDLA jurisdiction,</w:t>
      </w:r>
      <w:r w:rsidRPr="45230092">
        <w:rPr>
          <w:rFonts w:ascii="Times New Roman" w:hAnsi="Times New Roman"/>
          <w:color w:val="auto"/>
        </w:rPr>
        <w:t xml:space="preserve"> they will not be required to provide their name or contact information. </w:t>
      </w:r>
      <w:r w:rsidRPr="45230092" w:rsidR="00E87C58">
        <w:rPr>
          <w:rFonts w:ascii="Times New Roman" w:hAnsi="Times New Roman"/>
          <w:color w:val="auto"/>
        </w:rPr>
        <w:t xml:space="preserve">Respondents will be asked to indicate their SDLA jurisdiction so that the project team can determine </w:t>
      </w:r>
      <w:r w:rsidRPr="45230092" w:rsidR="00575CA5">
        <w:rPr>
          <w:rFonts w:ascii="Times New Roman" w:hAnsi="Times New Roman"/>
          <w:color w:val="auto"/>
        </w:rPr>
        <w:t xml:space="preserve">which version of the </w:t>
      </w:r>
      <w:r w:rsidR="00C972E8">
        <w:rPr>
          <w:rFonts w:ascii="Times New Roman" w:hAnsi="Times New Roman"/>
          <w:color w:val="auto"/>
        </w:rPr>
        <w:t xml:space="preserve">2005 </w:t>
      </w:r>
      <w:r w:rsidRPr="45230092" w:rsidR="00575CA5">
        <w:rPr>
          <w:rFonts w:ascii="Times New Roman" w:hAnsi="Times New Roman"/>
          <w:color w:val="auto"/>
        </w:rPr>
        <w:t xml:space="preserve">AAMVA </w:t>
      </w:r>
      <w:r w:rsidR="004A7DC1">
        <w:rPr>
          <w:rFonts w:ascii="Times New Roman" w:hAnsi="Times New Roman"/>
          <w:color w:val="auto"/>
        </w:rPr>
        <w:t xml:space="preserve">CDL </w:t>
      </w:r>
      <w:r w:rsidR="00C972E8">
        <w:rPr>
          <w:rFonts w:ascii="Times New Roman" w:hAnsi="Times New Roman"/>
          <w:color w:val="auto"/>
        </w:rPr>
        <w:t>T</w:t>
      </w:r>
      <w:r w:rsidRPr="45230092" w:rsidR="00575CA5">
        <w:rPr>
          <w:rFonts w:ascii="Times New Roman" w:hAnsi="Times New Roman"/>
          <w:color w:val="auto"/>
        </w:rPr>
        <w:t xml:space="preserve">est </w:t>
      </w:r>
      <w:r w:rsidR="00C972E8">
        <w:rPr>
          <w:rFonts w:ascii="Times New Roman" w:hAnsi="Times New Roman"/>
          <w:color w:val="auto"/>
        </w:rPr>
        <w:t>M</w:t>
      </w:r>
      <w:r w:rsidRPr="45230092" w:rsidR="00575CA5">
        <w:rPr>
          <w:rFonts w:ascii="Times New Roman" w:hAnsi="Times New Roman"/>
          <w:color w:val="auto"/>
        </w:rPr>
        <w:t xml:space="preserve">odel or equivalent is being used. It is also necessary for respondents to indicate their SDLA jurisdiction so the project team can use the survey results to inform decisions regarding follow-up interviews or quantitative data collection and analysis. </w:t>
      </w:r>
      <w:r w:rsidRPr="45230092" w:rsidR="5679FA47">
        <w:rPr>
          <w:rFonts w:ascii="Times New Roman" w:hAnsi="Times New Roman"/>
          <w:color w:val="auto"/>
        </w:rPr>
        <w:t>FMCSA may choose</w:t>
      </w:r>
      <w:r w:rsidRPr="45230092" w:rsidR="0F3C7B37">
        <w:rPr>
          <w:rFonts w:ascii="Times New Roman" w:hAnsi="Times New Roman"/>
          <w:color w:val="auto"/>
        </w:rPr>
        <w:t xml:space="preserve"> to</w:t>
      </w:r>
      <w:r w:rsidRPr="45230092" w:rsidR="5679FA47">
        <w:rPr>
          <w:rFonts w:ascii="Times New Roman" w:hAnsi="Times New Roman"/>
          <w:color w:val="auto"/>
        </w:rPr>
        <w:t xml:space="preserve"> highlight general differences in types of responses based on testing models. </w:t>
      </w:r>
      <w:r w:rsidRPr="45230092" w:rsidR="0C60BFCB">
        <w:rPr>
          <w:rFonts w:ascii="Times New Roman" w:hAnsi="Times New Roman"/>
          <w:color w:val="auto"/>
        </w:rPr>
        <w:t xml:space="preserve">However, this type of information will be presented in aggregate form and will not identify responses by </w:t>
      </w:r>
      <w:r w:rsidR="0079290D">
        <w:rPr>
          <w:rFonts w:ascii="Times New Roman" w:hAnsi="Times New Roman"/>
          <w:color w:val="auto"/>
        </w:rPr>
        <w:t xml:space="preserve">specific </w:t>
      </w:r>
      <w:r w:rsidRPr="45230092" w:rsidR="0C60BFCB">
        <w:rPr>
          <w:rFonts w:ascii="Times New Roman" w:hAnsi="Times New Roman"/>
          <w:color w:val="auto"/>
        </w:rPr>
        <w:t>SDLA</w:t>
      </w:r>
      <w:r w:rsidR="0079290D">
        <w:rPr>
          <w:rFonts w:ascii="Times New Roman" w:hAnsi="Times New Roman"/>
          <w:color w:val="auto"/>
        </w:rPr>
        <w:t>s</w:t>
      </w:r>
      <w:r w:rsidRPr="45230092" w:rsidR="0C60BFCB">
        <w:rPr>
          <w:rFonts w:ascii="Times New Roman" w:hAnsi="Times New Roman"/>
          <w:color w:val="auto"/>
        </w:rPr>
        <w:t>. If there is a need to mention a specific SDLA by name</w:t>
      </w:r>
      <w:r w:rsidRPr="45230092" w:rsidR="6E5B2EE6">
        <w:rPr>
          <w:rFonts w:ascii="Times New Roman" w:hAnsi="Times New Roman"/>
          <w:color w:val="auto"/>
        </w:rPr>
        <w:t xml:space="preserve"> (e.g., if the team sees a benefit in highlighting </w:t>
      </w:r>
      <w:r w:rsidRPr="45230092" w:rsidR="495A7A40">
        <w:rPr>
          <w:rFonts w:ascii="Times New Roman" w:hAnsi="Times New Roman"/>
          <w:color w:val="auto"/>
        </w:rPr>
        <w:t xml:space="preserve">a </w:t>
      </w:r>
      <w:r w:rsidRPr="45230092" w:rsidR="6E5B2EE6">
        <w:rPr>
          <w:rFonts w:ascii="Times New Roman" w:hAnsi="Times New Roman"/>
          <w:color w:val="auto"/>
        </w:rPr>
        <w:t>best practice</w:t>
      </w:r>
      <w:r w:rsidRPr="45230092" w:rsidR="28ACECD9">
        <w:rPr>
          <w:rFonts w:ascii="Times New Roman" w:hAnsi="Times New Roman"/>
          <w:color w:val="auto"/>
        </w:rPr>
        <w:t>)</w:t>
      </w:r>
      <w:r w:rsidRPr="45230092" w:rsidR="6E5B2EE6">
        <w:rPr>
          <w:rFonts w:ascii="Times New Roman" w:hAnsi="Times New Roman"/>
          <w:color w:val="auto"/>
        </w:rPr>
        <w:t xml:space="preserve">, the </w:t>
      </w:r>
      <w:r w:rsidR="00030374">
        <w:rPr>
          <w:rFonts w:ascii="Times New Roman" w:hAnsi="Times New Roman"/>
          <w:color w:val="auto"/>
        </w:rPr>
        <w:t>r</w:t>
      </w:r>
      <w:r w:rsidRPr="45230092" w:rsidR="00030374">
        <w:rPr>
          <w:rFonts w:ascii="Times New Roman" w:hAnsi="Times New Roman"/>
          <w:color w:val="auto"/>
        </w:rPr>
        <w:t xml:space="preserve">esearch </w:t>
      </w:r>
      <w:r w:rsidR="00030374">
        <w:rPr>
          <w:rFonts w:ascii="Times New Roman" w:hAnsi="Times New Roman"/>
          <w:color w:val="auto"/>
        </w:rPr>
        <w:t>t</w:t>
      </w:r>
      <w:r w:rsidRPr="45230092" w:rsidR="00030374">
        <w:rPr>
          <w:rFonts w:ascii="Times New Roman" w:hAnsi="Times New Roman"/>
          <w:color w:val="auto"/>
        </w:rPr>
        <w:t xml:space="preserve">eam </w:t>
      </w:r>
      <w:r w:rsidRPr="45230092" w:rsidR="6E5B2EE6">
        <w:rPr>
          <w:rFonts w:ascii="Times New Roman" w:hAnsi="Times New Roman"/>
          <w:color w:val="auto"/>
        </w:rPr>
        <w:t>will not do so without getting permission from the SDLA.</w:t>
      </w:r>
      <w:r w:rsidRPr="45230092" w:rsidR="14F2A3CA">
        <w:rPr>
          <w:rFonts w:ascii="Times New Roman" w:hAnsi="Times New Roman"/>
          <w:color w:val="auto"/>
        </w:rPr>
        <w:t xml:space="preserve"> </w:t>
      </w:r>
      <w:r w:rsidRPr="45230092" w:rsidR="6E5B2EE6">
        <w:rPr>
          <w:rFonts w:ascii="Times New Roman" w:hAnsi="Times New Roman"/>
          <w:color w:val="auto"/>
        </w:rPr>
        <w:t xml:space="preserve"> </w:t>
      </w:r>
    </w:p>
    <w:p w:rsidR="00575CA5" w:rsidP="00B57147" w14:paraId="26DB5437"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575CA5" w:rsidP="00B57147" w14:paraId="473A8D35" w14:textId="2E0FB81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1979765D">
        <w:rPr>
          <w:rFonts w:ascii="Times New Roman" w:hAnsi="Times New Roman"/>
          <w:color w:val="auto"/>
        </w:rPr>
        <w:t xml:space="preserve">The online </w:t>
      </w:r>
      <w:r w:rsidR="00986A3B">
        <w:rPr>
          <w:rFonts w:ascii="Times New Roman" w:hAnsi="Times New Roman"/>
          <w:color w:val="auto"/>
        </w:rPr>
        <w:t>SDLA</w:t>
      </w:r>
      <w:r w:rsidRPr="1979765D">
        <w:rPr>
          <w:rFonts w:ascii="Times New Roman" w:hAnsi="Times New Roman"/>
          <w:color w:val="auto"/>
        </w:rPr>
        <w:t xml:space="preserve"> survey results will be password protected and access will only be given to </w:t>
      </w:r>
      <w:r w:rsidR="00296814">
        <w:rPr>
          <w:rFonts w:ascii="Times New Roman" w:hAnsi="Times New Roman"/>
          <w:color w:val="auto"/>
        </w:rPr>
        <w:t xml:space="preserve">the project team </w:t>
      </w:r>
      <w:r w:rsidR="00030374">
        <w:rPr>
          <w:rFonts w:ascii="Times New Roman" w:hAnsi="Times New Roman"/>
          <w:color w:val="auto"/>
        </w:rPr>
        <w:t>statistician</w:t>
      </w:r>
      <w:r w:rsidR="00296814">
        <w:rPr>
          <w:rFonts w:ascii="Times New Roman" w:hAnsi="Times New Roman"/>
          <w:color w:val="auto"/>
        </w:rPr>
        <w:t>, as</w:t>
      </w:r>
      <w:r w:rsidRPr="1979765D">
        <w:rPr>
          <w:rFonts w:ascii="Times New Roman" w:hAnsi="Times New Roman"/>
          <w:color w:val="auto"/>
        </w:rPr>
        <w:t xml:space="preserve"> authorized by the </w:t>
      </w:r>
      <w:r w:rsidR="00030374">
        <w:rPr>
          <w:rFonts w:ascii="Times New Roman" w:hAnsi="Times New Roman"/>
          <w:color w:val="auto"/>
        </w:rPr>
        <w:t>p</w:t>
      </w:r>
      <w:r w:rsidRPr="1979765D" w:rsidR="00030374">
        <w:rPr>
          <w:rFonts w:ascii="Times New Roman" w:hAnsi="Times New Roman"/>
          <w:color w:val="auto"/>
        </w:rPr>
        <w:t xml:space="preserve">roject </w:t>
      </w:r>
      <w:r w:rsidR="00030374">
        <w:rPr>
          <w:rFonts w:ascii="Times New Roman" w:hAnsi="Times New Roman"/>
          <w:color w:val="auto"/>
        </w:rPr>
        <w:t>m</w:t>
      </w:r>
      <w:r w:rsidRPr="1979765D" w:rsidR="00030374">
        <w:rPr>
          <w:rFonts w:ascii="Times New Roman" w:hAnsi="Times New Roman"/>
          <w:color w:val="auto"/>
        </w:rPr>
        <w:t>anager</w:t>
      </w:r>
      <w:r w:rsidRPr="1979765D">
        <w:rPr>
          <w:rFonts w:ascii="Times New Roman" w:hAnsi="Times New Roman"/>
          <w:color w:val="auto"/>
        </w:rPr>
        <w:t xml:space="preserve">. The survey data will </w:t>
      </w:r>
      <w:r w:rsidRPr="1979765D" w:rsidR="00670FE5">
        <w:rPr>
          <w:rFonts w:ascii="Times New Roman" w:hAnsi="Times New Roman"/>
          <w:color w:val="auto"/>
        </w:rPr>
        <w:t xml:space="preserve">be </w:t>
      </w:r>
      <w:r w:rsidRPr="1979765D">
        <w:rPr>
          <w:rFonts w:ascii="Times New Roman" w:hAnsi="Times New Roman"/>
          <w:color w:val="auto"/>
        </w:rPr>
        <w:t>exported to a</w:t>
      </w:r>
      <w:r w:rsidRPr="1979765D" w:rsidR="006C5988">
        <w:rPr>
          <w:rFonts w:ascii="Times New Roman" w:hAnsi="Times New Roman"/>
          <w:color w:val="auto"/>
        </w:rPr>
        <w:t xml:space="preserve"> comma-separated values (CSV)</w:t>
      </w:r>
      <w:r w:rsidRPr="1979765D">
        <w:rPr>
          <w:rFonts w:ascii="Times New Roman" w:hAnsi="Times New Roman"/>
          <w:color w:val="auto"/>
        </w:rPr>
        <w:t xml:space="preserve"> file and </w:t>
      </w:r>
      <w:r w:rsidRPr="1979765D" w:rsidR="00964C9A">
        <w:rPr>
          <w:rFonts w:ascii="Times New Roman" w:hAnsi="Times New Roman"/>
          <w:color w:val="auto"/>
        </w:rPr>
        <w:t xml:space="preserve">downloaded to the local workstation hard disk </w:t>
      </w:r>
      <w:r w:rsidR="003C342B">
        <w:rPr>
          <w:rFonts w:ascii="Times New Roman" w:hAnsi="Times New Roman"/>
          <w:color w:val="auto"/>
        </w:rPr>
        <w:t>to</w:t>
      </w:r>
      <w:r w:rsidRPr="1979765D" w:rsidR="00964C9A">
        <w:rPr>
          <w:rFonts w:ascii="Times New Roman" w:hAnsi="Times New Roman"/>
          <w:color w:val="auto"/>
        </w:rPr>
        <w:t xml:space="preserve"> which only the project </w:t>
      </w:r>
      <w:r w:rsidR="00BD49CC">
        <w:rPr>
          <w:rFonts w:ascii="Times New Roman" w:hAnsi="Times New Roman"/>
          <w:color w:val="auto"/>
        </w:rPr>
        <w:t>statistician</w:t>
      </w:r>
      <w:r w:rsidRPr="1979765D" w:rsidR="00BD49CC">
        <w:rPr>
          <w:rFonts w:ascii="Times New Roman" w:hAnsi="Times New Roman"/>
          <w:color w:val="auto"/>
        </w:rPr>
        <w:t xml:space="preserve"> </w:t>
      </w:r>
      <w:r w:rsidRPr="1979765D" w:rsidR="00964C9A">
        <w:rPr>
          <w:rFonts w:ascii="Times New Roman" w:hAnsi="Times New Roman"/>
          <w:color w:val="auto"/>
        </w:rPr>
        <w:t xml:space="preserve">has access. </w:t>
      </w:r>
      <w:r w:rsidRPr="1979765D" w:rsidR="004A0027">
        <w:rPr>
          <w:rFonts w:ascii="Times New Roman" w:hAnsi="Times New Roman"/>
          <w:color w:val="auto"/>
        </w:rPr>
        <w:t xml:space="preserve">The </w:t>
      </w:r>
      <w:r w:rsidR="00BD49CC">
        <w:rPr>
          <w:rFonts w:ascii="Times New Roman" w:hAnsi="Times New Roman"/>
          <w:color w:val="auto"/>
        </w:rPr>
        <w:t>statistician</w:t>
      </w:r>
      <w:r w:rsidRPr="1979765D" w:rsidR="00BD49CC">
        <w:rPr>
          <w:rFonts w:ascii="Times New Roman" w:hAnsi="Times New Roman"/>
          <w:color w:val="auto"/>
        </w:rPr>
        <w:t xml:space="preserve"> </w:t>
      </w:r>
      <w:r w:rsidRPr="1979765D" w:rsidR="004A0027">
        <w:rPr>
          <w:rFonts w:ascii="Times New Roman" w:hAnsi="Times New Roman"/>
          <w:color w:val="auto"/>
        </w:rPr>
        <w:t xml:space="preserve">will check the data file as soon as it is exported to ensure that no </w:t>
      </w:r>
      <w:r w:rsidR="007A770F">
        <w:rPr>
          <w:rFonts w:ascii="Times New Roman" w:hAnsi="Times New Roman"/>
          <w:color w:val="auto"/>
        </w:rPr>
        <w:t>PII</w:t>
      </w:r>
      <w:r w:rsidRPr="1979765D" w:rsidR="004A0027">
        <w:rPr>
          <w:rFonts w:ascii="Times New Roman" w:hAnsi="Times New Roman"/>
          <w:color w:val="auto"/>
        </w:rPr>
        <w:t xml:space="preserve"> (e.g., respondent name or email address) is included</w:t>
      </w:r>
      <w:r w:rsidR="00D16A36">
        <w:rPr>
          <w:rFonts w:ascii="Times New Roman" w:hAnsi="Times New Roman"/>
          <w:color w:val="auto"/>
        </w:rPr>
        <w:t xml:space="preserve"> other than the SDLA of the respondent</w:t>
      </w:r>
      <w:r w:rsidRPr="1979765D" w:rsidR="004A0027">
        <w:rPr>
          <w:rFonts w:ascii="Times New Roman" w:hAnsi="Times New Roman"/>
          <w:color w:val="auto"/>
        </w:rPr>
        <w:t xml:space="preserve">. Access to the data will be restricted to authorized users (i.e., the </w:t>
      </w:r>
      <w:r w:rsidR="00BD49CC">
        <w:rPr>
          <w:rFonts w:ascii="Times New Roman" w:hAnsi="Times New Roman"/>
          <w:color w:val="auto"/>
        </w:rPr>
        <w:t>statistician</w:t>
      </w:r>
      <w:r w:rsidRPr="1979765D" w:rsidR="004A0027">
        <w:rPr>
          <w:rFonts w:ascii="Times New Roman" w:hAnsi="Times New Roman"/>
          <w:color w:val="auto"/>
        </w:rPr>
        <w:t xml:space="preserve">) and will require login to the local workstation using a unique user ID and password. </w:t>
      </w:r>
    </w:p>
    <w:p w:rsidR="00C70723" w:rsidP="00B57147" w14:paraId="0A261B87"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5C1708" w:rsidP="00B57147" w14:paraId="561E01FA" w14:textId="53CD6846">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The following subsections discuss the assurance of confidentiality for the follow-on data collection activities. </w:t>
      </w:r>
    </w:p>
    <w:p w:rsidR="005C1708" w:rsidP="00B57147" w14:paraId="57695D77" w14:textId="2C433122">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5C1708" w:rsidRPr="00B151EA" w:rsidP="00B57147" w14:paraId="28C0A857" w14:textId="0EAE11B3">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
          <w:bCs/>
          <w:color w:val="auto"/>
        </w:rPr>
      </w:pPr>
      <w:r w:rsidRPr="00B151EA">
        <w:rPr>
          <w:rFonts w:ascii="Times New Roman" w:hAnsi="Times New Roman"/>
          <w:b/>
          <w:bCs/>
          <w:color w:val="auto"/>
        </w:rPr>
        <w:t>Database Data Collection</w:t>
      </w:r>
    </w:p>
    <w:p w:rsidR="005C1708" w:rsidP="00B57147" w14:paraId="46E9C82F" w14:textId="70C6D273">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There are no primary research participants in this collection effort. The databases from the eight participating </w:t>
      </w:r>
      <w:r w:rsidR="00B5625A">
        <w:rPr>
          <w:rFonts w:ascii="Times New Roman" w:hAnsi="Times New Roman"/>
          <w:color w:val="auto"/>
        </w:rPr>
        <w:t>S</w:t>
      </w:r>
      <w:r>
        <w:rPr>
          <w:rFonts w:ascii="Times New Roman" w:hAnsi="Times New Roman"/>
          <w:color w:val="auto"/>
        </w:rPr>
        <w:t>tates will be queried for data on examiners, examinees, and commercial drivers. It is necessary to collect</w:t>
      </w:r>
      <w:r w:rsidR="0081389E">
        <w:rPr>
          <w:rFonts w:ascii="Times New Roman" w:hAnsi="Times New Roman"/>
          <w:color w:val="auto"/>
        </w:rPr>
        <w:t xml:space="preserve"> personally</w:t>
      </w:r>
      <w:r>
        <w:rPr>
          <w:rFonts w:ascii="Times New Roman" w:hAnsi="Times New Roman"/>
          <w:color w:val="auto"/>
        </w:rPr>
        <w:t xml:space="preserve"> identifiable data for th</w:t>
      </w:r>
      <w:r>
        <w:rPr>
          <w:rFonts w:ascii="Times New Roman" w:hAnsi="Times New Roman"/>
          <w:color w:val="auto"/>
        </w:rPr>
        <w:t xml:space="preserve">e database data analysis because the project team is collecting data from </w:t>
      </w:r>
      <w:r w:rsidR="00371BEB">
        <w:rPr>
          <w:rFonts w:ascii="Times New Roman" w:hAnsi="Times New Roman"/>
          <w:color w:val="auto"/>
        </w:rPr>
        <w:t>several</w:t>
      </w:r>
      <w:r>
        <w:rPr>
          <w:rFonts w:ascii="Times New Roman" w:hAnsi="Times New Roman"/>
          <w:color w:val="auto"/>
        </w:rPr>
        <w:t xml:space="preserve"> databases and will need to link the records of drivers across those databases </w:t>
      </w:r>
      <w:r w:rsidR="00366706">
        <w:rPr>
          <w:rFonts w:ascii="Times New Roman" w:hAnsi="Times New Roman"/>
          <w:color w:val="auto"/>
        </w:rPr>
        <w:t>to</w:t>
      </w:r>
      <w:r>
        <w:rPr>
          <w:rFonts w:ascii="Times New Roman" w:hAnsi="Times New Roman"/>
          <w:color w:val="auto"/>
        </w:rPr>
        <w:t xml:space="preserve"> conduct insightful analysis. Connections between databases will be made using CDL numbers. </w:t>
      </w:r>
    </w:p>
    <w:p w:rsidR="00E302A7" w:rsidP="00B57147" w14:paraId="0C1ACFD0" w14:textId="37744ECB">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1B0132" w:rsidP="00B57147" w14:paraId="31F2C73F" w14:textId="70BB56FE">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1B0132">
        <w:rPr>
          <w:rFonts w:ascii="Times New Roman" w:hAnsi="Times New Roman"/>
          <w:color w:val="auto"/>
        </w:rPr>
        <w:t>When data is transmitted between the database owners and the research team, access to the data shall be controlled by the data owner, which shall use authentication credentials. If data needs to be stored on portable devices, encryption will be required an</w:t>
      </w:r>
      <w:r w:rsidRPr="001B0132">
        <w:rPr>
          <w:rFonts w:ascii="Times New Roman" w:hAnsi="Times New Roman"/>
          <w:color w:val="auto"/>
        </w:rPr>
        <w:t>d access to devices shall be controlled with a user ID (when possible) and a complex password. Devices shall be locked whenever left unattended</w:t>
      </w:r>
      <w:r>
        <w:rPr>
          <w:rFonts w:ascii="Times New Roman" w:hAnsi="Times New Roman"/>
          <w:color w:val="auto"/>
        </w:rPr>
        <w:t xml:space="preserve">. Once the project team receives the data, it will be </w:t>
      </w:r>
      <w:r w:rsidRPr="005B379C">
        <w:rPr>
          <w:rFonts w:ascii="Times New Roman" w:hAnsi="Times New Roman"/>
          <w:color w:val="auto"/>
        </w:rPr>
        <w:t xml:space="preserve">saved to the local workstation hard disk </w:t>
      </w:r>
      <w:r>
        <w:rPr>
          <w:rFonts w:ascii="Times New Roman" w:hAnsi="Times New Roman"/>
          <w:color w:val="auto"/>
        </w:rPr>
        <w:t xml:space="preserve">(requiring unique </w:t>
      </w:r>
      <w:r>
        <w:rPr>
          <w:rFonts w:ascii="Times New Roman" w:hAnsi="Times New Roman"/>
          <w:color w:val="auto"/>
        </w:rPr>
        <w:t xml:space="preserve">user ID and password protection) </w:t>
      </w:r>
      <w:r w:rsidRPr="005B379C">
        <w:rPr>
          <w:rFonts w:ascii="Times New Roman" w:hAnsi="Times New Roman"/>
          <w:color w:val="auto"/>
        </w:rPr>
        <w:t xml:space="preserve">for which only the project </w:t>
      </w:r>
      <w:r w:rsidR="00A306BD">
        <w:rPr>
          <w:rFonts w:ascii="Times New Roman" w:hAnsi="Times New Roman"/>
          <w:color w:val="auto"/>
        </w:rPr>
        <w:t>statistician</w:t>
      </w:r>
      <w:r w:rsidRPr="005B379C" w:rsidR="00A306BD">
        <w:rPr>
          <w:rFonts w:ascii="Times New Roman" w:hAnsi="Times New Roman"/>
          <w:color w:val="auto"/>
        </w:rPr>
        <w:t xml:space="preserve"> </w:t>
      </w:r>
      <w:r w:rsidRPr="005B379C">
        <w:rPr>
          <w:rFonts w:ascii="Times New Roman" w:hAnsi="Times New Roman"/>
          <w:color w:val="auto"/>
        </w:rPr>
        <w:t>has access</w:t>
      </w:r>
      <w:r>
        <w:rPr>
          <w:rFonts w:ascii="Times New Roman" w:hAnsi="Times New Roman"/>
          <w:color w:val="auto"/>
        </w:rPr>
        <w:t>.</w:t>
      </w:r>
    </w:p>
    <w:p w:rsidR="001B0132" w:rsidP="00B57147" w14:paraId="4C04DF5F"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E302A7" w:rsidP="00B57147" w14:paraId="03FF8AF4" w14:textId="5E05494E">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Two final datasets will be pro</w:t>
      </w:r>
      <w:r w:rsidR="001B0132">
        <w:rPr>
          <w:rFonts w:ascii="Times New Roman" w:hAnsi="Times New Roman"/>
          <w:color w:val="auto"/>
        </w:rPr>
        <w:t>duced</w:t>
      </w:r>
      <w:r>
        <w:rPr>
          <w:rFonts w:ascii="Times New Roman" w:hAnsi="Times New Roman"/>
          <w:color w:val="auto"/>
        </w:rPr>
        <w:t xml:space="preserve">: one with PII and a public-release version without PII. </w:t>
      </w:r>
      <w:r w:rsidR="001B0132">
        <w:rPr>
          <w:rFonts w:ascii="Times New Roman" w:hAnsi="Times New Roman"/>
          <w:color w:val="auto"/>
        </w:rPr>
        <w:t xml:space="preserve">The dataset including PII will be securely transferred to FMCSA’s Data Repository and will not be made available for public use. The dataset excluding PII will be made available for public use. </w:t>
      </w:r>
      <w:r w:rsidRPr="00366706" w:rsidR="00366706">
        <w:rPr>
          <w:rFonts w:ascii="Times New Roman" w:hAnsi="Times New Roman"/>
          <w:color w:val="auto"/>
        </w:rPr>
        <w:t>PII can include names, social security numbers, license numbers, addresses and other contact information, photos, handwriting, place and date of birth, medical information, educational attainment, employment information, location, and other data elements. The dataset provided for public use will have all PII removed</w:t>
      </w:r>
      <w:r w:rsidR="00366706">
        <w:rPr>
          <w:rFonts w:ascii="Times New Roman" w:hAnsi="Times New Roman"/>
          <w:color w:val="auto"/>
        </w:rPr>
        <w:t xml:space="preserve">. </w:t>
      </w:r>
      <w:r w:rsidRPr="00366706" w:rsidR="00366706">
        <w:rPr>
          <w:rFonts w:ascii="Times New Roman" w:hAnsi="Times New Roman"/>
          <w:color w:val="auto"/>
        </w:rPr>
        <w:t xml:space="preserve">To further protect identities in the </w:t>
      </w:r>
      <w:r w:rsidRPr="00366706" w:rsidR="00366706">
        <w:rPr>
          <w:rFonts w:ascii="Times New Roman" w:hAnsi="Times New Roman"/>
          <w:color w:val="auto"/>
        </w:rPr>
        <w:t>public-use dataset, arbitrary identification numbers will be used to replace names and CDL</w:t>
      </w:r>
      <w:r w:rsidR="00DC55A4">
        <w:rPr>
          <w:rFonts w:ascii="Times New Roman" w:hAnsi="Times New Roman"/>
          <w:color w:val="auto"/>
        </w:rPr>
        <w:t>/</w:t>
      </w:r>
      <w:r w:rsidRPr="00366706" w:rsidR="00366706">
        <w:rPr>
          <w:rFonts w:ascii="Times New Roman" w:hAnsi="Times New Roman"/>
          <w:color w:val="auto"/>
        </w:rPr>
        <w:t xml:space="preserve">examiner numbers to maintain anonymity without impeding linkage among files. </w:t>
      </w:r>
    </w:p>
    <w:p w:rsidR="005B379C" w:rsidP="00B57147" w14:paraId="1D4ED609"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5C1708" w:rsidRPr="00B151EA" w:rsidP="00B57147" w14:paraId="4AB66D40" w14:textId="0E3ABD80">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
          <w:bCs/>
          <w:color w:val="auto"/>
        </w:rPr>
      </w:pPr>
      <w:r w:rsidRPr="00B151EA">
        <w:rPr>
          <w:rFonts w:ascii="Times New Roman" w:hAnsi="Times New Roman"/>
          <w:b/>
          <w:bCs/>
          <w:color w:val="auto"/>
        </w:rPr>
        <w:t>Interviews / Site Visits</w:t>
      </w:r>
    </w:p>
    <w:p w:rsidR="005B379C" w:rsidRPr="005B379C" w:rsidP="00B57147" w14:paraId="276E4B4A" w14:textId="19AD201B">
      <w:pPr>
        <w:pStyle w:val="BodyText3"/>
        <w:widowControl/>
        <w:ind w:left="360"/>
        <w:rPr>
          <w:rFonts w:ascii="Times New Roman" w:hAnsi="Times New Roman"/>
          <w:color w:val="auto"/>
        </w:rPr>
      </w:pPr>
      <w:r w:rsidRPr="005B379C">
        <w:rPr>
          <w:rFonts w:ascii="Times New Roman" w:hAnsi="Times New Roman"/>
          <w:color w:val="auto"/>
        </w:rPr>
        <w:t xml:space="preserve">Each </w:t>
      </w:r>
      <w:r w:rsidR="00B5625A">
        <w:rPr>
          <w:rFonts w:ascii="Times New Roman" w:hAnsi="Times New Roman"/>
          <w:color w:val="auto"/>
        </w:rPr>
        <w:t>S</w:t>
      </w:r>
      <w:r w:rsidRPr="005B379C">
        <w:rPr>
          <w:rFonts w:ascii="Times New Roman" w:hAnsi="Times New Roman"/>
          <w:color w:val="auto"/>
        </w:rPr>
        <w:t>tate will be aske</w:t>
      </w:r>
      <w:r w:rsidRPr="005B379C">
        <w:rPr>
          <w:rFonts w:ascii="Times New Roman" w:hAnsi="Times New Roman"/>
          <w:color w:val="auto"/>
        </w:rPr>
        <w:t xml:space="preserve">d to appoint a </w:t>
      </w:r>
      <w:r w:rsidR="00DC55A4">
        <w:rPr>
          <w:rFonts w:ascii="Times New Roman" w:hAnsi="Times New Roman"/>
          <w:color w:val="auto"/>
        </w:rPr>
        <w:t>p</w:t>
      </w:r>
      <w:r w:rsidRPr="005B379C">
        <w:rPr>
          <w:rFonts w:ascii="Times New Roman" w:hAnsi="Times New Roman"/>
          <w:color w:val="auto"/>
        </w:rPr>
        <w:t>oint</w:t>
      </w:r>
      <w:r w:rsidR="008D2C8C">
        <w:rPr>
          <w:rFonts w:ascii="Times New Roman" w:hAnsi="Times New Roman"/>
          <w:color w:val="auto"/>
        </w:rPr>
        <w:t xml:space="preserve"> </w:t>
      </w:r>
      <w:r w:rsidRPr="005B379C">
        <w:rPr>
          <w:rFonts w:ascii="Times New Roman" w:hAnsi="Times New Roman"/>
          <w:color w:val="auto"/>
        </w:rPr>
        <w:t>of</w:t>
      </w:r>
      <w:r w:rsidR="008D2C8C">
        <w:rPr>
          <w:rFonts w:ascii="Times New Roman" w:hAnsi="Times New Roman"/>
          <w:color w:val="auto"/>
        </w:rPr>
        <w:t xml:space="preserve"> </w:t>
      </w:r>
      <w:r w:rsidR="00DC55A4">
        <w:rPr>
          <w:rFonts w:ascii="Times New Roman" w:hAnsi="Times New Roman"/>
          <w:color w:val="auto"/>
        </w:rPr>
        <w:t>c</w:t>
      </w:r>
      <w:r w:rsidRPr="005B379C">
        <w:rPr>
          <w:rFonts w:ascii="Times New Roman" w:hAnsi="Times New Roman"/>
          <w:color w:val="auto"/>
        </w:rPr>
        <w:t>ontact to coordinate the scheduling of the interviews and identify participants. The only PII that will be collected during the interviews will be the name</w:t>
      </w:r>
      <w:r w:rsidR="002523BC">
        <w:rPr>
          <w:rFonts w:ascii="Times New Roman" w:hAnsi="Times New Roman"/>
          <w:color w:val="auto"/>
        </w:rPr>
        <w:t xml:space="preserve">, </w:t>
      </w:r>
      <w:r w:rsidRPr="005B379C">
        <w:rPr>
          <w:rFonts w:ascii="Times New Roman" w:hAnsi="Times New Roman"/>
          <w:color w:val="auto"/>
        </w:rPr>
        <w:t>contact telephone number</w:t>
      </w:r>
      <w:r w:rsidR="002523BC">
        <w:rPr>
          <w:rFonts w:ascii="Times New Roman" w:hAnsi="Times New Roman"/>
          <w:color w:val="auto"/>
        </w:rPr>
        <w:t>,</w:t>
      </w:r>
      <w:r w:rsidRPr="005B379C">
        <w:rPr>
          <w:rFonts w:ascii="Times New Roman" w:hAnsi="Times New Roman"/>
          <w:color w:val="auto"/>
        </w:rPr>
        <w:t xml:space="preserve"> and email address for each </w:t>
      </w:r>
      <w:r w:rsidR="00B5625A">
        <w:rPr>
          <w:rFonts w:ascii="Times New Roman" w:hAnsi="Times New Roman"/>
          <w:color w:val="auto"/>
        </w:rPr>
        <w:t>S</w:t>
      </w:r>
      <w:r w:rsidRPr="005B379C">
        <w:rPr>
          <w:rFonts w:ascii="Times New Roman" w:hAnsi="Times New Roman"/>
          <w:color w:val="auto"/>
        </w:rPr>
        <w:t xml:space="preserve">tate's </w:t>
      </w:r>
      <w:r w:rsidR="002547F6">
        <w:rPr>
          <w:rFonts w:ascii="Times New Roman" w:hAnsi="Times New Roman"/>
          <w:color w:val="auto"/>
        </w:rPr>
        <w:t>p</w:t>
      </w:r>
      <w:r w:rsidRPr="005B379C">
        <w:rPr>
          <w:rFonts w:ascii="Times New Roman" w:hAnsi="Times New Roman"/>
          <w:color w:val="auto"/>
        </w:rPr>
        <w:t>oint</w:t>
      </w:r>
      <w:r w:rsidR="008D2C8C">
        <w:rPr>
          <w:rFonts w:ascii="Times New Roman" w:hAnsi="Times New Roman"/>
          <w:color w:val="auto"/>
        </w:rPr>
        <w:t xml:space="preserve"> </w:t>
      </w:r>
      <w:r w:rsidRPr="005B379C">
        <w:rPr>
          <w:rFonts w:ascii="Times New Roman" w:hAnsi="Times New Roman"/>
          <w:color w:val="auto"/>
        </w:rPr>
        <w:t>of</w:t>
      </w:r>
      <w:r w:rsidR="008D2C8C">
        <w:rPr>
          <w:rFonts w:ascii="Times New Roman" w:hAnsi="Times New Roman"/>
          <w:color w:val="auto"/>
        </w:rPr>
        <w:t xml:space="preserve"> </w:t>
      </w:r>
      <w:r w:rsidR="002547F6">
        <w:rPr>
          <w:rFonts w:ascii="Times New Roman" w:hAnsi="Times New Roman"/>
          <w:color w:val="auto"/>
        </w:rPr>
        <w:t>c</w:t>
      </w:r>
      <w:r w:rsidRPr="005B379C">
        <w:rPr>
          <w:rFonts w:ascii="Times New Roman" w:hAnsi="Times New Roman"/>
          <w:color w:val="auto"/>
        </w:rPr>
        <w:t xml:space="preserve">ontact and email addresses for participants. As </w:t>
      </w:r>
      <w:r w:rsidR="00B5625A">
        <w:rPr>
          <w:rFonts w:ascii="Times New Roman" w:hAnsi="Times New Roman"/>
          <w:color w:val="auto"/>
        </w:rPr>
        <w:t>S</w:t>
      </w:r>
      <w:r w:rsidRPr="005B379C">
        <w:rPr>
          <w:rFonts w:ascii="Times New Roman" w:hAnsi="Times New Roman"/>
          <w:color w:val="auto"/>
        </w:rPr>
        <w:t xml:space="preserve">tate employees, email and telephone numbers are already public information. </w:t>
      </w:r>
    </w:p>
    <w:p w:rsidR="005B379C" w:rsidRPr="005B379C" w:rsidP="00B57147" w14:paraId="4D4B1ABE" w14:textId="77777777">
      <w:pPr>
        <w:pStyle w:val="BodyText3"/>
        <w:widowControl/>
        <w:ind w:left="360"/>
        <w:rPr>
          <w:rFonts w:ascii="Times New Roman" w:hAnsi="Times New Roman"/>
          <w:color w:val="auto"/>
        </w:rPr>
      </w:pPr>
    </w:p>
    <w:p w:rsidR="00E302A7" w:rsidP="00B57147" w14:paraId="62764E50" w14:textId="4A0ED769">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5B379C">
        <w:rPr>
          <w:rFonts w:ascii="Times New Roman" w:hAnsi="Times New Roman"/>
          <w:color w:val="auto"/>
        </w:rPr>
        <w:t>The interview responses will be transcribed in a Word document and saved to the local workstation hard disk for which only the pr</w:t>
      </w:r>
      <w:r w:rsidRPr="005B379C">
        <w:rPr>
          <w:rFonts w:ascii="Times New Roman" w:hAnsi="Times New Roman"/>
          <w:color w:val="auto"/>
        </w:rPr>
        <w:t xml:space="preserve">oject </w:t>
      </w:r>
      <w:r w:rsidR="002547F6">
        <w:rPr>
          <w:rFonts w:ascii="Times New Roman" w:hAnsi="Times New Roman"/>
          <w:color w:val="auto"/>
        </w:rPr>
        <w:t>s</w:t>
      </w:r>
      <w:r>
        <w:rPr>
          <w:rFonts w:ascii="Times New Roman" w:hAnsi="Times New Roman"/>
          <w:color w:val="auto"/>
        </w:rPr>
        <w:t>tatistician</w:t>
      </w:r>
      <w:r w:rsidRPr="005B379C">
        <w:rPr>
          <w:rFonts w:ascii="Times New Roman" w:hAnsi="Times New Roman"/>
          <w:color w:val="auto"/>
        </w:rPr>
        <w:t xml:space="preserve"> has access. Only the SDLA </w:t>
      </w:r>
      <w:r w:rsidR="002523BC">
        <w:rPr>
          <w:rFonts w:ascii="Times New Roman" w:hAnsi="Times New Roman"/>
          <w:color w:val="auto"/>
        </w:rPr>
        <w:t xml:space="preserve">name </w:t>
      </w:r>
      <w:r w:rsidRPr="005B379C">
        <w:rPr>
          <w:rFonts w:ascii="Times New Roman" w:hAnsi="Times New Roman"/>
          <w:color w:val="auto"/>
        </w:rPr>
        <w:t xml:space="preserve">will be saved with the interview data; individual names or contact information will not be saved in the same file as the interview responses. The </w:t>
      </w:r>
      <w:r w:rsidR="00366706">
        <w:rPr>
          <w:rFonts w:ascii="Times New Roman" w:hAnsi="Times New Roman"/>
          <w:color w:val="auto"/>
        </w:rPr>
        <w:t xml:space="preserve">team </w:t>
      </w:r>
      <w:r w:rsidR="002547F6">
        <w:rPr>
          <w:rFonts w:ascii="Times New Roman" w:hAnsi="Times New Roman"/>
          <w:color w:val="auto"/>
        </w:rPr>
        <w:t>s</w:t>
      </w:r>
      <w:r w:rsidR="00366706">
        <w:rPr>
          <w:rFonts w:ascii="Times New Roman" w:hAnsi="Times New Roman"/>
          <w:color w:val="auto"/>
        </w:rPr>
        <w:t>tatistician</w:t>
      </w:r>
      <w:r w:rsidRPr="005B379C">
        <w:rPr>
          <w:rFonts w:ascii="Times New Roman" w:hAnsi="Times New Roman"/>
          <w:color w:val="auto"/>
        </w:rPr>
        <w:t xml:space="preserve"> will check the data file as soon as it is </w:t>
      </w:r>
      <w:r w:rsidRPr="005B379C">
        <w:rPr>
          <w:rFonts w:ascii="Times New Roman" w:hAnsi="Times New Roman"/>
          <w:color w:val="auto"/>
        </w:rPr>
        <w:t xml:space="preserve">exported to ensure that no </w:t>
      </w:r>
      <w:r w:rsidR="00371BEB">
        <w:rPr>
          <w:rFonts w:ascii="Times New Roman" w:hAnsi="Times New Roman"/>
          <w:color w:val="auto"/>
        </w:rPr>
        <w:t>PII</w:t>
      </w:r>
      <w:r w:rsidRPr="005B379C">
        <w:rPr>
          <w:rFonts w:ascii="Times New Roman" w:hAnsi="Times New Roman"/>
          <w:color w:val="auto"/>
        </w:rPr>
        <w:t xml:space="preserve"> (e.g.</w:t>
      </w:r>
      <w:r>
        <w:rPr>
          <w:rFonts w:ascii="Times New Roman" w:hAnsi="Times New Roman"/>
          <w:color w:val="auto"/>
        </w:rPr>
        <w:t>,</w:t>
      </w:r>
      <w:r w:rsidRPr="005B379C">
        <w:rPr>
          <w:rFonts w:ascii="Times New Roman" w:hAnsi="Times New Roman"/>
          <w:color w:val="auto"/>
        </w:rPr>
        <w:t xml:space="preserve"> respondent name or email address) is included. </w:t>
      </w:r>
    </w:p>
    <w:p w:rsidR="001B0132" w:rsidP="00B57147" w14:paraId="69C579C6" w14:textId="77777777">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302A7" w:rsidP="00B57147" w14:paraId="5A2229D3" w14:textId="35DB07CE">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All </w:t>
      </w:r>
      <w:r w:rsidR="007D0A43">
        <w:rPr>
          <w:rFonts w:ascii="Times New Roman" w:hAnsi="Times New Roman"/>
          <w:color w:val="auto"/>
        </w:rPr>
        <w:t xml:space="preserve">information </w:t>
      </w:r>
      <w:r>
        <w:rPr>
          <w:rFonts w:ascii="Times New Roman" w:hAnsi="Times New Roman"/>
          <w:color w:val="auto"/>
        </w:rPr>
        <w:t xml:space="preserve">collected from </w:t>
      </w:r>
      <w:r w:rsidR="005B379C">
        <w:rPr>
          <w:rFonts w:ascii="Times New Roman" w:hAnsi="Times New Roman"/>
          <w:color w:val="auto"/>
        </w:rPr>
        <w:t>the surveys, database data collection, and interviews will only be published in aggregate form that preserves the anonymity of respondents. The final reports developed as a part of this project will not identify any individuals by name or include any PII.</w:t>
      </w:r>
    </w:p>
    <w:p w:rsidR="00E302A7" w:rsidP="00B57147" w14:paraId="0A27E8AE" w14:textId="3E858C3C">
      <w:pPr>
        <w:pStyle w:val="BodyText3"/>
        <w:widowControl/>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FMCSA’s contractor (</w:t>
      </w:r>
      <w:r w:rsidRPr="452FB3DF">
        <w:rPr>
          <w:rFonts w:ascii="Times New Roman" w:hAnsi="Times New Roman"/>
          <w:color w:val="auto"/>
        </w:rPr>
        <w:t>Toxcel</w:t>
      </w:r>
      <w:r>
        <w:rPr>
          <w:rFonts w:ascii="Times New Roman" w:hAnsi="Times New Roman"/>
          <w:color w:val="auto"/>
        </w:rPr>
        <w:t>)</w:t>
      </w:r>
      <w:r w:rsidRPr="452FB3DF">
        <w:rPr>
          <w:rFonts w:ascii="Times New Roman" w:hAnsi="Times New Roman"/>
          <w:color w:val="auto"/>
        </w:rPr>
        <w:t xml:space="preserve"> has established a Federal-Wide Assurance (FWA00022882) and designated</w:t>
      </w:r>
      <w:r w:rsidR="003E6BFB">
        <w:rPr>
          <w:rFonts w:ascii="Times New Roman" w:hAnsi="Times New Roman"/>
          <w:color w:val="auto"/>
        </w:rPr>
        <w:t xml:space="preserve"> Institutional Review Board</w:t>
      </w:r>
      <w:r w:rsidRPr="452FB3DF">
        <w:rPr>
          <w:rFonts w:ascii="Times New Roman" w:hAnsi="Times New Roman"/>
          <w:color w:val="auto"/>
        </w:rPr>
        <w:t xml:space="preserve"> </w:t>
      </w:r>
      <w:r w:rsidR="003E6BFB">
        <w:rPr>
          <w:rFonts w:ascii="Times New Roman" w:hAnsi="Times New Roman"/>
          <w:color w:val="auto"/>
        </w:rPr>
        <w:t>(</w:t>
      </w:r>
      <w:r w:rsidRPr="452FB3DF">
        <w:rPr>
          <w:rFonts w:ascii="Times New Roman" w:hAnsi="Times New Roman"/>
          <w:color w:val="auto"/>
        </w:rPr>
        <w:t>IRB</w:t>
      </w:r>
      <w:r w:rsidR="003E6BFB">
        <w:rPr>
          <w:rFonts w:ascii="Times New Roman" w:hAnsi="Times New Roman"/>
          <w:color w:val="auto"/>
        </w:rPr>
        <w:t>)</w:t>
      </w:r>
      <w:r w:rsidRPr="452FB3DF">
        <w:rPr>
          <w:rFonts w:ascii="Times New Roman" w:hAnsi="Times New Roman"/>
          <w:color w:val="auto"/>
        </w:rPr>
        <w:t xml:space="preserve"> for the protection and well-being of human subjects, registered with the Department of Health and Human Services (HHS) under number IRB00008523. </w:t>
      </w:r>
      <w:r>
        <w:rPr>
          <w:rFonts w:ascii="Times New Roman" w:hAnsi="Times New Roman"/>
          <w:color w:val="auto"/>
        </w:rPr>
        <w:t>All dat</w:t>
      </w:r>
      <w:r>
        <w:rPr>
          <w:rFonts w:ascii="Times New Roman" w:hAnsi="Times New Roman"/>
          <w:color w:val="auto"/>
        </w:rPr>
        <w:t>a collection</w:t>
      </w:r>
      <w:r w:rsidRPr="452FB3DF">
        <w:rPr>
          <w:rFonts w:ascii="Times New Roman" w:hAnsi="Times New Roman"/>
          <w:color w:val="auto"/>
        </w:rPr>
        <w:t xml:space="preserve"> procedures, including procedures for assuring confidentiality, have received IRB approval in compliance with the requirements of 45 CFR </w:t>
      </w:r>
      <w:r w:rsidR="00ED451E">
        <w:rPr>
          <w:rFonts w:ascii="Times New Roman" w:hAnsi="Times New Roman"/>
          <w:color w:val="auto"/>
        </w:rPr>
        <w:t>p</w:t>
      </w:r>
      <w:r w:rsidRPr="452FB3DF">
        <w:rPr>
          <w:rFonts w:ascii="Times New Roman" w:hAnsi="Times New Roman"/>
          <w:color w:val="auto"/>
        </w:rPr>
        <w:t>art 46</w:t>
      </w:r>
      <w:r w:rsidR="008773B4">
        <w:rPr>
          <w:rFonts w:ascii="Times New Roman" w:hAnsi="Times New Roman"/>
          <w:color w:val="auto"/>
        </w:rPr>
        <w:t>,</w:t>
      </w:r>
      <w:r w:rsidRPr="452FB3DF">
        <w:rPr>
          <w:rFonts w:ascii="Times New Roman" w:hAnsi="Times New Roman"/>
          <w:color w:val="auto"/>
        </w:rPr>
        <w:t xml:space="preserve"> Protection of Human Subjects. No changes will be made to these procedures unless an additional IRB</w:t>
      </w:r>
      <w:r w:rsidRPr="452FB3DF">
        <w:rPr>
          <w:rFonts w:ascii="Times New Roman" w:hAnsi="Times New Roman"/>
          <w:color w:val="auto"/>
        </w:rPr>
        <w:t xml:space="preserve"> review is conducted, and the IRB approves the changes. </w:t>
      </w:r>
    </w:p>
    <w:p w:rsidR="001D4111" w:rsidRPr="005612EB" w:rsidP="00470720" w14:paraId="63EE4613" w14:textId="77777777">
      <w:pPr>
        <w:rPr>
          <w:rFonts w:ascii="Times New Roman" w:hAnsi="Times New Roman"/>
          <w:bCs/>
          <w:sz w:val="24"/>
          <w:szCs w:val="24"/>
        </w:rPr>
      </w:pPr>
    </w:p>
    <w:p w:rsidR="004A0027" w:rsidP="00526548" w14:paraId="629AF630" w14:textId="1A77EE12">
      <w:pPr>
        <w:numPr>
          <w:ilvl w:val="0"/>
          <w:numId w:val="41"/>
        </w:numPr>
        <w:rPr>
          <w:rFonts w:ascii="Times New Roman" w:hAnsi="Times New Roman"/>
          <w:sz w:val="24"/>
          <w:szCs w:val="24"/>
        </w:rPr>
      </w:pPr>
      <w:r w:rsidRPr="6ABB762F">
        <w:rPr>
          <w:rFonts w:ascii="Times New Roman" w:hAnsi="Times New Roman"/>
          <w:b/>
          <w:bCs/>
          <w:sz w:val="24"/>
          <w:szCs w:val="24"/>
        </w:rPr>
        <w:t>JUSTIFICATION FOR COLLECTION OF SENSITIVE INFORMATION</w:t>
      </w:r>
      <w:r w:rsidRPr="6ABB762F" w:rsidR="00470720">
        <w:rPr>
          <w:rFonts w:ascii="Times New Roman" w:hAnsi="Times New Roman"/>
        </w:rPr>
        <w:t xml:space="preserve"> </w:t>
      </w:r>
      <w:r>
        <w:br/>
      </w:r>
    </w:p>
    <w:p w:rsidR="004A0027" w:rsidRPr="004A0027" w:rsidP="6ABB762F" w14:paraId="6DE377A9" w14:textId="77777777">
      <w:pPr>
        <w:ind w:left="360"/>
        <w:rPr>
          <w:rFonts w:ascii="Times New Roman" w:hAnsi="Times New Roman"/>
          <w:sz w:val="24"/>
          <w:szCs w:val="24"/>
        </w:rPr>
      </w:pPr>
      <w:r w:rsidRPr="6ABB762F">
        <w:rPr>
          <w:rFonts w:ascii="Times New Roman" w:hAnsi="Times New Roman"/>
          <w:sz w:val="24"/>
          <w:szCs w:val="24"/>
        </w:rPr>
        <w:t xml:space="preserve">No information of a sensitive nature will be collected in the SDLA survey. </w:t>
      </w:r>
    </w:p>
    <w:p w:rsidR="001D47EE" w:rsidP="00121817" w14:paraId="67FA5961" w14:textId="625FF8DE">
      <w:pPr>
        <w:ind w:hanging="360"/>
        <w:rPr>
          <w:rFonts w:ascii="Times New Roman" w:hAnsi="Times New Roman"/>
          <w:sz w:val="24"/>
          <w:szCs w:val="24"/>
        </w:rPr>
      </w:pPr>
      <w:r>
        <w:br/>
      </w:r>
      <w:r w:rsidRPr="452FB3DF" w:rsidR="001C2B34">
        <w:rPr>
          <w:rFonts w:ascii="Times New Roman" w:hAnsi="Times New Roman"/>
          <w:b/>
          <w:bCs/>
          <w:sz w:val="24"/>
          <w:szCs w:val="24"/>
        </w:rPr>
        <w:t xml:space="preserve">12. </w:t>
      </w:r>
      <w:r w:rsidRPr="452FB3DF" w:rsidR="009E0597">
        <w:rPr>
          <w:rFonts w:ascii="Times New Roman" w:hAnsi="Times New Roman"/>
          <w:b/>
          <w:bCs/>
          <w:sz w:val="24"/>
          <w:szCs w:val="24"/>
        </w:rPr>
        <w:t>ESTIMATE OF BURDEN HOURS FOR INFORMATION REQUESTED</w:t>
      </w:r>
      <w:r>
        <w:br/>
      </w:r>
    </w:p>
    <w:p w:rsidR="001D47EE" w:rsidRPr="001D47EE" w:rsidP="6ABB762F" w14:paraId="0A43CEC9" w14:textId="3EFBC290">
      <w:pPr>
        <w:ind w:left="360"/>
        <w:rPr>
          <w:rFonts w:ascii="Times New Roman" w:hAnsi="Times New Roman"/>
          <w:b/>
          <w:bCs/>
          <w:i/>
          <w:iCs/>
          <w:sz w:val="24"/>
          <w:szCs w:val="24"/>
        </w:rPr>
      </w:pPr>
      <w:r w:rsidRPr="6ABB762F">
        <w:rPr>
          <w:rFonts w:ascii="Times New Roman" w:hAnsi="Times New Roman"/>
          <w:b/>
          <w:bCs/>
          <w:i/>
          <w:iCs/>
          <w:sz w:val="24"/>
          <w:szCs w:val="24"/>
        </w:rPr>
        <w:t>Estimated Total Burden Hours for Completing the SDLA Survey</w:t>
      </w:r>
    </w:p>
    <w:p w:rsidR="00767629" w:rsidP="000D6ACD" w14:paraId="049F1E9F" w14:textId="72A75451">
      <w:pPr>
        <w:pStyle w:val="NormalWeb"/>
        <w:spacing w:before="0" w:beforeAutospacing="0" w:after="180" w:afterAutospacing="0"/>
        <w:ind w:left="360" w:right="120"/>
        <w:textAlignment w:val="baseline"/>
        <w:rPr>
          <w:rFonts w:ascii="Times New Roman" w:hAnsi="Times New Roman"/>
        </w:rPr>
      </w:pPr>
      <w:r w:rsidRPr="6ABB762F">
        <w:rPr>
          <w:rFonts w:ascii="Times New Roman" w:hAnsi="Times New Roman"/>
        </w:rPr>
        <w:t xml:space="preserve">The </w:t>
      </w:r>
      <w:r w:rsidR="00FF5C42">
        <w:rPr>
          <w:rFonts w:ascii="Times New Roman" w:hAnsi="Times New Roman"/>
        </w:rPr>
        <w:t xml:space="preserve">burden hours associated with the SDLA </w:t>
      </w:r>
      <w:r w:rsidR="00317CC0">
        <w:rPr>
          <w:rFonts w:ascii="Times New Roman" w:hAnsi="Times New Roman"/>
        </w:rPr>
        <w:t xml:space="preserve">survey </w:t>
      </w:r>
      <w:r w:rsidR="00FF5C42">
        <w:rPr>
          <w:rFonts w:ascii="Times New Roman" w:hAnsi="Times New Roman"/>
        </w:rPr>
        <w:t xml:space="preserve">will be incurred by </w:t>
      </w:r>
      <w:r w:rsidR="00B5625A">
        <w:rPr>
          <w:rFonts w:ascii="Times New Roman" w:hAnsi="Times New Roman"/>
        </w:rPr>
        <w:t>S</w:t>
      </w:r>
      <w:r w:rsidR="00FF5C42">
        <w:rPr>
          <w:rFonts w:ascii="Times New Roman" w:hAnsi="Times New Roman"/>
        </w:rPr>
        <w:t xml:space="preserve">tate </w:t>
      </w:r>
      <w:r w:rsidR="002E47DF">
        <w:rPr>
          <w:rFonts w:ascii="Times New Roman" w:hAnsi="Times New Roman"/>
        </w:rPr>
        <w:t>G</w:t>
      </w:r>
      <w:r w:rsidR="00FF5C42">
        <w:rPr>
          <w:rFonts w:ascii="Times New Roman" w:hAnsi="Times New Roman"/>
        </w:rPr>
        <w:t>overnment employees</w:t>
      </w:r>
      <w:r w:rsidR="00D72C98">
        <w:rPr>
          <w:rFonts w:ascii="Times New Roman" w:hAnsi="Times New Roman"/>
        </w:rPr>
        <w:t xml:space="preserve"> (management, professional, and related)</w:t>
      </w:r>
      <w:r w:rsidR="00FF5C42">
        <w:rPr>
          <w:rFonts w:ascii="Times New Roman" w:hAnsi="Times New Roman"/>
        </w:rPr>
        <w:t xml:space="preserve">. The </w:t>
      </w:r>
      <w:r w:rsidRPr="6ABB762F">
        <w:rPr>
          <w:rFonts w:ascii="Times New Roman" w:hAnsi="Times New Roman"/>
        </w:rPr>
        <w:t xml:space="preserve">surveys will be sent to all 50 </w:t>
      </w:r>
      <w:r w:rsidR="00B5625A">
        <w:rPr>
          <w:rFonts w:ascii="Times New Roman" w:hAnsi="Times New Roman"/>
        </w:rPr>
        <w:t>S</w:t>
      </w:r>
      <w:r w:rsidRPr="6ABB762F">
        <w:rPr>
          <w:rFonts w:ascii="Times New Roman" w:hAnsi="Times New Roman"/>
        </w:rPr>
        <w:t xml:space="preserve">tates and the District </w:t>
      </w:r>
      <w:r w:rsidRPr="6ABB762F">
        <w:rPr>
          <w:rFonts w:ascii="Times New Roman" w:hAnsi="Times New Roman"/>
        </w:rPr>
        <w:t xml:space="preserve">of Columbia and will be answered by one recipient per </w:t>
      </w:r>
      <w:r w:rsidR="00B5625A">
        <w:rPr>
          <w:rFonts w:ascii="Times New Roman" w:hAnsi="Times New Roman"/>
        </w:rPr>
        <w:t>S</w:t>
      </w:r>
      <w:r w:rsidRPr="6ABB762F">
        <w:rPr>
          <w:rFonts w:ascii="Times New Roman" w:hAnsi="Times New Roman"/>
        </w:rPr>
        <w:t xml:space="preserve">tate. The recipient is expected to be the </w:t>
      </w:r>
      <w:r w:rsidR="009D70FF">
        <w:rPr>
          <w:rFonts w:ascii="Times New Roman" w:hAnsi="Times New Roman"/>
        </w:rPr>
        <w:t>s</w:t>
      </w:r>
      <w:r w:rsidRPr="6ABB762F">
        <w:rPr>
          <w:rFonts w:ascii="Times New Roman" w:hAnsi="Times New Roman"/>
        </w:rPr>
        <w:t xml:space="preserve">upervisor or </w:t>
      </w:r>
      <w:r w:rsidR="009D70FF">
        <w:rPr>
          <w:rFonts w:ascii="Times New Roman" w:hAnsi="Times New Roman"/>
        </w:rPr>
        <w:t>m</w:t>
      </w:r>
      <w:r w:rsidRPr="6ABB762F">
        <w:rPr>
          <w:rFonts w:ascii="Times New Roman" w:hAnsi="Times New Roman"/>
        </w:rPr>
        <w:t xml:space="preserve">anager who oversees CDL testing for the </w:t>
      </w:r>
      <w:r w:rsidR="00B5625A">
        <w:rPr>
          <w:rFonts w:ascii="Times New Roman" w:hAnsi="Times New Roman"/>
        </w:rPr>
        <w:t>S</w:t>
      </w:r>
      <w:r w:rsidRPr="6ABB762F">
        <w:rPr>
          <w:rFonts w:ascii="Times New Roman" w:hAnsi="Times New Roman"/>
        </w:rPr>
        <w:t>tate</w:t>
      </w:r>
      <w:r w:rsidR="00FF5C42">
        <w:rPr>
          <w:rFonts w:ascii="Times New Roman" w:hAnsi="Times New Roman"/>
        </w:rPr>
        <w:t xml:space="preserve">. </w:t>
      </w:r>
      <w:r w:rsidR="00A851E9">
        <w:rPr>
          <w:rFonts w:ascii="Times New Roman" w:hAnsi="Times New Roman"/>
        </w:rPr>
        <w:t>The data collection duration will be approximately one year.</w:t>
      </w:r>
    </w:p>
    <w:p w:rsidR="00D77501" w:rsidP="00515E06" w14:paraId="3FBC3678" w14:textId="1BE21F2D">
      <w:pPr>
        <w:ind w:left="360"/>
        <w:rPr>
          <w:rFonts w:ascii="Times New Roman" w:hAnsi="Times New Roman"/>
          <w:sz w:val="24"/>
          <w:szCs w:val="24"/>
        </w:rPr>
      </w:pPr>
      <w:r>
        <w:rPr>
          <w:rFonts w:ascii="Times New Roman" w:hAnsi="Times New Roman"/>
          <w:sz w:val="24"/>
          <w:szCs w:val="24"/>
        </w:rPr>
        <w:t>For the purposes of estimating burde</w:t>
      </w:r>
      <w:r>
        <w:rPr>
          <w:rFonts w:ascii="Times New Roman" w:hAnsi="Times New Roman"/>
          <w:sz w:val="24"/>
          <w:szCs w:val="24"/>
        </w:rPr>
        <w:t xml:space="preserve">n, the </w:t>
      </w:r>
      <w:r w:rsidR="00986A3B">
        <w:rPr>
          <w:rFonts w:ascii="Times New Roman" w:hAnsi="Times New Roman"/>
          <w:sz w:val="24"/>
          <w:szCs w:val="24"/>
        </w:rPr>
        <w:t>SDLA</w:t>
      </w:r>
      <w:r>
        <w:rPr>
          <w:rFonts w:ascii="Times New Roman" w:hAnsi="Times New Roman"/>
          <w:sz w:val="24"/>
          <w:szCs w:val="24"/>
        </w:rPr>
        <w:t xml:space="preserve"> </w:t>
      </w:r>
      <w:r w:rsidR="009D70FF">
        <w:rPr>
          <w:rFonts w:ascii="Times New Roman" w:hAnsi="Times New Roman"/>
          <w:sz w:val="24"/>
          <w:szCs w:val="24"/>
        </w:rPr>
        <w:t>s</w:t>
      </w:r>
      <w:r>
        <w:rPr>
          <w:rFonts w:ascii="Times New Roman" w:hAnsi="Times New Roman"/>
          <w:sz w:val="24"/>
          <w:szCs w:val="24"/>
        </w:rPr>
        <w:t xml:space="preserve">urvey (IC-1) was broken down into </w:t>
      </w:r>
      <w:r w:rsidR="001F12EA">
        <w:rPr>
          <w:rFonts w:ascii="Times New Roman" w:hAnsi="Times New Roman"/>
          <w:sz w:val="24"/>
          <w:szCs w:val="24"/>
        </w:rPr>
        <w:t>four subtasks: identifying the appropriate point</w:t>
      </w:r>
      <w:r w:rsidR="008D2C8C">
        <w:rPr>
          <w:rFonts w:ascii="Times New Roman" w:hAnsi="Times New Roman"/>
          <w:sz w:val="24"/>
          <w:szCs w:val="24"/>
        </w:rPr>
        <w:t xml:space="preserve"> </w:t>
      </w:r>
      <w:r w:rsidR="001F12EA">
        <w:rPr>
          <w:rFonts w:ascii="Times New Roman" w:hAnsi="Times New Roman"/>
          <w:sz w:val="24"/>
          <w:szCs w:val="24"/>
        </w:rPr>
        <w:t>of</w:t>
      </w:r>
      <w:r w:rsidR="008D2C8C">
        <w:rPr>
          <w:rFonts w:ascii="Times New Roman" w:hAnsi="Times New Roman"/>
          <w:sz w:val="24"/>
          <w:szCs w:val="24"/>
        </w:rPr>
        <w:t xml:space="preserve"> </w:t>
      </w:r>
      <w:r w:rsidR="001F12EA">
        <w:rPr>
          <w:rFonts w:ascii="Times New Roman" w:hAnsi="Times New Roman"/>
          <w:sz w:val="24"/>
          <w:szCs w:val="24"/>
        </w:rPr>
        <w:t>contact within the SDLA to take the survey (IC-1a), reviewing the survey invitation and instructions (IC-1b), and completing the survey</w:t>
      </w:r>
      <w:r w:rsidR="009D70FF">
        <w:rPr>
          <w:rFonts w:ascii="Times New Roman" w:hAnsi="Times New Roman"/>
          <w:sz w:val="24"/>
          <w:szCs w:val="24"/>
        </w:rPr>
        <w:t>,</w:t>
      </w:r>
      <w:r w:rsidR="001F12EA">
        <w:rPr>
          <w:rFonts w:ascii="Times New Roman" w:hAnsi="Times New Roman"/>
          <w:sz w:val="24"/>
          <w:szCs w:val="24"/>
        </w:rPr>
        <w:t xml:space="preserve"> which will consist of background research and information gathering (IC-1c) and entering responses into the survey form (IC-1d).</w:t>
      </w:r>
    </w:p>
    <w:p w:rsidR="00515E06" w:rsidP="00515E06" w14:paraId="620CF7F9" w14:textId="77777777">
      <w:pPr>
        <w:ind w:left="360"/>
      </w:pPr>
    </w:p>
    <w:p w:rsidR="00CD3BC4" w:rsidP="00CD3BC4" w14:paraId="57A9020C" w14:textId="60D863D0">
      <w:pPr>
        <w:ind w:left="360"/>
        <w:rPr>
          <w:rFonts w:ascii="Times New Roman" w:hAnsi="Times New Roman"/>
          <w:sz w:val="24"/>
          <w:szCs w:val="24"/>
        </w:rPr>
      </w:pPr>
      <w:r w:rsidRPr="6ABB762F">
        <w:rPr>
          <w:rFonts w:ascii="Times New Roman" w:hAnsi="Times New Roman"/>
          <w:sz w:val="24"/>
          <w:szCs w:val="24"/>
        </w:rPr>
        <w:t xml:space="preserve">The total estimated burden to </w:t>
      </w:r>
      <w:r w:rsidR="00B5625A">
        <w:rPr>
          <w:rFonts w:ascii="Times New Roman" w:hAnsi="Times New Roman"/>
          <w:sz w:val="24"/>
          <w:szCs w:val="24"/>
        </w:rPr>
        <w:t>S</w:t>
      </w:r>
      <w:r w:rsidRPr="6ABB762F">
        <w:rPr>
          <w:rFonts w:ascii="Times New Roman" w:hAnsi="Times New Roman"/>
          <w:sz w:val="24"/>
          <w:szCs w:val="24"/>
        </w:rPr>
        <w:t>tates for identifying the appropriate point of contact is expected to be no more than 25</w:t>
      </w:r>
      <w:r w:rsidR="002378AD">
        <w:rPr>
          <w:rFonts w:ascii="Times New Roman" w:hAnsi="Times New Roman"/>
          <w:sz w:val="24"/>
          <w:szCs w:val="24"/>
        </w:rPr>
        <w:t>.5</w:t>
      </w:r>
      <w:r w:rsidRPr="6ABB762F">
        <w:rPr>
          <w:rFonts w:ascii="Times New Roman" w:hAnsi="Times New Roman"/>
          <w:sz w:val="24"/>
          <w:szCs w:val="24"/>
        </w:rPr>
        <w:t xml:space="preserve"> hou</w:t>
      </w:r>
      <w:r w:rsidRPr="6ABB762F">
        <w:rPr>
          <w:rFonts w:ascii="Times New Roman" w:hAnsi="Times New Roman"/>
          <w:sz w:val="24"/>
          <w:szCs w:val="24"/>
        </w:rPr>
        <w:t xml:space="preserve">rs, or approximately 30 minutes per </w:t>
      </w:r>
      <w:r w:rsidR="00B5625A">
        <w:rPr>
          <w:rFonts w:ascii="Times New Roman" w:hAnsi="Times New Roman"/>
          <w:sz w:val="24"/>
          <w:szCs w:val="24"/>
        </w:rPr>
        <w:t>S</w:t>
      </w:r>
      <w:r w:rsidRPr="6ABB762F">
        <w:rPr>
          <w:rFonts w:ascii="Times New Roman" w:hAnsi="Times New Roman"/>
          <w:sz w:val="24"/>
          <w:szCs w:val="24"/>
        </w:rPr>
        <w:t xml:space="preserve">tate. Once the appropriate point of contact has been identified for each </w:t>
      </w:r>
      <w:r w:rsidR="00B5625A">
        <w:rPr>
          <w:rFonts w:ascii="Times New Roman" w:hAnsi="Times New Roman"/>
          <w:sz w:val="24"/>
          <w:szCs w:val="24"/>
        </w:rPr>
        <w:t>S</w:t>
      </w:r>
      <w:r w:rsidRPr="6ABB762F">
        <w:rPr>
          <w:rFonts w:ascii="Times New Roman" w:hAnsi="Times New Roman"/>
          <w:sz w:val="24"/>
          <w:szCs w:val="24"/>
        </w:rPr>
        <w:t>tate, the survey respondent is expected to need up to 10 minutes to review the survey invitations and instructions, up to 30 minutes to conduct a</w:t>
      </w:r>
      <w:r w:rsidRPr="6ABB762F">
        <w:rPr>
          <w:rFonts w:ascii="Times New Roman" w:hAnsi="Times New Roman"/>
          <w:sz w:val="24"/>
          <w:szCs w:val="24"/>
        </w:rPr>
        <w:t xml:space="preserve">ny needed background research, and up to 15 minutes to complete the survey. The total burden </w:t>
      </w:r>
      <w:r w:rsidR="00657C9D">
        <w:rPr>
          <w:rFonts w:ascii="Times New Roman" w:hAnsi="Times New Roman"/>
          <w:sz w:val="24"/>
          <w:szCs w:val="24"/>
        </w:rPr>
        <w:t>for all 51 respondents</w:t>
      </w:r>
      <w:r w:rsidRPr="6ABB762F">
        <w:rPr>
          <w:rFonts w:ascii="Times New Roman" w:hAnsi="Times New Roman"/>
          <w:sz w:val="24"/>
          <w:szCs w:val="24"/>
        </w:rPr>
        <w:t xml:space="preserve"> is </w:t>
      </w:r>
      <w:r w:rsidR="00657C9D">
        <w:rPr>
          <w:rFonts w:ascii="Times New Roman" w:hAnsi="Times New Roman"/>
          <w:sz w:val="24"/>
          <w:szCs w:val="24"/>
        </w:rPr>
        <w:t>estimated to be a maximum of</w:t>
      </w:r>
      <w:r w:rsidRPr="6ABB762F">
        <w:rPr>
          <w:rFonts w:ascii="Times New Roman" w:hAnsi="Times New Roman"/>
          <w:sz w:val="24"/>
          <w:szCs w:val="24"/>
        </w:rPr>
        <w:t xml:space="preserve"> 72.</w:t>
      </w:r>
      <w:r w:rsidR="00657C9D">
        <w:rPr>
          <w:rFonts w:ascii="Times New Roman" w:hAnsi="Times New Roman"/>
          <w:sz w:val="24"/>
          <w:szCs w:val="24"/>
        </w:rPr>
        <w:t>42</w:t>
      </w:r>
      <w:r w:rsidRPr="6ABB762F">
        <w:rPr>
          <w:rFonts w:ascii="Times New Roman" w:hAnsi="Times New Roman"/>
          <w:sz w:val="24"/>
          <w:szCs w:val="24"/>
        </w:rPr>
        <w:t xml:space="preserve"> hours.</w:t>
      </w:r>
      <w:r>
        <w:rPr>
          <w:rFonts w:ascii="Times New Roman" w:hAnsi="Times New Roman"/>
          <w:sz w:val="24"/>
          <w:szCs w:val="24"/>
        </w:rPr>
        <w:t xml:space="preserve"> The burden hours associated with each IC subtask are shown in Table </w:t>
      </w:r>
      <w:r w:rsidR="006C455B">
        <w:rPr>
          <w:rFonts w:ascii="Times New Roman" w:hAnsi="Times New Roman"/>
          <w:sz w:val="24"/>
          <w:szCs w:val="24"/>
        </w:rPr>
        <w:t>2</w:t>
      </w:r>
      <w:r>
        <w:rPr>
          <w:rFonts w:ascii="Times New Roman" w:hAnsi="Times New Roman"/>
          <w:sz w:val="24"/>
          <w:szCs w:val="24"/>
        </w:rPr>
        <w:t xml:space="preserve">. </w:t>
      </w:r>
    </w:p>
    <w:p w:rsidR="00D77501" w:rsidP="00D77501" w14:paraId="514B5E3A" w14:textId="3E3E3D38"/>
    <w:p w:rsidR="007F3BB6" w:rsidRPr="000D6ACD" w:rsidP="00B57147" w14:paraId="6D6AAD4E" w14:textId="304CC3E9">
      <w:pPr>
        <w:pStyle w:val="Caption"/>
        <w:keepNext/>
        <w:spacing w:after="120"/>
        <w:jc w:val="center"/>
        <w:rPr>
          <w:rFonts w:ascii="Times New Roman" w:hAnsi="Times New Roman"/>
        </w:rPr>
      </w:pPr>
      <w:r w:rsidRPr="000D6ACD">
        <w:rPr>
          <w:rFonts w:ascii="Times New Roman" w:hAnsi="Times New Roman"/>
        </w:rPr>
        <w:t xml:space="preserve">Table </w:t>
      </w:r>
      <w:r w:rsidRPr="000D6ACD" w:rsidR="006C455B">
        <w:rPr>
          <w:rFonts w:ascii="Times New Roman" w:hAnsi="Times New Roman"/>
        </w:rPr>
        <w:t>2</w:t>
      </w:r>
      <w:r w:rsidRPr="000D6ACD">
        <w:rPr>
          <w:rFonts w:ascii="Times New Roman" w:hAnsi="Times New Roman"/>
        </w:rPr>
        <w:t xml:space="preserve">. Burden hours </w:t>
      </w:r>
      <w:r w:rsidRPr="000D6ACD">
        <w:rPr>
          <w:rFonts w:ascii="Times New Roman" w:hAnsi="Times New Roman"/>
        </w:rPr>
        <w:t>associated with each IC</w:t>
      </w:r>
      <w:r w:rsidRPr="000D6ACD" w:rsidR="00A326B2">
        <w:rPr>
          <w:rFonts w:ascii="Times New Roman" w:hAnsi="Times New Roman"/>
        </w:rPr>
        <w:t xml:space="preserve"> item</w:t>
      </w:r>
      <w:r w:rsidRPr="000D6ACD">
        <w:rPr>
          <w:rFonts w:ascii="Times New Roman" w:hAnsi="Times New Roman"/>
        </w:rPr>
        <w:t>.</w:t>
      </w:r>
    </w:p>
    <w:tbl>
      <w:tblPr>
        <w:tblStyle w:val="TableGrid"/>
        <w:tblW w:w="8985" w:type="dxa"/>
        <w:tblInd w:w="345" w:type="dxa"/>
        <w:tblBorders>
          <w:top w:val="single" w:sz="12" w:space="0" w:color="auto"/>
          <w:left w:val="single" w:sz="12" w:space="0" w:color="auto"/>
          <w:bottom w:val="single" w:sz="12" w:space="0" w:color="auto"/>
          <w:right w:val="single" w:sz="12" w:space="0" w:color="auto"/>
        </w:tblBorders>
        <w:tblLook w:val="04A0"/>
      </w:tblPr>
      <w:tblGrid>
        <w:gridCol w:w="3960"/>
        <w:gridCol w:w="1530"/>
        <w:gridCol w:w="1890"/>
        <w:gridCol w:w="1605"/>
      </w:tblGrid>
      <w:tr w14:paraId="5E55CA43" w14:textId="77777777" w:rsidTr="00B57147">
        <w:tblPrEx>
          <w:tblW w:w="8985" w:type="dxa"/>
          <w:tblInd w:w="345" w:type="dxa"/>
          <w:tblBorders>
            <w:top w:val="single" w:sz="12" w:space="0" w:color="auto"/>
            <w:left w:val="single" w:sz="12" w:space="0" w:color="auto"/>
            <w:bottom w:val="single" w:sz="12" w:space="0" w:color="auto"/>
            <w:right w:val="single" w:sz="12" w:space="0" w:color="auto"/>
          </w:tblBorders>
          <w:tblLook w:val="04A0"/>
        </w:tblPrEx>
        <w:tc>
          <w:tcPr>
            <w:tcW w:w="3960" w:type="dxa"/>
            <w:tcBorders>
              <w:top w:val="single" w:sz="12" w:space="0" w:color="auto"/>
              <w:bottom w:val="single" w:sz="12" w:space="0" w:color="auto"/>
            </w:tcBorders>
            <w:shd w:val="clear" w:color="auto" w:fill="E7E6E6" w:themeFill="background2"/>
            <w:vAlign w:val="bottom"/>
          </w:tcPr>
          <w:p w:rsidR="00515E06" w:rsidRPr="000D6ACD" w:rsidP="00B57147" w14:paraId="30877A8E" w14:textId="77777777">
            <w:pPr>
              <w:jc w:val="center"/>
              <w:rPr>
                <w:rFonts w:ascii="Times New Roman" w:hAnsi="Times New Roman"/>
                <w:b/>
                <w:bCs/>
              </w:rPr>
            </w:pPr>
            <w:r w:rsidRPr="000D6ACD">
              <w:rPr>
                <w:rFonts w:ascii="Times New Roman" w:hAnsi="Times New Roman"/>
                <w:b/>
                <w:bCs/>
              </w:rPr>
              <w:t>IC Item</w:t>
            </w:r>
          </w:p>
        </w:tc>
        <w:tc>
          <w:tcPr>
            <w:tcW w:w="1530" w:type="dxa"/>
            <w:tcBorders>
              <w:top w:val="single" w:sz="12" w:space="0" w:color="auto"/>
              <w:bottom w:val="single" w:sz="12" w:space="0" w:color="auto"/>
            </w:tcBorders>
            <w:shd w:val="clear" w:color="auto" w:fill="E7E6E6" w:themeFill="background2"/>
            <w:vAlign w:val="bottom"/>
          </w:tcPr>
          <w:p w:rsidR="00515E06" w:rsidRPr="000D6ACD" w:rsidP="12611CEE" w14:paraId="105A9DCF" w14:textId="6C8A22AF">
            <w:pPr>
              <w:jc w:val="center"/>
              <w:rPr>
                <w:rFonts w:ascii="Times New Roman" w:hAnsi="Times New Roman"/>
                <w:b/>
                <w:bCs/>
              </w:rPr>
            </w:pPr>
            <w:r>
              <w:rPr>
                <w:rFonts w:ascii="Times New Roman" w:hAnsi="Times New Roman"/>
                <w:b/>
                <w:bCs/>
              </w:rPr>
              <w:t>Burden Hours per Response</w:t>
            </w:r>
          </w:p>
          <w:p w:rsidR="00515E06" w:rsidRPr="000D6ACD" w:rsidP="00B57147" w14:paraId="58755EBE" w14:textId="35474F6D">
            <w:pPr>
              <w:jc w:val="center"/>
              <w:rPr>
                <w:rFonts w:ascii="Times New Roman" w:hAnsi="Times New Roman"/>
                <w:b/>
                <w:bCs/>
              </w:rPr>
            </w:pPr>
            <w:r w:rsidRPr="12611CEE">
              <w:rPr>
                <w:rFonts w:ascii="Times New Roman" w:hAnsi="Times New Roman"/>
                <w:b/>
                <w:bCs/>
              </w:rPr>
              <w:t>(a)</w:t>
            </w:r>
          </w:p>
        </w:tc>
        <w:tc>
          <w:tcPr>
            <w:tcW w:w="1890" w:type="dxa"/>
            <w:tcBorders>
              <w:top w:val="single" w:sz="12" w:space="0" w:color="auto"/>
              <w:bottom w:val="single" w:sz="12" w:space="0" w:color="auto"/>
            </w:tcBorders>
            <w:shd w:val="clear" w:color="auto" w:fill="E7E6E6" w:themeFill="background2"/>
            <w:vAlign w:val="bottom"/>
          </w:tcPr>
          <w:p w:rsidR="00515E06" w:rsidRPr="000D6ACD" w:rsidP="12611CEE" w14:paraId="06219745" w14:textId="20AE108E">
            <w:pPr>
              <w:jc w:val="center"/>
              <w:rPr>
                <w:rFonts w:ascii="Times New Roman" w:hAnsi="Times New Roman"/>
                <w:b/>
                <w:bCs/>
              </w:rPr>
            </w:pPr>
            <w:r>
              <w:rPr>
                <w:rFonts w:ascii="Times New Roman" w:hAnsi="Times New Roman"/>
                <w:b/>
                <w:bCs/>
              </w:rPr>
              <w:t>Total Number of Respondents</w:t>
            </w:r>
          </w:p>
          <w:p w:rsidR="00515E06" w:rsidRPr="000D6ACD" w:rsidP="00B57147" w14:paraId="2A150951" w14:textId="390FA662">
            <w:pPr>
              <w:jc w:val="center"/>
              <w:rPr>
                <w:rFonts w:ascii="Times New Roman" w:hAnsi="Times New Roman"/>
                <w:b/>
                <w:bCs/>
              </w:rPr>
            </w:pPr>
            <w:r w:rsidRPr="12611CEE">
              <w:rPr>
                <w:rFonts w:ascii="Times New Roman" w:hAnsi="Times New Roman"/>
                <w:b/>
                <w:bCs/>
              </w:rPr>
              <w:t>(b)</w:t>
            </w:r>
          </w:p>
        </w:tc>
        <w:tc>
          <w:tcPr>
            <w:tcW w:w="1605" w:type="dxa"/>
            <w:tcBorders>
              <w:top w:val="single" w:sz="12" w:space="0" w:color="auto"/>
              <w:bottom w:val="single" w:sz="12" w:space="0" w:color="auto"/>
            </w:tcBorders>
            <w:shd w:val="clear" w:color="auto" w:fill="E7E6E6" w:themeFill="background2"/>
            <w:vAlign w:val="bottom"/>
          </w:tcPr>
          <w:p w:rsidR="00515E06" w:rsidRPr="000D6ACD" w:rsidP="12611CEE" w14:paraId="20F7DA7E" w14:textId="43D5C351">
            <w:pPr>
              <w:jc w:val="center"/>
              <w:rPr>
                <w:rFonts w:ascii="Times New Roman" w:hAnsi="Times New Roman"/>
                <w:b/>
                <w:bCs/>
              </w:rPr>
            </w:pPr>
            <w:r>
              <w:rPr>
                <w:rFonts w:ascii="Times New Roman" w:hAnsi="Times New Roman"/>
                <w:b/>
                <w:bCs/>
              </w:rPr>
              <w:t>Total Burden Hours</w:t>
            </w:r>
          </w:p>
          <w:p w:rsidR="00515E06" w:rsidRPr="000D6ACD" w:rsidP="00B57147" w14:paraId="506033D8" w14:textId="3AB2C12C">
            <w:pPr>
              <w:jc w:val="center"/>
              <w:rPr>
                <w:rFonts w:ascii="Times New Roman" w:hAnsi="Times New Roman"/>
                <w:b/>
                <w:bCs/>
              </w:rPr>
            </w:pPr>
            <w:r w:rsidRPr="12611CEE">
              <w:rPr>
                <w:rFonts w:ascii="Times New Roman" w:hAnsi="Times New Roman"/>
                <w:b/>
                <w:bCs/>
              </w:rPr>
              <w:t>(a*b = c)</w:t>
            </w:r>
          </w:p>
        </w:tc>
      </w:tr>
      <w:tr w14:paraId="4CCD58B4" w14:textId="77777777" w:rsidTr="00B57147">
        <w:tblPrEx>
          <w:tblW w:w="8985" w:type="dxa"/>
          <w:tblInd w:w="345" w:type="dxa"/>
          <w:tblLook w:val="04A0"/>
        </w:tblPrEx>
        <w:tc>
          <w:tcPr>
            <w:tcW w:w="3960" w:type="dxa"/>
            <w:tcBorders>
              <w:top w:val="single" w:sz="12" w:space="0" w:color="auto"/>
            </w:tcBorders>
          </w:tcPr>
          <w:p w:rsidR="00515E06" w:rsidRPr="000D6ACD" w:rsidP="00A326B2" w14:paraId="1C3D51DF" w14:textId="2C10FEDE">
            <w:pPr>
              <w:rPr>
                <w:rFonts w:ascii="Times New Roman" w:hAnsi="Times New Roman"/>
              </w:rPr>
            </w:pPr>
            <w:r w:rsidRPr="000D6ACD">
              <w:rPr>
                <w:rFonts w:ascii="Times New Roman" w:hAnsi="Times New Roman"/>
              </w:rPr>
              <w:t>IC-1a: Identify Point of</w:t>
            </w:r>
            <w:r w:rsidR="007C6836">
              <w:rPr>
                <w:rFonts w:ascii="Times New Roman" w:hAnsi="Times New Roman"/>
              </w:rPr>
              <w:t xml:space="preserve"> </w:t>
            </w:r>
            <w:r w:rsidRPr="000D6ACD">
              <w:rPr>
                <w:rFonts w:ascii="Times New Roman" w:hAnsi="Times New Roman"/>
              </w:rPr>
              <w:t>Contact</w:t>
            </w:r>
          </w:p>
        </w:tc>
        <w:tc>
          <w:tcPr>
            <w:tcW w:w="1530" w:type="dxa"/>
            <w:tcBorders>
              <w:top w:val="single" w:sz="12" w:space="0" w:color="auto"/>
            </w:tcBorders>
          </w:tcPr>
          <w:p w:rsidR="00515E06" w:rsidRPr="000D6ACD" w:rsidP="000D6ACD" w14:paraId="777A9034" w14:textId="1E19D839">
            <w:pPr>
              <w:jc w:val="center"/>
              <w:rPr>
                <w:rFonts w:ascii="Times New Roman" w:hAnsi="Times New Roman"/>
              </w:rPr>
            </w:pPr>
            <w:r>
              <w:rPr>
                <w:rFonts w:ascii="Times New Roman" w:hAnsi="Times New Roman"/>
              </w:rPr>
              <w:t xml:space="preserve">  </w:t>
            </w:r>
            <w:r w:rsidRPr="000D6ACD">
              <w:rPr>
                <w:rFonts w:ascii="Times New Roman" w:hAnsi="Times New Roman"/>
              </w:rPr>
              <w:t>0.5 hours</w:t>
            </w:r>
          </w:p>
        </w:tc>
        <w:tc>
          <w:tcPr>
            <w:tcW w:w="1890" w:type="dxa"/>
            <w:tcBorders>
              <w:top w:val="single" w:sz="12" w:space="0" w:color="auto"/>
            </w:tcBorders>
          </w:tcPr>
          <w:p w:rsidR="00515E06" w:rsidRPr="000D6ACD" w:rsidP="00A326B2" w14:paraId="6E8962E9" w14:textId="7DC3FD68">
            <w:pPr>
              <w:jc w:val="center"/>
              <w:rPr>
                <w:rFonts w:ascii="Times New Roman" w:hAnsi="Times New Roman"/>
              </w:rPr>
            </w:pPr>
            <w:r>
              <w:rPr>
                <w:rFonts w:ascii="Times New Roman" w:hAnsi="Times New Roman"/>
              </w:rPr>
              <w:t>51</w:t>
            </w:r>
          </w:p>
        </w:tc>
        <w:tc>
          <w:tcPr>
            <w:tcW w:w="1605" w:type="dxa"/>
            <w:tcBorders>
              <w:top w:val="single" w:sz="12" w:space="0" w:color="auto"/>
            </w:tcBorders>
          </w:tcPr>
          <w:p w:rsidR="00515E06" w:rsidRPr="000D6ACD" w:rsidP="00A326B2" w14:paraId="6F7AE4E2" w14:textId="131BE95D">
            <w:pPr>
              <w:jc w:val="center"/>
              <w:rPr>
                <w:rFonts w:ascii="Times New Roman" w:hAnsi="Times New Roman"/>
              </w:rPr>
            </w:pPr>
            <w:r>
              <w:rPr>
                <w:rFonts w:ascii="Times New Roman" w:hAnsi="Times New Roman"/>
              </w:rPr>
              <w:t xml:space="preserve">  </w:t>
            </w:r>
            <w:r w:rsidRPr="000D6ACD">
              <w:rPr>
                <w:rFonts w:ascii="Times New Roman" w:hAnsi="Times New Roman"/>
              </w:rPr>
              <w:t>25.5 hours</w:t>
            </w:r>
          </w:p>
        </w:tc>
      </w:tr>
      <w:tr w14:paraId="17280064" w14:textId="77777777" w:rsidTr="00B57147">
        <w:tblPrEx>
          <w:tblW w:w="8985" w:type="dxa"/>
          <w:tblInd w:w="345" w:type="dxa"/>
          <w:tblLook w:val="04A0"/>
        </w:tblPrEx>
        <w:tc>
          <w:tcPr>
            <w:tcW w:w="3960" w:type="dxa"/>
          </w:tcPr>
          <w:p w:rsidR="00515E06" w:rsidRPr="000D6ACD" w:rsidP="00A326B2" w14:paraId="7CD0C276" w14:textId="0FD6EDE5">
            <w:pPr>
              <w:rPr>
                <w:rFonts w:ascii="Times New Roman" w:hAnsi="Times New Roman"/>
              </w:rPr>
            </w:pPr>
            <w:r w:rsidRPr="000D6ACD">
              <w:rPr>
                <w:rFonts w:ascii="Times New Roman" w:hAnsi="Times New Roman"/>
              </w:rPr>
              <w:t>IC-1b: Review Invitation and Instructions</w:t>
            </w:r>
          </w:p>
        </w:tc>
        <w:tc>
          <w:tcPr>
            <w:tcW w:w="1530" w:type="dxa"/>
          </w:tcPr>
          <w:p w:rsidR="00515E06" w:rsidRPr="000D6ACD" w:rsidP="000D6ACD" w14:paraId="6FC1173C" w14:textId="337E6CED">
            <w:pPr>
              <w:jc w:val="center"/>
              <w:rPr>
                <w:rFonts w:ascii="Times New Roman" w:hAnsi="Times New Roman"/>
              </w:rPr>
            </w:pPr>
            <w:r w:rsidRPr="000D6ACD">
              <w:rPr>
                <w:rFonts w:ascii="Times New Roman" w:hAnsi="Times New Roman"/>
              </w:rPr>
              <w:t>0.1</w:t>
            </w:r>
            <w:r>
              <w:rPr>
                <w:rFonts w:ascii="Times New Roman" w:hAnsi="Times New Roman"/>
              </w:rPr>
              <w:t>7</w:t>
            </w:r>
            <w:r w:rsidRPr="000D6ACD">
              <w:rPr>
                <w:rFonts w:ascii="Times New Roman" w:hAnsi="Times New Roman"/>
              </w:rPr>
              <w:t xml:space="preserve"> hours</w:t>
            </w:r>
          </w:p>
        </w:tc>
        <w:tc>
          <w:tcPr>
            <w:tcW w:w="1890" w:type="dxa"/>
          </w:tcPr>
          <w:p w:rsidR="00515E06" w:rsidRPr="000D6ACD" w:rsidP="00A326B2" w14:paraId="6D894A94" w14:textId="67155304">
            <w:pPr>
              <w:jc w:val="center"/>
              <w:rPr>
                <w:rFonts w:ascii="Times New Roman" w:hAnsi="Times New Roman"/>
              </w:rPr>
            </w:pPr>
            <w:r>
              <w:rPr>
                <w:rFonts w:ascii="Times New Roman" w:hAnsi="Times New Roman"/>
              </w:rPr>
              <w:t>51</w:t>
            </w:r>
          </w:p>
        </w:tc>
        <w:tc>
          <w:tcPr>
            <w:tcW w:w="1605" w:type="dxa"/>
          </w:tcPr>
          <w:p w:rsidR="00515E06" w:rsidRPr="000D6ACD" w:rsidP="00A326B2" w14:paraId="37D794AB" w14:textId="31138E3B">
            <w:pPr>
              <w:jc w:val="center"/>
              <w:rPr>
                <w:rFonts w:ascii="Times New Roman" w:hAnsi="Times New Roman"/>
              </w:rPr>
            </w:pPr>
            <w:r>
              <w:rPr>
                <w:rFonts w:ascii="Times New Roman" w:hAnsi="Times New Roman"/>
              </w:rPr>
              <w:t xml:space="preserve">  </w:t>
            </w:r>
            <w:r w:rsidRPr="000D6ACD">
              <w:rPr>
                <w:rFonts w:ascii="Times New Roman" w:hAnsi="Times New Roman"/>
              </w:rPr>
              <w:t>8.</w:t>
            </w:r>
            <w:r>
              <w:rPr>
                <w:rFonts w:ascii="Times New Roman" w:hAnsi="Times New Roman"/>
              </w:rPr>
              <w:t>67</w:t>
            </w:r>
            <w:r w:rsidRPr="000D6ACD">
              <w:rPr>
                <w:rFonts w:ascii="Times New Roman" w:hAnsi="Times New Roman"/>
              </w:rPr>
              <w:t xml:space="preserve"> hours</w:t>
            </w:r>
          </w:p>
        </w:tc>
      </w:tr>
      <w:tr w14:paraId="796A7176" w14:textId="77777777" w:rsidTr="00B57147">
        <w:tblPrEx>
          <w:tblW w:w="8985" w:type="dxa"/>
          <w:tblInd w:w="345" w:type="dxa"/>
          <w:tblLook w:val="04A0"/>
        </w:tblPrEx>
        <w:tc>
          <w:tcPr>
            <w:tcW w:w="3960" w:type="dxa"/>
          </w:tcPr>
          <w:p w:rsidR="00515E06" w:rsidRPr="000D6ACD" w:rsidP="00A326B2" w14:paraId="74A3C322" w14:textId="77777777">
            <w:pPr>
              <w:rPr>
                <w:rFonts w:ascii="Times New Roman" w:hAnsi="Times New Roman"/>
              </w:rPr>
            </w:pPr>
            <w:r w:rsidRPr="000D6ACD">
              <w:rPr>
                <w:rFonts w:ascii="Times New Roman" w:hAnsi="Times New Roman"/>
              </w:rPr>
              <w:t>IC-1c: Complete Survey - Research</w:t>
            </w:r>
          </w:p>
        </w:tc>
        <w:tc>
          <w:tcPr>
            <w:tcW w:w="1530" w:type="dxa"/>
          </w:tcPr>
          <w:p w:rsidR="00515E06" w:rsidRPr="000D6ACD" w:rsidP="000D6ACD" w14:paraId="4981E224" w14:textId="776E9E7E">
            <w:pPr>
              <w:jc w:val="center"/>
              <w:rPr>
                <w:rFonts w:ascii="Times New Roman" w:hAnsi="Times New Roman"/>
              </w:rPr>
            </w:pPr>
            <w:r>
              <w:rPr>
                <w:rFonts w:ascii="Times New Roman" w:hAnsi="Times New Roman"/>
              </w:rPr>
              <w:t xml:space="preserve">  </w:t>
            </w:r>
            <w:r w:rsidRPr="000D6ACD">
              <w:rPr>
                <w:rFonts w:ascii="Times New Roman" w:hAnsi="Times New Roman"/>
              </w:rPr>
              <w:t>0.5 hours</w:t>
            </w:r>
          </w:p>
        </w:tc>
        <w:tc>
          <w:tcPr>
            <w:tcW w:w="1890" w:type="dxa"/>
          </w:tcPr>
          <w:p w:rsidR="00515E06" w:rsidRPr="000D6ACD" w:rsidP="00A326B2" w14:paraId="3D4EC5E1" w14:textId="0AC40D65">
            <w:pPr>
              <w:jc w:val="center"/>
              <w:rPr>
                <w:rFonts w:ascii="Times New Roman" w:hAnsi="Times New Roman"/>
              </w:rPr>
            </w:pPr>
            <w:r>
              <w:rPr>
                <w:rFonts w:ascii="Times New Roman" w:hAnsi="Times New Roman"/>
              </w:rPr>
              <w:t>51</w:t>
            </w:r>
          </w:p>
        </w:tc>
        <w:tc>
          <w:tcPr>
            <w:tcW w:w="1605" w:type="dxa"/>
          </w:tcPr>
          <w:p w:rsidR="00515E06" w:rsidRPr="000D6ACD" w:rsidP="00A326B2" w14:paraId="51146C94" w14:textId="04456CA4">
            <w:pPr>
              <w:jc w:val="center"/>
              <w:rPr>
                <w:rFonts w:ascii="Times New Roman" w:hAnsi="Times New Roman"/>
              </w:rPr>
            </w:pPr>
            <w:r>
              <w:rPr>
                <w:rFonts w:ascii="Times New Roman" w:hAnsi="Times New Roman"/>
              </w:rPr>
              <w:t xml:space="preserve">  </w:t>
            </w:r>
            <w:r w:rsidRPr="000D6ACD">
              <w:rPr>
                <w:rFonts w:ascii="Times New Roman" w:hAnsi="Times New Roman"/>
              </w:rPr>
              <w:t>25.5 hours</w:t>
            </w:r>
          </w:p>
        </w:tc>
      </w:tr>
      <w:tr w14:paraId="5475AA44" w14:textId="77777777" w:rsidTr="00B57147">
        <w:tblPrEx>
          <w:tblW w:w="8985" w:type="dxa"/>
          <w:tblInd w:w="345" w:type="dxa"/>
          <w:tblLook w:val="04A0"/>
        </w:tblPrEx>
        <w:tc>
          <w:tcPr>
            <w:tcW w:w="3960" w:type="dxa"/>
          </w:tcPr>
          <w:p w:rsidR="00515E06" w:rsidRPr="000D6ACD" w:rsidP="00A326B2" w14:paraId="038FBCD3" w14:textId="77777777">
            <w:pPr>
              <w:rPr>
                <w:rFonts w:ascii="Times New Roman" w:hAnsi="Times New Roman"/>
              </w:rPr>
            </w:pPr>
            <w:r w:rsidRPr="000D6ACD">
              <w:rPr>
                <w:rFonts w:ascii="Times New Roman" w:hAnsi="Times New Roman"/>
              </w:rPr>
              <w:t>IC-1d: Complete Survey – Survey Input</w:t>
            </w:r>
          </w:p>
        </w:tc>
        <w:tc>
          <w:tcPr>
            <w:tcW w:w="1530" w:type="dxa"/>
          </w:tcPr>
          <w:p w:rsidR="00515E06" w:rsidRPr="000D6ACD" w:rsidP="000D6ACD" w14:paraId="3C4B8EFE" w14:textId="0F69C9C1">
            <w:pPr>
              <w:jc w:val="center"/>
              <w:rPr>
                <w:rFonts w:ascii="Times New Roman" w:hAnsi="Times New Roman"/>
              </w:rPr>
            </w:pPr>
            <w:r w:rsidRPr="000D6ACD">
              <w:rPr>
                <w:rFonts w:ascii="Times New Roman" w:hAnsi="Times New Roman"/>
              </w:rPr>
              <w:t>0.25 hours</w:t>
            </w:r>
          </w:p>
        </w:tc>
        <w:tc>
          <w:tcPr>
            <w:tcW w:w="1890" w:type="dxa"/>
          </w:tcPr>
          <w:p w:rsidR="00515E06" w:rsidRPr="000D6ACD" w:rsidP="00A326B2" w14:paraId="29E5F90D" w14:textId="792525AE">
            <w:pPr>
              <w:jc w:val="center"/>
              <w:rPr>
                <w:rFonts w:ascii="Times New Roman" w:hAnsi="Times New Roman"/>
              </w:rPr>
            </w:pPr>
            <w:r>
              <w:rPr>
                <w:rFonts w:ascii="Times New Roman" w:hAnsi="Times New Roman"/>
              </w:rPr>
              <w:t>51</w:t>
            </w:r>
          </w:p>
        </w:tc>
        <w:tc>
          <w:tcPr>
            <w:tcW w:w="1605" w:type="dxa"/>
          </w:tcPr>
          <w:p w:rsidR="00515E06" w:rsidRPr="000D6ACD" w:rsidP="00A326B2" w14:paraId="7865BE19" w14:textId="135AF3FA">
            <w:pPr>
              <w:jc w:val="center"/>
              <w:rPr>
                <w:rFonts w:ascii="Times New Roman" w:hAnsi="Times New Roman"/>
              </w:rPr>
            </w:pPr>
            <w:r w:rsidRPr="000D6ACD">
              <w:rPr>
                <w:rFonts w:ascii="Times New Roman" w:hAnsi="Times New Roman"/>
              </w:rPr>
              <w:t>12.</w:t>
            </w:r>
            <w:r>
              <w:rPr>
                <w:rFonts w:ascii="Times New Roman" w:hAnsi="Times New Roman"/>
              </w:rPr>
              <w:t>75</w:t>
            </w:r>
            <w:r w:rsidRPr="000D6ACD">
              <w:rPr>
                <w:rFonts w:ascii="Times New Roman" w:hAnsi="Times New Roman"/>
              </w:rPr>
              <w:t xml:space="preserve"> hours</w:t>
            </w:r>
          </w:p>
        </w:tc>
      </w:tr>
      <w:tr w14:paraId="1EBE2947" w14:textId="77777777" w:rsidTr="00B57147">
        <w:tblPrEx>
          <w:tblW w:w="8985" w:type="dxa"/>
          <w:tblInd w:w="345" w:type="dxa"/>
          <w:tblLook w:val="04A0"/>
        </w:tblPrEx>
        <w:tc>
          <w:tcPr>
            <w:tcW w:w="3960" w:type="dxa"/>
          </w:tcPr>
          <w:p w:rsidR="00515E06" w:rsidRPr="000D6ACD" w:rsidP="00657C9D" w14:paraId="33521207" w14:textId="3933BD7D">
            <w:pPr>
              <w:jc w:val="right"/>
              <w:rPr>
                <w:rFonts w:ascii="Times New Roman" w:hAnsi="Times New Roman"/>
                <w:b/>
                <w:bCs/>
              </w:rPr>
            </w:pPr>
            <w:r w:rsidRPr="000D6ACD">
              <w:rPr>
                <w:rFonts w:ascii="Times New Roman" w:hAnsi="Times New Roman"/>
                <w:b/>
                <w:bCs/>
              </w:rPr>
              <w:t>Total</w:t>
            </w:r>
          </w:p>
        </w:tc>
        <w:tc>
          <w:tcPr>
            <w:tcW w:w="1530" w:type="dxa"/>
          </w:tcPr>
          <w:p w:rsidR="00515E06" w:rsidRPr="000D6ACD" w:rsidP="005570CA" w14:paraId="6E8A74BA" w14:textId="37002021">
            <w:pPr>
              <w:jc w:val="center"/>
              <w:rPr>
                <w:rFonts w:ascii="Times New Roman" w:hAnsi="Times New Roman"/>
                <w:b/>
                <w:bCs/>
              </w:rPr>
            </w:pPr>
            <w:r w:rsidRPr="000D6ACD">
              <w:rPr>
                <w:rFonts w:ascii="Times New Roman" w:hAnsi="Times New Roman"/>
                <w:b/>
                <w:bCs/>
              </w:rPr>
              <w:t>1.42 hours</w:t>
            </w:r>
          </w:p>
        </w:tc>
        <w:tc>
          <w:tcPr>
            <w:tcW w:w="1890" w:type="dxa"/>
          </w:tcPr>
          <w:p w:rsidR="00515E06" w:rsidRPr="000D6ACD" w:rsidP="005570CA" w14:paraId="1544791A" w14:textId="694B5775">
            <w:pPr>
              <w:jc w:val="center"/>
              <w:rPr>
                <w:rFonts w:ascii="Times New Roman" w:hAnsi="Times New Roman"/>
                <w:b/>
                <w:bCs/>
              </w:rPr>
            </w:pPr>
            <w:r>
              <w:rPr>
                <w:rFonts w:ascii="Times New Roman" w:hAnsi="Times New Roman"/>
                <w:b/>
                <w:bCs/>
              </w:rPr>
              <w:t>51</w:t>
            </w:r>
          </w:p>
        </w:tc>
        <w:tc>
          <w:tcPr>
            <w:tcW w:w="1605" w:type="dxa"/>
          </w:tcPr>
          <w:p w:rsidR="00515E06" w:rsidRPr="000D6ACD" w:rsidP="005570CA" w14:paraId="50ACE9C6" w14:textId="343A27EF">
            <w:pPr>
              <w:jc w:val="center"/>
              <w:rPr>
                <w:rFonts w:ascii="Times New Roman" w:hAnsi="Times New Roman"/>
                <w:b/>
                <w:bCs/>
              </w:rPr>
            </w:pPr>
            <w:r w:rsidRPr="000D6ACD">
              <w:rPr>
                <w:rFonts w:ascii="Times New Roman" w:hAnsi="Times New Roman"/>
                <w:b/>
                <w:bCs/>
              </w:rPr>
              <w:t>72.</w:t>
            </w:r>
            <w:r w:rsidR="00657C9D">
              <w:rPr>
                <w:rFonts w:ascii="Times New Roman" w:hAnsi="Times New Roman"/>
                <w:b/>
                <w:bCs/>
              </w:rPr>
              <w:t>42</w:t>
            </w:r>
            <w:r w:rsidRPr="000D6ACD">
              <w:rPr>
                <w:rFonts w:ascii="Times New Roman" w:hAnsi="Times New Roman"/>
                <w:b/>
                <w:bCs/>
              </w:rPr>
              <w:t xml:space="preserve"> hours</w:t>
            </w:r>
          </w:p>
        </w:tc>
      </w:tr>
    </w:tbl>
    <w:p w:rsidR="00802812" w:rsidRPr="001D47EE" w:rsidP="6ABB762F" w14:paraId="25298CE9" w14:textId="77777777">
      <w:pPr>
        <w:rPr>
          <w:rFonts w:ascii="Times New Roman" w:hAnsi="Times New Roman"/>
          <w:sz w:val="24"/>
          <w:szCs w:val="24"/>
        </w:rPr>
      </w:pPr>
    </w:p>
    <w:p w:rsidR="00557018" w:rsidP="00B57147" w14:paraId="177E46C9" w14:textId="642F4366">
      <w:pPr>
        <w:keepNext/>
        <w:ind w:left="360"/>
        <w:rPr>
          <w:rFonts w:ascii="Times New Roman" w:hAnsi="Times New Roman"/>
          <w:b/>
          <w:bCs/>
          <w:i/>
          <w:iCs/>
          <w:sz w:val="24"/>
          <w:szCs w:val="24"/>
        </w:rPr>
      </w:pPr>
      <w:r w:rsidRPr="6ABB762F">
        <w:rPr>
          <w:rFonts w:ascii="Times New Roman" w:hAnsi="Times New Roman"/>
          <w:b/>
          <w:bCs/>
          <w:i/>
          <w:iCs/>
          <w:sz w:val="24"/>
          <w:szCs w:val="24"/>
        </w:rPr>
        <w:t>Estimated Total Labor Costs for Participating States:</w:t>
      </w:r>
    </w:p>
    <w:p w:rsidR="003B4E87" w:rsidRPr="00E666BD" w:rsidP="003B4E87" w14:paraId="67A08978" w14:textId="744F953D">
      <w:pPr>
        <w:pStyle w:val="NormalWeb"/>
        <w:spacing w:before="0" w:beforeAutospacing="0" w:after="240" w:afterAutospacing="0"/>
        <w:ind w:left="360" w:right="115"/>
        <w:textAlignment w:val="baseline"/>
        <w:rPr>
          <w:rFonts w:ascii="Times New Roman" w:hAnsi="Times New Roman" w:cs="Times New Roman"/>
        </w:rPr>
      </w:pPr>
      <w:r>
        <w:rPr>
          <w:rFonts w:ascii="Times New Roman" w:hAnsi="Times New Roman"/>
        </w:rPr>
        <w:t xml:space="preserve">For the purposes of estimating costs associated with annual burden, we assume that respondent occupations correspond to Bureau of Labor Statistics </w:t>
      </w:r>
      <w:r w:rsidR="00F661FF">
        <w:rPr>
          <w:rFonts w:ascii="Times New Roman" w:hAnsi="Times New Roman"/>
        </w:rPr>
        <w:t xml:space="preserve">(BLS) </w:t>
      </w:r>
      <w:r>
        <w:rPr>
          <w:rFonts w:ascii="Times New Roman" w:hAnsi="Times New Roman"/>
        </w:rPr>
        <w:t xml:space="preserve">Occupation Code 11-0000, Management Occupations. The median hourly wage of </w:t>
      </w:r>
      <w:r w:rsidR="00922156">
        <w:rPr>
          <w:rFonts w:ascii="Times New Roman" w:hAnsi="Times New Roman"/>
        </w:rPr>
        <w:t>“Management Occupations”</w:t>
      </w:r>
      <w:r>
        <w:rPr>
          <w:rFonts w:ascii="Times New Roman" w:hAnsi="Times New Roman"/>
        </w:rPr>
        <w:t xml:space="preserve"> in </w:t>
      </w:r>
      <w:r>
        <w:rPr>
          <w:rFonts w:ascii="Times New Roman" w:hAnsi="Times New Roman"/>
        </w:rPr>
        <w:t xml:space="preserve">the State </w:t>
      </w:r>
      <w:r w:rsidR="002E47DF">
        <w:rPr>
          <w:rFonts w:ascii="Times New Roman" w:hAnsi="Times New Roman"/>
        </w:rPr>
        <w:t>Government, excluding schools and hospitals industry (NAICS c</w:t>
      </w:r>
      <w:r>
        <w:rPr>
          <w:rFonts w:ascii="Times New Roman" w:hAnsi="Times New Roman"/>
        </w:rPr>
        <w:t>ode 999200) is $48.41.</w:t>
      </w:r>
      <w:r>
        <w:rPr>
          <w:rStyle w:val="FootnoteReference"/>
          <w:rFonts w:ascii="Times New Roman" w:hAnsi="Times New Roman"/>
        </w:rPr>
        <w:footnoteReference w:id="3"/>
      </w:r>
      <w:r>
        <w:rPr>
          <w:rFonts w:ascii="Times New Roman" w:hAnsi="Times New Roman"/>
        </w:rPr>
        <w:t xml:space="preserve"> To arrive at a loaded </w:t>
      </w:r>
      <w:r w:rsidR="00D0522E">
        <w:rPr>
          <w:rFonts w:ascii="Times New Roman" w:hAnsi="Times New Roman"/>
        </w:rPr>
        <w:t xml:space="preserve">hourly </w:t>
      </w:r>
      <w:r>
        <w:rPr>
          <w:rFonts w:ascii="Times New Roman" w:hAnsi="Times New Roman"/>
        </w:rPr>
        <w:t xml:space="preserve">wage, </w:t>
      </w:r>
      <w:r w:rsidR="00D0522E">
        <w:rPr>
          <w:rFonts w:ascii="Times New Roman" w:hAnsi="Times New Roman"/>
        </w:rPr>
        <w:t>FMCSA calculates a load factor, using BLS Employer Costs for Employee Compensation (ECEC) data, and multiplies that by the respondent</w:t>
      </w:r>
      <w:r w:rsidR="00342B95">
        <w:rPr>
          <w:rFonts w:ascii="Times New Roman" w:hAnsi="Times New Roman"/>
        </w:rPr>
        <w:t xml:space="preserve"> occupation</w:t>
      </w:r>
      <w:r w:rsidR="00D0522E">
        <w:rPr>
          <w:rFonts w:ascii="Times New Roman" w:hAnsi="Times New Roman"/>
        </w:rPr>
        <w:t xml:space="preserve"> median hourly wage. To calculate the load factor </w:t>
      </w:r>
      <w:r w:rsidRPr="00E666BD" w:rsidR="00D0522E">
        <w:rPr>
          <w:rFonts w:ascii="Times New Roman" w:hAnsi="Times New Roman" w:cs="Times New Roman"/>
        </w:rPr>
        <w:t xml:space="preserve">for State Government </w:t>
      </w:r>
      <w:r w:rsidRPr="00041BA7" w:rsidR="00D0522E">
        <w:rPr>
          <w:rFonts w:ascii="Times New Roman" w:hAnsi="Times New Roman" w:cs="Times New Roman"/>
        </w:rPr>
        <w:t>management, professional, and related occupations</w:t>
      </w:r>
      <w:r w:rsidRPr="00722C47" w:rsidR="00D0522E">
        <w:rPr>
          <w:rFonts w:ascii="Times New Roman" w:hAnsi="Times New Roman" w:cs="Times New Roman"/>
        </w:rPr>
        <w:t xml:space="preserve">, </w:t>
      </w:r>
      <w:r w:rsidRPr="00BF7CC5">
        <w:rPr>
          <w:rFonts w:ascii="Times New Roman" w:hAnsi="Times New Roman" w:cs="Times New Roman"/>
        </w:rPr>
        <w:t xml:space="preserve">FMCSA </w:t>
      </w:r>
      <w:r w:rsidRPr="00BB6F99" w:rsidR="00D0522E">
        <w:rPr>
          <w:rFonts w:ascii="Times New Roman" w:hAnsi="Times New Roman" w:cs="Times New Roman"/>
        </w:rPr>
        <w:t>divide</w:t>
      </w:r>
      <w:r w:rsidRPr="00247AD3" w:rsidR="00D0522E">
        <w:rPr>
          <w:rFonts w:ascii="Times New Roman" w:hAnsi="Times New Roman" w:cs="Times New Roman"/>
        </w:rPr>
        <w:t>d</w:t>
      </w:r>
      <w:r w:rsidRPr="00F661FF">
        <w:rPr>
          <w:rFonts w:ascii="Times New Roman" w:hAnsi="Times New Roman" w:cs="Times New Roman"/>
        </w:rPr>
        <w:t xml:space="preserve"> the cost of total compensation</w:t>
      </w:r>
      <w:r w:rsidRPr="00CF0B42">
        <w:rPr>
          <w:rFonts w:ascii="Times New Roman" w:hAnsi="Times New Roman" w:cs="Times New Roman"/>
        </w:rPr>
        <w:t xml:space="preserve"> per hour ($65.73) by the cost </w:t>
      </w:r>
      <w:r w:rsidRPr="00DC074F">
        <w:rPr>
          <w:rFonts w:ascii="Times New Roman" w:hAnsi="Times New Roman" w:cs="Times New Roman"/>
        </w:rPr>
        <w:t>of only wages and salary</w:t>
      </w:r>
      <w:r w:rsidRPr="00516181">
        <w:rPr>
          <w:rFonts w:ascii="Times New Roman" w:hAnsi="Times New Roman" w:cs="Times New Roman"/>
        </w:rPr>
        <w:t xml:space="preserve"> per hour ($42.13) in </w:t>
      </w:r>
      <w:r w:rsidRPr="00516181" w:rsidR="00D0522E">
        <w:rPr>
          <w:rFonts w:ascii="Times New Roman" w:hAnsi="Times New Roman" w:cs="Times New Roman"/>
        </w:rPr>
        <w:t xml:space="preserve">Table 3 of </w:t>
      </w:r>
      <w:r w:rsidRPr="00516181">
        <w:rPr>
          <w:rFonts w:ascii="Times New Roman" w:hAnsi="Times New Roman" w:cs="Times New Roman"/>
        </w:rPr>
        <w:t>the ECEC December 2021 data release</w:t>
      </w:r>
      <w:r w:rsidRPr="00516181" w:rsidR="00D0522E">
        <w:rPr>
          <w:rFonts w:ascii="Times New Roman" w:hAnsi="Times New Roman" w:cs="Times New Roman"/>
        </w:rPr>
        <w:t>, which resulted in a load factor of 1.56 ($65.73 / 42.13 = 1.56)</w:t>
      </w:r>
      <w:r w:rsidRPr="00516181">
        <w:rPr>
          <w:rFonts w:ascii="Times New Roman" w:hAnsi="Times New Roman" w:cs="Times New Roman"/>
        </w:rPr>
        <w:t>.</w:t>
      </w:r>
      <w:r w:rsidRPr="00516181">
        <w:rPr>
          <w:rStyle w:val="FootnoteReference"/>
          <w:rFonts w:ascii="Times New Roman" w:hAnsi="Times New Roman" w:cs="Times New Roman"/>
        </w:rPr>
        <w:t xml:space="preserve"> </w:t>
      </w:r>
      <w:r>
        <w:rPr>
          <w:rStyle w:val="FootnoteReference"/>
          <w:rFonts w:ascii="Times New Roman" w:hAnsi="Times New Roman" w:cs="Times New Roman"/>
        </w:rPr>
        <w:footnoteReference w:id="4"/>
      </w:r>
      <w:r w:rsidRPr="00E666BD">
        <w:rPr>
          <w:rFonts w:ascii="Times New Roman" w:hAnsi="Times New Roman" w:cs="Times New Roman"/>
        </w:rPr>
        <w:t xml:space="preserve"> Table 3 shows the loaded hourly wage</w:t>
      </w:r>
      <w:r w:rsidRPr="00E666BD" w:rsidR="00D0522E">
        <w:rPr>
          <w:rFonts w:ascii="Times New Roman" w:hAnsi="Times New Roman" w:cs="Times New Roman"/>
        </w:rPr>
        <w:t xml:space="preserve"> calculations</w:t>
      </w:r>
      <w:r w:rsidRPr="00E666BD">
        <w:rPr>
          <w:rFonts w:ascii="Times New Roman" w:hAnsi="Times New Roman" w:cs="Times New Roman"/>
        </w:rPr>
        <w:t xml:space="preserve"> for respondents</w:t>
      </w:r>
      <w:r w:rsidRPr="00E666BD" w:rsidR="00D0522E">
        <w:rPr>
          <w:rFonts w:ascii="Times New Roman" w:hAnsi="Times New Roman" w:cs="Times New Roman"/>
        </w:rPr>
        <w:t>, while Table 4 shows the costs per IC subtask</w:t>
      </w:r>
      <w:r w:rsidRPr="00E666BD">
        <w:rPr>
          <w:rFonts w:ascii="Times New Roman" w:hAnsi="Times New Roman" w:cs="Times New Roman"/>
        </w:rPr>
        <w:t xml:space="preserve">. </w:t>
      </w:r>
    </w:p>
    <w:p w:rsidR="006C455B" w:rsidRPr="005C1F24" w:rsidP="00B57147" w14:paraId="3D394DF0" w14:textId="3C4C0814">
      <w:pPr>
        <w:pStyle w:val="FMCSACaption-Table"/>
        <w:spacing w:before="0"/>
        <w:rPr>
          <w:i/>
        </w:rPr>
      </w:pPr>
      <w:bookmarkStart w:id="0" w:name="_Ref92028121"/>
      <w:r w:rsidRPr="005C1F24">
        <w:t>Tabl</w:t>
      </w:r>
      <w:r w:rsidRPr="005C1F24">
        <w:t xml:space="preserve">e </w:t>
      </w:r>
      <w:bookmarkEnd w:id="0"/>
      <w:r w:rsidR="00CD2AA7">
        <w:t>3</w:t>
      </w:r>
      <w:r w:rsidRPr="005C1F24">
        <w:rPr>
          <w:i/>
        </w:rPr>
        <w:t>.</w:t>
      </w:r>
      <w:r w:rsidRPr="005C1F24">
        <w:t xml:space="preserve"> </w:t>
      </w:r>
      <w:r w:rsidRPr="00F91579">
        <w:t>Estimated</w:t>
      </w:r>
      <w:r w:rsidRPr="005C1F24">
        <w:t xml:space="preserve"> </w:t>
      </w:r>
      <w:r w:rsidR="003B4E87">
        <w:t>loaded hourly wage</w:t>
      </w:r>
      <w:r w:rsidRPr="005C1F24">
        <w:t xml:space="preserve"> of </w:t>
      </w:r>
      <w:r>
        <w:t xml:space="preserve">participating </w:t>
      </w:r>
      <w:r w:rsidR="00986A3B">
        <w:t>SDLA</w:t>
      </w:r>
      <w:r>
        <w:t xml:space="preserve"> representatives</w:t>
      </w:r>
      <w:r w:rsidRPr="005C1F24">
        <w:t>.</w:t>
      </w:r>
    </w:p>
    <w:tbl>
      <w:tblPr>
        <w:tblStyle w:val="FMCSATable1Style"/>
        <w:tblW w:w="9293" w:type="dxa"/>
        <w:tblLook w:val="04A0"/>
      </w:tblPr>
      <w:tblGrid>
        <w:gridCol w:w="4215"/>
        <w:gridCol w:w="1890"/>
        <w:gridCol w:w="1149"/>
        <w:gridCol w:w="2039"/>
      </w:tblGrid>
      <w:tr w14:paraId="4C7FF90B" w14:textId="77777777" w:rsidTr="00A303EA">
        <w:tblPrEx>
          <w:tblW w:w="9293" w:type="dxa"/>
          <w:tblLook w:val="04A0"/>
        </w:tblPrEx>
        <w:trPr>
          <w:trHeight w:val="300"/>
        </w:trPr>
        <w:tc>
          <w:tcPr>
            <w:tcW w:w="4215" w:type="dxa"/>
          </w:tcPr>
          <w:p w:rsidR="00922156" w:rsidRPr="00EE1548" w:rsidP="00B57147" w14:paraId="00F3CA94" w14:textId="4BDEBD35">
            <w:pPr>
              <w:pStyle w:val="FMCSATableHead"/>
            </w:pPr>
            <w:r>
              <w:t>Respondent Category</w:t>
            </w:r>
          </w:p>
        </w:tc>
        <w:tc>
          <w:tcPr>
            <w:tcW w:w="1890" w:type="dxa"/>
          </w:tcPr>
          <w:p w:rsidR="00922156" w:rsidP="00B57147" w14:paraId="3CFA35BD" w14:textId="77777777">
            <w:pPr>
              <w:pStyle w:val="FMCSATableHead"/>
            </w:pPr>
            <w:r>
              <w:t>Median Hourly Wage</w:t>
            </w:r>
          </w:p>
          <w:p w:rsidR="00922156" w:rsidRPr="00EE1548" w:rsidP="00B57147" w14:paraId="6F659FAA" w14:textId="39E9DDB9">
            <w:pPr>
              <w:pStyle w:val="FMCSATableHead"/>
            </w:pPr>
            <w:r>
              <w:t>(a)</w:t>
            </w:r>
          </w:p>
        </w:tc>
        <w:tc>
          <w:tcPr>
            <w:tcW w:w="1149" w:type="dxa"/>
          </w:tcPr>
          <w:p w:rsidR="00922156" w:rsidRPr="00EE1548" w:rsidP="00B57147" w14:paraId="242C5C5B" w14:textId="132D6092">
            <w:pPr>
              <w:pStyle w:val="FMCSATableHead"/>
            </w:pPr>
            <w:r w:rsidRPr="00EE1548">
              <w:t>Load Factor</w:t>
            </w:r>
          </w:p>
          <w:p w:rsidR="00922156" w:rsidRPr="00EE1548" w:rsidP="00B57147" w14:paraId="1357CE5C" w14:textId="7E72AEDA">
            <w:pPr>
              <w:pStyle w:val="FMCSATableHead"/>
            </w:pPr>
            <w:r>
              <w:t>(b)</w:t>
            </w:r>
          </w:p>
        </w:tc>
        <w:tc>
          <w:tcPr>
            <w:tcW w:w="2039" w:type="dxa"/>
          </w:tcPr>
          <w:p w:rsidR="00922156" w:rsidRPr="00EE1548" w:rsidP="00B57147" w14:paraId="5481D3AE" w14:textId="1A24CE96">
            <w:pPr>
              <w:pStyle w:val="FMCSATableHead"/>
            </w:pPr>
            <w:r>
              <w:t>Loaded Hourly Wage</w:t>
            </w:r>
          </w:p>
          <w:p w:rsidR="00922156" w:rsidRPr="00EE1548" w:rsidP="00B57147" w14:paraId="165B6D62" w14:textId="0F1B349B">
            <w:pPr>
              <w:pStyle w:val="FMCSATableHead"/>
            </w:pPr>
            <w:r>
              <w:t>(a*b = c)</w:t>
            </w:r>
          </w:p>
        </w:tc>
      </w:tr>
      <w:tr w14:paraId="0C569ABB" w14:textId="77777777" w:rsidTr="00A303EA">
        <w:tblPrEx>
          <w:tblW w:w="9293" w:type="dxa"/>
          <w:tblLook w:val="04A0"/>
        </w:tblPrEx>
        <w:trPr>
          <w:trHeight w:val="300"/>
        </w:trPr>
        <w:tc>
          <w:tcPr>
            <w:tcW w:w="4215" w:type="dxa"/>
          </w:tcPr>
          <w:p w:rsidR="00922156" w:rsidRPr="00EE1548" w:rsidP="00E666BD" w14:paraId="60BB45B5" w14:textId="574E1E36">
            <w:pPr>
              <w:pStyle w:val="FMCSATableBody1"/>
            </w:pPr>
            <w:r>
              <w:t>Management Occupations (BLS Occupation Code 11-0000), State Government</w:t>
            </w:r>
            <w:r w:rsidRPr="00EE1548">
              <w:t xml:space="preserve"> (</w:t>
            </w:r>
            <w:r>
              <w:t>NAICS Code 9992</w:t>
            </w:r>
            <w:r w:rsidRPr="00EE1548">
              <w:t>00)</w:t>
            </w:r>
          </w:p>
        </w:tc>
        <w:tc>
          <w:tcPr>
            <w:tcW w:w="1890" w:type="dxa"/>
          </w:tcPr>
          <w:p w:rsidR="00922156" w:rsidRPr="00EE1548" w:rsidP="00D15E5E" w14:paraId="4D03930A" w14:textId="1F766C64">
            <w:pPr>
              <w:pStyle w:val="FMCSATableBody1"/>
              <w:jc w:val="center"/>
            </w:pPr>
            <w:r>
              <w:t>$48.41</w:t>
            </w:r>
          </w:p>
        </w:tc>
        <w:tc>
          <w:tcPr>
            <w:tcW w:w="1149" w:type="dxa"/>
          </w:tcPr>
          <w:p w:rsidR="00922156" w:rsidRPr="00EE1548" w:rsidP="00D15E5E" w14:paraId="190C0A36" w14:textId="6AE9EB76">
            <w:pPr>
              <w:pStyle w:val="FMCSATableBody1"/>
              <w:jc w:val="center"/>
            </w:pPr>
            <w:r w:rsidRPr="00EE1548">
              <w:t>1.</w:t>
            </w:r>
            <w:r>
              <w:t>56</w:t>
            </w:r>
          </w:p>
        </w:tc>
        <w:tc>
          <w:tcPr>
            <w:tcW w:w="2039" w:type="dxa"/>
          </w:tcPr>
          <w:p w:rsidR="00922156" w:rsidRPr="00EE1548" w:rsidP="00D15E5E" w14:paraId="7DF0721C" w14:textId="2AFAF2A6">
            <w:pPr>
              <w:pStyle w:val="FMCSATableBody1"/>
              <w:jc w:val="center"/>
            </w:pPr>
            <w:r w:rsidRPr="00EE1548">
              <w:t>$</w:t>
            </w:r>
            <w:r>
              <w:t>75.52</w:t>
            </w:r>
          </w:p>
        </w:tc>
      </w:tr>
    </w:tbl>
    <w:p w:rsidR="004E3AED" w:rsidP="00AA356B" w14:paraId="3F40B28B" w14:textId="77777777">
      <w:pPr>
        <w:ind w:left="360"/>
        <w:rPr>
          <w:rFonts w:ascii="Times New Roman" w:hAnsi="Times New Roman"/>
          <w:sz w:val="24"/>
          <w:szCs w:val="24"/>
        </w:rPr>
      </w:pPr>
    </w:p>
    <w:p w:rsidR="002E0CFB" w:rsidRPr="000D6ACD" w:rsidP="00B57147" w14:paraId="2FA4154F" w14:textId="5D924296">
      <w:pPr>
        <w:pStyle w:val="Caption"/>
        <w:keepNext/>
        <w:spacing w:after="120"/>
        <w:jc w:val="center"/>
        <w:rPr>
          <w:rFonts w:ascii="Times New Roman" w:hAnsi="Times New Roman"/>
        </w:rPr>
      </w:pPr>
      <w:r w:rsidRPr="000D6ACD">
        <w:rPr>
          <w:rFonts w:ascii="Times New Roman" w:hAnsi="Times New Roman"/>
        </w:rPr>
        <w:t xml:space="preserve">Table </w:t>
      </w:r>
      <w:r w:rsidRPr="000D6ACD" w:rsidR="00CD3BC4">
        <w:rPr>
          <w:rFonts w:ascii="Times New Roman" w:hAnsi="Times New Roman"/>
        </w:rPr>
        <w:t>4</w:t>
      </w:r>
      <w:r w:rsidRPr="000D6ACD">
        <w:rPr>
          <w:rFonts w:ascii="Times New Roman" w:hAnsi="Times New Roman"/>
        </w:rPr>
        <w:t xml:space="preserve">. Costs to respondents </w:t>
      </w:r>
      <w:r w:rsidR="001A6A0A">
        <w:rPr>
          <w:rFonts w:ascii="Times New Roman" w:hAnsi="Times New Roman"/>
        </w:rPr>
        <w:t>for</w:t>
      </w:r>
      <w:r w:rsidRPr="000D6ACD" w:rsidR="001A6A0A">
        <w:rPr>
          <w:rFonts w:ascii="Times New Roman" w:hAnsi="Times New Roman"/>
        </w:rPr>
        <w:t xml:space="preserve"> </w:t>
      </w:r>
      <w:r w:rsidRPr="000D6ACD">
        <w:rPr>
          <w:rFonts w:ascii="Times New Roman" w:hAnsi="Times New Roman"/>
        </w:rPr>
        <w:t>each IC</w:t>
      </w:r>
      <w:r w:rsidR="00685025">
        <w:rPr>
          <w:rFonts w:ascii="Times New Roman" w:hAnsi="Times New Roman"/>
        </w:rPr>
        <w:t xml:space="preserve"> subtask</w:t>
      </w:r>
      <w:r w:rsidRPr="000D6ACD">
        <w:rPr>
          <w:rFonts w:ascii="Times New Roman" w:hAnsi="Times New Roman"/>
        </w:rPr>
        <w:t xml:space="preserve">. </w:t>
      </w:r>
    </w:p>
    <w:tbl>
      <w:tblPr>
        <w:tblStyle w:val="TableGrid"/>
        <w:tblW w:w="9360" w:type="dxa"/>
        <w:jc w:val="center"/>
        <w:tblBorders>
          <w:top w:val="single" w:sz="12" w:space="0" w:color="auto"/>
          <w:left w:val="single" w:sz="12" w:space="0" w:color="auto"/>
          <w:bottom w:val="single" w:sz="12" w:space="0" w:color="auto"/>
          <w:right w:val="single" w:sz="12" w:space="0" w:color="auto"/>
        </w:tblBorders>
        <w:tblLook w:val="04A0"/>
      </w:tblPr>
      <w:tblGrid>
        <w:gridCol w:w="2013"/>
        <w:gridCol w:w="1653"/>
        <w:gridCol w:w="1547"/>
        <w:gridCol w:w="1360"/>
        <w:gridCol w:w="1371"/>
        <w:gridCol w:w="1416"/>
      </w:tblGrid>
      <w:tr w14:paraId="76887196" w14:textId="77777777" w:rsidTr="002E47DF">
        <w:tblPrEx>
          <w:tblW w:w="9360" w:type="dxa"/>
          <w:jc w:val="center"/>
          <w:tblBorders>
            <w:top w:val="single" w:sz="12" w:space="0" w:color="auto"/>
            <w:left w:val="single" w:sz="12" w:space="0" w:color="auto"/>
            <w:bottom w:val="single" w:sz="12" w:space="0" w:color="auto"/>
            <w:right w:val="single" w:sz="12" w:space="0" w:color="auto"/>
          </w:tblBorders>
          <w:tblLook w:val="04A0"/>
        </w:tblPrEx>
        <w:trPr>
          <w:trHeight w:val="300"/>
          <w:tblHeader/>
          <w:jc w:val="center"/>
        </w:trPr>
        <w:tc>
          <w:tcPr>
            <w:tcW w:w="2013" w:type="dxa"/>
            <w:tcBorders>
              <w:top w:val="single" w:sz="12" w:space="0" w:color="auto"/>
              <w:bottom w:val="single" w:sz="12" w:space="0" w:color="auto"/>
            </w:tcBorders>
            <w:shd w:val="clear" w:color="auto" w:fill="E7E6E6" w:themeFill="background2"/>
            <w:vAlign w:val="bottom"/>
          </w:tcPr>
          <w:p w:rsidR="00657C9D" w:rsidRPr="000D6ACD" w:rsidP="00B57147" w14:paraId="44D23F1B" w14:textId="77777777">
            <w:pPr>
              <w:jc w:val="center"/>
              <w:rPr>
                <w:rFonts w:ascii="Times New Roman" w:hAnsi="Times New Roman"/>
                <w:b/>
                <w:bCs/>
              </w:rPr>
            </w:pPr>
            <w:r w:rsidRPr="000D6ACD">
              <w:rPr>
                <w:rFonts w:ascii="Times New Roman" w:hAnsi="Times New Roman"/>
                <w:b/>
                <w:bCs/>
              </w:rPr>
              <w:t>IC Item</w:t>
            </w:r>
          </w:p>
        </w:tc>
        <w:tc>
          <w:tcPr>
            <w:tcW w:w="1653" w:type="dxa"/>
            <w:tcBorders>
              <w:top w:val="single" w:sz="12" w:space="0" w:color="auto"/>
              <w:bottom w:val="single" w:sz="12" w:space="0" w:color="auto"/>
            </w:tcBorders>
            <w:shd w:val="clear" w:color="auto" w:fill="E7E6E6" w:themeFill="background2"/>
            <w:vAlign w:val="bottom"/>
          </w:tcPr>
          <w:p w:rsidR="2AF4AA7D" w:rsidP="12611CEE" w14:paraId="69705A01" w14:textId="796B61B1">
            <w:pPr>
              <w:jc w:val="center"/>
              <w:rPr>
                <w:rFonts w:ascii="Times New Roman" w:hAnsi="Times New Roman"/>
                <w:b/>
                <w:bCs/>
              </w:rPr>
            </w:pPr>
            <w:r w:rsidRPr="12611CEE">
              <w:rPr>
                <w:rFonts w:ascii="Times New Roman" w:hAnsi="Times New Roman"/>
                <w:b/>
                <w:bCs/>
              </w:rPr>
              <w:t xml:space="preserve">Burden Hours per Response </w:t>
            </w:r>
          </w:p>
          <w:p w:rsidR="2AF4AA7D" w:rsidRPr="12611CEE" w:rsidP="12611CEE" w14:paraId="5AD906BF" w14:textId="2D913722">
            <w:pPr>
              <w:jc w:val="center"/>
              <w:rPr>
                <w:rFonts w:ascii="Times New Roman" w:hAnsi="Times New Roman"/>
                <w:b/>
                <w:bCs/>
              </w:rPr>
            </w:pPr>
            <w:r w:rsidRPr="12611CEE">
              <w:rPr>
                <w:rFonts w:ascii="Times New Roman" w:hAnsi="Times New Roman"/>
                <w:b/>
                <w:bCs/>
              </w:rPr>
              <w:t>(a)</w:t>
            </w:r>
          </w:p>
        </w:tc>
        <w:tc>
          <w:tcPr>
            <w:tcW w:w="1547" w:type="dxa"/>
            <w:tcBorders>
              <w:top w:val="single" w:sz="12" w:space="0" w:color="auto"/>
              <w:bottom w:val="single" w:sz="12" w:space="0" w:color="auto"/>
            </w:tcBorders>
            <w:shd w:val="clear" w:color="auto" w:fill="E7E6E6" w:themeFill="background2"/>
            <w:vAlign w:val="bottom"/>
          </w:tcPr>
          <w:p w:rsidR="6F7BF3F0" w:rsidP="12611CEE" w14:paraId="4457112E" w14:textId="6C3F4286">
            <w:pPr>
              <w:jc w:val="center"/>
              <w:rPr>
                <w:rFonts w:ascii="Times New Roman" w:hAnsi="Times New Roman"/>
                <w:b/>
                <w:bCs/>
              </w:rPr>
            </w:pPr>
            <w:r>
              <w:rPr>
                <w:rFonts w:ascii="Times New Roman" w:hAnsi="Times New Roman"/>
                <w:b/>
                <w:bCs/>
              </w:rPr>
              <w:t>Loaded Hourly Wage</w:t>
            </w:r>
          </w:p>
          <w:p w:rsidR="6F7BF3F0" w:rsidRPr="12611CEE" w:rsidP="12611CEE" w14:paraId="5A949E69" w14:textId="0E82106A">
            <w:pPr>
              <w:jc w:val="center"/>
              <w:rPr>
                <w:rFonts w:ascii="Times New Roman" w:hAnsi="Times New Roman"/>
                <w:b/>
                <w:bCs/>
              </w:rPr>
            </w:pPr>
            <w:r w:rsidRPr="12611CEE">
              <w:rPr>
                <w:rFonts w:ascii="Times New Roman" w:hAnsi="Times New Roman"/>
                <w:b/>
                <w:bCs/>
              </w:rPr>
              <w:t>(b)</w:t>
            </w:r>
          </w:p>
        </w:tc>
        <w:tc>
          <w:tcPr>
            <w:tcW w:w="1360" w:type="dxa"/>
            <w:tcBorders>
              <w:top w:val="single" w:sz="12" w:space="0" w:color="auto"/>
              <w:bottom w:val="single" w:sz="12" w:space="0" w:color="auto"/>
            </w:tcBorders>
            <w:shd w:val="clear" w:color="auto" w:fill="E7E6E6" w:themeFill="background2"/>
            <w:vAlign w:val="bottom"/>
          </w:tcPr>
          <w:p w:rsidR="00657C9D" w:rsidRPr="000D6ACD" w:rsidP="12611CEE" w14:paraId="0886A04E" w14:textId="2E408109">
            <w:pPr>
              <w:jc w:val="center"/>
              <w:rPr>
                <w:rFonts w:ascii="Times New Roman" w:hAnsi="Times New Roman"/>
                <w:b/>
                <w:bCs/>
              </w:rPr>
            </w:pPr>
            <w:r>
              <w:rPr>
                <w:rFonts w:ascii="Times New Roman" w:hAnsi="Times New Roman"/>
                <w:b/>
                <w:bCs/>
              </w:rPr>
              <w:t>Cost per Response</w:t>
            </w:r>
          </w:p>
          <w:p w:rsidR="00657C9D" w:rsidRPr="000D6ACD" w:rsidP="00B57147" w14:paraId="50CBCC9E" w14:textId="54A28F2E">
            <w:pPr>
              <w:jc w:val="center"/>
              <w:rPr>
                <w:rFonts w:ascii="Times New Roman" w:hAnsi="Times New Roman"/>
                <w:b/>
                <w:bCs/>
              </w:rPr>
            </w:pPr>
            <w:r w:rsidRPr="12611CEE">
              <w:rPr>
                <w:rFonts w:ascii="Times New Roman" w:hAnsi="Times New Roman"/>
                <w:b/>
                <w:bCs/>
              </w:rPr>
              <w:t>(a*b = c)</w:t>
            </w:r>
          </w:p>
        </w:tc>
        <w:tc>
          <w:tcPr>
            <w:tcW w:w="1371" w:type="dxa"/>
            <w:tcBorders>
              <w:top w:val="single" w:sz="12" w:space="0" w:color="auto"/>
              <w:bottom w:val="single" w:sz="12" w:space="0" w:color="auto"/>
            </w:tcBorders>
            <w:shd w:val="clear" w:color="auto" w:fill="E7E6E6" w:themeFill="background2"/>
            <w:vAlign w:val="bottom"/>
          </w:tcPr>
          <w:p w:rsidR="00657C9D" w:rsidRPr="000D6ACD" w:rsidP="00B57147" w14:paraId="2F84DA42" w14:textId="5AA426FE">
            <w:pPr>
              <w:jc w:val="center"/>
              <w:rPr>
                <w:rFonts w:ascii="Times New Roman" w:hAnsi="Times New Roman"/>
                <w:b/>
                <w:bCs/>
              </w:rPr>
            </w:pPr>
            <w:r>
              <w:rPr>
                <w:rFonts w:ascii="Times New Roman" w:hAnsi="Times New Roman"/>
                <w:b/>
                <w:bCs/>
              </w:rPr>
              <w:t>Number of Respondents</w:t>
            </w:r>
            <w:r w:rsidRPr="12611CEE" w:rsidR="73A39FC6">
              <w:rPr>
                <w:rFonts w:ascii="Times New Roman" w:hAnsi="Times New Roman"/>
                <w:b/>
                <w:bCs/>
              </w:rPr>
              <w:t xml:space="preserve"> </w:t>
            </w:r>
            <w:r w:rsidRPr="12611CEE" w:rsidR="06B65686">
              <w:rPr>
                <w:rFonts w:ascii="Times New Roman" w:hAnsi="Times New Roman"/>
                <w:b/>
                <w:bCs/>
              </w:rPr>
              <w:t>(d)</w:t>
            </w:r>
          </w:p>
        </w:tc>
        <w:tc>
          <w:tcPr>
            <w:tcW w:w="1416" w:type="dxa"/>
            <w:tcBorders>
              <w:top w:val="single" w:sz="12" w:space="0" w:color="auto"/>
              <w:bottom w:val="single" w:sz="12" w:space="0" w:color="auto"/>
            </w:tcBorders>
            <w:shd w:val="clear" w:color="auto" w:fill="E7E6E6" w:themeFill="background2"/>
            <w:vAlign w:val="bottom"/>
          </w:tcPr>
          <w:p w:rsidR="00657C9D" w:rsidRPr="000D6ACD" w:rsidP="12611CEE" w14:paraId="287F4FDA" w14:textId="18D48E2C">
            <w:pPr>
              <w:jc w:val="center"/>
              <w:rPr>
                <w:rFonts w:ascii="Times New Roman" w:hAnsi="Times New Roman"/>
                <w:b/>
                <w:bCs/>
              </w:rPr>
            </w:pPr>
            <w:r>
              <w:rPr>
                <w:rFonts w:ascii="Times New Roman" w:hAnsi="Times New Roman"/>
                <w:b/>
                <w:bCs/>
              </w:rPr>
              <w:t>Total Cost</w:t>
            </w:r>
          </w:p>
          <w:p w:rsidR="00657C9D" w:rsidRPr="000D6ACD" w:rsidP="00B57147" w14:paraId="3575B320" w14:textId="73273B51">
            <w:pPr>
              <w:jc w:val="center"/>
              <w:rPr>
                <w:rFonts w:ascii="Times New Roman" w:hAnsi="Times New Roman"/>
                <w:b/>
                <w:bCs/>
              </w:rPr>
            </w:pPr>
            <w:r w:rsidRPr="12611CEE">
              <w:rPr>
                <w:rFonts w:ascii="Times New Roman" w:hAnsi="Times New Roman"/>
                <w:b/>
                <w:bCs/>
              </w:rPr>
              <w:t>(c*d = e)</w:t>
            </w:r>
          </w:p>
        </w:tc>
      </w:tr>
      <w:tr w14:paraId="0EA52993" w14:textId="77777777" w:rsidTr="002E47DF">
        <w:tblPrEx>
          <w:tblW w:w="9360" w:type="dxa"/>
          <w:jc w:val="center"/>
          <w:tblLook w:val="04A0"/>
        </w:tblPrEx>
        <w:trPr>
          <w:trHeight w:val="300"/>
          <w:jc w:val="center"/>
        </w:trPr>
        <w:tc>
          <w:tcPr>
            <w:tcW w:w="2013" w:type="dxa"/>
            <w:tcBorders>
              <w:top w:val="single" w:sz="12" w:space="0" w:color="auto"/>
            </w:tcBorders>
          </w:tcPr>
          <w:p w:rsidR="00657C9D" w:rsidRPr="000D6ACD" w:rsidP="002E0CFB" w14:paraId="6B7A7EDA" w14:textId="68134C3C">
            <w:pPr>
              <w:rPr>
                <w:rFonts w:ascii="Times New Roman" w:hAnsi="Times New Roman"/>
              </w:rPr>
            </w:pPr>
            <w:r w:rsidRPr="000D6ACD">
              <w:rPr>
                <w:rFonts w:ascii="Times New Roman" w:hAnsi="Times New Roman"/>
              </w:rPr>
              <w:t>IC-1a: Identify Point</w:t>
            </w:r>
            <w:r w:rsidR="008D2C8C">
              <w:rPr>
                <w:rFonts w:ascii="Times New Roman" w:hAnsi="Times New Roman"/>
              </w:rPr>
              <w:t xml:space="preserve"> </w:t>
            </w:r>
            <w:r w:rsidRPr="000D6ACD">
              <w:rPr>
                <w:rFonts w:ascii="Times New Roman" w:hAnsi="Times New Roman"/>
              </w:rPr>
              <w:t>of</w:t>
            </w:r>
            <w:r w:rsidR="008D2C8C">
              <w:rPr>
                <w:rFonts w:ascii="Times New Roman" w:hAnsi="Times New Roman"/>
              </w:rPr>
              <w:t xml:space="preserve"> </w:t>
            </w:r>
            <w:r w:rsidRPr="000D6ACD">
              <w:rPr>
                <w:rFonts w:ascii="Times New Roman" w:hAnsi="Times New Roman"/>
              </w:rPr>
              <w:t>Contact</w:t>
            </w:r>
          </w:p>
        </w:tc>
        <w:tc>
          <w:tcPr>
            <w:tcW w:w="1653" w:type="dxa"/>
            <w:tcBorders>
              <w:top w:val="single" w:sz="12" w:space="0" w:color="auto"/>
            </w:tcBorders>
          </w:tcPr>
          <w:p w:rsidR="7D0CF4E9" w:rsidRPr="12611CEE" w:rsidP="12611CEE" w14:paraId="5B86D353" w14:textId="6EDFC30E">
            <w:pPr>
              <w:jc w:val="center"/>
              <w:rPr>
                <w:rFonts w:ascii="Times New Roman" w:hAnsi="Times New Roman"/>
              </w:rPr>
            </w:pPr>
            <w:r w:rsidRPr="12611CEE">
              <w:rPr>
                <w:rFonts w:ascii="Times New Roman" w:hAnsi="Times New Roman"/>
              </w:rPr>
              <w:t>0.5 hours</w:t>
            </w:r>
          </w:p>
        </w:tc>
        <w:tc>
          <w:tcPr>
            <w:tcW w:w="1547" w:type="dxa"/>
            <w:tcBorders>
              <w:top w:val="single" w:sz="12" w:space="0" w:color="auto"/>
            </w:tcBorders>
          </w:tcPr>
          <w:p w:rsidR="27BA42BE" w:rsidRPr="12611CEE" w:rsidP="12611CEE" w14:paraId="674130F6" w14:textId="51E8115B">
            <w:pPr>
              <w:jc w:val="center"/>
              <w:rPr>
                <w:rFonts w:ascii="Times New Roman" w:hAnsi="Times New Roman"/>
              </w:rPr>
            </w:pPr>
            <w:r w:rsidRPr="12611CEE">
              <w:rPr>
                <w:rFonts w:ascii="Times New Roman" w:hAnsi="Times New Roman"/>
              </w:rPr>
              <w:t>$</w:t>
            </w:r>
            <w:r w:rsidR="00F86B33">
              <w:rPr>
                <w:rFonts w:ascii="Times New Roman" w:hAnsi="Times New Roman"/>
              </w:rPr>
              <w:t>75.52</w:t>
            </w:r>
          </w:p>
        </w:tc>
        <w:tc>
          <w:tcPr>
            <w:tcW w:w="1360" w:type="dxa"/>
            <w:tcBorders>
              <w:top w:val="single" w:sz="12" w:space="0" w:color="auto"/>
            </w:tcBorders>
          </w:tcPr>
          <w:p w:rsidR="00657C9D" w:rsidRPr="000D6ACD" w:rsidP="002E0CFB" w14:paraId="556158AC" w14:textId="4EEEA181">
            <w:pPr>
              <w:jc w:val="center"/>
              <w:rPr>
                <w:rFonts w:ascii="Times New Roman" w:hAnsi="Times New Roman"/>
              </w:rPr>
            </w:pPr>
            <w:r w:rsidRPr="000D6ACD">
              <w:rPr>
                <w:rFonts w:ascii="Times New Roman" w:hAnsi="Times New Roman"/>
              </w:rPr>
              <w:t>$</w:t>
            </w:r>
            <w:r w:rsidR="00F86B33">
              <w:rPr>
                <w:rFonts w:ascii="Times New Roman" w:hAnsi="Times New Roman"/>
              </w:rPr>
              <w:t>37.76</w:t>
            </w:r>
          </w:p>
        </w:tc>
        <w:tc>
          <w:tcPr>
            <w:tcW w:w="1371" w:type="dxa"/>
            <w:tcBorders>
              <w:top w:val="single" w:sz="12" w:space="0" w:color="auto"/>
            </w:tcBorders>
          </w:tcPr>
          <w:p w:rsidR="00657C9D" w:rsidRPr="000D6ACD" w:rsidP="002E0CFB" w14:paraId="5C0BBE9D" w14:textId="2FEC6CEF">
            <w:pPr>
              <w:jc w:val="center"/>
              <w:rPr>
                <w:rFonts w:ascii="Times New Roman" w:hAnsi="Times New Roman"/>
              </w:rPr>
            </w:pPr>
            <w:r>
              <w:rPr>
                <w:rFonts w:ascii="Times New Roman" w:hAnsi="Times New Roman"/>
              </w:rPr>
              <w:t>51</w:t>
            </w:r>
          </w:p>
        </w:tc>
        <w:tc>
          <w:tcPr>
            <w:tcW w:w="1416" w:type="dxa"/>
            <w:tcBorders>
              <w:top w:val="single" w:sz="12" w:space="0" w:color="auto"/>
            </w:tcBorders>
          </w:tcPr>
          <w:p w:rsidR="00657C9D" w:rsidRPr="000D6ACD" w:rsidP="002E0CFB" w14:paraId="1293927B" w14:textId="04726CB6">
            <w:pPr>
              <w:jc w:val="center"/>
              <w:rPr>
                <w:rFonts w:ascii="Times New Roman" w:hAnsi="Times New Roman"/>
              </w:rPr>
            </w:pPr>
            <w:r w:rsidRPr="000D6ACD">
              <w:rPr>
                <w:rFonts w:ascii="Times New Roman" w:hAnsi="Times New Roman"/>
              </w:rPr>
              <w:t>$1,</w:t>
            </w:r>
            <w:r w:rsidR="00F86B33">
              <w:rPr>
                <w:rFonts w:ascii="Times New Roman" w:hAnsi="Times New Roman"/>
              </w:rPr>
              <w:t>925.76</w:t>
            </w:r>
          </w:p>
        </w:tc>
      </w:tr>
      <w:tr w14:paraId="700D031A" w14:textId="77777777" w:rsidTr="00E666BD">
        <w:tblPrEx>
          <w:tblW w:w="9360" w:type="dxa"/>
          <w:jc w:val="center"/>
          <w:tblLook w:val="04A0"/>
        </w:tblPrEx>
        <w:trPr>
          <w:trHeight w:val="300"/>
          <w:jc w:val="center"/>
        </w:trPr>
        <w:tc>
          <w:tcPr>
            <w:tcW w:w="2013" w:type="dxa"/>
          </w:tcPr>
          <w:p w:rsidR="00657C9D" w:rsidRPr="000D6ACD" w:rsidP="002E0CFB" w14:paraId="71389D67" w14:textId="28423B27">
            <w:pPr>
              <w:rPr>
                <w:rFonts w:ascii="Times New Roman" w:hAnsi="Times New Roman"/>
              </w:rPr>
            </w:pPr>
            <w:r w:rsidRPr="000D6ACD">
              <w:rPr>
                <w:rFonts w:ascii="Times New Roman" w:hAnsi="Times New Roman"/>
              </w:rPr>
              <w:t>IC-1b: Review Invitation and Instructions</w:t>
            </w:r>
          </w:p>
        </w:tc>
        <w:tc>
          <w:tcPr>
            <w:tcW w:w="1653" w:type="dxa"/>
          </w:tcPr>
          <w:p w:rsidR="62FBF8A7" w:rsidRPr="12611CEE" w:rsidP="12611CEE" w14:paraId="7789308A" w14:textId="6D8F0D30">
            <w:pPr>
              <w:jc w:val="center"/>
              <w:rPr>
                <w:rFonts w:ascii="Times New Roman" w:hAnsi="Times New Roman"/>
              </w:rPr>
            </w:pPr>
            <w:r w:rsidRPr="12611CEE">
              <w:rPr>
                <w:rFonts w:ascii="Times New Roman" w:hAnsi="Times New Roman"/>
              </w:rPr>
              <w:t>0.17 hours</w:t>
            </w:r>
          </w:p>
        </w:tc>
        <w:tc>
          <w:tcPr>
            <w:tcW w:w="1547" w:type="dxa"/>
          </w:tcPr>
          <w:p w:rsidR="5716D9E2" w:rsidP="12611CEE" w14:paraId="4545E940" w14:textId="34C12662">
            <w:pPr>
              <w:jc w:val="center"/>
              <w:rPr>
                <w:rFonts w:ascii="Times New Roman" w:hAnsi="Times New Roman"/>
              </w:rPr>
            </w:pPr>
            <w:r w:rsidRPr="12611CEE">
              <w:rPr>
                <w:rFonts w:ascii="Times New Roman" w:hAnsi="Times New Roman"/>
              </w:rPr>
              <w:t>$</w:t>
            </w:r>
            <w:r w:rsidR="00F86B33">
              <w:rPr>
                <w:rFonts w:ascii="Times New Roman" w:hAnsi="Times New Roman"/>
              </w:rPr>
              <w:t>75.52</w:t>
            </w:r>
          </w:p>
          <w:p w:rsidR="5716D9E2" w:rsidRPr="12611CEE" w:rsidP="12611CEE" w14:paraId="66565B14" w14:textId="02A13299">
            <w:pPr>
              <w:jc w:val="center"/>
              <w:rPr>
                <w:rFonts w:ascii="Times New Roman" w:hAnsi="Times New Roman"/>
              </w:rPr>
            </w:pPr>
          </w:p>
        </w:tc>
        <w:tc>
          <w:tcPr>
            <w:tcW w:w="1360" w:type="dxa"/>
          </w:tcPr>
          <w:p w:rsidR="00657C9D" w:rsidRPr="000D6ACD" w:rsidP="002E0CFB" w14:paraId="23FB70AE" w14:textId="68AAE169">
            <w:pPr>
              <w:jc w:val="center"/>
              <w:rPr>
                <w:rFonts w:ascii="Times New Roman" w:hAnsi="Times New Roman"/>
              </w:rPr>
            </w:pPr>
            <w:r w:rsidRPr="000D6ACD">
              <w:rPr>
                <w:rFonts w:ascii="Times New Roman" w:hAnsi="Times New Roman"/>
              </w:rPr>
              <w:t>$</w:t>
            </w:r>
            <w:r w:rsidR="00F86B33">
              <w:rPr>
                <w:rFonts w:ascii="Times New Roman" w:hAnsi="Times New Roman"/>
              </w:rPr>
              <w:t>12.84</w:t>
            </w:r>
          </w:p>
        </w:tc>
        <w:tc>
          <w:tcPr>
            <w:tcW w:w="1371" w:type="dxa"/>
          </w:tcPr>
          <w:p w:rsidR="00657C9D" w:rsidRPr="000D6ACD" w:rsidP="002E0CFB" w14:paraId="13DDC61D" w14:textId="737B8FCD">
            <w:pPr>
              <w:jc w:val="center"/>
              <w:rPr>
                <w:rFonts w:ascii="Times New Roman" w:hAnsi="Times New Roman"/>
              </w:rPr>
            </w:pPr>
            <w:r>
              <w:rPr>
                <w:rFonts w:ascii="Times New Roman" w:hAnsi="Times New Roman"/>
              </w:rPr>
              <w:t>51</w:t>
            </w:r>
          </w:p>
        </w:tc>
        <w:tc>
          <w:tcPr>
            <w:tcW w:w="1416" w:type="dxa"/>
          </w:tcPr>
          <w:p w:rsidR="00657C9D" w:rsidRPr="000D6ACD" w:rsidP="002E0CFB" w14:paraId="001E8B39" w14:textId="6C1C2FA0">
            <w:pPr>
              <w:jc w:val="center"/>
              <w:rPr>
                <w:rFonts w:ascii="Times New Roman" w:hAnsi="Times New Roman"/>
              </w:rPr>
            </w:pPr>
            <w:r>
              <w:rPr>
                <w:rFonts w:ascii="Times New Roman" w:hAnsi="Times New Roman"/>
              </w:rPr>
              <w:t xml:space="preserve">   </w:t>
            </w:r>
            <w:r w:rsidRPr="000D6ACD">
              <w:rPr>
                <w:rFonts w:ascii="Times New Roman" w:hAnsi="Times New Roman"/>
              </w:rPr>
              <w:t>$</w:t>
            </w:r>
            <w:r w:rsidR="00E666BD">
              <w:rPr>
                <w:rFonts w:ascii="Times New Roman" w:hAnsi="Times New Roman"/>
              </w:rPr>
              <w:t>654.</w:t>
            </w:r>
            <w:r>
              <w:rPr>
                <w:rFonts w:ascii="Times New Roman" w:hAnsi="Times New Roman"/>
              </w:rPr>
              <w:t>84</w:t>
            </w:r>
          </w:p>
        </w:tc>
      </w:tr>
      <w:tr w14:paraId="21117607" w14:textId="77777777" w:rsidTr="00E666BD">
        <w:tblPrEx>
          <w:tblW w:w="9360" w:type="dxa"/>
          <w:jc w:val="center"/>
          <w:tblLook w:val="04A0"/>
        </w:tblPrEx>
        <w:trPr>
          <w:trHeight w:val="300"/>
          <w:jc w:val="center"/>
        </w:trPr>
        <w:tc>
          <w:tcPr>
            <w:tcW w:w="2013" w:type="dxa"/>
          </w:tcPr>
          <w:p w:rsidR="00657C9D" w:rsidRPr="000D6ACD" w:rsidP="002E0CFB" w14:paraId="3E3CF2FB" w14:textId="77777777">
            <w:pPr>
              <w:rPr>
                <w:rFonts w:ascii="Times New Roman" w:hAnsi="Times New Roman"/>
              </w:rPr>
            </w:pPr>
            <w:r w:rsidRPr="000D6ACD">
              <w:rPr>
                <w:rFonts w:ascii="Times New Roman" w:hAnsi="Times New Roman"/>
              </w:rPr>
              <w:t>IC-1c: Complete Survey - Research</w:t>
            </w:r>
          </w:p>
        </w:tc>
        <w:tc>
          <w:tcPr>
            <w:tcW w:w="1653" w:type="dxa"/>
          </w:tcPr>
          <w:p w:rsidR="21E06830" w:rsidRPr="12611CEE" w:rsidP="12611CEE" w14:paraId="500E2552" w14:textId="37F5FB65">
            <w:pPr>
              <w:jc w:val="center"/>
              <w:rPr>
                <w:rFonts w:ascii="Times New Roman" w:hAnsi="Times New Roman"/>
              </w:rPr>
            </w:pPr>
            <w:r w:rsidRPr="12611CEE">
              <w:rPr>
                <w:rFonts w:ascii="Times New Roman" w:hAnsi="Times New Roman"/>
              </w:rPr>
              <w:t>0.5 hours</w:t>
            </w:r>
          </w:p>
        </w:tc>
        <w:tc>
          <w:tcPr>
            <w:tcW w:w="1547" w:type="dxa"/>
          </w:tcPr>
          <w:p w:rsidR="73EB83F4" w:rsidP="12611CEE" w14:paraId="5824B3A7" w14:textId="105BF8A6">
            <w:pPr>
              <w:jc w:val="center"/>
              <w:rPr>
                <w:rFonts w:ascii="Times New Roman" w:hAnsi="Times New Roman"/>
              </w:rPr>
            </w:pPr>
            <w:r w:rsidRPr="12611CEE">
              <w:rPr>
                <w:rFonts w:ascii="Times New Roman" w:hAnsi="Times New Roman"/>
              </w:rPr>
              <w:t>$</w:t>
            </w:r>
            <w:r w:rsidR="00E666BD">
              <w:rPr>
                <w:rFonts w:ascii="Times New Roman" w:hAnsi="Times New Roman"/>
              </w:rPr>
              <w:t>75.52</w:t>
            </w:r>
          </w:p>
          <w:p w:rsidR="73EB83F4" w:rsidRPr="12611CEE" w:rsidP="12611CEE" w14:paraId="1F7EC1CF" w14:textId="213FFF8B">
            <w:pPr>
              <w:jc w:val="center"/>
              <w:rPr>
                <w:rFonts w:ascii="Times New Roman" w:hAnsi="Times New Roman"/>
              </w:rPr>
            </w:pPr>
          </w:p>
        </w:tc>
        <w:tc>
          <w:tcPr>
            <w:tcW w:w="1360" w:type="dxa"/>
          </w:tcPr>
          <w:p w:rsidR="00657C9D" w:rsidRPr="000D6ACD" w:rsidP="002E0CFB" w14:paraId="43426ECF" w14:textId="335EC4F5">
            <w:pPr>
              <w:jc w:val="center"/>
              <w:rPr>
                <w:rFonts w:ascii="Times New Roman" w:hAnsi="Times New Roman"/>
              </w:rPr>
            </w:pPr>
            <w:r w:rsidRPr="000D6ACD">
              <w:rPr>
                <w:rFonts w:ascii="Times New Roman" w:hAnsi="Times New Roman"/>
              </w:rPr>
              <w:t>$</w:t>
            </w:r>
            <w:r w:rsidR="00E666BD">
              <w:rPr>
                <w:rFonts w:ascii="Times New Roman" w:hAnsi="Times New Roman"/>
              </w:rPr>
              <w:t>37.76</w:t>
            </w:r>
          </w:p>
        </w:tc>
        <w:tc>
          <w:tcPr>
            <w:tcW w:w="1371" w:type="dxa"/>
          </w:tcPr>
          <w:p w:rsidR="00657C9D" w:rsidRPr="000D6ACD" w:rsidP="002E0CFB" w14:paraId="0832414C" w14:textId="0A7959D8">
            <w:pPr>
              <w:jc w:val="center"/>
              <w:rPr>
                <w:rFonts w:ascii="Times New Roman" w:hAnsi="Times New Roman"/>
              </w:rPr>
            </w:pPr>
            <w:r>
              <w:rPr>
                <w:rFonts w:ascii="Times New Roman" w:hAnsi="Times New Roman"/>
              </w:rPr>
              <w:t>51</w:t>
            </w:r>
          </w:p>
        </w:tc>
        <w:tc>
          <w:tcPr>
            <w:tcW w:w="1416" w:type="dxa"/>
          </w:tcPr>
          <w:p w:rsidR="00657C9D" w:rsidRPr="000D6ACD" w:rsidP="002E0CFB" w14:paraId="66A1DD0E" w14:textId="5E9F102B">
            <w:pPr>
              <w:jc w:val="center"/>
              <w:rPr>
                <w:rFonts w:ascii="Times New Roman" w:hAnsi="Times New Roman"/>
              </w:rPr>
            </w:pPr>
            <w:r w:rsidRPr="000D6ACD">
              <w:rPr>
                <w:rFonts w:ascii="Times New Roman" w:hAnsi="Times New Roman"/>
              </w:rPr>
              <w:t>$</w:t>
            </w:r>
            <w:r w:rsidR="00E666BD">
              <w:rPr>
                <w:rFonts w:ascii="Times New Roman" w:hAnsi="Times New Roman"/>
              </w:rPr>
              <w:t>1,925.76</w:t>
            </w:r>
          </w:p>
        </w:tc>
      </w:tr>
      <w:tr w14:paraId="34820400" w14:textId="77777777" w:rsidTr="00E666BD">
        <w:tblPrEx>
          <w:tblW w:w="9360" w:type="dxa"/>
          <w:jc w:val="center"/>
          <w:tblLook w:val="04A0"/>
        </w:tblPrEx>
        <w:trPr>
          <w:trHeight w:val="300"/>
          <w:jc w:val="center"/>
        </w:trPr>
        <w:tc>
          <w:tcPr>
            <w:tcW w:w="2013" w:type="dxa"/>
          </w:tcPr>
          <w:p w:rsidR="00657C9D" w:rsidRPr="000D6ACD" w:rsidP="002E0CFB" w14:paraId="35E9BA7E" w14:textId="77777777">
            <w:pPr>
              <w:rPr>
                <w:rFonts w:ascii="Times New Roman" w:hAnsi="Times New Roman"/>
              </w:rPr>
            </w:pPr>
            <w:r w:rsidRPr="000D6ACD">
              <w:rPr>
                <w:rFonts w:ascii="Times New Roman" w:hAnsi="Times New Roman"/>
              </w:rPr>
              <w:t>IC-1d: Complete Survey – Survey Input</w:t>
            </w:r>
          </w:p>
        </w:tc>
        <w:tc>
          <w:tcPr>
            <w:tcW w:w="1653" w:type="dxa"/>
          </w:tcPr>
          <w:p w:rsidR="48DFACCE" w:rsidRPr="12611CEE" w:rsidP="12611CEE" w14:paraId="7F537028" w14:textId="37AF6518">
            <w:pPr>
              <w:jc w:val="center"/>
              <w:rPr>
                <w:rFonts w:ascii="Times New Roman" w:hAnsi="Times New Roman"/>
              </w:rPr>
            </w:pPr>
            <w:r w:rsidRPr="12611CEE">
              <w:rPr>
                <w:rFonts w:ascii="Times New Roman" w:hAnsi="Times New Roman"/>
              </w:rPr>
              <w:t>0.25 hours</w:t>
            </w:r>
          </w:p>
        </w:tc>
        <w:tc>
          <w:tcPr>
            <w:tcW w:w="1547" w:type="dxa"/>
          </w:tcPr>
          <w:p w:rsidR="7581C9B2" w:rsidP="12611CEE" w14:paraId="083271F5" w14:textId="173C1AA4">
            <w:pPr>
              <w:jc w:val="center"/>
              <w:rPr>
                <w:rFonts w:ascii="Times New Roman" w:hAnsi="Times New Roman"/>
              </w:rPr>
            </w:pPr>
            <w:r w:rsidRPr="12611CEE">
              <w:rPr>
                <w:rFonts w:ascii="Times New Roman" w:hAnsi="Times New Roman"/>
              </w:rPr>
              <w:t>$</w:t>
            </w:r>
            <w:r w:rsidR="00E666BD">
              <w:rPr>
                <w:rFonts w:ascii="Times New Roman" w:hAnsi="Times New Roman"/>
              </w:rPr>
              <w:t>75.52</w:t>
            </w:r>
          </w:p>
          <w:p w:rsidR="7581C9B2" w:rsidRPr="12611CEE" w:rsidP="12611CEE" w14:paraId="257007D2" w14:textId="7A6B8D88">
            <w:pPr>
              <w:jc w:val="center"/>
              <w:rPr>
                <w:rFonts w:ascii="Times New Roman" w:hAnsi="Times New Roman"/>
              </w:rPr>
            </w:pPr>
          </w:p>
        </w:tc>
        <w:tc>
          <w:tcPr>
            <w:tcW w:w="1360" w:type="dxa"/>
          </w:tcPr>
          <w:p w:rsidR="00657C9D" w:rsidRPr="000D6ACD" w:rsidP="00A05EDC" w14:paraId="62A44658" w14:textId="77D6B0F5">
            <w:pPr>
              <w:jc w:val="center"/>
              <w:rPr>
                <w:rFonts w:ascii="Times New Roman" w:hAnsi="Times New Roman"/>
              </w:rPr>
            </w:pPr>
            <w:r w:rsidRPr="000D6ACD">
              <w:rPr>
                <w:rFonts w:ascii="Times New Roman" w:hAnsi="Times New Roman"/>
              </w:rPr>
              <w:t>$</w:t>
            </w:r>
            <w:r w:rsidR="00E666BD">
              <w:rPr>
                <w:rFonts w:ascii="Times New Roman" w:hAnsi="Times New Roman"/>
              </w:rPr>
              <w:t>18.88</w:t>
            </w:r>
          </w:p>
        </w:tc>
        <w:tc>
          <w:tcPr>
            <w:tcW w:w="1371" w:type="dxa"/>
          </w:tcPr>
          <w:p w:rsidR="00657C9D" w:rsidRPr="000D6ACD" w:rsidP="002E0CFB" w14:paraId="0F927752" w14:textId="65062192">
            <w:pPr>
              <w:jc w:val="center"/>
              <w:rPr>
                <w:rFonts w:ascii="Times New Roman" w:hAnsi="Times New Roman"/>
              </w:rPr>
            </w:pPr>
            <w:r>
              <w:rPr>
                <w:rFonts w:ascii="Times New Roman" w:hAnsi="Times New Roman"/>
              </w:rPr>
              <w:t>51</w:t>
            </w:r>
          </w:p>
        </w:tc>
        <w:tc>
          <w:tcPr>
            <w:tcW w:w="1416" w:type="dxa"/>
          </w:tcPr>
          <w:p w:rsidR="00657C9D" w:rsidRPr="000D6ACD" w:rsidP="002E0CFB" w14:paraId="532B7E40" w14:textId="45C882D3">
            <w:pPr>
              <w:jc w:val="center"/>
              <w:rPr>
                <w:rFonts w:ascii="Times New Roman" w:hAnsi="Times New Roman"/>
              </w:rPr>
            </w:pPr>
            <w:r>
              <w:rPr>
                <w:rFonts w:ascii="Times New Roman" w:hAnsi="Times New Roman"/>
              </w:rPr>
              <w:t xml:space="preserve">   </w:t>
            </w:r>
            <w:r w:rsidRPr="000D6ACD">
              <w:rPr>
                <w:rFonts w:ascii="Times New Roman" w:hAnsi="Times New Roman"/>
              </w:rPr>
              <w:t>$</w:t>
            </w:r>
            <w:r w:rsidR="00E666BD">
              <w:rPr>
                <w:rFonts w:ascii="Times New Roman" w:hAnsi="Times New Roman"/>
              </w:rPr>
              <w:t>962.88</w:t>
            </w:r>
          </w:p>
        </w:tc>
      </w:tr>
      <w:tr w14:paraId="0A6B0978" w14:textId="77777777" w:rsidTr="00E666BD">
        <w:tblPrEx>
          <w:tblW w:w="9360" w:type="dxa"/>
          <w:jc w:val="center"/>
          <w:tblLook w:val="04A0"/>
        </w:tblPrEx>
        <w:trPr>
          <w:trHeight w:val="300"/>
          <w:jc w:val="center"/>
        </w:trPr>
        <w:tc>
          <w:tcPr>
            <w:tcW w:w="2013" w:type="dxa"/>
          </w:tcPr>
          <w:p w:rsidR="00657C9D" w:rsidRPr="000D6ACD" w:rsidP="00C56971" w14:paraId="1FA357EB" w14:textId="49FDAC6A">
            <w:pPr>
              <w:rPr>
                <w:rFonts w:ascii="Times New Roman" w:hAnsi="Times New Roman"/>
                <w:b/>
                <w:bCs/>
              </w:rPr>
            </w:pPr>
            <w:r w:rsidRPr="000D6ACD">
              <w:rPr>
                <w:rFonts w:ascii="Times New Roman" w:hAnsi="Times New Roman"/>
                <w:b/>
                <w:bCs/>
              </w:rPr>
              <w:t>Total</w:t>
            </w:r>
          </w:p>
        </w:tc>
        <w:tc>
          <w:tcPr>
            <w:tcW w:w="1653" w:type="dxa"/>
          </w:tcPr>
          <w:p w:rsidR="5D96BB47" w:rsidRPr="12611CEE" w:rsidP="12611CEE" w14:paraId="02B462DD" w14:textId="36E061BC">
            <w:pPr>
              <w:jc w:val="center"/>
              <w:rPr>
                <w:rFonts w:ascii="Times New Roman" w:hAnsi="Times New Roman"/>
                <w:b/>
                <w:bCs/>
              </w:rPr>
            </w:pPr>
            <w:r w:rsidRPr="12611CEE">
              <w:rPr>
                <w:rFonts w:ascii="Times New Roman" w:hAnsi="Times New Roman"/>
                <w:b/>
                <w:bCs/>
              </w:rPr>
              <w:t>1.42 hours</w:t>
            </w:r>
          </w:p>
        </w:tc>
        <w:tc>
          <w:tcPr>
            <w:tcW w:w="1547" w:type="dxa"/>
          </w:tcPr>
          <w:p w:rsidR="3B62FBB8" w:rsidRPr="12611CEE" w:rsidP="12611CEE" w14:paraId="671CB72D" w14:textId="56E7AB34">
            <w:pPr>
              <w:jc w:val="center"/>
              <w:rPr>
                <w:rFonts w:ascii="Times New Roman" w:hAnsi="Times New Roman"/>
                <w:b/>
                <w:bCs/>
              </w:rPr>
            </w:pPr>
            <w:r w:rsidRPr="12611CEE">
              <w:rPr>
                <w:rFonts w:ascii="Times New Roman" w:hAnsi="Times New Roman"/>
                <w:b/>
                <w:bCs/>
              </w:rPr>
              <w:t>-</w:t>
            </w:r>
          </w:p>
        </w:tc>
        <w:tc>
          <w:tcPr>
            <w:tcW w:w="1360" w:type="dxa"/>
          </w:tcPr>
          <w:p w:rsidR="00657C9D" w:rsidRPr="000D6ACD" w:rsidP="002E0CFB" w14:paraId="587094D5" w14:textId="53766DC6">
            <w:pPr>
              <w:jc w:val="center"/>
              <w:rPr>
                <w:rFonts w:ascii="Times New Roman" w:hAnsi="Times New Roman"/>
                <w:b/>
                <w:bCs/>
              </w:rPr>
            </w:pPr>
            <w:r w:rsidRPr="000D6ACD">
              <w:rPr>
                <w:rFonts w:ascii="Times New Roman" w:hAnsi="Times New Roman"/>
                <w:b/>
                <w:bCs/>
              </w:rPr>
              <w:t>$</w:t>
            </w:r>
            <w:r w:rsidR="00E666BD">
              <w:rPr>
                <w:rFonts w:ascii="Times New Roman" w:hAnsi="Times New Roman"/>
                <w:b/>
                <w:bCs/>
              </w:rPr>
              <w:t>107.24</w:t>
            </w:r>
          </w:p>
        </w:tc>
        <w:tc>
          <w:tcPr>
            <w:tcW w:w="1371" w:type="dxa"/>
          </w:tcPr>
          <w:p w:rsidR="00657C9D" w:rsidRPr="000D6ACD" w:rsidP="002E0CFB" w14:paraId="4FD80040" w14:textId="19D39387">
            <w:pPr>
              <w:jc w:val="center"/>
              <w:rPr>
                <w:rFonts w:ascii="Times New Roman" w:hAnsi="Times New Roman"/>
                <w:b/>
                <w:bCs/>
              </w:rPr>
            </w:pPr>
            <w:r>
              <w:rPr>
                <w:rFonts w:ascii="Times New Roman" w:hAnsi="Times New Roman"/>
                <w:b/>
                <w:bCs/>
              </w:rPr>
              <w:t>51</w:t>
            </w:r>
          </w:p>
        </w:tc>
        <w:tc>
          <w:tcPr>
            <w:tcW w:w="1416" w:type="dxa"/>
          </w:tcPr>
          <w:p w:rsidR="00657C9D" w:rsidRPr="000D6ACD" w:rsidP="002E0CFB" w14:paraId="720A8DA3" w14:textId="7428ECE5">
            <w:pPr>
              <w:jc w:val="center"/>
              <w:rPr>
                <w:rFonts w:ascii="Times New Roman" w:hAnsi="Times New Roman"/>
                <w:b/>
                <w:bCs/>
              </w:rPr>
            </w:pPr>
            <w:r w:rsidRPr="12611CEE">
              <w:rPr>
                <w:rFonts w:ascii="Times New Roman" w:hAnsi="Times New Roman"/>
                <w:b/>
                <w:bCs/>
              </w:rPr>
              <w:t>$</w:t>
            </w:r>
            <w:r w:rsidR="00E666BD">
              <w:rPr>
                <w:rFonts w:ascii="Times New Roman" w:hAnsi="Times New Roman"/>
                <w:b/>
                <w:bCs/>
              </w:rPr>
              <w:t>5,469.24</w:t>
            </w:r>
          </w:p>
        </w:tc>
      </w:tr>
    </w:tbl>
    <w:p w:rsidR="002E0CFB" w:rsidP="00CA5C77" w14:paraId="1E1891F5" w14:textId="77777777">
      <w:pPr>
        <w:ind w:left="360"/>
        <w:rPr>
          <w:rFonts w:ascii="Times New Roman" w:hAnsi="Times New Roman"/>
          <w:sz w:val="24"/>
          <w:szCs w:val="24"/>
        </w:rPr>
      </w:pPr>
    </w:p>
    <w:p w:rsidR="005570CA" w:rsidP="000D6ACD" w14:paraId="31ECBFC0" w14:textId="1A2959BE">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r w:rsidRPr="000D6ACD">
        <w:rPr>
          <w:rFonts w:ascii="Times New Roman" w:eastAsia="Times New Roman" w:hAnsi="Times New Roman" w:cs="Times New Roman"/>
        </w:rPr>
        <w:t>The</w:t>
      </w:r>
      <w:r w:rsidR="00031E20">
        <w:rPr>
          <w:rFonts w:ascii="Times New Roman" w:eastAsia="Times New Roman" w:hAnsi="Times New Roman" w:cs="Times New Roman"/>
        </w:rPr>
        <w:t xml:space="preserve"> </w:t>
      </w:r>
      <w:r w:rsidR="0048780D">
        <w:rPr>
          <w:rFonts w:ascii="Times New Roman" w:eastAsia="Times New Roman" w:hAnsi="Times New Roman" w:cs="Times New Roman"/>
        </w:rPr>
        <w:t>total</w:t>
      </w:r>
      <w:r w:rsidR="00657C9D">
        <w:rPr>
          <w:rFonts w:ascii="Times New Roman" w:eastAsia="Times New Roman" w:hAnsi="Times New Roman" w:cs="Times New Roman"/>
        </w:rPr>
        <w:t xml:space="preserve"> </w:t>
      </w:r>
      <w:r w:rsidRPr="000D6ACD">
        <w:rPr>
          <w:rFonts w:ascii="Times New Roman" w:eastAsia="Times New Roman" w:hAnsi="Times New Roman" w:cs="Times New Roman"/>
        </w:rPr>
        <w:t xml:space="preserve">burden for all </w:t>
      </w:r>
      <w:r w:rsidR="00657C9D">
        <w:rPr>
          <w:rFonts w:ascii="Times New Roman" w:eastAsia="Times New Roman" w:hAnsi="Times New Roman" w:cs="Times New Roman"/>
        </w:rPr>
        <w:t>respondents</w:t>
      </w:r>
      <w:r w:rsidRPr="000D6ACD">
        <w:rPr>
          <w:rFonts w:ascii="Times New Roman" w:eastAsia="Times New Roman" w:hAnsi="Times New Roman" w:cs="Times New Roman"/>
        </w:rPr>
        <w:t xml:space="preserve"> is 72.</w:t>
      </w:r>
      <w:r w:rsidR="00E35D26">
        <w:rPr>
          <w:rFonts w:ascii="Times New Roman" w:eastAsia="Times New Roman" w:hAnsi="Times New Roman" w:cs="Times New Roman"/>
        </w:rPr>
        <w:t>42</w:t>
      </w:r>
      <w:r w:rsidRPr="000D6ACD" w:rsidR="00E35D26">
        <w:rPr>
          <w:rFonts w:ascii="Times New Roman" w:eastAsia="Times New Roman" w:hAnsi="Times New Roman" w:cs="Times New Roman"/>
        </w:rPr>
        <w:t xml:space="preserve"> </w:t>
      </w:r>
      <w:r w:rsidRPr="000D6ACD">
        <w:rPr>
          <w:rFonts w:ascii="Times New Roman" w:eastAsia="Times New Roman" w:hAnsi="Times New Roman" w:cs="Times New Roman"/>
        </w:rPr>
        <w:t xml:space="preserve">hours, or 1.42 hours per </w:t>
      </w:r>
      <w:r w:rsidR="00E666BD">
        <w:rPr>
          <w:rFonts w:ascii="Times New Roman" w:eastAsia="Times New Roman" w:hAnsi="Times New Roman" w:cs="Times New Roman"/>
        </w:rPr>
        <w:t>respondent</w:t>
      </w:r>
      <w:r w:rsidRPr="000D6ACD">
        <w:rPr>
          <w:rFonts w:ascii="Times New Roman" w:eastAsia="Times New Roman" w:hAnsi="Times New Roman" w:cs="Times New Roman"/>
        </w:rPr>
        <w:t>.</w:t>
      </w:r>
      <w:r w:rsidR="0089191A">
        <w:rPr>
          <w:rFonts w:ascii="Times New Roman" w:eastAsia="Times New Roman" w:hAnsi="Times New Roman" w:cs="Times New Roman"/>
        </w:rPr>
        <w:t xml:space="preserve"> </w:t>
      </w:r>
      <w:r w:rsidRPr="000D6ACD">
        <w:rPr>
          <w:rFonts w:ascii="Times New Roman" w:eastAsia="Times New Roman" w:hAnsi="Times New Roman" w:cs="Times New Roman"/>
        </w:rPr>
        <w:t xml:space="preserve">The cost for all </w:t>
      </w:r>
      <w:r w:rsidR="00657C9D">
        <w:rPr>
          <w:rFonts w:ascii="Times New Roman" w:eastAsia="Times New Roman" w:hAnsi="Times New Roman" w:cs="Times New Roman"/>
        </w:rPr>
        <w:t>respondents</w:t>
      </w:r>
      <w:r w:rsidRPr="000D6ACD">
        <w:rPr>
          <w:rFonts w:ascii="Times New Roman" w:eastAsia="Times New Roman" w:hAnsi="Times New Roman" w:cs="Times New Roman"/>
        </w:rPr>
        <w:t xml:space="preserve"> is </w:t>
      </w:r>
      <w:r w:rsidRPr="000D6ACD" w:rsidR="00851AF5">
        <w:rPr>
          <w:rFonts w:ascii="Times New Roman" w:eastAsia="Times New Roman" w:hAnsi="Times New Roman" w:cs="Times New Roman"/>
        </w:rPr>
        <w:t>$</w:t>
      </w:r>
      <w:r w:rsidR="00E666BD">
        <w:rPr>
          <w:rFonts w:ascii="Times New Roman" w:eastAsia="Times New Roman" w:hAnsi="Times New Roman" w:cs="Times New Roman"/>
        </w:rPr>
        <w:t>5,469.24</w:t>
      </w:r>
      <w:r w:rsidRPr="000D6ACD" w:rsidR="00851AF5">
        <w:rPr>
          <w:rFonts w:ascii="Times New Roman" w:eastAsia="Times New Roman" w:hAnsi="Times New Roman" w:cs="Times New Roman"/>
        </w:rPr>
        <w:t>, or $</w:t>
      </w:r>
      <w:r w:rsidR="00E666BD">
        <w:rPr>
          <w:rFonts w:ascii="Times New Roman" w:eastAsia="Times New Roman" w:hAnsi="Times New Roman" w:cs="Times New Roman"/>
        </w:rPr>
        <w:t>107.24</w:t>
      </w:r>
      <w:r w:rsidRPr="000D6ACD" w:rsidR="00851AF5">
        <w:rPr>
          <w:rFonts w:ascii="Times New Roman" w:eastAsia="Times New Roman" w:hAnsi="Times New Roman" w:cs="Times New Roman"/>
        </w:rPr>
        <w:t xml:space="preserve"> per </w:t>
      </w:r>
      <w:r w:rsidR="00657C9D">
        <w:rPr>
          <w:rFonts w:ascii="Times New Roman" w:eastAsia="Times New Roman" w:hAnsi="Times New Roman" w:cs="Times New Roman"/>
        </w:rPr>
        <w:t>respondent</w:t>
      </w:r>
      <w:r w:rsidRPr="000D6ACD" w:rsidR="00851AF5">
        <w:rPr>
          <w:rFonts w:ascii="Times New Roman" w:eastAsia="Times New Roman" w:hAnsi="Times New Roman" w:cs="Times New Roman"/>
        </w:rPr>
        <w:t xml:space="preserve">. </w:t>
      </w:r>
    </w:p>
    <w:p w:rsidR="0042232B" w:rsidP="000D6ACD" w14:paraId="39DC9A86" w14:textId="015CF0CE">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p>
    <w:p w:rsidR="00105F8E" w:rsidRPr="009E0597" w:rsidP="6ABB762F" w14:paraId="4B7ADEFA" w14:textId="2E6A15F4">
      <w:pPr>
        <w:numPr>
          <w:ilvl w:val="0"/>
          <w:numId w:val="34"/>
        </w:numPr>
        <w:rPr>
          <w:rFonts w:ascii="Times New Roman" w:hAnsi="Times New Roman"/>
        </w:rPr>
      </w:pPr>
      <w:r w:rsidRPr="6ABB762F">
        <w:rPr>
          <w:rFonts w:ascii="Times New Roman" w:hAnsi="Times New Roman"/>
          <w:b/>
          <w:bCs/>
          <w:sz w:val="24"/>
          <w:szCs w:val="24"/>
        </w:rPr>
        <w:t>ESTIMATE OF TOTAL ANNUAL COSTS TO RESPONDENTS</w:t>
      </w:r>
    </w:p>
    <w:p w:rsidR="002D4BEF" w:rsidRPr="00B57147" w:rsidP="00B57147" w14:paraId="426DE845" w14:textId="718AAC96">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5129A2" w:rsidP="6ABB762F" w14:paraId="0D747ED4" w14:textId="11C351F7">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r w:rsidRPr="6ABB762F">
        <w:rPr>
          <w:rFonts w:ascii="Times New Roman" w:eastAsia="Times New Roman" w:hAnsi="Times New Roman" w:cs="Times New Roman"/>
        </w:rPr>
        <w:t xml:space="preserve">There is no </w:t>
      </w:r>
      <w:r w:rsidR="00657C9D">
        <w:rPr>
          <w:rFonts w:ascii="Times New Roman" w:eastAsia="Times New Roman" w:hAnsi="Times New Roman" w:cs="Times New Roman"/>
        </w:rPr>
        <w:t>additional cost to respondents other than the burden associated with responding to the survey.</w:t>
      </w:r>
    </w:p>
    <w:p w:rsidR="00197355" w:rsidP="6ABB762F" w14:paraId="06C2C91A" w14:textId="79A9B153">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p>
    <w:p w:rsidR="0021737F" w:rsidP="6ABB762F" w14:paraId="786ADCF2" w14:textId="4CD1594A">
      <w:pPr>
        <w:numPr>
          <w:ilvl w:val="0"/>
          <w:numId w:val="34"/>
        </w:numPr>
        <w:rPr>
          <w:rFonts w:ascii="Times New Roman" w:hAnsi="Times New Roman"/>
          <w:b/>
          <w:bCs/>
          <w:sz w:val="24"/>
          <w:szCs w:val="24"/>
        </w:rPr>
      </w:pPr>
      <w:r w:rsidRPr="6ABB762F">
        <w:rPr>
          <w:rFonts w:ascii="Times New Roman" w:hAnsi="Times New Roman"/>
          <w:b/>
          <w:bCs/>
          <w:sz w:val="24"/>
          <w:szCs w:val="24"/>
        </w:rPr>
        <w:t xml:space="preserve">ESTIMATE OF COST TO THE </w:t>
      </w:r>
      <w:r w:rsidRPr="6ABB762F">
        <w:rPr>
          <w:rFonts w:ascii="Times New Roman" w:hAnsi="Times New Roman"/>
          <w:b/>
          <w:bCs/>
          <w:sz w:val="24"/>
          <w:szCs w:val="24"/>
        </w:rPr>
        <w:t>FEDERAL GOVERNMENT</w:t>
      </w:r>
      <w:r>
        <w:br/>
      </w:r>
    </w:p>
    <w:p w:rsidR="00722C47" w:rsidP="00FE78F6" w14:paraId="4ACAB5E9" w14:textId="4DA42365">
      <w:pPr>
        <w:pStyle w:val="NormalWeb"/>
        <w:spacing w:before="0" w:beforeAutospacing="0" w:after="240" w:afterAutospacing="0"/>
        <w:ind w:left="360"/>
        <w:rPr>
          <w:rFonts w:ascii="Times New Roman" w:hAnsi="Times New Roman"/>
        </w:rPr>
      </w:pPr>
      <w:r>
        <w:rPr>
          <w:rFonts w:ascii="Times New Roman" w:eastAsia="Times New Roman" w:hAnsi="Times New Roman" w:cs="Times New Roman"/>
        </w:rPr>
        <w:t xml:space="preserve">Staff costs to the Government will include 10 percent of full-time hours for one </w:t>
      </w:r>
      <w:r w:rsidR="00484004">
        <w:rPr>
          <w:rFonts w:ascii="Times New Roman" w:eastAsia="Times New Roman" w:hAnsi="Times New Roman" w:cs="Times New Roman"/>
        </w:rPr>
        <w:t xml:space="preserve">mid-level </w:t>
      </w:r>
      <w:r>
        <w:rPr>
          <w:rFonts w:ascii="Times New Roman" w:eastAsia="Times New Roman" w:hAnsi="Times New Roman" w:cs="Times New Roman"/>
        </w:rPr>
        <w:t>GS-14</w:t>
      </w:r>
      <w:r w:rsidR="00C30C2E">
        <w:rPr>
          <w:rFonts w:ascii="Times New Roman" w:eastAsia="Times New Roman" w:hAnsi="Times New Roman" w:cs="Times New Roman"/>
        </w:rPr>
        <w:t xml:space="preserve"> at the Washington, D.C. </w:t>
      </w:r>
      <w:r w:rsidR="00C73472">
        <w:rPr>
          <w:rFonts w:ascii="Times New Roman" w:eastAsia="Times New Roman" w:hAnsi="Times New Roman" w:cs="Times New Roman"/>
        </w:rPr>
        <w:t xml:space="preserve">(DC) </w:t>
      </w:r>
      <w:r w:rsidR="00C30C2E">
        <w:rPr>
          <w:rFonts w:ascii="Times New Roman" w:eastAsia="Times New Roman" w:hAnsi="Times New Roman" w:cs="Times New Roman"/>
        </w:rPr>
        <w:t>locality pay rate, to conduct</w:t>
      </w:r>
      <w:r>
        <w:rPr>
          <w:rFonts w:ascii="Times New Roman" w:eastAsia="Times New Roman" w:hAnsi="Times New Roman" w:cs="Times New Roman"/>
        </w:rPr>
        <w:t xml:space="preserve"> </w:t>
      </w:r>
      <w:r w:rsidR="00862E24">
        <w:rPr>
          <w:rFonts w:ascii="Times New Roman" w:eastAsia="Times New Roman" w:hAnsi="Times New Roman" w:cs="Times New Roman"/>
        </w:rPr>
        <w:t>c</w:t>
      </w:r>
      <w:r>
        <w:rPr>
          <w:rFonts w:ascii="Times New Roman" w:eastAsia="Times New Roman" w:hAnsi="Times New Roman" w:cs="Times New Roman"/>
        </w:rPr>
        <w:t xml:space="preserve">ontracting </w:t>
      </w:r>
      <w:r w:rsidR="00862E24">
        <w:rPr>
          <w:rFonts w:ascii="Times New Roman" w:eastAsia="Times New Roman" w:hAnsi="Times New Roman" w:cs="Times New Roman"/>
        </w:rPr>
        <w:t>o</w:t>
      </w:r>
      <w:r>
        <w:rPr>
          <w:rFonts w:ascii="Times New Roman" w:eastAsia="Times New Roman" w:hAnsi="Times New Roman" w:cs="Times New Roman"/>
        </w:rPr>
        <w:t xml:space="preserve">fficer’s </w:t>
      </w:r>
      <w:r w:rsidR="00862E24">
        <w:rPr>
          <w:rFonts w:ascii="Times New Roman" w:eastAsia="Times New Roman" w:hAnsi="Times New Roman" w:cs="Times New Roman"/>
        </w:rPr>
        <w:t>r</w:t>
      </w:r>
      <w:r>
        <w:rPr>
          <w:rFonts w:ascii="Times New Roman" w:eastAsia="Times New Roman" w:hAnsi="Times New Roman" w:cs="Times New Roman"/>
        </w:rPr>
        <w:t xml:space="preserve">epresentative </w:t>
      </w:r>
      <w:r w:rsidR="00C03226">
        <w:rPr>
          <w:rFonts w:ascii="Times New Roman" w:eastAsia="Times New Roman" w:hAnsi="Times New Roman" w:cs="Times New Roman"/>
        </w:rPr>
        <w:t>duties</w:t>
      </w:r>
      <w:r w:rsidR="007B4AEA">
        <w:rPr>
          <w:rFonts w:ascii="Times New Roman" w:eastAsia="Times New Roman" w:hAnsi="Times New Roman" w:cs="Times New Roman"/>
        </w:rPr>
        <w:t xml:space="preserve"> for the </w:t>
      </w:r>
      <w:r w:rsidR="00504395">
        <w:rPr>
          <w:rFonts w:ascii="Times New Roman" w:eastAsia="Times New Roman" w:hAnsi="Times New Roman" w:cs="Times New Roman"/>
        </w:rPr>
        <w:t>3-year</w:t>
      </w:r>
      <w:r w:rsidR="007B4AEA">
        <w:rPr>
          <w:rFonts w:ascii="Times New Roman" w:eastAsia="Times New Roman" w:hAnsi="Times New Roman" w:cs="Times New Roman"/>
        </w:rPr>
        <w:t xml:space="preserve"> duration of this project</w:t>
      </w:r>
      <w:r w:rsidR="00674614">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rPr>
        <w:t>We used the 202</w:t>
      </w:r>
      <w:r w:rsidR="00A94C18">
        <w:rPr>
          <w:rFonts w:ascii="Times New Roman" w:hAnsi="Times New Roman"/>
        </w:rPr>
        <w:t>3</w:t>
      </w:r>
      <w:r>
        <w:rPr>
          <w:rFonts w:ascii="Times New Roman" w:hAnsi="Times New Roman"/>
        </w:rPr>
        <w:t xml:space="preserve"> DC locality GS salary table</w:t>
      </w:r>
      <w:r>
        <w:rPr>
          <w:rStyle w:val="FootnoteReference"/>
          <w:rFonts w:ascii="Times New Roman" w:hAnsi="Times New Roman"/>
        </w:rPr>
        <w:footnoteReference w:id="5"/>
      </w:r>
      <w:r>
        <w:rPr>
          <w:rFonts w:ascii="Times New Roman" w:hAnsi="Times New Roman"/>
        </w:rPr>
        <w:t xml:space="preserve"> to estimate an average DC-based mid-level GS-14 salary of $</w:t>
      </w:r>
      <w:r w:rsidR="00F567BD">
        <w:rPr>
          <w:rFonts w:ascii="Times New Roman" w:hAnsi="Times New Roman"/>
        </w:rPr>
        <w:t>152</w:t>
      </w:r>
      <w:r w:rsidR="00A94C18">
        <w:rPr>
          <w:rFonts w:ascii="Times New Roman" w:hAnsi="Times New Roman"/>
        </w:rPr>
        <w:t>,221.80</w:t>
      </w:r>
      <w:r>
        <w:rPr>
          <w:rFonts w:ascii="Times New Roman" w:hAnsi="Times New Roman"/>
        </w:rPr>
        <w:t>, plus 28 percent fringe (estimated at $</w:t>
      </w:r>
      <w:r w:rsidR="00A94C18">
        <w:rPr>
          <w:rFonts w:ascii="Times New Roman" w:hAnsi="Times New Roman"/>
        </w:rPr>
        <w:t>42,622.10</w:t>
      </w:r>
      <w:r>
        <w:rPr>
          <w:rFonts w:ascii="Times New Roman" w:hAnsi="Times New Roman"/>
        </w:rPr>
        <w:t>), for a total annual salary of $</w:t>
      </w:r>
      <w:r w:rsidR="00BB623C">
        <w:rPr>
          <w:rFonts w:ascii="Times New Roman" w:hAnsi="Times New Roman"/>
        </w:rPr>
        <w:t>194,843.90</w:t>
      </w:r>
      <w:r>
        <w:rPr>
          <w:rFonts w:ascii="Times New Roman" w:hAnsi="Times New Roman"/>
        </w:rPr>
        <w:t xml:space="preserve">. A </w:t>
      </w:r>
      <w:r w:rsidR="005747A3">
        <w:rPr>
          <w:rFonts w:ascii="Times New Roman" w:hAnsi="Times New Roman"/>
        </w:rPr>
        <w:t>1</w:t>
      </w:r>
      <w:r>
        <w:rPr>
          <w:rFonts w:ascii="Times New Roman" w:hAnsi="Times New Roman"/>
        </w:rPr>
        <w:t xml:space="preserve">0 percent time commitment from </w:t>
      </w:r>
      <w:r>
        <w:rPr>
          <w:rFonts w:ascii="Times New Roman" w:hAnsi="Times New Roman"/>
        </w:rPr>
        <w:t>this GS-14 will cost the Government $</w:t>
      </w:r>
      <w:r w:rsidR="00FA6844">
        <w:rPr>
          <w:rFonts w:ascii="Times New Roman" w:hAnsi="Times New Roman"/>
        </w:rPr>
        <w:t>19,484.39</w:t>
      </w:r>
      <w:r>
        <w:rPr>
          <w:rFonts w:ascii="Times New Roman" w:hAnsi="Times New Roman"/>
        </w:rPr>
        <w:t xml:space="preserve"> per year. Multiplied by </w:t>
      </w:r>
      <w:r w:rsidR="00504395">
        <w:rPr>
          <w:rFonts w:ascii="Times New Roman" w:hAnsi="Times New Roman"/>
        </w:rPr>
        <w:t>3</w:t>
      </w:r>
      <w:r>
        <w:rPr>
          <w:rFonts w:ascii="Times New Roman" w:hAnsi="Times New Roman"/>
        </w:rPr>
        <w:t xml:space="preserve"> years, this results in a total cost of $</w:t>
      </w:r>
      <w:r w:rsidR="00504395">
        <w:rPr>
          <w:rFonts w:ascii="Times New Roman" w:hAnsi="Times New Roman"/>
        </w:rPr>
        <w:t>58,453.17</w:t>
      </w:r>
      <w:r>
        <w:rPr>
          <w:rFonts w:ascii="Times New Roman" w:hAnsi="Times New Roman"/>
        </w:rPr>
        <w:t xml:space="preserve"> ($</w:t>
      </w:r>
      <w:r w:rsidR="00504395">
        <w:rPr>
          <w:rFonts w:ascii="Times New Roman" w:hAnsi="Times New Roman"/>
        </w:rPr>
        <w:t>19,484.39</w:t>
      </w:r>
      <w:r>
        <w:rPr>
          <w:rFonts w:ascii="Times New Roman" w:hAnsi="Times New Roman"/>
        </w:rPr>
        <w:t xml:space="preserve"> * 3 years = $</w:t>
      </w:r>
      <w:r w:rsidR="00A45D7E">
        <w:rPr>
          <w:rFonts w:ascii="Times New Roman" w:hAnsi="Times New Roman"/>
        </w:rPr>
        <w:t>58,453.17</w:t>
      </w:r>
      <w:r>
        <w:rPr>
          <w:rFonts w:ascii="Times New Roman" w:hAnsi="Times New Roman"/>
        </w:rPr>
        <w:t xml:space="preserve">). </w:t>
      </w:r>
    </w:p>
    <w:p w:rsidR="002134DA" w:rsidRPr="00EB6CF6" w:rsidP="000D6ACD" w14:paraId="6F810622" w14:textId="17EE9520">
      <w:pPr>
        <w:pStyle w:val="NormalWeb"/>
        <w:widowControl w:val="0"/>
        <w:autoSpaceDE w:val="0"/>
        <w:autoSpaceDN w:val="0"/>
        <w:adjustRightInd w:val="0"/>
        <w:spacing w:before="0" w:beforeAutospacing="0" w:after="0" w:afterAutospacing="0"/>
        <w:ind w:left="360"/>
        <w:rPr>
          <w:rFonts w:ascii="Times New Roman" w:hAnsi="Times New Roman"/>
        </w:rPr>
      </w:pPr>
      <w:r w:rsidRPr="00EB6CF6">
        <w:rPr>
          <w:rFonts w:ascii="Times New Roman" w:eastAsia="Times New Roman" w:hAnsi="Times New Roman" w:cs="Times New Roman"/>
        </w:rPr>
        <w:t xml:space="preserve">This is </w:t>
      </w:r>
      <w:r w:rsidR="00E35D26">
        <w:rPr>
          <w:rFonts w:ascii="Times New Roman" w:eastAsia="Times New Roman" w:hAnsi="Times New Roman" w:cs="Times New Roman"/>
        </w:rPr>
        <w:t xml:space="preserve">a </w:t>
      </w:r>
      <w:r w:rsidRPr="00EB6CF6">
        <w:rPr>
          <w:rFonts w:ascii="Times New Roman" w:eastAsia="Times New Roman" w:hAnsi="Times New Roman" w:cs="Times New Roman"/>
        </w:rPr>
        <w:t xml:space="preserve">one-time data collection and there will be no recurrence. </w:t>
      </w:r>
      <w:r w:rsidR="00AA68EB">
        <w:rPr>
          <w:rFonts w:ascii="Times New Roman" w:eastAsia="Times New Roman" w:hAnsi="Times New Roman" w:cs="Times New Roman"/>
        </w:rPr>
        <w:t xml:space="preserve">FMCSA has selected a contractor to conduct this data collection. </w:t>
      </w:r>
      <w:r w:rsidRPr="00EB6CF6">
        <w:rPr>
          <w:rFonts w:ascii="Times New Roman" w:eastAsia="Times New Roman" w:hAnsi="Times New Roman" w:cs="Times New Roman"/>
        </w:rPr>
        <w:t xml:space="preserve">The total cost to the Federal Government for the </w:t>
      </w:r>
      <w:r w:rsidR="00AA68EB">
        <w:rPr>
          <w:rFonts w:ascii="Times New Roman" w:eastAsia="Times New Roman" w:hAnsi="Times New Roman" w:cs="Times New Roman"/>
        </w:rPr>
        <w:t xml:space="preserve">contractor </w:t>
      </w:r>
      <w:r w:rsidRPr="00EB6CF6">
        <w:rPr>
          <w:rFonts w:ascii="Times New Roman" w:eastAsia="Times New Roman" w:hAnsi="Times New Roman" w:cs="Times New Roman"/>
        </w:rPr>
        <w:t>is $</w:t>
      </w:r>
      <w:r w:rsidRPr="00EB6CF6" w:rsidR="20295766">
        <w:rPr>
          <w:rFonts w:ascii="Times New Roman" w:eastAsia="Times New Roman" w:hAnsi="Times New Roman" w:cs="Times New Roman"/>
        </w:rPr>
        <w:t>799,770.56</w:t>
      </w:r>
      <w:r w:rsidRPr="00EB6CF6">
        <w:rPr>
          <w:rFonts w:ascii="Times New Roman" w:eastAsia="Times New Roman" w:hAnsi="Times New Roman" w:cs="Times New Roman"/>
        </w:rPr>
        <w:t xml:space="preserve"> over </w:t>
      </w:r>
      <w:r w:rsidRPr="00EB6CF6" w:rsidR="769D6BCD">
        <w:rPr>
          <w:rFonts w:ascii="Times New Roman" w:eastAsia="Times New Roman" w:hAnsi="Times New Roman" w:cs="Times New Roman"/>
        </w:rPr>
        <w:t>36</w:t>
      </w:r>
      <w:r w:rsidRPr="00EB6CF6">
        <w:rPr>
          <w:rFonts w:ascii="Times New Roman" w:eastAsia="Times New Roman" w:hAnsi="Times New Roman" w:cs="Times New Roman"/>
        </w:rPr>
        <w:t xml:space="preserve"> months, which amounts to an annual cost of approximately $</w:t>
      </w:r>
      <w:r w:rsidRPr="00EB6CF6" w:rsidR="28BF39F2">
        <w:rPr>
          <w:rFonts w:ascii="Times New Roman" w:eastAsia="Times New Roman" w:hAnsi="Times New Roman" w:cs="Times New Roman"/>
        </w:rPr>
        <w:t>266,590.19</w:t>
      </w:r>
      <w:r w:rsidRPr="00EB6CF6">
        <w:rPr>
          <w:rFonts w:ascii="Times New Roman" w:eastAsia="Times New Roman" w:hAnsi="Times New Roman" w:cs="Times New Roman"/>
        </w:rPr>
        <w:t xml:space="preserve"> per year for </w:t>
      </w:r>
      <w:r w:rsidRPr="00EB6CF6" w:rsidR="32D8E870">
        <w:rPr>
          <w:rFonts w:ascii="Times New Roman" w:eastAsia="Times New Roman" w:hAnsi="Times New Roman" w:cs="Times New Roman"/>
        </w:rPr>
        <w:t>3</w:t>
      </w:r>
      <w:r w:rsidRPr="00EB6CF6">
        <w:rPr>
          <w:rFonts w:ascii="Times New Roman" w:eastAsia="Times New Roman" w:hAnsi="Times New Roman" w:cs="Times New Roman"/>
        </w:rPr>
        <w:t xml:space="preserve"> years. In addition to administering the surveys, this cost includes other information gathering efforts such as interviews, data analysis, the development of final project reports, and other project planning and administrative costs.</w:t>
      </w:r>
    </w:p>
    <w:p w:rsidR="00EB6CF6" w:rsidRPr="00EB6CF6" w:rsidP="000D6ACD" w14:paraId="6C6E663A" w14:textId="77777777">
      <w:pPr>
        <w:pStyle w:val="NormalWeb"/>
        <w:widowControl w:val="0"/>
        <w:autoSpaceDE w:val="0"/>
        <w:autoSpaceDN w:val="0"/>
        <w:adjustRightInd w:val="0"/>
        <w:spacing w:before="0" w:beforeAutospacing="0" w:after="0" w:afterAutospacing="0"/>
        <w:ind w:left="360"/>
        <w:rPr>
          <w:rFonts w:ascii="Times New Roman" w:hAnsi="Times New Roman"/>
        </w:rPr>
      </w:pPr>
    </w:p>
    <w:p w:rsidR="00EB6CF6" w:rsidP="001E0564" w14:paraId="28E6FFFB" w14:textId="43200A67">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r>
        <w:rPr>
          <w:rFonts w:ascii="Times New Roman" w:eastAsia="Times New Roman" w:hAnsi="Times New Roman" w:cs="Times New Roman"/>
        </w:rPr>
        <w:t>There are no additio</w:t>
      </w:r>
      <w:r>
        <w:rPr>
          <w:rFonts w:ascii="Times New Roman" w:eastAsia="Times New Roman" w:hAnsi="Times New Roman" w:cs="Times New Roman"/>
        </w:rPr>
        <w:t>nal costs to the Government, as all employees working on this program are within their normal position duties and there is no anticipated travel or overtime associated with this program.</w:t>
      </w:r>
    </w:p>
    <w:p w:rsidR="005F7C22" w:rsidP="005F7C22" w14:paraId="3610F928" w14:textId="77777777">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p>
    <w:p w:rsidR="005F7C22" w:rsidP="005F7C22" w14:paraId="403E7C52" w14:textId="731E8EB5">
      <w:pPr>
        <w:pStyle w:val="NormalWeb"/>
        <w:widowControl w:val="0"/>
        <w:autoSpaceDE w:val="0"/>
        <w:autoSpaceDN w:val="0"/>
        <w:adjustRightInd w:val="0"/>
        <w:spacing w:before="0" w:beforeAutospacing="0" w:after="0" w:afterAutospacing="0"/>
        <w:ind w:left="360"/>
        <w:rPr>
          <w:rFonts w:ascii="Times New Roman" w:hAnsi="Times New Roman"/>
        </w:rPr>
      </w:pPr>
      <w:r w:rsidRPr="00E666BD">
        <w:rPr>
          <w:rFonts w:ascii="Times New Roman" w:eastAsia="Times New Roman" w:hAnsi="Times New Roman" w:cs="Times New Roman"/>
        </w:rPr>
        <w:t>Based on the estimates presented above, total costs to the Governmen</w:t>
      </w:r>
      <w:r w:rsidRPr="00E666BD">
        <w:rPr>
          <w:rFonts w:ascii="Times New Roman" w:eastAsia="Times New Roman" w:hAnsi="Times New Roman" w:cs="Times New Roman"/>
        </w:rPr>
        <w:t>t for the ICs described in</w:t>
      </w:r>
      <w:r>
        <w:rPr>
          <w:rFonts w:ascii="Times New Roman" w:hAnsi="Times New Roman"/>
        </w:rPr>
        <w:t xml:space="preserve"> this statement will be $</w:t>
      </w:r>
      <w:r w:rsidR="00CE0F41">
        <w:rPr>
          <w:rFonts w:ascii="Times New Roman" w:hAnsi="Times New Roman"/>
        </w:rPr>
        <w:t>858,223.73</w:t>
      </w:r>
      <w:r w:rsidR="00AB6C62">
        <w:rPr>
          <w:rFonts w:ascii="Times New Roman" w:hAnsi="Times New Roman"/>
        </w:rPr>
        <w:t xml:space="preserve"> ($</w:t>
      </w:r>
      <w:r w:rsidR="00247AD3">
        <w:rPr>
          <w:rFonts w:ascii="Times New Roman" w:hAnsi="Times New Roman"/>
        </w:rPr>
        <w:t>58</w:t>
      </w:r>
      <w:r w:rsidR="00CE0F41">
        <w:rPr>
          <w:rFonts w:ascii="Times New Roman" w:hAnsi="Times New Roman"/>
        </w:rPr>
        <w:t>,453.17</w:t>
      </w:r>
      <w:r w:rsidR="00AB6C62">
        <w:rPr>
          <w:rFonts w:ascii="Times New Roman" w:hAnsi="Times New Roman"/>
        </w:rPr>
        <w:t xml:space="preserve"> + </w:t>
      </w:r>
      <w:r w:rsidR="002A02DE">
        <w:rPr>
          <w:rFonts w:ascii="Times New Roman" w:hAnsi="Times New Roman"/>
        </w:rPr>
        <w:t>$799,770.56 = $</w:t>
      </w:r>
      <w:r w:rsidR="00CE0F41">
        <w:rPr>
          <w:rFonts w:ascii="Times New Roman" w:hAnsi="Times New Roman"/>
        </w:rPr>
        <w:t>858</w:t>
      </w:r>
      <w:r w:rsidR="005C45C4">
        <w:rPr>
          <w:rFonts w:ascii="Times New Roman" w:hAnsi="Times New Roman"/>
        </w:rPr>
        <w:t>,223.73</w:t>
      </w:r>
      <w:r w:rsidR="002A02DE">
        <w:rPr>
          <w:rFonts w:ascii="Times New Roman" w:hAnsi="Times New Roman"/>
        </w:rPr>
        <w:t>).</w:t>
      </w:r>
    </w:p>
    <w:p w:rsidR="00FE5895" w:rsidRPr="005612EB" w:rsidP="00E24314" w14:paraId="43D53BFD"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74670F" w:rsidP="6ABB762F" w14:paraId="79116364" w14:textId="16CED898">
      <w:pPr>
        <w:numPr>
          <w:ilvl w:val="0"/>
          <w:numId w:val="34"/>
        </w:numPr>
        <w:rPr>
          <w:rFonts w:ascii="Times New Roman" w:hAnsi="Times New Roman"/>
        </w:rPr>
      </w:pPr>
      <w:r w:rsidRPr="6ABB762F">
        <w:rPr>
          <w:rFonts w:ascii="Times New Roman" w:hAnsi="Times New Roman"/>
          <w:b/>
          <w:bCs/>
          <w:sz w:val="24"/>
          <w:szCs w:val="24"/>
        </w:rPr>
        <w:t>EXPLANATION OF PROGRAM CHANGES OR ADJUSTMENTS</w:t>
      </w:r>
      <w:r>
        <w:br/>
      </w:r>
    </w:p>
    <w:p w:rsidR="00407E96" w:rsidP="6ABB762F" w14:paraId="5EBC0B5B" w14:textId="2E3D7551">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N/A. </w:t>
      </w:r>
      <w:r w:rsidRPr="6ABB762F" w:rsidR="0074670F">
        <w:rPr>
          <w:rFonts w:ascii="Times New Roman" w:hAnsi="Times New Roman"/>
          <w:color w:val="auto"/>
        </w:rPr>
        <w:t xml:space="preserve">This is a new information collection. </w:t>
      </w:r>
    </w:p>
    <w:p w:rsidR="00407E96" w:rsidRPr="005612EB" w:rsidP="008F2CDB" w14:paraId="6F0C7BD2" w14:textId="77777777">
      <w:pPr>
        <w:rPr>
          <w:rFonts w:ascii="Times New Roman" w:hAnsi="Times New Roman"/>
          <w:bCs/>
          <w:sz w:val="24"/>
          <w:szCs w:val="24"/>
        </w:rPr>
      </w:pPr>
    </w:p>
    <w:p w:rsidR="00CE3801" w:rsidP="6ABB762F" w14:paraId="3E6E38A5" w14:textId="6BBED5B4">
      <w:pPr>
        <w:numPr>
          <w:ilvl w:val="0"/>
          <w:numId w:val="34"/>
        </w:numPr>
        <w:rPr>
          <w:rFonts w:ascii="Times New Roman" w:hAnsi="Times New Roman"/>
          <w:b/>
          <w:bCs/>
          <w:sz w:val="24"/>
          <w:szCs w:val="24"/>
        </w:rPr>
      </w:pPr>
      <w:r w:rsidRPr="6ABB762F">
        <w:rPr>
          <w:rFonts w:ascii="Times New Roman" w:hAnsi="Times New Roman"/>
          <w:b/>
          <w:bCs/>
          <w:sz w:val="24"/>
          <w:szCs w:val="24"/>
        </w:rPr>
        <w:t>PUBLICATION OF RESULTS OF DATA COLLECTION</w:t>
      </w:r>
      <w:r>
        <w:br/>
      </w:r>
    </w:p>
    <w:p w:rsidR="002D4BEF" w:rsidRPr="00DC61A7" w:rsidP="6ABB762F" w14:paraId="2E219E3B" w14:textId="0607BFF8">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45230092">
        <w:rPr>
          <w:rFonts w:ascii="Times New Roman" w:hAnsi="Times New Roman"/>
          <w:color w:val="auto"/>
        </w:rPr>
        <w:t xml:space="preserve">FMCSA plans to </w:t>
      </w:r>
      <w:r w:rsidRPr="45230092">
        <w:rPr>
          <w:rFonts w:ascii="Times New Roman" w:hAnsi="Times New Roman"/>
          <w:color w:val="auto"/>
        </w:rPr>
        <w:t>issue two final technical reports on the study.</w:t>
      </w:r>
      <w:r w:rsidRPr="45230092" w:rsidR="2F02DA38">
        <w:rPr>
          <w:rFonts w:ascii="Times New Roman" w:hAnsi="Times New Roman"/>
          <w:color w:val="auto"/>
        </w:rPr>
        <w:t xml:space="preserve"> Data collection is expected to begin upon OMB approval and be completed no later than May 29, 2024. The final </w:t>
      </w:r>
      <w:r w:rsidRPr="45230092" w:rsidR="5AB10A5E">
        <w:rPr>
          <w:rFonts w:ascii="Times New Roman" w:hAnsi="Times New Roman"/>
          <w:color w:val="auto"/>
        </w:rPr>
        <w:t xml:space="preserve">project report(s) will be completed by September 29, 2024. </w:t>
      </w:r>
      <w:r w:rsidRPr="45230092" w:rsidR="02FD2E1D">
        <w:rPr>
          <w:rFonts w:ascii="Times New Roman" w:hAnsi="Times New Roman"/>
          <w:color w:val="auto"/>
        </w:rPr>
        <w:t>One or more journal articles may also be submitted to peer-reviewed journals depending on the nature of the findings</w:t>
      </w:r>
      <w:r w:rsidRPr="00DC61A7" w:rsidR="02FD2E1D">
        <w:rPr>
          <w:rFonts w:ascii="Times New Roman" w:hAnsi="Times New Roman"/>
          <w:color w:val="auto"/>
        </w:rPr>
        <w:t xml:space="preserve">. </w:t>
      </w:r>
    </w:p>
    <w:p w:rsidR="009E2F2D" w:rsidRPr="00FE7FAC" w:rsidP="6ABB762F" w14:paraId="5AC018EB"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CE3801" w:rsidRPr="00B57147" w:rsidP="005C3C2C" w14:paraId="2E16FAF7" w14:textId="336FAB80">
      <w:pPr>
        <w:pStyle w:val="BodyText3"/>
        <w:keepNext/>
        <w:numPr>
          <w:ilvl w:val="0"/>
          <w:numId w:val="34"/>
        </w:numPr>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6ABB762F">
        <w:rPr>
          <w:rFonts w:ascii="Times New Roman" w:hAnsi="Times New Roman"/>
          <w:b/>
          <w:bCs/>
          <w:color w:val="auto"/>
        </w:rPr>
        <w:t xml:space="preserve">APPROVAL FOR NOT DISPLAYING THE EXPIRATION DATE OF OMB </w:t>
      </w:r>
      <w:r w:rsidRPr="00B57147">
        <w:rPr>
          <w:rFonts w:ascii="Times New Roman" w:hAnsi="Times New Roman"/>
          <w:b/>
          <w:bCs/>
          <w:color w:val="auto"/>
        </w:rPr>
        <w:t>APPROVAL</w:t>
      </w:r>
      <w:r w:rsidRPr="00B57147">
        <w:rPr>
          <w:color w:val="auto"/>
        </w:rPr>
        <w:br/>
      </w:r>
    </w:p>
    <w:p w:rsidR="00CE3801" w:rsidRPr="00B57147" w:rsidP="005C3C2C" w14:paraId="42A6A8D3" w14:textId="13F5796D">
      <w:pPr>
        <w:pStyle w:val="BodyText3"/>
        <w:keepNext/>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outlineLvl w:val="0"/>
        <w:rPr>
          <w:rFonts w:ascii="Times New Roman" w:hAnsi="Times New Roman"/>
          <w:color w:val="auto"/>
        </w:rPr>
      </w:pPr>
      <w:r w:rsidRPr="00B57147">
        <w:rPr>
          <w:rFonts w:ascii="Times New Roman" w:hAnsi="Times New Roman"/>
          <w:color w:val="auto"/>
        </w:rPr>
        <w:t>FMCSA</w:t>
      </w:r>
      <w:r w:rsidRPr="00B57147" w:rsidR="00197355">
        <w:rPr>
          <w:rFonts w:ascii="Times New Roman" w:hAnsi="Times New Roman"/>
          <w:color w:val="auto"/>
        </w:rPr>
        <w:t xml:space="preserve"> is not seeking an exemption from displaying the expiration date on the information collection.</w:t>
      </w:r>
      <w:r w:rsidRPr="00B57147">
        <w:rPr>
          <w:rFonts w:ascii="Times New Roman" w:hAnsi="Times New Roman"/>
          <w:color w:val="auto"/>
        </w:rPr>
        <w:t xml:space="preserve"> </w:t>
      </w:r>
    </w:p>
    <w:p w:rsidR="002D4BEF" w:rsidRPr="00B57147" w:rsidP="001C2B34" w14:paraId="0EA7915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szCs w:val="20"/>
        </w:rPr>
      </w:pPr>
    </w:p>
    <w:p w:rsidR="00CE3801" w:rsidRPr="00B57147" w:rsidP="6ABB762F" w14:paraId="6DE43196" w14:textId="4C95CB7D">
      <w:pPr>
        <w:numPr>
          <w:ilvl w:val="0"/>
          <w:numId w:val="34"/>
        </w:numPr>
        <w:rPr>
          <w:rFonts w:ascii="Times New Roman" w:hAnsi="Times New Roman"/>
        </w:rPr>
      </w:pPr>
      <w:r w:rsidRPr="00B57147">
        <w:rPr>
          <w:rFonts w:ascii="Times New Roman" w:hAnsi="Times New Roman"/>
          <w:b/>
          <w:bCs/>
          <w:sz w:val="24"/>
          <w:szCs w:val="24"/>
        </w:rPr>
        <w:t>EXCEPTIONS TO CERTIFICATION STATEMENT</w:t>
      </w:r>
      <w:r w:rsidRPr="00B57147">
        <w:br/>
      </w:r>
    </w:p>
    <w:p w:rsidR="00CE3801" w:rsidRPr="00B57147" w:rsidP="6ABB762F" w14:paraId="664F3F9A" w14:textId="4B400DCF">
      <w:pPr>
        <w:pStyle w:val="NormalWeb"/>
        <w:spacing w:before="0" w:beforeAutospacing="0" w:after="0" w:afterAutospacing="0"/>
        <w:ind w:left="360"/>
        <w:rPr>
          <w:rFonts w:ascii="Times New Roman" w:hAnsi="Times New Roman" w:cs="Times New Roman"/>
        </w:rPr>
      </w:pPr>
      <w:r w:rsidRPr="00B57147">
        <w:rPr>
          <w:rFonts w:ascii="Times New Roman" w:hAnsi="Times New Roman" w:cs="Times New Roman"/>
        </w:rPr>
        <w:t>None.</w:t>
      </w:r>
    </w:p>
    <w:p w:rsidR="0021737F" w:rsidRPr="00B57147" w:rsidP="006F3950" w14:paraId="0947D762" w14:textId="77777777">
      <w:pPr>
        <w:pStyle w:val="NormalWeb"/>
        <w:spacing w:before="0" w:beforeAutospacing="0" w:after="0" w:afterAutospacing="0"/>
        <w:rPr>
          <w:rFonts w:ascii="Times New Roman" w:hAnsi="Times New Roman" w:cs="Times New Roman"/>
          <w:bCs/>
          <w:szCs w:val="20"/>
        </w:rPr>
      </w:pPr>
    </w:p>
    <w:p w:rsidR="0004749E" w:rsidRPr="00B57147" w:rsidP="009E2F2D" w14:paraId="241E7550" w14:textId="77777777">
      <w:pPr>
        <w:pStyle w:val="NormalWeb"/>
        <w:spacing w:before="0" w:beforeAutospacing="0" w:after="0" w:afterAutospacing="0"/>
        <w:rPr>
          <w:rFonts w:ascii="Times New Roman" w:hAnsi="Times New Roman" w:cs="Times New Roman"/>
          <w:b/>
          <w:bCs/>
          <w:szCs w:val="20"/>
        </w:rPr>
      </w:pPr>
      <w:r w:rsidRPr="00B57147">
        <w:rPr>
          <w:rFonts w:ascii="Times New Roman" w:hAnsi="Times New Roman" w:cs="Times New Roman"/>
          <w:b/>
          <w:bCs/>
          <w:szCs w:val="20"/>
        </w:rPr>
        <w:t>ATTACHMENTS:</w:t>
      </w:r>
    </w:p>
    <w:p w:rsidR="00216381" w:rsidRPr="00B57147" w:rsidP="009E2F2D" w14:paraId="4397E95F" w14:textId="77777777">
      <w:pPr>
        <w:rPr>
          <w:rFonts w:ascii="Times New Roman" w:hAnsi="Times New Roman"/>
          <w:sz w:val="24"/>
        </w:rPr>
      </w:pPr>
    </w:p>
    <w:p w:rsidR="00216381" w:rsidRPr="00B57147" w:rsidP="6ABB762F" w14:paraId="35E0AA45" w14:textId="76D30F2A">
      <w:pPr>
        <w:rPr>
          <w:rFonts w:ascii="Times New Roman" w:hAnsi="Times New Roman"/>
          <w:sz w:val="24"/>
          <w:szCs w:val="24"/>
        </w:rPr>
      </w:pPr>
      <w:r w:rsidRPr="00B57147">
        <w:rPr>
          <w:rFonts w:ascii="Times New Roman" w:hAnsi="Times New Roman"/>
          <w:sz w:val="24"/>
          <w:szCs w:val="24"/>
        </w:rPr>
        <w:t>Appendix A-1: Draft SDLA Survey</w:t>
      </w:r>
      <w:r w:rsidRPr="00B57147" w:rsidR="2A7872E1">
        <w:rPr>
          <w:rFonts w:ascii="Times New Roman" w:hAnsi="Times New Roman"/>
          <w:sz w:val="24"/>
          <w:szCs w:val="24"/>
        </w:rPr>
        <w:t xml:space="preserve"> Text</w:t>
      </w:r>
    </w:p>
    <w:p w:rsidR="007B418B" w:rsidRPr="00B57147" w:rsidP="6ABB762F" w14:paraId="19F9A30A" w14:textId="21710D05">
      <w:pPr>
        <w:rPr>
          <w:rFonts w:ascii="Times New Roman" w:hAnsi="Times New Roman"/>
          <w:sz w:val="24"/>
          <w:szCs w:val="24"/>
        </w:rPr>
      </w:pPr>
      <w:r w:rsidRPr="00B57147">
        <w:rPr>
          <w:rFonts w:ascii="Times New Roman" w:hAnsi="Times New Roman"/>
          <w:sz w:val="24"/>
          <w:szCs w:val="24"/>
        </w:rPr>
        <w:t>Appendix A-2: SDLA Survey Introductory Email Text</w:t>
      </w:r>
    </w:p>
    <w:p w:rsidR="007B418B" w:rsidRPr="00B57147" w:rsidP="6ABB762F" w14:paraId="090D422D" w14:textId="042D399D">
      <w:pPr>
        <w:rPr>
          <w:rFonts w:ascii="Times New Roman" w:hAnsi="Times New Roman"/>
          <w:sz w:val="24"/>
          <w:szCs w:val="24"/>
        </w:rPr>
      </w:pPr>
      <w:r w:rsidRPr="57C5DF14">
        <w:rPr>
          <w:rFonts w:ascii="Times New Roman" w:hAnsi="Times New Roman"/>
          <w:sz w:val="24"/>
          <w:szCs w:val="24"/>
        </w:rPr>
        <w:t>Appendix A-3: SDLA Survey Cover Email Text</w:t>
      </w:r>
    </w:p>
    <w:p w:rsidR="40A904CB" w:rsidP="57C5DF14" w14:paraId="459EA10C" w14:textId="0EE49EF1">
      <w:pPr>
        <w:rPr>
          <w:sz w:val="24"/>
          <w:szCs w:val="24"/>
        </w:rPr>
      </w:pPr>
      <w:r w:rsidRPr="57C5DF14">
        <w:rPr>
          <w:rFonts w:ascii="Times New Roman" w:hAnsi="Times New Roman"/>
          <w:sz w:val="24"/>
          <w:szCs w:val="24"/>
        </w:rPr>
        <w:t xml:space="preserve">Appendix B-1: 60-day Federal Register notice for the “Effectiveness of Third-Party Testing and CDL Minimum Standards </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DBE" w14:paraId="793F482E"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rsidR="00B44DBE" w14:paraId="0BC108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0DCE" w14:paraId="516284D5" w14:textId="77777777">
      <w:r>
        <w:separator/>
      </w:r>
    </w:p>
  </w:footnote>
  <w:footnote w:type="continuationSeparator" w:id="1">
    <w:p w:rsidR="00F40DCE" w14:paraId="3E4A60AC" w14:textId="77777777">
      <w:r>
        <w:continuationSeparator/>
      </w:r>
    </w:p>
  </w:footnote>
  <w:footnote w:type="continuationNotice" w:id="2">
    <w:p w:rsidR="00F40DCE" w14:paraId="21ABA9EB" w14:textId="77777777"/>
  </w:footnote>
  <w:footnote w:id="3">
    <w:p w:rsidR="00F86B33" w:rsidRPr="00E666BD" w14:paraId="29BF2977" w14:textId="003307AA">
      <w:pPr>
        <w:pStyle w:val="FootnoteText"/>
        <w:rPr>
          <w:rFonts w:ascii="Times New Roman" w:hAnsi="Times New Roman"/>
        </w:rPr>
      </w:pPr>
      <w:r>
        <w:rPr>
          <w:rStyle w:val="FootnoteReference"/>
        </w:rPr>
        <w:footnoteRef/>
      </w:r>
      <w:r>
        <w:t xml:space="preserve"> </w:t>
      </w:r>
      <w:r w:rsidRPr="006728A1">
        <w:rPr>
          <w:rFonts w:ascii="Times New Roman" w:hAnsi="Times New Roman"/>
        </w:rPr>
        <w:t xml:space="preserve">U.S. Department of Labor (DOL), Bureau of Labor </w:t>
      </w:r>
      <w:r w:rsidRPr="006728A1">
        <w:rPr>
          <w:rFonts w:ascii="Times New Roman" w:hAnsi="Times New Roman"/>
        </w:rPr>
        <w:t>Statistics (BLS). “Occupational Employment Statistics (OES). National. May 2021. National Industry-Specific Occupational Employment and Wage Estimates. NAICS 999200 (State Government, excluding schools and hospitals industry).” Available at https://www.bls</w:t>
      </w:r>
      <w:r w:rsidRPr="006728A1">
        <w:rPr>
          <w:rFonts w:ascii="Times New Roman" w:hAnsi="Times New Roman"/>
        </w:rPr>
        <w:t>.gov/oes/current/naics4_999200.htm (accessed</w:t>
      </w:r>
      <w:r>
        <w:rPr>
          <w:rFonts w:ascii="Times New Roman" w:hAnsi="Times New Roman"/>
        </w:rPr>
        <w:t xml:space="preserve"> February 1, 2023</w:t>
      </w:r>
      <w:r w:rsidRPr="006728A1">
        <w:rPr>
          <w:rFonts w:ascii="Times New Roman" w:hAnsi="Times New Roman"/>
        </w:rPr>
        <w:t>).</w:t>
      </w:r>
    </w:p>
  </w:footnote>
  <w:footnote w:id="4">
    <w:p w:rsidR="003B4E87" w:rsidRPr="007B411E" w:rsidP="003B4E87" w14:paraId="150B2A96" w14:textId="65772E45">
      <w:pPr>
        <w:pStyle w:val="FootnoteText"/>
      </w:pPr>
      <w:r>
        <w:rPr>
          <w:rStyle w:val="FootnoteReference"/>
        </w:rPr>
        <w:footnoteRef/>
      </w:r>
      <w:r>
        <w:t xml:space="preserve"> </w:t>
      </w:r>
      <w:r w:rsidR="00F86B33">
        <w:rPr>
          <w:rFonts w:ascii="Times New Roman" w:hAnsi="Times New Roman"/>
        </w:rPr>
        <w:t>DOL, BLS</w:t>
      </w:r>
      <w:r w:rsidRPr="007B411E">
        <w:rPr>
          <w:rFonts w:ascii="Times New Roman" w:hAnsi="Times New Roman"/>
        </w:rPr>
        <w:t xml:space="preserve">. Employer Costs for Employee Compensation (ECEC), </w:t>
      </w:r>
      <w:r>
        <w:rPr>
          <w:rFonts w:ascii="Times New Roman" w:hAnsi="Times New Roman"/>
        </w:rPr>
        <w:t>December</w:t>
      </w:r>
      <w:r w:rsidRPr="007B411E">
        <w:rPr>
          <w:rFonts w:ascii="Times New Roman" w:hAnsi="Times New Roman"/>
        </w:rPr>
        <w:t xml:space="preserve"> 202</w:t>
      </w:r>
      <w:r>
        <w:rPr>
          <w:rFonts w:ascii="Times New Roman" w:hAnsi="Times New Roman"/>
        </w:rPr>
        <w:t>1</w:t>
      </w:r>
      <w:r w:rsidRPr="007B411E">
        <w:rPr>
          <w:rFonts w:ascii="Times New Roman" w:hAnsi="Times New Roman"/>
        </w:rPr>
        <w:t xml:space="preserve">. Table 3. Employer Costs for Employee Compensation for State and local government workers by occupational and industry group, </w:t>
      </w:r>
      <w:hyperlink r:id="rId1" w:history="1">
        <w:r w:rsidRPr="00B968FD">
          <w:rPr>
            <w:rStyle w:val="Hyperlink"/>
            <w:rFonts w:ascii="Times New Roman" w:hAnsi="Times New Roman"/>
          </w:rPr>
          <w:t>https://www.bls.gov/news.release/archives/ecec_031820</w:t>
        </w:r>
        <w:r w:rsidRPr="00B968FD">
          <w:rPr>
            <w:rStyle w:val="Hyperlink"/>
            <w:rFonts w:ascii="Times New Roman" w:hAnsi="Times New Roman"/>
          </w:rPr>
          <w:t>22.htm</w:t>
        </w:r>
      </w:hyperlink>
      <w:r>
        <w:rPr>
          <w:rFonts w:ascii="Times New Roman" w:hAnsi="Times New Roman"/>
        </w:rPr>
        <w:t xml:space="preserve"> </w:t>
      </w:r>
      <w:r w:rsidRPr="007B411E">
        <w:rPr>
          <w:rFonts w:ascii="Times New Roman" w:hAnsi="Times New Roman"/>
        </w:rPr>
        <w:t xml:space="preserve">(accessed </w:t>
      </w:r>
      <w:r>
        <w:rPr>
          <w:rFonts w:ascii="Times New Roman" w:hAnsi="Times New Roman"/>
        </w:rPr>
        <w:t>01/31/2023</w:t>
      </w:r>
      <w:r w:rsidRPr="007B411E">
        <w:rPr>
          <w:rFonts w:ascii="Times New Roman" w:hAnsi="Times New Roman"/>
        </w:rPr>
        <w:t>).</w:t>
      </w:r>
    </w:p>
  </w:footnote>
  <w:footnote w:id="5">
    <w:p w:rsidR="00FA5803" w:rsidRPr="00247AD3" w:rsidP="00FA5803" w14:paraId="7BDF763E" w14:textId="77777777">
      <w:pPr>
        <w:pStyle w:val="FootnoteText"/>
        <w:rPr>
          <w:rFonts w:ascii="Times New Roman" w:hAnsi="Times New Roman"/>
        </w:rPr>
      </w:pPr>
      <w:r>
        <w:rPr>
          <w:rStyle w:val="FootnoteReference"/>
        </w:rPr>
        <w:footnoteRef/>
      </w:r>
      <w:r>
        <w:t xml:space="preserve"> </w:t>
      </w:r>
      <w:r w:rsidRPr="00247AD3">
        <w:rPr>
          <w:rFonts w:ascii="Times New Roman" w:hAnsi="Times New Roman"/>
        </w:rPr>
        <w:t xml:space="preserve">Office of Personnel Management, 2023 General Schedule (Base), Salary Table 2023-GS, accessed 2/3/2023 at https://www.opm.gov/policy-data-oversight/pay-leave/salaries-wages/salary-tables/pdf/2023/DCB.pdf </w:t>
      </w:r>
    </w:p>
    <w:p w:rsidR="00FA5803" w:rsidP="00FA5803" w14:paraId="46C8182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35203"/>
    <w:multiLevelType w:val="hybridMultilevel"/>
    <w:tmpl w:val="229C1E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083B88"/>
    <w:multiLevelType w:val="hybridMultilevel"/>
    <w:tmpl w:val="59C43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F848A4"/>
    <w:multiLevelType w:val="hybridMultilevel"/>
    <w:tmpl w:val="7C8479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2E2C5C"/>
    <w:multiLevelType w:val="hybridMultilevel"/>
    <w:tmpl w:val="FFF29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401850"/>
    <w:multiLevelType w:val="hybridMultilevel"/>
    <w:tmpl w:val="D1A4354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E2E337D"/>
    <w:multiLevelType w:val="hybridMultilevel"/>
    <w:tmpl w:val="08944F0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AD17D9A"/>
    <w:multiLevelType w:val="hybridMultilevel"/>
    <w:tmpl w:val="59C43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AFC0D3D"/>
    <w:multiLevelType w:val="hybridMultilevel"/>
    <w:tmpl w:val="25EE844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9EB50E5"/>
    <w:multiLevelType w:val="hybridMultilevel"/>
    <w:tmpl w:val="5A4C7D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E75076E"/>
    <w:multiLevelType w:val="multilevel"/>
    <w:tmpl w:val="A38A5906"/>
    <w:lvl w:ilvl="0">
      <w:start w:val="1"/>
      <w:numFmt w:val="bullet"/>
      <w:pStyle w:val="FMCSAListNumber"/>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81C4A12"/>
    <w:multiLevelType w:val="hybridMultilevel"/>
    <w:tmpl w:val="91E46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8CA5673"/>
    <w:multiLevelType w:val="hybridMultilevel"/>
    <w:tmpl w:val="36163338"/>
    <w:lvl w:ilvl="0">
      <w:start w:val="1"/>
      <w:numFmt w:val="decimal"/>
      <w:lvlText w:val="%1."/>
      <w:lvlJc w:val="left"/>
      <w:pPr>
        <w:ind w:left="360" w:hanging="360"/>
      </w:pPr>
      <w:rPr>
        <w:rFonts w:ascii="Times New Roman" w:hAnsi="Times New Roman" w:cs="Times New Roman"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6"/>
  </w:num>
  <w:num w:numId="2">
    <w:abstractNumId w:val="23"/>
  </w:num>
  <w:num w:numId="3">
    <w:abstractNumId w:val="5"/>
  </w:num>
  <w:num w:numId="4">
    <w:abstractNumId w:val="7"/>
  </w:num>
  <w:num w:numId="5">
    <w:abstractNumId w:val="12"/>
  </w:num>
  <w:num w:numId="6">
    <w:abstractNumId w:val="15"/>
  </w:num>
  <w:num w:numId="7">
    <w:abstractNumId w:val="38"/>
  </w:num>
  <w:num w:numId="8">
    <w:abstractNumId w:val="34"/>
  </w:num>
  <w:num w:numId="9">
    <w:abstractNumId w:val="17"/>
  </w:num>
  <w:num w:numId="10">
    <w:abstractNumId w:val="32"/>
  </w:num>
  <w:num w:numId="11">
    <w:abstractNumId w:val="22"/>
  </w:num>
  <w:num w:numId="12">
    <w:abstractNumId w:val="11"/>
  </w:num>
  <w:num w:numId="13">
    <w:abstractNumId w:val="14"/>
  </w:num>
  <w:num w:numId="14">
    <w:abstractNumId w:val="26"/>
  </w:num>
  <w:num w:numId="15">
    <w:abstractNumId w:val="16"/>
  </w:num>
  <w:num w:numId="16">
    <w:abstractNumId w:val="42"/>
  </w:num>
  <w:num w:numId="17">
    <w:abstractNumId w:val="41"/>
  </w:num>
  <w:num w:numId="18">
    <w:abstractNumId w:val="29"/>
  </w:num>
  <w:num w:numId="19">
    <w:abstractNumId w:val="24"/>
  </w:num>
  <w:num w:numId="20">
    <w:abstractNumId w:val="25"/>
  </w:num>
  <w:num w:numId="21">
    <w:abstractNumId w:val="43"/>
  </w:num>
  <w:num w:numId="22">
    <w:abstractNumId w:val="20"/>
  </w:num>
  <w:num w:numId="23">
    <w:abstractNumId w:val="0"/>
  </w:num>
  <w:num w:numId="24">
    <w:abstractNumId w:val="9"/>
  </w:num>
  <w:num w:numId="25">
    <w:abstractNumId w:val="30"/>
  </w:num>
  <w:num w:numId="26">
    <w:abstractNumId w:val="31"/>
  </w:num>
  <w:num w:numId="27">
    <w:abstractNumId w:val="39"/>
  </w:num>
  <w:num w:numId="28">
    <w:abstractNumId w:val="1"/>
  </w:num>
  <w:num w:numId="29">
    <w:abstractNumId w:val="27"/>
  </w:num>
  <w:num w:numId="30">
    <w:abstractNumId w:val="10"/>
  </w:num>
  <w:num w:numId="31">
    <w:abstractNumId w:val="35"/>
  </w:num>
  <w:num w:numId="32">
    <w:abstractNumId w:val="40"/>
  </w:num>
  <w:num w:numId="33">
    <w:abstractNumId w:val="19"/>
  </w:num>
  <w:num w:numId="34">
    <w:abstractNumId w:val="44"/>
  </w:num>
  <w:num w:numId="35">
    <w:abstractNumId w:val="28"/>
  </w:num>
  <w:num w:numId="36">
    <w:abstractNumId w:val="21"/>
  </w:num>
  <w:num w:numId="37">
    <w:abstractNumId w:val="18"/>
  </w:num>
  <w:num w:numId="38">
    <w:abstractNumId w:val="2"/>
  </w:num>
  <w:num w:numId="39">
    <w:abstractNumId w:val="4"/>
  </w:num>
  <w:num w:numId="40">
    <w:abstractNumId w:val="8"/>
  </w:num>
  <w:num w:numId="41">
    <w:abstractNumId w:val="37"/>
  </w:num>
  <w:num w:numId="42">
    <w:abstractNumId w:val="13"/>
  </w:num>
  <w:num w:numId="43">
    <w:abstractNumId w:val="3"/>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2DC0"/>
    <w:rsid w:val="00002F3C"/>
    <w:rsid w:val="00005EDC"/>
    <w:rsid w:val="00014173"/>
    <w:rsid w:val="00021355"/>
    <w:rsid w:val="00022379"/>
    <w:rsid w:val="000224C0"/>
    <w:rsid w:val="00024AAE"/>
    <w:rsid w:val="00024AF3"/>
    <w:rsid w:val="000250EF"/>
    <w:rsid w:val="00030374"/>
    <w:rsid w:val="00030F06"/>
    <w:rsid w:val="00031E20"/>
    <w:rsid w:val="00034A97"/>
    <w:rsid w:val="00034F2F"/>
    <w:rsid w:val="00041797"/>
    <w:rsid w:val="00041BA7"/>
    <w:rsid w:val="0004381B"/>
    <w:rsid w:val="00045FE9"/>
    <w:rsid w:val="0004749E"/>
    <w:rsid w:val="0005345E"/>
    <w:rsid w:val="00055560"/>
    <w:rsid w:val="00055FC3"/>
    <w:rsid w:val="000577BA"/>
    <w:rsid w:val="00060BE9"/>
    <w:rsid w:val="000632CD"/>
    <w:rsid w:val="00065C40"/>
    <w:rsid w:val="000672A9"/>
    <w:rsid w:val="000724EC"/>
    <w:rsid w:val="00081035"/>
    <w:rsid w:val="0008270D"/>
    <w:rsid w:val="00083634"/>
    <w:rsid w:val="0009052B"/>
    <w:rsid w:val="000A3632"/>
    <w:rsid w:val="000A3B8E"/>
    <w:rsid w:val="000A4471"/>
    <w:rsid w:val="000B5C21"/>
    <w:rsid w:val="000C019D"/>
    <w:rsid w:val="000C7105"/>
    <w:rsid w:val="000D1072"/>
    <w:rsid w:val="000D16B6"/>
    <w:rsid w:val="000D6ACD"/>
    <w:rsid w:val="000D7C15"/>
    <w:rsid w:val="000E07DB"/>
    <w:rsid w:val="000E5B66"/>
    <w:rsid w:val="000E729A"/>
    <w:rsid w:val="000E7855"/>
    <w:rsid w:val="000E7AAE"/>
    <w:rsid w:val="000F2603"/>
    <w:rsid w:val="000F6BD3"/>
    <w:rsid w:val="00103851"/>
    <w:rsid w:val="00105F8E"/>
    <w:rsid w:val="00121817"/>
    <w:rsid w:val="0012685A"/>
    <w:rsid w:val="00130831"/>
    <w:rsid w:val="001311CE"/>
    <w:rsid w:val="00140D3B"/>
    <w:rsid w:val="00144175"/>
    <w:rsid w:val="00152C66"/>
    <w:rsid w:val="00152C82"/>
    <w:rsid w:val="00162247"/>
    <w:rsid w:val="00163F39"/>
    <w:rsid w:val="00165690"/>
    <w:rsid w:val="00171533"/>
    <w:rsid w:val="00173D5D"/>
    <w:rsid w:val="0017628C"/>
    <w:rsid w:val="001846A7"/>
    <w:rsid w:val="001855D9"/>
    <w:rsid w:val="00185995"/>
    <w:rsid w:val="001864CB"/>
    <w:rsid w:val="001924DE"/>
    <w:rsid w:val="00197355"/>
    <w:rsid w:val="001A02D7"/>
    <w:rsid w:val="001A404F"/>
    <w:rsid w:val="001A6A0A"/>
    <w:rsid w:val="001B0132"/>
    <w:rsid w:val="001B3790"/>
    <w:rsid w:val="001B608C"/>
    <w:rsid w:val="001C0BFD"/>
    <w:rsid w:val="001C23E3"/>
    <w:rsid w:val="001C2B34"/>
    <w:rsid w:val="001D1D57"/>
    <w:rsid w:val="001D4111"/>
    <w:rsid w:val="001D47EE"/>
    <w:rsid w:val="001D62C3"/>
    <w:rsid w:val="001D7D9F"/>
    <w:rsid w:val="001E0564"/>
    <w:rsid w:val="001E741B"/>
    <w:rsid w:val="001F12EA"/>
    <w:rsid w:val="001F355A"/>
    <w:rsid w:val="001F4E79"/>
    <w:rsid w:val="001F5EB4"/>
    <w:rsid w:val="0020410F"/>
    <w:rsid w:val="002074BC"/>
    <w:rsid w:val="0020F4F8"/>
    <w:rsid w:val="00211D79"/>
    <w:rsid w:val="002134DA"/>
    <w:rsid w:val="00213A79"/>
    <w:rsid w:val="00215C96"/>
    <w:rsid w:val="00216381"/>
    <w:rsid w:val="0021737F"/>
    <w:rsid w:val="0022097E"/>
    <w:rsid w:val="00221C4A"/>
    <w:rsid w:val="002234C5"/>
    <w:rsid w:val="002249EB"/>
    <w:rsid w:val="00232425"/>
    <w:rsid w:val="002378AD"/>
    <w:rsid w:val="00247AD3"/>
    <w:rsid w:val="002523BC"/>
    <w:rsid w:val="00253AED"/>
    <w:rsid w:val="00254589"/>
    <w:rsid w:val="002547F6"/>
    <w:rsid w:val="00260B8D"/>
    <w:rsid w:val="00266389"/>
    <w:rsid w:val="00267397"/>
    <w:rsid w:val="00276C1F"/>
    <w:rsid w:val="00280680"/>
    <w:rsid w:val="00281308"/>
    <w:rsid w:val="002829CE"/>
    <w:rsid w:val="0029422F"/>
    <w:rsid w:val="00294FFB"/>
    <w:rsid w:val="00296814"/>
    <w:rsid w:val="002A017B"/>
    <w:rsid w:val="002A02DE"/>
    <w:rsid w:val="002A7EFB"/>
    <w:rsid w:val="002B03E1"/>
    <w:rsid w:val="002B50B3"/>
    <w:rsid w:val="002C421D"/>
    <w:rsid w:val="002C4DD9"/>
    <w:rsid w:val="002D353D"/>
    <w:rsid w:val="002D4BEF"/>
    <w:rsid w:val="002D7271"/>
    <w:rsid w:val="002E0CFB"/>
    <w:rsid w:val="002E47DF"/>
    <w:rsid w:val="002F0893"/>
    <w:rsid w:val="002F4B49"/>
    <w:rsid w:val="002F55E8"/>
    <w:rsid w:val="00302CC3"/>
    <w:rsid w:val="00314BC2"/>
    <w:rsid w:val="003150D4"/>
    <w:rsid w:val="00316046"/>
    <w:rsid w:val="00317CC0"/>
    <w:rsid w:val="00323293"/>
    <w:rsid w:val="00325A0E"/>
    <w:rsid w:val="003319CA"/>
    <w:rsid w:val="00342B95"/>
    <w:rsid w:val="00343DB5"/>
    <w:rsid w:val="00346352"/>
    <w:rsid w:val="00350433"/>
    <w:rsid w:val="00353C80"/>
    <w:rsid w:val="003576F9"/>
    <w:rsid w:val="003665CB"/>
    <w:rsid w:val="00366706"/>
    <w:rsid w:val="00371BEB"/>
    <w:rsid w:val="0037473F"/>
    <w:rsid w:val="003778CA"/>
    <w:rsid w:val="00384ACE"/>
    <w:rsid w:val="00394E87"/>
    <w:rsid w:val="003961A1"/>
    <w:rsid w:val="00397304"/>
    <w:rsid w:val="003A6BDE"/>
    <w:rsid w:val="003A7686"/>
    <w:rsid w:val="003A7E9E"/>
    <w:rsid w:val="003A7EB8"/>
    <w:rsid w:val="003B4E87"/>
    <w:rsid w:val="003B6874"/>
    <w:rsid w:val="003C342B"/>
    <w:rsid w:val="003C38C6"/>
    <w:rsid w:val="003C52E8"/>
    <w:rsid w:val="003C5959"/>
    <w:rsid w:val="003D104C"/>
    <w:rsid w:val="003D550F"/>
    <w:rsid w:val="003E6BFB"/>
    <w:rsid w:val="003F6FDC"/>
    <w:rsid w:val="0040048C"/>
    <w:rsid w:val="00407E96"/>
    <w:rsid w:val="00411346"/>
    <w:rsid w:val="004168FC"/>
    <w:rsid w:val="00416E31"/>
    <w:rsid w:val="0042232B"/>
    <w:rsid w:val="00424827"/>
    <w:rsid w:val="00426789"/>
    <w:rsid w:val="00427F10"/>
    <w:rsid w:val="00432F3E"/>
    <w:rsid w:val="0043339F"/>
    <w:rsid w:val="00447981"/>
    <w:rsid w:val="004510BE"/>
    <w:rsid w:val="004543BC"/>
    <w:rsid w:val="00455275"/>
    <w:rsid w:val="004706FC"/>
    <w:rsid w:val="00470720"/>
    <w:rsid w:val="004729D7"/>
    <w:rsid w:val="00473E98"/>
    <w:rsid w:val="00475603"/>
    <w:rsid w:val="004805A9"/>
    <w:rsid w:val="00480D9C"/>
    <w:rsid w:val="00484004"/>
    <w:rsid w:val="00484ED5"/>
    <w:rsid w:val="0048780D"/>
    <w:rsid w:val="00494C04"/>
    <w:rsid w:val="0049794D"/>
    <w:rsid w:val="00497A0F"/>
    <w:rsid w:val="004A0027"/>
    <w:rsid w:val="004A7DC1"/>
    <w:rsid w:val="004B4809"/>
    <w:rsid w:val="004C07D3"/>
    <w:rsid w:val="004C2B9C"/>
    <w:rsid w:val="004C45CF"/>
    <w:rsid w:val="004C4BD0"/>
    <w:rsid w:val="004C5033"/>
    <w:rsid w:val="004C60F6"/>
    <w:rsid w:val="004D2E80"/>
    <w:rsid w:val="004E3AED"/>
    <w:rsid w:val="004F0F94"/>
    <w:rsid w:val="004F1E52"/>
    <w:rsid w:val="004F33D3"/>
    <w:rsid w:val="004F3B2A"/>
    <w:rsid w:val="004F65EA"/>
    <w:rsid w:val="0050081E"/>
    <w:rsid w:val="00504395"/>
    <w:rsid w:val="005114C1"/>
    <w:rsid w:val="005129A2"/>
    <w:rsid w:val="00515433"/>
    <w:rsid w:val="00515E06"/>
    <w:rsid w:val="00516181"/>
    <w:rsid w:val="00526548"/>
    <w:rsid w:val="00543964"/>
    <w:rsid w:val="00557018"/>
    <w:rsid w:val="005570CA"/>
    <w:rsid w:val="005612EB"/>
    <w:rsid w:val="0056424D"/>
    <w:rsid w:val="0057059A"/>
    <w:rsid w:val="005711A5"/>
    <w:rsid w:val="005733ED"/>
    <w:rsid w:val="005747A3"/>
    <w:rsid w:val="00575CA5"/>
    <w:rsid w:val="005764AE"/>
    <w:rsid w:val="0057697D"/>
    <w:rsid w:val="00580FDE"/>
    <w:rsid w:val="0058326C"/>
    <w:rsid w:val="00586EAC"/>
    <w:rsid w:val="005948F0"/>
    <w:rsid w:val="00596EF3"/>
    <w:rsid w:val="005A273E"/>
    <w:rsid w:val="005B379C"/>
    <w:rsid w:val="005B48D3"/>
    <w:rsid w:val="005B7FF7"/>
    <w:rsid w:val="005C1708"/>
    <w:rsid w:val="005C1F24"/>
    <w:rsid w:val="005C3C2C"/>
    <w:rsid w:val="005C45C4"/>
    <w:rsid w:val="005C62ED"/>
    <w:rsid w:val="005D145D"/>
    <w:rsid w:val="005D57CE"/>
    <w:rsid w:val="005E3470"/>
    <w:rsid w:val="005F1F05"/>
    <w:rsid w:val="005F72DE"/>
    <w:rsid w:val="005F7C22"/>
    <w:rsid w:val="006146B9"/>
    <w:rsid w:val="00614B50"/>
    <w:rsid w:val="006151E7"/>
    <w:rsid w:val="00615419"/>
    <w:rsid w:val="0062368E"/>
    <w:rsid w:val="006256E0"/>
    <w:rsid w:val="00631C85"/>
    <w:rsid w:val="00640214"/>
    <w:rsid w:val="00644187"/>
    <w:rsid w:val="00644575"/>
    <w:rsid w:val="00656E8B"/>
    <w:rsid w:val="00657C9D"/>
    <w:rsid w:val="00660BB9"/>
    <w:rsid w:val="00661A25"/>
    <w:rsid w:val="006634EB"/>
    <w:rsid w:val="006665C5"/>
    <w:rsid w:val="00670FE5"/>
    <w:rsid w:val="006728A1"/>
    <w:rsid w:val="006734E4"/>
    <w:rsid w:val="00674614"/>
    <w:rsid w:val="00685025"/>
    <w:rsid w:val="00686EE0"/>
    <w:rsid w:val="00690123"/>
    <w:rsid w:val="00693416"/>
    <w:rsid w:val="00693D81"/>
    <w:rsid w:val="006A3F4E"/>
    <w:rsid w:val="006B313B"/>
    <w:rsid w:val="006B4C61"/>
    <w:rsid w:val="006B5C1D"/>
    <w:rsid w:val="006C0524"/>
    <w:rsid w:val="006C1FCB"/>
    <w:rsid w:val="006C360B"/>
    <w:rsid w:val="006C455B"/>
    <w:rsid w:val="006C4AE0"/>
    <w:rsid w:val="006C5988"/>
    <w:rsid w:val="006C714E"/>
    <w:rsid w:val="006E0380"/>
    <w:rsid w:val="006E0C2D"/>
    <w:rsid w:val="006E3A93"/>
    <w:rsid w:val="006E65F5"/>
    <w:rsid w:val="006F28CB"/>
    <w:rsid w:val="006F3950"/>
    <w:rsid w:val="00701010"/>
    <w:rsid w:val="007037B8"/>
    <w:rsid w:val="0070449A"/>
    <w:rsid w:val="00704CEC"/>
    <w:rsid w:val="00706A6A"/>
    <w:rsid w:val="00706CE2"/>
    <w:rsid w:val="007157DA"/>
    <w:rsid w:val="00715BEF"/>
    <w:rsid w:val="00716A02"/>
    <w:rsid w:val="00717454"/>
    <w:rsid w:val="00722C47"/>
    <w:rsid w:val="00723CED"/>
    <w:rsid w:val="00726CDD"/>
    <w:rsid w:val="007319C5"/>
    <w:rsid w:val="007326BA"/>
    <w:rsid w:val="007362E4"/>
    <w:rsid w:val="0073668E"/>
    <w:rsid w:val="007422F5"/>
    <w:rsid w:val="0074670F"/>
    <w:rsid w:val="0075301E"/>
    <w:rsid w:val="00753FF3"/>
    <w:rsid w:val="007540F8"/>
    <w:rsid w:val="00754FAD"/>
    <w:rsid w:val="007569C7"/>
    <w:rsid w:val="0075793F"/>
    <w:rsid w:val="00767629"/>
    <w:rsid w:val="00773D6A"/>
    <w:rsid w:val="0077463E"/>
    <w:rsid w:val="007777B9"/>
    <w:rsid w:val="007821E7"/>
    <w:rsid w:val="00786FFC"/>
    <w:rsid w:val="0079290D"/>
    <w:rsid w:val="007A060D"/>
    <w:rsid w:val="007A1FD9"/>
    <w:rsid w:val="007A3676"/>
    <w:rsid w:val="007A6AAB"/>
    <w:rsid w:val="007A770F"/>
    <w:rsid w:val="007B0CCF"/>
    <w:rsid w:val="007B2FD4"/>
    <w:rsid w:val="007B411E"/>
    <w:rsid w:val="007B418B"/>
    <w:rsid w:val="007B4AEA"/>
    <w:rsid w:val="007B620F"/>
    <w:rsid w:val="007C0D6E"/>
    <w:rsid w:val="007C6836"/>
    <w:rsid w:val="007D0A43"/>
    <w:rsid w:val="007E3909"/>
    <w:rsid w:val="007E56F3"/>
    <w:rsid w:val="007F3BB6"/>
    <w:rsid w:val="00802812"/>
    <w:rsid w:val="00803FB5"/>
    <w:rsid w:val="00805A32"/>
    <w:rsid w:val="00805B45"/>
    <w:rsid w:val="0081389E"/>
    <w:rsid w:val="008146EC"/>
    <w:rsid w:val="0081739B"/>
    <w:rsid w:val="00820D3E"/>
    <w:rsid w:val="00821168"/>
    <w:rsid w:val="0082271F"/>
    <w:rsid w:val="00830F5D"/>
    <w:rsid w:val="00831D4D"/>
    <w:rsid w:val="00834ACC"/>
    <w:rsid w:val="0083693A"/>
    <w:rsid w:val="008503D0"/>
    <w:rsid w:val="00851AF5"/>
    <w:rsid w:val="008611DF"/>
    <w:rsid w:val="00862E24"/>
    <w:rsid w:val="008701F2"/>
    <w:rsid w:val="0087734D"/>
    <w:rsid w:val="008773B4"/>
    <w:rsid w:val="00881F62"/>
    <w:rsid w:val="00882080"/>
    <w:rsid w:val="0088731D"/>
    <w:rsid w:val="0089191A"/>
    <w:rsid w:val="008A4478"/>
    <w:rsid w:val="008B1325"/>
    <w:rsid w:val="008B1C1F"/>
    <w:rsid w:val="008B466E"/>
    <w:rsid w:val="008B5870"/>
    <w:rsid w:val="008B760F"/>
    <w:rsid w:val="008C27B2"/>
    <w:rsid w:val="008D2C8C"/>
    <w:rsid w:val="008D34A3"/>
    <w:rsid w:val="008E1C40"/>
    <w:rsid w:val="008E2E3B"/>
    <w:rsid w:val="008E4E78"/>
    <w:rsid w:val="008F2CDB"/>
    <w:rsid w:val="008F4635"/>
    <w:rsid w:val="008F5A22"/>
    <w:rsid w:val="00900A41"/>
    <w:rsid w:val="009024B9"/>
    <w:rsid w:val="00902DFA"/>
    <w:rsid w:val="00907C9A"/>
    <w:rsid w:val="009133A8"/>
    <w:rsid w:val="00914F03"/>
    <w:rsid w:val="0091655D"/>
    <w:rsid w:val="009179DF"/>
    <w:rsid w:val="00922156"/>
    <w:rsid w:val="009242BC"/>
    <w:rsid w:val="009267B9"/>
    <w:rsid w:val="009305C1"/>
    <w:rsid w:val="00930999"/>
    <w:rsid w:val="00932961"/>
    <w:rsid w:val="00946E7D"/>
    <w:rsid w:val="00952E2D"/>
    <w:rsid w:val="00953CFD"/>
    <w:rsid w:val="009547BF"/>
    <w:rsid w:val="00957FFA"/>
    <w:rsid w:val="00960A03"/>
    <w:rsid w:val="00964C9A"/>
    <w:rsid w:val="00970571"/>
    <w:rsid w:val="00973B1A"/>
    <w:rsid w:val="00974D9C"/>
    <w:rsid w:val="00976EF8"/>
    <w:rsid w:val="00986A3B"/>
    <w:rsid w:val="00986B91"/>
    <w:rsid w:val="009949D5"/>
    <w:rsid w:val="00997625"/>
    <w:rsid w:val="009A094C"/>
    <w:rsid w:val="009A37F6"/>
    <w:rsid w:val="009A4904"/>
    <w:rsid w:val="009B50C5"/>
    <w:rsid w:val="009C04D8"/>
    <w:rsid w:val="009C3FB7"/>
    <w:rsid w:val="009C40BA"/>
    <w:rsid w:val="009C529A"/>
    <w:rsid w:val="009D26F3"/>
    <w:rsid w:val="009D4F72"/>
    <w:rsid w:val="009D70FF"/>
    <w:rsid w:val="009E0597"/>
    <w:rsid w:val="009E2F2D"/>
    <w:rsid w:val="009E43F8"/>
    <w:rsid w:val="009E6323"/>
    <w:rsid w:val="009E6F09"/>
    <w:rsid w:val="009F2324"/>
    <w:rsid w:val="009F2709"/>
    <w:rsid w:val="009F4E3A"/>
    <w:rsid w:val="009F75FA"/>
    <w:rsid w:val="009F7B17"/>
    <w:rsid w:val="00A016AB"/>
    <w:rsid w:val="00A03F32"/>
    <w:rsid w:val="00A0491E"/>
    <w:rsid w:val="00A04AB1"/>
    <w:rsid w:val="00A05948"/>
    <w:rsid w:val="00A05EDC"/>
    <w:rsid w:val="00A068D0"/>
    <w:rsid w:val="00A1199C"/>
    <w:rsid w:val="00A204F5"/>
    <w:rsid w:val="00A303EA"/>
    <w:rsid w:val="00A306BD"/>
    <w:rsid w:val="00A326B2"/>
    <w:rsid w:val="00A45A3C"/>
    <w:rsid w:val="00A45D7E"/>
    <w:rsid w:val="00A47427"/>
    <w:rsid w:val="00A47908"/>
    <w:rsid w:val="00A55808"/>
    <w:rsid w:val="00A613EE"/>
    <w:rsid w:val="00A61E3A"/>
    <w:rsid w:val="00A72E59"/>
    <w:rsid w:val="00A73995"/>
    <w:rsid w:val="00A76B98"/>
    <w:rsid w:val="00A809F1"/>
    <w:rsid w:val="00A851E9"/>
    <w:rsid w:val="00A852C5"/>
    <w:rsid w:val="00A85489"/>
    <w:rsid w:val="00A86821"/>
    <w:rsid w:val="00A94C18"/>
    <w:rsid w:val="00A973DD"/>
    <w:rsid w:val="00AA1412"/>
    <w:rsid w:val="00AA356B"/>
    <w:rsid w:val="00AA3992"/>
    <w:rsid w:val="00AA68EB"/>
    <w:rsid w:val="00AB0C8A"/>
    <w:rsid w:val="00AB4A8A"/>
    <w:rsid w:val="00AB6AA5"/>
    <w:rsid w:val="00AB6C62"/>
    <w:rsid w:val="00AC7F26"/>
    <w:rsid w:val="00AD1D0F"/>
    <w:rsid w:val="00AD2112"/>
    <w:rsid w:val="00AD5802"/>
    <w:rsid w:val="00AD63E9"/>
    <w:rsid w:val="00AE45D0"/>
    <w:rsid w:val="00AE477D"/>
    <w:rsid w:val="00AF33A0"/>
    <w:rsid w:val="00AF448C"/>
    <w:rsid w:val="00B003EB"/>
    <w:rsid w:val="00B1019F"/>
    <w:rsid w:val="00B112BA"/>
    <w:rsid w:val="00B13706"/>
    <w:rsid w:val="00B13A2E"/>
    <w:rsid w:val="00B14351"/>
    <w:rsid w:val="00B14DEA"/>
    <w:rsid w:val="00B151EA"/>
    <w:rsid w:val="00B2051C"/>
    <w:rsid w:val="00B22478"/>
    <w:rsid w:val="00B233BF"/>
    <w:rsid w:val="00B34286"/>
    <w:rsid w:val="00B41E78"/>
    <w:rsid w:val="00B4496E"/>
    <w:rsid w:val="00B44DBE"/>
    <w:rsid w:val="00B47E44"/>
    <w:rsid w:val="00B511BB"/>
    <w:rsid w:val="00B53F59"/>
    <w:rsid w:val="00B5625A"/>
    <w:rsid w:val="00B5702F"/>
    <w:rsid w:val="00B57147"/>
    <w:rsid w:val="00B614F1"/>
    <w:rsid w:val="00B63FB1"/>
    <w:rsid w:val="00B64FE7"/>
    <w:rsid w:val="00B76E73"/>
    <w:rsid w:val="00B77906"/>
    <w:rsid w:val="00B8451C"/>
    <w:rsid w:val="00B94BD9"/>
    <w:rsid w:val="00B968FD"/>
    <w:rsid w:val="00B97360"/>
    <w:rsid w:val="00BA09BD"/>
    <w:rsid w:val="00BA3DEB"/>
    <w:rsid w:val="00BA6767"/>
    <w:rsid w:val="00BA70F9"/>
    <w:rsid w:val="00BB298C"/>
    <w:rsid w:val="00BB623C"/>
    <w:rsid w:val="00BB6F99"/>
    <w:rsid w:val="00BC76D9"/>
    <w:rsid w:val="00BC7D42"/>
    <w:rsid w:val="00BD2B6D"/>
    <w:rsid w:val="00BD49CC"/>
    <w:rsid w:val="00BE0BE8"/>
    <w:rsid w:val="00BE6F02"/>
    <w:rsid w:val="00BF7CC5"/>
    <w:rsid w:val="00C00E53"/>
    <w:rsid w:val="00C03226"/>
    <w:rsid w:val="00C14920"/>
    <w:rsid w:val="00C21FD2"/>
    <w:rsid w:val="00C22958"/>
    <w:rsid w:val="00C234EF"/>
    <w:rsid w:val="00C30C2E"/>
    <w:rsid w:val="00C31F67"/>
    <w:rsid w:val="00C32BAC"/>
    <w:rsid w:val="00C36E5C"/>
    <w:rsid w:val="00C37CA2"/>
    <w:rsid w:val="00C44F91"/>
    <w:rsid w:val="00C55367"/>
    <w:rsid w:val="00C56971"/>
    <w:rsid w:val="00C63CF5"/>
    <w:rsid w:val="00C66BB7"/>
    <w:rsid w:val="00C70723"/>
    <w:rsid w:val="00C720B1"/>
    <w:rsid w:val="00C73472"/>
    <w:rsid w:val="00C769A9"/>
    <w:rsid w:val="00C8523C"/>
    <w:rsid w:val="00C9162C"/>
    <w:rsid w:val="00C972E8"/>
    <w:rsid w:val="00C972EA"/>
    <w:rsid w:val="00CA4294"/>
    <w:rsid w:val="00CA5C77"/>
    <w:rsid w:val="00CB0B39"/>
    <w:rsid w:val="00CB46D4"/>
    <w:rsid w:val="00CB6ED0"/>
    <w:rsid w:val="00CC2F87"/>
    <w:rsid w:val="00CC4619"/>
    <w:rsid w:val="00CD2AA7"/>
    <w:rsid w:val="00CD3BC4"/>
    <w:rsid w:val="00CD4CC4"/>
    <w:rsid w:val="00CD7543"/>
    <w:rsid w:val="00CE0F41"/>
    <w:rsid w:val="00CE3801"/>
    <w:rsid w:val="00CF0B42"/>
    <w:rsid w:val="00CF3624"/>
    <w:rsid w:val="00D0522E"/>
    <w:rsid w:val="00D14C66"/>
    <w:rsid w:val="00D15BE9"/>
    <w:rsid w:val="00D15E5E"/>
    <w:rsid w:val="00D16A36"/>
    <w:rsid w:val="00D24300"/>
    <w:rsid w:val="00D25D6B"/>
    <w:rsid w:val="00D31030"/>
    <w:rsid w:val="00D500D0"/>
    <w:rsid w:val="00D52811"/>
    <w:rsid w:val="00D52B1D"/>
    <w:rsid w:val="00D569DC"/>
    <w:rsid w:val="00D6012E"/>
    <w:rsid w:val="00D670FC"/>
    <w:rsid w:val="00D707E6"/>
    <w:rsid w:val="00D70CC2"/>
    <w:rsid w:val="00D72C98"/>
    <w:rsid w:val="00D77501"/>
    <w:rsid w:val="00D8621F"/>
    <w:rsid w:val="00D86928"/>
    <w:rsid w:val="00D87418"/>
    <w:rsid w:val="00D9056E"/>
    <w:rsid w:val="00D92A94"/>
    <w:rsid w:val="00DA13BF"/>
    <w:rsid w:val="00DB1F32"/>
    <w:rsid w:val="00DB2083"/>
    <w:rsid w:val="00DB269A"/>
    <w:rsid w:val="00DB4EFE"/>
    <w:rsid w:val="00DB4F81"/>
    <w:rsid w:val="00DC074F"/>
    <w:rsid w:val="00DC4E4E"/>
    <w:rsid w:val="00DC55A4"/>
    <w:rsid w:val="00DC5774"/>
    <w:rsid w:val="00DC61A7"/>
    <w:rsid w:val="00DE314B"/>
    <w:rsid w:val="00DE3B7E"/>
    <w:rsid w:val="00DF050B"/>
    <w:rsid w:val="00DF3CBA"/>
    <w:rsid w:val="00DF4F9D"/>
    <w:rsid w:val="00DF66E9"/>
    <w:rsid w:val="00E018F7"/>
    <w:rsid w:val="00E16D52"/>
    <w:rsid w:val="00E1E439"/>
    <w:rsid w:val="00E204D5"/>
    <w:rsid w:val="00E24314"/>
    <w:rsid w:val="00E302A7"/>
    <w:rsid w:val="00E35D26"/>
    <w:rsid w:val="00E43560"/>
    <w:rsid w:val="00E44D02"/>
    <w:rsid w:val="00E52FAA"/>
    <w:rsid w:val="00E61CE2"/>
    <w:rsid w:val="00E633D9"/>
    <w:rsid w:val="00E666BD"/>
    <w:rsid w:val="00E674CF"/>
    <w:rsid w:val="00E82535"/>
    <w:rsid w:val="00E8399C"/>
    <w:rsid w:val="00E84E23"/>
    <w:rsid w:val="00E87C58"/>
    <w:rsid w:val="00EA3629"/>
    <w:rsid w:val="00EA73AB"/>
    <w:rsid w:val="00EB172E"/>
    <w:rsid w:val="00EB4E46"/>
    <w:rsid w:val="00EB527D"/>
    <w:rsid w:val="00EB6CF6"/>
    <w:rsid w:val="00EC43D7"/>
    <w:rsid w:val="00EC78D7"/>
    <w:rsid w:val="00ED451E"/>
    <w:rsid w:val="00ED4F71"/>
    <w:rsid w:val="00ED7ACF"/>
    <w:rsid w:val="00EE0D72"/>
    <w:rsid w:val="00EE1548"/>
    <w:rsid w:val="00EE412C"/>
    <w:rsid w:val="00EE7FBD"/>
    <w:rsid w:val="00EF3F44"/>
    <w:rsid w:val="00EF52E4"/>
    <w:rsid w:val="00EF5700"/>
    <w:rsid w:val="00F003CB"/>
    <w:rsid w:val="00F00745"/>
    <w:rsid w:val="00F07C4F"/>
    <w:rsid w:val="00F23859"/>
    <w:rsid w:val="00F24AF5"/>
    <w:rsid w:val="00F24D9A"/>
    <w:rsid w:val="00F25A35"/>
    <w:rsid w:val="00F26A6B"/>
    <w:rsid w:val="00F30706"/>
    <w:rsid w:val="00F33F9B"/>
    <w:rsid w:val="00F358A1"/>
    <w:rsid w:val="00F35CFE"/>
    <w:rsid w:val="00F40DCE"/>
    <w:rsid w:val="00F52025"/>
    <w:rsid w:val="00F528EE"/>
    <w:rsid w:val="00F534BE"/>
    <w:rsid w:val="00F53FB7"/>
    <w:rsid w:val="00F54F6E"/>
    <w:rsid w:val="00F567BD"/>
    <w:rsid w:val="00F63BB7"/>
    <w:rsid w:val="00F661FF"/>
    <w:rsid w:val="00F676AE"/>
    <w:rsid w:val="00F77AAC"/>
    <w:rsid w:val="00F80186"/>
    <w:rsid w:val="00F86349"/>
    <w:rsid w:val="00F86B33"/>
    <w:rsid w:val="00F91579"/>
    <w:rsid w:val="00F92057"/>
    <w:rsid w:val="00F932F0"/>
    <w:rsid w:val="00F94BA3"/>
    <w:rsid w:val="00F97D59"/>
    <w:rsid w:val="00FA153C"/>
    <w:rsid w:val="00FA3D0F"/>
    <w:rsid w:val="00FA5803"/>
    <w:rsid w:val="00FA6844"/>
    <w:rsid w:val="00FB1245"/>
    <w:rsid w:val="00FC04E7"/>
    <w:rsid w:val="00FC28F8"/>
    <w:rsid w:val="00FC7BBF"/>
    <w:rsid w:val="00FD5DA7"/>
    <w:rsid w:val="00FE027B"/>
    <w:rsid w:val="00FE4E76"/>
    <w:rsid w:val="00FE5895"/>
    <w:rsid w:val="00FE6464"/>
    <w:rsid w:val="00FE7843"/>
    <w:rsid w:val="00FE78F6"/>
    <w:rsid w:val="00FE79EC"/>
    <w:rsid w:val="00FE7FAC"/>
    <w:rsid w:val="00FF1158"/>
    <w:rsid w:val="00FF5C42"/>
    <w:rsid w:val="00FF689B"/>
    <w:rsid w:val="01175565"/>
    <w:rsid w:val="01238D76"/>
    <w:rsid w:val="019C1824"/>
    <w:rsid w:val="01F1B685"/>
    <w:rsid w:val="02A0B5E5"/>
    <w:rsid w:val="02FD2E1D"/>
    <w:rsid w:val="0449CBEB"/>
    <w:rsid w:val="04ABEE2D"/>
    <w:rsid w:val="054700F1"/>
    <w:rsid w:val="05B3369A"/>
    <w:rsid w:val="05CA7329"/>
    <w:rsid w:val="0643339F"/>
    <w:rsid w:val="06B65686"/>
    <w:rsid w:val="071D1BE3"/>
    <w:rsid w:val="07BF0116"/>
    <w:rsid w:val="07D3C41E"/>
    <w:rsid w:val="080E1C4F"/>
    <w:rsid w:val="08C7AC64"/>
    <w:rsid w:val="08F494E7"/>
    <w:rsid w:val="08FF0FC8"/>
    <w:rsid w:val="09628306"/>
    <w:rsid w:val="099B7E92"/>
    <w:rsid w:val="09AABB5B"/>
    <w:rsid w:val="0A4E76F8"/>
    <w:rsid w:val="0AF6A1D8"/>
    <w:rsid w:val="0B04B799"/>
    <w:rsid w:val="0BBC1875"/>
    <w:rsid w:val="0C383787"/>
    <w:rsid w:val="0C60BFCB"/>
    <w:rsid w:val="0CA78BAD"/>
    <w:rsid w:val="0CD5E66D"/>
    <w:rsid w:val="0D6B9A54"/>
    <w:rsid w:val="0E331CFD"/>
    <w:rsid w:val="0E67FD7E"/>
    <w:rsid w:val="0EF312C2"/>
    <w:rsid w:val="0F0E3111"/>
    <w:rsid w:val="0F3C7B37"/>
    <w:rsid w:val="0FB0EA9E"/>
    <w:rsid w:val="103A882F"/>
    <w:rsid w:val="10D2EF62"/>
    <w:rsid w:val="117A684E"/>
    <w:rsid w:val="12611CEE"/>
    <w:rsid w:val="127BA51E"/>
    <w:rsid w:val="13093F91"/>
    <w:rsid w:val="1358BC7C"/>
    <w:rsid w:val="1411A1F2"/>
    <w:rsid w:val="14F2A3CA"/>
    <w:rsid w:val="151683D3"/>
    <w:rsid w:val="16A06925"/>
    <w:rsid w:val="1711B96E"/>
    <w:rsid w:val="1774EFE4"/>
    <w:rsid w:val="17B18116"/>
    <w:rsid w:val="17B78628"/>
    <w:rsid w:val="17DCB0B4"/>
    <w:rsid w:val="184AEB4B"/>
    <w:rsid w:val="187CFE17"/>
    <w:rsid w:val="1918030C"/>
    <w:rsid w:val="1925D291"/>
    <w:rsid w:val="1949EFFC"/>
    <w:rsid w:val="1979765D"/>
    <w:rsid w:val="197EB9A2"/>
    <w:rsid w:val="19A48AF6"/>
    <w:rsid w:val="19B65F5F"/>
    <w:rsid w:val="19DB95BC"/>
    <w:rsid w:val="1AEB55B7"/>
    <w:rsid w:val="1C1D9C9C"/>
    <w:rsid w:val="1D2A730D"/>
    <w:rsid w:val="1DC22B98"/>
    <w:rsid w:val="1F853E7D"/>
    <w:rsid w:val="20295766"/>
    <w:rsid w:val="20353971"/>
    <w:rsid w:val="20CE825F"/>
    <w:rsid w:val="21D109D2"/>
    <w:rsid w:val="21E06830"/>
    <w:rsid w:val="22B6E4FA"/>
    <w:rsid w:val="22CBB8D3"/>
    <w:rsid w:val="2375D28A"/>
    <w:rsid w:val="238717F9"/>
    <w:rsid w:val="23FA8FC8"/>
    <w:rsid w:val="23FB5A9D"/>
    <w:rsid w:val="24078B91"/>
    <w:rsid w:val="24EE5347"/>
    <w:rsid w:val="2508AA94"/>
    <w:rsid w:val="25477A65"/>
    <w:rsid w:val="259C583F"/>
    <w:rsid w:val="26564DEE"/>
    <w:rsid w:val="2732FB5F"/>
    <w:rsid w:val="27BA42BE"/>
    <w:rsid w:val="284C47E4"/>
    <w:rsid w:val="28ACECD9"/>
    <w:rsid w:val="28BF39F2"/>
    <w:rsid w:val="291AB658"/>
    <w:rsid w:val="2927ED5B"/>
    <w:rsid w:val="29DC1BB7"/>
    <w:rsid w:val="2A1C8CF4"/>
    <w:rsid w:val="2A7872E1"/>
    <w:rsid w:val="2A8B5FEC"/>
    <w:rsid w:val="2AE67163"/>
    <w:rsid w:val="2AF4AA7D"/>
    <w:rsid w:val="2B67BC12"/>
    <w:rsid w:val="2C3AC03C"/>
    <w:rsid w:val="2C52571A"/>
    <w:rsid w:val="2C6498A8"/>
    <w:rsid w:val="2C682749"/>
    <w:rsid w:val="2D038C73"/>
    <w:rsid w:val="2D6B3679"/>
    <w:rsid w:val="2D99B90A"/>
    <w:rsid w:val="2DAD4388"/>
    <w:rsid w:val="2DF7FEB8"/>
    <w:rsid w:val="2E4338DC"/>
    <w:rsid w:val="2E5C9E68"/>
    <w:rsid w:val="2EDEC41D"/>
    <w:rsid w:val="2F02DA38"/>
    <w:rsid w:val="2FC6749E"/>
    <w:rsid w:val="304508E7"/>
    <w:rsid w:val="305AD723"/>
    <w:rsid w:val="3068E890"/>
    <w:rsid w:val="3072A61B"/>
    <w:rsid w:val="30938832"/>
    <w:rsid w:val="311E0A4B"/>
    <w:rsid w:val="32D8E870"/>
    <w:rsid w:val="32E5D542"/>
    <w:rsid w:val="3302D2BF"/>
    <w:rsid w:val="33C52CFE"/>
    <w:rsid w:val="33CB28F4"/>
    <w:rsid w:val="35399514"/>
    <w:rsid w:val="35C16D42"/>
    <w:rsid w:val="367B101D"/>
    <w:rsid w:val="36C7626F"/>
    <w:rsid w:val="3702C9B6"/>
    <w:rsid w:val="376B314F"/>
    <w:rsid w:val="37973F68"/>
    <w:rsid w:val="38440559"/>
    <w:rsid w:val="387DB800"/>
    <w:rsid w:val="392DC5E2"/>
    <w:rsid w:val="3960566F"/>
    <w:rsid w:val="3986ACBC"/>
    <w:rsid w:val="3A198861"/>
    <w:rsid w:val="3AD64A7F"/>
    <w:rsid w:val="3B4C1BE5"/>
    <w:rsid w:val="3B62FBB8"/>
    <w:rsid w:val="3BD37A2A"/>
    <w:rsid w:val="3BDAD038"/>
    <w:rsid w:val="3C0852F2"/>
    <w:rsid w:val="3C09C208"/>
    <w:rsid w:val="3D506F2B"/>
    <w:rsid w:val="3DF4A1ED"/>
    <w:rsid w:val="3EBD6E24"/>
    <w:rsid w:val="3ED99AB8"/>
    <w:rsid w:val="3F10D062"/>
    <w:rsid w:val="3F3A0DB7"/>
    <w:rsid w:val="3F4B0424"/>
    <w:rsid w:val="3F8B0888"/>
    <w:rsid w:val="3FA2514D"/>
    <w:rsid w:val="401260D5"/>
    <w:rsid w:val="40A904CB"/>
    <w:rsid w:val="40EF4CB2"/>
    <w:rsid w:val="412166EB"/>
    <w:rsid w:val="417D2113"/>
    <w:rsid w:val="426EE956"/>
    <w:rsid w:val="439AC020"/>
    <w:rsid w:val="43B48CA5"/>
    <w:rsid w:val="43C6B6C1"/>
    <w:rsid w:val="43EBE622"/>
    <w:rsid w:val="45230092"/>
    <w:rsid w:val="452FB3DF"/>
    <w:rsid w:val="46A21BBF"/>
    <w:rsid w:val="46B546F8"/>
    <w:rsid w:val="46CB8440"/>
    <w:rsid w:val="46E9F7C0"/>
    <w:rsid w:val="4720DB06"/>
    <w:rsid w:val="472BF73F"/>
    <w:rsid w:val="47421F82"/>
    <w:rsid w:val="474E2269"/>
    <w:rsid w:val="481013E4"/>
    <w:rsid w:val="48A1FEC0"/>
    <w:rsid w:val="48D8CE40"/>
    <w:rsid w:val="48DFACCE"/>
    <w:rsid w:val="48E87BD1"/>
    <w:rsid w:val="495025D7"/>
    <w:rsid w:val="495A7A40"/>
    <w:rsid w:val="49840059"/>
    <w:rsid w:val="4A1B119D"/>
    <w:rsid w:val="4A23CE29"/>
    <w:rsid w:val="4A480827"/>
    <w:rsid w:val="4AD3AED6"/>
    <w:rsid w:val="4BF18B7A"/>
    <w:rsid w:val="4D8D5BDB"/>
    <w:rsid w:val="4E0C27ED"/>
    <w:rsid w:val="4E31D3A1"/>
    <w:rsid w:val="4E6B5B08"/>
    <w:rsid w:val="4E9D9CA0"/>
    <w:rsid w:val="4EDBE148"/>
    <w:rsid w:val="4F57BD55"/>
    <w:rsid w:val="4F9BC994"/>
    <w:rsid w:val="50072B69"/>
    <w:rsid w:val="51DBB5EC"/>
    <w:rsid w:val="52460258"/>
    <w:rsid w:val="528F5E17"/>
    <w:rsid w:val="52CE9315"/>
    <w:rsid w:val="52DA4AC2"/>
    <w:rsid w:val="532A6CEA"/>
    <w:rsid w:val="533AD01C"/>
    <w:rsid w:val="534C6788"/>
    <w:rsid w:val="5377864D"/>
    <w:rsid w:val="53A35E8F"/>
    <w:rsid w:val="53CC1895"/>
    <w:rsid w:val="53FC9D5F"/>
    <w:rsid w:val="54992760"/>
    <w:rsid w:val="54A5F0E0"/>
    <w:rsid w:val="554C1EC6"/>
    <w:rsid w:val="5634F7C1"/>
    <w:rsid w:val="567270DE"/>
    <w:rsid w:val="5679FA47"/>
    <w:rsid w:val="56AB2524"/>
    <w:rsid w:val="5711C873"/>
    <w:rsid w:val="5716D9E2"/>
    <w:rsid w:val="57C5DF14"/>
    <w:rsid w:val="580A73E7"/>
    <w:rsid w:val="5856922D"/>
    <w:rsid w:val="58784D6B"/>
    <w:rsid w:val="5AB10A5E"/>
    <w:rsid w:val="5B26B6A5"/>
    <w:rsid w:val="5B7B947F"/>
    <w:rsid w:val="5B8E32EF"/>
    <w:rsid w:val="5BDDAFDA"/>
    <w:rsid w:val="5BEDBBC1"/>
    <w:rsid w:val="5C350F95"/>
    <w:rsid w:val="5C83B735"/>
    <w:rsid w:val="5D79803B"/>
    <w:rsid w:val="5D96BB47"/>
    <w:rsid w:val="5E970DEF"/>
    <w:rsid w:val="603782E9"/>
    <w:rsid w:val="60560955"/>
    <w:rsid w:val="60BBB50B"/>
    <w:rsid w:val="60D3677C"/>
    <w:rsid w:val="61572858"/>
    <w:rsid w:val="615F4C81"/>
    <w:rsid w:val="619376E1"/>
    <w:rsid w:val="624CF15E"/>
    <w:rsid w:val="62EA8C6E"/>
    <w:rsid w:val="62FBF8A7"/>
    <w:rsid w:val="64816D0A"/>
    <w:rsid w:val="6659D0BE"/>
    <w:rsid w:val="66895EF1"/>
    <w:rsid w:val="668BECCF"/>
    <w:rsid w:val="67642A80"/>
    <w:rsid w:val="678ECA63"/>
    <w:rsid w:val="67C5A22E"/>
    <w:rsid w:val="6A4D76A7"/>
    <w:rsid w:val="6A4EE6CD"/>
    <w:rsid w:val="6A580343"/>
    <w:rsid w:val="6ABB762F"/>
    <w:rsid w:val="6B25537E"/>
    <w:rsid w:val="6BB33263"/>
    <w:rsid w:val="6BF3D3A4"/>
    <w:rsid w:val="6C2800BD"/>
    <w:rsid w:val="6C418C31"/>
    <w:rsid w:val="6C6F54A7"/>
    <w:rsid w:val="6CC123DF"/>
    <w:rsid w:val="6CC680B4"/>
    <w:rsid w:val="6D3C79E3"/>
    <w:rsid w:val="6E0B2508"/>
    <w:rsid w:val="6E5B2EE6"/>
    <w:rsid w:val="6F7BF3F0"/>
    <w:rsid w:val="705F0131"/>
    <w:rsid w:val="7142C5CA"/>
    <w:rsid w:val="7199376D"/>
    <w:rsid w:val="7274C116"/>
    <w:rsid w:val="72957372"/>
    <w:rsid w:val="72976FE6"/>
    <w:rsid w:val="72D3F9AD"/>
    <w:rsid w:val="72DE8542"/>
    <w:rsid w:val="73A39FC6"/>
    <w:rsid w:val="73EB83F4"/>
    <w:rsid w:val="741A6ACB"/>
    <w:rsid w:val="74330706"/>
    <w:rsid w:val="7539FE28"/>
    <w:rsid w:val="7581C9B2"/>
    <w:rsid w:val="769D6BCD"/>
    <w:rsid w:val="769EDCBB"/>
    <w:rsid w:val="7722769F"/>
    <w:rsid w:val="77A9D845"/>
    <w:rsid w:val="78EDDBEE"/>
    <w:rsid w:val="7A0A781B"/>
    <w:rsid w:val="7AE17907"/>
    <w:rsid w:val="7BAD332B"/>
    <w:rsid w:val="7C25C581"/>
    <w:rsid w:val="7C2A34EF"/>
    <w:rsid w:val="7D0CF4E9"/>
    <w:rsid w:val="7D164A4B"/>
    <w:rsid w:val="7EC8D6D0"/>
    <w:rsid w:val="7EE1D5B6"/>
    <w:rsid w:val="7F2EC0DB"/>
    <w:rsid w:val="7F904E82"/>
  </w:rsids>
  <w:docVars>
    <w:docVar w:name="__Grammarly_42___1" w:val="H4sIAAAAAAAEAKtWcslP9kxRslIyNDaysDQ1NzAxMrAwNrA0MzFS0lEKTi0uzszPAykwrwUAHJKX5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4822AD"/>
  <w15:chartTrackingRefBased/>
  <w15:docId w15:val="{23C47A11-9F52-4F63-A79E-FFF25D16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3">
    <w:name w:val="heading 3"/>
    <w:basedOn w:val="Normal"/>
    <w:next w:val="Normal"/>
    <w:link w:val="Heading3Char"/>
    <w:semiHidden/>
    <w:unhideWhenUsed/>
    <w:qFormat/>
    <w:rsid w:val="00E633D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aliases w:val="MC-PRE,MC-PRE Footnote Text"/>
    <w:basedOn w:val="Normal"/>
    <w:link w:val="FootnoteTextChar"/>
    <w:rsid w:val="007B620F"/>
  </w:style>
  <w:style w:type="character" w:customStyle="1" w:styleId="FootnoteTextChar">
    <w:name w:val="Footnote Text Char"/>
    <w:aliases w:val="MC-PRE Char,MC-PRE 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DA13BF"/>
    <w:rPr>
      <w:sz w:val="16"/>
      <w:szCs w:val="16"/>
    </w:rPr>
  </w:style>
  <w:style w:type="paragraph" w:styleId="CommentText">
    <w:name w:val="annotation text"/>
    <w:basedOn w:val="Normal"/>
    <w:link w:val="CommentTextChar"/>
    <w:rsid w:val="00DA13BF"/>
  </w:style>
  <w:style w:type="character" w:customStyle="1" w:styleId="CommentTextChar">
    <w:name w:val="Comment Text Char"/>
    <w:link w:val="CommentText"/>
    <w:rsid w:val="00DA13BF"/>
    <w:rPr>
      <w:rFonts w:ascii="Letter Gothic 12cpi" w:hAnsi="Letter Gothic 12cpi"/>
    </w:rPr>
  </w:style>
  <w:style w:type="paragraph" w:styleId="CommentSubject">
    <w:name w:val="annotation subject"/>
    <w:basedOn w:val="CommentText"/>
    <w:next w:val="CommentText"/>
    <w:link w:val="CommentSubjectChar"/>
    <w:rsid w:val="00DA13BF"/>
    <w:rPr>
      <w:b/>
      <w:bCs/>
    </w:rPr>
  </w:style>
  <w:style w:type="character" w:customStyle="1" w:styleId="CommentSubjectChar">
    <w:name w:val="Comment Subject Char"/>
    <w:link w:val="CommentSubject"/>
    <w:rsid w:val="00DA13BF"/>
    <w:rPr>
      <w:rFonts w:ascii="Letter Gothic 12cpi" w:hAnsi="Letter Gothic 12cpi"/>
      <w:b/>
      <w:bCs/>
    </w:rPr>
  </w:style>
  <w:style w:type="table" w:customStyle="1" w:styleId="TableGrid1">
    <w:name w:val="Table Grid1"/>
    <w:basedOn w:val="TableNormal"/>
    <w:next w:val="TableGrid"/>
    <w:uiPriority w:val="39"/>
    <w:rsid w:val="001D47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018F7"/>
    <w:rPr>
      <w:b/>
      <w:bCs/>
    </w:rPr>
  </w:style>
  <w:style w:type="paragraph" w:styleId="Revision">
    <w:name w:val="Revision"/>
    <w:hidden/>
    <w:uiPriority w:val="99"/>
    <w:semiHidden/>
    <w:rsid w:val="006C5988"/>
    <w:rPr>
      <w:rFonts w:ascii="Letter Gothic 12cpi" w:hAnsi="Letter Gothic 12cpi"/>
    </w:rPr>
  </w:style>
  <w:style w:type="paragraph" w:customStyle="1" w:styleId="FMCSAListNumber">
    <w:name w:val="FMCSA List Number"/>
    <w:basedOn w:val="Normal"/>
    <w:uiPriority w:val="99"/>
    <w:qFormat/>
    <w:rsid w:val="6ABB762F"/>
    <w:pPr>
      <w:numPr>
        <w:numId w:val="8"/>
      </w:numPr>
      <w:spacing w:before="120"/>
    </w:pPr>
    <w:rPr>
      <w:sz w:val="24"/>
      <w:szCs w:val="24"/>
    </w:rPr>
  </w:style>
  <w:style w:type="paragraph" w:customStyle="1" w:styleId="FMCSAText1">
    <w:name w:val="FMCSA Text 1"/>
    <w:basedOn w:val="Normal"/>
    <w:uiPriority w:val="99"/>
    <w:qFormat/>
    <w:rsid w:val="6ABB762F"/>
    <w:pPr>
      <w:spacing w:after="240"/>
    </w:pPr>
    <w:rPr>
      <w:sz w:val="24"/>
      <w:szCs w:val="24"/>
    </w:rPr>
  </w:style>
  <w:style w:type="paragraph" w:customStyle="1" w:styleId="FMCSATableBody1">
    <w:name w:val="FMCSA Table Body 1"/>
    <w:uiPriority w:val="99"/>
    <w:rsid w:val="00F97D59"/>
    <w:pPr>
      <w:spacing w:before="20" w:after="20"/>
    </w:pPr>
    <w:rPr>
      <w:szCs w:val="24"/>
    </w:rPr>
  </w:style>
  <w:style w:type="paragraph" w:customStyle="1" w:styleId="FMCSACaption-Table">
    <w:name w:val="FMCSA Caption-Table"/>
    <w:next w:val="Normal"/>
    <w:uiPriority w:val="99"/>
    <w:rsid w:val="00F97D59"/>
    <w:pPr>
      <w:keepNext/>
      <w:keepLines/>
      <w:spacing w:before="240" w:after="120"/>
      <w:jc w:val="center"/>
    </w:pPr>
    <w:rPr>
      <w:b/>
      <w:szCs w:val="24"/>
    </w:rPr>
  </w:style>
  <w:style w:type="table" w:customStyle="1" w:styleId="FMCSATable1Style">
    <w:name w:val="FMCSA Table 1 Style"/>
    <w:basedOn w:val="TableNormal"/>
    <w:uiPriority w:val="99"/>
    <w:rsid w:val="00F97D59"/>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F97D59"/>
    <w:pPr>
      <w:keepLines/>
      <w:widowControl w:val="0"/>
      <w:spacing w:before="60" w:after="60"/>
      <w:jc w:val="center"/>
    </w:pPr>
    <w:rPr>
      <w:b/>
      <w:szCs w:val="24"/>
    </w:rPr>
  </w:style>
  <w:style w:type="character" w:styleId="Mention">
    <w:name w:val="Mention"/>
    <w:basedOn w:val="DefaultParagraphFont"/>
    <w:uiPriority w:val="99"/>
    <w:unhideWhenUsed/>
    <w:rsid w:val="00144175"/>
    <w:rPr>
      <w:color w:val="2B579A"/>
      <w:shd w:val="clear" w:color="auto" w:fill="E6E6E6"/>
    </w:rPr>
  </w:style>
  <w:style w:type="character" w:customStyle="1" w:styleId="Heading3Char">
    <w:name w:val="Heading 3 Char"/>
    <w:basedOn w:val="DefaultParagraphFont"/>
    <w:link w:val="Heading3"/>
    <w:semiHidden/>
    <w:rsid w:val="00E633D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b4cb528-c6de-4962-ba6a-8c4f497baf23" xsi:nil="true"/>
    <ProjectManager xmlns="7b4cb528-c6de-4962-ba6a-8c4f497baf23">
      <UserInfo>
        <DisplayName/>
        <AccountId xsi:nil="true"/>
        <AccountType/>
      </UserInfo>
    </ProjectManag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6" ma:contentTypeDescription="Create a new document." ma:contentTypeScope="" ma:versionID="6b1d931a45681c43f8e3c4a91284033b">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23874f046290e08d0accb3bc71a8d428"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Projec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Indicates whether a project is planned, active, complete, etc. " ma:format="Dropdown" ma:internalName="Status">
      <xsd:simpleType>
        <xsd:restriction base="dms:Choice">
          <xsd:enumeration value="Planned"/>
          <xsd:enumeration value="Active"/>
          <xsd:enumeration value="Completed"/>
          <xsd:enumeration value="Canceled"/>
          <xsd:enumeration value="Annual Agreements"/>
        </xsd:restriction>
      </xsd:simpleType>
    </xsd:element>
    <xsd:element name="ProjectManager" ma:index="13"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B60DB-6E27-4394-8587-B703CF37BB59}">
  <ds:schemaRefs>
    <ds:schemaRef ds:uri="http://schemas.microsoft.com/office/2006/metadata/properties"/>
    <ds:schemaRef ds:uri="http://schemas.microsoft.com/office/infopath/2007/PartnerControls"/>
    <ds:schemaRef ds:uri="7b4cb528-c6de-4962-ba6a-8c4f497baf23"/>
  </ds:schemaRefs>
</ds:datastoreItem>
</file>

<file path=customXml/itemProps2.xml><?xml version="1.0" encoding="utf-8"?>
<ds:datastoreItem xmlns:ds="http://schemas.openxmlformats.org/officeDocument/2006/customXml" ds:itemID="{ED9B6082-AADE-458C-B34E-7986BDF106F5}">
  <ds:schemaRefs>
    <ds:schemaRef ds:uri="http://schemas.openxmlformats.org/officeDocument/2006/bibliography"/>
  </ds:schemaRefs>
</ds:datastoreItem>
</file>

<file path=customXml/itemProps3.xml><?xml version="1.0" encoding="utf-8"?>
<ds:datastoreItem xmlns:ds="http://schemas.openxmlformats.org/officeDocument/2006/customXml" ds:itemID="{5AA04851-4442-42C4-9ECB-415E92CDF85B}">
  <ds:schemaRefs>
    <ds:schemaRef ds:uri="http://schemas.microsoft.com/sharepoint/v3/contenttype/forms"/>
  </ds:schemaRefs>
</ds:datastoreItem>
</file>

<file path=customXml/itemProps4.xml><?xml version="1.0" encoding="utf-8"?>
<ds:datastoreItem xmlns:ds="http://schemas.openxmlformats.org/officeDocument/2006/customXml" ds:itemID="{2C5B6143-26CC-46F1-93D6-9B39C85A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6009</Words>
  <Characters>34255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2014-05-07T19:48:00Z</cp:lastPrinted>
  <dcterms:created xsi:type="dcterms:W3CDTF">2023-04-24T15:16:00Z</dcterms:created>
  <dcterms:modified xsi:type="dcterms:W3CDTF">2023-04-24T15:16:00Z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0x010100403F2CA46B9D1344B5EAC6319198805A</vt:lpwstr>
  </property>
  <property fmtid="{D5CDD505-2E9C-101B-9397-08002B2CF9AE}" pid="3" name="MediaServiceImageTags">
    <vt:lpwstr/>
  </property>
</Properties>
</file>