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09DF" w:rsidRPr="00986BAD" w:rsidP="00FC09DF" w14:paraId="060F99E9" w14:textId="77777777">
      <w:pPr>
        <w:shd w:val="clear" w:color="auto" w:fill="FFFFFF"/>
        <w:rPr>
          <w:rFonts w:ascii="Verdana" w:hAnsi="Verdana"/>
          <w:b/>
          <w:bCs/>
          <w:color w:val="000000"/>
          <w:szCs w:val="20"/>
        </w:rPr>
      </w:pPr>
      <w:r w:rsidRPr="00986BAD">
        <w:rPr>
          <w:rFonts w:ascii="Verdana" w:hAnsi="Verdana"/>
          <w:b/>
          <w:bCs/>
          <w:color w:val="000000"/>
          <w:szCs w:val="20"/>
        </w:rPr>
        <w:t>UNITED STATES CODE</w:t>
      </w:r>
    </w:p>
    <w:p w:rsidR="00FC09DF" w:rsidP="00FC09DF" w14:paraId="1F90415C" w14:textId="77777777">
      <w:pPr>
        <w:rPr>
          <w:rFonts w:ascii="Verdana" w:hAnsi="Verdana"/>
          <w:b/>
          <w:bCs/>
          <w:color w:val="000000"/>
          <w:sz w:val="20"/>
          <w:szCs w:val="20"/>
        </w:rPr>
      </w:pPr>
    </w:p>
    <w:p w:rsidR="00FC09DF" w:rsidP="00FC09DF" w14:paraId="7C28255C" w14:textId="77777777">
      <w:pPr>
        <w:rPr>
          <w:rFonts w:ascii="Verdana" w:hAnsi="Verdana"/>
          <w:b/>
          <w:bCs/>
          <w:color w:val="000000"/>
          <w:sz w:val="20"/>
          <w:szCs w:val="20"/>
        </w:rPr>
      </w:pPr>
      <w:hyperlink r:id="rId4" w:tooltip="TITLE 12 - BANKS AND BANKING" w:history="1">
        <w:r>
          <w:rPr>
            <w:rStyle w:val="Hyperlink"/>
            <w:rFonts w:ascii="Verdana" w:hAnsi="Verdana"/>
            <w:b/>
            <w:bCs/>
            <w:sz w:val="20"/>
            <w:szCs w:val="20"/>
          </w:rPr>
          <w:t>TITLE 12</w:t>
        </w:r>
      </w:hyperlink>
      <w:r>
        <w:rPr>
          <w:rFonts w:ascii="Verdana" w:hAnsi="Verdana"/>
          <w:b/>
          <w:bCs/>
          <w:color w:val="000000"/>
          <w:sz w:val="20"/>
          <w:szCs w:val="20"/>
        </w:rPr>
        <w:t xml:space="preserve"> &gt; </w:t>
      </w:r>
      <w:hyperlink r:id="rId5" w:tooltip="CHAPTER 13 - NATIONAL HOUSING" w:history="1">
        <w:r>
          <w:rPr>
            <w:rStyle w:val="Hyperlink"/>
            <w:rFonts w:ascii="Verdana" w:hAnsi="Verdana"/>
            <w:b/>
            <w:bCs/>
            <w:sz w:val="20"/>
            <w:szCs w:val="20"/>
          </w:rPr>
          <w:t>CHAPTER 13</w:t>
        </w:r>
      </w:hyperlink>
      <w:r>
        <w:rPr>
          <w:rFonts w:ascii="Verdana" w:hAnsi="Verdana"/>
          <w:b/>
          <w:bCs/>
          <w:color w:val="000000"/>
          <w:sz w:val="20"/>
          <w:szCs w:val="20"/>
        </w:rPr>
        <w:t xml:space="preserve"> &gt; </w:t>
      </w:r>
      <w:hyperlink r:id="rId6" w:tooltip="SUBCHAPTER II - MORTGAGE INSURANCE" w:history="1">
        <w:r>
          <w:rPr>
            <w:rStyle w:val="Hyperlink"/>
            <w:rFonts w:ascii="Verdana" w:hAnsi="Verdana"/>
            <w:b/>
            <w:bCs/>
            <w:sz w:val="20"/>
            <w:szCs w:val="20"/>
          </w:rPr>
          <w:t>SUBCHAPTER II</w:t>
        </w:r>
      </w:hyperlink>
      <w:r>
        <w:rPr>
          <w:rFonts w:ascii="Verdana" w:hAnsi="Verdana"/>
          <w:b/>
          <w:bCs/>
          <w:color w:val="000000"/>
          <w:sz w:val="20"/>
          <w:szCs w:val="20"/>
        </w:rPr>
        <w:t xml:space="preserve"> &gt; § 1709</w:t>
      </w:r>
    </w:p>
    <w:p w:rsidR="00FC09DF" w:rsidP="00FC09DF" w14:paraId="2B2E2A71" w14:textId="77777777">
      <w:pPr>
        <w:pStyle w:val="catchline"/>
        <w:rPr>
          <w:rFonts w:ascii="Verdana" w:hAnsi="Verdana"/>
          <w:color w:val="000000"/>
          <w:sz w:val="24"/>
          <w:szCs w:val="24"/>
        </w:rPr>
      </w:pPr>
      <w:r>
        <w:rPr>
          <w:rFonts w:ascii="Verdana" w:hAnsi="Verdana"/>
          <w:color w:val="000000"/>
          <w:sz w:val="24"/>
          <w:szCs w:val="24"/>
        </w:rPr>
        <w:t>§ 1709. Insurance of mortgages</w:t>
      </w:r>
    </w:p>
    <w:p w:rsidR="00FC09DF" w:rsidP="00FC09DF" w14:paraId="251EF9CF" w14:textId="77777777">
      <w:pPr>
        <w:rPr>
          <w:rFonts w:ascii="Verdana" w:hAnsi="Verdana"/>
          <w:color w:val="000000"/>
          <w:sz w:val="20"/>
          <w:szCs w:val="20"/>
        </w:rPr>
      </w:pPr>
      <w:bookmarkStart w:id="0" w:name="a"/>
      <w:bookmarkEnd w:id="0"/>
      <w:r>
        <w:rPr>
          <w:rStyle w:val="enumbell"/>
          <w:rFonts w:ascii="Verdana" w:hAnsi="Verdana"/>
          <w:color w:val="000000"/>
          <w:sz w:val="20"/>
          <w:szCs w:val="20"/>
        </w:rPr>
        <w:t>(a)</w:t>
      </w:r>
      <w:r>
        <w:rPr>
          <w:rFonts w:ascii="Verdana" w:hAnsi="Verdana"/>
          <w:color w:val="000000"/>
          <w:sz w:val="20"/>
          <w:szCs w:val="20"/>
        </w:rPr>
        <w:t xml:space="preserve"> </w:t>
      </w:r>
      <w:r>
        <w:rPr>
          <w:rFonts w:ascii="Verdana" w:hAnsi="Verdana"/>
          <w:b/>
          <w:bCs/>
          <w:color w:val="000000"/>
          <w:sz w:val="20"/>
          <w:szCs w:val="20"/>
        </w:rPr>
        <w:t xml:space="preserve">Authorization </w:t>
      </w:r>
    </w:p>
    <w:p w:rsidR="00FC09DF" w:rsidP="00FC09DF" w14:paraId="30623BFD" w14:textId="77777777">
      <w:pPr>
        <w:rPr>
          <w:rFonts w:ascii="Verdana" w:hAnsi="Verdana"/>
          <w:color w:val="000000"/>
          <w:sz w:val="20"/>
          <w:szCs w:val="20"/>
        </w:rPr>
      </w:pPr>
      <w:r>
        <w:rPr>
          <w:rFonts w:ascii="Verdana" w:hAnsi="Verdana"/>
          <w:color w:val="000000"/>
          <w:sz w:val="20"/>
          <w:szCs w:val="20"/>
        </w:rPr>
        <w:t xml:space="preserve">The Secretary is authorized, upon application by the mortgagee, to insure as hereinafter provided any mortgage offered to him which is eligible for insurance as hereinafter provided, and, upon such terms as the Secretary may prescribe, to make commitments for the insuring of such mortgages prior to the date of their execution or disbursement thereon. </w:t>
      </w:r>
    </w:p>
    <w:p w:rsidR="00FC09DF" w:rsidP="00FC09DF" w14:paraId="43A41ED1" w14:textId="77777777">
      <w:pPr>
        <w:rPr>
          <w:rFonts w:ascii="Verdana" w:hAnsi="Verdana"/>
          <w:color w:val="000000"/>
          <w:sz w:val="20"/>
          <w:szCs w:val="20"/>
        </w:rPr>
      </w:pPr>
      <w:bookmarkStart w:id="1" w:name="b"/>
      <w:bookmarkEnd w:id="1"/>
      <w:r>
        <w:rPr>
          <w:rStyle w:val="enumbell"/>
          <w:rFonts w:ascii="Verdana" w:hAnsi="Verdana"/>
          <w:color w:val="000000"/>
          <w:sz w:val="20"/>
          <w:szCs w:val="20"/>
        </w:rPr>
        <w:t>(b)</w:t>
      </w:r>
      <w:r>
        <w:rPr>
          <w:rFonts w:ascii="Verdana" w:hAnsi="Verdana"/>
          <w:color w:val="000000"/>
          <w:sz w:val="20"/>
          <w:szCs w:val="20"/>
        </w:rPr>
        <w:t xml:space="preserve"> </w:t>
      </w:r>
      <w:r>
        <w:rPr>
          <w:rFonts w:ascii="Verdana" w:hAnsi="Verdana"/>
          <w:b/>
          <w:bCs/>
          <w:color w:val="000000"/>
          <w:sz w:val="20"/>
          <w:szCs w:val="20"/>
        </w:rPr>
        <w:t xml:space="preserve">Eligibility for insurance; mortgage limits </w:t>
      </w:r>
    </w:p>
    <w:p w:rsidR="00FC09DF" w:rsidP="00FC09DF" w14:paraId="0A3F23D3" w14:textId="77777777">
      <w:pPr>
        <w:rPr>
          <w:rFonts w:ascii="Verdana" w:hAnsi="Verdana"/>
          <w:color w:val="000000"/>
          <w:sz w:val="20"/>
          <w:szCs w:val="20"/>
        </w:rPr>
      </w:pPr>
      <w:r>
        <w:rPr>
          <w:rFonts w:ascii="Verdana" w:hAnsi="Verdana"/>
          <w:color w:val="000000"/>
          <w:sz w:val="20"/>
          <w:szCs w:val="20"/>
        </w:rPr>
        <w:t xml:space="preserve">To be eligible for insurance under this section a mortgage shall comply with the following: </w:t>
      </w:r>
    </w:p>
    <w:p w:rsidR="00FC09DF" w:rsidP="00FC09DF" w14:paraId="334E1EB5" w14:textId="77777777">
      <w:pPr>
        <w:rPr>
          <w:rFonts w:ascii="Verdana" w:hAnsi="Verdana"/>
          <w:color w:val="000000"/>
          <w:sz w:val="20"/>
          <w:szCs w:val="20"/>
        </w:rPr>
      </w:pPr>
      <w:bookmarkStart w:id="2" w:name="b_1"/>
      <w:bookmarkEnd w:id="2"/>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Have been made to, and be held by, a mortgagee approved by the Secretary as responsible and able to service the mortgage properly. </w:t>
      </w:r>
    </w:p>
    <w:p w:rsidR="00FC09DF" w:rsidP="00FC09DF" w14:paraId="56FCE36A" w14:textId="77777777">
      <w:pPr>
        <w:rPr>
          <w:rFonts w:ascii="Verdana" w:hAnsi="Verdana"/>
          <w:color w:val="000000"/>
          <w:sz w:val="20"/>
          <w:szCs w:val="20"/>
        </w:rPr>
      </w:pPr>
      <w:bookmarkStart w:id="3" w:name="b_2"/>
      <w:bookmarkEnd w:id="3"/>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Involve a principal obligation (including such initial service charges, appraisal, inspection, and other fees as the Secretary shall approve) in an amount— </w:t>
      </w:r>
    </w:p>
    <w:p w:rsidR="00FC09DF" w:rsidP="00FC09DF" w14:paraId="3EAD354C" w14:textId="77777777">
      <w:pPr>
        <w:rPr>
          <w:rFonts w:ascii="Verdana" w:hAnsi="Verdana"/>
          <w:color w:val="000000"/>
          <w:sz w:val="20"/>
          <w:szCs w:val="20"/>
        </w:rPr>
      </w:pPr>
      <w:bookmarkStart w:id="4" w:name="b_2_A"/>
      <w:bookmarkEnd w:id="4"/>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not to exceed the lesser of— </w:t>
      </w:r>
    </w:p>
    <w:p w:rsidR="00FC09DF" w:rsidP="00FC09DF" w14:paraId="15E26BA5" w14:textId="77777777">
      <w:pPr>
        <w:rPr>
          <w:rFonts w:ascii="Verdana" w:hAnsi="Verdana"/>
          <w:color w:val="000000"/>
          <w:sz w:val="20"/>
          <w:szCs w:val="20"/>
        </w:rPr>
      </w:pPr>
      <w:bookmarkStart w:id="5" w:name="b_2_A_i"/>
      <w:bookmarkEnd w:id="5"/>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in the case of a 1-family residence, 95 percent of the median 1-family house price in the area, as determined by the Secretary; in the case of a 2-family residence, 107 percent of such median price; in the case of a 3-family residence, 130 percent of such median price; or in the case of a 4-family residence, 150 percent of such median price; or </w:t>
      </w:r>
    </w:p>
    <w:p w:rsidR="00FC09DF" w:rsidP="00FC09DF" w14:paraId="2A4853E9" w14:textId="77777777">
      <w:pPr>
        <w:rPr>
          <w:rFonts w:ascii="Verdana" w:hAnsi="Verdana"/>
          <w:color w:val="000000"/>
          <w:sz w:val="20"/>
          <w:szCs w:val="20"/>
        </w:rPr>
      </w:pPr>
      <w:bookmarkStart w:id="6" w:name="b_2_A_ii"/>
      <w:bookmarkEnd w:id="6"/>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87 percent of the dollar amount limitation determined under section </w:t>
      </w:r>
      <w:hyperlink r:id="rId7" w:history="1">
        <w:r>
          <w:rPr>
            <w:rStyle w:val="Hyperlink"/>
            <w:rFonts w:ascii="Verdana" w:hAnsi="Verdana"/>
            <w:sz w:val="20"/>
            <w:szCs w:val="20"/>
          </w:rPr>
          <w:t>1454</w:t>
        </w:r>
      </w:hyperlink>
      <w:r>
        <w:rPr>
          <w:rStyle w:val="ptext-4"/>
          <w:rFonts w:ascii="Verdana" w:hAnsi="Verdana"/>
          <w:color w:val="000000"/>
          <w:sz w:val="20"/>
          <w:szCs w:val="20"/>
        </w:rPr>
        <w:t xml:space="preserve"> </w:t>
      </w:r>
      <w:hyperlink r:id="rId7" w:anchor="a_2" w:history="1">
        <w:r>
          <w:rPr>
            <w:rStyle w:val="Hyperlink"/>
            <w:rFonts w:ascii="Verdana" w:hAnsi="Verdana"/>
            <w:sz w:val="20"/>
            <w:szCs w:val="20"/>
          </w:rPr>
          <w:t>(a)(2)</w:t>
        </w:r>
      </w:hyperlink>
      <w:r>
        <w:rPr>
          <w:rStyle w:val="ptext-4"/>
          <w:rFonts w:ascii="Verdana" w:hAnsi="Verdana"/>
          <w:color w:val="000000"/>
          <w:sz w:val="20"/>
          <w:szCs w:val="20"/>
        </w:rPr>
        <w:t xml:space="preserve"> of this title for a residence of the applicable size; except that the dollar amount limitation in effect for any area under this subparagraph may not be less than the greater of the dollar amount limitation in effect under this section for the area on October 21, 1998, or 48 percent of the dollar limitation determined under section </w:t>
      </w:r>
      <w:hyperlink r:id="rId7" w:history="1">
        <w:r>
          <w:rPr>
            <w:rStyle w:val="Hyperlink"/>
            <w:rFonts w:ascii="Verdana" w:hAnsi="Verdana"/>
            <w:sz w:val="20"/>
            <w:szCs w:val="20"/>
          </w:rPr>
          <w:t>1454</w:t>
        </w:r>
      </w:hyperlink>
      <w:r>
        <w:rPr>
          <w:rStyle w:val="ptext-4"/>
          <w:rFonts w:ascii="Verdana" w:hAnsi="Verdana"/>
          <w:color w:val="000000"/>
          <w:sz w:val="20"/>
          <w:szCs w:val="20"/>
        </w:rPr>
        <w:t xml:space="preserve"> </w:t>
      </w:r>
      <w:hyperlink r:id="rId7" w:anchor="a_2" w:history="1">
        <w:r>
          <w:rPr>
            <w:rStyle w:val="Hyperlink"/>
            <w:rFonts w:ascii="Verdana" w:hAnsi="Verdana"/>
            <w:sz w:val="20"/>
            <w:szCs w:val="20"/>
          </w:rPr>
          <w:t>(a)(2)</w:t>
        </w:r>
      </w:hyperlink>
      <w:r>
        <w:rPr>
          <w:rStyle w:val="ptext-4"/>
          <w:rFonts w:ascii="Verdana" w:hAnsi="Verdana"/>
          <w:color w:val="000000"/>
          <w:sz w:val="20"/>
          <w:szCs w:val="20"/>
        </w:rPr>
        <w:t xml:space="preserve"> of this title for a residence of the applicable size; and </w:t>
      </w:r>
    </w:p>
    <w:p w:rsidR="00FC09DF" w:rsidP="00FC09DF" w14:paraId="33C7E99D" w14:textId="77777777">
      <w:pPr>
        <w:rPr>
          <w:rFonts w:ascii="Verdana" w:hAnsi="Verdana"/>
          <w:color w:val="000000"/>
          <w:sz w:val="20"/>
          <w:szCs w:val="20"/>
        </w:rPr>
      </w:pPr>
      <w:bookmarkStart w:id="7" w:name="b_2_B"/>
      <w:bookmarkEnd w:id="7"/>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not to exceed an amount equal to the sum of— </w:t>
      </w:r>
    </w:p>
    <w:p w:rsidR="00FC09DF" w:rsidP="00FC09DF" w14:paraId="1759E8F4" w14:textId="77777777">
      <w:pPr>
        <w:rPr>
          <w:rFonts w:ascii="Verdana" w:hAnsi="Verdana"/>
          <w:color w:val="000000"/>
          <w:sz w:val="20"/>
          <w:szCs w:val="20"/>
        </w:rPr>
      </w:pPr>
      <w:bookmarkStart w:id="8" w:name="b_2_B_i"/>
      <w:bookmarkEnd w:id="8"/>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the amount of the mortgage insurance premium paid at the time the mortgage is insured; and </w:t>
      </w:r>
    </w:p>
    <w:p w:rsidR="00FC09DF" w:rsidP="00FC09DF" w14:paraId="6F4AA5F7" w14:textId="77777777">
      <w:pPr>
        <w:rPr>
          <w:rFonts w:ascii="Verdana" w:hAnsi="Verdana"/>
          <w:color w:val="000000"/>
          <w:sz w:val="20"/>
          <w:szCs w:val="20"/>
        </w:rPr>
      </w:pPr>
      <w:bookmarkStart w:id="9" w:name="b_2_B_ii"/>
      <w:bookmarkEnd w:id="9"/>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in the case of— </w:t>
      </w:r>
    </w:p>
    <w:p w:rsidR="00FC09DF" w:rsidP="00FC09DF" w14:paraId="1DCDDFF5" w14:textId="77777777">
      <w:pPr>
        <w:rPr>
          <w:rFonts w:ascii="Verdana" w:hAnsi="Verdana"/>
          <w:color w:val="000000"/>
          <w:sz w:val="20"/>
          <w:szCs w:val="20"/>
        </w:rPr>
      </w:pPr>
      <w:bookmarkStart w:id="10" w:name="b_2_B_ii_I"/>
      <w:bookmarkEnd w:id="10"/>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 xml:space="preserve">a mortgage for a property with an appraised value equal to or less than $50,000, 98.75 percent of the appraised value of the </w:t>
      </w:r>
      <w:r>
        <w:rPr>
          <w:rStyle w:val="ptext-5"/>
          <w:rFonts w:ascii="Verdana" w:hAnsi="Verdana"/>
          <w:color w:val="000000"/>
          <w:sz w:val="20"/>
          <w:szCs w:val="20"/>
        </w:rPr>
        <w:t>property;</w:t>
      </w:r>
      <w:r>
        <w:rPr>
          <w:rStyle w:val="ptext-5"/>
          <w:rFonts w:ascii="Verdana" w:hAnsi="Verdana"/>
          <w:color w:val="000000"/>
          <w:sz w:val="20"/>
          <w:szCs w:val="20"/>
        </w:rPr>
        <w:t xml:space="preserve"> </w:t>
      </w:r>
    </w:p>
    <w:p w:rsidR="00FC09DF" w:rsidP="00FC09DF" w14:paraId="7E156AC7" w14:textId="77777777">
      <w:pPr>
        <w:rPr>
          <w:rFonts w:ascii="Verdana" w:hAnsi="Verdana"/>
          <w:color w:val="000000"/>
          <w:sz w:val="20"/>
          <w:szCs w:val="20"/>
        </w:rPr>
      </w:pPr>
      <w:bookmarkStart w:id="11" w:name="b_2_B_ii_II"/>
      <w:bookmarkEnd w:id="11"/>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 xml:space="preserve">a mortgage for a property with an appraised value in excess of $50,000 but not in excess of $125,000, 97.65 percent of the appraised value of the </w:t>
      </w:r>
      <w:r>
        <w:rPr>
          <w:rStyle w:val="ptext-5"/>
          <w:rFonts w:ascii="Verdana" w:hAnsi="Verdana"/>
          <w:color w:val="000000"/>
          <w:sz w:val="20"/>
          <w:szCs w:val="20"/>
        </w:rPr>
        <w:t>property;</w:t>
      </w:r>
      <w:r>
        <w:rPr>
          <w:rStyle w:val="ptext-5"/>
          <w:rFonts w:ascii="Verdana" w:hAnsi="Verdana"/>
          <w:color w:val="000000"/>
          <w:sz w:val="20"/>
          <w:szCs w:val="20"/>
        </w:rPr>
        <w:t xml:space="preserve"> </w:t>
      </w:r>
    </w:p>
    <w:p w:rsidR="00FC09DF" w:rsidP="00FC09DF" w14:paraId="16AE5E04" w14:textId="77777777">
      <w:pPr>
        <w:rPr>
          <w:rFonts w:ascii="Verdana" w:hAnsi="Verdana"/>
          <w:color w:val="000000"/>
          <w:sz w:val="20"/>
          <w:szCs w:val="20"/>
        </w:rPr>
      </w:pPr>
      <w:bookmarkStart w:id="12" w:name="b_2_B_ii_III"/>
      <w:bookmarkEnd w:id="12"/>
      <w:r>
        <w:rPr>
          <w:rStyle w:val="enumbell"/>
          <w:rFonts w:ascii="Verdana" w:hAnsi="Verdana"/>
          <w:color w:val="000000"/>
          <w:sz w:val="20"/>
          <w:szCs w:val="20"/>
        </w:rPr>
        <w:t>(III)</w:t>
      </w:r>
      <w:r>
        <w:rPr>
          <w:rFonts w:ascii="Verdana" w:hAnsi="Verdana"/>
          <w:color w:val="000000"/>
          <w:sz w:val="20"/>
          <w:szCs w:val="20"/>
        </w:rPr>
        <w:t xml:space="preserve"> </w:t>
      </w:r>
      <w:r>
        <w:rPr>
          <w:rStyle w:val="ptext-5"/>
          <w:rFonts w:ascii="Verdana" w:hAnsi="Verdana"/>
          <w:color w:val="000000"/>
          <w:sz w:val="20"/>
          <w:szCs w:val="20"/>
        </w:rPr>
        <w:t xml:space="preserve">a mortgage for a property with an appraised value </w:t>
      </w:r>
      <w:r>
        <w:rPr>
          <w:rStyle w:val="ptext-5"/>
          <w:rFonts w:ascii="Verdana" w:hAnsi="Verdana"/>
          <w:color w:val="000000"/>
          <w:sz w:val="20"/>
          <w:szCs w:val="20"/>
        </w:rPr>
        <w:t>in excess of</w:t>
      </w:r>
      <w:r>
        <w:rPr>
          <w:rStyle w:val="ptext-5"/>
          <w:rFonts w:ascii="Verdana" w:hAnsi="Verdana"/>
          <w:color w:val="000000"/>
          <w:sz w:val="20"/>
          <w:szCs w:val="20"/>
        </w:rPr>
        <w:t xml:space="preserve"> $125,000, 97.15 percent of the appraised value of the property; or </w:t>
      </w:r>
    </w:p>
    <w:p w:rsidR="00FC09DF" w:rsidP="00FC09DF" w14:paraId="3A596D89" w14:textId="77777777">
      <w:pPr>
        <w:rPr>
          <w:rFonts w:ascii="Verdana" w:hAnsi="Verdana"/>
          <w:color w:val="000000"/>
          <w:sz w:val="20"/>
          <w:szCs w:val="20"/>
        </w:rPr>
      </w:pPr>
      <w:bookmarkStart w:id="13" w:name="b_2_B_ii_IV"/>
      <w:bookmarkEnd w:id="13"/>
      <w:r>
        <w:rPr>
          <w:rStyle w:val="enumbell"/>
          <w:rFonts w:ascii="Verdana" w:hAnsi="Verdana"/>
          <w:color w:val="000000"/>
          <w:sz w:val="20"/>
          <w:szCs w:val="20"/>
        </w:rPr>
        <w:t>(IV)</w:t>
      </w:r>
      <w:r>
        <w:rPr>
          <w:rFonts w:ascii="Verdana" w:hAnsi="Verdana"/>
          <w:color w:val="000000"/>
          <w:sz w:val="20"/>
          <w:szCs w:val="20"/>
        </w:rPr>
        <w:t xml:space="preserve"> </w:t>
      </w:r>
      <w:r>
        <w:rPr>
          <w:rStyle w:val="ptext-5"/>
          <w:rFonts w:ascii="Verdana" w:hAnsi="Verdana"/>
          <w:color w:val="000000"/>
          <w:sz w:val="20"/>
          <w:szCs w:val="20"/>
        </w:rPr>
        <w:t xml:space="preserve">notwithstanding subclauses (II) and (III), a mortgage for a property with an appraised value </w:t>
      </w:r>
      <w:r>
        <w:rPr>
          <w:rStyle w:val="ptext-5"/>
          <w:rFonts w:ascii="Verdana" w:hAnsi="Verdana"/>
          <w:color w:val="000000"/>
          <w:sz w:val="20"/>
          <w:szCs w:val="20"/>
        </w:rPr>
        <w:t>in excess of</w:t>
      </w:r>
      <w:r>
        <w:rPr>
          <w:rStyle w:val="ptext-5"/>
          <w:rFonts w:ascii="Verdana" w:hAnsi="Verdana"/>
          <w:color w:val="000000"/>
          <w:sz w:val="20"/>
          <w:szCs w:val="20"/>
        </w:rPr>
        <w:t xml:space="preserve"> $50,000 that is located in an area of the State for which the average closing cost exceeds 2.10 percent of the average, for the State, of the sale price of properties located in the State for which mortgages have been executed, 97.75 percent of the appraised value of the property. </w:t>
      </w:r>
    </w:p>
    <w:p w:rsidR="00FC09DF" w:rsidP="00FC09DF" w14:paraId="13CBEF72" w14:textId="77777777">
      <w:pPr>
        <w:rPr>
          <w:rFonts w:ascii="Verdana" w:hAnsi="Verdana"/>
          <w:color w:val="000000"/>
          <w:sz w:val="20"/>
          <w:szCs w:val="20"/>
        </w:rPr>
      </w:pPr>
      <w:r>
        <w:rPr>
          <w:rFonts w:ascii="Verdana" w:hAnsi="Verdana"/>
          <w:color w:val="000000"/>
          <w:sz w:val="20"/>
          <w:szCs w:val="20"/>
        </w:rPr>
        <w:t xml:space="preserve">For purposes of the preceding sentence, the term “area” means a metropolitan statistical area as established by the Office of Management and Budget; and the median 1-family house price for an area shall be equal to the median 1-family house price of the county within the area that has the highest such median price. For purposes of this paragraph, the term “average closing cost” means, with respect to a State, the average, for mortgages executed for properties that are located within the State, of the total amounts (as determined by the Secretary) of initial service charges, appraisal, inspection, and other fees (as the Secretary shall approve) that are paid in connection with such mortgages. Notwithstanding any other provision of this section, in any case where the dwelling is not approved for mortgage insurance prior to the beginning of construction, such mortgage shall not exceed 90 per centum of the entire appraised value of the property as of the date the mortgage is accepted for insurance, unless (i) the dwelling was completed more than one year prior to the application for mortgage insurance, or (ii) the dwelling was approved for guaranty, insurance, or a direct loan under chapter </w:t>
      </w:r>
      <w:hyperlink r:id="rId8" w:history="1">
        <w:r>
          <w:rPr>
            <w:rStyle w:val="Hyperlink"/>
            <w:rFonts w:ascii="Verdana" w:hAnsi="Verdana"/>
            <w:sz w:val="20"/>
            <w:szCs w:val="20"/>
          </w:rPr>
          <w:t>37</w:t>
        </w:r>
      </w:hyperlink>
      <w:r>
        <w:rPr>
          <w:rFonts w:ascii="Verdana" w:hAnsi="Verdana"/>
          <w:color w:val="000000"/>
          <w:sz w:val="20"/>
          <w:szCs w:val="20"/>
        </w:rPr>
        <w:t xml:space="preserve"> of title </w:t>
      </w:r>
      <w:hyperlink r:id="rId9" w:history="1">
        <w:r>
          <w:rPr>
            <w:rStyle w:val="Hyperlink"/>
            <w:rFonts w:ascii="Verdana" w:hAnsi="Verdana"/>
            <w:sz w:val="20"/>
            <w:szCs w:val="20"/>
          </w:rPr>
          <w:t>38</w:t>
        </w:r>
      </w:hyperlink>
      <w:r>
        <w:rPr>
          <w:rFonts w:ascii="Verdana" w:hAnsi="Verdana"/>
          <w:color w:val="000000"/>
          <w:sz w:val="20"/>
          <w:szCs w:val="20"/>
        </w:rPr>
        <w:t xml:space="preserve"> prior to the beginning of construction, or (iii) the dwelling is covered by a consumer protection or warranty plan acceptable to the Secretary and satisfies all requirements which would have been applicable if such dwelling had been approved for mortgage insurance prior to the beginning of construction. As used herein, the term “veteran” means any person who served on active duty in the armed forces of the United States for a period of not less than ninety days (or is certified by the Secretary of Defense as having performed extra-hazardous service), and who was discharged or released therefrom under conditions other than </w:t>
      </w:r>
      <w:r>
        <w:rPr>
          <w:rFonts w:ascii="Verdana" w:hAnsi="Verdana"/>
          <w:color w:val="000000"/>
          <w:sz w:val="20"/>
          <w:szCs w:val="20"/>
        </w:rPr>
        <w:t xml:space="preserve">dishonorable, except that persons enlisting in the armed forces after September 7, 1980, or entering active duty after October 16, 1981, shall have their eligibility determined in accordance with section </w:t>
      </w:r>
      <w:hyperlink r:id="rId10" w:history="1">
        <w:r>
          <w:rPr>
            <w:rStyle w:val="Hyperlink"/>
            <w:rFonts w:ascii="Verdana" w:hAnsi="Verdana"/>
            <w:sz w:val="20"/>
            <w:szCs w:val="20"/>
          </w:rPr>
          <w:t>5303A</w:t>
        </w:r>
      </w:hyperlink>
      <w:r>
        <w:rPr>
          <w:rFonts w:ascii="Verdana" w:hAnsi="Verdana"/>
          <w:color w:val="000000"/>
          <w:sz w:val="20"/>
          <w:szCs w:val="20"/>
        </w:rPr>
        <w:t xml:space="preserve"> </w:t>
      </w:r>
      <w:hyperlink r:id="rId10" w:anchor="d" w:history="1">
        <w:r>
          <w:rPr>
            <w:rStyle w:val="Hyperlink"/>
            <w:rFonts w:ascii="Verdana" w:hAnsi="Verdana"/>
            <w:sz w:val="20"/>
            <w:szCs w:val="20"/>
          </w:rPr>
          <w:t>(d)</w:t>
        </w:r>
      </w:hyperlink>
      <w:r>
        <w:rPr>
          <w:rFonts w:ascii="Verdana" w:hAnsi="Verdana"/>
          <w:color w:val="000000"/>
          <w:sz w:val="20"/>
          <w:szCs w:val="20"/>
        </w:rPr>
        <w:t xml:space="preserve"> of title </w:t>
      </w:r>
      <w:hyperlink r:id="rId9" w:history="1">
        <w:r>
          <w:rPr>
            <w:rStyle w:val="Hyperlink"/>
            <w:rFonts w:ascii="Verdana" w:hAnsi="Verdana"/>
            <w:sz w:val="20"/>
            <w:szCs w:val="20"/>
          </w:rPr>
          <w:t>38</w:t>
        </w:r>
      </w:hyperlink>
      <w:r>
        <w:rPr>
          <w:rFonts w:ascii="Verdana" w:hAnsi="Verdana"/>
          <w:color w:val="000000"/>
          <w:sz w:val="20"/>
          <w:szCs w:val="20"/>
        </w:rPr>
        <w:t xml:space="preserve">. Notwithstanding any other provision of this paragraph, the amount which may be insured under this section may be increased by up to 20 percent if such increase is necessary to account for the increased cost of the residence due to the installation of a solar energy system (as defined in subparagraph (3) of the last paragraph of section </w:t>
      </w:r>
      <w:hyperlink r:id="rId11" w:history="1">
        <w:r>
          <w:rPr>
            <w:rStyle w:val="Hyperlink"/>
            <w:rFonts w:ascii="Verdana" w:hAnsi="Verdana"/>
            <w:sz w:val="20"/>
            <w:szCs w:val="20"/>
          </w:rPr>
          <w:t>1703</w:t>
        </w:r>
      </w:hyperlink>
      <w:r>
        <w:rPr>
          <w:rFonts w:ascii="Verdana" w:hAnsi="Verdana"/>
          <w:color w:val="000000"/>
          <w:sz w:val="20"/>
          <w:szCs w:val="20"/>
        </w:rPr>
        <w:t xml:space="preserve"> </w:t>
      </w:r>
      <w:hyperlink r:id="rId11" w:anchor="a" w:history="1">
        <w:r>
          <w:rPr>
            <w:rStyle w:val="Hyperlink"/>
            <w:rFonts w:ascii="Verdana" w:hAnsi="Verdana"/>
            <w:sz w:val="20"/>
            <w:szCs w:val="20"/>
          </w:rPr>
          <w:t>(a)</w:t>
        </w:r>
      </w:hyperlink>
      <w:r>
        <w:rPr>
          <w:rFonts w:ascii="Verdana" w:hAnsi="Verdana"/>
          <w:color w:val="000000"/>
          <w:sz w:val="20"/>
          <w:szCs w:val="20"/>
        </w:rPr>
        <w:t xml:space="preserve"> of this title) therein. </w:t>
      </w:r>
    </w:p>
    <w:p w:rsidR="00FC09DF" w:rsidP="00FC09DF" w14:paraId="11ADB79E" w14:textId="77777777">
      <w:pPr>
        <w:rPr>
          <w:rFonts w:ascii="Verdana" w:hAnsi="Verdana"/>
          <w:color w:val="000000"/>
          <w:sz w:val="20"/>
          <w:szCs w:val="20"/>
        </w:rPr>
      </w:pPr>
      <w:r>
        <w:rPr>
          <w:rFonts w:ascii="Verdana" w:hAnsi="Verdana"/>
          <w:color w:val="000000"/>
          <w:sz w:val="20"/>
          <w:szCs w:val="20"/>
        </w:rPr>
        <w:t xml:space="preserve">Notwithstanding any other provision of this paragraph, the Secretary may not insure, or enter into a commitment to insure, a mortgage under this section that is executed by a first-time homebuyer and that involves a principal obligation (including such initial service charges, appraisal, inspection, and other fees as the Secretary shall approve) in excess of 97 percent of the appraised value of the property unless the mortgagor has completed a program of counseling with respect to the responsibilities and financial management involved in homeownership that is approved by the Secretary; except that the Secretary may, in the discretion of the Secretary, waive the applicability of this requirement. </w:t>
      </w:r>
    </w:p>
    <w:p w:rsidR="00FC09DF" w:rsidP="00FC09DF" w14:paraId="5069DBA6" w14:textId="77777777">
      <w:pPr>
        <w:rPr>
          <w:rFonts w:ascii="Verdana" w:hAnsi="Verdana"/>
          <w:color w:val="000000"/>
          <w:sz w:val="20"/>
          <w:szCs w:val="20"/>
        </w:rPr>
      </w:pPr>
      <w:bookmarkStart w:id="14" w:name="b_3"/>
      <w:bookmarkEnd w:id="14"/>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Have a maturity satisfactory to the Secretary, but not to exceed, in any event, thirty-five years (or thirty years if such mortgage is not approved for insurance prior to construction) from the date of the beginning of amortization of the mortgage. </w:t>
      </w:r>
    </w:p>
    <w:p w:rsidR="00FC09DF" w:rsidP="00FC09DF" w14:paraId="081C5270" w14:textId="77777777">
      <w:pPr>
        <w:rPr>
          <w:rFonts w:ascii="Verdana" w:hAnsi="Verdana"/>
          <w:color w:val="000000"/>
          <w:sz w:val="20"/>
          <w:szCs w:val="20"/>
        </w:rPr>
      </w:pPr>
      <w:bookmarkStart w:id="15" w:name="b_4"/>
      <w:bookmarkEnd w:id="15"/>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Contain complete amortization provisions satisfactory to the Secretary requiring periodic payments by the mortgagor not </w:t>
      </w:r>
      <w:r>
        <w:rPr>
          <w:rStyle w:val="ptext-2"/>
          <w:rFonts w:ascii="Verdana" w:hAnsi="Verdana"/>
          <w:color w:val="000000"/>
          <w:sz w:val="20"/>
          <w:szCs w:val="20"/>
        </w:rPr>
        <w:t>in excess of</w:t>
      </w:r>
      <w:r>
        <w:rPr>
          <w:rStyle w:val="ptext-2"/>
          <w:rFonts w:ascii="Verdana" w:hAnsi="Verdana"/>
          <w:color w:val="000000"/>
          <w:sz w:val="20"/>
          <w:szCs w:val="20"/>
        </w:rPr>
        <w:t xml:space="preserve"> his reasonable ability to pay as determined by the Secretary. </w:t>
      </w:r>
    </w:p>
    <w:p w:rsidR="00FC09DF" w:rsidP="00FC09DF" w14:paraId="41935214" w14:textId="77777777">
      <w:pPr>
        <w:rPr>
          <w:rFonts w:ascii="Verdana" w:hAnsi="Verdana"/>
          <w:color w:val="000000"/>
          <w:sz w:val="20"/>
          <w:szCs w:val="20"/>
        </w:rPr>
      </w:pPr>
      <w:bookmarkStart w:id="16" w:name="b_5"/>
      <w:bookmarkEnd w:id="16"/>
      <w:r>
        <w:rPr>
          <w:rStyle w:val="enumbell"/>
          <w:rFonts w:ascii="Verdana" w:hAnsi="Verdana"/>
          <w:color w:val="000000"/>
          <w:sz w:val="20"/>
          <w:szCs w:val="20"/>
        </w:rPr>
        <w:t>(5)</w:t>
      </w:r>
      <w:r>
        <w:rPr>
          <w:rFonts w:ascii="Verdana" w:hAnsi="Verdana"/>
          <w:color w:val="000000"/>
          <w:sz w:val="20"/>
          <w:szCs w:val="20"/>
        </w:rPr>
        <w:t xml:space="preserve"> </w:t>
      </w:r>
      <w:r>
        <w:rPr>
          <w:rStyle w:val="ptext-2"/>
          <w:rFonts w:ascii="Verdana" w:hAnsi="Verdana"/>
          <w:color w:val="000000"/>
          <w:sz w:val="20"/>
          <w:szCs w:val="20"/>
        </w:rPr>
        <w:t xml:space="preserve">Bear interest at such rate as may be agreed upon by the mortgagor and the mortgagee. </w:t>
      </w:r>
    </w:p>
    <w:p w:rsidR="00FC09DF" w:rsidP="00FC09DF" w14:paraId="4BC0965E" w14:textId="77777777">
      <w:pPr>
        <w:rPr>
          <w:rFonts w:ascii="Verdana" w:hAnsi="Verdana"/>
          <w:color w:val="000000"/>
          <w:sz w:val="20"/>
          <w:szCs w:val="20"/>
        </w:rPr>
      </w:pPr>
      <w:bookmarkStart w:id="17" w:name="b_6"/>
      <w:bookmarkEnd w:id="17"/>
      <w:r>
        <w:rPr>
          <w:rStyle w:val="enumbell"/>
          <w:rFonts w:ascii="Verdana" w:hAnsi="Verdana"/>
          <w:color w:val="000000"/>
          <w:sz w:val="20"/>
          <w:szCs w:val="20"/>
        </w:rPr>
        <w:t>(6)</w:t>
      </w:r>
      <w:r>
        <w:rPr>
          <w:rFonts w:ascii="Verdana" w:hAnsi="Verdana"/>
          <w:color w:val="000000"/>
          <w:sz w:val="20"/>
          <w:szCs w:val="20"/>
        </w:rPr>
        <w:t xml:space="preserve"> </w:t>
      </w:r>
      <w:r>
        <w:rPr>
          <w:rStyle w:val="ptext-2"/>
          <w:rFonts w:ascii="Verdana" w:hAnsi="Verdana"/>
          <w:color w:val="000000"/>
          <w:sz w:val="20"/>
          <w:szCs w:val="20"/>
        </w:rPr>
        <w:t xml:space="preserve">Provide, in a manner satisfactory to the Secretary, for the application of the mortgagor’s periodic payments (exclusive of the amount allocated to interest and to the premium charge which is required for mortgage insurance as hereinafter provided) to amortization of the principal of the mortgage. </w:t>
      </w:r>
    </w:p>
    <w:p w:rsidR="00FC09DF" w:rsidP="00FC09DF" w14:paraId="36556A77" w14:textId="77777777">
      <w:pPr>
        <w:rPr>
          <w:rFonts w:ascii="Verdana" w:hAnsi="Verdana"/>
          <w:color w:val="000000"/>
          <w:sz w:val="20"/>
          <w:szCs w:val="20"/>
        </w:rPr>
      </w:pPr>
      <w:bookmarkStart w:id="18" w:name="b_7"/>
      <w:bookmarkEnd w:id="18"/>
      <w:r>
        <w:rPr>
          <w:rStyle w:val="enumbell"/>
          <w:rFonts w:ascii="Verdana" w:hAnsi="Verdana"/>
          <w:color w:val="000000"/>
          <w:sz w:val="20"/>
          <w:szCs w:val="20"/>
        </w:rPr>
        <w:t>(7)</w:t>
      </w:r>
      <w:r>
        <w:rPr>
          <w:rFonts w:ascii="Verdana" w:hAnsi="Verdana"/>
          <w:color w:val="000000"/>
          <w:sz w:val="20"/>
          <w:szCs w:val="20"/>
        </w:rPr>
        <w:t xml:space="preserve"> </w:t>
      </w:r>
      <w:r>
        <w:rPr>
          <w:rStyle w:val="ptext-2"/>
          <w:rFonts w:ascii="Verdana" w:hAnsi="Verdana"/>
          <w:color w:val="000000"/>
          <w:sz w:val="20"/>
          <w:szCs w:val="20"/>
        </w:rPr>
        <w:t xml:space="preserve">Contain such terms and provisions with respect to insurance, repairs, alterations, payment of taxes, default, reserves, delinquency charges, foreclosure proceedings, anticipation of maturity, additional and secondary liens, and other matters as the Secretary may in his discretion prescribe. </w:t>
      </w:r>
    </w:p>
    <w:p w:rsidR="00FC09DF" w:rsidP="00FC09DF" w14:paraId="05E23AAA" w14:textId="77777777">
      <w:pPr>
        <w:rPr>
          <w:rFonts w:ascii="Verdana" w:hAnsi="Verdana"/>
          <w:color w:val="000000"/>
          <w:sz w:val="20"/>
          <w:szCs w:val="20"/>
        </w:rPr>
      </w:pPr>
      <w:bookmarkStart w:id="19" w:name="b_8"/>
      <w:bookmarkEnd w:id="19"/>
      <w:r>
        <w:rPr>
          <w:rStyle w:val="enumbell"/>
          <w:rFonts w:ascii="Verdana" w:hAnsi="Verdana"/>
          <w:color w:val="000000"/>
          <w:sz w:val="20"/>
          <w:szCs w:val="20"/>
        </w:rPr>
        <w:t>(8)</w:t>
      </w:r>
      <w:r>
        <w:rPr>
          <w:rFonts w:ascii="Verdana" w:hAnsi="Verdana"/>
          <w:color w:val="000000"/>
          <w:sz w:val="20"/>
          <w:szCs w:val="20"/>
        </w:rPr>
        <w:t xml:space="preserve"> </w:t>
      </w:r>
      <w:r>
        <w:rPr>
          <w:rStyle w:val="ptext-2"/>
          <w:rFonts w:ascii="Verdana" w:hAnsi="Verdana"/>
          <w:color w:val="000000"/>
          <w:sz w:val="20"/>
          <w:szCs w:val="20"/>
        </w:rPr>
        <w:t xml:space="preserve">Repealed. </w:t>
      </w:r>
      <w:hyperlink r:id="rId12" w:history="1">
        <w:r>
          <w:rPr>
            <w:rStyle w:val="Hyperlink"/>
            <w:rFonts w:ascii="Verdana" w:hAnsi="Verdana"/>
            <w:sz w:val="20"/>
            <w:szCs w:val="20"/>
          </w:rPr>
          <w:t>Pub. L. 100–242</w:t>
        </w:r>
      </w:hyperlink>
      <w:r>
        <w:rPr>
          <w:rStyle w:val="ptext-2"/>
          <w:rFonts w:ascii="Verdana" w:hAnsi="Verdana"/>
          <w:color w:val="000000"/>
          <w:sz w:val="20"/>
          <w:szCs w:val="20"/>
        </w:rPr>
        <w:t xml:space="preserve">, title IV, § 406(b)(2), Feb. 5, 1988, </w:t>
      </w:r>
      <w:hyperlink r:id="rId13" w:history="1">
        <w:r>
          <w:rPr>
            <w:rStyle w:val="Hyperlink"/>
            <w:rFonts w:ascii="Verdana" w:hAnsi="Verdana"/>
            <w:sz w:val="20"/>
            <w:szCs w:val="20"/>
          </w:rPr>
          <w:t>101 Stat. 1900</w:t>
        </w:r>
      </w:hyperlink>
      <w:r>
        <w:rPr>
          <w:rStyle w:val="ptext-2"/>
          <w:rFonts w:ascii="Verdana" w:hAnsi="Verdana"/>
          <w:color w:val="000000"/>
          <w:sz w:val="20"/>
          <w:szCs w:val="20"/>
        </w:rPr>
        <w:t xml:space="preserve">. </w:t>
      </w:r>
    </w:p>
    <w:p w:rsidR="00FC09DF" w:rsidP="00FC09DF" w14:paraId="52F140A8" w14:textId="77777777">
      <w:pPr>
        <w:rPr>
          <w:rFonts w:ascii="Verdana" w:hAnsi="Verdana"/>
          <w:color w:val="000000"/>
          <w:sz w:val="20"/>
          <w:szCs w:val="20"/>
        </w:rPr>
      </w:pPr>
      <w:bookmarkStart w:id="20" w:name="b_9"/>
      <w:bookmarkEnd w:id="20"/>
      <w:r>
        <w:rPr>
          <w:rStyle w:val="enumbell"/>
          <w:rFonts w:ascii="Verdana" w:hAnsi="Verdana"/>
          <w:color w:val="000000"/>
          <w:sz w:val="20"/>
          <w:szCs w:val="20"/>
        </w:rPr>
        <w:t>(9)</w:t>
      </w:r>
      <w:r>
        <w:rPr>
          <w:rFonts w:ascii="Verdana" w:hAnsi="Verdana"/>
          <w:color w:val="000000"/>
          <w:sz w:val="20"/>
          <w:szCs w:val="20"/>
        </w:rPr>
        <w:t xml:space="preserve"> </w:t>
      </w:r>
      <w:r>
        <w:rPr>
          <w:rStyle w:val="ptext-2"/>
          <w:rFonts w:ascii="Verdana" w:hAnsi="Verdana"/>
          <w:color w:val="000000"/>
          <w:sz w:val="20"/>
          <w:szCs w:val="20"/>
        </w:rPr>
        <w:t xml:space="preserve">Be executed by a mortgagor who shall have paid on account of the property (except with respect to a mortgage executed by a mortgagor who is a veteran) at least 3 per centum, or such larger amount as the Secretary may determine, of the Secretary’s estimate of the cost of acquisition (excluding the mortgage insurance premium paid at the time the mortgage is insured) in cash or its equivalent: Provided, That with respect to a mortgage executed by a mortgagor who is sixty years of age or older as of the date the mortgage is endorsed for insurance or with respect to a mortgage meeting the requirements of subsection (i) of this section, or with respect to a mortgage covering a single-family home being purchased under the low-income housing demonstration project assisted pursuant to section </w:t>
      </w:r>
      <w:hyperlink r:id="rId14" w:history="1">
        <w:r>
          <w:rPr>
            <w:rStyle w:val="Hyperlink"/>
            <w:rFonts w:ascii="Verdana" w:hAnsi="Verdana"/>
            <w:sz w:val="20"/>
            <w:szCs w:val="20"/>
          </w:rPr>
          <w:t>1436</w:t>
        </w:r>
      </w:hyperlink>
      <w:r>
        <w:rPr>
          <w:rStyle w:val="ptext-2"/>
          <w:rFonts w:ascii="Verdana" w:hAnsi="Verdana"/>
          <w:color w:val="000000"/>
          <w:sz w:val="20"/>
          <w:szCs w:val="20"/>
        </w:rPr>
        <w:t> </w:t>
      </w:r>
      <w:bookmarkStart w:id="21" w:name="FN-1REF"/>
      <w:hyperlink r:id="rId15" w:anchor="FN-1#FN-1" w:history="1">
        <w:r>
          <w:rPr>
            <w:rStyle w:val="Hyperlink"/>
            <w:rFonts w:ascii="Verdana" w:hAnsi="Verdana"/>
            <w:sz w:val="20"/>
            <w:szCs w:val="20"/>
            <w:vertAlign w:val="superscript"/>
          </w:rPr>
          <w:t>[1]</w:t>
        </w:r>
      </w:hyperlink>
      <w:bookmarkEnd w:id="21"/>
      <w:r>
        <w:rPr>
          <w:rStyle w:val="ptext-2"/>
          <w:rFonts w:ascii="Verdana" w:hAnsi="Verdana"/>
          <w:color w:val="000000"/>
          <w:sz w:val="20"/>
          <w:szCs w:val="20"/>
        </w:rPr>
        <w:t xml:space="preserve"> of title </w:t>
      </w:r>
      <w:hyperlink r:id="rId16" w:history="1">
        <w:r>
          <w:rPr>
            <w:rStyle w:val="Hyperlink"/>
            <w:rFonts w:ascii="Verdana" w:hAnsi="Verdana"/>
            <w:sz w:val="20"/>
            <w:szCs w:val="20"/>
          </w:rPr>
          <w:t>42</w:t>
        </w:r>
      </w:hyperlink>
      <w:r>
        <w:rPr>
          <w:rStyle w:val="ptext-2"/>
          <w:rFonts w:ascii="Verdana" w:hAnsi="Verdana"/>
          <w:color w:val="000000"/>
          <w:sz w:val="20"/>
          <w:szCs w:val="20"/>
        </w:rPr>
        <w:t xml:space="preserve">, or with respect to a mortgage covering a housing unit in connection with a homeownership program under the Homeownership and Opportunity Through HOPE Act, the mortgagor’s payment required by this subsection may be paid by a corporation or person other than the mortgagor under such terms and conditions as the Secretary may prescribe: Provided further, That for purposes of this paragraph, the Secretary shall consider as cash or its equivalent any amounts borrowed from a family member (as such term is defined in section </w:t>
      </w:r>
      <w:hyperlink r:id="rId17" w:history="1">
        <w:r>
          <w:rPr>
            <w:rStyle w:val="Hyperlink"/>
            <w:rFonts w:ascii="Verdana" w:hAnsi="Verdana"/>
            <w:sz w:val="20"/>
            <w:szCs w:val="20"/>
          </w:rPr>
          <w:t>1707</w:t>
        </w:r>
      </w:hyperlink>
      <w:r>
        <w:rPr>
          <w:rStyle w:val="ptext-2"/>
          <w:rFonts w:ascii="Verdana" w:hAnsi="Verdana"/>
          <w:color w:val="000000"/>
          <w:sz w:val="20"/>
          <w:szCs w:val="20"/>
        </w:rPr>
        <w:t xml:space="preserve"> of this title), subject only to the requirements that, in any case in which the repayment of such borrowed amounts is secured by a lien against the property, such lien shall be subordinate to the mortgage and the sum of the principal obligation of the mortgage and the obligation secured by such lien may not exceed 100 percent of the appraised value of the property plus any initial service charges, appraisal, inspection, and other fees in connection with the mortgage. </w:t>
      </w:r>
    </w:p>
    <w:p w:rsidR="00FC09DF" w:rsidP="00FC09DF" w14:paraId="0C4A5004" w14:textId="77777777">
      <w:pPr>
        <w:rPr>
          <w:rFonts w:ascii="Verdana" w:hAnsi="Verdana"/>
          <w:color w:val="000000"/>
          <w:sz w:val="20"/>
          <w:szCs w:val="20"/>
        </w:rPr>
      </w:pPr>
      <w:bookmarkStart w:id="22" w:name="c"/>
      <w:bookmarkEnd w:id="22"/>
      <w:r>
        <w:rPr>
          <w:rStyle w:val="enumbell"/>
          <w:rFonts w:ascii="Verdana" w:hAnsi="Verdana"/>
          <w:color w:val="000000"/>
          <w:sz w:val="20"/>
          <w:szCs w:val="20"/>
        </w:rPr>
        <w:t>(c)</w:t>
      </w:r>
      <w:r>
        <w:rPr>
          <w:rFonts w:ascii="Verdana" w:hAnsi="Verdana"/>
          <w:color w:val="000000"/>
          <w:sz w:val="20"/>
          <w:szCs w:val="20"/>
        </w:rPr>
        <w:t xml:space="preserve"> </w:t>
      </w:r>
      <w:r>
        <w:rPr>
          <w:rFonts w:ascii="Verdana" w:hAnsi="Verdana"/>
          <w:b/>
          <w:bCs/>
          <w:color w:val="000000"/>
          <w:sz w:val="20"/>
          <w:szCs w:val="20"/>
        </w:rPr>
        <w:t xml:space="preserve">Premium charges </w:t>
      </w:r>
    </w:p>
    <w:p w:rsidR="00FC09DF" w:rsidP="00FC09DF" w14:paraId="19EC5AE9" w14:textId="77777777">
      <w:pPr>
        <w:rPr>
          <w:rFonts w:ascii="Verdana" w:hAnsi="Verdana"/>
          <w:color w:val="000000"/>
          <w:sz w:val="20"/>
          <w:szCs w:val="20"/>
        </w:rPr>
      </w:pPr>
      <w:bookmarkStart w:id="23" w:name="c_1"/>
      <w:bookmarkEnd w:id="23"/>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The Secretary is authorized to fix premium charges for the insurance of mortgages under the separate sections of this subchapter but in the case of any mortgage such charge shall be not less than an amount equivalent to one-fourth of 1 per centum per annum nor more than an amount equivalent to 1 per centum per annum of the amount of the principal obligation of the mortgage outstanding at any time, without taking into account delinquent payments or prepayments: Provided, That premium charges fixed for insurance (1) under section </w:t>
      </w:r>
      <w:hyperlink r:id="rId18" w:history="1">
        <w:r>
          <w:rPr>
            <w:rStyle w:val="Hyperlink"/>
            <w:rFonts w:ascii="Verdana" w:hAnsi="Verdana"/>
            <w:sz w:val="20"/>
            <w:szCs w:val="20"/>
          </w:rPr>
          <w:t>1715z–10</w:t>
        </w:r>
      </w:hyperlink>
      <w:r>
        <w:rPr>
          <w:rStyle w:val="ptext-2"/>
          <w:rFonts w:ascii="Verdana" w:hAnsi="Verdana"/>
          <w:color w:val="000000"/>
          <w:sz w:val="20"/>
          <w:szCs w:val="20"/>
        </w:rPr>
        <w:t xml:space="preserve">, </w:t>
      </w:r>
      <w:hyperlink r:id="rId19" w:history="1">
        <w:r>
          <w:rPr>
            <w:rStyle w:val="Hyperlink"/>
            <w:rFonts w:ascii="Verdana" w:hAnsi="Verdana"/>
            <w:sz w:val="20"/>
            <w:szCs w:val="20"/>
          </w:rPr>
          <w:t>1715z–12</w:t>
        </w:r>
      </w:hyperlink>
      <w:r>
        <w:rPr>
          <w:rStyle w:val="ptext-2"/>
          <w:rFonts w:ascii="Verdana" w:hAnsi="Verdana"/>
          <w:color w:val="000000"/>
          <w:sz w:val="20"/>
          <w:szCs w:val="20"/>
        </w:rPr>
        <w:t xml:space="preserve">, </w:t>
      </w:r>
      <w:hyperlink r:id="rId20" w:history="1">
        <w:r>
          <w:rPr>
            <w:rStyle w:val="Hyperlink"/>
            <w:rFonts w:ascii="Verdana" w:hAnsi="Verdana"/>
            <w:sz w:val="20"/>
            <w:szCs w:val="20"/>
          </w:rPr>
          <w:t>1715z–16</w:t>
        </w:r>
      </w:hyperlink>
      <w:r>
        <w:rPr>
          <w:rStyle w:val="ptext-2"/>
          <w:rFonts w:ascii="Verdana" w:hAnsi="Verdana"/>
          <w:color w:val="000000"/>
          <w:sz w:val="20"/>
          <w:szCs w:val="20"/>
        </w:rPr>
        <w:t xml:space="preserve">, </w:t>
      </w:r>
      <w:hyperlink r:id="rId21" w:history="1">
        <w:r>
          <w:rPr>
            <w:rStyle w:val="Hyperlink"/>
            <w:rFonts w:ascii="Verdana" w:hAnsi="Verdana"/>
            <w:sz w:val="20"/>
            <w:szCs w:val="20"/>
          </w:rPr>
          <w:t>1715z–17</w:t>
        </w:r>
      </w:hyperlink>
      <w:r>
        <w:rPr>
          <w:rStyle w:val="ptext-2"/>
          <w:rFonts w:ascii="Verdana" w:hAnsi="Verdana"/>
          <w:color w:val="000000"/>
          <w:sz w:val="20"/>
          <w:szCs w:val="20"/>
        </w:rPr>
        <w:t xml:space="preserve">, or </w:t>
      </w:r>
      <w:hyperlink r:id="rId22" w:history="1">
        <w:r>
          <w:rPr>
            <w:rStyle w:val="Hyperlink"/>
            <w:rFonts w:ascii="Verdana" w:hAnsi="Verdana"/>
            <w:sz w:val="20"/>
            <w:szCs w:val="20"/>
          </w:rPr>
          <w:t>1715z–18</w:t>
        </w:r>
      </w:hyperlink>
      <w:r>
        <w:rPr>
          <w:rStyle w:val="ptext-2"/>
          <w:rFonts w:ascii="Verdana" w:hAnsi="Verdana"/>
          <w:color w:val="000000"/>
          <w:sz w:val="20"/>
          <w:szCs w:val="20"/>
        </w:rPr>
        <w:t xml:space="preserve"> of this title, or any other financing mechanism providing alternative methods for repayment of a mortgage that is determined by the Secretary to involve additional risk, or (2) under subsections </w:t>
      </w:r>
      <w:bookmarkStart w:id="24" w:name="FN-2REF"/>
      <w:hyperlink r:id="rId15" w:anchor="FN-2#FN-2" w:history="1">
        <w:r>
          <w:rPr>
            <w:rStyle w:val="Hyperlink"/>
            <w:rFonts w:ascii="Verdana" w:hAnsi="Verdana"/>
            <w:sz w:val="20"/>
            <w:szCs w:val="20"/>
            <w:vertAlign w:val="superscript"/>
          </w:rPr>
          <w:t>[2]</w:t>
        </w:r>
      </w:hyperlink>
      <w:bookmarkEnd w:id="24"/>
      <w:r>
        <w:rPr>
          <w:rStyle w:val="ptext-2"/>
          <w:rFonts w:ascii="Verdana" w:hAnsi="Verdana"/>
          <w:color w:val="000000"/>
          <w:sz w:val="20"/>
          <w:szCs w:val="20"/>
        </w:rPr>
        <w:t xml:space="preserve"> (n) of this section are not required to be the same as the premium charges for mortgages insured under the other provisions of this section, but in no case shall premium charges under subsection (n) of this section exceed 1 per centum per annum: Provided, That any reduced premium charge so fixed and computed may, in the discretion of the Secretary, also be made applicable in such manner as the Secretary shall prescribe to each insured mortgage outstanding under the section or sections involved at the time the reduced premium charge is fixed. Such premium charges shall be payable by the mortgagee, either in cash, or in debentures issued </w:t>
      </w:r>
      <w:r>
        <w:rPr>
          <w:rStyle w:val="ptext-2"/>
          <w:rFonts w:ascii="Verdana" w:hAnsi="Verdana"/>
          <w:color w:val="000000"/>
          <w:sz w:val="20"/>
          <w:szCs w:val="20"/>
        </w:rPr>
        <w:t xml:space="preserve">by the Secretary under this subchapter at par plus accrued interest, in such manner as may be prescribed by the Secretary: Provided, That debentures presented in payment of premium charges shall represent obligations of the particular insurance fund or account to which such premium charges are to be credited: Provided further, That the Secretary may require the payment of one or more such premium charges at the time the mortgage is insured, at such discount rate as he may prescribe not in excess of the interest rate specified in the mortgage. If the Secretary finds upon the presentation of a mortgage for insurance and the tender of the initial premium charge or charges so required that the mortgage complies with the provisions of this section, such mortgage may be accepted for insurance by endorsement or otherwise as the Secretary may prescribe; but no mortgage shall be accepted for insurance under this section unless the Secretary finds that the project with respect to which the mortgage is executed is economically sound. In the event that the principal obligation of any mortgage accepted for insurance is paid in full prior to the maturity date, the Secretary is further authorized in his discretion to require the payment by the mortgagee of an adjusted premium charge in such amount as the Secretary determines to be equitable, but not in excess of the aggregate amount of the premium charges that the mortgagee would otherwise have been required to pay if the mortgage had continued to be insured under this section until such maturity date; and in the event that the principal obligation is paid in full as herein set forth the Secretary is authorized to refund to the mortgagee for the account of the mortgagor all, or such portion as he shall determine to be equitable, of the current unearned premium charges theretofore paid: Provided, That with respect to mortgages (1) for which the Secretary requires, at the time the mortgage is insured, the payment of a single premium charge to cover the total premium obligation for the insurance of the mortgage, and (2) on which the principal obligation is paid before the number of years on which the premium with respect to a particular mortgage was based, or the property is sold subject to the mortgage or is sold and the mortgage is assumed prior to such time, the Secretary shall provide for refunds, where appropriate, of a portion of the premium paid and shall provide for appropriate allocation of the premium cost among the mortgagors over the term of the mortgage, in accordance with procedures established by the Secretary which take into account sound financial and actuarial considerations. </w:t>
      </w:r>
    </w:p>
    <w:p w:rsidR="00FC09DF" w:rsidP="00FC09DF" w14:paraId="1B684BA1" w14:textId="77777777">
      <w:pPr>
        <w:rPr>
          <w:rFonts w:ascii="Verdana" w:hAnsi="Verdana"/>
          <w:color w:val="000000"/>
          <w:sz w:val="20"/>
          <w:szCs w:val="20"/>
        </w:rPr>
      </w:pPr>
      <w:bookmarkStart w:id="25" w:name="c_2"/>
      <w:bookmarkEnd w:id="25"/>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Notwithstanding any other provision of this section, each mortgage secured by a 1- to 4-family dwelling that is an obligation of the Mutual Mortgage Insurance Fund or of the General Insurance Fund pursuant to subsection (v) of this section and each mortgage that is insured under subsection (k) of this section or section </w:t>
      </w:r>
      <w:hyperlink r:id="rId23" w:history="1">
        <w:r>
          <w:rPr>
            <w:rStyle w:val="Hyperlink"/>
            <w:rFonts w:ascii="Verdana" w:hAnsi="Verdana"/>
            <w:sz w:val="20"/>
            <w:szCs w:val="20"/>
          </w:rPr>
          <w:t>1715y</w:t>
        </w:r>
      </w:hyperlink>
      <w:r>
        <w:rPr>
          <w:rStyle w:val="ptext-2"/>
          <w:rFonts w:ascii="Verdana" w:hAnsi="Verdana"/>
          <w:color w:val="000000"/>
          <w:sz w:val="20"/>
          <w:szCs w:val="20"/>
        </w:rPr>
        <w:t xml:space="preserve"> </w:t>
      </w:r>
      <w:hyperlink r:id="rId23" w:anchor="c" w:history="1">
        <w:r>
          <w:rPr>
            <w:rStyle w:val="Hyperlink"/>
            <w:rFonts w:ascii="Verdana" w:hAnsi="Verdana"/>
            <w:sz w:val="20"/>
            <w:szCs w:val="20"/>
          </w:rPr>
          <w:t>(c)</w:t>
        </w:r>
      </w:hyperlink>
      <w:r>
        <w:rPr>
          <w:rStyle w:val="ptext-2"/>
          <w:rFonts w:ascii="Verdana" w:hAnsi="Verdana"/>
          <w:color w:val="000000"/>
          <w:sz w:val="20"/>
          <w:szCs w:val="20"/>
        </w:rPr>
        <w:t xml:space="preserve"> of this title,,</w:t>
      </w:r>
      <w:bookmarkStart w:id="26" w:name="FN-3REF"/>
      <w:hyperlink r:id="rId15" w:anchor="FN-3#FN-3" w:history="1">
        <w:r>
          <w:rPr>
            <w:rStyle w:val="Hyperlink"/>
            <w:rFonts w:ascii="Verdana" w:hAnsi="Verdana"/>
            <w:sz w:val="20"/>
            <w:szCs w:val="20"/>
            <w:vertAlign w:val="superscript"/>
          </w:rPr>
          <w:t>[3]</w:t>
        </w:r>
      </w:hyperlink>
      <w:bookmarkEnd w:id="26"/>
      <w:r>
        <w:rPr>
          <w:rStyle w:val="ptext-2"/>
          <w:rFonts w:ascii="Verdana" w:hAnsi="Verdana"/>
          <w:color w:val="000000"/>
          <w:sz w:val="20"/>
          <w:szCs w:val="20"/>
        </w:rPr>
        <w:t xml:space="preserve"> shall be subject to the following requirements: </w:t>
      </w:r>
    </w:p>
    <w:p w:rsidR="00FC09DF" w:rsidP="00FC09DF" w14:paraId="0B2A0EB2" w14:textId="77777777">
      <w:pPr>
        <w:rPr>
          <w:rFonts w:ascii="Verdana" w:hAnsi="Verdana"/>
          <w:color w:val="000000"/>
          <w:sz w:val="20"/>
          <w:szCs w:val="20"/>
        </w:rPr>
      </w:pPr>
      <w:bookmarkStart w:id="27" w:name="c_2_A"/>
      <w:bookmarkEnd w:id="27"/>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The Secretary shall establish and collect, at the time of insurance, a single premium payment in an amount not exceeding 2.25 percent of the amount of the original insured principal obligation of the mortgage. In the case of a mortgage for which the mortgagor is a first-time homebuyer who completes a program of counseling with respect to the responsibilities and financial management involved in homeownership that is approved by the Secretary, the premium payment under this subparagraph shall not exceed 2.0 percent of the amount of the original insured principal obligation of the mortgage. Upon payment in full of the principal obligation of a mortgage prior to the maturity date of the mortgage, the Secretary shall refund </w:t>
      </w:r>
      <w:r>
        <w:rPr>
          <w:rStyle w:val="ptext-3"/>
          <w:rFonts w:ascii="Verdana" w:hAnsi="Verdana"/>
          <w:color w:val="000000"/>
          <w:sz w:val="20"/>
          <w:szCs w:val="20"/>
        </w:rPr>
        <w:t>all of</w:t>
      </w:r>
      <w:r>
        <w:rPr>
          <w:rStyle w:val="ptext-3"/>
          <w:rFonts w:ascii="Verdana" w:hAnsi="Verdana"/>
          <w:color w:val="000000"/>
          <w:sz w:val="20"/>
          <w:szCs w:val="20"/>
        </w:rPr>
        <w:t xml:space="preserve"> the unearned premium charges paid on the mortgage pursuant to this subparagraph, provided that the mortgagor refinances the unpaid principal obligation under this subchapter. </w:t>
      </w:r>
    </w:p>
    <w:p w:rsidR="00FC09DF" w:rsidP="00FC09DF" w14:paraId="678286C6" w14:textId="77777777">
      <w:pPr>
        <w:rPr>
          <w:rFonts w:ascii="Verdana" w:hAnsi="Verdana"/>
          <w:color w:val="000000"/>
          <w:sz w:val="20"/>
          <w:szCs w:val="20"/>
        </w:rPr>
      </w:pPr>
      <w:bookmarkStart w:id="28" w:name="c_2_B"/>
      <w:bookmarkEnd w:id="28"/>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In addition to the premium under subparagraph (A), the Secretary shall establish and collect annual premium payments in an amount not exceeding 0.50 percent of the remaining insured principal balance (excluding the portion of the remaining balance attributable to the premium collected under subparagraph (A) and without </w:t>
      </w:r>
      <w:r>
        <w:rPr>
          <w:rStyle w:val="ptext-3"/>
          <w:rFonts w:ascii="Verdana" w:hAnsi="Verdana"/>
          <w:color w:val="000000"/>
          <w:sz w:val="20"/>
          <w:szCs w:val="20"/>
        </w:rPr>
        <w:t>taking into account</w:t>
      </w:r>
      <w:r>
        <w:rPr>
          <w:rStyle w:val="ptext-3"/>
          <w:rFonts w:ascii="Verdana" w:hAnsi="Verdana"/>
          <w:color w:val="000000"/>
          <w:sz w:val="20"/>
          <w:szCs w:val="20"/>
        </w:rPr>
        <w:t xml:space="preserve"> delinquent payments or prepayments) for the following periods: </w:t>
      </w:r>
    </w:p>
    <w:p w:rsidR="00FC09DF" w:rsidP="00FC09DF" w14:paraId="1579380B" w14:textId="77777777">
      <w:pPr>
        <w:rPr>
          <w:rFonts w:ascii="Verdana" w:hAnsi="Verdana"/>
          <w:color w:val="000000"/>
          <w:sz w:val="20"/>
          <w:szCs w:val="20"/>
        </w:rPr>
      </w:pPr>
      <w:bookmarkStart w:id="29" w:name="c_2_B_i"/>
      <w:bookmarkEnd w:id="29"/>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For any mortgage involving an original principal obligation (excluding any premium collected under subparagraph (A)) that is less than 90 percent of the appraised value of the property (as of the date the mortgage is accepted for insurance), for the first 11 years of the mortgage term. </w:t>
      </w:r>
    </w:p>
    <w:p w:rsidR="00FC09DF" w:rsidP="00FC09DF" w14:paraId="6667B6DD" w14:textId="77777777">
      <w:pPr>
        <w:rPr>
          <w:rFonts w:ascii="Verdana" w:hAnsi="Verdana"/>
          <w:color w:val="000000"/>
          <w:sz w:val="20"/>
          <w:szCs w:val="20"/>
        </w:rPr>
      </w:pPr>
      <w:bookmarkStart w:id="30" w:name="c_2_B_ii"/>
      <w:bookmarkEnd w:id="30"/>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For any mortgage involving an original principal obligation (excluding any premium collected under subparagraph (A)) that is greater than or equal to 90 percent of such value, for the first 30 years of the mortgage term; except that notwithstanding the matter preceding clause (i), for any mortgage involving an original principal obligation (excluding any premium collected under subparagraph (A)) that is greater than 95 percent of such value, the annual premium collected during the 30-year period under this clause shall be in an amount not exceeding 0.55 percent of the remaining insured principal balance (excluding the portion of the remaining balance attributable to the premium collected under subparagraph (A) and without taking into account delinquent payments or prepayments). </w:t>
      </w:r>
    </w:p>
    <w:p w:rsidR="00FC09DF" w:rsidP="00FC09DF" w14:paraId="33DF3752" w14:textId="77777777">
      <w:pPr>
        <w:rPr>
          <w:rFonts w:ascii="Verdana" w:hAnsi="Verdana"/>
          <w:color w:val="000000"/>
          <w:sz w:val="20"/>
          <w:szCs w:val="20"/>
        </w:rPr>
      </w:pPr>
      <w:bookmarkStart w:id="31" w:name="d"/>
      <w:bookmarkEnd w:id="31"/>
      <w:r>
        <w:rPr>
          <w:rStyle w:val="enumbell"/>
          <w:rFonts w:ascii="Verdana" w:hAnsi="Verdana"/>
          <w:color w:val="000000"/>
          <w:sz w:val="20"/>
          <w:szCs w:val="20"/>
        </w:rPr>
        <w:t>(d)</w:t>
      </w:r>
      <w:r>
        <w:rPr>
          <w:rFonts w:ascii="Verdana" w:hAnsi="Verdana"/>
          <w:color w:val="000000"/>
          <w:sz w:val="20"/>
          <w:szCs w:val="20"/>
        </w:rPr>
        <w:t xml:space="preserve"> </w:t>
      </w:r>
      <w:r>
        <w:rPr>
          <w:rFonts w:ascii="Verdana" w:hAnsi="Verdana"/>
          <w:b/>
          <w:bCs/>
          <w:color w:val="000000"/>
          <w:sz w:val="20"/>
          <w:szCs w:val="20"/>
        </w:rPr>
        <w:t xml:space="preserve">Increase in maximum amount of mortgage </w:t>
      </w:r>
    </w:p>
    <w:p w:rsidR="00FC09DF" w:rsidP="00FC09DF" w14:paraId="155A0202" w14:textId="77777777">
      <w:pPr>
        <w:rPr>
          <w:rFonts w:ascii="Verdana" w:hAnsi="Verdana"/>
          <w:color w:val="000000"/>
          <w:sz w:val="20"/>
          <w:szCs w:val="20"/>
        </w:rPr>
      </w:pPr>
      <w:r>
        <w:rPr>
          <w:rFonts w:ascii="Verdana" w:hAnsi="Verdana"/>
          <w:color w:val="000000"/>
          <w:sz w:val="20"/>
          <w:szCs w:val="20"/>
        </w:rPr>
        <w:t xml:space="preserve">Notwithstanding any provision of this subchapter governing maximum mortgage amounts for insuring a mortgage secured by a one- to four-family dwelling, the maximum amount of the mortgage determined </w:t>
      </w:r>
      <w:r>
        <w:rPr>
          <w:rFonts w:ascii="Verdana" w:hAnsi="Verdana"/>
          <w:color w:val="000000"/>
          <w:sz w:val="20"/>
          <w:szCs w:val="20"/>
        </w:rPr>
        <w:t xml:space="preserve">under any such provision may be increased by the amount of the mortgage insurance premium paid at the time the mortgage is insured. </w:t>
      </w:r>
    </w:p>
    <w:p w:rsidR="00FC09DF" w:rsidP="00FC09DF" w14:paraId="390BC990" w14:textId="77777777">
      <w:pPr>
        <w:rPr>
          <w:rFonts w:ascii="Verdana" w:hAnsi="Verdana"/>
          <w:color w:val="000000"/>
          <w:sz w:val="20"/>
          <w:szCs w:val="20"/>
        </w:rPr>
      </w:pPr>
      <w:bookmarkStart w:id="32" w:name="e"/>
      <w:bookmarkEnd w:id="32"/>
      <w:r>
        <w:rPr>
          <w:rStyle w:val="enumbell"/>
          <w:rFonts w:ascii="Verdana" w:hAnsi="Verdana"/>
          <w:color w:val="000000"/>
          <w:sz w:val="20"/>
          <w:szCs w:val="20"/>
        </w:rPr>
        <w:t>(e)</w:t>
      </w:r>
      <w:r>
        <w:rPr>
          <w:rFonts w:ascii="Verdana" w:hAnsi="Verdana"/>
          <w:color w:val="000000"/>
          <w:sz w:val="20"/>
          <w:szCs w:val="20"/>
        </w:rPr>
        <w:t xml:space="preserve"> </w:t>
      </w:r>
      <w:r>
        <w:rPr>
          <w:rFonts w:ascii="Verdana" w:hAnsi="Verdana"/>
          <w:b/>
          <w:bCs/>
          <w:color w:val="000000"/>
          <w:sz w:val="20"/>
          <w:szCs w:val="20"/>
        </w:rPr>
        <w:t xml:space="preserve">Contract of insurance as evidence of eligibility </w:t>
      </w:r>
    </w:p>
    <w:p w:rsidR="00FC09DF" w:rsidP="00FC09DF" w14:paraId="1440740E" w14:textId="77777777">
      <w:pPr>
        <w:rPr>
          <w:rFonts w:ascii="Verdana" w:hAnsi="Verdana"/>
          <w:color w:val="000000"/>
          <w:sz w:val="20"/>
          <w:szCs w:val="20"/>
        </w:rPr>
      </w:pPr>
      <w:r>
        <w:rPr>
          <w:rFonts w:ascii="Verdana" w:hAnsi="Verdana"/>
          <w:color w:val="000000"/>
          <w:sz w:val="20"/>
          <w:szCs w:val="20"/>
        </w:rPr>
        <w:t xml:space="preserve">Any contract of insurance heretofore or hereafter executed by the Secretary under this subchapter shall be conclusive evidence of the eligibility of the loan or mortgage for insurance, and the validity of any contract of insurance so executed shall be incontestable in the hands of an approved financial institution or approved mortgagee from the date of the execution of such contract, except for fraud or misrepresentation on the part of such approved financial institution or approved mortgagee. </w:t>
      </w:r>
    </w:p>
    <w:p w:rsidR="00FC09DF" w:rsidP="00FC09DF" w14:paraId="07B0EF4B" w14:textId="77777777">
      <w:pPr>
        <w:rPr>
          <w:rFonts w:ascii="Verdana" w:hAnsi="Verdana"/>
          <w:color w:val="000000"/>
          <w:sz w:val="20"/>
          <w:szCs w:val="20"/>
        </w:rPr>
      </w:pPr>
      <w:bookmarkStart w:id="33" w:name="f"/>
      <w:bookmarkEnd w:id="33"/>
      <w:r>
        <w:rPr>
          <w:rStyle w:val="enumbell"/>
          <w:rFonts w:ascii="Verdana" w:hAnsi="Verdana"/>
          <w:color w:val="000000"/>
          <w:sz w:val="20"/>
          <w:szCs w:val="20"/>
        </w:rPr>
        <w:t>(f)</w:t>
      </w:r>
      <w:r>
        <w:rPr>
          <w:rFonts w:ascii="Verdana" w:hAnsi="Verdana"/>
          <w:color w:val="000000"/>
          <w:sz w:val="20"/>
          <w:szCs w:val="20"/>
        </w:rPr>
        <w:t xml:space="preserve"> </w:t>
      </w:r>
      <w:r>
        <w:rPr>
          <w:rFonts w:ascii="Verdana" w:hAnsi="Verdana"/>
          <w:b/>
          <w:bCs/>
          <w:color w:val="000000"/>
          <w:sz w:val="20"/>
          <w:szCs w:val="20"/>
        </w:rPr>
        <w:t xml:space="preserve">Disclosure of other mortgage products </w:t>
      </w:r>
    </w:p>
    <w:p w:rsidR="00FC09DF" w:rsidP="00FC09DF" w14:paraId="29D8B82F" w14:textId="77777777">
      <w:pPr>
        <w:rPr>
          <w:rFonts w:ascii="Verdana" w:hAnsi="Verdana"/>
          <w:color w:val="000000"/>
          <w:sz w:val="20"/>
          <w:szCs w:val="20"/>
        </w:rPr>
      </w:pPr>
      <w:bookmarkStart w:id="34" w:name="f_1"/>
      <w:bookmarkEnd w:id="34"/>
      <w:r>
        <w:rPr>
          <w:rStyle w:val="enumbell"/>
          <w:rFonts w:ascii="Verdana" w:hAnsi="Verdana"/>
          <w:color w:val="000000"/>
          <w:sz w:val="20"/>
          <w:szCs w:val="20"/>
        </w:rPr>
        <w:t>(1)</w:t>
      </w:r>
      <w:r>
        <w:rPr>
          <w:rFonts w:ascii="Verdana" w:hAnsi="Verdana"/>
          <w:color w:val="000000"/>
          <w:sz w:val="20"/>
          <w:szCs w:val="20"/>
        </w:rPr>
        <w:t xml:space="preserve"> </w:t>
      </w:r>
      <w:r>
        <w:rPr>
          <w:rFonts w:ascii="Verdana" w:hAnsi="Verdana"/>
          <w:b/>
          <w:bCs/>
          <w:color w:val="000000"/>
          <w:sz w:val="20"/>
          <w:szCs w:val="20"/>
        </w:rPr>
        <w:t xml:space="preserve">In general </w:t>
      </w:r>
    </w:p>
    <w:p w:rsidR="00FC09DF" w:rsidP="00FC09DF" w14:paraId="7A1EB5CB" w14:textId="77777777">
      <w:pPr>
        <w:rPr>
          <w:rFonts w:ascii="Verdana" w:hAnsi="Verdana"/>
          <w:color w:val="000000"/>
          <w:sz w:val="20"/>
          <w:szCs w:val="20"/>
        </w:rPr>
      </w:pPr>
      <w:r>
        <w:rPr>
          <w:rFonts w:ascii="Verdana" w:hAnsi="Verdana"/>
          <w:color w:val="000000"/>
          <w:sz w:val="20"/>
          <w:szCs w:val="20"/>
        </w:rPr>
        <w:t xml:space="preserve">In conjunction with any loan insured under this section, an original lender shall provide to each prospective borrower a disclosure notice that provides a 1-page analysis of mortgage products offered by that lender and for which the borrower would qualify. </w:t>
      </w:r>
    </w:p>
    <w:p w:rsidR="00FC09DF" w:rsidP="00FC09DF" w14:paraId="07311AF8" w14:textId="77777777">
      <w:pPr>
        <w:rPr>
          <w:rFonts w:ascii="Verdana" w:hAnsi="Verdana"/>
          <w:color w:val="000000"/>
          <w:sz w:val="20"/>
          <w:szCs w:val="20"/>
        </w:rPr>
      </w:pPr>
      <w:bookmarkStart w:id="35" w:name="f_2"/>
      <w:bookmarkEnd w:id="35"/>
      <w:r>
        <w:rPr>
          <w:rStyle w:val="enumbell"/>
          <w:rFonts w:ascii="Verdana" w:hAnsi="Verdana"/>
          <w:color w:val="000000"/>
          <w:sz w:val="20"/>
          <w:szCs w:val="20"/>
        </w:rPr>
        <w:t>(2)</w:t>
      </w:r>
      <w:r>
        <w:rPr>
          <w:rFonts w:ascii="Verdana" w:hAnsi="Verdana"/>
          <w:color w:val="000000"/>
          <w:sz w:val="20"/>
          <w:szCs w:val="20"/>
        </w:rPr>
        <w:t xml:space="preserve"> </w:t>
      </w:r>
      <w:r>
        <w:rPr>
          <w:rFonts w:ascii="Verdana" w:hAnsi="Verdana"/>
          <w:b/>
          <w:bCs/>
          <w:color w:val="000000"/>
          <w:sz w:val="20"/>
          <w:szCs w:val="20"/>
        </w:rPr>
        <w:t xml:space="preserve">Notice </w:t>
      </w:r>
    </w:p>
    <w:p w:rsidR="00FC09DF" w:rsidP="00FC09DF" w14:paraId="01E45711" w14:textId="77777777">
      <w:pPr>
        <w:rPr>
          <w:rFonts w:ascii="Verdana" w:hAnsi="Verdana"/>
          <w:color w:val="000000"/>
          <w:sz w:val="20"/>
          <w:szCs w:val="20"/>
        </w:rPr>
      </w:pPr>
      <w:r>
        <w:rPr>
          <w:rFonts w:ascii="Verdana" w:hAnsi="Verdana"/>
          <w:color w:val="000000"/>
          <w:sz w:val="20"/>
          <w:szCs w:val="20"/>
        </w:rPr>
        <w:t xml:space="preserve">The notice required under paragraph (1) shall include— </w:t>
      </w:r>
    </w:p>
    <w:p w:rsidR="00FC09DF" w:rsidP="00FC09DF" w14:paraId="2FECD8C8" w14:textId="77777777">
      <w:pPr>
        <w:rPr>
          <w:rFonts w:ascii="Verdana" w:hAnsi="Verdana"/>
          <w:color w:val="000000"/>
          <w:sz w:val="20"/>
          <w:szCs w:val="20"/>
        </w:rPr>
      </w:pPr>
      <w:bookmarkStart w:id="36" w:name="f_2_A"/>
      <w:bookmarkEnd w:id="36"/>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a generic analysis comparing the note rate (and associated interest payments), insurance premiums, and other costs and fees that would be due over the life of the loan for a loan insured by the Secretary under subsection (b) of this section with the note rates, insurance premiums (if applicable), and other costs and fees that would be expected to be due if the mortgagor obtained instead other mortgage products offered by the lender and for which the borrower would qualify with a similar loan-to-value ratio in connection with a conventional mortgage (as that term is used in section </w:t>
      </w:r>
      <w:hyperlink r:id="rId7" w:history="1">
        <w:r>
          <w:rPr>
            <w:rStyle w:val="Hyperlink"/>
            <w:rFonts w:ascii="Verdana" w:hAnsi="Verdana"/>
            <w:sz w:val="20"/>
            <w:szCs w:val="20"/>
          </w:rPr>
          <w:t>1454</w:t>
        </w:r>
      </w:hyperlink>
      <w:r>
        <w:rPr>
          <w:rStyle w:val="ptext-3"/>
          <w:rFonts w:ascii="Verdana" w:hAnsi="Verdana"/>
          <w:color w:val="000000"/>
          <w:sz w:val="20"/>
          <w:szCs w:val="20"/>
        </w:rPr>
        <w:t xml:space="preserve"> </w:t>
      </w:r>
      <w:hyperlink r:id="rId7" w:anchor="a_2" w:history="1">
        <w:r>
          <w:rPr>
            <w:rStyle w:val="Hyperlink"/>
            <w:rFonts w:ascii="Verdana" w:hAnsi="Verdana"/>
            <w:sz w:val="20"/>
            <w:szCs w:val="20"/>
          </w:rPr>
          <w:t>(a)(2)</w:t>
        </w:r>
      </w:hyperlink>
      <w:r>
        <w:rPr>
          <w:rStyle w:val="ptext-3"/>
          <w:rFonts w:ascii="Verdana" w:hAnsi="Verdana"/>
          <w:color w:val="000000"/>
          <w:sz w:val="20"/>
          <w:szCs w:val="20"/>
        </w:rPr>
        <w:t xml:space="preserve"> of this title or section </w:t>
      </w:r>
      <w:hyperlink r:id="rId24" w:history="1">
        <w:r>
          <w:rPr>
            <w:rStyle w:val="Hyperlink"/>
            <w:rFonts w:ascii="Verdana" w:hAnsi="Verdana"/>
            <w:sz w:val="20"/>
            <w:szCs w:val="20"/>
          </w:rPr>
          <w:t>1717</w:t>
        </w:r>
      </w:hyperlink>
      <w:r>
        <w:rPr>
          <w:rStyle w:val="ptext-3"/>
          <w:rFonts w:ascii="Verdana" w:hAnsi="Verdana"/>
          <w:color w:val="000000"/>
          <w:sz w:val="20"/>
          <w:szCs w:val="20"/>
        </w:rPr>
        <w:t xml:space="preserve"> </w:t>
      </w:r>
      <w:hyperlink r:id="rId24" w:anchor="b_2" w:history="1">
        <w:r>
          <w:rPr>
            <w:rStyle w:val="Hyperlink"/>
            <w:rFonts w:ascii="Verdana" w:hAnsi="Verdana"/>
            <w:sz w:val="20"/>
            <w:szCs w:val="20"/>
          </w:rPr>
          <w:t>(b)(2)</w:t>
        </w:r>
      </w:hyperlink>
      <w:r>
        <w:rPr>
          <w:rStyle w:val="ptext-3"/>
          <w:rFonts w:ascii="Verdana" w:hAnsi="Verdana"/>
          <w:color w:val="000000"/>
          <w:sz w:val="20"/>
          <w:szCs w:val="20"/>
        </w:rPr>
        <w:t xml:space="preserve"> of this title, as applicable), assuming prevailing interest rates; and </w:t>
      </w:r>
    </w:p>
    <w:p w:rsidR="00FC09DF" w:rsidP="00FC09DF" w14:paraId="2C452D94" w14:textId="77777777">
      <w:pPr>
        <w:rPr>
          <w:rFonts w:ascii="Verdana" w:hAnsi="Verdana"/>
          <w:color w:val="000000"/>
          <w:sz w:val="20"/>
          <w:szCs w:val="20"/>
        </w:rPr>
      </w:pPr>
      <w:bookmarkStart w:id="37" w:name="f_2_B"/>
      <w:bookmarkEnd w:id="37"/>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a statement regarding when the requirement of the mortgagor to pay the mortgage insurance premiums for a mortgage insured under this section would terminate, or a statement that the requirement shall terminate only if the mortgage is refinanced, paid off, or otherwise terminated. </w:t>
      </w:r>
    </w:p>
    <w:p w:rsidR="00FC09DF" w:rsidP="00FC09DF" w14:paraId="74F244BA" w14:textId="77777777">
      <w:pPr>
        <w:rPr>
          <w:rFonts w:ascii="Verdana" w:hAnsi="Verdana"/>
          <w:color w:val="000000"/>
          <w:sz w:val="20"/>
          <w:szCs w:val="20"/>
        </w:rPr>
      </w:pPr>
      <w:bookmarkStart w:id="38" w:name="g"/>
      <w:bookmarkEnd w:id="38"/>
      <w:r>
        <w:rPr>
          <w:rStyle w:val="enumbell"/>
          <w:rFonts w:ascii="Verdana" w:hAnsi="Verdana"/>
          <w:color w:val="000000"/>
          <w:sz w:val="20"/>
          <w:szCs w:val="20"/>
        </w:rPr>
        <w:t>(g)</w:t>
      </w:r>
      <w:r>
        <w:rPr>
          <w:rFonts w:ascii="Verdana" w:hAnsi="Verdana"/>
          <w:color w:val="000000"/>
          <w:sz w:val="20"/>
          <w:szCs w:val="20"/>
        </w:rPr>
        <w:t xml:space="preserve"> </w:t>
      </w:r>
      <w:r>
        <w:rPr>
          <w:rFonts w:ascii="Verdana" w:hAnsi="Verdana"/>
          <w:b/>
          <w:bCs/>
          <w:color w:val="000000"/>
          <w:sz w:val="20"/>
          <w:szCs w:val="20"/>
        </w:rPr>
        <w:t xml:space="preserve">Limitation on use of </w:t>
      </w:r>
      <w:r>
        <w:rPr>
          <w:rFonts w:ascii="Verdana" w:hAnsi="Verdana"/>
          <w:b/>
          <w:bCs/>
          <w:color w:val="000000"/>
          <w:sz w:val="20"/>
          <w:szCs w:val="20"/>
        </w:rPr>
        <w:t>single family</w:t>
      </w:r>
      <w:r>
        <w:rPr>
          <w:rFonts w:ascii="Verdana" w:hAnsi="Verdana"/>
          <w:b/>
          <w:bCs/>
          <w:color w:val="000000"/>
          <w:sz w:val="20"/>
          <w:szCs w:val="20"/>
        </w:rPr>
        <w:t xml:space="preserve"> mortgage insurance by investors </w:t>
      </w:r>
    </w:p>
    <w:p w:rsidR="00FC09DF" w:rsidP="00FC09DF" w14:paraId="0D439C18" w14:textId="77777777">
      <w:pPr>
        <w:rPr>
          <w:rFonts w:ascii="Verdana" w:hAnsi="Verdana"/>
          <w:color w:val="000000"/>
          <w:sz w:val="20"/>
          <w:szCs w:val="20"/>
        </w:rPr>
      </w:pPr>
      <w:bookmarkStart w:id="39" w:name="g_1"/>
      <w:bookmarkEnd w:id="39"/>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The Secretary may insure a mortgage under this subchapter that is secured by a 1- to 4-family </w:t>
      </w:r>
      <w:r>
        <w:rPr>
          <w:rStyle w:val="ptext-2"/>
          <w:rFonts w:ascii="Verdana" w:hAnsi="Verdana"/>
          <w:color w:val="000000"/>
          <w:sz w:val="20"/>
          <w:szCs w:val="20"/>
        </w:rPr>
        <w:t>dwelling, or</w:t>
      </w:r>
      <w:r>
        <w:rPr>
          <w:rStyle w:val="ptext-2"/>
          <w:rFonts w:ascii="Verdana" w:hAnsi="Verdana"/>
          <w:color w:val="000000"/>
          <w:sz w:val="20"/>
          <w:szCs w:val="20"/>
        </w:rPr>
        <w:t xml:space="preserve"> approve a substitute mortgagor with respect to any such mortgage, only if the mortgagor is to occupy the dwelling as his or her principal residence or as a secondary residence, as determined by the Secretary. In making this determination with respect to the occupancy of secondary residences, the Secretary may not insure mortgages with respect to such residences unless the Secretary determines that it is necessary to avoid undue hardship to the mortgagor. In no event may a secondary residence under this subsection include a vacation home, as determined by the Secretary. </w:t>
      </w:r>
    </w:p>
    <w:p w:rsidR="00FC09DF" w:rsidP="00FC09DF" w14:paraId="75C7F665" w14:textId="77777777">
      <w:pPr>
        <w:rPr>
          <w:rFonts w:ascii="Verdana" w:hAnsi="Verdana"/>
          <w:color w:val="000000"/>
          <w:sz w:val="20"/>
          <w:szCs w:val="20"/>
        </w:rPr>
      </w:pPr>
      <w:bookmarkStart w:id="40" w:name="g_2"/>
      <w:bookmarkEnd w:id="40"/>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The occupancy requirement established in paragraph (1) shall not apply to any mortgagor (or co-mortgagor, as appropriate) that is— </w:t>
      </w:r>
    </w:p>
    <w:p w:rsidR="00FC09DF" w:rsidP="00FC09DF" w14:paraId="13446AF1" w14:textId="77777777">
      <w:pPr>
        <w:rPr>
          <w:rFonts w:ascii="Verdana" w:hAnsi="Verdana"/>
          <w:color w:val="000000"/>
          <w:sz w:val="20"/>
          <w:szCs w:val="20"/>
        </w:rPr>
      </w:pPr>
      <w:bookmarkStart w:id="41" w:name="g_2_A"/>
      <w:bookmarkEnd w:id="41"/>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a public entity, as provided in section </w:t>
      </w:r>
      <w:hyperlink r:id="rId25" w:history="1">
        <w:r>
          <w:rPr>
            <w:rStyle w:val="Hyperlink"/>
            <w:rFonts w:ascii="Verdana" w:hAnsi="Verdana"/>
            <w:sz w:val="20"/>
            <w:szCs w:val="20"/>
          </w:rPr>
          <w:t>1715d</w:t>
        </w:r>
      </w:hyperlink>
      <w:r>
        <w:rPr>
          <w:rStyle w:val="ptext-3"/>
          <w:rFonts w:ascii="Verdana" w:hAnsi="Verdana"/>
          <w:color w:val="000000"/>
          <w:sz w:val="20"/>
          <w:szCs w:val="20"/>
        </w:rPr>
        <w:t xml:space="preserve"> or </w:t>
      </w:r>
      <w:hyperlink r:id="rId19" w:history="1">
        <w:r>
          <w:rPr>
            <w:rStyle w:val="Hyperlink"/>
            <w:rFonts w:ascii="Verdana" w:hAnsi="Verdana"/>
            <w:sz w:val="20"/>
            <w:szCs w:val="20"/>
          </w:rPr>
          <w:t>1715z–12</w:t>
        </w:r>
      </w:hyperlink>
      <w:r>
        <w:rPr>
          <w:rStyle w:val="ptext-3"/>
          <w:rFonts w:ascii="Verdana" w:hAnsi="Verdana"/>
          <w:color w:val="000000"/>
          <w:sz w:val="20"/>
          <w:szCs w:val="20"/>
        </w:rPr>
        <w:t xml:space="preserve"> of this title, or any other State or local government or an agency thereof; </w:t>
      </w:r>
    </w:p>
    <w:p w:rsidR="00FC09DF" w:rsidP="00FC09DF" w14:paraId="42C768E8" w14:textId="77777777">
      <w:pPr>
        <w:rPr>
          <w:rFonts w:ascii="Verdana" w:hAnsi="Verdana"/>
          <w:color w:val="000000"/>
          <w:sz w:val="20"/>
          <w:szCs w:val="20"/>
        </w:rPr>
      </w:pPr>
      <w:bookmarkStart w:id="42" w:name="g_2_B"/>
      <w:bookmarkEnd w:id="42"/>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a private nonprofit or public entity, as provided in section </w:t>
      </w:r>
      <w:hyperlink r:id="rId26" w:history="1">
        <w:r>
          <w:rPr>
            <w:rStyle w:val="Hyperlink"/>
            <w:rFonts w:ascii="Verdana" w:hAnsi="Verdana"/>
            <w:sz w:val="20"/>
            <w:szCs w:val="20"/>
          </w:rPr>
          <w:t>1715l</w:t>
        </w:r>
      </w:hyperlink>
      <w:r>
        <w:rPr>
          <w:rStyle w:val="ptext-3"/>
          <w:rFonts w:ascii="Verdana" w:hAnsi="Verdana"/>
          <w:color w:val="000000"/>
          <w:sz w:val="20"/>
          <w:szCs w:val="20"/>
        </w:rPr>
        <w:t xml:space="preserve"> </w:t>
      </w:r>
      <w:hyperlink r:id="rId26" w:anchor="h" w:history="1">
        <w:r>
          <w:rPr>
            <w:rStyle w:val="Hyperlink"/>
            <w:rFonts w:ascii="Verdana" w:hAnsi="Verdana"/>
            <w:sz w:val="20"/>
            <w:szCs w:val="20"/>
          </w:rPr>
          <w:t>(h)</w:t>
        </w:r>
      </w:hyperlink>
      <w:r>
        <w:rPr>
          <w:rStyle w:val="ptext-3"/>
          <w:rFonts w:ascii="Verdana" w:hAnsi="Verdana"/>
          <w:color w:val="000000"/>
          <w:sz w:val="20"/>
          <w:szCs w:val="20"/>
        </w:rPr>
        <w:t xml:space="preserve"> or </w:t>
      </w:r>
      <w:hyperlink r:id="rId27" w:history="1">
        <w:r>
          <w:rPr>
            <w:rStyle w:val="Hyperlink"/>
            <w:rFonts w:ascii="Verdana" w:hAnsi="Verdana"/>
            <w:sz w:val="20"/>
            <w:szCs w:val="20"/>
          </w:rPr>
          <w:t>1715z</w:t>
        </w:r>
      </w:hyperlink>
      <w:r>
        <w:rPr>
          <w:rStyle w:val="ptext-3"/>
          <w:rFonts w:ascii="Verdana" w:hAnsi="Verdana"/>
          <w:color w:val="000000"/>
          <w:sz w:val="20"/>
          <w:szCs w:val="20"/>
        </w:rPr>
        <w:t xml:space="preserve"> </w:t>
      </w:r>
      <w:hyperlink r:id="rId27" w:anchor="j" w:history="1">
        <w:r>
          <w:rPr>
            <w:rStyle w:val="Hyperlink"/>
            <w:rFonts w:ascii="Verdana" w:hAnsi="Verdana"/>
            <w:sz w:val="20"/>
            <w:szCs w:val="20"/>
          </w:rPr>
          <w:t>(j)</w:t>
        </w:r>
      </w:hyperlink>
      <w:r>
        <w:rPr>
          <w:rStyle w:val="ptext-3"/>
          <w:rFonts w:ascii="Verdana" w:hAnsi="Verdana"/>
          <w:color w:val="000000"/>
          <w:sz w:val="20"/>
          <w:szCs w:val="20"/>
        </w:rPr>
        <w:t xml:space="preserve"> of this title, or other private nonprofit organization that is exempt from taxation under section </w:t>
      </w:r>
      <w:hyperlink r:id="rId28" w:history="1">
        <w:r>
          <w:rPr>
            <w:rStyle w:val="Hyperlink"/>
            <w:rFonts w:ascii="Verdana" w:hAnsi="Verdana"/>
            <w:sz w:val="20"/>
            <w:szCs w:val="20"/>
          </w:rPr>
          <w:t>501</w:t>
        </w:r>
      </w:hyperlink>
      <w:r>
        <w:rPr>
          <w:rStyle w:val="ptext-3"/>
          <w:rFonts w:ascii="Verdana" w:hAnsi="Verdana"/>
          <w:color w:val="000000"/>
          <w:sz w:val="20"/>
          <w:szCs w:val="20"/>
        </w:rPr>
        <w:t xml:space="preserve"> </w:t>
      </w:r>
      <w:hyperlink r:id="rId28" w:anchor="c_3" w:history="1">
        <w:r>
          <w:rPr>
            <w:rStyle w:val="Hyperlink"/>
            <w:rFonts w:ascii="Verdana" w:hAnsi="Verdana"/>
            <w:sz w:val="20"/>
            <w:szCs w:val="20"/>
          </w:rPr>
          <w:t>(c)(3)</w:t>
        </w:r>
      </w:hyperlink>
      <w:r>
        <w:rPr>
          <w:rStyle w:val="ptext-3"/>
          <w:rFonts w:ascii="Verdana" w:hAnsi="Verdana"/>
          <w:color w:val="000000"/>
          <w:sz w:val="20"/>
          <w:szCs w:val="20"/>
        </w:rPr>
        <w:t xml:space="preserve"> of title </w:t>
      </w:r>
      <w:hyperlink r:id="rId29" w:history="1">
        <w:r>
          <w:rPr>
            <w:rStyle w:val="Hyperlink"/>
            <w:rFonts w:ascii="Verdana" w:hAnsi="Verdana"/>
            <w:sz w:val="20"/>
            <w:szCs w:val="20"/>
          </w:rPr>
          <w:t>26</w:t>
        </w:r>
      </w:hyperlink>
      <w:r>
        <w:rPr>
          <w:rStyle w:val="ptext-3"/>
          <w:rFonts w:ascii="Verdana" w:hAnsi="Verdana"/>
          <w:color w:val="000000"/>
          <w:sz w:val="20"/>
          <w:szCs w:val="20"/>
        </w:rPr>
        <w:t xml:space="preserve"> and intends to sell or lease the mortgaged property to low or moderate-income persons, as determined by the Secretary; </w:t>
      </w:r>
    </w:p>
    <w:p w:rsidR="00FC09DF" w:rsidP="00FC09DF" w14:paraId="77105F73" w14:textId="77777777">
      <w:pPr>
        <w:rPr>
          <w:rFonts w:ascii="Verdana" w:hAnsi="Verdana"/>
          <w:color w:val="000000"/>
          <w:sz w:val="20"/>
          <w:szCs w:val="20"/>
        </w:rPr>
      </w:pPr>
      <w:bookmarkStart w:id="43" w:name="g_2_C"/>
      <w:bookmarkEnd w:id="43"/>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an Indian tribe, as provided in section </w:t>
      </w:r>
      <w:hyperlink r:id="rId30" w:history="1">
        <w:r>
          <w:rPr>
            <w:rStyle w:val="Hyperlink"/>
            <w:rFonts w:ascii="Verdana" w:hAnsi="Verdana"/>
            <w:sz w:val="20"/>
            <w:szCs w:val="20"/>
          </w:rPr>
          <w:t>1715z–13</w:t>
        </w:r>
      </w:hyperlink>
      <w:r>
        <w:rPr>
          <w:rStyle w:val="ptext-3"/>
          <w:rFonts w:ascii="Verdana" w:hAnsi="Verdana"/>
          <w:color w:val="000000"/>
          <w:sz w:val="20"/>
          <w:szCs w:val="20"/>
        </w:rPr>
        <w:t xml:space="preserve"> of this title; </w:t>
      </w:r>
    </w:p>
    <w:p w:rsidR="00FC09DF" w:rsidP="00FC09DF" w14:paraId="4A2AB071" w14:textId="77777777">
      <w:pPr>
        <w:rPr>
          <w:rFonts w:ascii="Verdana" w:hAnsi="Verdana"/>
          <w:color w:val="000000"/>
          <w:sz w:val="20"/>
          <w:szCs w:val="20"/>
        </w:rPr>
      </w:pPr>
      <w:bookmarkStart w:id="44" w:name="g_2_D"/>
      <w:bookmarkEnd w:id="44"/>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 xml:space="preserve">a serviceperson who is unable to meet such requirement because of his or her duty assignment, as provided in section </w:t>
      </w:r>
      <w:hyperlink r:id="rId31" w:history="1">
        <w:r>
          <w:rPr>
            <w:rStyle w:val="Hyperlink"/>
            <w:rFonts w:ascii="Verdana" w:hAnsi="Verdana"/>
            <w:sz w:val="20"/>
            <w:szCs w:val="20"/>
          </w:rPr>
          <w:t>1715g</w:t>
        </w:r>
      </w:hyperlink>
      <w:r>
        <w:rPr>
          <w:rStyle w:val="ptext-3"/>
          <w:rFonts w:ascii="Verdana" w:hAnsi="Verdana"/>
          <w:color w:val="000000"/>
          <w:sz w:val="20"/>
          <w:szCs w:val="20"/>
        </w:rPr>
        <w:t xml:space="preserve"> of this title or subsection (b)(4) or (f) of section </w:t>
      </w:r>
      <w:hyperlink r:id="rId32" w:history="1">
        <w:r>
          <w:rPr>
            <w:rStyle w:val="Hyperlink"/>
            <w:rFonts w:ascii="Verdana" w:hAnsi="Verdana"/>
            <w:sz w:val="20"/>
            <w:szCs w:val="20"/>
          </w:rPr>
          <w:t>1715m</w:t>
        </w:r>
      </w:hyperlink>
      <w:r>
        <w:rPr>
          <w:rStyle w:val="ptext-3"/>
          <w:rFonts w:ascii="Verdana" w:hAnsi="Verdana"/>
          <w:color w:val="000000"/>
          <w:sz w:val="20"/>
          <w:szCs w:val="20"/>
        </w:rPr>
        <w:t xml:space="preserve"> of this title; </w:t>
      </w:r>
    </w:p>
    <w:p w:rsidR="00FC09DF" w:rsidP="00FC09DF" w14:paraId="62BFCE05" w14:textId="77777777">
      <w:pPr>
        <w:rPr>
          <w:rFonts w:ascii="Verdana" w:hAnsi="Verdana"/>
          <w:color w:val="000000"/>
          <w:sz w:val="20"/>
          <w:szCs w:val="20"/>
        </w:rPr>
      </w:pPr>
      <w:bookmarkStart w:id="45" w:name="g_2_E"/>
      <w:bookmarkEnd w:id="45"/>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a mortgagor or co-mortgagor under subsection (k) of this section; or </w:t>
      </w:r>
    </w:p>
    <w:p w:rsidR="00FC09DF" w:rsidP="00FC09DF" w14:paraId="734F7007" w14:textId="77777777">
      <w:pPr>
        <w:rPr>
          <w:rFonts w:ascii="Verdana" w:hAnsi="Verdana"/>
          <w:color w:val="000000"/>
          <w:sz w:val="20"/>
          <w:szCs w:val="20"/>
        </w:rPr>
      </w:pPr>
      <w:bookmarkStart w:id="46" w:name="g_2_F"/>
      <w:bookmarkEnd w:id="46"/>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 xml:space="preserve">a mortgagor that, pursuant to section </w:t>
      </w:r>
      <w:hyperlink r:id="rId33" w:history="1">
        <w:r>
          <w:rPr>
            <w:rStyle w:val="Hyperlink"/>
            <w:rFonts w:ascii="Verdana" w:hAnsi="Verdana"/>
            <w:sz w:val="20"/>
            <w:szCs w:val="20"/>
          </w:rPr>
          <w:t>1715n</w:t>
        </w:r>
      </w:hyperlink>
      <w:r>
        <w:rPr>
          <w:rStyle w:val="ptext-3"/>
          <w:rFonts w:ascii="Verdana" w:hAnsi="Verdana"/>
          <w:color w:val="000000"/>
          <w:sz w:val="20"/>
          <w:szCs w:val="20"/>
        </w:rPr>
        <w:t xml:space="preserve"> </w:t>
      </w:r>
      <w:hyperlink r:id="rId33" w:anchor="a_7" w:history="1">
        <w:r>
          <w:rPr>
            <w:rStyle w:val="Hyperlink"/>
            <w:rFonts w:ascii="Verdana" w:hAnsi="Verdana"/>
            <w:sz w:val="20"/>
            <w:szCs w:val="20"/>
          </w:rPr>
          <w:t>(a)(7)</w:t>
        </w:r>
      </w:hyperlink>
      <w:r>
        <w:rPr>
          <w:rStyle w:val="ptext-3"/>
          <w:rFonts w:ascii="Verdana" w:hAnsi="Verdana"/>
          <w:color w:val="000000"/>
          <w:sz w:val="20"/>
          <w:szCs w:val="20"/>
        </w:rPr>
        <w:t xml:space="preserve"> of this title, is refinancing an existing mortgage insured under this chapter for not more than the outstanding balance of the existing mortgage, if the amount of the monthly payment due under the refinancing mortgage is less than the amount due under the existing mortgage for the month in which the refinancing mortgage is executed. </w:t>
      </w:r>
    </w:p>
    <w:p w:rsidR="00FC09DF" w:rsidP="00FC09DF" w14:paraId="4989B10E" w14:textId="77777777">
      <w:pPr>
        <w:rPr>
          <w:rFonts w:ascii="Verdana" w:hAnsi="Verdana"/>
          <w:color w:val="000000"/>
          <w:sz w:val="20"/>
          <w:szCs w:val="20"/>
        </w:rPr>
      </w:pPr>
      <w:bookmarkStart w:id="47" w:name="g_3"/>
      <w:bookmarkEnd w:id="47"/>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For purposes of this subsection, the term “substitute mortgagor” means a person who, upon the release by a mortgagee of a previous mortgagor from personal liability on the mortgage note, assumes such liability and agrees to pay the mortgage debt. </w:t>
      </w:r>
    </w:p>
    <w:p w:rsidR="00FC09DF" w:rsidP="00FC09DF" w14:paraId="425A514F" w14:textId="77777777">
      <w:pPr>
        <w:rPr>
          <w:rFonts w:ascii="Verdana" w:hAnsi="Verdana"/>
          <w:color w:val="000000"/>
          <w:sz w:val="20"/>
          <w:szCs w:val="20"/>
        </w:rPr>
      </w:pPr>
      <w:bookmarkStart w:id="48" w:name="h"/>
      <w:bookmarkEnd w:id="48"/>
      <w:r>
        <w:rPr>
          <w:rStyle w:val="enumbell"/>
          <w:rFonts w:ascii="Verdana" w:hAnsi="Verdana"/>
          <w:color w:val="000000"/>
          <w:sz w:val="20"/>
          <w:szCs w:val="20"/>
        </w:rPr>
        <w:t>(h)</w:t>
      </w:r>
      <w:r>
        <w:rPr>
          <w:rFonts w:ascii="Verdana" w:hAnsi="Verdana"/>
          <w:color w:val="000000"/>
          <w:sz w:val="20"/>
          <w:szCs w:val="20"/>
        </w:rPr>
        <w:t xml:space="preserve"> </w:t>
      </w:r>
      <w:r>
        <w:rPr>
          <w:rFonts w:ascii="Verdana" w:hAnsi="Verdana"/>
          <w:b/>
          <w:bCs/>
          <w:color w:val="000000"/>
          <w:sz w:val="20"/>
          <w:szCs w:val="20"/>
        </w:rPr>
        <w:t xml:space="preserve">Disaster housing </w:t>
      </w:r>
    </w:p>
    <w:p w:rsidR="00FC09DF" w:rsidP="00FC09DF" w14:paraId="1DEE1AC5" w14:textId="77777777">
      <w:pPr>
        <w:rPr>
          <w:rFonts w:ascii="Verdana" w:hAnsi="Verdana"/>
          <w:color w:val="000000"/>
          <w:sz w:val="20"/>
          <w:szCs w:val="20"/>
        </w:rPr>
      </w:pPr>
      <w:r>
        <w:rPr>
          <w:rFonts w:ascii="Verdana" w:hAnsi="Verdana"/>
          <w:color w:val="000000"/>
          <w:sz w:val="20"/>
          <w:szCs w:val="20"/>
        </w:rPr>
        <w:t xml:space="preserve">Notwithstanding any other provision of this section, the Secretary is authorized to insure any mortgage which involves a principal obligation not in excess of the applicable maximum dollar limit under subsection (b) of this section and not in excess of 100 per centum of the appraised value of a property upon which there is located a dwelling designed principally for a single-family residence, where the mortgagor establishes (to the satisfaction of the Secretary) that his home which he occupied as an owner or as a tenant was destroyed or damaged to such an extent that reconstruction is required as a result of a flood, </w:t>
      </w:r>
      <w:r>
        <w:rPr>
          <w:rFonts w:ascii="Verdana" w:hAnsi="Verdana"/>
          <w:color w:val="000000"/>
          <w:sz w:val="20"/>
          <w:szCs w:val="20"/>
        </w:rPr>
        <w:t xml:space="preserve">fire, hurricane, earthquake, storm, or other catastrophe which the President, pursuant to sections </w:t>
      </w:r>
      <w:hyperlink r:id="rId34" w:history="1">
        <w:r>
          <w:rPr>
            <w:rStyle w:val="Hyperlink"/>
            <w:rFonts w:ascii="Verdana" w:hAnsi="Verdana"/>
            <w:sz w:val="20"/>
            <w:szCs w:val="20"/>
          </w:rPr>
          <w:t>5122</w:t>
        </w:r>
      </w:hyperlink>
      <w:r>
        <w:rPr>
          <w:rFonts w:ascii="Verdana" w:hAnsi="Verdana"/>
          <w:color w:val="000000"/>
          <w:sz w:val="20"/>
          <w:szCs w:val="20"/>
        </w:rPr>
        <w:t xml:space="preserve"> </w:t>
      </w:r>
      <w:hyperlink r:id="rId34" w:anchor="2" w:history="1">
        <w:r>
          <w:rPr>
            <w:rStyle w:val="Hyperlink"/>
            <w:rFonts w:ascii="Verdana" w:hAnsi="Verdana"/>
            <w:sz w:val="20"/>
            <w:szCs w:val="20"/>
          </w:rPr>
          <w:t>(2)</w:t>
        </w:r>
      </w:hyperlink>
      <w:r>
        <w:rPr>
          <w:rFonts w:ascii="Verdana" w:hAnsi="Verdana"/>
          <w:color w:val="000000"/>
          <w:sz w:val="20"/>
          <w:szCs w:val="20"/>
        </w:rPr>
        <w:t xml:space="preserve"> and </w:t>
      </w:r>
      <w:hyperlink r:id="rId35" w:history="1">
        <w:r>
          <w:rPr>
            <w:rStyle w:val="Hyperlink"/>
            <w:rFonts w:ascii="Verdana" w:hAnsi="Verdana"/>
            <w:sz w:val="20"/>
            <w:szCs w:val="20"/>
          </w:rPr>
          <w:t>5170</w:t>
        </w:r>
      </w:hyperlink>
      <w:r>
        <w:rPr>
          <w:rFonts w:ascii="Verdana" w:hAnsi="Verdana"/>
          <w:color w:val="000000"/>
          <w:sz w:val="20"/>
          <w:szCs w:val="20"/>
        </w:rPr>
        <w:t xml:space="preserve"> of title </w:t>
      </w:r>
      <w:hyperlink r:id="rId16" w:history="1">
        <w:r>
          <w:rPr>
            <w:rStyle w:val="Hyperlink"/>
            <w:rFonts w:ascii="Verdana" w:hAnsi="Verdana"/>
            <w:sz w:val="20"/>
            <w:szCs w:val="20"/>
          </w:rPr>
          <w:t>42</w:t>
        </w:r>
      </w:hyperlink>
      <w:r>
        <w:rPr>
          <w:rFonts w:ascii="Verdana" w:hAnsi="Verdana"/>
          <w:color w:val="000000"/>
          <w:sz w:val="20"/>
          <w:szCs w:val="20"/>
        </w:rPr>
        <w:t xml:space="preserve">, has determined to be a major disaster. </w:t>
      </w:r>
    </w:p>
    <w:p w:rsidR="00FC09DF" w:rsidP="00FC09DF" w14:paraId="5285AD97" w14:textId="77777777">
      <w:pPr>
        <w:rPr>
          <w:rFonts w:ascii="Verdana" w:hAnsi="Verdana"/>
          <w:color w:val="000000"/>
          <w:sz w:val="20"/>
          <w:szCs w:val="20"/>
        </w:rPr>
      </w:pPr>
      <w:bookmarkStart w:id="49" w:name="i"/>
      <w:bookmarkEnd w:id="49"/>
      <w:r>
        <w:rPr>
          <w:rStyle w:val="enumbell"/>
          <w:rFonts w:ascii="Verdana" w:hAnsi="Verdana"/>
          <w:color w:val="000000"/>
          <w:sz w:val="20"/>
          <w:szCs w:val="20"/>
        </w:rPr>
        <w:t>(i)</w:t>
      </w:r>
      <w:r>
        <w:rPr>
          <w:rFonts w:ascii="Verdana" w:hAnsi="Verdana"/>
          <w:color w:val="000000"/>
          <w:sz w:val="20"/>
          <w:szCs w:val="20"/>
        </w:rPr>
        <w:t xml:space="preserve"> </w:t>
      </w:r>
      <w:r>
        <w:rPr>
          <w:rFonts w:ascii="Verdana" w:hAnsi="Verdana"/>
          <w:b/>
          <w:bCs/>
          <w:color w:val="000000"/>
          <w:sz w:val="20"/>
          <w:szCs w:val="20"/>
        </w:rPr>
        <w:t xml:space="preserve">Single-family housing in outlying areas </w:t>
      </w:r>
    </w:p>
    <w:p w:rsidR="00FC09DF" w:rsidP="00FC09DF" w14:paraId="6D615245" w14:textId="77777777">
      <w:pPr>
        <w:rPr>
          <w:rFonts w:ascii="Verdana" w:hAnsi="Verdana"/>
          <w:color w:val="000000"/>
          <w:sz w:val="20"/>
          <w:szCs w:val="20"/>
        </w:rPr>
      </w:pPr>
      <w:r>
        <w:rPr>
          <w:rFonts w:ascii="Verdana" w:hAnsi="Verdana"/>
          <w:color w:val="000000"/>
          <w:sz w:val="20"/>
          <w:szCs w:val="20"/>
        </w:rPr>
        <w:t xml:space="preserve">The Secretary is authorized to insure under this section any mortgage meeting the requirements of subsection (b) of this section, except as modified by this subsection, which involves a principal obligation not in excess of 75 per centum of the limit on the principal obligation applicable to a one-family residence under subsection (b) of this section and not in excess of 97 per centum (or, in any case where the dwelling is not approved for mortgage insurance prior to the beginning of construction, unless the construction of the dwelling was completed more than one year prior to the application for mortgage insurance or the dwelling was approved for guaranty, insurance, or direct loan under chapter </w:t>
      </w:r>
      <w:hyperlink r:id="rId8" w:history="1">
        <w:r>
          <w:rPr>
            <w:rStyle w:val="Hyperlink"/>
            <w:rFonts w:ascii="Verdana" w:hAnsi="Verdana"/>
            <w:sz w:val="20"/>
            <w:szCs w:val="20"/>
          </w:rPr>
          <w:t>37</w:t>
        </w:r>
      </w:hyperlink>
      <w:r>
        <w:rPr>
          <w:rFonts w:ascii="Verdana" w:hAnsi="Verdana"/>
          <w:color w:val="000000"/>
          <w:sz w:val="20"/>
          <w:szCs w:val="20"/>
        </w:rPr>
        <w:t xml:space="preserve"> of title </w:t>
      </w:r>
      <w:hyperlink r:id="rId9" w:history="1">
        <w:r>
          <w:rPr>
            <w:rStyle w:val="Hyperlink"/>
            <w:rFonts w:ascii="Verdana" w:hAnsi="Verdana"/>
            <w:sz w:val="20"/>
            <w:szCs w:val="20"/>
          </w:rPr>
          <w:t>38</w:t>
        </w:r>
      </w:hyperlink>
      <w:r>
        <w:rPr>
          <w:rFonts w:ascii="Verdana" w:hAnsi="Verdana"/>
          <w:color w:val="000000"/>
          <w:sz w:val="20"/>
          <w:szCs w:val="20"/>
        </w:rPr>
        <w:t xml:space="preserve"> prior to the beginning of construction, 90 per centum) of the appraised value of a property located in an area where the Secretary finds it is not practicable to obtain conformity with many of the requirements essential to the insurance of mortgages on housing in built-up urban areas, upon which there is located a dwelling designed principally for a single-family residence: Provided, That the Secretary finds that the property with respect to which the mortgage is executed is an acceptable risk, giving consideration to the need for providing adequate housing for families of low and moderate income particularly in suburban and outlying areas or small communities: Provided further, That under the foregoing provisions of this subsection the Secretary is authorized to insure any mortgage issued with respect to a farm home on a plot of land two and one-half or more acres in size adjacent to an all-weather public road. </w:t>
      </w:r>
    </w:p>
    <w:p w:rsidR="00FC09DF" w:rsidP="00FC09DF" w14:paraId="499E07CB" w14:textId="77777777">
      <w:pPr>
        <w:rPr>
          <w:rFonts w:ascii="Verdana" w:hAnsi="Verdana"/>
          <w:color w:val="000000"/>
          <w:sz w:val="20"/>
          <w:szCs w:val="20"/>
        </w:rPr>
      </w:pPr>
      <w:bookmarkStart w:id="50" w:name="j"/>
      <w:bookmarkEnd w:id="50"/>
      <w:r>
        <w:rPr>
          <w:rStyle w:val="enumbell"/>
          <w:rFonts w:ascii="Verdana" w:hAnsi="Verdana"/>
          <w:color w:val="000000"/>
          <w:sz w:val="20"/>
          <w:szCs w:val="20"/>
        </w:rPr>
        <w:t>(j)</w:t>
      </w:r>
      <w:r>
        <w:rPr>
          <w:rFonts w:ascii="Verdana" w:hAnsi="Verdana"/>
          <w:color w:val="000000"/>
          <w:sz w:val="20"/>
          <w:szCs w:val="20"/>
        </w:rPr>
        <w:t xml:space="preserve"> </w:t>
      </w:r>
      <w:r>
        <w:rPr>
          <w:rFonts w:ascii="Verdana" w:hAnsi="Verdana"/>
          <w:b/>
          <w:bCs/>
          <w:color w:val="000000"/>
          <w:sz w:val="20"/>
          <w:szCs w:val="20"/>
        </w:rPr>
        <w:t xml:space="preserve">Real estate loans by national banks </w:t>
      </w:r>
    </w:p>
    <w:p w:rsidR="00FC09DF" w:rsidP="00FC09DF" w14:paraId="4E9DD1C9" w14:textId="77777777">
      <w:pPr>
        <w:rPr>
          <w:rFonts w:ascii="Verdana" w:hAnsi="Verdana"/>
          <w:color w:val="000000"/>
          <w:sz w:val="20"/>
          <w:szCs w:val="20"/>
        </w:rPr>
      </w:pPr>
      <w:r>
        <w:rPr>
          <w:rFonts w:ascii="Verdana" w:hAnsi="Verdana"/>
          <w:color w:val="000000"/>
          <w:sz w:val="20"/>
          <w:szCs w:val="20"/>
        </w:rPr>
        <w:t xml:space="preserve">Loans secured by mortgages insured under this section shall not be </w:t>
      </w:r>
      <w:r>
        <w:rPr>
          <w:rFonts w:ascii="Verdana" w:hAnsi="Verdana"/>
          <w:color w:val="000000"/>
          <w:sz w:val="20"/>
          <w:szCs w:val="20"/>
        </w:rPr>
        <w:t>taken into account</w:t>
      </w:r>
      <w:r>
        <w:rPr>
          <w:rFonts w:ascii="Verdana" w:hAnsi="Verdana"/>
          <w:color w:val="000000"/>
          <w:sz w:val="20"/>
          <w:szCs w:val="20"/>
        </w:rPr>
        <w:t xml:space="preserve"> in determining the amount of real estate loans which a national bank may make in relation to its capital and surplus or its time and savings deposits. </w:t>
      </w:r>
    </w:p>
    <w:p w:rsidR="00FC09DF" w:rsidP="00FC09DF" w14:paraId="1785DA19" w14:textId="77777777">
      <w:pPr>
        <w:rPr>
          <w:rFonts w:ascii="Verdana" w:hAnsi="Verdana"/>
          <w:color w:val="000000"/>
          <w:sz w:val="20"/>
          <w:szCs w:val="20"/>
        </w:rPr>
      </w:pPr>
      <w:bookmarkStart w:id="51" w:name="k"/>
      <w:bookmarkEnd w:id="51"/>
      <w:r>
        <w:rPr>
          <w:rStyle w:val="enumbell"/>
          <w:rFonts w:ascii="Verdana" w:hAnsi="Verdana"/>
          <w:color w:val="000000"/>
          <w:sz w:val="20"/>
          <w:szCs w:val="20"/>
        </w:rPr>
        <w:t>(k)</w:t>
      </w:r>
      <w:r>
        <w:rPr>
          <w:rFonts w:ascii="Verdana" w:hAnsi="Verdana"/>
          <w:color w:val="000000"/>
          <w:sz w:val="20"/>
          <w:szCs w:val="20"/>
        </w:rPr>
        <w:t xml:space="preserve"> </w:t>
      </w:r>
      <w:r>
        <w:rPr>
          <w:rFonts w:ascii="Verdana" w:hAnsi="Verdana"/>
          <w:b/>
          <w:bCs/>
          <w:color w:val="000000"/>
          <w:sz w:val="20"/>
          <w:szCs w:val="20"/>
        </w:rPr>
        <w:t xml:space="preserve">Rehabilitation of one- to four-family structures; definitions; eligibility; refinancing and extension; General Insurance Fund </w:t>
      </w:r>
    </w:p>
    <w:p w:rsidR="00FC09DF" w:rsidP="00FC09DF" w14:paraId="050CAEE7" w14:textId="77777777">
      <w:pPr>
        <w:rPr>
          <w:rFonts w:ascii="Verdana" w:hAnsi="Verdana"/>
          <w:color w:val="000000"/>
          <w:sz w:val="20"/>
          <w:szCs w:val="20"/>
        </w:rPr>
      </w:pPr>
      <w:bookmarkStart w:id="52" w:name="k_1"/>
      <w:bookmarkEnd w:id="52"/>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The Secretary may, in order to assist in the rehabilitation of one- to four-family structures used primarily for residential purposes, insure and make commitments to </w:t>
      </w:r>
      <w:r>
        <w:rPr>
          <w:rStyle w:val="ptext-2"/>
          <w:rFonts w:ascii="Verdana" w:hAnsi="Verdana"/>
          <w:color w:val="000000"/>
          <w:sz w:val="20"/>
          <w:szCs w:val="20"/>
        </w:rPr>
        <w:t>insure</w:t>
      </w:r>
      <w:r>
        <w:rPr>
          <w:rStyle w:val="ptext-2"/>
          <w:rFonts w:ascii="Verdana" w:hAnsi="Verdana"/>
          <w:color w:val="000000"/>
          <w:sz w:val="20"/>
          <w:szCs w:val="20"/>
        </w:rPr>
        <w:t xml:space="preserve"> rehabilitation loans (including advances made during rehabilitation) made by financial institutions on and after 180 days following October 31, 1978. Such commitments to insure and such insurance shall be made upon such terms and conditions which the Secretary may </w:t>
      </w:r>
      <w:r>
        <w:rPr>
          <w:rStyle w:val="ptext-2"/>
          <w:rFonts w:ascii="Verdana" w:hAnsi="Verdana"/>
          <w:color w:val="000000"/>
          <w:sz w:val="20"/>
          <w:szCs w:val="20"/>
        </w:rPr>
        <w:t>prescribe</w:t>
      </w:r>
      <w:r>
        <w:rPr>
          <w:rStyle w:val="ptext-2"/>
          <w:rFonts w:ascii="Verdana" w:hAnsi="Verdana"/>
          <w:color w:val="000000"/>
          <w:sz w:val="20"/>
          <w:szCs w:val="20"/>
        </w:rPr>
        <w:t xml:space="preserve"> and which are consistent with the provisions of subsections (b), (c), (e), (i), and (j) of this section, except as modified by the provisions of this subsection. </w:t>
      </w:r>
    </w:p>
    <w:p w:rsidR="00FC09DF" w:rsidP="00FC09DF" w14:paraId="529E81C6" w14:textId="77777777">
      <w:pPr>
        <w:rPr>
          <w:rFonts w:ascii="Verdana" w:hAnsi="Verdana"/>
          <w:color w:val="000000"/>
          <w:sz w:val="20"/>
          <w:szCs w:val="20"/>
        </w:rPr>
      </w:pPr>
      <w:bookmarkStart w:id="53" w:name="k_2"/>
      <w:bookmarkEnd w:id="53"/>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For the purpose of this subsection— </w:t>
      </w:r>
    </w:p>
    <w:p w:rsidR="00FC09DF" w:rsidP="00FC09DF" w14:paraId="25E56911" w14:textId="77777777">
      <w:pPr>
        <w:rPr>
          <w:rFonts w:ascii="Verdana" w:hAnsi="Verdana"/>
          <w:color w:val="000000"/>
          <w:sz w:val="20"/>
          <w:szCs w:val="20"/>
        </w:rPr>
      </w:pPr>
      <w:bookmarkStart w:id="54" w:name="k_2_A"/>
      <w:bookmarkEnd w:id="54"/>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the term “rehabilitation loan” means a loan, advance of credit, or purchase of an obligation representing a loan or advance of credit, made for the purpose of financing— </w:t>
      </w:r>
    </w:p>
    <w:p w:rsidR="00FC09DF" w:rsidP="00FC09DF" w14:paraId="6CFC665F" w14:textId="77777777">
      <w:pPr>
        <w:rPr>
          <w:rFonts w:ascii="Verdana" w:hAnsi="Verdana"/>
          <w:color w:val="000000"/>
          <w:sz w:val="20"/>
          <w:szCs w:val="20"/>
        </w:rPr>
      </w:pPr>
      <w:bookmarkStart w:id="55" w:name="k_2_A_i"/>
      <w:bookmarkEnd w:id="55"/>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the rehabilitation of an existing one- to four-unit structure which will be used primarily for residential </w:t>
      </w:r>
      <w:r>
        <w:rPr>
          <w:rStyle w:val="ptext-4"/>
          <w:rFonts w:ascii="Verdana" w:hAnsi="Verdana"/>
          <w:color w:val="000000"/>
          <w:sz w:val="20"/>
          <w:szCs w:val="20"/>
        </w:rPr>
        <w:t>purposes;</w:t>
      </w:r>
      <w:r>
        <w:rPr>
          <w:rStyle w:val="ptext-4"/>
          <w:rFonts w:ascii="Verdana" w:hAnsi="Verdana"/>
          <w:color w:val="000000"/>
          <w:sz w:val="20"/>
          <w:szCs w:val="20"/>
        </w:rPr>
        <w:t xml:space="preserve"> </w:t>
      </w:r>
    </w:p>
    <w:p w:rsidR="00FC09DF" w:rsidP="00FC09DF" w14:paraId="29F0495E" w14:textId="77777777">
      <w:pPr>
        <w:rPr>
          <w:rFonts w:ascii="Verdana" w:hAnsi="Verdana"/>
          <w:color w:val="000000"/>
          <w:sz w:val="20"/>
          <w:szCs w:val="20"/>
        </w:rPr>
      </w:pPr>
      <w:bookmarkStart w:id="56" w:name="k_2_A_ii"/>
      <w:bookmarkEnd w:id="56"/>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the rehabilitation of such a structure and the refinancing of the outstanding indebtedness on such structure and the real property on which the structure is located; or </w:t>
      </w:r>
    </w:p>
    <w:p w:rsidR="00FC09DF" w:rsidP="00FC09DF" w14:paraId="023B628F" w14:textId="77777777">
      <w:pPr>
        <w:rPr>
          <w:rFonts w:ascii="Verdana" w:hAnsi="Verdana"/>
          <w:color w:val="000000"/>
          <w:sz w:val="20"/>
          <w:szCs w:val="20"/>
        </w:rPr>
      </w:pPr>
      <w:bookmarkStart w:id="57" w:name="k_2_A_iii"/>
      <w:bookmarkEnd w:id="57"/>
      <w:r>
        <w:rPr>
          <w:rStyle w:val="enumbell"/>
          <w:rFonts w:ascii="Verdana" w:hAnsi="Verdana"/>
          <w:color w:val="000000"/>
          <w:sz w:val="20"/>
          <w:szCs w:val="20"/>
        </w:rPr>
        <w:t>(iii)</w:t>
      </w:r>
      <w:r>
        <w:rPr>
          <w:rFonts w:ascii="Verdana" w:hAnsi="Verdana"/>
          <w:color w:val="000000"/>
          <w:sz w:val="20"/>
          <w:szCs w:val="20"/>
        </w:rPr>
        <w:t xml:space="preserve"> </w:t>
      </w:r>
      <w:r>
        <w:rPr>
          <w:rStyle w:val="ptext-4"/>
          <w:rFonts w:ascii="Verdana" w:hAnsi="Verdana"/>
          <w:color w:val="000000"/>
          <w:sz w:val="20"/>
          <w:szCs w:val="20"/>
        </w:rPr>
        <w:t xml:space="preserve">the rehabilitation of such a structure and the purchase of the structure and the real property on which it is located; and </w:t>
      </w:r>
    </w:p>
    <w:p w:rsidR="00FC09DF" w:rsidP="00FC09DF" w14:paraId="3B40BF66" w14:textId="77777777">
      <w:pPr>
        <w:rPr>
          <w:rFonts w:ascii="Verdana" w:hAnsi="Verdana"/>
          <w:color w:val="000000"/>
          <w:sz w:val="20"/>
          <w:szCs w:val="20"/>
        </w:rPr>
      </w:pPr>
      <w:bookmarkStart w:id="58" w:name="k_2_B"/>
      <w:bookmarkEnd w:id="58"/>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the term “rehabilitation” means the improvement (including improvements designed to meet cost-effective energy conservation standards prescribed by the Secretary) or repair of a structure, or facilities in connection with a structure, and may include the provision of such sanitary or other facilities as are required by applicable codes, a community development plan, or a statewide property insurance plan to be provided by the owner or tenant of the project. The term “rehabilitation” may also include measures to evaluate and reduce lead-based paint hazards, as such terms are defined in section </w:t>
      </w:r>
      <w:hyperlink r:id="rId36" w:history="1">
        <w:r>
          <w:rPr>
            <w:rStyle w:val="Hyperlink"/>
            <w:rFonts w:ascii="Verdana" w:hAnsi="Verdana"/>
            <w:sz w:val="20"/>
            <w:szCs w:val="20"/>
          </w:rPr>
          <w:t>4851b</w:t>
        </w:r>
      </w:hyperlink>
      <w:r>
        <w:rPr>
          <w:rStyle w:val="ptext-3"/>
          <w:rFonts w:ascii="Verdana" w:hAnsi="Verdana"/>
          <w:color w:val="000000"/>
          <w:sz w:val="20"/>
          <w:szCs w:val="20"/>
        </w:rPr>
        <w:t xml:space="preserve"> of title </w:t>
      </w:r>
      <w:hyperlink r:id="rId16" w:history="1">
        <w:r>
          <w:rPr>
            <w:rStyle w:val="Hyperlink"/>
            <w:rFonts w:ascii="Verdana" w:hAnsi="Verdana"/>
            <w:sz w:val="20"/>
            <w:szCs w:val="20"/>
          </w:rPr>
          <w:t>42</w:t>
        </w:r>
      </w:hyperlink>
      <w:r>
        <w:rPr>
          <w:rStyle w:val="ptext-3"/>
          <w:rFonts w:ascii="Verdana" w:hAnsi="Verdana"/>
          <w:color w:val="000000"/>
          <w:sz w:val="20"/>
          <w:szCs w:val="20"/>
        </w:rPr>
        <w:t xml:space="preserve">. </w:t>
      </w:r>
    </w:p>
    <w:p w:rsidR="00FC09DF" w:rsidP="00FC09DF" w14:paraId="3DFB6F6B" w14:textId="77777777">
      <w:pPr>
        <w:rPr>
          <w:rFonts w:ascii="Verdana" w:hAnsi="Verdana"/>
          <w:color w:val="000000"/>
          <w:sz w:val="20"/>
          <w:szCs w:val="20"/>
        </w:rPr>
      </w:pPr>
      <w:bookmarkStart w:id="59" w:name="k_3"/>
      <w:bookmarkEnd w:id="59"/>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To be eligible for insurance under this subsection, a rehabilitation loan shall— </w:t>
      </w:r>
    </w:p>
    <w:p w:rsidR="00FC09DF" w:rsidP="00FC09DF" w14:paraId="71EE31A9" w14:textId="77777777">
      <w:pPr>
        <w:rPr>
          <w:rFonts w:ascii="Verdana" w:hAnsi="Verdana"/>
          <w:color w:val="000000"/>
          <w:sz w:val="20"/>
          <w:szCs w:val="20"/>
        </w:rPr>
      </w:pPr>
      <w:bookmarkStart w:id="60" w:name="k_3_A"/>
      <w:bookmarkEnd w:id="60"/>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involve a principal obligation (including such initial service charges, appraisal, inspection, and other fees as the Secretary shall approve) in an amount which does not exceed, when added to any outstanding indebtedness of the borrower which is secured by the structure and the property on which it is located, the amount specified in subsection (b)(2) of this section; except that, in determining the amount of the principal obligation for purposes of this subsection, the Secretary shall establish as the appraised value of the property an amount not to exceed the sum of the estimated cost of rehabilitation and the Secretary’s estimate of the value of the property before rehabilitation; </w:t>
      </w:r>
    </w:p>
    <w:p w:rsidR="00FC09DF" w:rsidP="00FC09DF" w14:paraId="59F41FC5" w14:textId="77777777">
      <w:pPr>
        <w:rPr>
          <w:rFonts w:ascii="Verdana" w:hAnsi="Verdana"/>
          <w:color w:val="000000"/>
          <w:sz w:val="20"/>
          <w:szCs w:val="20"/>
        </w:rPr>
      </w:pPr>
      <w:bookmarkStart w:id="61" w:name="k_3_B"/>
      <w:bookmarkEnd w:id="61"/>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bear interest at such rate as may be agreed upon by the borrower and the financial </w:t>
      </w:r>
      <w:r>
        <w:rPr>
          <w:rStyle w:val="ptext-3"/>
          <w:rFonts w:ascii="Verdana" w:hAnsi="Verdana"/>
          <w:color w:val="000000"/>
          <w:sz w:val="20"/>
          <w:szCs w:val="20"/>
        </w:rPr>
        <w:t>institution;</w:t>
      </w:r>
      <w:r>
        <w:rPr>
          <w:rStyle w:val="ptext-3"/>
          <w:rFonts w:ascii="Verdana" w:hAnsi="Verdana"/>
          <w:color w:val="000000"/>
          <w:sz w:val="20"/>
          <w:szCs w:val="20"/>
        </w:rPr>
        <w:t xml:space="preserve"> </w:t>
      </w:r>
    </w:p>
    <w:p w:rsidR="00FC09DF" w:rsidP="00FC09DF" w14:paraId="0573C0AE" w14:textId="77777777">
      <w:pPr>
        <w:rPr>
          <w:rFonts w:ascii="Verdana" w:hAnsi="Verdana"/>
          <w:color w:val="000000"/>
          <w:sz w:val="20"/>
          <w:szCs w:val="20"/>
        </w:rPr>
      </w:pPr>
      <w:bookmarkStart w:id="62" w:name="k_3_C"/>
      <w:bookmarkEnd w:id="62"/>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be an acceptable risk, as determined by the Secretary; and </w:t>
      </w:r>
    </w:p>
    <w:p w:rsidR="00FC09DF" w:rsidP="00FC09DF" w14:paraId="44B38D35" w14:textId="77777777">
      <w:pPr>
        <w:rPr>
          <w:rFonts w:ascii="Verdana" w:hAnsi="Verdana"/>
          <w:color w:val="000000"/>
          <w:sz w:val="20"/>
          <w:szCs w:val="20"/>
        </w:rPr>
      </w:pPr>
      <w:bookmarkStart w:id="63" w:name="k_3_D"/>
      <w:bookmarkEnd w:id="63"/>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 xml:space="preserve">comply with such other terms, conditions, and restrictions as the Secretary may prescribe. </w:t>
      </w:r>
    </w:p>
    <w:p w:rsidR="00FC09DF" w:rsidP="00FC09DF" w14:paraId="373CF45C" w14:textId="77777777">
      <w:pPr>
        <w:rPr>
          <w:rFonts w:ascii="Verdana" w:hAnsi="Verdana"/>
          <w:color w:val="000000"/>
          <w:sz w:val="20"/>
          <w:szCs w:val="20"/>
        </w:rPr>
      </w:pPr>
      <w:bookmarkStart w:id="64" w:name="k_4"/>
      <w:bookmarkEnd w:id="64"/>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Any rehabilitation loan insured under this subsection may be refinanced and extended in accordance with such terms and conditions as the Secretary may prescribe, but in no event for an additional amount or term which exceeds the maximum provided for in this subsection. </w:t>
      </w:r>
    </w:p>
    <w:p w:rsidR="00FC09DF" w:rsidP="00FC09DF" w14:paraId="3877398D" w14:textId="77777777">
      <w:pPr>
        <w:rPr>
          <w:rFonts w:ascii="Verdana" w:hAnsi="Verdana"/>
          <w:color w:val="000000"/>
          <w:sz w:val="20"/>
          <w:szCs w:val="20"/>
        </w:rPr>
      </w:pPr>
      <w:bookmarkStart w:id="65" w:name="k_5"/>
      <w:bookmarkEnd w:id="65"/>
      <w:r>
        <w:rPr>
          <w:rStyle w:val="enumbell"/>
          <w:rFonts w:ascii="Verdana" w:hAnsi="Verdana"/>
          <w:color w:val="000000"/>
          <w:sz w:val="20"/>
          <w:szCs w:val="20"/>
        </w:rPr>
        <w:t>(5)</w:t>
      </w:r>
      <w:r>
        <w:rPr>
          <w:rFonts w:ascii="Verdana" w:hAnsi="Verdana"/>
          <w:color w:val="000000"/>
          <w:sz w:val="20"/>
          <w:szCs w:val="20"/>
        </w:rPr>
        <w:t xml:space="preserve"> </w:t>
      </w:r>
      <w:r>
        <w:rPr>
          <w:rStyle w:val="ptext-2"/>
          <w:rFonts w:ascii="Verdana" w:hAnsi="Verdana"/>
          <w:color w:val="000000"/>
          <w:sz w:val="20"/>
          <w:szCs w:val="20"/>
        </w:rPr>
        <w:t xml:space="preserve">All funds </w:t>
      </w:r>
      <w:r>
        <w:rPr>
          <w:rStyle w:val="ptext-2"/>
          <w:rFonts w:ascii="Verdana" w:hAnsi="Verdana"/>
          <w:color w:val="000000"/>
          <w:sz w:val="20"/>
          <w:szCs w:val="20"/>
        </w:rPr>
        <w:t>received</w:t>
      </w:r>
      <w:r>
        <w:rPr>
          <w:rStyle w:val="ptext-2"/>
          <w:rFonts w:ascii="Verdana" w:hAnsi="Verdana"/>
          <w:color w:val="000000"/>
          <w:sz w:val="20"/>
          <w:szCs w:val="20"/>
        </w:rPr>
        <w:t xml:space="preserve"> and all disbursements made pursuant to the authority established by this subsection shall be credited or charged, as appropriate, to the General Insurance Fund, and insurance benefits shall be paid in cash out of such Fund or in debentures executed in the name of such Fund. Insurance benefits paid with respect to loans secured by a first mortgage and insured under this subsection shall be paid in accordance with section </w:t>
      </w:r>
      <w:hyperlink r:id="rId37" w:history="1">
        <w:r>
          <w:rPr>
            <w:rStyle w:val="Hyperlink"/>
            <w:rFonts w:ascii="Verdana" w:hAnsi="Verdana"/>
            <w:sz w:val="20"/>
            <w:szCs w:val="20"/>
          </w:rPr>
          <w:t>1710</w:t>
        </w:r>
      </w:hyperlink>
      <w:r>
        <w:rPr>
          <w:rStyle w:val="ptext-2"/>
          <w:rFonts w:ascii="Verdana" w:hAnsi="Verdana"/>
          <w:color w:val="000000"/>
          <w:sz w:val="20"/>
          <w:szCs w:val="20"/>
        </w:rPr>
        <w:t xml:space="preserve"> of this title, except that all references in section </w:t>
      </w:r>
      <w:hyperlink r:id="rId37" w:history="1">
        <w:r>
          <w:rPr>
            <w:rStyle w:val="Hyperlink"/>
            <w:rFonts w:ascii="Verdana" w:hAnsi="Verdana"/>
            <w:sz w:val="20"/>
            <w:szCs w:val="20"/>
          </w:rPr>
          <w:t>1710</w:t>
        </w:r>
      </w:hyperlink>
      <w:r>
        <w:rPr>
          <w:rStyle w:val="ptext-2"/>
          <w:rFonts w:ascii="Verdana" w:hAnsi="Verdana"/>
          <w:color w:val="000000"/>
          <w:sz w:val="20"/>
          <w:szCs w:val="20"/>
        </w:rPr>
        <w:t xml:space="preserve"> of this title to the Mutual Mortgage Insurance Fund shall be construed as referring to the General Insurance Fund. Insurance benefits paid with respect to loans secured by a mortgage other than a first mortgage and insured under this subsection shall be paid in accordance with paragraphs (6) and (7) of section </w:t>
      </w:r>
      <w:hyperlink r:id="rId38" w:history="1">
        <w:r>
          <w:rPr>
            <w:rStyle w:val="Hyperlink"/>
            <w:rFonts w:ascii="Verdana" w:hAnsi="Verdana"/>
            <w:sz w:val="20"/>
            <w:szCs w:val="20"/>
          </w:rPr>
          <w:t>1715k</w:t>
        </w:r>
      </w:hyperlink>
      <w:r>
        <w:rPr>
          <w:rStyle w:val="ptext-2"/>
          <w:rFonts w:ascii="Verdana" w:hAnsi="Verdana"/>
          <w:color w:val="000000"/>
          <w:sz w:val="20"/>
          <w:szCs w:val="20"/>
        </w:rPr>
        <w:t xml:space="preserve"> </w:t>
      </w:r>
      <w:hyperlink r:id="rId38" w:anchor="h" w:history="1">
        <w:r>
          <w:rPr>
            <w:rStyle w:val="Hyperlink"/>
            <w:rFonts w:ascii="Verdana" w:hAnsi="Verdana"/>
            <w:sz w:val="20"/>
            <w:szCs w:val="20"/>
          </w:rPr>
          <w:t>(h)</w:t>
        </w:r>
      </w:hyperlink>
      <w:r>
        <w:rPr>
          <w:rStyle w:val="ptext-2"/>
          <w:rFonts w:ascii="Verdana" w:hAnsi="Verdana"/>
          <w:color w:val="000000"/>
          <w:sz w:val="20"/>
          <w:szCs w:val="20"/>
        </w:rPr>
        <w:t xml:space="preserve"> of this title, except that reference to “this subsection” in such paragraphs shall be construed as referring to this subsection. </w:t>
      </w:r>
    </w:p>
    <w:p w:rsidR="00FC09DF" w:rsidP="00FC09DF" w14:paraId="50E79EAD" w14:textId="77777777">
      <w:pPr>
        <w:rPr>
          <w:rFonts w:ascii="Verdana" w:hAnsi="Verdana"/>
          <w:color w:val="000000"/>
          <w:sz w:val="20"/>
          <w:szCs w:val="20"/>
        </w:rPr>
      </w:pPr>
      <w:bookmarkStart w:id="66" w:name="l"/>
      <w:bookmarkEnd w:id="66"/>
      <w:r>
        <w:rPr>
          <w:rStyle w:val="enumbell"/>
          <w:rFonts w:ascii="Verdana" w:hAnsi="Verdana"/>
          <w:color w:val="000000"/>
          <w:sz w:val="20"/>
          <w:szCs w:val="20"/>
        </w:rPr>
        <w:t>(l)</w:t>
      </w:r>
      <w:r>
        <w:rPr>
          <w:rFonts w:ascii="Verdana" w:hAnsi="Verdana"/>
          <w:color w:val="000000"/>
          <w:sz w:val="20"/>
          <w:szCs w:val="20"/>
        </w:rPr>
        <w:t xml:space="preserve"> </w:t>
      </w:r>
      <w:r>
        <w:rPr>
          <w:rFonts w:ascii="Verdana" w:hAnsi="Verdana"/>
          <w:b/>
          <w:bCs/>
          <w:color w:val="000000"/>
          <w:sz w:val="20"/>
          <w:szCs w:val="20"/>
        </w:rPr>
        <w:t>Repealed. Pub. L. 90–448, title I, §</w:t>
      </w:r>
      <w:r>
        <w:rPr>
          <w:rFonts w:ascii="Verdana" w:hAnsi="Verdana" w:cs="Verdana"/>
          <w:b/>
          <w:bCs/>
          <w:color w:val="000000"/>
          <w:sz w:val="20"/>
          <w:szCs w:val="20"/>
        </w:rPr>
        <w:t> 103(b), Aug. 1, 1968, 82</w:t>
      </w:r>
      <w:r>
        <w:rPr>
          <w:rFonts w:ascii="Verdana" w:hAnsi="Verdana"/>
          <w:b/>
          <w:bCs/>
          <w:color w:val="000000"/>
          <w:sz w:val="20"/>
          <w:szCs w:val="20"/>
        </w:rPr>
        <w:t xml:space="preserve"> Stat. 486 </w:t>
      </w:r>
    </w:p>
    <w:p w:rsidR="00FC09DF" w:rsidP="00FC09DF" w14:paraId="60BF457C" w14:textId="77777777">
      <w:pPr>
        <w:rPr>
          <w:rFonts w:ascii="Verdana" w:hAnsi="Verdana"/>
          <w:color w:val="000000"/>
          <w:sz w:val="20"/>
          <w:szCs w:val="20"/>
        </w:rPr>
      </w:pPr>
      <w:bookmarkStart w:id="67" w:name="m"/>
      <w:bookmarkEnd w:id="67"/>
      <w:r>
        <w:rPr>
          <w:rStyle w:val="enumbell"/>
          <w:rFonts w:ascii="Verdana" w:hAnsi="Verdana"/>
          <w:color w:val="000000"/>
          <w:sz w:val="20"/>
          <w:szCs w:val="20"/>
        </w:rPr>
        <w:t>(m)</w:t>
      </w:r>
      <w:r>
        <w:rPr>
          <w:rFonts w:ascii="Verdana" w:hAnsi="Verdana"/>
          <w:color w:val="000000"/>
          <w:sz w:val="20"/>
          <w:szCs w:val="20"/>
        </w:rPr>
        <w:t xml:space="preserve"> </w:t>
      </w:r>
      <w:r>
        <w:rPr>
          <w:rFonts w:ascii="Verdana" w:hAnsi="Verdana"/>
          <w:b/>
          <w:bCs/>
          <w:color w:val="000000"/>
          <w:sz w:val="20"/>
          <w:szCs w:val="20"/>
        </w:rPr>
        <w:t>Repealed. Pub. L. 100–242, title IV, §</w:t>
      </w:r>
      <w:r>
        <w:rPr>
          <w:rFonts w:ascii="Verdana" w:hAnsi="Verdana" w:cs="Verdana"/>
          <w:b/>
          <w:bCs/>
          <w:color w:val="000000"/>
          <w:sz w:val="20"/>
          <w:szCs w:val="20"/>
        </w:rPr>
        <w:t> 406(c), Feb.</w:t>
      </w:r>
      <w:r>
        <w:rPr>
          <w:rFonts w:ascii="Verdana" w:hAnsi="Verdana"/>
          <w:b/>
          <w:bCs/>
          <w:color w:val="000000"/>
          <w:sz w:val="20"/>
          <w:szCs w:val="20"/>
        </w:rPr>
        <w:t xml:space="preserve"> 5, 1988, 101 Stat. 1902 </w:t>
      </w:r>
    </w:p>
    <w:p w:rsidR="00FC09DF" w:rsidP="00FC09DF" w14:paraId="24D9A2CE" w14:textId="77777777">
      <w:pPr>
        <w:rPr>
          <w:rFonts w:ascii="Verdana" w:hAnsi="Verdana"/>
          <w:color w:val="000000"/>
          <w:sz w:val="20"/>
          <w:szCs w:val="20"/>
        </w:rPr>
      </w:pPr>
      <w:bookmarkStart w:id="68" w:name="n"/>
      <w:bookmarkEnd w:id="68"/>
      <w:r>
        <w:rPr>
          <w:rStyle w:val="enumbell"/>
          <w:rFonts w:ascii="Verdana" w:hAnsi="Verdana"/>
          <w:color w:val="000000"/>
          <w:sz w:val="20"/>
          <w:szCs w:val="20"/>
        </w:rPr>
        <w:t>(n)</w:t>
      </w:r>
      <w:r>
        <w:rPr>
          <w:rFonts w:ascii="Verdana" w:hAnsi="Verdana"/>
          <w:color w:val="000000"/>
          <w:sz w:val="20"/>
          <w:szCs w:val="20"/>
        </w:rPr>
        <w:t xml:space="preserve"> </w:t>
      </w:r>
      <w:r>
        <w:rPr>
          <w:rFonts w:ascii="Verdana" w:hAnsi="Verdana"/>
          <w:b/>
          <w:bCs/>
          <w:color w:val="000000"/>
          <w:sz w:val="20"/>
          <w:szCs w:val="20"/>
        </w:rPr>
        <w:t xml:space="preserve">Cooperative housing projects; definitions </w:t>
      </w:r>
    </w:p>
    <w:p w:rsidR="00FC09DF" w:rsidP="00FC09DF" w14:paraId="4C477CDF" w14:textId="77777777">
      <w:pPr>
        <w:rPr>
          <w:rFonts w:ascii="Verdana" w:hAnsi="Verdana"/>
          <w:color w:val="000000"/>
          <w:sz w:val="20"/>
          <w:szCs w:val="20"/>
        </w:rPr>
      </w:pPr>
      <w:bookmarkStart w:id="69" w:name="n_1"/>
      <w:bookmarkEnd w:id="69"/>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The Secretary is authorized to insure under this section any mortgage meeting the requirements of subsection (b) of this section, except as modified by this subsection. To be eligible, the mortgage shall involve a dwelling unit in a cooperative housing project which is covered by a blanket mortgage insured under this chapter or the construction of which was completed more than a year prior to the application for the mortgage insurance. The mortgage amount as determined under the other provisions of subsection (b) of this section shall be reduced by an amount equal to the portion of the unpaid balance of the blanket mortgage covering the project which is attributable (as of the date the mortgage is accepted for insurance) to such unit. </w:t>
      </w:r>
    </w:p>
    <w:p w:rsidR="00FC09DF" w:rsidP="00FC09DF" w14:paraId="6D8E4E27" w14:textId="77777777">
      <w:pPr>
        <w:rPr>
          <w:rFonts w:ascii="Verdana" w:hAnsi="Verdana"/>
          <w:color w:val="000000"/>
          <w:sz w:val="20"/>
          <w:szCs w:val="20"/>
        </w:rPr>
      </w:pPr>
      <w:bookmarkStart w:id="70" w:name="n_2"/>
      <w:bookmarkEnd w:id="70"/>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For the purposes of this subsection— </w:t>
      </w:r>
    </w:p>
    <w:p w:rsidR="00FC09DF" w:rsidP="00FC09DF" w14:paraId="07591187" w14:textId="77777777">
      <w:pPr>
        <w:rPr>
          <w:rFonts w:ascii="Verdana" w:hAnsi="Verdana"/>
          <w:color w:val="000000"/>
          <w:sz w:val="20"/>
          <w:szCs w:val="20"/>
        </w:rPr>
      </w:pPr>
      <w:bookmarkStart w:id="71" w:name="n_2_A"/>
      <w:bookmarkEnd w:id="71"/>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The terms “home mortgage” and “mortgage” include a first lien given (in accordance with the laws of the State where the property is located and accompanied by such security and other undertakings as may be required under regulations of the Secretary) to secure a loan made to finance the purchase of stock or membership in a cooperative ownership housing corporation the permanent occupancy of the dwelling units of which is restricted to members of such corporation, where the purchase of such stock or membership will entitle the purchaser to the permanent occupancy of one of such units. </w:t>
      </w:r>
    </w:p>
    <w:p w:rsidR="00FC09DF" w:rsidP="00FC09DF" w14:paraId="7F02161F" w14:textId="77777777">
      <w:pPr>
        <w:rPr>
          <w:rFonts w:ascii="Verdana" w:hAnsi="Verdana"/>
          <w:color w:val="000000"/>
          <w:sz w:val="20"/>
          <w:szCs w:val="20"/>
        </w:rPr>
      </w:pPr>
      <w:bookmarkStart w:id="72" w:name="n_2_B"/>
      <w:bookmarkEnd w:id="72"/>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The terms “appraised value of the property”, “value of the property”, and “value” include the appraised value of a dwelling unit in a cooperative housing project of the type described in subparagraph (A) where the purchase of the stock or membership involved will entitle the purchaser to the permanent occupancy of that unit; and the term “property” includes a dwelling unit in such a cooperative project. </w:t>
      </w:r>
    </w:p>
    <w:p w:rsidR="00FC09DF" w:rsidP="00FC09DF" w14:paraId="0E17984E" w14:textId="77777777">
      <w:pPr>
        <w:rPr>
          <w:rFonts w:ascii="Verdana" w:hAnsi="Verdana"/>
          <w:color w:val="000000"/>
          <w:sz w:val="20"/>
          <w:szCs w:val="20"/>
        </w:rPr>
      </w:pPr>
      <w:bookmarkStart w:id="73" w:name="n_2_C"/>
      <w:bookmarkEnd w:id="73"/>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The term “mortgagor” includes a person or persons giving a first lien (of the type described in subparagraph (A)) to secure a loan to finance the purchase of stock or membership in a cooperative housing corporation. </w:t>
      </w:r>
    </w:p>
    <w:p w:rsidR="00FC09DF" w:rsidP="00FC09DF" w14:paraId="3A3A9153" w14:textId="77777777">
      <w:pPr>
        <w:rPr>
          <w:rFonts w:ascii="Verdana" w:hAnsi="Verdana"/>
          <w:color w:val="000000"/>
          <w:sz w:val="20"/>
          <w:szCs w:val="20"/>
        </w:rPr>
      </w:pPr>
      <w:bookmarkStart w:id="74" w:name="o"/>
      <w:bookmarkEnd w:id="74"/>
      <w:r>
        <w:rPr>
          <w:rStyle w:val="enumbell"/>
          <w:rFonts w:ascii="Verdana" w:hAnsi="Verdana"/>
          <w:color w:val="000000"/>
          <w:sz w:val="20"/>
          <w:szCs w:val="20"/>
        </w:rPr>
        <w:t>(o)</w:t>
      </w:r>
      <w:r>
        <w:rPr>
          <w:rFonts w:ascii="Verdana" w:hAnsi="Verdana"/>
          <w:color w:val="000000"/>
          <w:sz w:val="20"/>
          <w:szCs w:val="20"/>
        </w:rPr>
        <w:t xml:space="preserve"> </w:t>
      </w:r>
      <w:r>
        <w:rPr>
          <w:rFonts w:ascii="Verdana" w:hAnsi="Verdana"/>
          <w:b/>
          <w:bCs/>
          <w:color w:val="000000"/>
          <w:sz w:val="20"/>
          <w:szCs w:val="20"/>
        </w:rPr>
        <w:t xml:space="preserve">Insurance of mortgages on owner occupied homes in communities subject to adverse economic conditions resulting from Indian claims to ownership of </w:t>
      </w:r>
      <w:r>
        <w:rPr>
          <w:rFonts w:ascii="Verdana" w:hAnsi="Verdana"/>
          <w:b/>
          <w:bCs/>
          <w:color w:val="000000"/>
          <w:sz w:val="20"/>
          <w:szCs w:val="20"/>
        </w:rPr>
        <w:t>land;</w:t>
      </w:r>
      <w:r>
        <w:rPr>
          <w:rFonts w:ascii="Verdana" w:hAnsi="Verdana"/>
          <w:b/>
          <w:bCs/>
          <w:color w:val="000000"/>
          <w:sz w:val="20"/>
          <w:szCs w:val="20"/>
        </w:rPr>
        <w:t xml:space="preserve"> obligation of Special Risk Insurance Fund </w:t>
      </w:r>
    </w:p>
    <w:p w:rsidR="00FC09DF" w:rsidP="00FC09DF" w14:paraId="73E5DE56" w14:textId="77777777">
      <w:pPr>
        <w:rPr>
          <w:rFonts w:ascii="Verdana" w:hAnsi="Verdana"/>
          <w:color w:val="000000"/>
          <w:sz w:val="20"/>
          <w:szCs w:val="20"/>
        </w:rPr>
      </w:pPr>
      <w:bookmarkStart w:id="75" w:name="o_1"/>
      <w:bookmarkEnd w:id="75"/>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Notwithstanding any other provision of this section or any other section of this subchapter, the Secretary is authorized to insure, and to commit to insure, under subsection (b) of this section as modified by this subsection a mortgage which meets both the requirements of this subsection and such criteria as the Secretary by regulation may prescribe to further the purpose of this subsection, in any community where the Secretary determines that— </w:t>
      </w:r>
    </w:p>
    <w:p w:rsidR="00FC09DF" w:rsidP="00FC09DF" w14:paraId="548F8A7E" w14:textId="77777777">
      <w:pPr>
        <w:rPr>
          <w:rFonts w:ascii="Verdana" w:hAnsi="Verdana"/>
          <w:color w:val="000000"/>
          <w:sz w:val="20"/>
          <w:szCs w:val="20"/>
        </w:rPr>
      </w:pPr>
      <w:bookmarkStart w:id="76" w:name="o_1_A"/>
      <w:bookmarkEnd w:id="76"/>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temporary adverse economic conditions exist throughout the community as a direct and primary result of outstanding claims to ownership of land in the community by an American Indian tribe, band, or </w:t>
      </w:r>
      <w:r>
        <w:rPr>
          <w:rStyle w:val="ptext-3"/>
          <w:rFonts w:ascii="Verdana" w:hAnsi="Verdana"/>
          <w:color w:val="000000"/>
          <w:sz w:val="20"/>
          <w:szCs w:val="20"/>
        </w:rPr>
        <w:t>Nation;</w:t>
      </w:r>
      <w:r>
        <w:rPr>
          <w:rStyle w:val="ptext-3"/>
          <w:rFonts w:ascii="Verdana" w:hAnsi="Verdana"/>
          <w:color w:val="000000"/>
          <w:sz w:val="20"/>
          <w:szCs w:val="20"/>
        </w:rPr>
        <w:t xml:space="preserve"> </w:t>
      </w:r>
    </w:p>
    <w:p w:rsidR="00FC09DF" w:rsidP="00FC09DF" w14:paraId="21C0EA5A" w14:textId="77777777">
      <w:pPr>
        <w:rPr>
          <w:rFonts w:ascii="Verdana" w:hAnsi="Verdana"/>
          <w:color w:val="000000"/>
          <w:sz w:val="20"/>
          <w:szCs w:val="20"/>
        </w:rPr>
      </w:pPr>
      <w:bookmarkStart w:id="77" w:name="o_1_B"/>
      <w:bookmarkEnd w:id="77"/>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such ownership claims are reasonably likely to be settled, by court action or </w:t>
      </w:r>
      <w:r>
        <w:rPr>
          <w:rStyle w:val="ptext-3"/>
          <w:rFonts w:ascii="Verdana" w:hAnsi="Verdana"/>
          <w:color w:val="000000"/>
          <w:sz w:val="20"/>
          <w:szCs w:val="20"/>
        </w:rPr>
        <w:t>otherwise;</w:t>
      </w:r>
      <w:r>
        <w:rPr>
          <w:rStyle w:val="ptext-3"/>
          <w:rFonts w:ascii="Verdana" w:hAnsi="Verdana"/>
          <w:color w:val="000000"/>
          <w:sz w:val="20"/>
          <w:szCs w:val="20"/>
        </w:rPr>
        <w:t xml:space="preserve"> </w:t>
      </w:r>
    </w:p>
    <w:p w:rsidR="00FC09DF" w:rsidP="00FC09DF" w14:paraId="00EB4BBA" w14:textId="77777777">
      <w:pPr>
        <w:rPr>
          <w:rFonts w:ascii="Verdana" w:hAnsi="Verdana"/>
          <w:color w:val="000000"/>
          <w:sz w:val="20"/>
          <w:szCs w:val="20"/>
        </w:rPr>
      </w:pPr>
      <w:bookmarkStart w:id="78" w:name="o_1_C"/>
      <w:bookmarkEnd w:id="78"/>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as a direct result of the community’s temporarily impaired economic condition, owner occupants of homes in the community have been involuntarily unemployed or underemployed and have thus incurred substantial reductions in income which significantly impair their ability to continue timely payment of their </w:t>
      </w:r>
      <w:r>
        <w:rPr>
          <w:rStyle w:val="ptext-3"/>
          <w:rFonts w:ascii="Verdana" w:hAnsi="Verdana"/>
          <w:color w:val="000000"/>
          <w:sz w:val="20"/>
          <w:szCs w:val="20"/>
        </w:rPr>
        <w:t>mortgages;</w:t>
      </w:r>
      <w:r>
        <w:rPr>
          <w:rStyle w:val="ptext-3"/>
          <w:rFonts w:ascii="Verdana" w:hAnsi="Verdana"/>
          <w:color w:val="000000"/>
          <w:sz w:val="20"/>
          <w:szCs w:val="20"/>
        </w:rPr>
        <w:t xml:space="preserve"> </w:t>
      </w:r>
    </w:p>
    <w:p w:rsidR="00FC09DF" w:rsidP="00FC09DF" w14:paraId="5DC4C78E" w14:textId="77777777">
      <w:pPr>
        <w:rPr>
          <w:rFonts w:ascii="Verdana" w:hAnsi="Verdana"/>
          <w:color w:val="000000"/>
          <w:sz w:val="20"/>
          <w:szCs w:val="20"/>
        </w:rPr>
      </w:pPr>
      <w:bookmarkStart w:id="79" w:name="o_1_D"/>
      <w:bookmarkEnd w:id="79"/>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 xml:space="preserve">as a result, widespread mortgage foreclosures and distress sales of homes are likely in the community; and </w:t>
      </w:r>
    </w:p>
    <w:p w:rsidR="00FC09DF" w:rsidP="00FC09DF" w14:paraId="61287A23" w14:textId="77777777">
      <w:pPr>
        <w:rPr>
          <w:rFonts w:ascii="Verdana" w:hAnsi="Verdana"/>
          <w:color w:val="000000"/>
          <w:sz w:val="20"/>
          <w:szCs w:val="20"/>
        </w:rPr>
      </w:pPr>
      <w:bookmarkStart w:id="80" w:name="o_1_E"/>
      <w:bookmarkEnd w:id="80"/>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fifty or more individual homeowners were joined as </w:t>
      </w:r>
      <w:r>
        <w:rPr>
          <w:rStyle w:val="ptext-3"/>
          <w:rFonts w:ascii="Verdana" w:hAnsi="Verdana"/>
          <w:color w:val="000000"/>
          <w:sz w:val="20"/>
          <w:szCs w:val="20"/>
        </w:rPr>
        <w:t>parties</w:t>
      </w:r>
      <w:r>
        <w:rPr>
          <w:rStyle w:val="ptext-3"/>
          <w:rFonts w:ascii="Verdana" w:hAnsi="Verdana"/>
          <w:color w:val="000000"/>
          <w:sz w:val="20"/>
          <w:szCs w:val="20"/>
        </w:rPr>
        <w:t xml:space="preserve"> defendant or were members of a defendant class prior to December 31, 1976, in litigation involving claims to ownership of land in the community by an American Indian tribe, band, or Nation. </w:t>
      </w:r>
    </w:p>
    <w:p w:rsidR="00FC09DF" w:rsidP="00FC09DF" w14:paraId="68E27711" w14:textId="77777777">
      <w:pPr>
        <w:rPr>
          <w:rFonts w:ascii="Verdana" w:hAnsi="Verdana"/>
          <w:color w:val="000000"/>
          <w:sz w:val="20"/>
          <w:szCs w:val="20"/>
        </w:rPr>
      </w:pPr>
      <w:bookmarkStart w:id="81" w:name="o_2"/>
      <w:bookmarkEnd w:id="81"/>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A mortgage shall be eligible for insurance under subsection (b) of this section as modified by this subsection without regard to limitations in this subchapter relating to a mortgagor’s reasonable ability to pay, economic soundness, marketability of title, or any other statutory restriction which the Secretary determines is contrary to the purpose of this subsection, but only if the mortgagor is an owner of a home in a community specified in paragraph (1) who, as a direct result of the community’s temporarily impaired economic condition, has been involuntarily unemployed or underemployed and has thus incurred a substantial reduction in income which significantly impairs the owner’s ability to continue timely payment of the mortgage. The Secretary is authorized to encourage or afford directly to or on behalf of mortgagors whose mortgages are insured under subsection (b) of this section as modified by this subsection </w:t>
      </w:r>
      <w:r>
        <w:rPr>
          <w:rStyle w:val="ptext-2"/>
          <w:rFonts w:ascii="Verdana" w:hAnsi="Verdana"/>
          <w:color w:val="000000"/>
          <w:sz w:val="20"/>
          <w:szCs w:val="20"/>
        </w:rPr>
        <w:t>forebearance</w:t>
      </w:r>
      <w:r>
        <w:rPr>
          <w:rStyle w:val="ptext-2"/>
          <w:rFonts w:ascii="Verdana" w:hAnsi="Verdana"/>
          <w:color w:val="000000"/>
          <w:sz w:val="20"/>
          <w:szCs w:val="20"/>
        </w:rPr>
        <w:t xml:space="preserve">, assignment of mortgages to the Secretary, or such other relief as the Secretary deems appropriate and consistent with the purpose of this subsection. The Secretary, in connection with any mortgage insured under subsection (b) of this section as modified by this subsection, shall have all statutory powers, authority, and responsibilities which the Secretary has with respect to other mortgages insured under subsection (b) of this section, except that the Secretary may modify such powers, authority, or responsibilities where the Secretary deems such action to be necessary because of the special nature of the mortgage involved. Notwithstanding section </w:t>
      </w:r>
      <w:hyperlink r:id="rId39" w:history="1">
        <w:r>
          <w:rPr>
            <w:rStyle w:val="Hyperlink"/>
            <w:rFonts w:ascii="Verdana" w:hAnsi="Verdana"/>
            <w:sz w:val="20"/>
            <w:szCs w:val="20"/>
          </w:rPr>
          <w:t>1708</w:t>
        </w:r>
      </w:hyperlink>
      <w:r>
        <w:rPr>
          <w:rStyle w:val="ptext-2"/>
          <w:rFonts w:ascii="Verdana" w:hAnsi="Verdana"/>
          <w:color w:val="000000"/>
          <w:sz w:val="20"/>
          <w:szCs w:val="20"/>
        </w:rPr>
        <w:t xml:space="preserve"> of this title, the insurance of a mortgage under subsection (b) of this section as modified by this subsection shall be the obligation of the Special Risk Insurance Fund created pursuant to section </w:t>
      </w:r>
      <w:hyperlink r:id="rId40" w:history="1">
        <w:r>
          <w:rPr>
            <w:rStyle w:val="Hyperlink"/>
            <w:rFonts w:ascii="Verdana" w:hAnsi="Verdana"/>
            <w:sz w:val="20"/>
            <w:szCs w:val="20"/>
          </w:rPr>
          <w:t>1715z–3</w:t>
        </w:r>
      </w:hyperlink>
      <w:r>
        <w:rPr>
          <w:rStyle w:val="ptext-2"/>
          <w:rFonts w:ascii="Verdana" w:hAnsi="Verdana"/>
          <w:color w:val="000000"/>
          <w:sz w:val="20"/>
          <w:szCs w:val="20"/>
        </w:rPr>
        <w:t xml:space="preserve"> of this title. </w:t>
      </w:r>
    </w:p>
    <w:p w:rsidR="00FC09DF" w:rsidP="00FC09DF" w14:paraId="52FEA5A9" w14:textId="77777777">
      <w:pPr>
        <w:rPr>
          <w:rFonts w:ascii="Verdana" w:hAnsi="Verdana"/>
          <w:color w:val="000000"/>
          <w:sz w:val="20"/>
          <w:szCs w:val="20"/>
        </w:rPr>
      </w:pPr>
      <w:bookmarkStart w:id="82" w:name="p"/>
      <w:bookmarkEnd w:id="82"/>
      <w:r>
        <w:rPr>
          <w:rStyle w:val="enumbell"/>
          <w:rFonts w:ascii="Verdana" w:hAnsi="Verdana"/>
          <w:color w:val="000000"/>
          <w:sz w:val="20"/>
          <w:szCs w:val="20"/>
        </w:rPr>
        <w:t>(p)</w:t>
      </w:r>
      <w:r>
        <w:rPr>
          <w:rFonts w:ascii="Verdana" w:hAnsi="Verdana"/>
          <w:color w:val="000000"/>
          <w:sz w:val="20"/>
          <w:szCs w:val="20"/>
        </w:rPr>
        <w:t xml:space="preserve"> </w:t>
      </w:r>
      <w:r>
        <w:rPr>
          <w:rFonts w:ascii="Verdana" w:hAnsi="Verdana"/>
          <w:b/>
          <w:bCs/>
          <w:color w:val="000000"/>
          <w:sz w:val="20"/>
          <w:szCs w:val="20"/>
        </w:rPr>
        <w:t xml:space="preserve">Insurance of mortgages in communities subject to temporary adverse economic conditions </w:t>
      </w:r>
      <w:r>
        <w:rPr>
          <w:rFonts w:ascii="Verdana" w:hAnsi="Verdana"/>
          <w:b/>
          <w:bCs/>
          <w:color w:val="000000"/>
          <w:sz w:val="20"/>
          <w:szCs w:val="20"/>
        </w:rPr>
        <w:t>as a result of</w:t>
      </w:r>
      <w:r>
        <w:rPr>
          <w:rFonts w:ascii="Verdana" w:hAnsi="Verdana"/>
          <w:b/>
          <w:bCs/>
          <w:color w:val="000000"/>
          <w:sz w:val="20"/>
          <w:szCs w:val="20"/>
        </w:rPr>
        <w:t xml:space="preserve"> claims to ownership of land in the community by an American Indian Tribe, band, or nation; eligibility, authorities, etc. </w:t>
      </w:r>
    </w:p>
    <w:p w:rsidR="00FC09DF" w:rsidP="00FC09DF" w14:paraId="0E26201C" w14:textId="77777777">
      <w:pPr>
        <w:rPr>
          <w:rFonts w:ascii="Verdana" w:hAnsi="Verdana"/>
          <w:color w:val="000000"/>
          <w:sz w:val="20"/>
          <w:szCs w:val="20"/>
        </w:rPr>
      </w:pPr>
      <w:bookmarkStart w:id="83" w:name="p_1"/>
      <w:bookmarkEnd w:id="83"/>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Notwithstanding any other provision of this section or any other section of this subchapter, the Secretary is authorized to insure, and to commit to insure, under subsection (b) of this section as modified by this subsection a mortgage which meets both the requirements of this subsection and such criteria as the Secretary by regulation shall prescribe to further the purpose of this subsection, in any community where the Secretary determines that— </w:t>
      </w:r>
    </w:p>
    <w:p w:rsidR="00FC09DF" w:rsidP="00FC09DF" w14:paraId="67AA923C" w14:textId="77777777">
      <w:pPr>
        <w:rPr>
          <w:rFonts w:ascii="Verdana" w:hAnsi="Verdana"/>
          <w:color w:val="000000"/>
          <w:sz w:val="20"/>
          <w:szCs w:val="20"/>
        </w:rPr>
      </w:pPr>
      <w:bookmarkStart w:id="84" w:name="p_1_A"/>
      <w:bookmarkEnd w:id="84"/>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temporary adverse economic conditions exist throughout the community as a direct and primary result of outstanding claims to ownership of land in the community by an American Indian tribe, band, or </w:t>
      </w:r>
      <w:r>
        <w:rPr>
          <w:rStyle w:val="ptext-3"/>
          <w:rFonts w:ascii="Verdana" w:hAnsi="Verdana"/>
          <w:color w:val="000000"/>
          <w:sz w:val="20"/>
          <w:szCs w:val="20"/>
        </w:rPr>
        <w:t>nation;</w:t>
      </w:r>
      <w:r>
        <w:rPr>
          <w:rStyle w:val="ptext-3"/>
          <w:rFonts w:ascii="Verdana" w:hAnsi="Verdana"/>
          <w:color w:val="000000"/>
          <w:sz w:val="20"/>
          <w:szCs w:val="20"/>
        </w:rPr>
        <w:t xml:space="preserve"> </w:t>
      </w:r>
    </w:p>
    <w:p w:rsidR="00FC09DF" w:rsidP="00FC09DF" w14:paraId="15B8ED41" w14:textId="77777777">
      <w:pPr>
        <w:rPr>
          <w:rFonts w:ascii="Verdana" w:hAnsi="Verdana"/>
          <w:color w:val="000000"/>
          <w:sz w:val="20"/>
          <w:szCs w:val="20"/>
        </w:rPr>
      </w:pPr>
      <w:bookmarkStart w:id="85" w:name="p_1_B"/>
      <w:bookmarkEnd w:id="85"/>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such ownership claims are reasonably likely to be settled, by court action or otherwise; and </w:t>
      </w:r>
    </w:p>
    <w:p w:rsidR="00FC09DF" w:rsidP="00FC09DF" w14:paraId="727287D7" w14:textId="77777777">
      <w:pPr>
        <w:rPr>
          <w:rFonts w:ascii="Verdana" w:hAnsi="Verdana"/>
          <w:color w:val="000000"/>
          <w:sz w:val="20"/>
          <w:szCs w:val="20"/>
        </w:rPr>
      </w:pPr>
      <w:bookmarkStart w:id="86" w:name="p_1_C"/>
      <w:bookmarkEnd w:id="86"/>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fifty or more individual homeowners were joined as </w:t>
      </w:r>
      <w:r>
        <w:rPr>
          <w:rStyle w:val="ptext-3"/>
          <w:rFonts w:ascii="Verdana" w:hAnsi="Verdana"/>
          <w:color w:val="000000"/>
          <w:sz w:val="20"/>
          <w:szCs w:val="20"/>
        </w:rPr>
        <w:t>parties</w:t>
      </w:r>
      <w:r>
        <w:rPr>
          <w:rStyle w:val="ptext-3"/>
          <w:rFonts w:ascii="Verdana" w:hAnsi="Verdana"/>
          <w:color w:val="000000"/>
          <w:sz w:val="20"/>
          <w:szCs w:val="20"/>
        </w:rPr>
        <w:t xml:space="preserve"> defendant or were members of a defendant class prior to April 1, 1980, in litigation involving claims to ownership of land in the community by an American Indian tribe, band, group, or nation pursuant to a dispute involving the Articles of Confederation, Trade and Intercourse Act of 1790, or any similar State or Federal law. </w:t>
      </w:r>
    </w:p>
    <w:p w:rsidR="00FC09DF" w:rsidP="00FC09DF" w14:paraId="2ED229E9" w14:textId="77777777">
      <w:pPr>
        <w:rPr>
          <w:rFonts w:ascii="Verdana" w:hAnsi="Verdana"/>
          <w:color w:val="000000"/>
          <w:sz w:val="20"/>
          <w:szCs w:val="20"/>
        </w:rPr>
      </w:pPr>
      <w:bookmarkStart w:id="87" w:name="p_2"/>
      <w:bookmarkEnd w:id="87"/>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A mortgage shall be eligible for insurance under subsection (b) of this section as modified by this subsection without regard to limitations in this subchapter relating to marketability of title, or any other statutory restriction which the Secretary determines is contrary to the purpose of this subsection, but only if the mortgagor is an owner of a home in a community specified in paragraph (1). The Secretary, in connection with any mortgage insured under subsection (b) of this section as modified by this subsection, shall have all statutory powers, authority, and responsibilities which the Secretary has with respect to other mortgages insured under subsection (b) of this section, except that the Secretary may modify such powers, authority, or responsibilities where the Secretary deems such action to be necessary because of the special nature of the mortgage involved. Notwithstanding section </w:t>
      </w:r>
      <w:hyperlink r:id="rId39" w:history="1">
        <w:r>
          <w:rPr>
            <w:rStyle w:val="Hyperlink"/>
            <w:rFonts w:ascii="Verdana" w:hAnsi="Verdana"/>
            <w:sz w:val="20"/>
            <w:szCs w:val="20"/>
          </w:rPr>
          <w:t>1708</w:t>
        </w:r>
      </w:hyperlink>
      <w:r>
        <w:rPr>
          <w:rStyle w:val="ptext-2"/>
          <w:rFonts w:ascii="Verdana" w:hAnsi="Verdana"/>
          <w:color w:val="000000"/>
          <w:sz w:val="20"/>
          <w:szCs w:val="20"/>
        </w:rPr>
        <w:t xml:space="preserve"> of this title, the insurance of a mortgage under subsection (b) of this section as modified by this subsection shall be the obligation of the Special Risk Insurance Fund created pursuant to section </w:t>
      </w:r>
      <w:hyperlink r:id="rId40" w:history="1">
        <w:r>
          <w:rPr>
            <w:rStyle w:val="Hyperlink"/>
            <w:rFonts w:ascii="Verdana" w:hAnsi="Verdana"/>
            <w:sz w:val="20"/>
            <w:szCs w:val="20"/>
          </w:rPr>
          <w:t>1715z–3</w:t>
        </w:r>
      </w:hyperlink>
      <w:r>
        <w:rPr>
          <w:rStyle w:val="ptext-2"/>
          <w:rFonts w:ascii="Verdana" w:hAnsi="Verdana"/>
          <w:color w:val="000000"/>
          <w:sz w:val="20"/>
          <w:szCs w:val="20"/>
        </w:rPr>
        <w:t xml:space="preserve"> of this title. </w:t>
      </w:r>
    </w:p>
    <w:p w:rsidR="00FC09DF" w:rsidP="00FC09DF" w14:paraId="4F9E8B36" w14:textId="77777777">
      <w:pPr>
        <w:rPr>
          <w:rFonts w:ascii="Verdana" w:hAnsi="Verdana"/>
          <w:color w:val="000000"/>
          <w:sz w:val="20"/>
          <w:szCs w:val="20"/>
        </w:rPr>
      </w:pPr>
      <w:bookmarkStart w:id="88" w:name="q"/>
      <w:bookmarkEnd w:id="88"/>
      <w:r>
        <w:rPr>
          <w:rStyle w:val="enumbell"/>
          <w:rFonts w:ascii="Verdana" w:hAnsi="Verdana"/>
          <w:color w:val="000000"/>
          <w:sz w:val="20"/>
          <w:szCs w:val="20"/>
        </w:rPr>
        <w:t>(q)</w:t>
      </w:r>
      <w:r>
        <w:rPr>
          <w:rFonts w:ascii="Verdana" w:hAnsi="Verdana"/>
          <w:color w:val="000000"/>
          <w:sz w:val="20"/>
          <w:szCs w:val="20"/>
        </w:rPr>
        <w:t xml:space="preserve"> </w:t>
      </w:r>
      <w:r>
        <w:rPr>
          <w:rFonts w:ascii="Verdana" w:hAnsi="Verdana"/>
          <w:b/>
          <w:bCs/>
          <w:color w:val="000000"/>
          <w:sz w:val="20"/>
          <w:szCs w:val="20"/>
        </w:rPr>
        <w:t xml:space="preserve">Insurance of mortgages secured by property on certain lands leased by Seneca Nation of </w:t>
      </w:r>
      <w:smartTag w:uri="urn:schemas-microsoft-com:office:smarttags" w:element="place">
        <w:smartTag w:uri="urn:schemas-microsoft-com:office:smarttags" w:element="State">
          <w:r>
            <w:rPr>
              <w:rFonts w:ascii="Verdana" w:hAnsi="Verdana"/>
              <w:b/>
              <w:bCs/>
              <w:color w:val="000000"/>
              <w:sz w:val="20"/>
              <w:szCs w:val="20"/>
            </w:rPr>
            <w:t>New York</w:t>
          </w:r>
        </w:smartTag>
      </w:smartTag>
      <w:r>
        <w:rPr>
          <w:rFonts w:ascii="Verdana" w:hAnsi="Verdana"/>
          <w:b/>
          <w:bCs/>
          <w:color w:val="000000"/>
          <w:sz w:val="20"/>
          <w:szCs w:val="20"/>
        </w:rPr>
        <w:t xml:space="preserve"> Indians </w:t>
      </w:r>
    </w:p>
    <w:p w:rsidR="00FC09DF" w:rsidP="00FC09DF" w14:paraId="104F7FF8" w14:textId="77777777">
      <w:pPr>
        <w:rPr>
          <w:rFonts w:ascii="Verdana" w:hAnsi="Verdana"/>
          <w:color w:val="000000"/>
          <w:sz w:val="20"/>
          <w:szCs w:val="20"/>
        </w:rPr>
      </w:pPr>
      <w:bookmarkStart w:id="89" w:name="q_1"/>
      <w:bookmarkEnd w:id="89"/>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Notwithstanding any other provision of this section or any other section of this subchapter, the Secretary shall insure and commit to insure, under subsection (b) of this section as modified by this subsection, any mortgage secured by property located on land that— </w:t>
      </w:r>
    </w:p>
    <w:p w:rsidR="00FC09DF" w:rsidP="00FC09DF" w14:paraId="54ED0F68" w14:textId="77777777">
      <w:pPr>
        <w:rPr>
          <w:rFonts w:ascii="Verdana" w:hAnsi="Verdana"/>
          <w:color w:val="000000"/>
          <w:sz w:val="20"/>
          <w:szCs w:val="20"/>
        </w:rPr>
      </w:pPr>
      <w:bookmarkStart w:id="90" w:name="q_1_A"/>
      <w:bookmarkEnd w:id="90"/>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is within the Allegany Reservation of the Seneca Nation of New York Indians; and </w:t>
      </w:r>
    </w:p>
    <w:p w:rsidR="00FC09DF" w:rsidP="00FC09DF" w14:paraId="2574D91B" w14:textId="77777777">
      <w:pPr>
        <w:rPr>
          <w:rFonts w:ascii="Verdana" w:hAnsi="Verdana"/>
          <w:color w:val="000000"/>
          <w:sz w:val="20"/>
          <w:szCs w:val="20"/>
        </w:rPr>
      </w:pPr>
      <w:bookmarkStart w:id="91" w:name="q_1_B"/>
      <w:bookmarkEnd w:id="91"/>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is subject to a lease entered into for a term of 99 years pursuant to the Act of February 19, 1875 (Chapter 90; </w:t>
      </w:r>
      <w:hyperlink r:id="rId41" w:history="1">
        <w:r>
          <w:rPr>
            <w:rStyle w:val="Hyperlink"/>
            <w:rFonts w:ascii="Verdana" w:hAnsi="Verdana"/>
            <w:sz w:val="20"/>
            <w:szCs w:val="20"/>
          </w:rPr>
          <w:t>18 Stat. 330</w:t>
        </w:r>
      </w:hyperlink>
      <w:r>
        <w:rPr>
          <w:rStyle w:val="ptext-3"/>
          <w:rFonts w:ascii="Verdana" w:hAnsi="Verdana"/>
          <w:color w:val="000000"/>
          <w:sz w:val="20"/>
          <w:szCs w:val="20"/>
        </w:rPr>
        <w:t xml:space="preserve">) and the Act of September 30, 1890 (Chapter 1132; </w:t>
      </w:r>
      <w:hyperlink r:id="rId42" w:history="1">
        <w:r>
          <w:rPr>
            <w:rStyle w:val="Hyperlink"/>
            <w:rFonts w:ascii="Verdana" w:hAnsi="Verdana"/>
            <w:sz w:val="20"/>
            <w:szCs w:val="20"/>
          </w:rPr>
          <w:t>26 Stat. 558</w:t>
        </w:r>
      </w:hyperlink>
      <w:r>
        <w:rPr>
          <w:rStyle w:val="ptext-3"/>
          <w:rFonts w:ascii="Verdana" w:hAnsi="Verdana"/>
          <w:color w:val="000000"/>
          <w:sz w:val="20"/>
          <w:szCs w:val="20"/>
        </w:rPr>
        <w:t xml:space="preserve">). </w:t>
      </w:r>
    </w:p>
    <w:p w:rsidR="00FC09DF" w:rsidP="00FC09DF" w14:paraId="0EB9AFDC" w14:textId="77777777">
      <w:pPr>
        <w:rPr>
          <w:rFonts w:ascii="Verdana" w:hAnsi="Verdana"/>
          <w:color w:val="000000"/>
          <w:sz w:val="20"/>
          <w:szCs w:val="20"/>
        </w:rPr>
      </w:pPr>
      <w:bookmarkStart w:id="92" w:name="q_2"/>
      <w:bookmarkEnd w:id="92"/>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A mortgage shall be eligible for insurance under subsection (b) of this section as modified by this subsection without regard to limitations in this subchapter relating to marketability of title or any other statutory restriction that the Secretary determines is contrary to the purpose of this subsection. </w:t>
      </w:r>
    </w:p>
    <w:p w:rsidR="00FC09DF" w:rsidP="00FC09DF" w14:paraId="049C569A" w14:textId="77777777">
      <w:pPr>
        <w:rPr>
          <w:rFonts w:ascii="Verdana" w:hAnsi="Verdana"/>
          <w:color w:val="000000"/>
          <w:sz w:val="20"/>
          <w:szCs w:val="20"/>
        </w:rPr>
      </w:pPr>
      <w:bookmarkStart w:id="93" w:name="q_3"/>
      <w:bookmarkEnd w:id="93"/>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The Secretary, in connection with any mortgage insured under subsection (b) of this section as modified by this subsection, shall have all statutory powers, authority, and responsibilities that the Secretary has with respect to other mortgages insured under subsection (b) of this section, except that </w:t>
      </w:r>
      <w:r>
        <w:rPr>
          <w:rStyle w:val="ptext-2"/>
          <w:rFonts w:ascii="Verdana" w:hAnsi="Verdana"/>
          <w:color w:val="000000"/>
          <w:sz w:val="20"/>
          <w:szCs w:val="20"/>
        </w:rPr>
        <w:t xml:space="preserve">the Secretary may modify such powers, authority, or responsibilities if the Secretary determines such action to be necessary because of the special nature of the mortgage involved. </w:t>
      </w:r>
    </w:p>
    <w:p w:rsidR="00FC09DF" w:rsidP="00FC09DF" w14:paraId="7CB316F3" w14:textId="77777777">
      <w:pPr>
        <w:rPr>
          <w:rFonts w:ascii="Verdana" w:hAnsi="Verdana"/>
          <w:color w:val="000000"/>
          <w:sz w:val="20"/>
          <w:szCs w:val="20"/>
        </w:rPr>
      </w:pPr>
      <w:bookmarkStart w:id="94" w:name="q_4"/>
      <w:bookmarkEnd w:id="94"/>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Notwithstanding section </w:t>
      </w:r>
      <w:hyperlink r:id="rId39" w:history="1">
        <w:r>
          <w:rPr>
            <w:rStyle w:val="Hyperlink"/>
            <w:rFonts w:ascii="Verdana" w:hAnsi="Verdana"/>
            <w:sz w:val="20"/>
            <w:szCs w:val="20"/>
          </w:rPr>
          <w:t>1708</w:t>
        </w:r>
      </w:hyperlink>
      <w:r>
        <w:rPr>
          <w:rStyle w:val="ptext-2"/>
          <w:rFonts w:ascii="Verdana" w:hAnsi="Verdana"/>
          <w:color w:val="000000"/>
          <w:sz w:val="20"/>
          <w:szCs w:val="20"/>
        </w:rPr>
        <w:t xml:space="preserve"> of this title, the insurance of a mortgage under subsection (b) of this section as modified by this subsection shall be the obligation of the Special Risk Insurance Fund created in section </w:t>
      </w:r>
      <w:hyperlink r:id="rId40" w:history="1">
        <w:r>
          <w:rPr>
            <w:rStyle w:val="Hyperlink"/>
            <w:rFonts w:ascii="Verdana" w:hAnsi="Verdana"/>
            <w:sz w:val="20"/>
            <w:szCs w:val="20"/>
          </w:rPr>
          <w:t>1715z–3</w:t>
        </w:r>
      </w:hyperlink>
      <w:r>
        <w:rPr>
          <w:rStyle w:val="ptext-2"/>
          <w:rFonts w:ascii="Verdana" w:hAnsi="Verdana"/>
          <w:color w:val="000000"/>
          <w:sz w:val="20"/>
          <w:szCs w:val="20"/>
        </w:rPr>
        <w:t xml:space="preserve"> of this title. </w:t>
      </w:r>
    </w:p>
    <w:p w:rsidR="00FC09DF" w:rsidP="00FC09DF" w14:paraId="7D8473A4" w14:textId="77777777">
      <w:pPr>
        <w:rPr>
          <w:rFonts w:ascii="Verdana" w:hAnsi="Verdana"/>
          <w:color w:val="000000"/>
          <w:sz w:val="20"/>
          <w:szCs w:val="20"/>
        </w:rPr>
      </w:pPr>
      <w:bookmarkStart w:id="95" w:name="r"/>
      <w:bookmarkEnd w:id="95"/>
      <w:r>
        <w:rPr>
          <w:rStyle w:val="enumbell"/>
          <w:rFonts w:ascii="Verdana" w:hAnsi="Verdana"/>
          <w:color w:val="000000"/>
          <w:sz w:val="20"/>
          <w:szCs w:val="20"/>
        </w:rPr>
        <w:t>(r)</w:t>
      </w:r>
      <w:r>
        <w:rPr>
          <w:rFonts w:ascii="Verdana" w:hAnsi="Verdana"/>
          <w:color w:val="000000"/>
          <w:sz w:val="20"/>
          <w:szCs w:val="20"/>
        </w:rPr>
        <w:t xml:space="preserve"> </w:t>
      </w:r>
      <w:r>
        <w:rPr>
          <w:rFonts w:ascii="Verdana" w:hAnsi="Verdana"/>
          <w:b/>
          <w:bCs/>
          <w:color w:val="000000"/>
          <w:sz w:val="20"/>
          <w:szCs w:val="20"/>
        </w:rPr>
        <w:t xml:space="preserve">Actions to reduce losses under single family mortgage insurance program </w:t>
      </w:r>
    </w:p>
    <w:p w:rsidR="00FC09DF" w:rsidP="00FC09DF" w14:paraId="5D555516" w14:textId="77777777">
      <w:pPr>
        <w:rPr>
          <w:rFonts w:ascii="Verdana" w:hAnsi="Verdana"/>
          <w:color w:val="000000"/>
          <w:sz w:val="20"/>
          <w:szCs w:val="20"/>
        </w:rPr>
      </w:pPr>
      <w:r>
        <w:rPr>
          <w:rFonts w:ascii="Verdana" w:hAnsi="Verdana"/>
          <w:color w:val="000000"/>
          <w:sz w:val="20"/>
          <w:szCs w:val="20"/>
        </w:rPr>
        <w:t xml:space="preserve">The Secretary shall take appropriate actions to reduce losses under the single-family mortgage insurance programs carried out under this subchapter. Such actions shall include— </w:t>
      </w:r>
    </w:p>
    <w:p w:rsidR="00FC09DF" w:rsidP="00FC09DF" w14:paraId="2DAE063C" w14:textId="77777777">
      <w:pPr>
        <w:rPr>
          <w:rFonts w:ascii="Verdana" w:hAnsi="Verdana"/>
          <w:color w:val="000000"/>
          <w:sz w:val="20"/>
          <w:szCs w:val="20"/>
        </w:rPr>
      </w:pPr>
      <w:bookmarkStart w:id="96" w:name="r_1"/>
      <w:bookmarkEnd w:id="96"/>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an annual review by the Secretary of the rate of early serious defaults and claims, in accordance with section </w:t>
      </w:r>
      <w:hyperlink r:id="rId43" w:history="1">
        <w:r>
          <w:rPr>
            <w:rStyle w:val="Hyperlink"/>
            <w:rFonts w:ascii="Verdana" w:hAnsi="Verdana"/>
            <w:sz w:val="20"/>
            <w:szCs w:val="20"/>
          </w:rPr>
          <w:t>1735f–11</w:t>
        </w:r>
      </w:hyperlink>
      <w:r>
        <w:rPr>
          <w:rStyle w:val="ptext-2"/>
          <w:rFonts w:ascii="Verdana" w:hAnsi="Verdana"/>
          <w:color w:val="000000"/>
          <w:sz w:val="20"/>
          <w:szCs w:val="20"/>
        </w:rPr>
        <w:t xml:space="preserve"> of this title; </w:t>
      </w:r>
    </w:p>
    <w:p w:rsidR="00FC09DF" w:rsidP="00FC09DF" w14:paraId="0831EC17" w14:textId="77777777">
      <w:pPr>
        <w:rPr>
          <w:rFonts w:ascii="Verdana" w:hAnsi="Verdana"/>
          <w:color w:val="000000"/>
          <w:sz w:val="20"/>
          <w:szCs w:val="20"/>
        </w:rPr>
      </w:pPr>
      <w:bookmarkStart w:id="97" w:name="r_2"/>
      <w:bookmarkEnd w:id="97"/>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requiring that at least one person acquiring ownership of a one- to four-family residential property encumbered by a mortgage insured under this subchapter be determined to be creditworthy under standards prescribed by the Secretary, whether or not such person assumes personal liability under the mortgage (except that acquisitions by devise or descent shall not be subject to this requirement</w:t>
      </w:r>
      <w:r>
        <w:rPr>
          <w:rStyle w:val="ptext-2"/>
          <w:rFonts w:ascii="Verdana" w:hAnsi="Verdana"/>
          <w:color w:val="000000"/>
          <w:sz w:val="20"/>
          <w:szCs w:val="20"/>
        </w:rPr>
        <w:t>);</w:t>
      </w:r>
      <w:r>
        <w:rPr>
          <w:rStyle w:val="ptext-2"/>
          <w:rFonts w:ascii="Verdana" w:hAnsi="Verdana"/>
          <w:color w:val="000000"/>
          <w:sz w:val="20"/>
          <w:szCs w:val="20"/>
        </w:rPr>
        <w:t xml:space="preserve"> </w:t>
      </w:r>
    </w:p>
    <w:p w:rsidR="00FC09DF" w:rsidP="00FC09DF" w14:paraId="7E3ADBFC" w14:textId="77777777">
      <w:pPr>
        <w:rPr>
          <w:rFonts w:ascii="Verdana" w:hAnsi="Verdana"/>
          <w:color w:val="000000"/>
          <w:sz w:val="20"/>
          <w:szCs w:val="20"/>
        </w:rPr>
      </w:pPr>
      <w:bookmarkStart w:id="98" w:name="r_3"/>
      <w:bookmarkEnd w:id="98"/>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in any case where personal liability under a mortgage is assumed, requiring that the original mortgagor be advised of the procedures by which he or she may be released from liability; and </w:t>
      </w:r>
    </w:p>
    <w:p w:rsidR="00FC09DF" w:rsidP="00FC09DF" w14:paraId="33164424" w14:textId="77777777">
      <w:pPr>
        <w:rPr>
          <w:rFonts w:ascii="Verdana" w:hAnsi="Verdana"/>
          <w:color w:val="000000"/>
          <w:sz w:val="20"/>
          <w:szCs w:val="20"/>
        </w:rPr>
      </w:pPr>
      <w:bookmarkStart w:id="99" w:name="r_4"/>
      <w:bookmarkEnd w:id="99"/>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providing counseling, either directly or through third parties, to delinquent mortgagors whose mortgages are insured under this section, using the Fund to pay for such counseling. </w:t>
      </w:r>
    </w:p>
    <w:p w:rsidR="00FC09DF" w:rsidP="00FC09DF" w14:paraId="7840DAA3" w14:textId="77777777">
      <w:pPr>
        <w:rPr>
          <w:rFonts w:ascii="Verdana" w:hAnsi="Verdana"/>
          <w:color w:val="000000"/>
          <w:sz w:val="20"/>
          <w:szCs w:val="20"/>
        </w:rPr>
      </w:pPr>
      <w:r>
        <w:rPr>
          <w:rFonts w:ascii="Verdana" w:hAnsi="Verdana"/>
          <w:color w:val="000000"/>
          <w:sz w:val="20"/>
          <w:szCs w:val="20"/>
        </w:rPr>
        <w:t xml:space="preserve">In any case where the homeowner does not request a release from liability, the purchaser and the homeowner shall have joint and several liability for any default for a period of 5 years following the date of the assumption. After the close of such 5-year period, only the purchaser shall be liable for any default on the mortgage unless the mortgage is in default at the time of the expiration of the 5-year period. </w:t>
      </w:r>
    </w:p>
    <w:p w:rsidR="00FC09DF" w:rsidP="00FC09DF" w14:paraId="6B109CF1" w14:textId="77777777">
      <w:pPr>
        <w:rPr>
          <w:rFonts w:ascii="Verdana" w:hAnsi="Verdana"/>
          <w:color w:val="000000"/>
          <w:sz w:val="20"/>
          <w:szCs w:val="20"/>
        </w:rPr>
      </w:pPr>
      <w:bookmarkStart w:id="100" w:name="s"/>
      <w:bookmarkEnd w:id="100"/>
      <w:r>
        <w:rPr>
          <w:rStyle w:val="enumbell"/>
          <w:rFonts w:ascii="Verdana" w:hAnsi="Verdana"/>
          <w:color w:val="000000"/>
          <w:sz w:val="20"/>
          <w:szCs w:val="20"/>
        </w:rPr>
        <w:t>(s)</w:t>
      </w:r>
      <w:r>
        <w:rPr>
          <w:rFonts w:ascii="Verdana" w:hAnsi="Verdana"/>
          <w:color w:val="000000"/>
          <w:sz w:val="20"/>
          <w:szCs w:val="20"/>
        </w:rPr>
        <w:t xml:space="preserve"> </w:t>
      </w:r>
      <w:r>
        <w:rPr>
          <w:rFonts w:ascii="Verdana" w:hAnsi="Verdana"/>
          <w:b/>
          <w:bCs/>
          <w:color w:val="000000"/>
          <w:sz w:val="20"/>
          <w:szCs w:val="20"/>
        </w:rPr>
        <w:t xml:space="preserve">Suspension or revocation of approval of mortgagee; notice and statement of reasons </w:t>
      </w:r>
    </w:p>
    <w:p w:rsidR="00FC09DF" w:rsidP="00FC09DF" w14:paraId="7761C1F5" w14:textId="77777777">
      <w:pPr>
        <w:rPr>
          <w:rFonts w:ascii="Verdana" w:hAnsi="Verdana"/>
          <w:color w:val="000000"/>
          <w:sz w:val="20"/>
          <w:szCs w:val="20"/>
        </w:rPr>
      </w:pPr>
      <w:r>
        <w:rPr>
          <w:rFonts w:ascii="Verdana" w:hAnsi="Verdana"/>
          <w:color w:val="000000"/>
          <w:sz w:val="20"/>
          <w:szCs w:val="20"/>
        </w:rPr>
        <w:t xml:space="preserve">Whenever the Secretary has taken any discretionary action to suspend or revoke the approval of any mortgagee to participate in any mortgage insurance program under this subchapter, the Secretary shall provide prompt notice of the action and a statement of the reasons for the action to— </w:t>
      </w:r>
    </w:p>
    <w:p w:rsidR="00FC09DF" w:rsidP="00FC09DF" w14:paraId="7C5AD04E" w14:textId="77777777">
      <w:pPr>
        <w:rPr>
          <w:rFonts w:ascii="Verdana" w:hAnsi="Verdana"/>
          <w:color w:val="000000"/>
          <w:sz w:val="20"/>
          <w:szCs w:val="20"/>
        </w:rPr>
      </w:pPr>
      <w:bookmarkStart w:id="101" w:name="s_1"/>
      <w:bookmarkEnd w:id="101"/>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the Secretary of Veterans </w:t>
      </w:r>
      <w:r>
        <w:rPr>
          <w:rStyle w:val="ptext-2"/>
          <w:rFonts w:ascii="Verdana" w:hAnsi="Verdana"/>
          <w:color w:val="000000"/>
          <w:sz w:val="20"/>
          <w:szCs w:val="20"/>
        </w:rPr>
        <w:t>Affairs;</w:t>
      </w:r>
      <w:r>
        <w:rPr>
          <w:rStyle w:val="ptext-2"/>
          <w:rFonts w:ascii="Verdana" w:hAnsi="Verdana"/>
          <w:color w:val="000000"/>
          <w:sz w:val="20"/>
          <w:szCs w:val="20"/>
        </w:rPr>
        <w:t xml:space="preserve"> </w:t>
      </w:r>
    </w:p>
    <w:p w:rsidR="00FC09DF" w:rsidP="00FC09DF" w14:paraId="42F64DBA" w14:textId="77777777">
      <w:pPr>
        <w:rPr>
          <w:rFonts w:ascii="Verdana" w:hAnsi="Verdana"/>
          <w:color w:val="000000"/>
          <w:sz w:val="20"/>
          <w:szCs w:val="20"/>
        </w:rPr>
      </w:pPr>
      <w:bookmarkStart w:id="102" w:name="s_2"/>
      <w:bookmarkEnd w:id="102"/>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the chief executive officer of the Federal National Mortgage </w:t>
      </w:r>
      <w:r>
        <w:rPr>
          <w:rStyle w:val="ptext-2"/>
          <w:rFonts w:ascii="Verdana" w:hAnsi="Verdana"/>
          <w:color w:val="000000"/>
          <w:sz w:val="20"/>
          <w:szCs w:val="20"/>
        </w:rPr>
        <w:t>Association;</w:t>
      </w:r>
      <w:r>
        <w:rPr>
          <w:rStyle w:val="ptext-2"/>
          <w:rFonts w:ascii="Verdana" w:hAnsi="Verdana"/>
          <w:color w:val="000000"/>
          <w:sz w:val="20"/>
          <w:szCs w:val="20"/>
        </w:rPr>
        <w:t xml:space="preserve"> </w:t>
      </w:r>
    </w:p>
    <w:p w:rsidR="00FC09DF" w:rsidP="00FC09DF" w14:paraId="7E10A91D" w14:textId="77777777">
      <w:pPr>
        <w:rPr>
          <w:rFonts w:ascii="Verdana" w:hAnsi="Verdana"/>
          <w:color w:val="000000"/>
          <w:sz w:val="20"/>
          <w:szCs w:val="20"/>
        </w:rPr>
      </w:pPr>
      <w:bookmarkStart w:id="103" w:name="s_3"/>
      <w:bookmarkEnd w:id="103"/>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the chief executive officer of the Federal Home Loan Mortgage </w:t>
      </w:r>
      <w:r>
        <w:rPr>
          <w:rStyle w:val="ptext-2"/>
          <w:rFonts w:ascii="Verdana" w:hAnsi="Verdana"/>
          <w:color w:val="000000"/>
          <w:sz w:val="20"/>
          <w:szCs w:val="20"/>
        </w:rPr>
        <w:t>Corporation;</w:t>
      </w:r>
      <w:r>
        <w:rPr>
          <w:rStyle w:val="ptext-2"/>
          <w:rFonts w:ascii="Verdana" w:hAnsi="Verdana"/>
          <w:color w:val="000000"/>
          <w:sz w:val="20"/>
          <w:szCs w:val="20"/>
        </w:rPr>
        <w:t xml:space="preserve"> </w:t>
      </w:r>
    </w:p>
    <w:p w:rsidR="00FC09DF" w:rsidP="00FC09DF" w14:paraId="6034C7DA" w14:textId="77777777">
      <w:pPr>
        <w:rPr>
          <w:rFonts w:ascii="Verdana" w:hAnsi="Verdana"/>
          <w:color w:val="000000"/>
          <w:sz w:val="20"/>
          <w:szCs w:val="20"/>
        </w:rPr>
      </w:pPr>
      <w:bookmarkStart w:id="104" w:name="s_4"/>
      <w:bookmarkEnd w:id="104"/>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the Administrator of the Farmers Home </w:t>
      </w:r>
      <w:r>
        <w:rPr>
          <w:rStyle w:val="ptext-2"/>
          <w:rFonts w:ascii="Verdana" w:hAnsi="Verdana"/>
          <w:color w:val="000000"/>
          <w:sz w:val="20"/>
          <w:szCs w:val="20"/>
        </w:rPr>
        <w:t>Administration;</w:t>
      </w:r>
      <w:r>
        <w:rPr>
          <w:rStyle w:val="ptext-2"/>
          <w:rFonts w:ascii="Verdana" w:hAnsi="Verdana"/>
          <w:color w:val="000000"/>
          <w:sz w:val="20"/>
          <w:szCs w:val="20"/>
        </w:rPr>
        <w:t xml:space="preserve"> </w:t>
      </w:r>
    </w:p>
    <w:p w:rsidR="00FC09DF" w:rsidP="00FC09DF" w14:paraId="63E3DC05" w14:textId="77777777">
      <w:pPr>
        <w:rPr>
          <w:rFonts w:ascii="Verdana" w:hAnsi="Verdana"/>
          <w:color w:val="000000"/>
          <w:sz w:val="20"/>
          <w:szCs w:val="20"/>
        </w:rPr>
      </w:pPr>
      <w:bookmarkStart w:id="105" w:name="s_5"/>
      <w:bookmarkEnd w:id="105"/>
      <w:r>
        <w:rPr>
          <w:rStyle w:val="enumbell"/>
          <w:rFonts w:ascii="Verdana" w:hAnsi="Verdana"/>
          <w:color w:val="000000"/>
          <w:sz w:val="20"/>
          <w:szCs w:val="20"/>
        </w:rPr>
        <w:t>(5)</w:t>
      </w:r>
      <w:r>
        <w:rPr>
          <w:rFonts w:ascii="Verdana" w:hAnsi="Verdana"/>
          <w:color w:val="000000"/>
          <w:sz w:val="20"/>
          <w:szCs w:val="20"/>
        </w:rPr>
        <w:t xml:space="preserve"> </w:t>
      </w:r>
      <w:r>
        <w:rPr>
          <w:rStyle w:val="ptext-2"/>
          <w:rFonts w:ascii="Verdana" w:hAnsi="Verdana"/>
          <w:color w:val="000000"/>
          <w:sz w:val="20"/>
          <w:szCs w:val="20"/>
        </w:rPr>
        <w:t xml:space="preserve">if the mortgagee is a national bank, or a subsidiary or affiliate of such a bank, the Comptroller of the </w:t>
      </w:r>
      <w:r>
        <w:rPr>
          <w:rStyle w:val="ptext-2"/>
          <w:rFonts w:ascii="Verdana" w:hAnsi="Verdana"/>
          <w:color w:val="000000"/>
          <w:sz w:val="20"/>
          <w:szCs w:val="20"/>
        </w:rPr>
        <w:t>Currency;</w:t>
      </w:r>
      <w:r>
        <w:rPr>
          <w:rStyle w:val="ptext-2"/>
          <w:rFonts w:ascii="Verdana" w:hAnsi="Verdana"/>
          <w:color w:val="000000"/>
          <w:sz w:val="20"/>
          <w:szCs w:val="20"/>
        </w:rPr>
        <w:t xml:space="preserve"> </w:t>
      </w:r>
    </w:p>
    <w:p w:rsidR="00FC09DF" w:rsidP="00FC09DF" w14:paraId="377CA640" w14:textId="77777777">
      <w:pPr>
        <w:rPr>
          <w:rFonts w:ascii="Verdana" w:hAnsi="Verdana"/>
          <w:color w:val="000000"/>
          <w:sz w:val="20"/>
          <w:szCs w:val="20"/>
        </w:rPr>
      </w:pPr>
      <w:bookmarkStart w:id="106" w:name="s_6"/>
      <w:bookmarkEnd w:id="106"/>
      <w:r>
        <w:rPr>
          <w:rStyle w:val="enumbell"/>
          <w:rFonts w:ascii="Verdana" w:hAnsi="Verdana"/>
          <w:color w:val="000000"/>
          <w:sz w:val="20"/>
          <w:szCs w:val="20"/>
        </w:rPr>
        <w:t>(6)</w:t>
      </w:r>
      <w:r>
        <w:rPr>
          <w:rFonts w:ascii="Verdana" w:hAnsi="Verdana"/>
          <w:color w:val="000000"/>
          <w:sz w:val="20"/>
          <w:szCs w:val="20"/>
        </w:rPr>
        <w:t xml:space="preserve"> </w:t>
      </w:r>
      <w:r>
        <w:rPr>
          <w:rStyle w:val="ptext-2"/>
          <w:rFonts w:ascii="Verdana" w:hAnsi="Verdana"/>
          <w:color w:val="000000"/>
          <w:sz w:val="20"/>
          <w:szCs w:val="20"/>
        </w:rPr>
        <w:t xml:space="preserve">if the mortgagee is a </w:t>
      </w:r>
      <w:r>
        <w:rPr>
          <w:rStyle w:val="ptext-2"/>
          <w:rFonts w:ascii="Verdana" w:hAnsi="Verdana"/>
          <w:color w:val="000000"/>
          <w:sz w:val="20"/>
          <w:szCs w:val="20"/>
        </w:rPr>
        <w:t>State</w:t>
      </w:r>
      <w:r>
        <w:rPr>
          <w:rStyle w:val="ptext-2"/>
          <w:rFonts w:ascii="Verdana" w:hAnsi="Verdana"/>
          <w:color w:val="000000"/>
          <w:sz w:val="20"/>
          <w:szCs w:val="20"/>
        </w:rPr>
        <w:t xml:space="preserve"> bank that is a member of the Federal Reserve System or a subsidiary or affiliate of such a bank, or a bank holding company or a subsidiary or affiliate of such a company, the Board of Governors of the Federal Reserve System; </w:t>
      </w:r>
    </w:p>
    <w:p w:rsidR="00FC09DF" w:rsidP="00FC09DF" w14:paraId="4402B772" w14:textId="77777777">
      <w:pPr>
        <w:rPr>
          <w:rFonts w:ascii="Verdana" w:hAnsi="Verdana"/>
          <w:color w:val="000000"/>
          <w:sz w:val="20"/>
          <w:szCs w:val="20"/>
        </w:rPr>
      </w:pPr>
      <w:bookmarkStart w:id="107" w:name="s_7"/>
      <w:bookmarkEnd w:id="107"/>
      <w:r>
        <w:rPr>
          <w:rStyle w:val="enumbell"/>
          <w:rFonts w:ascii="Verdana" w:hAnsi="Verdana"/>
          <w:color w:val="000000"/>
          <w:sz w:val="20"/>
          <w:szCs w:val="20"/>
        </w:rPr>
        <w:t>(7)</w:t>
      </w:r>
      <w:r>
        <w:rPr>
          <w:rFonts w:ascii="Verdana" w:hAnsi="Verdana"/>
          <w:color w:val="000000"/>
          <w:sz w:val="20"/>
          <w:szCs w:val="20"/>
        </w:rPr>
        <w:t xml:space="preserve"> </w:t>
      </w:r>
      <w:r>
        <w:rPr>
          <w:rStyle w:val="ptext-2"/>
          <w:rFonts w:ascii="Verdana" w:hAnsi="Verdana"/>
          <w:color w:val="000000"/>
          <w:sz w:val="20"/>
          <w:szCs w:val="20"/>
        </w:rPr>
        <w:t xml:space="preserve">if the mortgagee is a </w:t>
      </w:r>
      <w:r>
        <w:rPr>
          <w:rStyle w:val="ptext-2"/>
          <w:rFonts w:ascii="Verdana" w:hAnsi="Verdana"/>
          <w:color w:val="000000"/>
          <w:sz w:val="20"/>
          <w:szCs w:val="20"/>
        </w:rPr>
        <w:t>State</w:t>
      </w:r>
      <w:r>
        <w:rPr>
          <w:rStyle w:val="ptext-2"/>
          <w:rFonts w:ascii="Verdana" w:hAnsi="Verdana"/>
          <w:color w:val="000000"/>
          <w:sz w:val="20"/>
          <w:szCs w:val="20"/>
        </w:rPr>
        <w:t xml:space="preserve"> bank that is not a member of the Federal Reserve System or is a subsidiary or affiliate of such a bank, the Board of Directors of the Federal Deposit Insurance Corporation; and </w:t>
      </w:r>
    </w:p>
    <w:p w:rsidR="00FC09DF" w:rsidP="00FC09DF" w14:paraId="37447438" w14:textId="77777777">
      <w:pPr>
        <w:rPr>
          <w:rFonts w:ascii="Verdana" w:hAnsi="Verdana"/>
          <w:color w:val="000000"/>
          <w:sz w:val="20"/>
          <w:szCs w:val="20"/>
        </w:rPr>
      </w:pPr>
      <w:bookmarkStart w:id="108" w:name="s_8"/>
      <w:bookmarkEnd w:id="108"/>
      <w:r>
        <w:rPr>
          <w:rStyle w:val="enumbell"/>
          <w:rFonts w:ascii="Verdana" w:hAnsi="Verdana"/>
          <w:color w:val="000000"/>
          <w:sz w:val="20"/>
          <w:szCs w:val="20"/>
        </w:rPr>
        <w:t>(8)</w:t>
      </w:r>
      <w:r>
        <w:rPr>
          <w:rFonts w:ascii="Verdana" w:hAnsi="Verdana"/>
          <w:color w:val="000000"/>
          <w:sz w:val="20"/>
          <w:szCs w:val="20"/>
        </w:rPr>
        <w:t xml:space="preserve"> </w:t>
      </w:r>
      <w:r>
        <w:rPr>
          <w:rStyle w:val="ptext-2"/>
          <w:rFonts w:ascii="Verdana" w:hAnsi="Verdana"/>
          <w:color w:val="000000"/>
          <w:sz w:val="20"/>
          <w:szCs w:val="20"/>
        </w:rPr>
        <w:t xml:space="preserve">if the mortgagee is a Federal or State savings association or a subsidiary or affiliate of a savings association, the Director of the Office of Thrift Supervision. </w:t>
      </w:r>
    </w:p>
    <w:p w:rsidR="00FC09DF" w:rsidP="00FC09DF" w14:paraId="582B6015" w14:textId="77777777">
      <w:pPr>
        <w:rPr>
          <w:rFonts w:ascii="Verdana" w:hAnsi="Verdana"/>
          <w:color w:val="000000"/>
          <w:sz w:val="20"/>
          <w:szCs w:val="20"/>
        </w:rPr>
      </w:pPr>
      <w:bookmarkStart w:id="109" w:name="t"/>
      <w:bookmarkEnd w:id="109"/>
      <w:r>
        <w:rPr>
          <w:rStyle w:val="enumbell"/>
          <w:rFonts w:ascii="Verdana" w:hAnsi="Verdana"/>
          <w:color w:val="000000"/>
          <w:sz w:val="20"/>
          <w:szCs w:val="20"/>
        </w:rPr>
        <w:t>(t)</w:t>
      </w:r>
      <w:r>
        <w:rPr>
          <w:rFonts w:ascii="Verdana" w:hAnsi="Verdana"/>
          <w:color w:val="000000"/>
          <w:sz w:val="20"/>
          <w:szCs w:val="20"/>
        </w:rPr>
        <w:t xml:space="preserve"> </w:t>
      </w:r>
      <w:r>
        <w:rPr>
          <w:rFonts w:ascii="Verdana" w:hAnsi="Verdana"/>
          <w:b/>
          <w:bCs/>
          <w:color w:val="000000"/>
          <w:sz w:val="20"/>
          <w:szCs w:val="20"/>
        </w:rPr>
        <w:t xml:space="preserve">Disclosure regarding interest due upon mortgage prepayment </w:t>
      </w:r>
    </w:p>
    <w:p w:rsidR="00FC09DF" w:rsidP="00FC09DF" w14:paraId="1311FA5F" w14:textId="77777777">
      <w:pPr>
        <w:rPr>
          <w:rFonts w:ascii="Verdana" w:hAnsi="Verdana"/>
          <w:color w:val="000000"/>
          <w:sz w:val="20"/>
          <w:szCs w:val="20"/>
        </w:rPr>
      </w:pPr>
      <w:bookmarkStart w:id="110" w:name="t_1"/>
      <w:bookmarkEnd w:id="110"/>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Each mortgagee (or servicer) with respect to a mortgage under this section shall provide each mortgagor of such mortgagee (or servicer) written notice, not less than annually, containing a statement of the amount outstanding for prepayment of the principal amount of the mortgage and describing any requirements the mortgagor must fulfill to prevent the accrual of any interest on such principal amount after the date of any prepayment. This paragraph shall apply to any insured mortgage outstanding on or after the expiration of the 90-day period beginning on the date of effectiveness of final regulations implementing this paragraph. </w:t>
      </w:r>
    </w:p>
    <w:p w:rsidR="00FC09DF" w:rsidP="00FC09DF" w14:paraId="33BEC1D7" w14:textId="77777777">
      <w:pPr>
        <w:rPr>
          <w:rFonts w:ascii="Verdana" w:hAnsi="Verdana"/>
          <w:color w:val="000000"/>
          <w:sz w:val="20"/>
          <w:szCs w:val="20"/>
        </w:rPr>
      </w:pPr>
      <w:bookmarkStart w:id="111" w:name="t_2"/>
      <w:bookmarkEnd w:id="111"/>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Each mortgagee (or servicer) with respect to a mortgage under this section shall, at or before closing with respect to any such mortgage, provide the mortgagor with written notice (in such form as the Secretary shall prescribe, by regulation, before the expiration of the 90-day period beginning upon November 28, 1990) describing any requirements the mortgagor must fulfill upon prepayment of the principal amount of the mortgage to prevent the accrual of any interest on the principal amount after the date of such prepayment. This paragraph shall apply to any mortgage executed after the expiration of the period under paragraph (1). </w:t>
      </w:r>
    </w:p>
    <w:p w:rsidR="00FC09DF" w:rsidP="00FC09DF" w14:paraId="381F18D7" w14:textId="77777777">
      <w:pPr>
        <w:rPr>
          <w:rFonts w:ascii="Verdana" w:hAnsi="Verdana"/>
          <w:color w:val="000000"/>
          <w:sz w:val="20"/>
          <w:szCs w:val="20"/>
        </w:rPr>
      </w:pPr>
      <w:bookmarkStart w:id="112" w:name="u"/>
      <w:bookmarkEnd w:id="112"/>
      <w:r>
        <w:rPr>
          <w:rStyle w:val="enumbell"/>
          <w:rFonts w:ascii="Verdana" w:hAnsi="Verdana"/>
          <w:color w:val="000000"/>
          <w:sz w:val="20"/>
          <w:szCs w:val="20"/>
        </w:rPr>
        <w:t>(u)</w:t>
      </w:r>
      <w:r>
        <w:rPr>
          <w:rFonts w:ascii="Verdana" w:hAnsi="Verdana"/>
          <w:color w:val="000000"/>
          <w:sz w:val="20"/>
          <w:szCs w:val="20"/>
        </w:rPr>
        <w:t xml:space="preserve"> </w:t>
      </w:r>
      <w:r>
        <w:rPr>
          <w:rFonts w:ascii="Verdana" w:hAnsi="Verdana"/>
          <w:b/>
          <w:bCs/>
          <w:color w:val="000000"/>
          <w:sz w:val="20"/>
          <w:szCs w:val="20"/>
        </w:rPr>
        <w:t xml:space="preserve">Accountability of mortgage lenders </w:t>
      </w:r>
    </w:p>
    <w:p w:rsidR="00FC09DF" w:rsidP="00FC09DF" w14:paraId="1C08D1BD" w14:textId="77777777">
      <w:pPr>
        <w:rPr>
          <w:rFonts w:ascii="Verdana" w:hAnsi="Verdana"/>
          <w:color w:val="000000"/>
          <w:sz w:val="20"/>
          <w:szCs w:val="20"/>
        </w:rPr>
      </w:pPr>
      <w:bookmarkStart w:id="113" w:name="u_1"/>
      <w:bookmarkEnd w:id="113"/>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No mortgagee may make or hold mortgages insured under this section if the customary lending practices of the mortgagee, as determined by the Secretary pursuant to section </w:t>
      </w:r>
      <w:hyperlink r:id="rId44" w:history="1">
        <w:r>
          <w:rPr>
            <w:rStyle w:val="Hyperlink"/>
            <w:rFonts w:ascii="Verdana" w:hAnsi="Verdana"/>
            <w:sz w:val="20"/>
            <w:szCs w:val="20"/>
          </w:rPr>
          <w:t>1735f–17</w:t>
        </w:r>
      </w:hyperlink>
      <w:r>
        <w:rPr>
          <w:rStyle w:val="ptext-2"/>
          <w:rFonts w:ascii="Verdana" w:hAnsi="Verdana"/>
          <w:color w:val="000000"/>
          <w:sz w:val="20"/>
          <w:szCs w:val="20"/>
        </w:rPr>
        <w:t xml:space="preserve"> of this title, provide for a variation in mortgage charge rates that exceeds 2 percent for insured mortgages made by </w:t>
      </w:r>
      <w:r>
        <w:rPr>
          <w:rStyle w:val="ptext-2"/>
          <w:rFonts w:ascii="Verdana" w:hAnsi="Verdana"/>
          <w:color w:val="000000"/>
          <w:sz w:val="20"/>
          <w:szCs w:val="20"/>
        </w:rPr>
        <w:t xml:space="preserve">the mortgagee on dwellings located within an area. The Secretary shall ensure that any permissible variations in the mortgage charge rates of any mortgagee are based only on actual variations in fees or costs to the mortgagee to make the loan. </w:t>
      </w:r>
    </w:p>
    <w:p w:rsidR="00FC09DF" w:rsidP="00FC09DF" w14:paraId="19630D24" w14:textId="77777777">
      <w:pPr>
        <w:rPr>
          <w:rFonts w:ascii="Verdana" w:hAnsi="Verdana"/>
          <w:color w:val="000000"/>
          <w:sz w:val="20"/>
          <w:szCs w:val="20"/>
        </w:rPr>
      </w:pPr>
      <w:bookmarkStart w:id="114" w:name="u_2"/>
      <w:bookmarkEnd w:id="114"/>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For purposes of this subsection— </w:t>
      </w:r>
    </w:p>
    <w:p w:rsidR="00FC09DF" w:rsidP="00FC09DF" w14:paraId="07FBCA84" w14:textId="77777777">
      <w:pPr>
        <w:rPr>
          <w:rFonts w:ascii="Verdana" w:hAnsi="Verdana"/>
          <w:color w:val="000000"/>
          <w:sz w:val="20"/>
          <w:szCs w:val="20"/>
        </w:rPr>
      </w:pPr>
      <w:bookmarkStart w:id="115" w:name="u_2_A"/>
      <w:bookmarkEnd w:id="115"/>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the term “area” shall have the meaning given the term under subsection (b)(2) of this </w:t>
      </w:r>
      <w:r>
        <w:rPr>
          <w:rStyle w:val="ptext-3"/>
          <w:rFonts w:ascii="Verdana" w:hAnsi="Verdana"/>
          <w:color w:val="000000"/>
          <w:sz w:val="20"/>
          <w:szCs w:val="20"/>
        </w:rPr>
        <w:t>section;</w:t>
      </w:r>
      <w:r>
        <w:rPr>
          <w:rStyle w:val="ptext-3"/>
          <w:rFonts w:ascii="Verdana" w:hAnsi="Verdana"/>
          <w:color w:val="000000"/>
          <w:sz w:val="20"/>
          <w:szCs w:val="20"/>
        </w:rPr>
        <w:t xml:space="preserve"> </w:t>
      </w:r>
    </w:p>
    <w:p w:rsidR="00FC09DF" w:rsidP="00FC09DF" w14:paraId="6194D26A" w14:textId="77777777">
      <w:pPr>
        <w:rPr>
          <w:rFonts w:ascii="Verdana" w:hAnsi="Verdana"/>
          <w:color w:val="000000"/>
          <w:sz w:val="20"/>
          <w:szCs w:val="20"/>
        </w:rPr>
      </w:pPr>
      <w:bookmarkStart w:id="116" w:name="u_2_B"/>
      <w:bookmarkEnd w:id="116"/>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the term “mortgage charges” includes the interest rate, discount points, loan origination fee, and any other amount charged to a mortgagor with respect to an insured mortgage; and </w:t>
      </w:r>
    </w:p>
    <w:p w:rsidR="00FC09DF" w:rsidP="00FC09DF" w14:paraId="255909A5" w14:textId="77777777">
      <w:pPr>
        <w:rPr>
          <w:rFonts w:ascii="Verdana" w:hAnsi="Verdana"/>
          <w:color w:val="000000"/>
          <w:sz w:val="20"/>
          <w:szCs w:val="20"/>
        </w:rPr>
      </w:pPr>
      <w:bookmarkStart w:id="117" w:name="u_2_C"/>
      <w:bookmarkEnd w:id="117"/>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the term “mortgage charge rate” means the amount of mortgage charges for an insured mortgage expressed as a percentage of the initial principal amount of the mortgage. </w:t>
      </w:r>
    </w:p>
    <w:p w:rsidR="00FC09DF" w:rsidP="00FC09DF" w14:paraId="63D3D050" w14:textId="77777777">
      <w:pPr>
        <w:rPr>
          <w:rFonts w:ascii="Verdana" w:hAnsi="Verdana"/>
          <w:color w:val="000000"/>
          <w:sz w:val="20"/>
          <w:szCs w:val="20"/>
        </w:rPr>
      </w:pPr>
      <w:bookmarkStart w:id="118" w:name="v"/>
      <w:bookmarkEnd w:id="118"/>
      <w:r>
        <w:rPr>
          <w:rStyle w:val="enumbell"/>
          <w:rFonts w:ascii="Verdana" w:hAnsi="Verdana"/>
          <w:color w:val="000000"/>
          <w:sz w:val="20"/>
          <w:szCs w:val="20"/>
        </w:rPr>
        <w:t>(v)</w:t>
      </w:r>
      <w:r>
        <w:rPr>
          <w:rFonts w:ascii="Verdana" w:hAnsi="Verdana"/>
          <w:color w:val="000000"/>
          <w:sz w:val="20"/>
          <w:szCs w:val="20"/>
        </w:rPr>
        <w:t xml:space="preserve"> </w:t>
      </w:r>
      <w:r>
        <w:rPr>
          <w:rFonts w:ascii="Verdana" w:hAnsi="Verdana"/>
          <w:b/>
          <w:bCs/>
          <w:color w:val="000000"/>
          <w:sz w:val="20"/>
          <w:szCs w:val="20"/>
        </w:rPr>
        <w:t xml:space="preserve">Use of FHA insurance with assistance under 42 U.S.C. 1437f </w:t>
      </w:r>
    </w:p>
    <w:p w:rsidR="00FC09DF" w:rsidP="00FC09DF" w14:paraId="4FEB70F1" w14:textId="77777777">
      <w:pPr>
        <w:rPr>
          <w:rFonts w:ascii="Verdana" w:hAnsi="Verdana"/>
          <w:color w:val="000000"/>
          <w:sz w:val="20"/>
          <w:szCs w:val="20"/>
        </w:rPr>
      </w:pPr>
      <w:r>
        <w:rPr>
          <w:rFonts w:ascii="Verdana" w:hAnsi="Verdana"/>
          <w:color w:val="000000"/>
          <w:sz w:val="20"/>
          <w:szCs w:val="20"/>
        </w:rPr>
        <w:t xml:space="preserve">Notwithstanding section </w:t>
      </w:r>
      <w:hyperlink r:id="rId39" w:history="1">
        <w:r>
          <w:rPr>
            <w:rStyle w:val="Hyperlink"/>
            <w:rFonts w:ascii="Verdana" w:hAnsi="Verdana"/>
            <w:sz w:val="20"/>
            <w:szCs w:val="20"/>
          </w:rPr>
          <w:t>1708</w:t>
        </w:r>
      </w:hyperlink>
      <w:r>
        <w:rPr>
          <w:rFonts w:ascii="Verdana" w:hAnsi="Verdana"/>
          <w:color w:val="000000"/>
          <w:sz w:val="20"/>
          <w:szCs w:val="20"/>
        </w:rPr>
        <w:t xml:space="preserve"> of this title, the insurance of a mortgage under this section in connection with the assistance provided under section </w:t>
      </w:r>
      <w:hyperlink r:id="rId45" w:history="1">
        <w:r>
          <w:rPr>
            <w:rStyle w:val="Hyperlink"/>
            <w:rFonts w:ascii="Verdana" w:hAnsi="Verdana"/>
            <w:sz w:val="20"/>
            <w:szCs w:val="20"/>
          </w:rPr>
          <w:t>1437f</w:t>
        </w:r>
      </w:hyperlink>
      <w:r>
        <w:rPr>
          <w:rFonts w:ascii="Verdana" w:hAnsi="Verdana"/>
          <w:color w:val="000000"/>
          <w:sz w:val="20"/>
          <w:szCs w:val="20"/>
        </w:rPr>
        <w:t xml:space="preserve"> </w:t>
      </w:r>
      <w:hyperlink r:id="rId45" w:anchor="y" w:history="1">
        <w:r>
          <w:rPr>
            <w:rStyle w:val="Hyperlink"/>
            <w:rFonts w:ascii="Verdana" w:hAnsi="Verdana"/>
            <w:sz w:val="20"/>
            <w:szCs w:val="20"/>
          </w:rPr>
          <w:t>(y)</w:t>
        </w:r>
      </w:hyperlink>
      <w:r>
        <w:rPr>
          <w:rFonts w:ascii="Verdana" w:hAnsi="Verdana"/>
          <w:color w:val="000000"/>
          <w:sz w:val="20"/>
          <w:szCs w:val="20"/>
        </w:rPr>
        <w:t xml:space="preserve"> of title </w:t>
      </w:r>
      <w:hyperlink r:id="rId16" w:history="1">
        <w:r>
          <w:rPr>
            <w:rStyle w:val="Hyperlink"/>
            <w:rFonts w:ascii="Verdana" w:hAnsi="Verdana"/>
            <w:sz w:val="20"/>
            <w:szCs w:val="20"/>
          </w:rPr>
          <w:t>42</w:t>
        </w:r>
      </w:hyperlink>
      <w:r>
        <w:rPr>
          <w:rFonts w:ascii="Verdana" w:hAnsi="Verdana"/>
          <w:color w:val="000000"/>
          <w:sz w:val="20"/>
          <w:szCs w:val="20"/>
        </w:rPr>
        <w:t xml:space="preserve"> shall be the obligation of the General Insurance Fund created pursuant to section </w:t>
      </w:r>
      <w:hyperlink r:id="rId46" w:history="1">
        <w:r>
          <w:rPr>
            <w:rStyle w:val="Hyperlink"/>
            <w:rFonts w:ascii="Verdana" w:hAnsi="Verdana"/>
            <w:sz w:val="20"/>
            <w:szCs w:val="20"/>
          </w:rPr>
          <w:t>1735c</w:t>
        </w:r>
      </w:hyperlink>
      <w:r>
        <w:rPr>
          <w:rFonts w:ascii="Verdana" w:hAnsi="Verdana"/>
          <w:color w:val="000000"/>
          <w:sz w:val="20"/>
          <w:szCs w:val="20"/>
        </w:rPr>
        <w:t> </w:t>
      </w:r>
      <w:bookmarkStart w:id="119" w:name="FN-4REF"/>
      <w:hyperlink r:id="rId15" w:anchor="FN-4#FN-4" w:history="1">
        <w:r>
          <w:rPr>
            <w:rFonts w:ascii="Verdana" w:hAnsi="Verdana"/>
            <w:color w:val="000080"/>
            <w:sz w:val="20"/>
            <w:szCs w:val="20"/>
            <w:vertAlign w:val="superscript"/>
          </w:rPr>
          <w:t>[4]</w:t>
        </w:r>
      </w:hyperlink>
      <w:r>
        <w:rPr>
          <w:rFonts w:ascii="Verdana" w:hAnsi="Verdana"/>
          <w:color w:val="000000"/>
          <w:sz w:val="20"/>
          <w:szCs w:val="20"/>
        </w:rPr>
        <w:t xml:space="preserve"> of this title. The provisions of subsections (a) through (h),</w:t>
      </w:r>
      <w:hyperlink r:id="rId15" w:anchor="FN-4#FN-4" w:history="1">
        <w:r>
          <w:rPr>
            <w:rFonts w:ascii="Verdana" w:hAnsi="Verdana"/>
            <w:color w:val="000080"/>
            <w:sz w:val="20"/>
            <w:szCs w:val="20"/>
            <w:vertAlign w:val="superscript"/>
          </w:rPr>
          <w:t>[4]</w:t>
        </w:r>
      </w:hyperlink>
      <w:r>
        <w:rPr>
          <w:rFonts w:ascii="Verdana" w:hAnsi="Verdana"/>
          <w:color w:val="000000"/>
          <w:sz w:val="20"/>
          <w:szCs w:val="20"/>
        </w:rPr>
        <w:t xml:space="preserve"> (j), and (k) </w:t>
      </w:r>
      <w:hyperlink r:id="rId15" w:anchor="FN-4#FN-4" w:history="1">
        <w:r>
          <w:rPr>
            <w:rFonts w:ascii="Verdana" w:hAnsi="Verdana"/>
            <w:color w:val="000080"/>
            <w:sz w:val="20"/>
            <w:szCs w:val="20"/>
            <w:vertAlign w:val="superscript"/>
          </w:rPr>
          <w:t>[4]</w:t>
        </w:r>
      </w:hyperlink>
      <w:bookmarkEnd w:id="119"/>
      <w:r>
        <w:rPr>
          <w:rFonts w:ascii="Verdana" w:hAnsi="Verdana"/>
          <w:color w:val="000000"/>
          <w:sz w:val="20"/>
          <w:szCs w:val="20"/>
        </w:rPr>
        <w:t xml:space="preserve"> of section </w:t>
      </w:r>
      <w:hyperlink r:id="rId37" w:history="1">
        <w:r>
          <w:rPr>
            <w:rStyle w:val="Hyperlink"/>
            <w:rFonts w:ascii="Verdana" w:hAnsi="Verdana"/>
            <w:sz w:val="20"/>
            <w:szCs w:val="20"/>
          </w:rPr>
          <w:t>1710</w:t>
        </w:r>
      </w:hyperlink>
      <w:r>
        <w:rPr>
          <w:rFonts w:ascii="Verdana" w:hAnsi="Verdana"/>
          <w:color w:val="000000"/>
          <w:sz w:val="20"/>
          <w:szCs w:val="20"/>
        </w:rPr>
        <w:t xml:space="preserve"> of this title shall apply to such mortgages, except that (1) all references in section </w:t>
      </w:r>
      <w:hyperlink r:id="rId37" w:history="1">
        <w:r>
          <w:rPr>
            <w:rStyle w:val="Hyperlink"/>
            <w:rFonts w:ascii="Verdana" w:hAnsi="Verdana"/>
            <w:sz w:val="20"/>
            <w:szCs w:val="20"/>
          </w:rPr>
          <w:t>1710</w:t>
        </w:r>
      </w:hyperlink>
      <w:r>
        <w:rPr>
          <w:rFonts w:ascii="Verdana" w:hAnsi="Verdana"/>
          <w:color w:val="000000"/>
          <w:sz w:val="20"/>
          <w:szCs w:val="20"/>
        </w:rPr>
        <w:t xml:space="preserve"> of this title to the Mutual Mortgage Insurance Fund or the Fund shall be construed to refer to the General Insurance Fund, and (2) any excess amounts described in section </w:t>
      </w:r>
      <w:hyperlink r:id="rId37" w:history="1">
        <w:r>
          <w:rPr>
            <w:rStyle w:val="Hyperlink"/>
            <w:rFonts w:ascii="Verdana" w:hAnsi="Verdana"/>
            <w:sz w:val="20"/>
            <w:szCs w:val="20"/>
          </w:rPr>
          <w:t>1710</w:t>
        </w:r>
      </w:hyperlink>
      <w:r>
        <w:rPr>
          <w:rFonts w:ascii="Verdana" w:hAnsi="Verdana"/>
          <w:color w:val="000000"/>
          <w:sz w:val="20"/>
          <w:szCs w:val="20"/>
        </w:rPr>
        <w:t xml:space="preserve"> </w:t>
      </w:r>
      <w:hyperlink r:id="rId37" w:anchor="f_1" w:history="1">
        <w:r>
          <w:rPr>
            <w:rStyle w:val="Hyperlink"/>
            <w:rFonts w:ascii="Verdana" w:hAnsi="Verdana"/>
            <w:sz w:val="20"/>
            <w:szCs w:val="20"/>
          </w:rPr>
          <w:t>(f)(1)</w:t>
        </w:r>
      </w:hyperlink>
      <w:r>
        <w:rPr>
          <w:rFonts w:ascii="Verdana" w:hAnsi="Verdana"/>
          <w:color w:val="000000"/>
          <w:sz w:val="20"/>
          <w:szCs w:val="20"/>
        </w:rPr>
        <w:t xml:space="preserve"> of this title shall be retained by the Secretary and credited to the General Insurance Fund. </w:t>
      </w:r>
    </w:p>
    <w:p w:rsidR="00FC09DF" w:rsidP="00FC09DF" w14:paraId="1658AC43" w14:textId="77777777">
      <w:pPr>
        <w:rPr>
          <w:rFonts w:ascii="Verdana" w:hAnsi="Verdana"/>
          <w:color w:val="000000"/>
          <w:sz w:val="20"/>
          <w:szCs w:val="20"/>
        </w:rPr>
      </w:pPr>
      <w:bookmarkStart w:id="120" w:name="w"/>
      <w:bookmarkEnd w:id="120"/>
      <w:r>
        <w:rPr>
          <w:rStyle w:val="enumbell"/>
          <w:rFonts w:ascii="Verdana" w:hAnsi="Verdana"/>
          <w:color w:val="000000"/>
          <w:sz w:val="20"/>
          <w:szCs w:val="20"/>
        </w:rPr>
        <w:t>(w)</w:t>
      </w:r>
      <w:r>
        <w:rPr>
          <w:rFonts w:ascii="Verdana" w:hAnsi="Verdana"/>
          <w:color w:val="000000"/>
          <w:sz w:val="20"/>
          <w:szCs w:val="20"/>
        </w:rPr>
        <w:t xml:space="preserve"> </w:t>
      </w:r>
      <w:r>
        <w:rPr>
          <w:rFonts w:ascii="Verdana" w:hAnsi="Verdana"/>
          <w:b/>
          <w:bCs/>
          <w:color w:val="000000"/>
          <w:sz w:val="20"/>
          <w:szCs w:val="20"/>
        </w:rPr>
        <w:t xml:space="preserve">Annual report </w:t>
      </w:r>
    </w:p>
    <w:p w:rsidR="00FC09DF" w:rsidP="00FC09DF" w14:paraId="62D55098" w14:textId="77777777">
      <w:pPr>
        <w:rPr>
          <w:rFonts w:ascii="Verdana" w:hAnsi="Verdana"/>
          <w:color w:val="000000"/>
          <w:sz w:val="20"/>
          <w:szCs w:val="20"/>
        </w:rPr>
      </w:pPr>
      <w:r>
        <w:rPr>
          <w:rFonts w:ascii="Verdana" w:hAnsi="Verdana"/>
          <w:color w:val="000000"/>
          <w:sz w:val="20"/>
          <w:szCs w:val="20"/>
        </w:rPr>
        <w:t xml:space="preserve">The Secretary of Housing and Urban Development shall submit to the Congress an annual report on the </w:t>
      </w:r>
      <w:r>
        <w:rPr>
          <w:rFonts w:ascii="Verdana" w:hAnsi="Verdana"/>
          <w:color w:val="000000"/>
          <w:sz w:val="20"/>
          <w:szCs w:val="20"/>
        </w:rPr>
        <w:t>single family</w:t>
      </w:r>
      <w:r>
        <w:rPr>
          <w:rFonts w:ascii="Verdana" w:hAnsi="Verdana"/>
          <w:color w:val="000000"/>
          <w:sz w:val="20"/>
          <w:szCs w:val="20"/>
        </w:rPr>
        <w:t xml:space="preserve"> mortgage insurance program under this section. Each report shall set forth— </w:t>
      </w:r>
    </w:p>
    <w:p w:rsidR="00FC09DF" w:rsidP="00FC09DF" w14:paraId="2C81B149" w14:textId="77777777">
      <w:pPr>
        <w:rPr>
          <w:rFonts w:ascii="Verdana" w:hAnsi="Verdana"/>
          <w:color w:val="000000"/>
          <w:sz w:val="20"/>
          <w:szCs w:val="20"/>
        </w:rPr>
      </w:pPr>
      <w:bookmarkStart w:id="121" w:name="w_1"/>
      <w:bookmarkEnd w:id="121"/>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an analysis of the income groups served by the </w:t>
      </w:r>
      <w:r>
        <w:rPr>
          <w:rStyle w:val="ptext-2"/>
          <w:rFonts w:ascii="Verdana" w:hAnsi="Verdana"/>
          <w:color w:val="000000"/>
          <w:sz w:val="20"/>
          <w:szCs w:val="20"/>
        </w:rPr>
        <w:t>single family</w:t>
      </w:r>
      <w:r>
        <w:rPr>
          <w:rStyle w:val="ptext-2"/>
          <w:rFonts w:ascii="Verdana" w:hAnsi="Verdana"/>
          <w:color w:val="000000"/>
          <w:sz w:val="20"/>
          <w:szCs w:val="20"/>
        </w:rPr>
        <w:t xml:space="preserve"> insurance program, including— </w:t>
      </w:r>
    </w:p>
    <w:p w:rsidR="00FC09DF" w:rsidP="00FC09DF" w14:paraId="067AFDBD" w14:textId="77777777">
      <w:pPr>
        <w:rPr>
          <w:rFonts w:ascii="Verdana" w:hAnsi="Verdana"/>
          <w:color w:val="000000"/>
          <w:sz w:val="20"/>
          <w:szCs w:val="20"/>
        </w:rPr>
      </w:pPr>
      <w:bookmarkStart w:id="122" w:name="w_1_A"/>
      <w:bookmarkEnd w:id="122"/>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the percentage of borrowers whose incomes do not exceed 100 percent of the median income for the </w:t>
      </w:r>
      <w:r>
        <w:rPr>
          <w:rStyle w:val="ptext-3"/>
          <w:rFonts w:ascii="Verdana" w:hAnsi="Verdana"/>
          <w:color w:val="000000"/>
          <w:sz w:val="20"/>
          <w:szCs w:val="20"/>
        </w:rPr>
        <w:t>area;</w:t>
      </w:r>
      <w:r>
        <w:rPr>
          <w:rStyle w:val="ptext-3"/>
          <w:rFonts w:ascii="Verdana" w:hAnsi="Verdana"/>
          <w:color w:val="000000"/>
          <w:sz w:val="20"/>
          <w:szCs w:val="20"/>
        </w:rPr>
        <w:t xml:space="preserve"> </w:t>
      </w:r>
    </w:p>
    <w:p w:rsidR="00FC09DF" w:rsidP="00FC09DF" w14:paraId="3764E253" w14:textId="77777777">
      <w:pPr>
        <w:rPr>
          <w:rFonts w:ascii="Verdana" w:hAnsi="Verdana"/>
          <w:color w:val="000000"/>
          <w:sz w:val="20"/>
          <w:szCs w:val="20"/>
        </w:rPr>
      </w:pPr>
      <w:bookmarkStart w:id="123" w:name="w_1_B"/>
      <w:bookmarkEnd w:id="123"/>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the percentage of borrowers whose incomes do not exceed 80 percent of the median income for the area; and </w:t>
      </w:r>
    </w:p>
    <w:p w:rsidR="00FC09DF" w:rsidP="00FC09DF" w14:paraId="344B5981" w14:textId="77777777">
      <w:pPr>
        <w:rPr>
          <w:rFonts w:ascii="Verdana" w:hAnsi="Verdana"/>
          <w:color w:val="000000"/>
          <w:sz w:val="20"/>
          <w:szCs w:val="20"/>
        </w:rPr>
      </w:pPr>
      <w:bookmarkStart w:id="124" w:name="w_1_C"/>
      <w:bookmarkEnd w:id="124"/>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the percentage of borrowers whose incomes do not exceed 60 percent of the median income for the </w:t>
      </w:r>
      <w:r>
        <w:rPr>
          <w:rStyle w:val="ptext-3"/>
          <w:rFonts w:ascii="Verdana" w:hAnsi="Verdana"/>
          <w:color w:val="000000"/>
          <w:sz w:val="20"/>
          <w:szCs w:val="20"/>
        </w:rPr>
        <w:t>area;</w:t>
      </w:r>
      <w:r>
        <w:rPr>
          <w:rStyle w:val="ptext-3"/>
          <w:rFonts w:ascii="Verdana" w:hAnsi="Verdana"/>
          <w:color w:val="000000"/>
          <w:sz w:val="20"/>
          <w:szCs w:val="20"/>
        </w:rPr>
        <w:t xml:space="preserve"> </w:t>
      </w:r>
    </w:p>
    <w:p w:rsidR="00FC09DF" w:rsidP="00FC09DF" w14:paraId="49B56B0D" w14:textId="77777777">
      <w:pPr>
        <w:rPr>
          <w:rFonts w:ascii="Verdana" w:hAnsi="Verdana"/>
          <w:color w:val="000000"/>
          <w:sz w:val="20"/>
          <w:szCs w:val="20"/>
        </w:rPr>
      </w:pPr>
      <w:bookmarkStart w:id="125" w:name="w_2"/>
      <w:bookmarkEnd w:id="125"/>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an analysis of the percentage of minority borrowers annually assisted by the program; the percentage of central city borrowers </w:t>
      </w:r>
      <w:r>
        <w:rPr>
          <w:rStyle w:val="ptext-2"/>
          <w:rFonts w:ascii="Verdana" w:hAnsi="Verdana"/>
          <w:color w:val="000000"/>
          <w:sz w:val="20"/>
          <w:szCs w:val="20"/>
        </w:rPr>
        <w:t>assisted</w:t>
      </w:r>
      <w:r>
        <w:rPr>
          <w:rStyle w:val="ptext-2"/>
          <w:rFonts w:ascii="Verdana" w:hAnsi="Verdana"/>
          <w:color w:val="000000"/>
          <w:sz w:val="20"/>
          <w:szCs w:val="20"/>
        </w:rPr>
        <w:t xml:space="preserve"> and the percentage of rural borrowers assisted by the program; </w:t>
      </w:r>
    </w:p>
    <w:p w:rsidR="00FC09DF" w:rsidP="00FC09DF" w14:paraId="4FD8AC9C" w14:textId="77777777">
      <w:pPr>
        <w:rPr>
          <w:rFonts w:ascii="Verdana" w:hAnsi="Verdana"/>
          <w:color w:val="000000"/>
          <w:sz w:val="20"/>
          <w:szCs w:val="20"/>
        </w:rPr>
      </w:pPr>
      <w:bookmarkStart w:id="126" w:name="w_3"/>
      <w:bookmarkEnd w:id="126"/>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the extent to which the Secretary in carrying out the program has employed methods to ensure that needs of </w:t>
      </w:r>
      <w:r>
        <w:rPr>
          <w:rStyle w:val="ptext-2"/>
          <w:rFonts w:ascii="Verdana" w:hAnsi="Verdana"/>
          <w:color w:val="000000"/>
          <w:sz w:val="20"/>
          <w:szCs w:val="20"/>
        </w:rPr>
        <w:t>low and moderate income</w:t>
      </w:r>
      <w:r>
        <w:rPr>
          <w:rStyle w:val="ptext-2"/>
          <w:rFonts w:ascii="Verdana" w:hAnsi="Verdana"/>
          <w:color w:val="000000"/>
          <w:sz w:val="20"/>
          <w:szCs w:val="20"/>
        </w:rPr>
        <w:t xml:space="preserve"> families, underserved areas, and historically disadvantaged groups are served by the program; and </w:t>
      </w:r>
    </w:p>
    <w:p w:rsidR="00FC09DF" w:rsidP="00FC09DF" w14:paraId="4662C32C" w14:textId="77777777">
      <w:pPr>
        <w:rPr>
          <w:rFonts w:ascii="Verdana" w:hAnsi="Verdana"/>
          <w:color w:val="000000"/>
          <w:sz w:val="20"/>
          <w:szCs w:val="20"/>
        </w:rPr>
      </w:pPr>
      <w:bookmarkStart w:id="127" w:name="w_4"/>
      <w:bookmarkEnd w:id="127"/>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the current impediments to having the program serve </w:t>
      </w:r>
      <w:r>
        <w:rPr>
          <w:rStyle w:val="ptext-2"/>
          <w:rFonts w:ascii="Verdana" w:hAnsi="Verdana"/>
          <w:color w:val="000000"/>
          <w:sz w:val="20"/>
          <w:szCs w:val="20"/>
        </w:rPr>
        <w:t>low and moderate income</w:t>
      </w:r>
      <w:r>
        <w:rPr>
          <w:rStyle w:val="ptext-2"/>
          <w:rFonts w:ascii="Verdana" w:hAnsi="Verdana"/>
          <w:color w:val="000000"/>
          <w:sz w:val="20"/>
          <w:szCs w:val="20"/>
        </w:rPr>
        <w:t xml:space="preserve"> borrowers; borrowers from central city areas; borrowers from rural areas; and minority borrowers. </w:t>
      </w:r>
    </w:p>
    <w:p w:rsidR="00FC09DF" w:rsidP="00FC09DF" w14:paraId="55E65B68" w14:textId="77777777">
      <w:pPr>
        <w:rPr>
          <w:rFonts w:ascii="Verdana" w:hAnsi="Verdana"/>
          <w:color w:val="000000"/>
          <w:sz w:val="20"/>
          <w:szCs w:val="20"/>
        </w:rPr>
      </w:pPr>
      <w:r>
        <w:rPr>
          <w:rFonts w:ascii="Verdana" w:hAnsi="Verdana"/>
          <w:color w:val="000000"/>
          <w:sz w:val="20"/>
          <w:szCs w:val="20"/>
        </w:rPr>
        <w:t xml:space="preserve">The report required under this subsection shall include the report required under section </w:t>
      </w:r>
      <w:hyperlink r:id="rId47" w:history="1">
        <w:r>
          <w:rPr>
            <w:rStyle w:val="Hyperlink"/>
            <w:rFonts w:ascii="Verdana" w:hAnsi="Verdana"/>
            <w:sz w:val="20"/>
            <w:szCs w:val="20"/>
          </w:rPr>
          <w:t>1735f–18</w:t>
        </w:r>
      </w:hyperlink>
      <w:r>
        <w:rPr>
          <w:rFonts w:ascii="Verdana" w:hAnsi="Verdana"/>
          <w:color w:val="000000"/>
          <w:sz w:val="20"/>
          <w:szCs w:val="20"/>
        </w:rPr>
        <w:t xml:space="preserve"> </w:t>
      </w:r>
      <w:hyperlink r:id="rId47" w:anchor="c" w:history="1">
        <w:r>
          <w:rPr>
            <w:rStyle w:val="Hyperlink"/>
            <w:rFonts w:ascii="Verdana" w:hAnsi="Verdana"/>
            <w:sz w:val="20"/>
            <w:szCs w:val="20"/>
          </w:rPr>
          <w:t>(c)</w:t>
        </w:r>
      </w:hyperlink>
      <w:r>
        <w:rPr>
          <w:rFonts w:ascii="Verdana" w:hAnsi="Verdana"/>
          <w:color w:val="000000"/>
          <w:sz w:val="20"/>
          <w:szCs w:val="20"/>
        </w:rPr>
        <w:t xml:space="preserve"> of this title and the report required under section </w:t>
      </w:r>
      <w:hyperlink r:id="rId48" w:history="1">
        <w:r>
          <w:rPr>
            <w:rStyle w:val="Hyperlink"/>
            <w:rFonts w:ascii="Verdana" w:hAnsi="Verdana"/>
            <w:sz w:val="20"/>
            <w:szCs w:val="20"/>
          </w:rPr>
          <w:t>1711</w:t>
        </w:r>
      </w:hyperlink>
      <w:r>
        <w:rPr>
          <w:rFonts w:ascii="Verdana" w:hAnsi="Verdana"/>
          <w:color w:val="000000"/>
          <w:sz w:val="20"/>
          <w:szCs w:val="20"/>
        </w:rPr>
        <w:t xml:space="preserve"> </w:t>
      </w:r>
      <w:hyperlink r:id="rId48" w:anchor="g" w:history="1">
        <w:r>
          <w:rPr>
            <w:rStyle w:val="Hyperlink"/>
            <w:rFonts w:ascii="Verdana" w:hAnsi="Verdana"/>
            <w:sz w:val="20"/>
            <w:szCs w:val="20"/>
          </w:rPr>
          <w:t>(g)</w:t>
        </w:r>
      </w:hyperlink>
      <w:r>
        <w:rPr>
          <w:rFonts w:ascii="Verdana" w:hAnsi="Verdana"/>
          <w:color w:val="000000"/>
          <w:sz w:val="20"/>
          <w:szCs w:val="20"/>
        </w:rPr>
        <w:t xml:space="preserve"> of this title. </w:t>
      </w:r>
    </w:p>
    <w:p w:rsidR="00FC09DF" w:rsidP="00FC09DF" w14:paraId="014D7841" w14:textId="77777777">
      <w:pPr>
        <w:rPr>
          <w:rFonts w:ascii="Verdana" w:hAnsi="Verdana"/>
          <w:color w:val="000000"/>
          <w:sz w:val="20"/>
          <w:szCs w:val="20"/>
        </w:rPr>
      </w:pPr>
      <w:bookmarkStart w:id="128" w:name="x"/>
      <w:bookmarkEnd w:id="128"/>
      <w:r>
        <w:rPr>
          <w:rStyle w:val="enumbell"/>
          <w:rFonts w:ascii="Verdana" w:hAnsi="Verdana"/>
          <w:color w:val="000000"/>
          <w:sz w:val="20"/>
          <w:szCs w:val="20"/>
        </w:rPr>
        <w:t>(x)</w:t>
      </w:r>
      <w:r>
        <w:rPr>
          <w:rFonts w:ascii="Verdana" w:hAnsi="Verdana"/>
          <w:color w:val="000000"/>
          <w:sz w:val="20"/>
          <w:szCs w:val="20"/>
        </w:rPr>
        <w:t xml:space="preserve"> </w:t>
      </w:r>
      <w:r>
        <w:rPr>
          <w:rFonts w:ascii="Verdana" w:hAnsi="Verdana"/>
          <w:b/>
          <w:bCs/>
          <w:color w:val="000000"/>
          <w:sz w:val="20"/>
          <w:szCs w:val="20"/>
        </w:rPr>
        <w:t xml:space="preserve">Management deficiencies report </w:t>
      </w:r>
    </w:p>
    <w:p w:rsidR="00FC09DF" w:rsidP="00FC09DF" w14:paraId="140B166E" w14:textId="77777777">
      <w:pPr>
        <w:rPr>
          <w:rFonts w:ascii="Verdana" w:hAnsi="Verdana"/>
          <w:color w:val="000000"/>
          <w:sz w:val="20"/>
          <w:szCs w:val="20"/>
        </w:rPr>
      </w:pPr>
      <w:bookmarkStart w:id="129" w:name="x_1"/>
      <w:bookmarkEnd w:id="129"/>
      <w:r>
        <w:rPr>
          <w:rStyle w:val="enumbell"/>
          <w:rFonts w:ascii="Verdana" w:hAnsi="Verdana"/>
          <w:color w:val="000000"/>
          <w:sz w:val="20"/>
          <w:szCs w:val="20"/>
        </w:rPr>
        <w:t>(1)</w:t>
      </w:r>
      <w:r>
        <w:rPr>
          <w:rFonts w:ascii="Verdana" w:hAnsi="Verdana"/>
          <w:color w:val="000000"/>
          <w:sz w:val="20"/>
          <w:szCs w:val="20"/>
        </w:rPr>
        <w:t xml:space="preserve"> </w:t>
      </w:r>
      <w:r>
        <w:rPr>
          <w:rFonts w:ascii="Verdana" w:hAnsi="Verdana"/>
          <w:b/>
          <w:bCs/>
          <w:color w:val="000000"/>
          <w:sz w:val="20"/>
          <w:szCs w:val="20"/>
        </w:rPr>
        <w:t xml:space="preserve">In general </w:t>
      </w:r>
    </w:p>
    <w:p w:rsidR="00FC09DF" w:rsidP="00FC09DF" w14:paraId="08683203" w14:textId="77777777">
      <w:pPr>
        <w:rPr>
          <w:rFonts w:ascii="Verdana" w:hAnsi="Verdana"/>
          <w:color w:val="000000"/>
          <w:sz w:val="20"/>
          <w:szCs w:val="20"/>
        </w:rPr>
      </w:pPr>
      <w:r>
        <w:rPr>
          <w:rFonts w:ascii="Verdana" w:hAnsi="Verdana"/>
          <w:color w:val="000000"/>
          <w:sz w:val="20"/>
          <w:szCs w:val="20"/>
        </w:rPr>
        <w:t xml:space="preserve">Not later than 60 days after October 21, 1998, and annually thereafter, the Secretary shall submit to Congress a report on the plan of the Secretary to address each material weakness, reportable condition, and noncompliance with an applicable law or regulation (as defined by the Director of the Office of Management and Budget) identified in the most recent audited financial statement of the Federal Housing Administration submitted under section </w:t>
      </w:r>
      <w:hyperlink r:id="rId49" w:history="1">
        <w:r>
          <w:rPr>
            <w:rStyle w:val="Hyperlink"/>
            <w:rFonts w:ascii="Verdana" w:hAnsi="Verdana"/>
            <w:sz w:val="20"/>
            <w:szCs w:val="20"/>
          </w:rPr>
          <w:t>3515</w:t>
        </w:r>
      </w:hyperlink>
      <w:r>
        <w:rPr>
          <w:rFonts w:ascii="Verdana" w:hAnsi="Verdana"/>
          <w:color w:val="000000"/>
          <w:sz w:val="20"/>
          <w:szCs w:val="20"/>
        </w:rPr>
        <w:t xml:space="preserve"> of title </w:t>
      </w:r>
      <w:hyperlink r:id="rId50" w:history="1">
        <w:r>
          <w:rPr>
            <w:rStyle w:val="Hyperlink"/>
            <w:rFonts w:ascii="Verdana" w:hAnsi="Verdana"/>
            <w:sz w:val="20"/>
            <w:szCs w:val="20"/>
          </w:rPr>
          <w:t>31</w:t>
        </w:r>
      </w:hyperlink>
      <w:r>
        <w:rPr>
          <w:rFonts w:ascii="Verdana" w:hAnsi="Verdana"/>
          <w:color w:val="000000"/>
          <w:sz w:val="20"/>
          <w:szCs w:val="20"/>
        </w:rPr>
        <w:t xml:space="preserve">. </w:t>
      </w:r>
    </w:p>
    <w:p w:rsidR="00FC09DF" w:rsidP="00FC09DF" w14:paraId="205356F9" w14:textId="77777777">
      <w:pPr>
        <w:rPr>
          <w:rFonts w:ascii="Verdana" w:hAnsi="Verdana"/>
          <w:color w:val="000000"/>
          <w:sz w:val="20"/>
          <w:szCs w:val="20"/>
        </w:rPr>
      </w:pPr>
      <w:bookmarkStart w:id="130" w:name="x_2"/>
      <w:bookmarkEnd w:id="130"/>
      <w:r>
        <w:rPr>
          <w:rStyle w:val="enumbell"/>
          <w:rFonts w:ascii="Verdana" w:hAnsi="Verdana"/>
          <w:color w:val="000000"/>
          <w:sz w:val="20"/>
          <w:szCs w:val="20"/>
        </w:rPr>
        <w:t>(2)</w:t>
      </w:r>
      <w:r>
        <w:rPr>
          <w:rFonts w:ascii="Verdana" w:hAnsi="Verdana"/>
          <w:color w:val="000000"/>
          <w:sz w:val="20"/>
          <w:szCs w:val="20"/>
        </w:rPr>
        <w:t xml:space="preserve"> </w:t>
      </w:r>
      <w:r>
        <w:rPr>
          <w:rFonts w:ascii="Verdana" w:hAnsi="Verdana"/>
          <w:b/>
          <w:bCs/>
          <w:color w:val="000000"/>
          <w:sz w:val="20"/>
          <w:szCs w:val="20"/>
        </w:rPr>
        <w:t xml:space="preserve">Contents of annual report </w:t>
      </w:r>
    </w:p>
    <w:p w:rsidR="00FC09DF" w:rsidP="00FC09DF" w14:paraId="383C614B" w14:textId="77777777">
      <w:pPr>
        <w:rPr>
          <w:rFonts w:ascii="Verdana" w:hAnsi="Verdana"/>
          <w:color w:val="000000"/>
          <w:sz w:val="20"/>
          <w:szCs w:val="20"/>
        </w:rPr>
      </w:pPr>
      <w:r>
        <w:rPr>
          <w:rFonts w:ascii="Verdana" w:hAnsi="Verdana"/>
          <w:color w:val="000000"/>
          <w:sz w:val="20"/>
          <w:szCs w:val="20"/>
        </w:rPr>
        <w:t xml:space="preserve">Each report submitted under paragraph (1) shall include— </w:t>
      </w:r>
    </w:p>
    <w:p w:rsidR="00FC09DF" w:rsidP="00FC09DF" w14:paraId="7F6D395F" w14:textId="77777777">
      <w:pPr>
        <w:rPr>
          <w:rFonts w:ascii="Verdana" w:hAnsi="Verdana"/>
          <w:color w:val="000000"/>
          <w:sz w:val="20"/>
          <w:szCs w:val="20"/>
        </w:rPr>
      </w:pPr>
      <w:bookmarkStart w:id="131" w:name="x_2_A"/>
      <w:bookmarkEnd w:id="131"/>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an estimate of the resources, including staff, information systems, and contract assistance, required to address each material weakness, reportable condition, and noncompliance with an applicable law or regulation described in paragraph (1), and the costs associated with those </w:t>
      </w:r>
      <w:r>
        <w:rPr>
          <w:rStyle w:val="ptext-3"/>
          <w:rFonts w:ascii="Verdana" w:hAnsi="Verdana"/>
          <w:color w:val="000000"/>
          <w:sz w:val="20"/>
          <w:szCs w:val="20"/>
        </w:rPr>
        <w:t>resources;</w:t>
      </w:r>
      <w:r>
        <w:rPr>
          <w:rStyle w:val="ptext-3"/>
          <w:rFonts w:ascii="Verdana" w:hAnsi="Verdana"/>
          <w:color w:val="000000"/>
          <w:sz w:val="20"/>
          <w:szCs w:val="20"/>
        </w:rPr>
        <w:t xml:space="preserve"> </w:t>
      </w:r>
    </w:p>
    <w:p w:rsidR="00FC09DF" w:rsidP="00FC09DF" w14:paraId="1C3EDFCF" w14:textId="77777777">
      <w:pPr>
        <w:rPr>
          <w:rFonts w:ascii="Verdana" w:hAnsi="Verdana"/>
          <w:color w:val="000000"/>
          <w:sz w:val="20"/>
          <w:szCs w:val="20"/>
        </w:rPr>
      </w:pPr>
      <w:bookmarkStart w:id="132" w:name="x_2_B"/>
      <w:bookmarkEnd w:id="132"/>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an estimated timetable for addressing each material weakness, reportable condition, and noncompliance with an applicable law or regulation described in paragraph (1); and </w:t>
      </w:r>
    </w:p>
    <w:p w:rsidR="00FC09DF" w:rsidP="00FC09DF" w14:paraId="331CCA10" w14:textId="77777777">
      <w:pPr>
        <w:rPr>
          <w:rFonts w:ascii="Verdana" w:hAnsi="Verdana"/>
          <w:color w:val="000000"/>
          <w:sz w:val="20"/>
          <w:szCs w:val="20"/>
        </w:rPr>
      </w:pPr>
      <w:bookmarkStart w:id="133" w:name="x_2_C"/>
      <w:bookmarkEnd w:id="133"/>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the progress of the Secretary in implementing the plan of the Secretary included in the report submitted under paragraph (1) for the preceding year, except that this subparagraph does not apply to the initial report submitted under paragraph (1). </w:t>
      </w:r>
    </w:p>
    <w:p w:rsidR="00FC09DF" w:rsidP="00FC09DF" w14:paraId="728094B0" w14:textId="77777777">
      <w:pPr>
        <w:rPr>
          <w:rFonts w:ascii="Verdana" w:hAnsi="Verdana"/>
          <w:color w:val="000000"/>
          <w:sz w:val="20"/>
          <w:szCs w:val="20"/>
        </w:rPr>
      </w:pPr>
      <w:r>
        <w:rPr>
          <w:rFonts w:ascii="Verdana" w:hAnsi="Verdana"/>
          <w:color w:val="000000"/>
          <w:sz w:val="20"/>
          <w:szCs w:val="20"/>
        </w:rPr>
        <w:pict>
          <v:rect id="_x0000_i1025" style="width:0;height:0.75pt" o:hralign="center" o:hrstd="t" o:hrnoshade="t" o:hr="t" fillcolor="#083194" stroked="f"/>
        </w:pict>
      </w:r>
    </w:p>
    <w:p w:rsidR="00FC09DF" w:rsidP="00FC09DF" w14:paraId="49D50BB7" w14:textId="77777777">
      <w:pPr>
        <w:rPr>
          <w:rFonts w:ascii="Verdana" w:hAnsi="Verdana"/>
          <w:color w:val="000000"/>
          <w:sz w:val="20"/>
          <w:szCs w:val="20"/>
        </w:rPr>
      </w:pPr>
      <w:r>
        <w:rPr>
          <w:rFonts w:ascii="Verdana" w:hAnsi="Verdana"/>
          <w:color w:val="000000"/>
          <w:sz w:val="20"/>
          <w:szCs w:val="20"/>
        </w:rPr>
        <w:br/>
      </w:r>
      <w:bookmarkStart w:id="134" w:name="FN-1"/>
      <w:hyperlink r:id="rId15" w:anchor="FN-1REF#FN-1REF" w:history="1">
        <w:r>
          <w:rPr>
            <w:rStyle w:val="Hyperlink"/>
            <w:rFonts w:ascii="Verdana" w:hAnsi="Verdana"/>
            <w:sz w:val="20"/>
            <w:szCs w:val="20"/>
          </w:rPr>
          <w:t>[1]</w:t>
        </w:r>
      </w:hyperlink>
      <w:bookmarkEnd w:id="134"/>
      <w:r>
        <w:rPr>
          <w:rStyle w:val="footnote"/>
          <w:rFonts w:ascii="Verdana" w:hAnsi="Verdana"/>
          <w:color w:val="000000"/>
          <w:sz w:val="20"/>
          <w:szCs w:val="20"/>
        </w:rPr>
        <w:t xml:space="preserve"> See References in Text note below. </w:t>
      </w:r>
      <w:r>
        <w:rPr>
          <w:rFonts w:ascii="Verdana" w:hAnsi="Verdana"/>
          <w:color w:val="000000"/>
          <w:sz w:val="20"/>
          <w:szCs w:val="20"/>
        </w:rPr>
        <w:br/>
      </w:r>
      <w:r>
        <w:rPr>
          <w:rFonts w:ascii="Verdana" w:hAnsi="Verdana"/>
          <w:color w:val="000000"/>
          <w:sz w:val="20"/>
          <w:szCs w:val="20"/>
        </w:rPr>
        <w:br/>
      </w:r>
      <w:bookmarkStart w:id="135" w:name="FN-2"/>
      <w:hyperlink r:id="rId15" w:anchor="FN-2REF#FN-2REF" w:history="1">
        <w:r>
          <w:rPr>
            <w:rStyle w:val="Hyperlink"/>
            <w:rFonts w:ascii="Verdana" w:hAnsi="Verdana"/>
            <w:sz w:val="20"/>
            <w:szCs w:val="20"/>
          </w:rPr>
          <w:t>[2]</w:t>
        </w:r>
      </w:hyperlink>
      <w:bookmarkEnd w:id="135"/>
      <w:r>
        <w:rPr>
          <w:rStyle w:val="footnote"/>
          <w:rFonts w:ascii="Verdana" w:hAnsi="Verdana"/>
          <w:color w:val="000000"/>
          <w:sz w:val="20"/>
          <w:szCs w:val="20"/>
        </w:rPr>
        <w:t xml:space="preserve"> So in original. Probably should be “subsection”. </w:t>
      </w:r>
      <w:r>
        <w:rPr>
          <w:rFonts w:ascii="Verdana" w:hAnsi="Verdana"/>
          <w:color w:val="000000"/>
          <w:sz w:val="20"/>
          <w:szCs w:val="20"/>
        </w:rPr>
        <w:br/>
      </w:r>
      <w:r>
        <w:rPr>
          <w:rFonts w:ascii="Verdana" w:hAnsi="Verdana"/>
          <w:color w:val="000000"/>
          <w:sz w:val="20"/>
          <w:szCs w:val="20"/>
        </w:rPr>
        <w:br/>
      </w:r>
      <w:bookmarkStart w:id="136" w:name="FN-3"/>
      <w:hyperlink r:id="rId15" w:anchor="FN-3REF#FN-3REF" w:history="1">
        <w:r>
          <w:rPr>
            <w:rStyle w:val="Hyperlink"/>
            <w:rFonts w:ascii="Verdana" w:hAnsi="Verdana"/>
            <w:sz w:val="20"/>
            <w:szCs w:val="20"/>
          </w:rPr>
          <w:t>[3]</w:t>
        </w:r>
      </w:hyperlink>
      <w:bookmarkEnd w:id="136"/>
      <w:r>
        <w:rPr>
          <w:rStyle w:val="footnote"/>
          <w:rFonts w:ascii="Verdana" w:hAnsi="Verdana"/>
          <w:color w:val="000000"/>
          <w:sz w:val="20"/>
          <w:szCs w:val="20"/>
        </w:rPr>
        <w:t xml:space="preserve"> So in original. </w:t>
      </w:r>
      <w:r>
        <w:rPr>
          <w:rFonts w:ascii="Verdana" w:hAnsi="Verdana"/>
          <w:color w:val="000000"/>
          <w:sz w:val="20"/>
          <w:szCs w:val="20"/>
        </w:rPr>
        <w:br/>
      </w:r>
      <w:r>
        <w:rPr>
          <w:rFonts w:ascii="Verdana" w:hAnsi="Verdana"/>
          <w:color w:val="000000"/>
          <w:sz w:val="20"/>
          <w:szCs w:val="20"/>
        </w:rPr>
        <w:br/>
      </w:r>
      <w:bookmarkStart w:id="137" w:name="FN-4"/>
      <w:hyperlink r:id="rId15" w:anchor="FN-4REF#FN-4REF" w:history="1">
        <w:r>
          <w:rPr>
            <w:rStyle w:val="Hyperlink"/>
            <w:rFonts w:ascii="Verdana" w:hAnsi="Verdana"/>
            <w:sz w:val="20"/>
            <w:szCs w:val="20"/>
          </w:rPr>
          <w:t>[4]</w:t>
        </w:r>
      </w:hyperlink>
      <w:bookmarkEnd w:id="137"/>
      <w:r>
        <w:rPr>
          <w:rStyle w:val="footnote"/>
          <w:rFonts w:ascii="Verdana" w:hAnsi="Verdana"/>
          <w:color w:val="000000"/>
          <w:sz w:val="20"/>
          <w:szCs w:val="20"/>
        </w:rPr>
        <w:t xml:space="preserve"> See References in Text note below. </w:t>
      </w:r>
    </w:p>
    <w:p w:rsidR="00FC09DF" w:rsidP="00FC09DF" w14:paraId="0D2F34FD" w14:textId="77777777">
      <w:pPr>
        <w:shd w:val="clear" w:color="auto" w:fill="FFFFFF"/>
        <w:rPr>
          <w:rFonts w:ascii="Verdana" w:hAnsi="Verdana"/>
          <w:color w:val="000000"/>
          <w:sz w:val="20"/>
          <w:szCs w:val="20"/>
        </w:rPr>
      </w:pPr>
      <w:r>
        <w:rPr>
          <w:rFonts w:ascii="Verdana" w:hAnsi="Verdana"/>
          <w:color w:val="000000"/>
          <w:sz w:val="2"/>
          <w:szCs w:val="2"/>
        </w:rPr>
        <w:br w:type="textWrapping" w:clear="all"/>
      </w:r>
    </w:p>
    <w:p w:rsidR="00FC09DF" w:rsidP="00FC09DF" w14:paraId="671088A7" w14:textId="77777777">
      <w:pPr>
        <w:shd w:val="clear" w:color="auto" w:fill="FFFFFF"/>
        <w:rPr>
          <w:rFonts w:ascii="Verdana" w:hAnsi="Verdana"/>
          <w:color w:val="000000"/>
          <w:sz w:val="20"/>
          <w:szCs w:val="20"/>
        </w:rPr>
      </w:pPr>
      <w:r>
        <w:rPr>
          <w:rStyle w:val="Emphasis"/>
          <w:rFonts w:ascii="Verdana" w:hAnsi="Verdana"/>
          <w:color w:val="000000"/>
          <w:sz w:val="20"/>
          <w:szCs w:val="20"/>
        </w:rPr>
        <w:t>LII has no control over and does not endorse any external Internet site that contains links to or references LII.</w:t>
      </w:r>
    </w:p>
    <w:p w:rsidR="0014336F" w14:paraId="5851442A" w14:textId="77777777"/>
    <w:sectPr w:rsidSect="00986B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DF"/>
    <w:rsid w:val="0014336F"/>
    <w:rsid w:val="008676E4"/>
    <w:rsid w:val="00986BAD"/>
    <w:rsid w:val="00FC09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A50454"/>
  <w15:chartTrackingRefBased/>
  <w15:docId w15:val="{6ADCAB56-EEDA-4CA9-8E38-E4E5D6D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9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09DF"/>
    <w:rPr>
      <w:strike w:val="0"/>
      <w:dstrike w:val="0"/>
      <w:color w:val="000080"/>
      <w:u w:val="none"/>
      <w:effect w:val="none"/>
    </w:rPr>
  </w:style>
  <w:style w:type="character" w:styleId="Emphasis">
    <w:name w:val="Emphasis"/>
    <w:basedOn w:val="DefaultParagraphFont"/>
    <w:qFormat/>
    <w:rsid w:val="00FC09DF"/>
    <w:rPr>
      <w:i/>
      <w:iCs/>
    </w:rPr>
  </w:style>
  <w:style w:type="paragraph" w:customStyle="1" w:styleId="catchline">
    <w:name w:val="catchline"/>
    <w:basedOn w:val="Normal"/>
    <w:rsid w:val="00FC09DF"/>
    <w:pPr>
      <w:spacing w:before="100" w:beforeAutospacing="1" w:after="100" w:afterAutospacing="1"/>
    </w:pPr>
    <w:rPr>
      <w:b/>
      <w:bCs/>
      <w:sz w:val="29"/>
      <w:szCs w:val="29"/>
    </w:rPr>
  </w:style>
  <w:style w:type="character" w:customStyle="1" w:styleId="ptext-2">
    <w:name w:val="ptext-2"/>
    <w:basedOn w:val="DefaultParagraphFont"/>
    <w:rsid w:val="00FC09DF"/>
    <w:rPr>
      <w:b w:val="0"/>
      <w:bCs w:val="0"/>
    </w:rPr>
  </w:style>
  <w:style w:type="character" w:customStyle="1" w:styleId="ptext-3">
    <w:name w:val="ptext-3"/>
    <w:basedOn w:val="DefaultParagraphFont"/>
    <w:rsid w:val="00FC09DF"/>
    <w:rPr>
      <w:b w:val="0"/>
      <w:bCs w:val="0"/>
    </w:rPr>
  </w:style>
  <w:style w:type="character" w:customStyle="1" w:styleId="ptext-4">
    <w:name w:val="ptext-4"/>
    <w:basedOn w:val="DefaultParagraphFont"/>
    <w:rsid w:val="00FC09DF"/>
    <w:rPr>
      <w:b w:val="0"/>
      <w:bCs w:val="0"/>
    </w:rPr>
  </w:style>
  <w:style w:type="character" w:customStyle="1" w:styleId="ptext-5">
    <w:name w:val="ptext-5"/>
    <w:basedOn w:val="DefaultParagraphFont"/>
    <w:rsid w:val="00FC09DF"/>
    <w:rPr>
      <w:b w:val="0"/>
      <w:bCs w:val="0"/>
    </w:rPr>
  </w:style>
  <w:style w:type="character" w:customStyle="1" w:styleId="enumbell">
    <w:name w:val="enumbell"/>
    <w:basedOn w:val="DefaultParagraphFont"/>
    <w:rsid w:val="00FC09DF"/>
    <w:rPr>
      <w:b/>
      <w:bCs/>
    </w:rPr>
  </w:style>
  <w:style w:type="character" w:customStyle="1" w:styleId="footnote">
    <w:name w:val="footnote"/>
    <w:basedOn w:val="DefaultParagraphFont"/>
    <w:rsid w:val="00FC09DF"/>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38/usc_sec_38_00005303---A000-.html" TargetMode="External" /><Relationship Id="rId11" Type="http://schemas.openxmlformats.org/officeDocument/2006/relationships/hyperlink" Target="http://www.law.cornell.edu/uscode/html/uscode12/usc_sec_12_00001703----000-.html" TargetMode="External" /><Relationship Id="rId12" Type="http://schemas.openxmlformats.org/officeDocument/2006/relationships/hyperlink" Target="http://www.law.cornell.edu/usc-cgi/get_external.cgi?type=pubL&amp;target=100-242" TargetMode="External" /><Relationship Id="rId13" Type="http://schemas.openxmlformats.org/officeDocument/2006/relationships/hyperlink" Target="http://www.law.cornell.edu/usc-cgi/get_external.cgi?type=statRef&amp;target=date:Feb.%205,%201988ch:nonestatnum:101_1900" TargetMode="External" /><Relationship Id="rId14" Type="http://schemas.openxmlformats.org/officeDocument/2006/relationships/hyperlink" Target="http://www.law.cornell.edu/uscode/html/uscode42/usc_sec_42_00001436----000-.html" TargetMode="External" /><Relationship Id="rId15" Type="http://schemas.openxmlformats.org/officeDocument/2006/relationships/hyperlink" Target="http://www.law.cornell.edu/uscode/html/uscode12/usc_sec_12_00001709----000-.html" TargetMode="External" /><Relationship Id="rId16" Type="http://schemas.openxmlformats.org/officeDocument/2006/relationships/hyperlink" Target="http://www.law.cornell.edu/uscode/html/uscode42/usc_sup_01_42.html" TargetMode="External" /><Relationship Id="rId17" Type="http://schemas.openxmlformats.org/officeDocument/2006/relationships/hyperlink" Target="http://www.law.cornell.edu/uscode/html/uscode12/usc_sec_12_00001707----000-.html" TargetMode="External" /><Relationship Id="rId18" Type="http://schemas.openxmlformats.org/officeDocument/2006/relationships/hyperlink" Target="http://www.law.cornell.edu/uscode/html/uscode12/usc_sec_12_00001715---z010-.html" TargetMode="External" /><Relationship Id="rId19" Type="http://schemas.openxmlformats.org/officeDocument/2006/relationships/hyperlink" Target="http://www.law.cornell.edu/uscode/html/uscode12/usc_sec_12_00001715---z012-.html" TargetMode="External" /><Relationship Id="rId2" Type="http://schemas.openxmlformats.org/officeDocument/2006/relationships/webSettings" Target="webSettings.xml" /><Relationship Id="rId20" Type="http://schemas.openxmlformats.org/officeDocument/2006/relationships/hyperlink" Target="http://www.law.cornell.edu/uscode/html/uscode12/usc_sec_12_00001715---z016-.html" TargetMode="External" /><Relationship Id="rId21" Type="http://schemas.openxmlformats.org/officeDocument/2006/relationships/hyperlink" Target="http://www.law.cornell.edu/uscode/html/uscode12/usc_sec_12_00001715---z017-.html" TargetMode="External" /><Relationship Id="rId22" Type="http://schemas.openxmlformats.org/officeDocument/2006/relationships/hyperlink" Target="http://www.law.cornell.edu/uscode/html/uscode12/usc_sec_12_00001715---z018-.html" TargetMode="External" /><Relationship Id="rId23" Type="http://schemas.openxmlformats.org/officeDocument/2006/relationships/hyperlink" Target="http://www.law.cornell.edu/uscode/html/uscode12/usc_sec_12_00001715---y000-.html" TargetMode="External" /><Relationship Id="rId24" Type="http://schemas.openxmlformats.org/officeDocument/2006/relationships/hyperlink" Target="http://www.law.cornell.edu/uscode/html/uscode12/usc_sec_12_00001717----000-.html" TargetMode="External" /><Relationship Id="rId25" Type="http://schemas.openxmlformats.org/officeDocument/2006/relationships/hyperlink" Target="http://www.law.cornell.edu/uscode/html/uscode12/usc_sec_12_00001715---d000-.html" TargetMode="External" /><Relationship Id="rId26" Type="http://schemas.openxmlformats.org/officeDocument/2006/relationships/hyperlink" Target="http://www.law.cornell.edu/uscode/html/uscode12/usc_sec_12_00001715---l000-.html" TargetMode="External" /><Relationship Id="rId27" Type="http://schemas.openxmlformats.org/officeDocument/2006/relationships/hyperlink" Target="http://www.law.cornell.edu/uscode/html/uscode12/usc_sec_12_00001715---z000-.html" TargetMode="External" /><Relationship Id="rId28" Type="http://schemas.openxmlformats.org/officeDocument/2006/relationships/hyperlink" Target="http://www.law.cornell.edu/uscode/html/uscode26/usc_sec_26_00000501----000-.html" TargetMode="External" /><Relationship Id="rId29" Type="http://schemas.openxmlformats.org/officeDocument/2006/relationships/hyperlink" Target="http://www.law.cornell.edu/uscode/html/uscode26/usc_sup_01_26.html" TargetMode="External" /><Relationship Id="rId3" Type="http://schemas.openxmlformats.org/officeDocument/2006/relationships/fontTable" Target="fontTable.xml" /><Relationship Id="rId30" Type="http://schemas.openxmlformats.org/officeDocument/2006/relationships/hyperlink" Target="http://www.law.cornell.edu/uscode/html/uscode12/usc_sec_12_00001715---z013-.html" TargetMode="External" /><Relationship Id="rId31" Type="http://schemas.openxmlformats.org/officeDocument/2006/relationships/hyperlink" Target="http://www.law.cornell.edu/uscode/html/uscode12/usc_sec_12_00001715---g000-.html" TargetMode="External" /><Relationship Id="rId32" Type="http://schemas.openxmlformats.org/officeDocument/2006/relationships/hyperlink" Target="http://www.law.cornell.edu/uscode/html/uscode12/usc_sec_12_00001715---m000-.html" TargetMode="External" /><Relationship Id="rId33" Type="http://schemas.openxmlformats.org/officeDocument/2006/relationships/hyperlink" Target="http://www.law.cornell.edu/uscode/html/uscode12/usc_sec_12_00001715---n000-.html" TargetMode="External" /><Relationship Id="rId34" Type="http://schemas.openxmlformats.org/officeDocument/2006/relationships/hyperlink" Target="http://www.law.cornell.edu/uscode/html/uscode42/usc_sec_42_00005122----000-.html" TargetMode="External" /><Relationship Id="rId35" Type="http://schemas.openxmlformats.org/officeDocument/2006/relationships/hyperlink" Target="http://www.law.cornell.edu/uscode/html/uscode42/usc_sec_42_00005170----000-.html" TargetMode="External" /><Relationship Id="rId36" Type="http://schemas.openxmlformats.org/officeDocument/2006/relationships/hyperlink" Target="http://www.law.cornell.edu/uscode/html/uscode42/usc_sec_42_00004851---b000-.html" TargetMode="External" /><Relationship Id="rId37" Type="http://schemas.openxmlformats.org/officeDocument/2006/relationships/hyperlink" Target="http://www.law.cornell.edu/uscode/html/uscode12/usc_sec_12_00001710----000-.html" TargetMode="External" /><Relationship Id="rId38" Type="http://schemas.openxmlformats.org/officeDocument/2006/relationships/hyperlink" Target="http://www.law.cornell.edu/uscode/html/uscode12/usc_sec_12_00001715---k000-.html" TargetMode="External" /><Relationship Id="rId39" Type="http://schemas.openxmlformats.org/officeDocument/2006/relationships/hyperlink" Target="http://www.law.cornell.edu/uscode/html/uscode12/usc_sec_12_00001708----000-.html" TargetMode="External" /><Relationship Id="rId4" Type="http://schemas.openxmlformats.org/officeDocument/2006/relationships/hyperlink" Target="http://www.law.cornell.edu/uscode/html/uscode12/usc_sup_01_12.html" TargetMode="External" /><Relationship Id="rId40" Type="http://schemas.openxmlformats.org/officeDocument/2006/relationships/hyperlink" Target="http://www.law.cornell.edu/uscode/html/uscode12/usc_sec_12_00001715---z003-.html" TargetMode="External" /><Relationship Id="rId41" Type="http://schemas.openxmlformats.org/officeDocument/2006/relationships/hyperlink" Target="http://www.law.cornell.edu/usc-cgi/get_external.cgi?type=statRef&amp;target=date:nonech:nonestatnum:18_330" TargetMode="External" /><Relationship Id="rId42" Type="http://schemas.openxmlformats.org/officeDocument/2006/relationships/hyperlink" Target="http://www.law.cornell.edu/usc-cgi/get_external.cgi?type=statRef&amp;target=date:nonech:nonestatnum:26_558" TargetMode="External" /><Relationship Id="rId43" Type="http://schemas.openxmlformats.org/officeDocument/2006/relationships/hyperlink" Target="http://www.law.cornell.edu/uscode/html/uscode12/usc_sec_12_00001735---f011-.html" TargetMode="External" /><Relationship Id="rId44" Type="http://schemas.openxmlformats.org/officeDocument/2006/relationships/hyperlink" Target="http://www.law.cornell.edu/uscode/html/uscode12/usc_sec_12_00001735---f017-.html" TargetMode="External" /><Relationship Id="rId45" Type="http://schemas.openxmlformats.org/officeDocument/2006/relationships/hyperlink" Target="http://www.law.cornell.edu/uscode/html/uscode42/usc_sec_42_00001437---f000-.html" TargetMode="External" /><Relationship Id="rId46" Type="http://schemas.openxmlformats.org/officeDocument/2006/relationships/hyperlink" Target="http://www.law.cornell.edu/uscode/html/uscode12/usc_sec_12_00001735---c000-.html" TargetMode="External" /><Relationship Id="rId47" Type="http://schemas.openxmlformats.org/officeDocument/2006/relationships/hyperlink" Target="http://www.law.cornell.edu/uscode/html/uscode12/usc_sec_12_00001735---f018-.html" TargetMode="External" /><Relationship Id="rId48" Type="http://schemas.openxmlformats.org/officeDocument/2006/relationships/hyperlink" Target="http://www.law.cornell.edu/uscode/html/uscode12/usc_sec_12_00001711----000-.html" TargetMode="External" /><Relationship Id="rId49" Type="http://schemas.openxmlformats.org/officeDocument/2006/relationships/hyperlink" Target="http://www.law.cornell.edu/uscode/html/uscode31/usc_sec_31_00003515----000-.html" TargetMode="External" /><Relationship Id="rId5" Type="http://schemas.openxmlformats.org/officeDocument/2006/relationships/hyperlink" Target="http://www.law.cornell.edu/uscode/html/uscode12/usc_sup_01_12_10_13.html" TargetMode="External" /><Relationship Id="rId50" Type="http://schemas.openxmlformats.org/officeDocument/2006/relationships/hyperlink" Target="http://www.law.cornell.edu/uscode/html/uscode31/usc_sup_01_31.html" TargetMode="External" /><Relationship Id="rId51" Type="http://schemas.openxmlformats.org/officeDocument/2006/relationships/theme" Target="theme/theme1.xml" /><Relationship Id="rId52" Type="http://schemas.openxmlformats.org/officeDocument/2006/relationships/styles" Target="styles.xml" /><Relationship Id="rId6" Type="http://schemas.openxmlformats.org/officeDocument/2006/relationships/hyperlink" Target="http://www.law.cornell.edu/uscode/html/uscode12/usc_sup_01_12_10_13_20_II.html" TargetMode="External" /><Relationship Id="rId7" Type="http://schemas.openxmlformats.org/officeDocument/2006/relationships/hyperlink" Target="http://www.law.cornell.edu/uscode/html/uscode12/usc_sec_12_00001454----000-.html" TargetMode="External" /><Relationship Id="rId8" Type="http://schemas.openxmlformats.org/officeDocument/2006/relationships/hyperlink" Target="http://www.law.cornell.edu/uscode/html/uscode38/usc_sup_01_38_10_III_20_37.html" TargetMode="External" /><Relationship Id="rId9" Type="http://schemas.openxmlformats.org/officeDocument/2006/relationships/hyperlink" Target="http://www.law.cornell.edu/uscode/html/uscode38/usc_sup_01_3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8362</Words>
  <Characters>47668</Characters>
  <Application>Microsoft Office Word</Application>
  <DocSecurity>0</DocSecurity>
  <Lines>397</Lines>
  <Paragraphs>111</Paragraphs>
  <ScaleCrop>false</ScaleCrop>
  <Company>U.S. Department of Housing and Urban Development</Company>
  <LinksUpToDate>false</LinksUpToDate>
  <CharactersWithSpaces>55919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Kim N</dc:creator>
  <cp:lastModifiedBy>Sanders, Kim N</cp:lastModifiedBy>
  <cp:revision>1</cp:revision>
  <dcterms:created xsi:type="dcterms:W3CDTF">2023-07-14T15:34:00Z</dcterms:created>
  <dcterms:modified xsi:type="dcterms:W3CDTF">2023-07-14T15:35:00Z</dcterms:modified>
</cp:coreProperties>
</file>