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6DA" w14:paraId="490A4B2E" w14:textId="77777777">
      <w:pPr>
        <w:pBdr>
          <w:top w:val="single" w:sz="6" w:space="1" w:color="auto"/>
        </w:pBdr>
        <w:tabs>
          <w:tab w:val="left" w:pos="240"/>
        </w:tabs>
        <w:jc w:val="center"/>
        <w:rPr>
          <w:sz w:val="16"/>
        </w:rPr>
      </w:pPr>
    </w:p>
    <w:p w:rsidR="008933A9" w:rsidRPr="008933A9" w:rsidP="008933A9" w14:paraId="48828A0C" w14:textId="77777777">
      <w:pPr>
        <w:rPr>
          <w:sz w:val="16"/>
        </w:rPr>
      </w:pPr>
    </w:p>
    <w:p w:rsidR="008933A9" w:rsidP="008933A9" w14:paraId="615C9356" w14:textId="77777777">
      <w:pPr>
        <w:rPr>
          <w:sz w:val="16"/>
        </w:rPr>
      </w:pPr>
    </w:p>
    <w:p w:rsidR="008933A9" w:rsidP="008933A9" w14:paraId="3C7A4DA1" w14:textId="77777777">
      <w:pPr>
        <w:rPr>
          <w:sz w:val="16"/>
        </w:rPr>
      </w:pPr>
    </w:p>
    <w:p w:rsidR="008933A9" w:rsidP="008933A9" w14:paraId="19601B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Pr>
          <w:sz w:val="16"/>
        </w:rPr>
        <w:tab/>
      </w:r>
      <w:r w:rsidRPr="00D52EDB">
        <w:rPr>
          <w:b/>
          <w:sz w:val="24"/>
        </w:rPr>
        <w:t>Supporting Statement for Paperwork Reduction Act Submissions</w:t>
      </w:r>
    </w:p>
    <w:p w:rsidR="008933A9" w:rsidP="008933A9" w14:paraId="170C75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Pr>
          <w:b/>
          <w:sz w:val="24"/>
        </w:rPr>
        <w:t>2577-0297</w:t>
      </w:r>
    </w:p>
    <w:p w:rsidR="008933A9" w:rsidRPr="00D52EDB" w:rsidP="008933A9" w14:paraId="54050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8933A9">
        <w:rPr>
          <w:b/>
          <w:sz w:val="24"/>
        </w:rPr>
        <w:t>Emergency Housing Voucher and Housing Stability Voucher Data Collection</w:t>
      </w:r>
    </w:p>
    <w:p w:rsidR="008933A9" w:rsidRPr="00D52EDB" w:rsidP="008933A9" w14:paraId="5FA80A5F" w14:textId="77777777">
      <w:pPr>
        <w:pStyle w:val="OmniPage2"/>
        <w:tabs>
          <w:tab w:val="left" w:pos="9990"/>
        </w:tabs>
        <w:ind w:hanging="720"/>
        <w:rPr>
          <w:b/>
          <w:sz w:val="24"/>
        </w:rPr>
      </w:pPr>
    </w:p>
    <w:p w:rsidR="008933A9" w:rsidRPr="00D52EDB" w:rsidP="008933A9" w14:paraId="4CA2C457" w14:textId="77777777">
      <w:pPr>
        <w:pBdr>
          <w:top w:val="single" w:sz="4" w:space="1" w:color="auto"/>
        </w:pBdr>
        <w:tabs>
          <w:tab w:val="left" w:pos="480"/>
          <w:tab w:val="left" w:pos="9990"/>
        </w:tabs>
        <w:ind w:left="480" w:hanging="480"/>
        <w:rPr>
          <w:b/>
          <w:bCs/>
          <w:sz w:val="24"/>
        </w:rPr>
      </w:pPr>
      <w:r w:rsidRPr="00D52EDB">
        <w:rPr>
          <w:b/>
          <w:bCs/>
          <w:sz w:val="24"/>
        </w:rPr>
        <w:t>A.</w:t>
      </w:r>
      <w:r w:rsidRPr="00D52EDB">
        <w:rPr>
          <w:b/>
          <w:bCs/>
          <w:sz w:val="24"/>
        </w:rPr>
        <w:tab/>
        <w:t>Justification:</w:t>
      </w:r>
    </w:p>
    <w:p w:rsidR="008933A9" w:rsidRPr="00D52EDB" w:rsidP="008933A9" w14:paraId="1B5311AD" w14:textId="77777777">
      <w:pPr>
        <w:tabs>
          <w:tab w:val="left" w:pos="480"/>
          <w:tab w:val="left" w:pos="9990"/>
        </w:tabs>
        <w:ind w:left="480" w:hanging="480"/>
        <w:rPr>
          <w:b/>
          <w:bCs/>
          <w:sz w:val="22"/>
        </w:rPr>
      </w:pPr>
    </w:p>
    <w:p w:rsidR="008933A9" w:rsidRPr="00734171" w:rsidP="008933A9" w14:paraId="5CD9EC0B" w14:textId="77777777">
      <w:pPr>
        <w:pStyle w:val="BodyText"/>
        <w:keepNext/>
        <w:numPr>
          <w:ilvl w:val="0"/>
          <w:numId w:val="23"/>
        </w:numPr>
        <w:tabs>
          <w:tab w:val="left" w:pos="480"/>
          <w:tab w:val="left" w:pos="9990"/>
        </w:tabs>
        <w:rPr>
          <w:sz w:val="22"/>
          <w:szCs w:val="22"/>
          <w:highlight w:val="yellow"/>
        </w:rPr>
      </w:pPr>
      <w:r w:rsidRPr="00D52EDB">
        <w:rPr>
          <w:b/>
          <w:bCs/>
          <w:sz w:val="22"/>
        </w:rPr>
        <w:t>Reason for collection.</w:t>
      </w:r>
      <w:r w:rsidRPr="00D52EDB">
        <w:rPr>
          <w:sz w:val="22"/>
        </w:rPr>
        <w:t xml:space="preserve"> </w:t>
      </w:r>
      <w:r w:rsidRPr="00734171">
        <w:rPr>
          <w:sz w:val="22"/>
          <w:highlight w:val="yellow"/>
        </w:rPr>
        <w:t xml:space="preserve">This is a reinstatement of emergency PRA 2577-0297 which will then be discontinued.  The data collected within this PRA has been absorbed by another collection 2577-0282.  </w:t>
      </w:r>
    </w:p>
    <w:p w:rsidR="008933A9" w:rsidP="008933A9" w14:paraId="2F4145CD" w14:textId="77777777">
      <w:pPr>
        <w:pStyle w:val="BodyText"/>
        <w:keepNext/>
        <w:tabs>
          <w:tab w:val="left" w:pos="480"/>
          <w:tab w:val="left" w:pos="9990"/>
        </w:tabs>
        <w:ind w:left="810"/>
        <w:rPr>
          <w:b/>
          <w:bCs/>
          <w:sz w:val="22"/>
        </w:rPr>
      </w:pPr>
    </w:p>
    <w:p w:rsidR="008933A9" w:rsidP="008933A9" w14:paraId="761FA136" w14:textId="77777777">
      <w:pPr>
        <w:pStyle w:val="BodyText"/>
        <w:keepNext/>
        <w:tabs>
          <w:tab w:val="left" w:pos="480"/>
          <w:tab w:val="left" w:pos="9990"/>
        </w:tabs>
        <w:ind w:left="810"/>
        <w:rPr>
          <w:sz w:val="22"/>
          <w:szCs w:val="22"/>
        </w:rPr>
      </w:pPr>
      <w:r w:rsidRPr="00D52EDB">
        <w:rPr>
          <w:sz w:val="22"/>
          <w:szCs w:val="22"/>
        </w:rPr>
        <w:t xml:space="preserve">The Housing Choice Voucher (HCV) Program </w:t>
      </w:r>
      <w:r>
        <w:rPr>
          <w:sz w:val="22"/>
          <w:szCs w:val="22"/>
        </w:rPr>
        <w:t>was recently appropriated $43,439,000 for a new homeless voucher program in the Fiscal Year 2021 appropriation (H.R. 133-691 (8)).  This new incremental rental voucher assistance has resulted in the creation of a new voucher type – Housing Stability Vouchers.  With the appropriation of these funds, the Office of Housing Choice Vouchers is planning to obligate and disburse the funds for Housing Stability Vouchers (HSV) to Public Housing Authorities as quickly as possible.  For each new HUD program, it is necessary to have the ability to monitor and track the expenses and lease-up of these new vouchers to ensure utilization and appropriate program oversight.  Furthermore, HUD was directed by the Congressional Appropriation that HUD’s Secretary “shall review utilization of the assistance made available…and unutilized voucher assistance that is no longer needed shall be recaptured by the Secretary and reallocated”.   Without data regarding the expenses and leasing of these new Housing Stability Vouchers it will be impossible for HUD to follow the congressional directive to recapture and reallocate unused vouchers.</w:t>
      </w:r>
    </w:p>
    <w:p w:rsidR="008933A9" w:rsidP="008933A9" w14:paraId="3678895B" w14:textId="77777777">
      <w:pPr>
        <w:pStyle w:val="BodyText"/>
        <w:keepNext/>
        <w:tabs>
          <w:tab w:val="left" w:pos="480"/>
          <w:tab w:val="left" w:pos="9990"/>
        </w:tabs>
        <w:rPr>
          <w:sz w:val="22"/>
          <w:szCs w:val="22"/>
        </w:rPr>
      </w:pPr>
    </w:p>
    <w:p w:rsidR="008933A9" w:rsidP="008933A9" w14:paraId="493A41E6" w14:textId="77777777">
      <w:pPr>
        <w:pStyle w:val="BodyText"/>
        <w:keepNext/>
        <w:tabs>
          <w:tab w:val="left" w:pos="480"/>
          <w:tab w:val="left" w:pos="720"/>
        </w:tabs>
        <w:ind w:left="720"/>
        <w:rPr>
          <w:sz w:val="22"/>
          <w:szCs w:val="22"/>
        </w:rPr>
      </w:pPr>
      <w:r w:rsidRPr="00D52EDB">
        <w:rPr>
          <w:sz w:val="22"/>
          <w:szCs w:val="22"/>
        </w:rPr>
        <w:t xml:space="preserve">The Housing Choice Voucher (HCV) Program </w:t>
      </w:r>
      <w:r>
        <w:rPr>
          <w:sz w:val="22"/>
          <w:szCs w:val="22"/>
        </w:rPr>
        <w:t xml:space="preserve">was recently appropriated $5,000,000,000 for Emergency Housing Vouchers in the American Rescue Plan of 2021 (H.R. 1319 Sec. 4102).  This immense infusion of new vouchers to the program will require in-depth transparency and accountability to the American public.  With the appropriation of these funds, HUD will need to be able to monitor and track expenditures for this program and ensure utilization.  As directed in the bill “if a public housing agency fails to lease its authorized vouchers… the Secretary may revoke and redistribute any unleased vouchers and associated funds, including administrative funds and costs to other public housing agencies.” Furthermore, the bill directs HUD to allocate the vouchers to PHAs within 60 days after its enactment; so, it is imperative that HUD can collect leasing and expenditure data as soon as funds are disbursed. </w:t>
      </w:r>
    </w:p>
    <w:p w:rsidR="008933A9" w:rsidRPr="00336CE4" w:rsidP="008933A9" w14:paraId="5AFEE63A" w14:textId="77777777">
      <w:pPr>
        <w:pStyle w:val="BodyText"/>
        <w:keepNext/>
        <w:tabs>
          <w:tab w:val="left" w:pos="480"/>
          <w:tab w:val="left" w:pos="9990"/>
        </w:tabs>
        <w:rPr>
          <w:sz w:val="22"/>
          <w:szCs w:val="22"/>
        </w:rPr>
      </w:pPr>
    </w:p>
    <w:p w:rsidR="008933A9" w:rsidRPr="00826317" w:rsidP="008933A9" w14:paraId="7FD31875" w14:textId="77777777">
      <w:pPr>
        <w:pStyle w:val="Header"/>
        <w:tabs>
          <w:tab w:val="clear" w:pos="4320"/>
          <w:tab w:val="clear" w:pos="8640"/>
        </w:tabs>
        <w:ind w:left="720"/>
        <w:rPr>
          <w:sz w:val="22"/>
          <w:szCs w:val="22"/>
        </w:rPr>
      </w:pPr>
      <w:r w:rsidRPr="00FA18F9">
        <w:rPr>
          <w:sz w:val="24"/>
          <w:szCs w:val="24"/>
        </w:rPr>
        <w:t xml:space="preserve">Authorities for the information collection under this PRA are:  </w:t>
      </w:r>
      <w:r w:rsidRPr="00FA18F9">
        <w:rPr>
          <w:b/>
          <w:bCs/>
          <w:sz w:val="22"/>
          <w:szCs w:val="22"/>
        </w:rPr>
        <w:t>Consolidated Appropriations Act, 2021 (H.R. 133-691)</w:t>
      </w:r>
      <w:r>
        <w:rPr>
          <w:b/>
          <w:bCs/>
          <w:sz w:val="22"/>
          <w:szCs w:val="22"/>
        </w:rPr>
        <w:t xml:space="preserve">, American Rescue Plan of 2021 (H.R. 1319 Sec. 4102) </w:t>
      </w:r>
      <w:r w:rsidRPr="00FA18F9">
        <w:rPr>
          <w:b/>
          <w:bCs/>
          <w:sz w:val="22"/>
          <w:szCs w:val="22"/>
        </w:rPr>
        <w:t xml:space="preserve">and PIH </w:t>
      </w:r>
      <w:r w:rsidRPr="00FA18F9">
        <w:rPr>
          <w:b/>
          <w:bCs/>
          <w:color w:val="000000"/>
          <w:sz w:val="22"/>
        </w:rPr>
        <w:t xml:space="preserve">Notice PIH 2012-21 | </w:t>
      </w:r>
      <w:r w:rsidRPr="00FA18F9">
        <w:rPr>
          <w:color w:val="000000"/>
          <w:sz w:val="22"/>
        </w:rPr>
        <w:t>Financial Reporting Requirements for the HCV Program Submitted which states (9) PHAs are required to transmit certain leasing and cost data.</w:t>
      </w:r>
    </w:p>
    <w:p w:rsidR="008933A9" w:rsidRPr="00D52EDB" w:rsidP="008933A9" w14:paraId="605E3517" w14:textId="77777777">
      <w:pPr>
        <w:pStyle w:val="BodyText2"/>
        <w:tabs>
          <w:tab w:val="num" w:pos="450"/>
        </w:tabs>
        <w:outlineLvl w:val="8"/>
        <w:rPr>
          <w:rFonts w:ascii="Times New Roman" w:hAnsi="Times New Roman"/>
          <w:sz w:val="22"/>
          <w:szCs w:val="22"/>
        </w:rPr>
      </w:pPr>
    </w:p>
    <w:p w:rsidR="008933A9" w:rsidRPr="00D52EDB" w:rsidP="008933A9" w14:paraId="1927A579" w14:textId="77777777">
      <w:pPr>
        <w:pStyle w:val="ListParagraph"/>
        <w:numPr>
          <w:ilvl w:val="0"/>
          <w:numId w:val="23"/>
        </w:numPr>
        <w:tabs>
          <w:tab w:val="left" w:pos="480"/>
        </w:tabs>
        <w:suppressAutoHyphens/>
        <w:rPr>
          <w:sz w:val="22"/>
        </w:rPr>
      </w:pPr>
      <w:r w:rsidRPr="00D52EDB">
        <w:rPr>
          <w:b/>
          <w:bCs/>
          <w:sz w:val="22"/>
        </w:rPr>
        <w:t xml:space="preserve">Use of information.  </w:t>
      </w:r>
      <w:r w:rsidRPr="00D52EDB">
        <w:rPr>
          <w:sz w:val="22"/>
        </w:rPr>
        <w:t>The requested information requirements (how, by whom and for what purpose the information is to be used) for the voucher program consists of the following:</w:t>
      </w:r>
    </w:p>
    <w:p w:rsidR="008933A9" w:rsidRPr="00D52EDB" w:rsidP="008933A9" w14:paraId="2103DEF0" w14:textId="77777777">
      <w:pPr>
        <w:pStyle w:val="EndnoteText"/>
        <w:suppressAutoHyphens/>
        <w:rPr>
          <w:rFonts w:ascii="Times New Roman" w:hAnsi="Times New Roman"/>
          <w:sz w:val="22"/>
        </w:rPr>
      </w:pPr>
    </w:p>
    <w:p w:rsidR="008933A9" w:rsidRPr="00D52EDB" w:rsidP="008933A9" w14:paraId="2C8C57B5" w14:textId="77777777">
      <w:pPr>
        <w:pStyle w:val="EndnoteText"/>
        <w:pBdr>
          <w:top w:val="single" w:sz="4" w:space="0" w:color="auto"/>
        </w:pBdr>
        <w:suppressAutoHyphens/>
        <w:ind w:left="480"/>
        <w:rPr>
          <w:rFonts w:ascii="Times New Roman" w:hAnsi="Times New Roman"/>
          <w:b/>
          <w:bCs/>
          <w:sz w:val="22"/>
        </w:rPr>
      </w:pPr>
      <w:r w:rsidRPr="00D52EDB">
        <w:rPr>
          <w:rFonts w:ascii="Times New Roman" w:hAnsi="Times New Roman"/>
          <w:b/>
          <w:bCs/>
          <w:sz w:val="22"/>
        </w:rPr>
        <w:t>Information Collections Required of PHAs</w:t>
      </w:r>
    </w:p>
    <w:p w:rsidR="008933A9" w:rsidRPr="00D52EDB" w:rsidP="008933A9" w14:paraId="1F0D8F46" w14:textId="77777777">
      <w:pPr>
        <w:pStyle w:val="EndnoteText"/>
        <w:suppressAutoHyphens/>
        <w:rPr>
          <w:rFonts w:ascii="Times New Roman" w:hAnsi="Times New Roman"/>
          <w:sz w:val="22"/>
        </w:rPr>
      </w:pPr>
    </w:p>
    <w:p w:rsidR="008933A9" w:rsidP="008933A9" w14:paraId="663E4612" w14:textId="77777777">
      <w:pPr>
        <w:tabs>
          <w:tab w:val="left" w:pos="-720"/>
          <w:tab w:val="left" w:pos="0"/>
        </w:tabs>
        <w:suppressAutoHyphens/>
        <w:ind w:left="480"/>
        <w:rPr>
          <w:sz w:val="22"/>
        </w:rPr>
      </w:pPr>
      <w:r w:rsidRPr="00BF2735">
        <w:rPr>
          <w:sz w:val="22"/>
        </w:rPr>
        <w:t xml:space="preserve">The inclusion of the fields mentioned below will improve the transparency and accountability of two new voucher </w:t>
      </w:r>
      <w:r w:rsidRPr="00BF2735">
        <w:rPr>
          <w:sz w:val="22"/>
        </w:rPr>
        <w:t>program</w:t>
      </w:r>
      <w:r w:rsidRPr="00BF2735">
        <w:rPr>
          <w:sz w:val="22"/>
        </w:rPr>
        <w:t xml:space="preserve"> – the Housing Stability Voucher program and the Emergency Voucher program.</w:t>
      </w:r>
      <w:r>
        <w:rPr>
          <w:sz w:val="22"/>
        </w:rPr>
        <w:t xml:space="preserve"> </w:t>
      </w:r>
    </w:p>
    <w:p w:rsidR="008933A9" w:rsidP="008933A9" w14:paraId="7E1311FA" w14:textId="77777777">
      <w:pPr>
        <w:tabs>
          <w:tab w:val="left" w:pos="-720"/>
          <w:tab w:val="left" w:pos="0"/>
        </w:tabs>
        <w:suppressAutoHyphens/>
        <w:ind w:left="480"/>
        <w:rPr>
          <w:sz w:val="22"/>
        </w:rPr>
      </w:pPr>
    </w:p>
    <w:p w:rsidR="008933A9" w:rsidP="008933A9" w14:paraId="3CA5A42C" w14:textId="77777777">
      <w:pPr>
        <w:tabs>
          <w:tab w:val="left" w:pos="-720"/>
          <w:tab w:val="left" w:pos="0"/>
        </w:tabs>
        <w:suppressAutoHyphens/>
        <w:ind w:left="480"/>
        <w:rPr>
          <w:sz w:val="22"/>
        </w:rPr>
      </w:pPr>
      <w:r>
        <w:rPr>
          <w:sz w:val="22"/>
        </w:rPr>
        <w:t>HUD requires the ability to track the following data points on the Housing Stability Voucher program from participating Public Housing Authorities:</w:t>
      </w:r>
    </w:p>
    <w:p w:rsidR="008933A9" w:rsidP="008933A9" w14:paraId="39980BAB" w14:textId="77777777">
      <w:pPr>
        <w:tabs>
          <w:tab w:val="left" w:pos="-720"/>
          <w:tab w:val="left" w:pos="0"/>
        </w:tabs>
        <w:suppressAutoHyphens/>
        <w:ind w:left="480"/>
        <w:rPr>
          <w:sz w:val="22"/>
        </w:rPr>
      </w:pPr>
    </w:p>
    <w:p w:rsidR="008933A9" w:rsidRPr="00E529BC" w:rsidP="008933A9" w14:paraId="1904773D" w14:textId="77777777">
      <w:pPr>
        <w:pStyle w:val="ListParagraph"/>
        <w:numPr>
          <w:ilvl w:val="0"/>
          <w:numId w:val="26"/>
        </w:numPr>
        <w:overflowPunct/>
        <w:autoSpaceDE/>
        <w:autoSpaceDN/>
        <w:adjustRightInd/>
        <w:textAlignment w:val="auto"/>
        <w:rPr>
          <w:sz w:val="22"/>
          <w:szCs w:val="22"/>
        </w:rPr>
      </w:pPr>
      <w:r w:rsidRPr="009F707A">
        <w:rPr>
          <w:b/>
          <w:bCs/>
          <w:sz w:val="22"/>
          <w:szCs w:val="22"/>
        </w:rPr>
        <w:t xml:space="preserve">Housing Stability Vouchers – Leasing: </w:t>
      </w:r>
      <w:r w:rsidRPr="00E529BC">
        <w:rPr>
          <w:sz w:val="22"/>
          <w:szCs w:val="22"/>
        </w:rPr>
        <w:t>Need to capture the UMLs for this new category due to its implementation.  This is per Consolidated Appropriations Act 2021.</w:t>
      </w:r>
    </w:p>
    <w:p w:rsidR="008933A9" w:rsidRPr="00E529BC" w:rsidP="008933A9" w14:paraId="5B5F2A03" w14:textId="77777777">
      <w:pPr>
        <w:pStyle w:val="ListParagraph"/>
        <w:numPr>
          <w:ilvl w:val="0"/>
          <w:numId w:val="26"/>
        </w:numPr>
        <w:overflowPunct/>
        <w:autoSpaceDE/>
        <w:autoSpaceDN/>
        <w:adjustRightInd/>
        <w:textAlignment w:val="auto"/>
        <w:rPr>
          <w:sz w:val="22"/>
          <w:szCs w:val="22"/>
        </w:rPr>
      </w:pPr>
      <w:r w:rsidRPr="009F707A">
        <w:rPr>
          <w:b/>
          <w:bCs/>
          <w:sz w:val="22"/>
          <w:szCs w:val="22"/>
        </w:rPr>
        <w:t>Housing Stability Vouchers – HAP Expenses:</w:t>
      </w:r>
      <w:r w:rsidRPr="00E529BC">
        <w:rPr>
          <w:sz w:val="22"/>
          <w:szCs w:val="22"/>
        </w:rPr>
        <w:t xml:space="preserve"> Need to capture the HAP Expenses for this new category due to its implementation.  This </w:t>
      </w:r>
      <w:r w:rsidRPr="00E529BC">
        <w:rPr>
          <w:sz w:val="22"/>
          <w:szCs w:val="22"/>
        </w:rPr>
        <w:t>per</w:t>
      </w:r>
      <w:r w:rsidRPr="00E529BC">
        <w:rPr>
          <w:sz w:val="22"/>
          <w:szCs w:val="22"/>
        </w:rPr>
        <w:t xml:space="preserve"> Consolidated Appropriations Act 2021.</w:t>
      </w:r>
    </w:p>
    <w:p w:rsidR="008933A9" w:rsidRPr="00E529BC" w:rsidP="008933A9" w14:paraId="6CDBA089" w14:textId="77777777">
      <w:pPr>
        <w:pStyle w:val="ListParagraph"/>
        <w:numPr>
          <w:ilvl w:val="0"/>
          <w:numId w:val="26"/>
        </w:numPr>
        <w:overflowPunct/>
        <w:autoSpaceDE/>
        <w:autoSpaceDN/>
        <w:adjustRightInd/>
        <w:textAlignment w:val="auto"/>
        <w:rPr>
          <w:sz w:val="22"/>
          <w:szCs w:val="22"/>
        </w:rPr>
      </w:pPr>
      <w:r w:rsidRPr="009F707A">
        <w:rPr>
          <w:b/>
          <w:bCs/>
          <w:sz w:val="22"/>
          <w:szCs w:val="22"/>
        </w:rPr>
        <w:t>Housing Stability Vouchers - Number of New Vouchers Issued but not Under HAP Contract as of the last day of the month:</w:t>
      </w:r>
      <w:r w:rsidRPr="00E529BC">
        <w:rPr>
          <w:sz w:val="22"/>
          <w:szCs w:val="22"/>
        </w:rPr>
        <w:t xml:space="preserve"> Need to capture the number of Housing Stability Vouchers that have been issued as of the last day of the month to assist projecting future leasing of Housing Stability vouchers and assisting in the possible need to recapture and reallocate unused funding.  </w:t>
      </w:r>
    </w:p>
    <w:p w:rsidR="008933A9" w:rsidRPr="00E529BC" w:rsidP="008933A9" w14:paraId="40AA93BE" w14:textId="77777777">
      <w:pPr>
        <w:pStyle w:val="ListParagraph"/>
        <w:tabs>
          <w:tab w:val="left" w:pos="-720"/>
          <w:tab w:val="left" w:pos="0"/>
        </w:tabs>
        <w:suppressAutoHyphens/>
        <w:ind w:left="1200"/>
        <w:rPr>
          <w:sz w:val="22"/>
        </w:rPr>
      </w:pPr>
    </w:p>
    <w:p w:rsidR="008933A9" w:rsidRPr="00BF2735" w:rsidP="008933A9" w14:paraId="6AF2B01F" w14:textId="77777777">
      <w:pPr>
        <w:tabs>
          <w:tab w:val="left" w:pos="-720"/>
          <w:tab w:val="left" w:pos="0"/>
        </w:tabs>
        <w:suppressAutoHyphens/>
        <w:ind w:left="480"/>
        <w:rPr>
          <w:sz w:val="22"/>
        </w:rPr>
      </w:pPr>
      <w:r w:rsidRPr="00BF2735">
        <w:rPr>
          <w:sz w:val="22"/>
        </w:rPr>
        <w:t>HUD requires the ability to track the following data points on the Emergency Housing Voucher program from participating Public Housing Authorities:</w:t>
      </w:r>
    </w:p>
    <w:p w:rsidR="008933A9" w:rsidRPr="00BF2735" w:rsidP="008933A9" w14:paraId="7B5B75C4" w14:textId="77777777">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Leasing: </w:t>
      </w:r>
      <w:r w:rsidRPr="00BF2735">
        <w:rPr>
          <w:sz w:val="22"/>
          <w:szCs w:val="22"/>
        </w:rPr>
        <w:t xml:space="preserve">Need to capture the UMLs for this new category due to its upcoming implementation as a separate appropriation from the Tenant Based Rental Assistance.  This is per the COVID Relief Act Sec. 4202. </w:t>
      </w:r>
    </w:p>
    <w:p w:rsidR="008933A9" w:rsidRPr="00BF2735" w:rsidP="008933A9" w14:paraId="7EC1DE9B"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HAP Expenses:</w:t>
      </w:r>
      <w:r w:rsidRPr="00BF2735">
        <w:rPr>
          <w:sz w:val="22"/>
          <w:szCs w:val="22"/>
        </w:rPr>
        <w:t xml:space="preserve"> Need to capture the HAP Expenses for this new to its upcoming implementation as a separate appropriation from the Tenant Based Rental Assistance.  This is per the COVID Relief Act Sec. 4202. </w:t>
      </w:r>
      <w:r w:rsidRPr="49FCA636">
        <w:rPr>
          <w:sz w:val="22"/>
          <w:szCs w:val="22"/>
        </w:rPr>
        <w:t xml:space="preserve"> </w:t>
      </w:r>
    </w:p>
    <w:p w:rsidR="008933A9" w:rsidRPr="00F755F7" w:rsidP="008933A9" w14:paraId="6E85CAA1" w14:textId="77777777">
      <w:pPr>
        <w:pStyle w:val="ListParagraph"/>
        <w:numPr>
          <w:ilvl w:val="0"/>
          <w:numId w:val="27"/>
        </w:numPr>
        <w:overflowPunct/>
        <w:autoSpaceDE/>
        <w:autoSpaceDN/>
        <w:adjustRightInd/>
        <w:textAlignment w:val="auto"/>
        <w:rPr>
          <w:sz w:val="22"/>
          <w:szCs w:val="22"/>
        </w:rPr>
      </w:pPr>
      <w:r w:rsidRPr="49FCA636">
        <w:rPr>
          <w:b/>
          <w:bCs/>
          <w:sz w:val="22"/>
          <w:szCs w:val="22"/>
        </w:rPr>
        <w:t>Emergency Housing Vouchers – Admin Fees – Preliminary Fee Expenses</w:t>
      </w:r>
      <w:r w:rsidRPr="49FCA636">
        <w:rPr>
          <w:sz w:val="22"/>
          <w:szCs w:val="22"/>
        </w:rPr>
        <w:t xml:space="preserve">: Need to capture the amount of administrative expenses used from the PHA’s preliminary fee to support rental assistance for the Emergency Housing vouchers.  </w:t>
      </w:r>
    </w:p>
    <w:p w:rsidR="008933A9" w:rsidRPr="00BF2735" w:rsidP="008933A9" w14:paraId="1DBB791A" w14:textId="77777777">
      <w:pPr>
        <w:pStyle w:val="ListParagraph"/>
        <w:numPr>
          <w:ilvl w:val="0"/>
          <w:numId w:val="27"/>
        </w:numPr>
        <w:overflowPunct/>
        <w:autoSpaceDE/>
        <w:autoSpaceDN/>
        <w:adjustRightInd/>
        <w:textAlignment w:val="auto"/>
        <w:rPr>
          <w:sz w:val="22"/>
          <w:szCs w:val="22"/>
        </w:rPr>
      </w:pPr>
      <w:r w:rsidRPr="49FCA636">
        <w:rPr>
          <w:b/>
          <w:bCs/>
          <w:sz w:val="22"/>
          <w:szCs w:val="22"/>
        </w:rPr>
        <w:t xml:space="preserve">Emergency Housing Vouchers – Admin Fees – Placement/Issuance Fee Expenses: </w:t>
      </w:r>
      <w:r w:rsidRPr="49FCA636">
        <w:rPr>
          <w:sz w:val="22"/>
          <w:szCs w:val="22"/>
        </w:rPr>
        <w:t xml:space="preserve">Need to capture the amount of administrative expenses used from the PHA’s placement/expedited issuance fee to support rental assistance for the Emergency Housing vouchers.  </w:t>
      </w:r>
    </w:p>
    <w:p w:rsidR="008933A9" w:rsidRPr="00FD3AF8" w:rsidP="008933A9" w14:paraId="3C21A29A" w14:textId="77777777">
      <w:pPr>
        <w:pStyle w:val="ListParagraph"/>
        <w:numPr>
          <w:ilvl w:val="0"/>
          <w:numId w:val="27"/>
        </w:numPr>
        <w:rPr>
          <w:b/>
          <w:bCs/>
          <w:sz w:val="22"/>
          <w:szCs w:val="22"/>
        </w:rPr>
      </w:pPr>
      <w:r w:rsidRPr="49FCA636">
        <w:rPr>
          <w:b/>
          <w:bCs/>
          <w:sz w:val="22"/>
          <w:szCs w:val="22"/>
        </w:rPr>
        <w:t>Emergency Housing Vouchers – Admin Fees - Ongoing Administrative Expenses:</w:t>
      </w:r>
      <w:r w:rsidRPr="49FCA636">
        <w:rPr>
          <w:sz w:val="22"/>
          <w:szCs w:val="22"/>
        </w:rPr>
        <w:t xml:space="preserve">  Need to capture the amount of ongoing administrative expenses for Emergency Housing vouchers separate from the regular HCV program.  </w:t>
      </w:r>
    </w:p>
    <w:p w:rsidR="008933A9" w:rsidRPr="00BF2735" w:rsidP="008933A9" w14:paraId="7167C4B6" w14:textId="77777777">
      <w:pPr>
        <w:pStyle w:val="ListParagraph"/>
        <w:numPr>
          <w:ilvl w:val="0"/>
          <w:numId w:val="27"/>
        </w:numPr>
        <w:overflowPunct/>
        <w:autoSpaceDE/>
        <w:autoSpaceDN/>
        <w:adjustRightInd/>
        <w:textAlignment w:val="auto"/>
        <w:rPr>
          <w:b/>
          <w:sz w:val="22"/>
          <w:szCs w:val="22"/>
        </w:rPr>
      </w:pPr>
      <w:r w:rsidRPr="00BF2735">
        <w:rPr>
          <w:b/>
          <w:bCs/>
          <w:sz w:val="22"/>
          <w:szCs w:val="22"/>
        </w:rPr>
        <w:t xml:space="preserve">Emergency Housing Vouchers – </w:t>
      </w:r>
      <w:r>
        <w:rPr>
          <w:b/>
          <w:bCs/>
          <w:sz w:val="22"/>
          <w:szCs w:val="22"/>
        </w:rPr>
        <w:t xml:space="preserve">Service Fee – Housing Search Assistance </w:t>
      </w:r>
      <w:r w:rsidRPr="00BF2735">
        <w:rPr>
          <w:b/>
          <w:bCs/>
          <w:sz w:val="22"/>
          <w:szCs w:val="22"/>
        </w:rPr>
        <w:t>Expenses:</w:t>
      </w:r>
      <w:r w:rsidRPr="00BF2735">
        <w:rPr>
          <w:sz w:val="22"/>
          <w:szCs w:val="22"/>
        </w:rPr>
        <w:t xml:space="preserve">  Need to capture the amount of expenses used for </w:t>
      </w:r>
      <w:r>
        <w:rPr>
          <w:sz w:val="22"/>
          <w:szCs w:val="22"/>
        </w:rPr>
        <w:t xml:space="preserve">housing search assistance </w:t>
      </w:r>
      <w:r w:rsidRPr="00BF2735">
        <w:rPr>
          <w:sz w:val="22"/>
          <w:szCs w:val="22"/>
        </w:rPr>
        <w:t xml:space="preserve">to support rental assistance for the Emergency Housing vouchers.  </w:t>
      </w:r>
    </w:p>
    <w:p w:rsidR="008933A9" w:rsidRPr="00BF2735" w:rsidP="008933A9" w14:paraId="34F260FF" w14:textId="77777777">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w:t>
      </w:r>
      <w:r>
        <w:rPr>
          <w:b/>
          <w:bCs/>
          <w:sz w:val="22"/>
          <w:szCs w:val="22"/>
        </w:rPr>
        <w:t xml:space="preserve">Service Fee – </w:t>
      </w:r>
      <w:r w:rsidRPr="00BF2735">
        <w:rPr>
          <w:b/>
          <w:bCs/>
          <w:sz w:val="22"/>
          <w:szCs w:val="22"/>
        </w:rPr>
        <w:t>Security</w:t>
      </w:r>
      <w:r>
        <w:rPr>
          <w:b/>
          <w:bCs/>
          <w:sz w:val="22"/>
          <w:szCs w:val="22"/>
        </w:rPr>
        <w:t>/Utility</w:t>
      </w:r>
      <w:r w:rsidRPr="00BF2735">
        <w:rPr>
          <w:b/>
          <w:bCs/>
          <w:sz w:val="22"/>
          <w:szCs w:val="22"/>
        </w:rPr>
        <w:t xml:space="preserve"> Deposit</w:t>
      </w:r>
      <w:r>
        <w:rPr>
          <w:b/>
          <w:bCs/>
          <w:sz w:val="22"/>
          <w:szCs w:val="22"/>
        </w:rPr>
        <w:t>/Rental Application/Holding Fee</w:t>
      </w:r>
      <w:r w:rsidRPr="00BF2735">
        <w:rPr>
          <w:b/>
          <w:bCs/>
          <w:sz w:val="22"/>
          <w:szCs w:val="22"/>
        </w:rPr>
        <w:t xml:space="preserve"> </w:t>
      </w:r>
      <w:r w:rsidRPr="00BF2735">
        <w:rPr>
          <w:b/>
          <w:bCs/>
          <w:sz w:val="22"/>
          <w:szCs w:val="22"/>
        </w:rPr>
        <w:t>Expenses:</w:t>
      </w:r>
      <w:r w:rsidRPr="00BF2735">
        <w:rPr>
          <w:sz w:val="22"/>
          <w:szCs w:val="22"/>
        </w:rPr>
        <w:t xml:space="preserve">  Need to capture the amount of expenses used for security deposits to support rental assistance for the Emergency Housing vouchers.  </w:t>
      </w:r>
    </w:p>
    <w:p w:rsidR="008933A9" w:rsidRPr="00BF2735" w:rsidP="008933A9" w14:paraId="517FD93F" w14:textId="77777777">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w:t>
      </w:r>
      <w:r>
        <w:rPr>
          <w:b/>
          <w:bCs/>
          <w:sz w:val="22"/>
          <w:szCs w:val="22"/>
        </w:rPr>
        <w:t xml:space="preserve">Service Fee - </w:t>
      </w:r>
      <w:r w:rsidRPr="00BF2735">
        <w:rPr>
          <w:b/>
          <w:bCs/>
          <w:sz w:val="22"/>
          <w:szCs w:val="22"/>
        </w:rPr>
        <w:t xml:space="preserve">Owner </w:t>
      </w:r>
      <w:r w:rsidRPr="49FCA636">
        <w:rPr>
          <w:b/>
          <w:bCs/>
          <w:sz w:val="22"/>
          <w:szCs w:val="22"/>
        </w:rPr>
        <w:t>Incentive</w:t>
      </w:r>
      <w:r w:rsidRPr="00BF2735">
        <w:rPr>
          <w:b/>
          <w:bCs/>
          <w:sz w:val="22"/>
          <w:szCs w:val="22"/>
        </w:rPr>
        <w:t xml:space="preserve"> Expenses:</w:t>
      </w:r>
      <w:r w:rsidRPr="00BF2735">
        <w:rPr>
          <w:sz w:val="22"/>
          <w:szCs w:val="22"/>
        </w:rPr>
        <w:t xml:space="preserve">  Need to capture the amount of expenses used for owner </w:t>
      </w:r>
      <w:r w:rsidRPr="49FCA636">
        <w:rPr>
          <w:sz w:val="22"/>
          <w:szCs w:val="22"/>
        </w:rPr>
        <w:t xml:space="preserve">recruitment, </w:t>
      </w:r>
      <w:r w:rsidRPr="00BF2735">
        <w:rPr>
          <w:sz w:val="22"/>
          <w:szCs w:val="22"/>
        </w:rPr>
        <w:t>retention</w:t>
      </w:r>
      <w:r w:rsidRPr="00BF2735">
        <w:rPr>
          <w:sz w:val="22"/>
          <w:szCs w:val="22"/>
        </w:rPr>
        <w:t xml:space="preserve"> and participation incentives to support rental assistance for the Emergency Housing vouchers. </w:t>
      </w:r>
    </w:p>
    <w:p w:rsidR="008933A9" w:rsidRPr="00DA7447" w:rsidP="008933A9" w14:paraId="30BE3216" w14:textId="77777777">
      <w:pPr>
        <w:pStyle w:val="ListParagraph"/>
        <w:numPr>
          <w:ilvl w:val="0"/>
          <w:numId w:val="27"/>
        </w:numPr>
        <w:overflowPunct/>
        <w:autoSpaceDE/>
        <w:autoSpaceDN/>
        <w:adjustRightInd/>
        <w:textAlignment w:val="auto"/>
        <w:rPr>
          <w:sz w:val="22"/>
          <w:szCs w:val="22"/>
        </w:rPr>
      </w:pPr>
      <w:r w:rsidRPr="49FCA636">
        <w:rPr>
          <w:b/>
          <w:bCs/>
          <w:sz w:val="22"/>
          <w:szCs w:val="22"/>
        </w:rPr>
        <w:t>Emergency Housing Vouchers – Service Fee - Other Eligible Expenses:</w:t>
      </w:r>
      <w:r w:rsidRPr="49FCA636">
        <w:rPr>
          <w:sz w:val="22"/>
          <w:szCs w:val="22"/>
        </w:rPr>
        <w:t xml:space="preserve">  Need to capture the amount of other expenses used to support rental assistance for the Emergency Housing vouchers such as moving expenses, tenant-readiness services, essential household items, renter’s insurance, etc.  </w:t>
      </w:r>
    </w:p>
    <w:p w:rsidR="008933A9" w:rsidRPr="00BF2735" w:rsidP="008933A9" w14:paraId="0B943490"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Number of New Vouchers Issued but not Under HAP Contract as of the last day of the month:</w:t>
      </w:r>
      <w:r w:rsidRPr="00BF2735">
        <w:rPr>
          <w:sz w:val="22"/>
          <w:szCs w:val="22"/>
        </w:rPr>
        <w:t xml:space="preserve"> Need to capture the number of Emergency Housing vouchers that have been issued as of the last day of the month to assist projecting future leasing of Emergency Housing vouchers and assisting with funding projections.  </w:t>
      </w:r>
    </w:p>
    <w:p w:rsidR="008933A9" w:rsidRPr="00BF2735" w:rsidP="008933A9" w14:paraId="4FB11F20"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HAP Expenses After the First of the Month:</w:t>
      </w:r>
      <w:r w:rsidRPr="00BF2735">
        <w:rPr>
          <w:sz w:val="22"/>
          <w:szCs w:val="22"/>
        </w:rPr>
        <w:t xml:space="preserve"> Need to capture PHA HAP expenditures after the first of the month to accurately capture total HAP expenses and per unit cost for the newly created Emergency Housing vouchers. </w:t>
      </w:r>
    </w:p>
    <w:p w:rsidR="008933A9" w:rsidRPr="00BF2735" w:rsidP="008933A9" w14:paraId="5903EBE9"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 FSS Escrow Deposits:</w:t>
      </w:r>
      <w:r w:rsidRPr="00BF2735">
        <w:rPr>
          <w:sz w:val="22"/>
          <w:szCs w:val="22"/>
        </w:rPr>
        <w:t xml:space="preserve"> Need to capture the amount of Family Self Sufficiency escrow deposits for Emergency Housing vouchers separate from the regular HCV program for tracking, audit, reporting and reconciliation purposes. </w:t>
      </w:r>
    </w:p>
    <w:p w:rsidR="008933A9" w:rsidRPr="00BF2735" w:rsidP="008933A9" w14:paraId="067E28F5"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FSS Escrow Forfeitures this Month</w:t>
      </w:r>
      <w:r w:rsidRPr="00BF2735">
        <w:rPr>
          <w:sz w:val="22"/>
          <w:szCs w:val="22"/>
        </w:rPr>
        <w:t>:  Need to capture the amount of Family Self Sufficiency escrow forfeitures for Emergency Housing vouchers separate from the regular HCV program for tracking, audit, reporting and reconciliation purposes.</w:t>
      </w:r>
    </w:p>
    <w:p w:rsidR="008933A9" w:rsidRPr="00BF2735" w:rsidP="008933A9" w14:paraId="30F5F447" w14:textId="77777777">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Fraud Recovery Total Collected this Month:  </w:t>
      </w:r>
      <w:r w:rsidRPr="00BF2735">
        <w:rPr>
          <w:sz w:val="22"/>
          <w:szCs w:val="22"/>
        </w:rPr>
        <w:t xml:space="preserve">Need to capture the amount of Fraud Recovery funds collected for Emergency Housing vouchers separate from the regular HCV program for tracking, audit, reporting and reconciliation purposes.  </w:t>
      </w:r>
    </w:p>
    <w:p w:rsidR="008933A9" w:rsidRPr="00BF2735" w:rsidP="008933A9" w14:paraId="66A92740"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Unrestricted Net Position Funds (UNP) as of the Last Day of the Month:</w:t>
      </w:r>
      <w:r w:rsidRPr="00BF2735">
        <w:rPr>
          <w:sz w:val="22"/>
          <w:szCs w:val="22"/>
        </w:rPr>
        <w:t xml:space="preserve">  Need to capture the amount of Unrestricted Net Position Funds for Emergency Housing vouchers separate from the regular HCV program for tracking, audit, reporting and reconciliation purposes. This field will be used to capture up to three different Emergency Housing Voucher types per future appropriations. </w:t>
      </w:r>
    </w:p>
    <w:p w:rsidR="008933A9" w:rsidRPr="00BF2735" w:rsidP="008933A9" w14:paraId="0253ABD4" w14:textId="77777777">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Restricted Net Position Funds (RNP) as of the Last Day of the Month:</w:t>
      </w:r>
      <w:r w:rsidRPr="00BF2735">
        <w:rPr>
          <w:sz w:val="22"/>
          <w:szCs w:val="22"/>
        </w:rPr>
        <w:t xml:space="preserve">  Need to capture the amount of Restricted Net Position Funds for Emergency Housing vouchers separate from the regular HCV program for tracking, audit, reporting and reconciliation purposes.  </w:t>
      </w:r>
    </w:p>
    <w:p w:rsidR="008933A9" w:rsidRPr="00BF2735" w:rsidP="008933A9" w14:paraId="5EF394DE" w14:textId="77777777">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Cash/Investment as of the Last Day of the Month: </w:t>
      </w:r>
      <w:r w:rsidRPr="00BF2735">
        <w:rPr>
          <w:sz w:val="22"/>
          <w:szCs w:val="22"/>
        </w:rPr>
        <w:t xml:space="preserve"> Need to capture the amount of Cash/Investments for Emergency Housing vouchers separate from the regular HCV program for tracking, audit, reporting and reconciliation purposes. </w:t>
      </w:r>
    </w:p>
    <w:p w:rsidR="008933A9" w:rsidP="008933A9" w14:paraId="41A2F2F9" w14:textId="77777777">
      <w:pPr>
        <w:tabs>
          <w:tab w:val="left" w:pos="450"/>
        </w:tabs>
        <w:overflowPunct/>
        <w:autoSpaceDE/>
        <w:autoSpaceDN/>
        <w:adjustRightInd/>
        <w:ind w:left="450"/>
        <w:textAlignment w:val="auto"/>
        <w:rPr>
          <w:sz w:val="22"/>
        </w:rPr>
      </w:pPr>
    </w:p>
    <w:p w:rsidR="008933A9" w:rsidP="008933A9" w14:paraId="235021A3" w14:textId="77777777">
      <w:pPr>
        <w:tabs>
          <w:tab w:val="left" w:pos="450"/>
        </w:tabs>
        <w:overflowPunct/>
        <w:autoSpaceDE/>
        <w:autoSpaceDN/>
        <w:adjustRightInd/>
        <w:ind w:left="450"/>
        <w:textAlignment w:val="auto"/>
        <w:rPr>
          <w:sz w:val="22"/>
        </w:rPr>
      </w:pPr>
      <w:r>
        <w:rPr>
          <w:sz w:val="22"/>
        </w:rPr>
        <w:t xml:space="preserve">The data requested above will need to be entered by the PHA </w:t>
      </w:r>
      <w:r>
        <w:rPr>
          <w:sz w:val="22"/>
        </w:rPr>
        <w:t>on a monthly basis</w:t>
      </w:r>
      <w:r>
        <w:rPr>
          <w:sz w:val="22"/>
        </w:rPr>
        <w:t xml:space="preserve"> into a HUD system that is yet to be determined.  </w:t>
      </w:r>
    </w:p>
    <w:p w:rsidR="008933A9" w:rsidRPr="00D52EDB" w:rsidP="008933A9" w14:paraId="54272243" w14:textId="77777777">
      <w:pPr>
        <w:tabs>
          <w:tab w:val="left" w:pos="-720"/>
          <w:tab w:val="left" w:pos="0"/>
        </w:tabs>
        <w:suppressAutoHyphens/>
        <w:rPr>
          <w:rFonts w:asciiTheme="minorHAnsi" w:hAnsiTheme="minorHAnsi" w:cstheme="minorHAnsi"/>
          <w:color w:val="000000"/>
          <w:sz w:val="22"/>
          <w:szCs w:val="22"/>
        </w:rPr>
      </w:pPr>
    </w:p>
    <w:p w:rsidR="008933A9" w:rsidRPr="00D52EDB" w:rsidP="008933A9" w14:paraId="7C5A3915" w14:textId="77777777">
      <w:pPr>
        <w:tabs>
          <w:tab w:val="left" w:pos="-720"/>
          <w:tab w:val="left" w:pos="-90"/>
        </w:tabs>
        <w:suppressAutoHyphens/>
        <w:ind w:left="480"/>
        <w:rPr>
          <w:b/>
          <w:bCs/>
          <w:sz w:val="22"/>
        </w:rPr>
      </w:pPr>
    </w:p>
    <w:p w:rsidR="008933A9" w:rsidP="008933A9" w14:paraId="2C4CC52E" w14:textId="77777777">
      <w:pPr>
        <w:pStyle w:val="Heading1"/>
        <w:tabs>
          <w:tab w:val="left" w:pos="480"/>
        </w:tabs>
        <w:ind w:left="480" w:hanging="480"/>
        <w:jc w:val="left"/>
        <w:rPr>
          <w:b w:val="0"/>
          <w:bCs w:val="0"/>
          <w:sz w:val="22"/>
          <w:u w:val="none"/>
        </w:rPr>
      </w:pPr>
      <w:r w:rsidRPr="00D52EDB">
        <w:rPr>
          <w:u w:val="none"/>
        </w:rPr>
        <w:t>3.</w:t>
      </w:r>
      <w:r w:rsidRPr="00D52EDB">
        <w:rPr>
          <w:u w:val="none"/>
        </w:rPr>
        <w:tab/>
        <w:t xml:space="preserve">Describe whether, and to what extent, the collection of information is automated?  </w:t>
      </w:r>
      <w:r w:rsidRPr="002119AB">
        <w:rPr>
          <w:rStyle w:val="normaltextrun"/>
          <w:b w:val="0"/>
          <w:bCs w:val="0"/>
          <w:color w:val="000000"/>
          <w:u w:val="none"/>
          <w:shd w:val="clear" w:color="auto" w:fill="FFFFFF"/>
        </w:rPr>
        <w:t xml:space="preserve">Financial Form HUD-52681-B has been automated; submissions are manually keyed to the data entry forms monthly and electronically uploaded to VMS.  </w:t>
      </w:r>
    </w:p>
    <w:p w:rsidR="008933A9" w:rsidRPr="002119AB" w:rsidP="008933A9" w14:paraId="18353494" w14:textId="77777777"/>
    <w:p w:rsidR="008933A9" w:rsidRPr="00D52EDB" w:rsidP="008933A9" w14:paraId="4C2ED474" w14:textId="77777777">
      <w:pPr>
        <w:pStyle w:val="BodyTextIndent"/>
        <w:keepNext/>
        <w:ind w:left="480" w:hanging="480"/>
        <w:rPr>
          <w:sz w:val="22"/>
        </w:rPr>
      </w:pPr>
      <w:r w:rsidRPr="00D52EDB">
        <w:rPr>
          <w:b/>
          <w:bCs/>
          <w:sz w:val="22"/>
        </w:rPr>
        <w:t>4.</w:t>
      </w:r>
      <w:r w:rsidRPr="00D52EDB">
        <w:rPr>
          <w:b/>
          <w:bCs/>
          <w:sz w:val="22"/>
        </w:rPr>
        <w:tab/>
        <w:t xml:space="preserve">Duplication of information.  </w:t>
      </w:r>
      <w:r w:rsidRPr="00D52EDB">
        <w:rPr>
          <w:sz w:val="22"/>
        </w:rPr>
        <w:t xml:space="preserve">None. This information is not currently collected at this time in a separate field.  </w:t>
      </w:r>
    </w:p>
    <w:p w:rsidR="008933A9" w:rsidRPr="00D52EDB" w:rsidP="008933A9" w14:paraId="3B9932F1" w14:textId="77777777">
      <w:pPr>
        <w:pStyle w:val="BodyTextIndent"/>
        <w:keepNext/>
        <w:ind w:left="480" w:hanging="480"/>
        <w:rPr>
          <w:sz w:val="22"/>
        </w:rPr>
      </w:pPr>
    </w:p>
    <w:p w:rsidR="008933A9" w:rsidRPr="00D52EDB" w:rsidP="008933A9" w14:paraId="7F44285B" w14:textId="77777777">
      <w:pPr>
        <w:pStyle w:val="BodyTextIndent"/>
        <w:keepNext/>
        <w:numPr>
          <w:ilvl w:val="0"/>
          <w:numId w:val="11"/>
        </w:numPr>
        <w:tabs>
          <w:tab w:val="left" w:pos="-450"/>
          <w:tab w:val="clear" w:pos="360"/>
          <w:tab w:val="num" w:pos="450"/>
        </w:tabs>
        <w:ind w:left="480" w:hanging="480"/>
        <w:rPr>
          <w:sz w:val="22"/>
        </w:rPr>
      </w:pPr>
      <w:r w:rsidRPr="00D52EDB">
        <w:rPr>
          <w:b/>
          <w:bCs/>
          <w:sz w:val="22"/>
        </w:rPr>
        <w:t xml:space="preserve">Does the collection of information impact small businesses or other small entities?  </w:t>
      </w:r>
      <w:r w:rsidRPr="00D52EDB">
        <w:rPr>
          <w:bCs/>
          <w:sz w:val="22"/>
        </w:rPr>
        <w:t>No.</w:t>
      </w:r>
    </w:p>
    <w:p w:rsidR="008933A9" w:rsidRPr="00D52EDB" w:rsidP="008933A9" w14:paraId="74CD1EF8" w14:textId="77777777">
      <w:pPr>
        <w:ind w:left="480" w:hanging="480"/>
        <w:rPr>
          <w:sz w:val="22"/>
        </w:rPr>
      </w:pPr>
    </w:p>
    <w:p w:rsidR="008933A9" w:rsidRPr="00D52EDB" w:rsidP="008933A9" w14:paraId="7C2A104B" w14:textId="77777777">
      <w:pPr>
        <w:pStyle w:val="BodyTextIndent"/>
        <w:keepNext/>
        <w:ind w:left="480" w:hanging="480"/>
        <w:rPr>
          <w:b/>
          <w:bCs/>
          <w:sz w:val="22"/>
        </w:rPr>
      </w:pPr>
      <w:r w:rsidRPr="00D52EDB">
        <w:rPr>
          <w:b/>
          <w:bCs/>
          <w:sz w:val="22"/>
        </w:rPr>
        <w:t>6.</w:t>
      </w:r>
      <w:r w:rsidRPr="00D52EDB">
        <w:rPr>
          <w:b/>
          <w:bCs/>
          <w:sz w:val="22"/>
        </w:rPr>
        <w:tab/>
        <w:t xml:space="preserve">Describe the consequences to federal program or policy activities if the collection is not conducted or is conducted less frequently.  </w:t>
      </w:r>
      <w:r w:rsidRPr="00D52EDB">
        <w:rPr>
          <w:bCs/>
          <w:sz w:val="22"/>
        </w:rPr>
        <w:t xml:space="preserve">The burden associated </w:t>
      </w:r>
      <w:r w:rsidRPr="00E63C3F">
        <w:rPr>
          <w:bCs/>
          <w:sz w:val="22"/>
        </w:rPr>
        <w:t>with collecting this information for the Stability Voucher program and the Emergency Voucher Program is the minimum needed for program monitoring, implementation and allowing for the possibility of recapture and reallocating funds.  The information cannot be collected less frequently because it is information necessary for</w:t>
      </w:r>
      <w:r w:rsidRPr="00D52EDB">
        <w:rPr>
          <w:bCs/>
          <w:sz w:val="22"/>
        </w:rPr>
        <w:t xml:space="preserve"> HUD to carry out its budget, allocation, oversight, and cash management functions. </w:t>
      </w:r>
      <w:r>
        <w:rPr>
          <w:bCs/>
          <w:sz w:val="22"/>
        </w:rPr>
        <w:t>Furthermore, without the data on leasing for the Stability Vouchers it would be impossible to recapture and reallocate unutilized vouchers per congressional mandate.</w:t>
      </w:r>
    </w:p>
    <w:p w:rsidR="008933A9" w:rsidRPr="00D52EDB" w:rsidP="008933A9" w14:paraId="74C0055A" w14:textId="77777777">
      <w:pPr>
        <w:pStyle w:val="BodyTextIndent"/>
        <w:ind w:left="480" w:hanging="480"/>
      </w:pPr>
    </w:p>
    <w:p w:rsidR="008933A9" w:rsidP="008933A9" w14:paraId="059A547F" w14:textId="77777777">
      <w:pPr>
        <w:tabs>
          <w:tab w:val="left" w:pos="480"/>
        </w:tabs>
        <w:suppressAutoHyphens/>
        <w:ind w:left="480" w:hanging="480"/>
        <w:rPr>
          <w:sz w:val="22"/>
          <w:szCs w:val="22"/>
        </w:rPr>
      </w:pPr>
      <w:r w:rsidRPr="174DCE58">
        <w:rPr>
          <w:b/>
          <w:sz w:val="22"/>
          <w:szCs w:val="22"/>
        </w:rPr>
        <w:t>7.</w:t>
      </w:r>
      <w:r>
        <w:tab/>
      </w:r>
      <w:r w:rsidRPr="174DCE58">
        <w:rPr>
          <w:b/>
          <w:sz w:val="22"/>
          <w:szCs w:val="22"/>
        </w:rPr>
        <w:t xml:space="preserve">Explain any special circumstances.  </w:t>
      </w:r>
      <w:r w:rsidRPr="174DCE58">
        <w:rPr>
          <w:sz w:val="22"/>
          <w:szCs w:val="22"/>
        </w:rPr>
        <w:t>PHAs will submit data for each month after the end of said month.</w:t>
      </w:r>
    </w:p>
    <w:p w:rsidR="008933A9" w:rsidP="008933A9" w14:paraId="0CA836ED" w14:textId="77777777">
      <w:pPr>
        <w:tabs>
          <w:tab w:val="left" w:pos="-720"/>
          <w:tab w:val="left" w:pos="480"/>
        </w:tabs>
        <w:suppressAutoHyphens/>
        <w:ind w:left="480" w:hanging="480"/>
        <w:rPr>
          <w:bCs/>
          <w:sz w:val="22"/>
        </w:rPr>
      </w:pPr>
    </w:p>
    <w:p w:rsidR="008933A9" w:rsidRPr="005A1D1A" w:rsidP="008933A9" w14:paraId="2C4FCAB6" w14:textId="77777777">
      <w:pPr>
        <w:keepLines/>
        <w:numPr>
          <w:ilvl w:val="0"/>
          <w:numId w:val="28"/>
        </w:numPr>
        <w:tabs>
          <w:tab w:val="left" w:pos="360"/>
        </w:tabs>
        <w:rPr>
          <w:rFonts w:eastAsia="Calibri"/>
          <w:sz w:val="22"/>
          <w:szCs w:val="22"/>
        </w:rPr>
      </w:pPr>
      <w:r w:rsidRPr="007617D9">
        <w:rPr>
          <w:rFonts w:eastAsia="Calibri"/>
          <w:sz w:val="22"/>
          <w:szCs w:val="22"/>
        </w:rPr>
        <w:t xml:space="preserve">requiring respondents to prepare a written response to a collection of information in fewer than 30 days after receipt of </w:t>
      </w:r>
      <w:r w:rsidRPr="007617D9">
        <w:rPr>
          <w:rFonts w:eastAsia="Calibri"/>
          <w:sz w:val="22"/>
          <w:szCs w:val="22"/>
        </w:rPr>
        <w:t>it;</w:t>
      </w:r>
      <w:r>
        <w:rPr>
          <w:rFonts w:eastAsia="Calibri"/>
          <w:sz w:val="22"/>
          <w:szCs w:val="22"/>
        </w:rPr>
        <w:t xml:space="preserve"> </w:t>
      </w:r>
      <w:r w:rsidRPr="005A1D1A">
        <w:rPr>
          <w:rFonts w:eastAsia="Calibri"/>
          <w:b/>
          <w:sz w:val="22"/>
          <w:szCs w:val="22"/>
        </w:rPr>
        <w:t>Not Applicable</w:t>
      </w:r>
    </w:p>
    <w:p w:rsidR="008933A9" w:rsidRPr="007617D9" w:rsidP="008933A9" w14:paraId="0C206CD4" w14:textId="77777777">
      <w:pPr>
        <w:overflowPunct/>
        <w:autoSpaceDE/>
        <w:autoSpaceDN/>
        <w:adjustRightInd/>
        <w:ind w:left="1080"/>
        <w:contextualSpacing/>
        <w:textAlignment w:val="auto"/>
        <w:rPr>
          <w:rFonts w:eastAsia="Calibri"/>
          <w:sz w:val="22"/>
          <w:szCs w:val="22"/>
        </w:rPr>
      </w:pPr>
    </w:p>
    <w:p w:rsidR="008933A9" w:rsidRPr="005A1D1A" w:rsidP="008933A9" w14:paraId="52FBCA25" w14:textId="77777777">
      <w:pPr>
        <w:keepLines/>
        <w:numPr>
          <w:ilvl w:val="0"/>
          <w:numId w:val="28"/>
        </w:numPr>
        <w:tabs>
          <w:tab w:val="left" w:pos="360"/>
        </w:tabs>
        <w:rPr>
          <w:rFonts w:eastAsia="Calibri"/>
          <w:sz w:val="22"/>
          <w:szCs w:val="22"/>
        </w:rPr>
      </w:pPr>
      <w:r w:rsidRPr="007617D9">
        <w:rPr>
          <w:rFonts w:eastAsia="Calibri"/>
          <w:sz w:val="22"/>
          <w:szCs w:val="22"/>
        </w:rPr>
        <w:t xml:space="preserve">requiring respondents to submit more than an original and two copies of any </w:t>
      </w:r>
      <w:r w:rsidRPr="007617D9">
        <w:rPr>
          <w:rFonts w:eastAsia="Calibri"/>
          <w:sz w:val="22"/>
          <w:szCs w:val="22"/>
        </w:rPr>
        <w:t>document;</w:t>
      </w:r>
      <w:r>
        <w:rPr>
          <w:rFonts w:eastAsia="Calibri"/>
          <w:sz w:val="22"/>
          <w:szCs w:val="22"/>
        </w:rPr>
        <w:t xml:space="preserve"> </w:t>
      </w:r>
      <w:r w:rsidRPr="005A1D1A">
        <w:rPr>
          <w:rFonts w:eastAsia="Calibri"/>
          <w:b/>
          <w:sz w:val="22"/>
          <w:szCs w:val="22"/>
        </w:rPr>
        <w:t>Not Applicable</w:t>
      </w:r>
    </w:p>
    <w:p w:rsidR="008933A9" w:rsidRPr="007617D9" w:rsidP="008933A9" w14:paraId="2086D213" w14:textId="77777777">
      <w:pPr>
        <w:overflowPunct/>
        <w:autoSpaceDE/>
        <w:autoSpaceDN/>
        <w:adjustRightInd/>
        <w:ind w:left="1080"/>
        <w:contextualSpacing/>
        <w:textAlignment w:val="auto"/>
        <w:rPr>
          <w:rFonts w:eastAsia="Calibri"/>
          <w:sz w:val="22"/>
          <w:szCs w:val="22"/>
        </w:rPr>
      </w:pPr>
    </w:p>
    <w:p w:rsidR="008933A9" w:rsidRPr="005A1D1A" w:rsidP="008933A9" w14:paraId="6F35D434" w14:textId="77777777">
      <w:pPr>
        <w:keepLines/>
        <w:numPr>
          <w:ilvl w:val="0"/>
          <w:numId w:val="28"/>
        </w:numPr>
        <w:tabs>
          <w:tab w:val="left" w:pos="360"/>
        </w:tabs>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r>
        <w:rPr>
          <w:rFonts w:eastAsia="Calibri"/>
          <w:sz w:val="22"/>
          <w:szCs w:val="22"/>
        </w:rPr>
        <w:t xml:space="preserve"> </w:t>
      </w:r>
      <w:r w:rsidRPr="005A1D1A">
        <w:rPr>
          <w:rFonts w:eastAsia="Calibri"/>
          <w:b/>
          <w:sz w:val="22"/>
          <w:szCs w:val="22"/>
        </w:rPr>
        <w:t>Not Applicable</w:t>
      </w:r>
    </w:p>
    <w:p w:rsidR="008933A9" w:rsidRPr="007617D9" w:rsidP="008933A9" w14:paraId="7F1ABCA8" w14:textId="77777777">
      <w:pPr>
        <w:overflowPunct/>
        <w:autoSpaceDE/>
        <w:autoSpaceDN/>
        <w:adjustRightInd/>
        <w:ind w:left="1080"/>
        <w:contextualSpacing/>
        <w:textAlignment w:val="auto"/>
        <w:rPr>
          <w:rFonts w:eastAsia="Calibri"/>
          <w:sz w:val="22"/>
          <w:szCs w:val="22"/>
        </w:rPr>
      </w:pPr>
    </w:p>
    <w:p w:rsidR="008933A9" w:rsidRPr="005A1D1A" w:rsidP="008933A9" w14:paraId="3FC47D48" w14:textId="77777777">
      <w:pPr>
        <w:keepLines/>
        <w:numPr>
          <w:ilvl w:val="0"/>
          <w:numId w:val="28"/>
        </w:numPr>
        <w:tabs>
          <w:tab w:val="left" w:pos="360"/>
        </w:tabs>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r>
        <w:rPr>
          <w:rFonts w:eastAsia="Calibri"/>
          <w:sz w:val="22"/>
          <w:szCs w:val="22"/>
        </w:rPr>
        <w:t xml:space="preserve"> </w:t>
      </w:r>
      <w:r w:rsidRPr="005A1D1A">
        <w:rPr>
          <w:rFonts w:eastAsia="Calibri"/>
          <w:b/>
          <w:sz w:val="22"/>
          <w:szCs w:val="22"/>
        </w:rPr>
        <w:t>Not Applicable</w:t>
      </w:r>
    </w:p>
    <w:p w:rsidR="008933A9" w:rsidRPr="007617D9" w:rsidP="008933A9" w14:paraId="7006FD8F" w14:textId="77777777">
      <w:pPr>
        <w:overflowPunct/>
        <w:autoSpaceDE/>
        <w:autoSpaceDN/>
        <w:adjustRightInd/>
        <w:ind w:left="1080"/>
        <w:contextualSpacing/>
        <w:textAlignment w:val="auto"/>
        <w:rPr>
          <w:rFonts w:eastAsia="Calibri"/>
          <w:sz w:val="22"/>
          <w:szCs w:val="22"/>
        </w:rPr>
      </w:pPr>
    </w:p>
    <w:p w:rsidR="008933A9" w:rsidRPr="005A1D1A" w:rsidP="008933A9" w14:paraId="573A3EF3" w14:textId="77777777">
      <w:pPr>
        <w:keepLines/>
        <w:numPr>
          <w:ilvl w:val="0"/>
          <w:numId w:val="28"/>
        </w:numPr>
        <w:tabs>
          <w:tab w:val="left" w:pos="360"/>
        </w:tabs>
        <w:rPr>
          <w:rFonts w:eastAsia="Calibri"/>
          <w:sz w:val="22"/>
          <w:szCs w:val="22"/>
        </w:rPr>
      </w:pPr>
      <w:r w:rsidRPr="007617D9">
        <w:rPr>
          <w:rFonts w:eastAsia="Calibri"/>
          <w:sz w:val="22"/>
          <w:szCs w:val="22"/>
        </w:rPr>
        <w:t>requiring the use of statistical data classification that has not been reviewed and approved by OMB;</w:t>
      </w:r>
      <w:r>
        <w:rPr>
          <w:rFonts w:eastAsia="Calibri"/>
          <w:sz w:val="22"/>
          <w:szCs w:val="22"/>
        </w:rPr>
        <w:t xml:space="preserve"> </w:t>
      </w:r>
      <w:r w:rsidRPr="005A1D1A">
        <w:rPr>
          <w:rFonts w:eastAsia="Calibri"/>
          <w:b/>
          <w:sz w:val="22"/>
          <w:szCs w:val="22"/>
        </w:rPr>
        <w:t>Not Applicable</w:t>
      </w:r>
    </w:p>
    <w:p w:rsidR="008933A9" w:rsidRPr="007617D9" w:rsidP="008933A9" w14:paraId="708DCE9C" w14:textId="77777777">
      <w:pPr>
        <w:overflowPunct/>
        <w:autoSpaceDE/>
        <w:autoSpaceDN/>
        <w:adjustRightInd/>
        <w:ind w:left="1080"/>
        <w:contextualSpacing/>
        <w:textAlignment w:val="auto"/>
        <w:rPr>
          <w:rFonts w:eastAsia="Calibri"/>
          <w:sz w:val="22"/>
          <w:szCs w:val="22"/>
        </w:rPr>
      </w:pPr>
    </w:p>
    <w:p w:rsidR="008933A9" w:rsidRPr="005A1D1A" w:rsidP="008933A9" w14:paraId="0B3C2AD0" w14:textId="77777777">
      <w:pPr>
        <w:keepLines/>
        <w:numPr>
          <w:ilvl w:val="0"/>
          <w:numId w:val="28"/>
        </w:numPr>
        <w:tabs>
          <w:tab w:val="left" w:pos="360"/>
        </w:tabs>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eastAsia="Calibri"/>
          <w:sz w:val="22"/>
          <w:szCs w:val="22"/>
        </w:rPr>
        <w:t xml:space="preserve"> </w:t>
      </w:r>
      <w:r w:rsidRPr="005A1D1A">
        <w:rPr>
          <w:rFonts w:eastAsia="Calibri"/>
          <w:b/>
          <w:sz w:val="22"/>
          <w:szCs w:val="22"/>
        </w:rPr>
        <w:t>Not Applicable</w:t>
      </w:r>
    </w:p>
    <w:p w:rsidR="008933A9" w:rsidRPr="007617D9" w:rsidP="008933A9" w14:paraId="1E433605" w14:textId="77777777">
      <w:pPr>
        <w:overflowPunct/>
        <w:autoSpaceDE/>
        <w:autoSpaceDN/>
        <w:adjustRightInd/>
        <w:ind w:left="1080"/>
        <w:contextualSpacing/>
        <w:textAlignment w:val="auto"/>
        <w:rPr>
          <w:rFonts w:eastAsia="Calibri"/>
          <w:sz w:val="22"/>
          <w:szCs w:val="22"/>
        </w:rPr>
      </w:pPr>
    </w:p>
    <w:p w:rsidR="008933A9" w:rsidRPr="005A1D1A" w:rsidP="008933A9" w14:paraId="137C2A19" w14:textId="77777777">
      <w:pPr>
        <w:keepLines/>
        <w:numPr>
          <w:ilvl w:val="0"/>
          <w:numId w:val="28"/>
        </w:numPr>
        <w:tabs>
          <w:tab w:val="left" w:pos="360"/>
        </w:tabs>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r>
        <w:rPr>
          <w:rFonts w:eastAsia="Calibri"/>
          <w:sz w:val="22"/>
          <w:szCs w:val="22"/>
        </w:rPr>
        <w:t xml:space="preserve"> </w:t>
      </w:r>
      <w:r w:rsidRPr="005A1D1A">
        <w:rPr>
          <w:rFonts w:eastAsia="Calibri"/>
          <w:b/>
          <w:sz w:val="22"/>
          <w:szCs w:val="22"/>
        </w:rPr>
        <w:t>Not Applicable</w:t>
      </w:r>
    </w:p>
    <w:p w:rsidR="008933A9" w:rsidRPr="00D52EDB" w:rsidP="008933A9" w14:paraId="1D67B11D" w14:textId="77777777">
      <w:pPr>
        <w:keepNext/>
        <w:rPr>
          <w:sz w:val="22"/>
        </w:rPr>
      </w:pPr>
    </w:p>
    <w:p w:rsidR="008933A9" w:rsidRPr="00BB5EA1" w:rsidP="008933A9" w14:paraId="2E026992" w14:textId="77777777">
      <w:pPr>
        <w:ind w:left="480" w:hanging="480"/>
        <w:rPr>
          <w:b/>
          <w:bCs/>
          <w:sz w:val="22"/>
        </w:rPr>
      </w:pPr>
      <w:r w:rsidRPr="00D52EDB">
        <w:rPr>
          <w:b/>
          <w:bCs/>
          <w:sz w:val="22"/>
        </w:rPr>
        <w:t>8.</w:t>
      </w:r>
      <w:r w:rsidRPr="00D52EDB">
        <w:rPr>
          <w:b/>
          <w:bCs/>
          <w:sz w:val="22"/>
        </w:rPr>
        <w:tab/>
      </w:r>
      <w:r w:rsidRPr="00BB5EA1">
        <w:rPr>
          <w:b/>
          <w:bCs/>
          <w:sz w:val="22"/>
        </w:rPr>
        <w:t xml:space="preserve">Identify date and page number of the Federal Register notice soliciting comments on the information. </w:t>
      </w:r>
    </w:p>
    <w:p w:rsidR="008933A9" w:rsidRPr="00BB5EA1" w:rsidP="00BB5EA1" w14:paraId="6C1D8D78" w14:textId="79A2B925">
      <w:pPr>
        <w:pStyle w:val="EndnoteText"/>
        <w:widowControl/>
        <w:tabs>
          <w:tab w:val="left" w:pos="480"/>
        </w:tabs>
        <w:suppressAutoHyphens/>
        <w:ind w:left="480" w:hanging="480"/>
        <w:rPr>
          <w:rFonts w:ascii="Times New Roman" w:hAnsi="Times New Roman"/>
          <w:sz w:val="22"/>
          <w:szCs w:val="22"/>
        </w:rPr>
      </w:pPr>
      <w:r w:rsidRPr="00BB5EA1">
        <w:rPr>
          <w:rFonts w:ascii="Times New Roman" w:hAnsi="Times New Roman"/>
          <w:sz w:val="22"/>
        </w:rPr>
        <w:tab/>
      </w:r>
      <w:r w:rsidRPr="00BB5EA1">
        <w:rPr>
          <w:rFonts w:ascii="Times New Roman" w:hAnsi="Times New Roman"/>
          <w:sz w:val="22"/>
          <w:szCs w:val="22"/>
        </w:rPr>
        <w:t xml:space="preserve">Agency notice of proposed information collection was published for public comment in the </w:t>
      </w:r>
      <w:r w:rsidRPr="00BB5EA1">
        <w:rPr>
          <w:rFonts w:ascii="Times New Roman" w:hAnsi="Times New Roman"/>
          <w:i/>
          <w:iCs/>
          <w:sz w:val="22"/>
          <w:szCs w:val="22"/>
        </w:rPr>
        <w:t>Federal Register</w:t>
      </w:r>
      <w:r w:rsidRPr="00BB5EA1">
        <w:rPr>
          <w:rFonts w:ascii="Times New Roman" w:hAnsi="Times New Roman"/>
          <w:sz w:val="22"/>
          <w:szCs w:val="22"/>
        </w:rPr>
        <w:t xml:space="preserve"> on </w:t>
      </w:r>
      <w:r w:rsidRPr="00BB5EA1" w:rsidR="00BB5EA1">
        <w:rPr>
          <w:rFonts w:ascii="Times New Roman" w:hAnsi="Times New Roman"/>
          <w:sz w:val="22"/>
          <w:szCs w:val="22"/>
        </w:rPr>
        <w:t>March 24, 2023</w:t>
      </w:r>
      <w:r w:rsidRPr="00BB5EA1">
        <w:rPr>
          <w:rFonts w:ascii="Times New Roman" w:hAnsi="Times New Roman"/>
          <w:sz w:val="22"/>
          <w:szCs w:val="22"/>
        </w:rPr>
        <w:t xml:space="preserve">, </w:t>
      </w:r>
      <w:r w:rsidRPr="00BB5EA1" w:rsidR="00BB5EA1">
        <w:rPr>
          <w:rFonts w:ascii="Times New Roman" w:hAnsi="Times New Roman"/>
          <w:sz w:val="22"/>
          <w:szCs w:val="22"/>
        </w:rPr>
        <w:t>Vol 88, No 57</w:t>
      </w:r>
      <w:r w:rsidRPr="00BB5EA1">
        <w:rPr>
          <w:rFonts w:ascii="Times New Roman" w:hAnsi="Times New Roman"/>
          <w:sz w:val="22"/>
          <w:szCs w:val="22"/>
        </w:rPr>
        <w:t xml:space="preserve">, page </w:t>
      </w:r>
      <w:r w:rsidRPr="00BB5EA1" w:rsidR="00BB5EA1">
        <w:rPr>
          <w:rFonts w:ascii="Times New Roman" w:hAnsi="Times New Roman"/>
          <w:sz w:val="22"/>
          <w:szCs w:val="22"/>
        </w:rPr>
        <w:t>17865</w:t>
      </w:r>
      <w:r w:rsidRPr="00BB5EA1">
        <w:rPr>
          <w:rFonts w:ascii="Times New Roman" w:hAnsi="Times New Roman"/>
          <w:sz w:val="22"/>
          <w:szCs w:val="22"/>
        </w:rPr>
        <w:t xml:space="preserve">.  A 60-day comment period was provided for both information collections. The Department received </w:t>
      </w:r>
      <w:r w:rsidRPr="00BB5EA1" w:rsidR="00BB5EA1">
        <w:rPr>
          <w:rFonts w:ascii="Times New Roman" w:hAnsi="Times New Roman"/>
          <w:sz w:val="22"/>
          <w:szCs w:val="22"/>
        </w:rPr>
        <w:t xml:space="preserve">no </w:t>
      </w:r>
      <w:r w:rsidRPr="00BB5EA1">
        <w:rPr>
          <w:rFonts w:ascii="Times New Roman" w:hAnsi="Times New Roman"/>
          <w:sz w:val="22"/>
          <w:szCs w:val="22"/>
        </w:rPr>
        <w:t xml:space="preserve">comments. </w:t>
      </w:r>
    </w:p>
    <w:p w:rsidR="008933A9" w:rsidRPr="00BB5EA1" w:rsidP="008933A9" w14:paraId="44C91BB2" w14:textId="77777777">
      <w:pPr>
        <w:ind w:left="480"/>
        <w:rPr>
          <w:sz w:val="22"/>
        </w:rPr>
      </w:pPr>
    </w:p>
    <w:p w:rsidR="008933A9" w:rsidRPr="00D52EDB" w:rsidP="008933A9" w14:paraId="7238531A" w14:textId="77777777">
      <w:pPr>
        <w:pStyle w:val="BodyTextIndent"/>
        <w:keepNext/>
        <w:ind w:left="480" w:hanging="480"/>
        <w:rPr>
          <w:sz w:val="22"/>
        </w:rPr>
      </w:pPr>
      <w:r w:rsidRPr="00D52EDB">
        <w:rPr>
          <w:b/>
          <w:bCs/>
          <w:sz w:val="22"/>
        </w:rPr>
        <w:t>9.</w:t>
      </w:r>
      <w:r w:rsidRPr="00D52EDB">
        <w:rPr>
          <w:b/>
          <w:bCs/>
          <w:sz w:val="22"/>
        </w:rPr>
        <w:tab/>
        <w:t xml:space="preserve">Explain any payments or gifts to respondents, other than remuneration of contractors or grantees. </w:t>
      </w:r>
    </w:p>
    <w:p w:rsidR="008933A9" w:rsidRPr="00D52EDB" w:rsidP="008933A9" w14:paraId="75D90BAC" w14:textId="77777777">
      <w:pPr>
        <w:pStyle w:val="BodyTextIndent"/>
        <w:ind w:left="480" w:firstLine="0"/>
        <w:rPr>
          <w:sz w:val="22"/>
        </w:rPr>
      </w:pPr>
      <w:r w:rsidRPr="00D52EDB">
        <w:rPr>
          <w:sz w:val="22"/>
        </w:rPr>
        <w:t>No payments or gifts to respondents are provided.</w:t>
      </w:r>
    </w:p>
    <w:p w:rsidR="008933A9" w:rsidRPr="00D52EDB" w:rsidP="008933A9" w14:paraId="22A1AFCF" w14:textId="77777777">
      <w:pPr>
        <w:pStyle w:val="BodyTextIndent"/>
        <w:ind w:left="480" w:firstLine="0"/>
        <w:rPr>
          <w:sz w:val="22"/>
        </w:rPr>
      </w:pPr>
    </w:p>
    <w:p w:rsidR="008933A9" w:rsidRPr="00D52EDB" w:rsidP="008933A9" w14:paraId="2FE26873" w14:textId="77777777">
      <w:pPr>
        <w:pStyle w:val="BodyTextIndent"/>
        <w:keepNext/>
        <w:ind w:left="480" w:hanging="480"/>
        <w:rPr>
          <w:sz w:val="22"/>
          <w:szCs w:val="22"/>
        </w:rPr>
      </w:pPr>
      <w:r w:rsidRPr="00D52EDB">
        <w:rPr>
          <w:b/>
          <w:bCs/>
          <w:sz w:val="22"/>
        </w:rPr>
        <w:t>10.</w:t>
      </w:r>
      <w:r w:rsidRPr="00D52EDB">
        <w:rPr>
          <w:b/>
          <w:bCs/>
          <w:sz w:val="22"/>
        </w:rPr>
        <w:tab/>
        <w:t>Describe any assurance of confidentiality provided to respondents</w:t>
      </w:r>
      <w:r w:rsidRPr="00D52EDB">
        <w:rPr>
          <w:sz w:val="22"/>
          <w:szCs w:val="22"/>
        </w:rPr>
        <w:t>. N/A. Information collected does not apply to individuals or any information covered by the Personal Identifiable information covered under the Privacy Act of 1974 (U.S.C. 552.a).</w:t>
      </w:r>
    </w:p>
    <w:p w:rsidR="008933A9" w:rsidRPr="00D52EDB" w:rsidP="008933A9" w14:paraId="1BCDCBDC" w14:textId="77777777">
      <w:pPr>
        <w:pStyle w:val="BodyTextIndent"/>
        <w:keepNext/>
        <w:ind w:left="480" w:hanging="480"/>
        <w:rPr>
          <w:sz w:val="22"/>
          <w:szCs w:val="22"/>
        </w:rPr>
      </w:pPr>
    </w:p>
    <w:p w:rsidR="008933A9" w:rsidRPr="00D52EDB" w:rsidP="008933A9" w14:paraId="411286B9" w14:textId="77777777">
      <w:pPr>
        <w:ind w:left="540" w:hanging="540"/>
        <w:rPr>
          <w:b/>
          <w:bCs/>
          <w:sz w:val="22"/>
          <w:szCs w:val="22"/>
        </w:rPr>
      </w:pPr>
      <w:r w:rsidRPr="00D52EDB">
        <w:rPr>
          <w:b/>
          <w:bCs/>
          <w:sz w:val="22"/>
        </w:rPr>
        <w:t>11.</w:t>
      </w:r>
      <w:r w:rsidRPr="00D52EDB">
        <w:rPr>
          <w:b/>
          <w:bCs/>
          <w:sz w:val="22"/>
        </w:rPr>
        <w:tab/>
        <w:t xml:space="preserve">Justify questions of a sensitive nature, such as sexual, religious beliefs and other matters that are commonly considered private. </w:t>
      </w:r>
      <w:r w:rsidRPr="00D52EDB">
        <w:rPr>
          <w:sz w:val="22"/>
        </w:rPr>
        <w:t xml:space="preserve"> N</w:t>
      </w:r>
      <w:r>
        <w:rPr>
          <w:sz w:val="22"/>
        </w:rPr>
        <w:t xml:space="preserve">ot </w:t>
      </w:r>
      <w:r w:rsidRPr="00D52EDB">
        <w:rPr>
          <w:sz w:val="22"/>
        </w:rPr>
        <w:t>A</w:t>
      </w:r>
      <w:r>
        <w:rPr>
          <w:sz w:val="22"/>
        </w:rPr>
        <w:t>pplicable</w:t>
      </w:r>
      <w:r w:rsidRPr="00D52EDB">
        <w:rPr>
          <w:sz w:val="22"/>
        </w:rPr>
        <w:t xml:space="preserve">. </w:t>
      </w:r>
    </w:p>
    <w:p w:rsidR="008933A9" w:rsidRPr="00D52EDB" w:rsidP="008933A9" w14:paraId="7EC72BD6" w14:textId="77777777">
      <w:pPr>
        <w:pStyle w:val="BodyTextIndent"/>
        <w:ind w:left="480" w:hanging="480"/>
        <w:rPr>
          <w:b/>
          <w:bCs/>
          <w:sz w:val="22"/>
        </w:rPr>
      </w:pPr>
    </w:p>
    <w:p w:rsidR="008933A9" w:rsidRPr="00D52EDB" w:rsidP="008933A9" w14:paraId="39E9BFA2" w14:textId="77777777">
      <w:pPr>
        <w:pStyle w:val="BodyTextIndent"/>
        <w:ind w:left="480" w:hanging="480"/>
        <w:rPr>
          <w:b/>
          <w:bCs/>
          <w:sz w:val="22"/>
        </w:rPr>
      </w:pPr>
      <w:r w:rsidRPr="00D52EDB">
        <w:rPr>
          <w:b/>
          <w:bCs/>
          <w:sz w:val="22"/>
        </w:rPr>
        <w:t>12.</w:t>
      </w:r>
      <w:r w:rsidRPr="00D52EDB">
        <w:rPr>
          <w:b/>
          <w:bCs/>
          <w:sz w:val="22"/>
        </w:rPr>
        <w:tab/>
        <w:t xml:space="preserve">Annual Reporting Burden </w:t>
      </w:r>
    </w:p>
    <w:p w:rsidR="008933A9" w:rsidRPr="00D52EDB" w:rsidP="008933A9" w14:paraId="57696C50" w14:textId="77777777">
      <w:pPr>
        <w:pStyle w:val="BodyTextIndent"/>
        <w:ind w:left="480" w:hanging="480"/>
        <w:rPr>
          <w:b/>
          <w:bCs/>
          <w:sz w:val="22"/>
        </w:rPr>
      </w:pPr>
    </w:p>
    <w:p w:rsidR="008933A9" w:rsidRPr="00D52EDB" w:rsidP="008933A9" w14:paraId="026D1754" w14:textId="77777777">
      <w:pPr>
        <w:pStyle w:val="BodyTextIndent"/>
        <w:ind w:left="480" w:hanging="480"/>
        <w:rPr>
          <w:b/>
          <w:bCs/>
          <w:sz w:val="22"/>
        </w:rPr>
      </w:pPr>
    </w:p>
    <w:tbl>
      <w:tblPr>
        <w:tblW w:w="0" w:type="auto"/>
        <w:tblLayout w:type="fixed"/>
        <w:tblCellMar>
          <w:left w:w="30" w:type="dxa"/>
          <w:right w:w="30" w:type="dxa"/>
        </w:tblCellMar>
        <w:tblLook w:val="0000"/>
      </w:tblPr>
      <w:tblGrid>
        <w:gridCol w:w="1718"/>
        <w:gridCol w:w="1167"/>
        <w:gridCol w:w="1073"/>
        <w:gridCol w:w="1166"/>
        <w:gridCol w:w="1025"/>
        <w:gridCol w:w="1166"/>
        <w:gridCol w:w="1246"/>
        <w:gridCol w:w="1246"/>
      </w:tblGrid>
      <w:tr w14:paraId="09885539" w14:textId="77777777" w:rsidTr="00DD4B7F">
        <w:tblPrEx>
          <w:tblW w:w="0" w:type="auto"/>
          <w:tblLayout w:type="fixed"/>
          <w:tblCellMar>
            <w:left w:w="30" w:type="dxa"/>
            <w:right w:w="30" w:type="dxa"/>
          </w:tblCellMar>
          <w:tblLook w:val="0000"/>
        </w:tblPrEx>
        <w:trPr>
          <w:trHeight w:val="679"/>
        </w:trPr>
        <w:tc>
          <w:tcPr>
            <w:tcW w:w="1718" w:type="dxa"/>
            <w:tcBorders>
              <w:top w:val="single" w:sz="6" w:space="0" w:color="auto"/>
              <w:left w:val="single" w:sz="6" w:space="0" w:color="auto"/>
              <w:bottom w:val="single" w:sz="6" w:space="0" w:color="auto"/>
              <w:right w:val="single" w:sz="6" w:space="0" w:color="auto"/>
            </w:tcBorders>
          </w:tcPr>
          <w:p w:rsidR="008933A9" w:rsidRPr="00D52EDB" w:rsidP="00DD4B7F" w14:paraId="2E2491F6" w14:textId="77777777">
            <w:pPr>
              <w:overflowPunct/>
              <w:textAlignment w:val="auto"/>
              <w:rPr>
                <w:color w:val="000000"/>
                <w:sz w:val="18"/>
                <w:szCs w:val="18"/>
              </w:rPr>
            </w:pPr>
            <w:r w:rsidRPr="00D52EDB">
              <w:rPr>
                <w:color w:val="000000"/>
                <w:sz w:val="18"/>
                <w:szCs w:val="18"/>
              </w:rPr>
              <w:t>Description</w:t>
            </w:r>
          </w:p>
        </w:tc>
        <w:tc>
          <w:tcPr>
            <w:tcW w:w="1167" w:type="dxa"/>
            <w:tcBorders>
              <w:top w:val="single" w:sz="6" w:space="0" w:color="auto"/>
              <w:left w:val="single" w:sz="6" w:space="0" w:color="auto"/>
              <w:bottom w:val="single" w:sz="6" w:space="0" w:color="auto"/>
              <w:right w:val="single" w:sz="6" w:space="0" w:color="auto"/>
            </w:tcBorders>
          </w:tcPr>
          <w:p w:rsidR="008933A9" w:rsidRPr="00D52EDB" w:rsidP="00DD4B7F" w14:paraId="4C0056CC" w14:textId="77777777">
            <w:pPr>
              <w:overflowPunct/>
              <w:jc w:val="center"/>
              <w:textAlignment w:val="auto"/>
              <w:rPr>
                <w:color w:val="000000"/>
                <w:sz w:val="18"/>
                <w:szCs w:val="18"/>
              </w:rPr>
            </w:pPr>
            <w:r w:rsidRPr="00D52EDB">
              <w:rPr>
                <w:color w:val="000000"/>
                <w:sz w:val="18"/>
                <w:szCs w:val="18"/>
              </w:rPr>
              <w:t>Number of Respondents</w:t>
            </w:r>
          </w:p>
        </w:tc>
        <w:tc>
          <w:tcPr>
            <w:tcW w:w="1073" w:type="dxa"/>
            <w:tcBorders>
              <w:top w:val="single" w:sz="6" w:space="0" w:color="auto"/>
              <w:left w:val="single" w:sz="6" w:space="0" w:color="auto"/>
              <w:bottom w:val="single" w:sz="6" w:space="0" w:color="auto"/>
              <w:right w:val="single" w:sz="6" w:space="0" w:color="auto"/>
            </w:tcBorders>
          </w:tcPr>
          <w:p w:rsidR="008933A9" w:rsidRPr="00D52EDB" w:rsidP="00DD4B7F" w14:paraId="440EA514" w14:textId="77777777">
            <w:pPr>
              <w:overflowPunct/>
              <w:jc w:val="center"/>
              <w:textAlignment w:val="auto"/>
              <w:rPr>
                <w:color w:val="000000"/>
                <w:sz w:val="18"/>
                <w:szCs w:val="18"/>
              </w:rPr>
            </w:pPr>
            <w:r w:rsidRPr="00D52EDB">
              <w:rPr>
                <w:color w:val="000000"/>
                <w:sz w:val="18"/>
                <w:szCs w:val="18"/>
              </w:rPr>
              <w:t>Responses per Respondent</w:t>
            </w: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00DFC95C" w14:textId="77777777">
            <w:pPr>
              <w:overflowPunct/>
              <w:jc w:val="center"/>
              <w:textAlignment w:val="auto"/>
              <w:rPr>
                <w:color w:val="000000"/>
                <w:sz w:val="18"/>
                <w:szCs w:val="18"/>
              </w:rPr>
            </w:pPr>
            <w:r w:rsidRPr="00D52EDB">
              <w:rPr>
                <w:color w:val="000000"/>
                <w:sz w:val="18"/>
                <w:szCs w:val="18"/>
              </w:rPr>
              <w:t>Total Annual Responses</w:t>
            </w:r>
          </w:p>
        </w:tc>
        <w:tc>
          <w:tcPr>
            <w:tcW w:w="1025" w:type="dxa"/>
            <w:tcBorders>
              <w:top w:val="single" w:sz="6" w:space="0" w:color="auto"/>
              <w:left w:val="single" w:sz="6" w:space="0" w:color="auto"/>
              <w:bottom w:val="single" w:sz="6" w:space="0" w:color="auto"/>
              <w:right w:val="single" w:sz="6" w:space="0" w:color="auto"/>
            </w:tcBorders>
          </w:tcPr>
          <w:p w:rsidR="008933A9" w:rsidRPr="00D52EDB" w:rsidP="00DD4B7F" w14:paraId="243C80C7" w14:textId="77777777">
            <w:pPr>
              <w:overflowPunct/>
              <w:jc w:val="center"/>
              <w:textAlignment w:val="auto"/>
              <w:rPr>
                <w:color w:val="000000"/>
                <w:sz w:val="18"/>
                <w:szCs w:val="18"/>
              </w:rPr>
            </w:pPr>
            <w:r w:rsidRPr="00D52EDB">
              <w:rPr>
                <w:color w:val="000000"/>
                <w:sz w:val="18"/>
                <w:szCs w:val="18"/>
              </w:rPr>
              <w:t>Hours per Response</w:t>
            </w: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4025082B" w14:textId="77777777">
            <w:pPr>
              <w:overflowPunct/>
              <w:jc w:val="center"/>
              <w:textAlignment w:val="auto"/>
              <w:rPr>
                <w:color w:val="000000"/>
                <w:sz w:val="18"/>
                <w:szCs w:val="18"/>
              </w:rPr>
            </w:pPr>
            <w:r w:rsidRPr="00D52EDB">
              <w:rPr>
                <w:color w:val="000000"/>
                <w:sz w:val="18"/>
                <w:szCs w:val="18"/>
              </w:rPr>
              <w:t>Total Hours</w:t>
            </w:r>
          </w:p>
        </w:tc>
        <w:tc>
          <w:tcPr>
            <w:tcW w:w="1246" w:type="dxa"/>
            <w:tcBorders>
              <w:top w:val="single" w:sz="6" w:space="0" w:color="auto"/>
              <w:left w:val="single" w:sz="6" w:space="0" w:color="auto"/>
              <w:bottom w:val="single" w:sz="6" w:space="0" w:color="auto"/>
              <w:right w:val="single" w:sz="6" w:space="0" w:color="auto"/>
            </w:tcBorders>
          </w:tcPr>
          <w:p w:rsidR="008933A9" w:rsidRPr="00D52EDB" w:rsidP="00DD4B7F" w14:paraId="67B72F99" w14:textId="77777777">
            <w:pPr>
              <w:overflowPunct/>
              <w:jc w:val="center"/>
              <w:textAlignment w:val="auto"/>
              <w:rPr>
                <w:color w:val="000000"/>
                <w:sz w:val="18"/>
                <w:szCs w:val="18"/>
              </w:rPr>
            </w:pPr>
            <w:r>
              <w:rPr>
                <w:color w:val="000000"/>
                <w:sz w:val="18"/>
                <w:szCs w:val="18"/>
              </w:rPr>
              <w:t>Hourly Costs</w:t>
            </w:r>
          </w:p>
        </w:tc>
        <w:tc>
          <w:tcPr>
            <w:tcW w:w="1246" w:type="dxa"/>
            <w:tcBorders>
              <w:top w:val="single" w:sz="6" w:space="0" w:color="auto"/>
              <w:left w:val="single" w:sz="6" w:space="0" w:color="auto"/>
              <w:bottom w:val="single" w:sz="6" w:space="0" w:color="auto"/>
              <w:right w:val="single" w:sz="6" w:space="0" w:color="auto"/>
            </w:tcBorders>
          </w:tcPr>
          <w:p w:rsidR="008933A9" w:rsidP="00DD4B7F" w14:paraId="79A9FE29" w14:textId="77777777">
            <w:pPr>
              <w:overflowPunct/>
              <w:jc w:val="center"/>
              <w:textAlignment w:val="auto"/>
              <w:rPr>
                <w:color w:val="000000"/>
                <w:sz w:val="18"/>
                <w:szCs w:val="18"/>
              </w:rPr>
            </w:pPr>
            <w:r>
              <w:rPr>
                <w:color w:val="000000"/>
                <w:sz w:val="18"/>
                <w:szCs w:val="18"/>
              </w:rPr>
              <w:t>Total Annual Costs</w:t>
            </w:r>
          </w:p>
        </w:tc>
      </w:tr>
      <w:tr w14:paraId="6158F6A4" w14:textId="77777777" w:rsidTr="00DD4B7F">
        <w:tblPrEx>
          <w:tblW w:w="0" w:type="auto"/>
          <w:tblLayout w:type="fixed"/>
          <w:tblCellMar>
            <w:left w:w="30" w:type="dxa"/>
            <w:right w:w="30" w:type="dxa"/>
          </w:tblCellMar>
          <w:tblLook w:val="0000"/>
        </w:tblPrEx>
        <w:trPr>
          <w:trHeight w:val="581"/>
        </w:trPr>
        <w:tc>
          <w:tcPr>
            <w:tcW w:w="1718" w:type="dxa"/>
            <w:tcBorders>
              <w:top w:val="single" w:sz="6" w:space="0" w:color="auto"/>
              <w:left w:val="single" w:sz="6" w:space="0" w:color="auto"/>
              <w:bottom w:val="single" w:sz="6" w:space="0" w:color="auto"/>
              <w:right w:val="single" w:sz="6" w:space="0" w:color="auto"/>
            </w:tcBorders>
          </w:tcPr>
          <w:p w:rsidR="008933A9" w:rsidRPr="00D52EDB" w:rsidP="00DD4B7F" w14:paraId="4E3A1597" w14:textId="77777777">
            <w:pPr>
              <w:overflowPunct/>
              <w:textAlignment w:val="auto"/>
              <w:rPr>
                <w:color w:val="000000"/>
                <w:sz w:val="18"/>
                <w:szCs w:val="18"/>
              </w:rPr>
            </w:pPr>
            <w:r w:rsidRPr="00D52EDB">
              <w:rPr>
                <w:color w:val="000000"/>
                <w:sz w:val="18"/>
                <w:szCs w:val="18"/>
              </w:rPr>
              <w:t>Financial Form</w:t>
            </w:r>
          </w:p>
        </w:tc>
        <w:tc>
          <w:tcPr>
            <w:tcW w:w="1167" w:type="dxa"/>
            <w:tcBorders>
              <w:top w:val="single" w:sz="6" w:space="0" w:color="auto"/>
              <w:left w:val="single" w:sz="6" w:space="0" w:color="auto"/>
              <w:bottom w:val="single" w:sz="6" w:space="0" w:color="auto"/>
              <w:right w:val="single" w:sz="6" w:space="0" w:color="auto"/>
            </w:tcBorders>
          </w:tcPr>
          <w:p w:rsidR="008933A9" w:rsidRPr="00D52EDB" w:rsidP="00DD4B7F" w14:paraId="255B304D" w14:textId="77777777">
            <w:pPr>
              <w:spacing w:line="259" w:lineRule="auto"/>
              <w:jc w:val="right"/>
              <w:rPr>
                <w:sz w:val="18"/>
                <w:szCs w:val="18"/>
              </w:rPr>
            </w:pPr>
            <w:r w:rsidRPr="49FCA636">
              <w:rPr>
                <w:color w:val="000000" w:themeColor="text1"/>
                <w:sz w:val="18"/>
                <w:szCs w:val="18"/>
              </w:rPr>
              <w:t>700</w:t>
            </w:r>
          </w:p>
        </w:tc>
        <w:tc>
          <w:tcPr>
            <w:tcW w:w="1073" w:type="dxa"/>
            <w:tcBorders>
              <w:top w:val="single" w:sz="6" w:space="0" w:color="auto"/>
              <w:left w:val="single" w:sz="6" w:space="0" w:color="auto"/>
              <w:bottom w:val="single" w:sz="6" w:space="0" w:color="auto"/>
              <w:right w:val="single" w:sz="6" w:space="0" w:color="auto"/>
            </w:tcBorders>
          </w:tcPr>
          <w:p w:rsidR="008933A9" w:rsidRPr="00D52EDB" w:rsidP="00DD4B7F" w14:paraId="3658C9C6" w14:textId="77777777">
            <w:pPr>
              <w:overflowPunct/>
              <w:jc w:val="right"/>
              <w:textAlignment w:val="auto"/>
              <w:rPr>
                <w:color w:val="000000"/>
                <w:sz w:val="18"/>
                <w:szCs w:val="18"/>
              </w:rPr>
            </w:pPr>
            <w:r w:rsidRPr="00D52EDB">
              <w:rPr>
                <w:color w:val="000000"/>
                <w:sz w:val="18"/>
                <w:szCs w:val="18"/>
              </w:rPr>
              <w:t>12</w:t>
            </w: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07417591" w14:textId="77777777">
            <w:pPr>
              <w:spacing w:line="259" w:lineRule="auto"/>
              <w:jc w:val="right"/>
              <w:rPr>
                <w:sz w:val="18"/>
                <w:szCs w:val="18"/>
              </w:rPr>
            </w:pPr>
            <w:r w:rsidRPr="49FCA636">
              <w:rPr>
                <w:color w:val="000000" w:themeColor="text1"/>
                <w:sz w:val="18"/>
                <w:szCs w:val="18"/>
              </w:rPr>
              <w:t>8,400</w:t>
            </w:r>
          </w:p>
        </w:tc>
        <w:tc>
          <w:tcPr>
            <w:tcW w:w="1025" w:type="dxa"/>
            <w:tcBorders>
              <w:top w:val="single" w:sz="6" w:space="0" w:color="auto"/>
              <w:left w:val="single" w:sz="6" w:space="0" w:color="auto"/>
              <w:bottom w:val="single" w:sz="6" w:space="0" w:color="auto"/>
              <w:right w:val="single" w:sz="6" w:space="0" w:color="auto"/>
            </w:tcBorders>
          </w:tcPr>
          <w:p w:rsidR="008933A9" w:rsidRPr="00D52EDB" w:rsidP="00DD4B7F" w14:paraId="7547FDD6" w14:textId="77777777">
            <w:pPr>
              <w:spacing w:line="259" w:lineRule="auto"/>
              <w:jc w:val="right"/>
              <w:rPr>
                <w:sz w:val="18"/>
                <w:szCs w:val="18"/>
              </w:rPr>
            </w:pPr>
            <w:r w:rsidRPr="49FCA636">
              <w:rPr>
                <w:color w:val="000000" w:themeColor="text1"/>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65E1E37D" w14:textId="77777777">
            <w:pPr>
              <w:spacing w:line="259" w:lineRule="auto"/>
              <w:jc w:val="right"/>
              <w:rPr>
                <w:sz w:val="18"/>
                <w:szCs w:val="18"/>
              </w:rPr>
            </w:pPr>
            <w:r w:rsidRPr="49FCA636">
              <w:rPr>
                <w:color w:val="000000" w:themeColor="text1"/>
                <w:sz w:val="18"/>
                <w:szCs w:val="18"/>
              </w:rPr>
              <w:t>8,400</w:t>
            </w:r>
          </w:p>
        </w:tc>
        <w:tc>
          <w:tcPr>
            <w:tcW w:w="1246" w:type="dxa"/>
            <w:tcBorders>
              <w:top w:val="single" w:sz="6" w:space="0" w:color="auto"/>
              <w:left w:val="single" w:sz="6" w:space="0" w:color="auto"/>
              <w:bottom w:val="single" w:sz="6" w:space="0" w:color="auto"/>
              <w:right w:val="single" w:sz="6" w:space="0" w:color="auto"/>
            </w:tcBorders>
          </w:tcPr>
          <w:p w:rsidR="008933A9" w:rsidRPr="00D52EDB" w:rsidP="00DD4B7F" w14:paraId="25E13037" w14:textId="77777777">
            <w:pPr>
              <w:overflowPunct/>
              <w:jc w:val="right"/>
              <w:textAlignment w:val="auto"/>
              <w:rPr>
                <w:color w:val="000000"/>
                <w:sz w:val="18"/>
                <w:szCs w:val="18"/>
              </w:rPr>
            </w:pPr>
            <w:r>
              <w:rPr>
                <w:color w:val="000000"/>
                <w:sz w:val="18"/>
                <w:szCs w:val="18"/>
              </w:rPr>
              <w:t>$34</w:t>
            </w:r>
          </w:p>
        </w:tc>
        <w:tc>
          <w:tcPr>
            <w:tcW w:w="1246" w:type="dxa"/>
            <w:tcBorders>
              <w:top w:val="single" w:sz="6" w:space="0" w:color="auto"/>
              <w:left w:val="single" w:sz="6" w:space="0" w:color="auto"/>
              <w:bottom w:val="single" w:sz="6" w:space="0" w:color="auto"/>
              <w:right w:val="single" w:sz="6" w:space="0" w:color="auto"/>
            </w:tcBorders>
          </w:tcPr>
          <w:p w:rsidR="008933A9" w:rsidRPr="00D52EDB" w:rsidP="00DD4B7F" w14:paraId="4B0386D8" w14:textId="77777777">
            <w:pPr>
              <w:overflowPunct/>
              <w:jc w:val="right"/>
              <w:textAlignment w:val="auto"/>
              <w:rPr>
                <w:color w:val="000000"/>
                <w:sz w:val="18"/>
                <w:szCs w:val="18"/>
              </w:rPr>
            </w:pPr>
            <w:r>
              <w:rPr>
                <w:color w:val="000000"/>
                <w:sz w:val="18"/>
                <w:szCs w:val="18"/>
              </w:rPr>
              <w:t>$285,600</w:t>
            </w:r>
          </w:p>
        </w:tc>
      </w:tr>
      <w:tr w14:paraId="4016D0F7" w14:textId="77777777" w:rsidTr="00DD4B7F">
        <w:tblPrEx>
          <w:tblW w:w="0" w:type="auto"/>
          <w:tblLayout w:type="fixed"/>
          <w:tblCellMar>
            <w:left w:w="30" w:type="dxa"/>
            <w:right w:w="30" w:type="dxa"/>
          </w:tblCellMar>
          <w:tblLook w:val="0000"/>
        </w:tblPrEx>
        <w:trPr>
          <w:trHeight w:val="247"/>
        </w:trPr>
        <w:tc>
          <w:tcPr>
            <w:tcW w:w="1718" w:type="dxa"/>
            <w:tcBorders>
              <w:top w:val="single" w:sz="6" w:space="0" w:color="auto"/>
              <w:left w:val="single" w:sz="6" w:space="0" w:color="auto"/>
              <w:bottom w:val="single" w:sz="6" w:space="0" w:color="auto"/>
              <w:right w:val="single" w:sz="6" w:space="0" w:color="auto"/>
            </w:tcBorders>
          </w:tcPr>
          <w:p w:rsidR="008933A9" w:rsidRPr="00D52EDB" w:rsidP="00DD4B7F" w14:paraId="2CFADA2E" w14:textId="77777777">
            <w:pPr>
              <w:overflowPunct/>
              <w:textAlignment w:val="auto"/>
              <w:rPr>
                <w:b/>
                <w:bCs/>
                <w:color w:val="000000"/>
                <w:sz w:val="18"/>
                <w:szCs w:val="18"/>
              </w:rPr>
            </w:pPr>
            <w:r w:rsidRPr="00D52EDB">
              <w:rPr>
                <w:b/>
                <w:bCs/>
                <w:color w:val="000000"/>
                <w:sz w:val="18"/>
                <w:szCs w:val="18"/>
              </w:rPr>
              <w:t>Totals</w:t>
            </w:r>
          </w:p>
        </w:tc>
        <w:tc>
          <w:tcPr>
            <w:tcW w:w="1167" w:type="dxa"/>
            <w:tcBorders>
              <w:top w:val="single" w:sz="6" w:space="0" w:color="auto"/>
              <w:left w:val="single" w:sz="6" w:space="0" w:color="auto"/>
              <w:bottom w:val="single" w:sz="6" w:space="0" w:color="auto"/>
              <w:right w:val="single" w:sz="6" w:space="0" w:color="auto"/>
            </w:tcBorders>
          </w:tcPr>
          <w:p w:rsidR="008933A9" w:rsidRPr="00D52EDB" w:rsidP="00DD4B7F" w14:paraId="2E90E011" w14:textId="77777777">
            <w:pPr>
              <w:spacing w:line="259" w:lineRule="auto"/>
              <w:jc w:val="right"/>
              <w:rPr>
                <w:sz w:val="18"/>
                <w:szCs w:val="18"/>
              </w:rPr>
            </w:pPr>
            <w:r w:rsidRPr="49FCA636">
              <w:rPr>
                <w:b/>
                <w:bCs/>
                <w:color w:val="000000" w:themeColor="text1"/>
                <w:sz w:val="18"/>
                <w:szCs w:val="18"/>
              </w:rPr>
              <w:t>700</w:t>
            </w:r>
          </w:p>
        </w:tc>
        <w:tc>
          <w:tcPr>
            <w:tcW w:w="1073" w:type="dxa"/>
            <w:tcBorders>
              <w:top w:val="single" w:sz="6" w:space="0" w:color="auto"/>
              <w:left w:val="single" w:sz="6" w:space="0" w:color="auto"/>
              <w:bottom w:val="single" w:sz="6" w:space="0" w:color="auto"/>
              <w:right w:val="single" w:sz="6" w:space="0" w:color="auto"/>
            </w:tcBorders>
          </w:tcPr>
          <w:p w:rsidR="008933A9" w:rsidRPr="00D52EDB" w:rsidP="00DD4B7F" w14:paraId="06F0BF5A" w14:textId="77777777">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5CE984A2" w14:textId="77777777">
            <w:pPr>
              <w:spacing w:line="259" w:lineRule="auto"/>
              <w:jc w:val="right"/>
              <w:rPr>
                <w:sz w:val="18"/>
                <w:szCs w:val="18"/>
              </w:rPr>
            </w:pPr>
            <w:r w:rsidRPr="49FCA636">
              <w:rPr>
                <w:b/>
                <w:bCs/>
                <w:color w:val="000000" w:themeColor="text1"/>
                <w:sz w:val="18"/>
                <w:szCs w:val="18"/>
              </w:rPr>
              <w:t>8,400</w:t>
            </w:r>
          </w:p>
        </w:tc>
        <w:tc>
          <w:tcPr>
            <w:tcW w:w="1025" w:type="dxa"/>
            <w:tcBorders>
              <w:top w:val="single" w:sz="6" w:space="0" w:color="auto"/>
              <w:left w:val="single" w:sz="6" w:space="0" w:color="auto"/>
              <w:bottom w:val="single" w:sz="6" w:space="0" w:color="auto"/>
              <w:right w:val="single" w:sz="6" w:space="0" w:color="auto"/>
            </w:tcBorders>
          </w:tcPr>
          <w:p w:rsidR="008933A9" w:rsidRPr="00D52EDB" w:rsidP="00DD4B7F" w14:paraId="059229C0" w14:textId="77777777">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8933A9" w:rsidRPr="00D52EDB" w:rsidP="00DD4B7F" w14:paraId="535857A2" w14:textId="77777777">
            <w:pPr>
              <w:spacing w:line="259" w:lineRule="auto"/>
              <w:jc w:val="right"/>
              <w:rPr>
                <w:sz w:val="18"/>
                <w:szCs w:val="18"/>
              </w:rPr>
            </w:pPr>
            <w:r w:rsidRPr="49FCA636">
              <w:rPr>
                <w:b/>
                <w:bCs/>
                <w:color w:val="000000" w:themeColor="text1"/>
                <w:sz w:val="18"/>
                <w:szCs w:val="18"/>
              </w:rPr>
              <w:t>8,400</w:t>
            </w:r>
          </w:p>
        </w:tc>
        <w:tc>
          <w:tcPr>
            <w:tcW w:w="1246" w:type="dxa"/>
            <w:tcBorders>
              <w:top w:val="single" w:sz="6" w:space="0" w:color="auto"/>
              <w:left w:val="single" w:sz="6" w:space="0" w:color="auto"/>
              <w:bottom w:val="single" w:sz="6" w:space="0" w:color="auto"/>
              <w:right w:val="single" w:sz="6" w:space="0" w:color="auto"/>
            </w:tcBorders>
          </w:tcPr>
          <w:p w:rsidR="008933A9" w:rsidRPr="00D52EDB" w:rsidP="00DD4B7F" w14:paraId="7F26B41F" w14:textId="77777777">
            <w:pPr>
              <w:overflowPunct/>
              <w:jc w:val="right"/>
              <w:textAlignment w:val="auto"/>
              <w:rPr>
                <w:color w:val="000000"/>
              </w:rPr>
            </w:pPr>
          </w:p>
        </w:tc>
        <w:tc>
          <w:tcPr>
            <w:tcW w:w="1246" w:type="dxa"/>
            <w:tcBorders>
              <w:top w:val="single" w:sz="6" w:space="0" w:color="auto"/>
              <w:left w:val="single" w:sz="6" w:space="0" w:color="auto"/>
              <w:bottom w:val="single" w:sz="6" w:space="0" w:color="auto"/>
              <w:right w:val="single" w:sz="6" w:space="0" w:color="auto"/>
            </w:tcBorders>
          </w:tcPr>
          <w:p w:rsidR="008933A9" w:rsidRPr="00D52EDB" w:rsidP="00DD4B7F" w14:paraId="0AD8F40A" w14:textId="77777777">
            <w:pPr>
              <w:overflowPunct/>
              <w:jc w:val="right"/>
              <w:textAlignment w:val="auto"/>
              <w:rPr>
                <w:color w:val="000000"/>
              </w:rPr>
            </w:pPr>
            <w:r>
              <w:rPr>
                <w:color w:val="000000"/>
              </w:rPr>
              <w:t>$</w:t>
            </w:r>
            <w:r>
              <w:rPr>
                <w:color w:val="000000"/>
                <w:sz w:val="18"/>
                <w:szCs w:val="18"/>
              </w:rPr>
              <w:t>285,600</w:t>
            </w:r>
          </w:p>
        </w:tc>
      </w:tr>
    </w:tbl>
    <w:p w:rsidR="008933A9" w:rsidRPr="00D52EDB" w:rsidP="008933A9" w14:paraId="465B6973" w14:textId="77777777">
      <w:pPr>
        <w:pStyle w:val="BodyTextIndent"/>
        <w:ind w:left="480" w:hanging="480"/>
        <w:rPr>
          <w:b/>
          <w:bCs/>
          <w:sz w:val="22"/>
        </w:rPr>
      </w:pPr>
    </w:p>
    <w:tbl>
      <w:tblPr>
        <w:tblW w:w="10908" w:type="dxa"/>
        <w:tblInd w:w="108" w:type="dxa"/>
        <w:tblLook w:val="04A0"/>
      </w:tblPr>
      <w:tblGrid>
        <w:gridCol w:w="10908"/>
      </w:tblGrid>
      <w:tr w14:paraId="7C4F9E84" w14:textId="77777777" w:rsidTr="00BB5EA1">
        <w:tblPrEx>
          <w:tblW w:w="10908" w:type="dxa"/>
          <w:tblInd w:w="108" w:type="dxa"/>
          <w:tblLook w:val="04A0"/>
        </w:tblPrEx>
        <w:trPr>
          <w:trHeight w:val="702"/>
        </w:trPr>
        <w:tc>
          <w:tcPr>
            <w:tcW w:w="10908" w:type="dxa"/>
            <w:tcBorders>
              <w:top w:val="nil"/>
              <w:left w:val="nil"/>
              <w:bottom w:val="nil"/>
              <w:right w:val="nil"/>
            </w:tcBorders>
            <w:shd w:val="clear" w:color="auto" w:fill="auto"/>
          </w:tcPr>
          <w:p w:rsidR="008933A9" w:rsidRPr="00D52EDB" w:rsidP="00DD4B7F" w14:paraId="3BE932D3" w14:textId="77777777">
            <w:pPr>
              <w:overflowPunct/>
              <w:autoSpaceDE/>
              <w:autoSpaceDN/>
              <w:adjustRightInd/>
              <w:textAlignment w:val="auto"/>
              <w:rPr>
                <w:sz w:val="18"/>
                <w:szCs w:val="18"/>
              </w:rPr>
            </w:pPr>
          </w:p>
        </w:tc>
      </w:tr>
      <w:tr w14:paraId="5879A54E" w14:textId="77777777" w:rsidTr="00DD4B7F">
        <w:tblPrEx>
          <w:tblW w:w="10908" w:type="dxa"/>
          <w:tblInd w:w="108" w:type="dxa"/>
          <w:tblLook w:val="04A0"/>
        </w:tblPrEx>
        <w:trPr>
          <w:trHeight w:val="600"/>
        </w:trPr>
        <w:tc>
          <w:tcPr>
            <w:tcW w:w="10908" w:type="dxa"/>
            <w:tcBorders>
              <w:top w:val="nil"/>
              <w:left w:val="nil"/>
              <w:bottom w:val="nil"/>
              <w:right w:val="nil"/>
            </w:tcBorders>
            <w:shd w:val="clear" w:color="auto" w:fill="auto"/>
            <w:vAlign w:val="bottom"/>
            <w:hideMark/>
          </w:tcPr>
          <w:p w:rsidR="008933A9" w:rsidRPr="001B01CC" w:rsidP="00DD4B7F" w14:paraId="1581344D" w14:textId="77777777">
            <w:pPr>
              <w:keepLines/>
              <w:tabs>
                <w:tab w:val="left" w:pos="2520"/>
                <w:tab w:val="right" w:pos="3360"/>
                <w:tab w:val="right" w:pos="4560"/>
                <w:tab w:val="right" w:pos="5760"/>
                <w:tab w:val="right" w:pos="6960"/>
                <w:tab w:val="right" w:pos="8040"/>
                <w:tab w:val="right" w:pos="9240"/>
              </w:tabs>
              <w:suppressAutoHyphens/>
              <w:spacing w:before="120"/>
              <w:rPr>
                <w:sz w:val="22"/>
                <w:szCs w:val="22"/>
              </w:rPr>
            </w:pPr>
            <w:r w:rsidRPr="00D52EDB">
              <w:rPr>
                <w:b/>
                <w:bCs/>
                <w:sz w:val="24"/>
                <w:szCs w:val="24"/>
              </w:rPr>
              <w:t xml:space="preserve">Estimated annual cost.  </w:t>
            </w:r>
            <w:r w:rsidRPr="001B01CC">
              <w:rPr>
                <w:sz w:val="22"/>
                <w:szCs w:val="22"/>
              </w:rPr>
              <w:t>Estimated hourly cost for response assuming a GS-12, Step 1 ($</w:t>
            </w:r>
            <w:r>
              <w:rPr>
                <w:sz w:val="22"/>
                <w:szCs w:val="22"/>
              </w:rPr>
              <w:t>71,099</w:t>
            </w:r>
            <w:r w:rsidRPr="001B01CC">
              <w:rPr>
                <w:sz w:val="22"/>
                <w:szCs w:val="22"/>
              </w:rPr>
              <w:t>), Analyst or Manager, hourly rate is $</w:t>
            </w:r>
            <w:r>
              <w:rPr>
                <w:sz w:val="22"/>
                <w:szCs w:val="22"/>
              </w:rPr>
              <w:t>34.07</w:t>
            </w:r>
            <w:r w:rsidRPr="001B01CC">
              <w:rPr>
                <w:sz w:val="22"/>
                <w:szCs w:val="22"/>
              </w:rPr>
              <w:t xml:space="preserve"> or appr</w:t>
            </w:r>
            <w:r>
              <w:rPr>
                <w:sz w:val="22"/>
                <w:szCs w:val="22"/>
              </w:rPr>
              <w:t xml:space="preserve">oximately </w:t>
            </w:r>
            <w:r w:rsidRPr="001B01CC">
              <w:rPr>
                <w:sz w:val="22"/>
                <w:szCs w:val="22"/>
              </w:rPr>
              <w:t>$3</w:t>
            </w:r>
            <w:r>
              <w:rPr>
                <w:sz w:val="22"/>
                <w:szCs w:val="22"/>
              </w:rPr>
              <w:t>4</w:t>
            </w:r>
            <w:r w:rsidRPr="001B01CC">
              <w:rPr>
                <w:sz w:val="22"/>
                <w:szCs w:val="22"/>
              </w:rPr>
              <w:t xml:space="preserve"> per hour.  8,400 hours times average hourly costs of $3</w:t>
            </w:r>
            <w:r>
              <w:rPr>
                <w:sz w:val="22"/>
                <w:szCs w:val="22"/>
              </w:rPr>
              <w:t>4</w:t>
            </w:r>
            <w:r w:rsidRPr="001B01CC">
              <w:rPr>
                <w:sz w:val="22"/>
                <w:szCs w:val="22"/>
              </w:rPr>
              <w:t xml:space="preserve"> = $</w:t>
            </w:r>
            <w:r>
              <w:rPr>
                <w:sz w:val="22"/>
                <w:szCs w:val="22"/>
              </w:rPr>
              <w:t>285,600</w:t>
            </w:r>
            <w:r w:rsidRPr="001B01CC">
              <w:rPr>
                <w:sz w:val="22"/>
                <w:szCs w:val="22"/>
              </w:rPr>
              <w:t xml:space="preserve">.  </w:t>
            </w:r>
          </w:p>
          <w:p w:rsidR="008933A9" w:rsidRPr="00D52EDB" w:rsidP="00DD4B7F" w14:paraId="18C03BAD" w14:textId="77777777">
            <w:pPr>
              <w:keepLines/>
              <w:tabs>
                <w:tab w:val="left" w:pos="2520"/>
                <w:tab w:val="right" w:pos="3360"/>
                <w:tab w:val="right" w:pos="4560"/>
                <w:tab w:val="right" w:pos="5760"/>
                <w:tab w:val="right" w:pos="6960"/>
                <w:tab w:val="right" w:pos="8040"/>
                <w:tab w:val="right" w:pos="9240"/>
              </w:tabs>
              <w:suppressAutoHyphens/>
              <w:spacing w:before="120"/>
              <w:rPr>
                <w:sz w:val="22"/>
                <w:szCs w:val="22"/>
              </w:rPr>
            </w:pPr>
            <w:r w:rsidRPr="49FCA636">
              <w:rPr>
                <w:sz w:val="22"/>
                <w:szCs w:val="22"/>
              </w:rPr>
              <w:t xml:space="preserve">700 </w:t>
            </w:r>
            <w:r w:rsidRPr="49FCA636">
              <w:rPr>
                <w:sz w:val="22"/>
                <w:szCs w:val="22"/>
              </w:rPr>
              <w:t>PHAs  x</w:t>
            </w:r>
            <w:r w:rsidRPr="49FCA636">
              <w:rPr>
                <w:sz w:val="22"/>
                <w:szCs w:val="22"/>
              </w:rPr>
              <w:t xml:space="preserve"> $3</w:t>
            </w:r>
            <w:r>
              <w:rPr>
                <w:sz w:val="22"/>
                <w:szCs w:val="22"/>
              </w:rPr>
              <w:t>4</w:t>
            </w:r>
            <w:r w:rsidRPr="49FCA636">
              <w:rPr>
                <w:sz w:val="22"/>
                <w:szCs w:val="22"/>
              </w:rPr>
              <w:t xml:space="preserve"> per hour for PHA staff members inputting information</w:t>
            </w:r>
          </w:p>
          <w:p w:rsidR="008933A9" w:rsidRPr="00D52EDB" w:rsidP="00DD4B7F" w14:paraId="21BE1D30" w14:textId="77777777">
            <w:pPr>
              <w:tabs>
                <w:tab w:val="left" w:pos="-720"/>
                <w:tab w:val="left" w:pos="0"/>
                <w:tab w:val="num" w:pos="480"/>
                <w:tab w:val="left" w:pos="720"/>
              </w:tabs>
              <w:suppressAutoHyphens/>
              <w:spacing w:after="120"/>
              <w:ind w:left="480" w:hanging="480"/>
              <w:rPr>
                <w:b/>
                <w:bCs/>
                <w:sz w:val="22"/>
              </w:rPr>
            </w:pPr>
            <w:r w:rsidRPr="00D52EDB">
              <w:rPr>
                <w:b/>
                <w:bCs/>
                <w:sz w:val="22"/>
              </w:rPr>
              <w:t xml:space="preserve">     </w:t>
            </w:r>
          </w:p>
          <w:p w:rsidR="008933A9" w:rsidRPr="00D52EDB" w:rsidP="00DD4B7F" w14:paraId="15727CE7" w14:textId="77777777">
            <w:pPr>
              <w:tabs>
                <w:tab w:val="left" w:pos="480"/>
              </w:tabs>
              <w:ind w:left="480" w:hanging="480"/>
              <w:rPr>
                <w:b/>
                <w:bCs/>
                <w:sz w:val="22"/>
              </w:rPr>
            </w:pPr>
            <w:r w:rsidRPr="00D52EDB">
              <w:rPr>
                <w:b/>
                <w:bCs/>
                <w:sz w:val="22"/>
              </w:rPr>
              <w:t>13.</w:t>
            </w:r>
            <w:r w:rsidRPr="00D52EDB">
              <w:rPr>
                <w:b/>
                <w:bCs/>
                <w:sz w:val="22"/>
              </w:rPr>
              <w:tab/>
              <w:t xml:space="preserve">Additional cost to respondents.  </w:t>
            </w:r>
            <w:r w:rsidRPr="00D52EDB">
              <w:rPr>
                <w:bCs/>
                <w:sz w:val="22"/>
              </w:rPr>
              <w:t>N</w:t>
            </w:r>
            <w:r w:rsidRPr="00D52EDB">
              <w:rPr>
                <w:sz w:val="22"/>
              </w:rPr>
              <w:t>one</w:t>
            </w:r>
          </w:p>
          <w:p w:rsidR="008933A9" w:rsidRPr="00D52EDB" w:rsidP="00DD4B7F" w14:paraId="642E61D0" w14:textId="77777777">
            <w:pPr>
              <w:tabs>
                <w:tab w:val="left" w:pos="-720"/>
                <w:tab w:val="left" w:pos="0"/>
                <w:tab w:val="num" w:pos="480"/>
                <w:tab w:val="left" w:pos="720"/>
              </w:tabs>
              <w:suppressAutoHyphens/>
              <w:spacing w:after="120"/>
              <w:ind w:left="480" w:hanging="480"/>
              <w:rPr>
                <w:bCs/>
                <w:sz w:val="22"/>
              </w:rPr>
            </w:pPr>
          </w:p>
          <w:p w:rsidR="008933A9" w:rsidRPr="00D52EDB" w:rsidP="00DD4B7F" w14:paraId="626B55BB" w14:textId="77777777">
            <w:pPr>
              <w:tabs>
                <w:tab w:val="left" w:pos="-720"/>
                <w:tab w:val="left" w:pos="480"/>
              </w:tabs>
              <w:suppressAutoHyphens/>
              <w:ind w:left="480" w:hanging="480"/>
              <w:rPr>
                <w:b/>
                <w:sz w:val="22"/>
              </w:rPr>
            </w:pPr>
            <w:r w:rsidRPr="00D52EDB">
              <w:rPr>
                <w:b/>
                <w:sz w:val="22"/>
              </w:rPr>
              <w:t>14.</w:t>
            </w:r>
            <w:r w:rsidRPr="00D52EDB">
              <w:rPr>
                <w:b/>
                <w:sz w:val="22"/>
              </w:rPr>
              <w:tab/>
              <w:t>Annualized cost to the Federal Government</w:t>
            </w:r>
          </w:p>
          <w:p w:rsidR="008933A9" w:rsidRPr="00D52EDB" w:rsidP="00DD4B7F" w14:paraId="4AC4D9B9" w14:textId="77777777">
            <w:pPr>
              <w:tabs>
                <w:tab w:val="left" w:pos="-720"/>
                <w:tab w:val="left" w:pos="480"/>
              </w:tabs>
              <w:suppressAutoHyphens/>
              <w:ind w:left="480" w:hanging="480"/>
              <w:rPr>
                <w:b/>
                <w:sz w:val="22"/>
              </w:rPr>
            </w:pPr>
          </w:p>
          <w:p w:rsidR="008933A9" w:rsidRPr="00D52EDB" w:rsidP="00DD4B7F" w14:paraId="7CE17288" w14:textId="77777777">
            <w:pPr>
              <w:tabs>
                <w:tab w:val="left" w:pos="-720"/>
                <w:tab w:val="left" w:pos="342"/>
              </w:tabs>
              <w:suppressAutoHyphens/>
              <w:ind w:left="432"/>
              <w:rPr>
                <w:sz w:val="22"/>
              </w:rPr>
            </w:pPr>
            <w:r w:rsidRPr="00D52EDB">
              <w:rPr>
                <w:sz w:val="22"/>
              </w:rPr>
              <w:t>Estimated annualized cost is $2</w:t>
            </w:r>
            <w:r>
              <w:rPr>
                <w:sz w:val="22"/>
              </w:rPr>
              <w:t xml:space="preserve">8.42 </w:t>
            </w:r>
            <w:r w:rsidRPr="00D52EDB">
              <w:rPr>
                <w:sz w:val="22"/>
              </w:rPr>
              <w:t>per hour, based on the 202</w:t>
            </w:r>
            <w:r>
              <w:rPr>
                <w:sz w:val="22"/>
              </w:rPr>
              <w:t>3</w:t>
            </w:r>
            <w:r w:rsidRPr="00D52EDB">
              <w:rPr>
                <w:sz w:val="22"/>
              </w:rPr>
              <w:t xml:space="preserve"> General Pay Scale for a GS-11 Step 1, which represents the HUD field staff reviewing required information.  </w:t>
            </w:r>
          </w:p>
          <w:p w:rsidR="008933A9" w:rsidRPr="00D52EDB" w:rsidP="00DD4B7F" w14:paraId="6FF3D3EC" w14:textId="77777777">
            <w:pPr>
              <w:tabs>
                <w:tab w:val="left" w:pos="-720"/>
                <w:tab w:val="left" w:pos="480"/>
              </w:tabs>
              <w:suppressAutoHyphens/>
              <w:ind w:left="480" w:hanging="480"/>
              <w:rPr>
                <w:sz w:val="22"/>
              </w:rPr>
            </w:pPr>
          </w:p>
          <w:p w:rsidR="008933A9" w:rsidRPr="00D52EDB" w:rsidP="00DD4B7F" w14:paraId="78160323" w14:textId="77777777">
            <w:pPr>
              <w:tabs>
                <w:tab w:val="left" w:pos="-720"/>
                <w:tab w:val="left" w:pos="480"/>
              </w:tabs>
              <w:suppressAutoHyphens/>
              <w:ind w:left="480" w:hanging="480"/>
              <w:rPr>
                <w:sz w:val="22"/>
              </w:rPr>
            </w:pPr>
            <w:r w:rsidRPr="00D52EDB">
              <w:rPr>
                <w:sz w:val="22"/>
              </w:rPr>
              <w:t xml:space="preserve">            </w:t>
            </w:r>
            <w:r w:rsidRPr="00D52EDB">
              <w:rPr>
                <w:b/>
                <w:sz w:val="22"/>
              </w:rPr>
              <w:t>Federal Government Costs</w:t>
            </w:r>
          </w:p>
          <w:p w:rsidR="008933A9" w:rsidRPr="00D52EDB" w:rsidP="00DD4B7F" w14:paraId="7F834009" w14:textId="77777777">
            <w:pPr>
              <w:pBdr>
                <w:top w:val="single" w:sz="4" w:space="1" w:color="auto"/>
              </w:pBdr>
              <w:tabs>
                <w:tab w:val="left" w:pos="-720"/>
                <w:tab w:val="center" w:pos="3480"/>
                <w:tab w:val="center" w:pos="5160"/>
                <w:tab w:val="center" w:pos="6720"/>
              </w:tabs>
              <w:suppressAutoHyphens/>
              <w:spacing w:before="120" w:line="200" w:lineRule="exact"/>
              <w:ind w:left="480" w:right="3600"/>
              <w:rPr>
                <w:sz w:val="18"/>
              </w:rPr>
            </w:pPr>
            <w:r w:rsidRPr="00D52EDB">
              <w:rPr>
                <w:sz w:val="18"/>
              </w:rPr>
              <w:t>Requirement</w:t>
            </w:r>
            <w:r w:rsidRPr="00D52EDB">
              <w:rPr>
                <w:sz w:val="18"/>
              </w:rPr>
              <w:tab/>
              <w:t>Annual</w:t>
            </w:r>
            <w:r w:rsidRPr="00D52EDB">
              <w:rPr>
                <w:sz w:val="18"/>
              </w:rPr>
              <w:tab/>
              <w:t>Cost</w:t>
            </w:r>
            <w:r w:rsidRPr="00D52EDB">
              <w:rPr>
                <w:sz w:val="18"/>
              </w:rPr>
              <w:tab/>
              <w:t>Total</w:t>
            </w:r>
          </w:p>
          <w:p w:rsidR="008933A9" w:rsidRPr="00D52EDB" w:rsidP="00DD4B7F" w14:paraId="693C8FE1" w14:textId="77777777">
            <w:pPr>
              <w:tabs>
                <w:tab w:val="center" w:pos="3480"/>
                <w:tab w:val="center" w:pos="5160"/>
                <w:tab w:val="center" w:pos="6720"/>
                <w:tab w:val="right" w:pos="9120"/>
              </w:tabs>
              <w:suppressAutoHyphens/>
              <w:spacing w:after="120" w:line="200" w:lineRule="exact"/>
              <w:ind w:left="480"/>
              <w:rPr>
                <w:sz w:val="18"/>
                <w:szCs w:val="18"/>
              </w:rPr>
            </w:pPr>
            <w:r w:rsidRPr="49FCA636">
              <w:rPr>
                <w:sz w:val="18"/>
                <w:szCs w:val="18"/>
              </w:rPr>
              <w:t>Burden Hours</w:t>
            </w:r>
            <w:r w:rsidRPr="00D52EDB">
              <w:rPr>
                <w:sz w:val="18"/>
              </w:rPr>
              <w:tab/>
            </w:r>
            <w:r w:rsidRPr="49FCA636">
              <w:rPr>
                <w:sz w:val="18"/>
                <w:szCs w:val="18"/>
              </w:rPr>
              <w:t>per hour</w:t>
            </w:r>
            <w:r w:rsidRPr="00D52EDB">
              <w:rPr>
                <w:sz w:val="18"/>
              </w:rPr>
              <w:tab/>
            </w:r>
            <w:r w:rsidRPr="49FCA636">
              <w:rPr>
                <w:sz w:val="18"/>
                <w:szCs w:val="18"/>
              </w:rPr>
              <w:t xml:space="preserve"> </w:t>
            </w:r>
          </w:p>
          <w:p w:rsidR="008933A9" w:rsidRPr="00D52EDB" w:rsidP="00DD4B7F" w14:paraId="53689942" w14:textId="77777777">
            <w:pPr>
              <w:tabs>
                <w:tab w:val="right" w:pos="3720"/>
                <w:tab w:val="right" w:pos="5400"/>
                <w:tab w:val="right" w:pos="7080"/>
                <w:tab w:val="right" w:pos="9240"/>
              </w:tabs>
              <w:suppressAutoHyphens/>
              <w:ind w:left="480"/>
              <w:rPr>
                <w:sz w:val="18"/>
                <w:szCs w:val="18"/>
              </w:rPr>
            </w:pPr>
            <w:r w:rsidRPr="49FCA636">
              <w:rPr>
                <w:sz w:val="18"/>
                <w:szCs w:val="18"/>
              </w:rPr>
              <w:t xml:space="preserve">Financial Form    </w:t>
            </w:r>
            <w:r>
              <w:tab/>
            </w:r>
            <w:r w:rsidRPr="49FCA636">
              <w:rPr>
                <w:sz w:val="18"/>
                <w:szCs w:val="18"/>
              </w:rPr>
              <w:t>8,400</w:t>
            </w:r>
            <w:r>
              <w:tab/>
            </w:r>
            <w:r w:rsidRPr="49FCA636">
              <w:rPr>
                <w:sz w:val="18"/>
                <w:szCs w:val="18"/>
              </w:rPr>
              <w:t>$</w:t>
            </w:r>
            <w:r>
              <w:rPr>
                <w:sz w:val="18"/>
                <w:szCs w:val="18"/>
              </w:rPr>
              <w:t>28.42</w:t>
            </w:r>
            <w:r>
              <w:tab/>
            </w:r>
            <w:r w:rsidRPr="49FCA636">
              <w:rPr>
                <w:sz w:val="18"/>
                <w:szCs w:val="18"/>
              </w:rPr>
              <w:t>$</w:t>
            </w:r>
            <w:r>
              <w:rPr>
                <w:sz w:val="18"/>
                <w:szCs w:val="18"/>
              </w:rPr>
              <w:t>238,728</w:t>
            </w:r>
          </w:p>
          <w:p w:rsidR="008933A9" w:rsidRPr="00D52EDB" w:rsidP="00DD4B7F" w14:paraId="6ECC4FBE" w14:textId="77777777">
            <w:pPr>
              <w:keepNext/>
              <w:tabs>
                <w:tab w:val="right" w:pos="3720"/>
                <w:tab w:val="right" w:pos="5400"/>
                <w:tab w:val="right" w:pos="7080"/>
                <w:tab w:val="right" w:pos="9240"/>
              </w:tabs>
              <w:suppressAutoHyphens/>
              <w:spacing w:before="120"/>
              <w:ind w:left="480"/>
              <w:outlineLvl w:val="3"/>
              <w:rPr>
                <w:b/>
                <w:sz w:val="18"/>
                <w:szCs w:val="18"/>
              </w:rPr>
            </w:pPr>
            <w:r w:rsidRPr="49FCA636">
              <w:rPr>
                <w:b/>
                <w:bCs/>
                <w:sz w:val="18"/>
                <w:szCs w:val="18"/>
              </w:rPr>
              <w:t>Totals</w:t>
            </w:r>
            <w:r>
              <w:tab/>
            </w:r>
            <w:r w:rsidRPr="49FCA636">
              <w:rPr>
                <w:b/>
                <w:bCs/>
                <w:sz w:val="18"/>
                <w:szCs w:val="18"/>
              </w:rPr>
              <w:t>8,400</w:t>
            </w:r>
            <w:r>
              <w:tab/>
            </w:r>
            <w:r>
              <w:tab/>
            </w:r>
            <w:r w:rsidRPr="49FCA636">
              <w:rPr>
                <w:b/>
                <w:bCs/>
                <w:sz w:val="18"/>
                <w:szCs w:val="18"/>
              </w:rPr>
              <w:t>$</w:t>
            </w:r>
            <w:r>
              <w:rPr>
                <w:b/>
                <w:bCs/>
                <w:sz w:val="18"/>
                <w:szCs w:val="18"/>
              </w:rPr>
              <w:t>238,728</w:t>
            </w:r>
          </w:p>
          <w:p w:rsidR="008933A9" w:rsidRPr="00D52EDB" w:rsidP="00DD4B7F" w14:paraId="2F1C12E7" w14:textId="77777777"/>
          <w:p w:rsidR="008933A9" w:rsidRPr="00D52EDB" w:rsidP="00DD4B7F" w14:paraId="630DEA87" w14:textId="77777777">
            <w:pPr>
              <w:keepNext/>
              <w:keepLines/>
              <w:tabs>
                <w:tab w:val="left" w:pos="-720"/>
                <w:tab w:val="right" w:pos="3360"/>
                <w:tab w:val="right" w:pos="4560"/>
                <w:tab w:val="right" w:pos="5760"/>
                <w:tab w:val="right" w:pos="6960"/>
                <w:tab w:val="right" w:pos="8040"/>
                <w:tab w:val="right" w:pos="9240"/>
              </w:tabs>
              <w:suppressAutoHyphens/>
              <w:rPr>
                <w:sz w:val="22"/>
              </w:rPr>
            </w:pPr>
          </w:p>
          <w:p w:rsidR="008933A9" w:rsidRPr="00D52EDB" w:rsidP="00DD4B7F" w14:paraId="27EB293E" w14:textId="77777777">
            <w:pPr>
              <w:overflowPunct/>
              <w:ind w:left="522" w:hanging="522"/>
              <w:textAlignment w:val="auto"/>
              <w:rPr>
                <w:sz w:val="22"/>
                <w:szCs w:val="22"/>
              </w:rPr>
            </w:pPr>
            <w:r w:rsidRPr="00D52EDB">
              <w:rPr>
                <w:sz w:val="22"/>
              </w:rPr>
              <w:t>15.</w:t>
            </w:r>
            <w:r w:rsidRPr="00D52EDB">
              <w:rPr>
                <w:sz w:val="22"/>
              </w:rPr>
              <w:tab/>
            </w:r>
            <w:r w:rsidRPr="00D52EDB">
              <w:rPr>
                <w:b/>
                <w:bCs/>
                <w:sz w:val="22"/>
              </w:rPr>
              <w:t xml:space="preserve">Reason for program changes. </w:t>
            </w:r>
            <w:r w:rsidRPr="00D52EDB">
              <w:rPr>
                <w:bCs/>
                <w:sz w:val="22"/>
              </w:rPr>
              <w:t xml:space="preserve"> N/A</w:t>
            </w:r>
          </w:p>
          <w:p w:rsidR="008933A9" w:rsidRPr="00D52EDB" w:rsidP="00DD4B7F" w14:paraId="0399EE18" w14:textId="77777777">
            <w:pPr>
              <w:overflowPunct/>
              <w:ind w:left="522"/>
              <w:textAlignment w:val="auto"/>
              <w:rPr>
                <w:sz w:val="22"/>
                <w:szCs w:val="22"/>
              </w:rPr>
            </w:pPr>
          </w:p>
          <w:p w:rsidR="008933A9" w:rsidRPr="00D52EDB" w:rsidP="00DD4B7F" w14:paraId="434FB588" w14:textId="77777777">
            <w:pPr>
              <w:widowControl w:val="0"/>
              <w:tabs>
                <w:tab w:val="left" w:pos="-720"/>
                <w:tab w:val="left" w:pos="480"/>
              </w:tabs>
              <w:suppressAutoHyphens/>
              <w:ind w:left="480" w:hanging="480"/>
              <w:rPr>
                <w:bCs/>
                <w:sz w:val="22"/>
              </w:rPr>
            </w:pPr>
            <w:r w:rsidRPr="00D52EDB">
              <w:rPr>
                <w:sz w:val="22"/>
              </w:rPr>
              <w:t>16.</w:t>
            </w:r>
            <w:r w:rsidRPr="00D52EDB">
              <w:rPr>
                <w:sz w:val="22"/>
              </w:rPr>
              <w:tab/>
            </w:r>
            <w:r w:rsidRPr="00D52EDB">
              <w:rPr>
                <w:b/>
                <w:bCs/>
                <w:sz w:val="22"/>
              </w:rPr>
              <w:t xml:space="preserve">Plans for publication of information collected.  </w:t>
            </w:r>
            <w:r w:rsidRPr="00D52EDB">
              <w:rPr>
                <w:bCs/>
                <w:sz w:val="22"/>
              </w:rPr>
              <w:t xml:space="preserve">Information will be published to </w:t>
            </w:r>
            <w:r w:rsidRPr="00D52EDB">
              <w:rPr>
                <w:bCs/>
                <w:sz w:val="22"/>
              </w:rPr>
              <w:t>HUD.gov</w:t>
            </w:r>
          </w:p>
          <w:p w:rsidR="008933A9" w:rsidRPr="00D52EDB" w:rsidP="00DD4B7F" w14:paraId="63F3FFB1" w14:textId="77777777">
            <w:pPr>
              <w:widowControl w:val="0"/>
              <w:tabs>
                <w:tab w:val="left" w:pos="-720"/>
                <w:tab w:val="left" w:pos="480"/>
              </w:tabs>
              <w:suppressAutoHyphens/>
              <w:ind w:left="480" w:hanging="480"/>
              <w:rPr>
                <w:sz w:val="22"/>
              </w:rPr>
            </w:pPr>
          </w:p>
          <w:p w:rsidR="008933A9" w:rsidRPr="00D52EDB" w:rsidP="00DD4B7F" w14:paraId="22A5089D" w14:textId="77777777">
            <w:pPr>
              <w:numPr>
                <w:ilvl w:val="0"/>
                <w:numId w:val="22"/>
              </w:numPr>
              <w:tabs>
                <w:tab w:val="left" w:pos="-720"/>
                <w:tab w:val="left" w:pos="480"/>
              </w:tabs>
              <w:suppressAutoHyphens/>
              <w:ind w:left="480" w:hanging="480"/>
              <w:rPr>
                <w:sz w:val="22"/>
              </w:rPr>
            </w:pPr>
            <w:r w:rsidRPr="00D52EDB">
              <w:rPr>
                <w:b/>
                <w:bCs/>
                <w:sz w:val="22"/>
              </w:rPr>
              <w:t xml:space="preserve">Approval to not display expiration date for OMB approval.  </w:t>
            </w:r>
            <w:r w:rsidRPr="00D52EDB">
              <w:rPr>
                <w:sz w:val="22"/>
              </w:rPr>
              <w:t xml:space="preserve">HUD is not seeking approval to avoid displaying the OMB expiration date. </w:t>
            </w:r>
          </w:p>
          <w:p w:rsidR="008933A9" w:rsidRPr="00D52EDB" w:rsidP="00DD4B7F" w14:paraId="3048244F" w14:textId="77777777">
            <w:pPr>
              <w:widowControl w:val="0"/>
              <w:tabs>
                <w:tab w:val="left" w:pos="-720"/>
                <w:tab w:val="left" w:pos="480"/>
              </w:tabs>
              <w:suppressAutoHyphens/>
              <w:ind w:left="480" w:hanging="480"/>
              <w:rPr>
                <w:sz w:val="22"/>
              </w:rPr>
            </w:pPr>
          </w:p>
          <w:p w:rsidR="008933A9" w:rsidRPr="00D52EDB" w:rsidP="00DD4B7F" w14:paraId="5AA5CA28" w14:textId="77777777">
            <w:pPr>
              <w:tabs>
                <w:tab w:val="left" w:pos="-720"/>
                <w:tab w:val="left" w:pos="480"/>
              </w:tabs>
              <w:suppressAutoHyphens/>
              <w:ind w:left="480" w:hanging="480"/>
              <w:rPr>
                <w:sz w:val="24"/>
                <w:szCs w:val="24"/>
              </w:rPr>
            </w:pPr>
            <w:r w:rsidRPr="00D52EDB">
              <w:rPr>
                <w:sz w:val="22"/>
              </w:rPr>
              <w:t xml:space="preserve">18. </w:t>
            </w:r>
            <w:r w:rsidRPr="00D52EDB">
              <w:rPr>
                <w:sz w:val="22"/>
              </w:rPr>
              <w:tab/>
            </w:r>
            <w:r w:rsidRPr="00D52EDB">
              <w:rPr>
                <w:b/>
                <w:bCs/>
                <w:sz w:val="24"/>
                <w:szCs w:val="24"/>
              </w:rPr>
              <w:t xml:space="preserve">Exceptions to certification.  </w:t>
            </w:r>
            <w:r w:rsidRPr="00D52EDB">
              <w:rPr>
                <w:sz w:val="24"/>
                <w:szCs w:val="24"/>
              </w:rPr>
              <w:t>N/A</w:t>
            </w:r>
          </w:p>
          <w:p w:rsidR="008933A9" w:rsidRPr="00D52EDB" w:rsidP="00DD4B7F" w14:paraId="25494A1B" w14:textId="77777777">
            <w:pPr>
              <w:tabs>
                <w:tab w:val="left" w:pos="-720"/>
                <w:tab w:val="left" w:pos="480"/>
              </w:tabs>
              <w:suppressAutoHyphens/>
              <w:ind w:left="480" w:hanging="480"/>
              <w:rPr>
                <w:sz w:val="24"/>
                <w:szCs w:val="24"/>
              </w:rPr>
            </w:pPr>
          </w:p>
          <w:p w:rsidR="008933A9" w:rsidRPr="00D52EDB" w:rsidP="00DD4B7F" w14:paraId="07ACC507" w14:textId="77777777">
            <w:pPr>
              <w:tabs>
                <w:tab w:val="left" w:pos="-720"/>
                <w:tab w:val="left" w:pos="480"/>
              </w:tabs>
              <w:suppressAutoHyphens/>
              <w:ind w:left="480" w:hanging="480"/>
              <w:rPr>
                <w:b/>
                <w:bCs/>
                <w:sz w:val="24"/>
                <w:szCs w:val="24"/>
              </w:rPr>
            </w:pPr>
            <w:r w:rsidRPr="00D52EDB">
              <w:rPr>
                <w:b/>
                <w:bCs/>
                <w:sz w:val="24"/>
                <w:szCs w:val="24"/>
              </w:rPr>
              <w:t>B.  Collection of Information Employing Statistical Methods:</w:t>
            </w:r>
          </w:p>
          <w:p w:rsidR="008933A9" w:rsidRPr="00D52EDB" w:rsidP="00DD4B7F" w14:paraId="0A0F6182" w14:textId="77777777">
            <w:pPr>
              <w:tabs>
                <w:tab w:val="left" w:pos="-720"/>
                <w:tab w:val="left" w:pos="480"/>
              </w:tabs>
              <w:suppressAutoHyphens/>
              <w:ind w:left="480" w:hanging="480"/>
              <w:rPr>
                <w:b/>
                <w:bCs/>
                <w:sz w:val="24"/>
                <w:szCs w:val="24"/>
              </w:rPr>
            </w:pPr>
          </w:p>
          <w:p w:rsidR="008933A9" w:rsidRPr="00621587" w:rsidP="00DD4B7F" w14:paraId="0B1C620A" w14:textId="77777777">
            <w:pPr>
              <w:tabs>
                <w:tab w:val="left" w:pos="-720"/>
                <w:tab w:val="left" w:pos="480"/>
              </w:tabs>
              <w:suppressAutoHyphens/>
              <w:ind w:left="480" w:hanging="480"/>
              <w:rPr>
                <w:sz w:val="24"/>
                <w:szCs w:val="24"/>
              </w:rPr>
            </w:pPr>
            <w:r w:rsidRPr="00D52EDB">
              <w:rPr>
                <w:sz w:val="24"/>
                <w:szCs w:val="24"/>
              </w:rPr>
              <w:tab/>
              <w:t>Section B is not applicable since statistical methods are not used.</w:t>
            </w:r>
          </w:p>
          <w:p w:rsidR="008933A9" w:rsidRPr="00621587" w:rsidP="00DD4B7F" w14:paraId="5AE9DABF" w14:textId="77777777">
            <w:pPr>
              <w:overflowPunct/>
              <w:autoSpaceDE/>
              <w:autoSpaceDN/>
              <w:adjustRightInd/>
              <w:textAlignment w:val="auto"/>
              <w:rPr>
                <w:sz w:val="18"/>
                <w:szCs w:val="18"/>
              </w:rPr>
            </w:pPr>
            <w:r w:rsidRPr="00621587">
              <w:rPr>
                <w:b/>
                <w:bCs/>
                <w:sz w:val="24"/>
                <w:szCs w:val="24"/>
              </w:rPr>
              <w:br w:type="page"/>
            </w:r>
          </w:p>
        </w:tc>
      </w:tr>
      <w:tr w14:paraId="7B51220C" w14:textId="77777777" w:rsidTr="00DD4B7F">
        <w:tblPrEx>
          <w:tblW w:w="10908" w:type="dxa"/>
          <w:tblInd w:w="108" w:type="dxa"/>
          <w:tblLook w:val="04A0"/>
        </w:tblPrEx>
        <w:trPr>
          <w:trHeight w:val="600"/>
        </w:trPr>
        <w:tc>
          <w:tcPr>
            <w:tcW w:w="10908" w:type="dxa"/>
            <w:tcBorders>
              <w:top w:val="nil"/>
              <w:left w:val="nil"/>
              <w:bottom w:val="nil"/>
              <w:right w:val="nil"/>
            </w:tcBorders>
            <w:shd w:val="clear" w:color="auto" w:fill="auto"/>
            <w:vAlign w:val="bottom"/>
            <w:hideMark/>
          </w:tcPr>
          <w:p w:rsidR="008933A9" w:rsidP="00DD4B7F" w14:paraId="4DC78BF5" w14:textId="77777777">
            <w:pPr>
              <w:rPr>
                <w:b/>
                <w:bCs/>
                <w:sz w:val="24"/>
                <w:szCs w:val="24"/>
              </w:rPr>
            </w:pPr>
          </w:p>
        </w:tc>
      </w:tr>
    </w:tbl>
    <w:p w:rsidR="008933A9" w:rsidRPr="00621587" w:rsidP="008933A9" w14:paraId="729423B6" w14:textId="77777777">
      <w:pPr>
        <w:tabs>
          <w:tab w:val="left" w:pos="480"/>
        </w:tabs>
        <w:rPr>
          <w:sz w:val="22"/>
        </w:rPr>
      </w:pPr>
    </w:p>
    <w:p w:rsidR="008933A9" w:rsidRPr="00621587" w:rsidP="008933A9" w14:paraId="382AF8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p w:rsidR="008933A9" w:rsidRPr="008933A9" w:rsidP="008933A9" w14:paraId="2790F3B1" w14:textId="54056DAE">
      <w:pPr>
        <w:tabs>
          <w:tab w:val="left" w:pos="1305"/>
        </w:tabs>
        <w:rPr>
          <w:sz w:val="16"/>
        </w:rPr>
        <w:sectPr>
          <w:pgSz w:w="12240" w:h="15840"/>
          <w:pgMar w:top="480" w:right="600" w:bottom="480" w:left="720" w:header="480" w:footer="480" w:gutter="0"/>
          <w:cols w:space="480" w:equalWidth="0">
            <w:col w:w="10920"/>
          </w:cols>
        </w:sectPr>
      </w:pPr>
    </w:p>
    <w:p w:rsidR="00B556DA" w:rsidRPr="00D52EDB" w14:paraId="7EE19B99" w14:textId="77777777">
      <w:pPr>
        <w:pBdr>
          <w:top w:val="single" w:sz="6" w:space="1" w:color="auto"/>
        </w:pBdr>
        <w:tabs>
          <w:tab w:val="left" w:pos="240"/>
        </w:tabs>
        <w:jc w:val="center"/>
        <w:rPr>
          <w:b/>
          <w:sz w:val="28"/>
        </w:rPr>
      </w:pPr>
      <w:r w:rsidRPr="00D52EDB">
        <w:rPr>
          <w:b/>
          <w:sz w:val="28"/>
        </w:rPr>
        <w:t>19.</w:t>
      </w:r>
      <w:r w:rsidRPr="00D52EDB">
        <w:rPr>
          <w:sz w:val="16"/>
        </w:rPr>
        <w:t xml:space="preserve"> </w:t>
      </w:r>
      <w:r w:rsidRPr="00D52EDB">
        <w:rPr>
          <w:b/>
          <w:sz w:val="28"/>
        </w:rPr>
        <w:t>Certification for Paperwork Reduction Act Submissions</w:t>
      </w:r>
    </w:p>
    <w:p w:rsidR="00B556DA" w:rsidRPr="00D52EDB" w14:paraId="301B35AB" w14:textId="77777777">
      <w:pPr>
        <w:tabs>
          <w:tab w:val="left" w:pos="240"/>
        </w:tabs>
        <w:spacing w:line="280" w:lineRule="exact"/>
        <w:rPr>
          <w:sz w:val="22"/>
        </w:rPr>
      </w:pPr>
      <w:r w:rsidRPr="00D52EDB">
        <w:rPr>
          <w:sz w:val="22"/>
        </w:rPr>
        <w:t>On behalf of the U.S. Department of Housing and Urban Development, I certify that the collection of information encompassed by this request complies with 5 CFR 1320.9.</w:t>
      </w:r>
    </w:p>
    <w:p w:rsidR="00B556DA" w:rsidRPr="00D52EDB" w14:paraId="1EE6A8FB" w14:textId="77777777">
      <w:pPr>
        <w:tabs>
          <w:tab w:val="left" w:pos="240"/>
        </w:tabs>
        <w:spacing w:line="280" w:lineRule="exact"/>
        <w:rPr>
          <w:sz w:val="22"/>
        </w:rPr>
      </w:pPr>
      <w:r w:rsidRPr="00D52EDB">
        <w:rPr>
          <w:b/>
          <w:sz w:val="22"/>
        </w:rPr>
        <w:t>Note:</w:t>
      </w:r>
      <w:r w:rsidRPr="00D52EDB">
        <w:rPr>
          <w:sz w:val="22"/>
        </w:rPr>
        <w:t xml:space="preserve"> The text of 5 CFR 1320.9, and the related p</w:t>
      </w:r>
      <w:r w:rsidRPr="00D52EDB" w:rsidR="00C17003">
        <w:rPr>
          <w:sz w:val="22"/>
        </w:rPr>
        <w:t>rovisions of 5 CFR 1320/8(b)(3)</w:t>
      </w:r>
      <w:r w:rsidRPr="00D52EDB">
        <w:rPr>
          <w:sz w:val="22"/>
        </w:rPr>
        <w:t xml:space="preserve"> appear at the end of the instructions.  The certification is to be made with reference to those regulatory provisions as set forth in the instructions.</w:t>
      </w:r>
    </w:p>
    <w:p w:rsidR="00B556DA" w:rsidRPr="00D52EDB" w14:paraId="11ED6015" w14:textId="77777777">
      <w:pPr>
        <w:tabs>
          <w:tab w:val="left" w:pos="240"/>
        </w:tabs>
        <w:spacing w:line="280" w:lineRule="exact"/>
        <w:rPr>
          <w:sz w:val="22"/>
        </w:rPr>
      </w:pPr>
    </w:p>
    <w:p w:rsidR="00B556DA" w:rsidRPr="00D52EDB" w14:paraId="5A8BB043" w14:textId="77777777">
      <w:pPr>
        <w:tabs>
          <w:tab w:val="left" w:pos="240"/>
        </w:tabs>
        <w:spacing w:line="280" w:lineRule="exact"/>
        <w:rPr>
          <w:sz w:val="22"/>
        </w:rPr>
      </w:pPr>
      <w:r w:rsidRPr="00D52EDB">
        <w:rPr>
          <w:sz w:val="22"/>
        </w:rPr>
        <w:t xml:space="preserve">The following is a summary of the topics, regarding the proposed collections of </w:t>
      </w:r>
      <w:r w:rsidRPr="00D52EDB" w:rsidR="00C17003">
        <w:rPr>
          <w:sz w:val="22"/>
        </w:rPr>
        <w:t>information that</w:t>
      </w:r>
      <w:r w:rsidRPr="00D52EDB">
        <w:rPr>
          <w:sz w:val="22"/>
        </w:rPr>
        <w:t xml:space="preserve"> the certification covers:</w:t>
      </w:r>
    </w:p>
    <w:p w:rsidR="00B556DA" w:rsidRPr="00D52EDB" w14:paraId="3BF5E1BE" w14:textId="77777777">
      <w:pPr>
        <w:numPr>
          <w:ilvl w:val="0"/>
          <w:numId w:val="3"/>
        </w:numPr>
        <w:tabs>
          <w:tab w:val="left" w:pos="720"/>
        </w:tabs>
        <w:spacing w:line="280" w:lineRule="exact"/>
        <w:rPr>
          <w:sz w:val="22"/>
        </w:rPr>
      </w:pPr>
      <w:r w:rsidRPr="00D52EDB">
        <w:rPr>
          <w:sz w:val="22"/>
        </w:rPr>
        <w:t xml:space="preserve">It is necessary for the proper performance of agency </w:t>
      </w:r>
      <w:r w:rsidRPr="00D52EDB">
        <w:rPr>
          <w:sz w:val="22"/>
        </w:rPr>
        <w:t>functions;</w:t>
      </w:r>
    </w:p>
    <w:p w:rsidR="00B556DA" w:rsidRPr="00D52EDB" w14:paraId="62E202F9" w14:textId="77777777">
      <w:pPr>
        <w:numPr>
          <w:ilvl w:val="0"/>
          <w:numId w:val="3"/>
        </w:numPr>
        <w:tabs>
          <w:tab w:val="left" w:pos="720"/>
        </w:tabs>
        <w:spacing w:line="280" w:lineRule="exact"/>
        <w:rPr>
          <w:sz w:val="22"/>
        </w:rPr>
      </w:pPr>
      <w:r w:rsidRPr="00D52EDB">
        <w:rPr>
          <w:sz w:val="22"/>
        </w:rPr>
        <w:t xml:space="preserve">It avoids unnecessary </w:t>
      </w:r>
      <w:r w:rsidRPr="00D52EDB">
        <w:rPr>
          <w:sz w:val="22"/>
        </w:rPr>
        <w:t>duplication;</w:t>
      </w:r>
    </w:p>
    <w:p w:rsidR="00B556DA" w:rsidRPr="00D52EDB" w14:paraId="1398F934" w14:textId="77777777">
      <w:pPr>
        <w:numPr>
          <w:ilvl w:val="0"/>
          <w:numId w:val="3"/>
        </w:numPr>
        <w:tabs>
          <w:tab w:val="left" w:pos="720"/>
        </w:tabs>
        <w:spacing w:line="280" w:lineRule="exact"/>
        <w:rPr>
          <w:sz w:val="22"/>
        </w:rPr>
      </w:pPr>
      <w:r w:rsidRPr="00D52EDB">
        <w:rPr>
          <w:sz w:val="22"/>
        </w:rPr>
        <w:t xml:space="preserve">It reduces burden on small </w:t>
      </w:r>
      <w:r w:rsidRPr="00D52EDB">
        <w:rPr>
          <w:sz w:val="22"/>
        </w:rPr>
        <w:t>entities;</w:t>
      </w:r>
    </w:p>
    <w:p w:rsidR="00B556DA" w:rsidRPr="00D52EDB" w14:paraId="6E9D0532" w14:textId="77777777">
      <w:pPr>
        <w:numPr>
          <w:ilvl w:val="0"/>
          <w:numId w:val="3"/>
        </w:numPr>
        <w:tabs>
          <w:tab w:val="left" w:pos="720"/>
        </w:tabs>
        <w:spacing w:line="280" w:lineRule="exact"/>
        <w:rPr>
          <w:sz w:val="22"/>
        </w:rPr>
      </w:pPr>
      <w:r w:rsidRPr="00D52EDB">
        <w:rPr>
          <w:sz w:val="22"/>
        </w:rPr>
        <w:t xml:space="preserve">It uses plain, coherent, and unambiguous terminology that is understandable to </w:t>
      </w:r>
      <w:r w:rsidRPr="00D52EDB">
        <w:rPr>
          <w:sz w:val="22"/>
        </w:rPr>
        <w:t>respondents;</w:t>
      </w:r>
    </w:p>
    <w:p w:rsidR="00B556DA" w:rsidRPr="00D52EDB" w14:paraId="18DD500B" w14:textId="77777777">
      <w:pPr>
        <w:numPr>
          <w:ilvl w:val="0"/>
          <w:numId w:val="3"/>
        </w:numPr>
        <w:tabs>
          <w:tab w:val="left" w:pos="720"/>
        </w:tabs>
        <w:spacing w:line="280" w:lineRule="exact"/>
        <w:rPr>
          <w:sz w:val="22"/>
        </w:rPr>
      </w:pPr>
      <w:r w:rsidRPr="00D52EDB">
        <w:rPr>
          <w:sz w:val="22"/>
        </w:rPr>
        <w:t xml:space="preserve">Its implementation will be consistent and compatible with current reporting and recordkeeping </w:t>
      </w:r>
      <w:r w:rsidRPr="00D52EDB">
        <w:rPr>
          <w:sz w:val="22"/>
        </w:rPr>
        <w:t>practices;</w:t>
      </w:r>
    </w:p>
    <w:p w:rsidR="00B556DA" w:rsidRPr="00D52EDB" w14:paraId="7D5479A7" w14:textId="77777777">
      <w:pPr>
        <w:numPr>
          <w:ilvl w:val="0"/>
          <w:numId w:val="3"/>
        </w:numPr>
        <w:tabs>
          <w:tab w:val="left" w:pos="720"/>
        </w:tabs>
        <w:spacing w:line="280" w:lineRule="exact"/>
        <w:rPr>
          <w:sz w:val="22"/>
        </w:rPr>
      </w:pPr>
      <w:r w:rsidRPr="00D52EDB">
        <w:rPr>
          <w:sz w:val="22"/>
        </w:rPr>
        <w:t xml:space="preserve">It indicates the retention periods for recordkeeping </w:t>
      </w:r>
      <w:r w:rsidRPr="00D52EDB">
        <w:rPr>
          <w:sz w:val="22"/>
        </w:rPr>
        <w:t>requirements;</w:t>
      </w:r>
    </w:p>
    <w:p w:rsidR="00B556DA" w:rsidRPr="00D52EDB" w14:paraId="2CCBFCB2" w14:textId="77777777">
      <w:pPr>
        <w:numPr>
          <w:ilvl w:val="0"/>
          <w:numId w:val="3"/>
        </w:numPr>
        <w:tabs>
          <w:tab w:val="left" w:pos="720"/>
        </w:tabs>
        <w:spacing w:line="280" w:lineRule="exact"/>
        <w:rPr>
          <w:sz w:val="22"/>
        </w:rPr>
      </w:pPr>
      <w:r w:rsidRPr="00D52EDB">
        <w:rPr>
          <w:sz w:val="22"/>
        </w:rPr>
        <w:t>It informs respondents of the information called for under 5 CFR 1320.8(b)(3):</w:t>
      </w:r>
    </w:p>
    <w:p w:rsidR="00B556DA" w:rsidRPr="00D52EDB" w14:paraId="28AA0A6A" w14:textId="77777777">
      <w:pPr>
        <w:numPr>
          <w:ilvl w:val="0"/>
          <w:numId w:val="4"/>
        </w:numPr>
        <w:tabs>
          <w:tab w:val="left" w:pos="720"/>
        </w:tabs>
        <w:spacing w:line="280" w:lineRule="exact"/>
        <w:rPr>
          <w:sz w:val="22"/>
        </w:rPr>
      </w:pPr>
      <w:r w:rsidRPr="00D52EDB">
        <w:rPr>
          <w:sz w:val="22"/>
        </w:rPr>
        <w:t xml:space="preserve">Why the information is being </w:t>
      </w:r>
      <w:r w:rsidRPr="00D52EDB">
        <w:rPr>
          <w:sz w:val="22"/>
        </w:rPr>
        <w:t>collected;</w:t>
      </w:r>
    </w:p>
    <w:p w:rsidR="00B556DA" w:rsidRPr="00D52EDB" w14:paraId="1E5E3E81" w14:textId="77777777">
      <w:pPr>
        <w:numPr>
          <w:ilvl w:val="0"/>
          <w:numId w:val="4"/>
        </w:numPr>
        <w:tabs>
          <w:tab w:val="left" w:pos="720"/>
        </w:tabs>
        <w:spacing w:line="280" w:lineRule="exact"/>
        <w:rPr>
          <w:sz w:val="22"/>
        </w:rPr>
      </w:pPr>
      <w:r w:rsidRPr="00D52EDB">
        <w:rPr>
          <w:sz w:val="22"/>
        </w:rPr>
        <w:t xml:space="preserve">Use of the </w:t>
      </w:r>
      <w:r w:rsidRPr="00D52EDB">
        <w:rPr>
          <w:sz w:val="22"/>
        </w:rPr>
        <w:t>information;</w:t>
      </w:r>
    </w:p>
    <w:p w:rsidR="00B556DA" w:rsidRPr="00D52EDB" w14:paraId="2090A4F8" w14:textId="77777777">
      <w:pPr>
        <w:numPr>
          <w:ilvl w:val="0"/>
          <w:numId w:val="4"/>
        </w:numPr>
        <w:tabs>
          <w:tab w:val="left" w:pos="720"/>
        </w:tabs>
        <w:spacing w:line="280" w:lineRule="exact"/>
        <w:rPr>
          <w:sz w:val="22"/>
        </w:rPr>
      </w:pPr>
      <w:r w:rsidRPr="00D52EDB">
        <w:rPr>
          <w:sz w:val="22"/>
        </w:rPr>
        <w:t xml:space="preserve">Burden </w:t>
      </w:r>
      <w:r w:rsidRPr="00D52EDB">
        <w:rPr>
          <w:sz w:val="22"/>
        </w:rPr>
        <w:t>estimate;</w:t>
      </w:r>
    </w:p>
    <w:p w:rsidR="00B556DA" w:rsidRPr="00D52EDB" w14:paraId="68158A38" w14:textId="77777777">
      <w:pPr>
        <w:numPr>
          <w:ilvl w:val="0"/>
          <w:numId w:val="4"/>
        </w:numPr>
        <w:tabs>
          <w:tab w:val="left" w:pos="720"/>
        </w:tabs>
        <w:spacing w:line="280" w:lineRule="exact"/>
        <w:rPr>
          <w:sz w:val="22"/>
        </w:rPr>
      </w:pPr>
      <w:r w:rsidRPr="00D52EDB">
        <w:rPr>
          <w:sz w:val="22"/>
        </w:rPr>
        <w:t>Nature of response (voluntary, required for a benefit, or mandatory</w:t>
      </w:r>
      <w:r w:rsidRPr="00D52EDB">
        <w:rPr>
          <w:sz w:val="22"/>
        </w:rPr>
        <w:t>);</w:t>
      </w:r>
    </w:p>
    <w:p w:rsidR="00B556DA" w:rsidRPr="00D52EDB" w14:paraId="1D64752A" w14:textId="77777777">
      <w:pPr>
        <w:numPr>
          <w:ilvl w:val="0"/>
          <w:numId w:val="4"/>
        </w:numPr>
        <w:tabs>
          <w:tab w:val="left" w:pos="720"/>
        </w:tabs>
        <w:spacing w:line="280" w:lineRule="exact"/>
        <w:rPr>
          <w:sz w:val="22"/>
        </w:rPr>
      </w:pPr>
      <w:r w:rsidRPr="00D52EDB">
        <w:rPr>
          <w:sz w:val="22"/>
        </w:rPr>
        <w:t>Nature and extent of confidentiality; and</w:t>
      </w:r>
    </w:p>
    <w:p w:rsidR="00B556DA" w:rsidRPr="00D52EDB" w14:paraId="31EF9889" w14:textId="77777777">
      <w:pPr>
        <w:numPr>
          <w:ilvl w:val="0"/>
          <w:numId w:val="4"/>
        </w:numPr>
        <w:tabs>
          <w:tab w:val="left" w:pos="720"/>
        </w:tabs>
        <w:spacing w:line="280" w:lineRule="exact"/>
        <w:rPr>
          <w:sz w:val="22"/>
        </w:rPr>
      </w:pPr>
      <w:r w:rsidRPr="00D52EDB">
        <w:rPr>
          <w:sz w:val="22"/>
        </w:rPr>
        <w:t xml:space="preserve">Need to display currently valid OMB control </w:t>
      </w:r>
      <w:r w:rsidRPr="00D52EDB">
        <w:rPr>
          <w:sz w:val="22"/>
        </w:rPr>
        <w:t>number;</w:t>
      </w:r>
    </w:p>
    <w:p w:rsidR="00B556DA" w:rsidRPr="00D52EDB" w14:paraId="4FBB9629" w14:textId="77777777">
      <w:pPr>
        <w:numPr>
          <w:ilvl w:val="0"/>
          <w:numId w:val="5"/>
        </w:numPr>
        <w:tabs>
          <w:tab w:val="left" w:pos="720"/>
        </w:tabs>
        <w:spacing w:line="280" w:lineRule="exact"/>
        <w:rPr>
          <w:sz w:val="22"/>
        </w:rPr>
      </w:pPr>
      <w:r w:rsidRPr="00D52EDB">
        <w:rPr>
          <w:sz w:val="22"/>
        </w:rPr>
        <w:t xml:space="preserve">It was developed by </w:t>
      </w:r>
      <w:r w:rsidRPr="00D52EDB">
        <w:rPr>
          <w:sz w:val="22"/>
        </w:rPr>
        <w:t>an  office</w:t>
      </w:r>
      <w:r w:rsidRPr="00D52EDB">
        <w:rPr>
          <w:sz w:val="22"/>
        </w:rPr>
        <w:t xml:space="preserve"> that has planned and allocated resources for the efficient and effective management and use of the information to collected (see note in item 19 of the instructions);</w:t>
      </w:r>
    </w:p>
    <w:p w:rsidR="00B556DA" w:rsidRPr="00D52EDB" w14:paraId="6A7C8D4A" w14:textId="77777777">
      <w:pPr>
        <w:numPr>
          <w:ilvl w:val="0"/>
          <w:numId w:val="6"/>
        </w:numPr>
        <w:tabs>
          <w:tab w:val="left" w:pos="720"/>
        </w:tabs>
        <w:spacing w:line="280" w:lineRule="exact"/>
        <w:rPr>
          <w:sz w:val="22"/>
        </w:rPr>
      </w:pPr>
      <w:r w:rsidRPr="00D52EDB">
        <w:rPr>
          <w:sz w:val="22"/>
        </w:rPr>
        <w:t>It uses effective and efficient statistical survey methodology; and</w:t>
      </w:r>
    </w:p>
    <w:p w:rsidR="00B556DA" w:rsidRPr="00D52EDB" w14:paraId="47454D63" w14:textId="77777777">
      <w:pPr>
        <w:numPr>
          <w:ilvl w:val="0"/>
          <w:numId w:val="6"/>
        </w:numPr>
        <w:tabs>
          <w:tab w:val="left" w:pos="720"/>
        </w:tabs>
        <w:spacing w:line="280" w:lineRule="exact"/>
        <w:rPr>
          <w:sz w:val="22"/>
        </w:rPr>
      </w:pPr>
      <w:r w:rsidRPr="00D52EDB">
        <w:rPr>
          <w:sz w:val="22"/>
        </w:rPr>
        <w:t>It makes appropriate use of information technology.</w:t>
      </w:r>
    </w:p>
    <w:p w:rsidR="00B556DA" w:rsidRPr="00D52EDB" w14:paraId="48B6B252" w14:textId="77777777">
      <w:pPr>
        <w:tabs>
          <w:tab w:val="left" w:pos="600"/>
        </w:tabs>
        <w:spacing w:line="280" w:lineRule="exact"/>
        <w:rPr>
          <w:sz w:val="22"/>
        </w:rPr>
      </w:pPr>
    </w:p>
    <w:p w:rsidR="00B556DA" w:rsidRPr="00D52EDB" w14:paraId="23E3C816" w14:textId="77777777">
      <w:pPr>
        <w:tabs>
          <w:tab w:val="left" w:pos="600"/>
        </w:tabs>
        <w:spacing w:line="280" w:lineRule="exact"/>
        <w:rPr>
          <w:sz w:val="22"/>
        </w:rPr>
      </w:pPr>
      <w:r w:rsidRPr="00D52EDB">
        <w:rPr>
          <w:sz w:val="22"/>
        </w:rPr>
        <w:t>If you are unable to certify compliance with any of these provisions, identify the item below and explain the reason in item 18 of the Supporting Statement.</w:t>
      </w:r>
    </w:p>
    <w:p w:rsidR="00B556DA" w:rsidRPr="00D52EDB" w14:paraId="747FB4BA" w14:textId="77777777">
      <w:pPr>
        <w:tabs>
          <w:tab w:val="left" w:pos="240"/>
        </w:tabs>
        <w:ind w:left="240"/>
      </w:pPr>
      <w:r w:rsidRPr="00D52EDB">
        <w:fldChar w:fldCharType="begin">
          <w:ffData>
            <w:name w:val="Text20"/>
            <w:enabled/>
            <w:calcOnExit w:val="0"/>
            <w:textInput/>
          </w:ffData>
        </w:fldChar>
      </w:r>
      <w:bookmarkStart w:id="0" w:name="Text20"/>
      <w:r w:rsidRPr="00D52EDB">
        <w:instrText xml:space="preserve"> FORMTEXT </w:instrText>
      </w:r>
      <w:r w:rsidRPr="00D52EDB">
        <w:fldChar w:fldCharType="separate"/>
      </w:r>
      <w:r w:rsidRPr="00D52EDB">
        <w:rPr>
          <w:noProof/>
        </w:rPr>
        <w:t> </w:t>
      </w:r>
      <w:r w:rsidRPr="00D52EDB">
        <w:rPr>
          <w:noProof/>
        </w:rPr>
        <w:t> </w:t>
      </w:r>
      <w:r w:rsidRPr="00D52EDB">
        <w:rPr>
          <w:noProof/>
        </w:rPr>
        <w:t> </w:t>
      </w:r>
      <w:r w:rsidRPr="00D52EDB">
        <w:rPr>
          <w:noProof/>
        </w:rPr>
        <w:t> </w:t>
      </w:r>
      <w:r w:rsidRPr="00D52EDB">
        <w:rPr>
          <w:noProof/>
        </w:rPr>
        <w:t> </w:t>
      </w:r>
      <w:r w:rsidRPr="00D52EDB">
        <w:fldChar w:fldCharType="end"/>
      </w:r>
      <w:bookmarkEnd w:id="0"/>
    </w:p>
    <w:p w:rsidR="00B556DA" w:rsidRPr="00D52EDB" w14:paraId="62454160" w14:textId="77777777">
      <w:pPr>
        <w:tabs>
          <w:tab w:val="left" w:pos="240"/>
        </w:tabs>
      </w:pPr>
    </w:p>
    <w:tbl>
      <w:tblPr>
        <w:tblW w:w="0" w:type="auto"/>
        <w:tblLayout w:type="fixed"/>
        <w:tblLook w:val="0000"/>
      </w:tblPr>
      <w:tblGrid>
        <w:gridCol w:w="8388"/>
        <w:gridCol w:w="2628"/>
      </w:tblGrid>
      <w:tr w14:paraId="7BA7F943" w14:textId="77777777">
        <w:tblPrEx>
          <w:tblW w:w="0" w:type="auto"/>
          <w:tblLayout w:type="fixed"/>
          <w:tblLook w:val="0000"/>
        </w:tblPrEx>
        <w:tc>
          <w:tcPr>
            <w:tcW w:w="8388" w:type="dxa"/>
            <w:tcBorders>
              <w:top w:val="single" w:sz="6" w:space="0" w:color="auto"/>
              <w:bottom w:val="single" w:sz="6" w:space="0" w:color="auto"/>
            </w:tcBorders>
          </w:tcPr>
          <w:p w:rsidR="00B556DA" w:rsidRPr="00D52EDB" w14:paraId="15E9D8D1" w14:textId="77777777">
            <w:pPr>
              <w:tabs>
                <w:tab w:val="left" w:pos="240"/>
              </w:tabs>
              <w:rPr>
                <w:sz w:val="16"/>
              </w:rPr>
            </w:pPr>
            <w:r w:rsidRPr="00D52EDB">
              <w:rPr>
                <w:sz w:val="16"/>
              </w:rPr>
              <w:t>Signature of Program Official:</w:t>
            </w:r>
          </w:p>
          <w:p w:rsidR="00B556DA" w:rsidRPr="00D52EDB" w14:paraId="472F94B4" w14:textId="77777777">
            <w:pPr>
              <w:tabs>
                <w:tab w:val="left" w:pos="240"/>
              </w:tabs>
              <w:rPr>
                <w:sz w:val="16"/>
              </w:rPr>
            </w:pPr>
          </w:p>
          <w:p w:rsidR="00B556DA" w:rsidRPr="00D52EDB" w14:paraId="0768A1E0" w14:textId="77777777">
            <w:pPr>
              <w:tabs>
                <w:tab w:val="left" w:pos="240"/>
              </w:tabs>
              <w:rPr>
                <w:sz w:val="16"/>
              </w:rPr>
            </w:pPr>
          </w:p>
          <w:p w:rsidR="00B556DA" w:rsidRPr="00D52EDB" w14:paraId="5416B1BE" w14:textId="77777777">
            <w:pPr>
              <w:tabs>
                <w:tab w:val="left" w:pos="240"/>
              </w:tabs>
              <w:rPr>
                <w:sz w:val="16"/>
              </w:rPr>
            </w:pPr>
          </w:p>
          <w:p w:rsidR="00B556DA" w:rsidRPr="00D52EDB" w14:paraId="05AD95AD" w14:textId="39395148">
            <w:pPr>
              <w:tabs>
                <w:tab w:val="left" w:pos="240"/>
              </w:tabs>
              <w:rPr>
                <w:sz w:val="16"/>
              </w:rPr>
            </w:pPr>
            <w:r w:rsidRPr="00D52EDB">
              <w:rPr>
                <w:sz w:val="16"/>
              </w:rPr>
              <w:t xml:space="preserve">X </w:t>
            </w:r>
            <w:r w:rsidRPr="00D52EDB" w:rsidR="003A7547">
              <w:rPr>
                <w:sz w:val="16"/>
              </w:rPr>
              <w:t>Danielle Bastarache</w:t>
            </w:r>
            <w:r w:rsidRPr="00D52EDB">
              <w:rPr>
                <w:sz w:val="16"/>
              </w:rPr>
              <w:t>,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Pr="00D52EDB" w14:paraId="6F53C48B" w14:textId="77777777">
            <w:pPr>
              <w:tabs>
                <w:tab w:val="left" w:pos="240"/>
              </w:tabs>
              <w:rPr>
                <w:sz w:val="16"/>
              </w:rPr>
            </w:pPr>
            <w:r w:rsidRPr="00D52EDB">
              <w:rPr>
                <w:sz w:val="16"/>
              </w:rPr>
              <w:t>Date:</w:t>
            </w:r>
          </w:p>
        </w:tc>
      </w:tr>
    </w:tbl>
    <w:p w:rsidR="00CF67E7" w:rsidRPr="00621587" w:rsidP="008933A9" w14:paraId="677BDF7E" w14:textId="00A43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sectPr w:rsidSect="00B8157F">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3E1" w14:paraId="10A7A7CD"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3E1" w:rsidRPr="008933A9" w:rsidP="008933A9" w14:paraId="0AE376BE" w14:textId="171B31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3E1" w14:paraId="012E1B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5C0A5F"/>
    <w:multiLevelType w:val="hybridMultilevel"/>
    <w:tmpl w:val="25989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BB483E"/>
    <w:multiLevelType w:val="hybridMultilevel"/>
    <w:tmpl w:val="EBF010A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43537EF"/>
    <w:multiLevelType w:val="hybridMultilevel"/>
    <w:tmpl w:val="1632DD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91681D"/>
    <w:multiLevelType w:val="hybridMultilevel"/>
    <w:tmpl w:val="7320FF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492B63"/>
    <w:multiLevelType w:val="hybridMultilevel"/>
    <w:tmpl w:val="5262E74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1">
    <w:nsid w:val="3AC83FD8"/>
    <w:multiLevelType w:val="hybridMultilevel"/>
    <w:tmpl w:val="833291D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012DB7"/>
    <w:multiLevelType w:val="hybridMultilevel"/>
    <w:tmpl w:val="FD8A62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3D5D92"/>
    <w:multiLevelType w:val="hybridMultilevel"/>
    <w:tmpl w:val="F10E6AD0"/>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4">
    <w:nsid w:val="458C5BD9"/>
    <w:multiLevelType w:val="hybrid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206095"/>
    <w:multiLevelType w:val="hybridMulti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9B1C44"/>
    <w:multiLevelType w:val="hybridMultilevel"/>
    <w:tmpl w:val="15C458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E35F0D"/>
    <w:multiLevelType w:val="hybridMultilevel"/>
    <w:tmpl w:val="6C1E3B84"/>
    <w:lvl w:ilvl="0">
      <w:start w:val="1"/>
      <w:numFmt w:val="decimal"/>
      <w:lvlText w:val="%1."/>
      <w:lvlJc w:val="left"/>
      <w:pPr>
        <w:tabs>
          <w:tab w:val="num" w:pos="840"/>
        </w:tabs>
        <w:ind w:left="840" w:hanging="360"/>
      </w:p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nsid w:val="62ED5D6D"/>
    <w:multiLevelType w:val="hybridMultilevel"/>
    <w:tmpl w:val="B232B4E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A1C0694"/>
    <w:multiLevelType w:val="hybridMultilevel"/>
    <w:tmpl w:val="1FD236C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6DBF0C1E"/>
    <w:multiLevelType w:val="hybridMultilevel"/>
    <w:tmpl w:val="2A1C0242"/>
    <w:lvl w:ilvl="0">
      <w:start w:val="17"/>
      <w:numFmt w:val="decimal"/>
      <w:lvlText w:val="%1."/>
      <w:legacy w:legacy="1" w:legacySpace="120" w:legacyIndent="432"/>
      <w:lvlJc w:val="left"/>
      <w:pPr>
        <w:ind w:left="432" w:hanging="43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34B6389"/>
    <w:multiLevelType w:val="hybridMulti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68C1891"/>
    <w:multiLevelType w:val="hybridMultilevel"/>
    <w:tmpl w:val="C194FC9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78AD586B"/>
    <w:multiLevelType w:val="hybridMulti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A1B2E99"/>
    <w:multiLevelType w:val="hybridMulti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CF87DEE"/>
    <w:multiLevelType w:val="hybridMultilevel"/>
    <w:tmpl w:val="F04C5AA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81012918">
    <w:abstractNumId w:val="3"/>
  </w:num>
  <w:num w:numId="2" w16cid:durableId="761069818">
    <w:abstractNumId w:val="25"/>
  </w:num>
  <w:num w:numId="3" w16cid:durableId="297883347">
    <w:abstractNumId w:val="1"/>
  </w:num>
  <w:num w:numId="4" w16cid:durableId="1986353621">
    <w:abstractNumId w:val="24"/>
  </w:num>
  <w:num w:numId="5" w16cid:durableId="1141734477">
    <w:abstractNumId w:val="22"/>
  </w:num>
  <w:num w:numId="6" w16cid:durableId="379286252">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400786565">
    <w:abstractNumId w:val="15"/>
  </w:num>
  <w:num w:numId="8" w16cid:durableId="75840557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194074645">
    <w:abstractNumId w:val="16"/>
  </w:num>
  <w:num w:numId="10" w16cid:durableId="1184630949">
    <w:abstractNumId w:val="11"/>
  </w:num>
  <w:num w:numId="11" w16cid:durableId="62531812">
    <w:abstractNumId w:val="19"/>
  </w:num>
  <w:num w:numId="12" w16cid:durableId="2047751946">
    <w:abstractNumId w:val="18"/>
  </w:num>
  <w:num w:numId="13" w16cid:durableId="346834661">
    <w:abstractNumId w:val="26"/>
  </w:num>
  <w:num w:numId="14" w16cid:durableId="2008751250">
    <w:abstractNumId w:val="6"/>
  </w:num>
  <w:num w:numId="15" w16cid:durableId="1054547339">
    <w:abstractNumId w:val="14"/>
  </w:num>
  <w:num w:numId="16" w16cid:durableId="648288048">
    <w:abstractNumId w:val="8"/>
  </w:num>
  <w:num w:numId="17" w16cid:durableId="1830511072">
    <w:abstractNumId w:val="7"/>
  </w:num>
  <w:num w:numId="18" w16cid:durableId="1802722311">
    <w:abstractNumId w:val="13"/>
  </w:num>
  <w:num w:numId="19" w16cid:durableId="271789575">
    <w:abstractNumId w:val="2"/>
  </w:num>
  <w:num w:numId="20" w16cid:durableId="627317162">
    <w:abstractNumId w:val="17"/>
  </w:num>
  <w:num w:numId="21" w16cid:durableId="1651787562">
    <w:abstractNumId w:val="4"/>
  </w:num>
  <w:num w:numId="22" w16cid:durableId="407459105">
    <w:abstractNumId w:val="21"/>
  </w:num>
  <w:num w:numId="23" w16cid:durableId="1496414180">
    <w:abstractNumId w:val="23"/>
  </w:num>
  <w:num w:numId="24" w16cid:durableId="1899197522">
    <w:abstractNumId w:val="12"/>
  </w:num>
  <w:num w:numId="25" w16cid:durableId="2058426924">
    <w:abstractNumId w:val="5"/>
  </w:num>
  <w:num w:numId="26" w16cid:durableId="1565797260">
    <w:abstractNumId w:val="10"/>
  </w:num>
  <w:num w:numId="27" w16cid:durableId="2004703911">
    <w:abstractNumId w:val="20"/>
  </w:num>
  <w:num w:numId="28" w16cid:durableId="53840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90DF3"/>
    <w:rsid w:val="00000E26"/>
    <w:rsid w:val="00002379"/>
    <w:rsid w:val="00002B4A"/>
    <w:rsid w:val="00002F0F"/>
    <w:rsid w:val="00003EE8"/>
    <w:rsid w:val="00004B67"/>
    <w:rsid w:val="00010294"/>
    <w:rsid w:val="000137BD"/>
    <w:rsid w:val="000145E6"/>
    <w:rsid w:val="00015185"/>
    <w:rsid w:val="00015D7D"/>
    <w:rsid w:val="000160C5"/>
    <w:rsid w:val="00017A05"/>
    <w:rsid w:val="00020329"/>
    <w:rsid w:val="00020EEE"/>
    <w:rsid w:val="00023CBC"/>
    <w:rsid w:val="000304D0"/>
    <w:rsid w:val="00030C8C"/>
    <w:rsid w:val="0003312F"/>
    <w:rsid w:val="0004096D"/>
    <w:rsid w:val="00042A5F"/>
    <w:rsid w:val="0004302E"/>
    <w:rsid w:val="00051297"/>
    <w:rsid w:val="000534CE"/>
    <w:rsid w:val="00053ADA"/>
    <w:rsid w:val="00053E93"/>
    <w:rsid w:val="00054306"/>
    <w:rsid w:val="00057FD3"/>
    <w:rsid w:val="0006017B"/>
    <w:rsid w:val="00061DD6"/>
    <w:rsid w:val="000654FD"/>
    <w:rsid w:val="000666DD"/>
    <w:rsid w:val="00087284"/>
    <w:rsid w:val="00087E11"/>
    <w:rsid w:val="000912B9"/>
    <w:rsid w:val="00094DCE"/>
    <w:rsid w:val="00096396"/>
    <w:rsid w:val="00097C25"/>
    <w:rsid w:val="000A661F"/>
    <w:rsid w:val="000A7878"/>
    <w:rsid w:val="000B1319"/>
    <w:rsid w:val="000B367B"/>
    <w:rsid w:val="000B50A9"/>
    <w:rsid w:val="000C1738"/>
    <w:rsid w:val="000C2DEC"/>
    <w:rsid w:val="000C6414"/>
    <w:rsid w:val="000D0AC5"/>
    <w:rsid w:val="000D1CE3"/>
    <w:rsid w:val="000D2DCD"/>
    <w:rsid w:val="000D402C"/>
    <w:rsid w:val="000E3188"/>
    <w:rsid w:val="000E3230"/>
    <w:rsid w:val="000E464C"/>
    <w:rsid w:val="000F5A45"/>
    <w:rsid w:val="000F6762"/>
    <w:rsid w:val="000F68C5"/>
    <w:rsid w:val="000F6D64"/>
    <w:rsid w:val="000F7D4D"/>
    <w:rsid w:val="00102144"/>
    <w:rsid w:val="00112497"/>
    <w:rsid w:val="001126A5"/>
    <w:rsid w:val="00122C0D"/>
    <w:rsid w:val="00123BC5"/>
    <w:rsid w:val="0012437F"/>
    <w:rsid w:val="001323B9"/>
    <w:rsid w:val="00136CA7"/>
    <w:rsid w:val="00137FB8"/>
    <w:rsid w:val="00141742"/>
    <w:rsid w:val="00142336"/>
    <w:rsid w:val="00144D6F"/>
    <w:rsid w:val="001510D5"/>
    <w:rsid w:val="00160E0C"/>
    <w:rsid w:val="00163D13"/>
    <w:rsid w:val="00164B05"/>
    <w:rsid w:val="00165E94"/>
    <w:rsid w:val="00166FFF"/>
    <w:rsid w:val="0017035E"/>
    <w:rsid w:val="001705BA"/>
    <w:rsid w:val="0017086B"/>
    <w:rsid w:val="00173604"/>
    <w:rsid w:val="00175721"/>
    <w:rsid w:val="00176BCD"/>
    <w:rsid w:val="001824B2"/>
    <w:rsid w:val="001829C8"/>
    <w:rsid w:val="00182E01"/>
    <w:rsid w:val="00183E2A"/>
    <w:rsid w:val="001908A0"/>
    <w:rsid w:val="0019108A"/>
    <w:rsid w:val="0019472E"/>
    <w:rsid w:val="001951FC"/>
    <w:rsid w:val="00196107"/>
    <w:rsid w:val="0019699F"/>
    <w:rsid w:val="001A338A"/>
    <w:rsid w:val="001A6A79"/>
    <w:rsid w:val="001A7498"/>
    <w:rsid w:val="001B01CC"/>
    <w:rsid w:val="001B0965"/>
    <w:rsid w:val="001B655C"/>
    <w:rsid w:val="001B6F42"/>
    <w:rsid w:val="001B7744"/>
    <w:rsid w:val="001C157A"/>
    <w:rsid w:val="001D473D"/>
    <w:rsid w:val="001D7532"/>
    <w:rsid w:val="001E3FD2"/>
    <w:rsid w:val="001E5347"/>
    <w:rsid w:val="001E61CD"/>
    <w:rsid w:val="001F1425"/>
    <w:rsid w:val="001F1560"/>
    <w:rsid w:val="001F253B"/>
    <w:rsid w:val="001F5C5C"/>
    <w:rsid w:val="00201BE9"/>
    <w:rsid w:val="002119AB"/>
    <w:rsid w:val="0021333A"/>
    <w:rsid w:val="002134FD"/>
    <w:rsid w:val="002137FB"/>
    <w:rsid w:val="00216EE5"/>
    <w:rsid w:val="0022000D"/>
    <w:rsid w:val="00220BB7"/>
    <w:rsid w:val="00220CC6"/>
    <w:rsid w:val="002236C8"/>
    <w:rsid w:val="00225AB6"/>
    <w:rsid w:val="00227B85"/>
    <w:rsid w:val="00232FBF"/>
    <w:rsid w:val="00234CBC"/>
    <w:rsid w:val="002354D4"/>
    <w:rsid w:val="002417A0"/>
    <w:rsid w:val="002437C4"/>
    <w:rsid w:val="00244280"/>
    <w:rsid w:val="00244AB9"/>
    <w:rsid w:val="0024784A"/>
    <w:rsid w:val="002508F9"/>
    <w:rsid w:val="002510E2"/>
    <w:rsid w:val="00254C0E"/>
    <w:rsid w:val="00255DAD"/>
    <w:rsid w:val="00257850"/>
    <w:rsid w:val="00257A76"/>
    <w:rsid w:val="00260758"/>
    <w:rsid w:val="00262D9C"/>
    <w:rsid w:val="002639CF"/>
    <w:rsid w:val="002667A9"/>
    <w:rsid w:val="00266851"/>
    <w:rsid w:val="00271BB1"/>
    <w:rsid w:val="00271C79"/>
    <w:rsid w:val="00273024"/>
    <w:rsid w:val="002757FC"/>
    <w:rsid w:val="002760A2"/>
    <w:rsid w:val="00276986"/>
    <w:rsid w:val="00280217"/>
    <w:rsid w:val="002826B4"/>
    <w:rsid w:val="00284C55"/>
    <w:rsid w:val="00286D11"/>
    <w:rsid w:val="002A13CF"/>
    <w:rsid w:val="002A1DF2"/>
    <w:rsid w:val="002A3962"/>
    <w:rsid w:val="002B1604"/>
    <w:rsid w:val="002B4DB5"/>
    <w:rsid w:val="002B6F97"/>
    <w:rsid w:val="002C0998"/>
    <w:rsid w:val="002C3784"/>
    <w:rsid w:val="002C3B12"/>
    <w:rsid w:val="002C4291"/>
    <w:rsid w:val="002C71AF"/>
    <w:rsid w:val="002C74DA"/>
    <w:rsid w:val="002D0101"/>
    <w:rsid w:val="002D119C"/>
    <w:rsid w:val="002D27DD"/>
    <w:rsid w:val="002D4413"/>
    <w:rsid w:val="002D4893"/>
    <w:rsid w:val="002D7CCD"/>
    <w:rsid w:val="002E3228"/>
    <w:rsid w:val="002E34DC"/>
    <w:rsid w:val="002E3D18"/>
    <w:rsid w:val="002E6F69"/>
    <w:rsid w:val="002E78EB"/>
    <w:rsid w:val="002F2F78"/>
    <w:rsid w:val="002F32E1"/>
    <w:rsid w:val="002F724C"/>
    <w:rsid w:val="002F7E6A"/>
    <w:rsid w:val="00305335"/>
    <w:rsid w:val="00307FE2"/>
    <w:rsid w:val="003141CF"/>
    <w:rsid w:val="00317771"/>
    <w:rsid w:val="00320687"/>
    <w:rsid w:val="003220DE"/>
    <w:rsid w:val="003229F1"/>
    <w:rsid w:val="003234AB"/>
    <w:rsid w:val="00323F85"/>
    <w:rsid w:val="0033031E"/>
    <w:rsid w:val="00330A1B"/>
    <w:rsid w:val="00333705"/>
    <w:rsid w:val="00336CE4"/>
    <w:rsid w:val="00337924"/>
    <w:rsid w:val="00337997"/>
    <w:rsid w:val="00341269"/>
    <w:rsid w:val="00341A59"/>
    <w:rsid w:val="003458DA"/>
    <w:rsid w:val="0034642E"/>
    <w:rsid w:val="00350266"/>
    <w:rsid w:val="00350BB6"/>
    <w:rsid w:val="003515C9"/>
    <w:rsid w:val="00351815"/>
    <w:rsid w:val="00352CC5"/>
    <w:rsid w:val="003532AE"/>
    <w:rsid w:val="0035518E"/>
    <w:rsid w:val="00355F94"/>
    <w:rsid w:val="00363235"/>
    <w:rsid w:val="003641EE"/>
    <w:rsid w:val="0037076C"/>
    <w:rsid w:val="003710D6"/>
    <w:rsid w:val="003714C6"/>
    <w:rsid w:val="00373CC0"/>
    <w:rsid w:val="00374A48"/>
    <w:rsid w:val="00375BD4"/>
    <w:rsid w:val="00382812"/>
    <w:rsid w:val="00384AA3"/>
    <w:rsid w:val="003856F9"/>
    <w:rsid w:val="003873CA"/>
    <w:rsid w:val="003877FD"/>
    <w:rsid w:val="0039374E"/>
    <w:rsid w:val="00396481"/>
    <w:rsid w:val="003A6A6A"/>
    <w:rsid w:val="003A7547"/>
    <w:rsid w:val="003B0108"/>
    <w:rsid w:val="003B27DB"/>
    <w:rsid w:val="003B32A0"/>
    <w:rsid w:val="003B346B"/>
    <w:rsid w:val="003B606B"/>
    <w:rsid w:val="003C014A"/>
    <w:rsid w:val="003C117A"/>
    <w:rsid w:val="003C38E0"/>
    <w:rsid w:val="003C61E7"/>
    <w:rsid w:val="003C6CC4"/>
    <w:rsid w:val="003D36CD"/>
    <w:rsid w:val="003D39FD"/>
    <w:rsid w:val="003E66C8"/>
    <w:rsid w:val="003F06F5"/>
    <w:rsid w:val="003F2D7A"/>
    <w:rsid w:val="003F3430"/>
    <w:rsid w:val="003F7C7B"/>
    <w:rsid w:val="00400689"/>
    <w:rsid w:val="004007CA"/>
    <w:rsid w:val="00405124"/>
    <w:rsid w:val="004074B5"/>
    <w:rsid w:val="0041437D"/>
    <w:rsid w:val="00415422"/>
    <w:rsid w:val="00415487"/>
    <w:rsid w:val="00417A37"/>
    <w:rsid w:val="0042389B"/>
    <w:rsid w:val="00423B1D"/>
    <w:rsid w:val="00431789"/>
    <w:rsid w:val="00431872"/>
    <w:rsid w:val="004320F3"/>
    <w:rsid w:val="00433270"/>
    <w:rsid w:val="00435FCC"/>
    <w:rsid w:val="00436108"/>
    <w:rsid w:val="0044067E"/>
    <w:rsid w:val="0044207B"/>
    <w:rsid w:val="004438C0"/>
    <w:rsid w:val="00446BBA"/>
    <w:rsid w:val="00446F92"/>
    <w:rsid w:val="00450F2B"/>
    <w:rsid w:val="00451E09"/>
    <w:rsid w:val="004530F4"/>
    <w:rsid w:val="004539D2"/>
    <w:rsid w:val="00454809"/>
    <w:rsid w:val="00460F9B"/>
    <w:rsid w:val="004628A0"/>
    <w:rsid w:val="004637F1"/>
    <w:rsid w:val="00467954"/>
    <w:rsid w:val="00467C55"/>
    <w:rsid w:val="00470293"/>
    <w:rsid w:val="00470920"/>
    <w:rsid w:val="0047221F"/>
    <w:rsid w:val="004738E6"/>
    <w:rsid w:val="004740D0"/>
    <w:rsid w:val="004755F0"/>
    <w:rsid w:val="00477BBB"/>
    <w:rsid w:val="0048018F"/>
    <w:rsid w:val="00483AB0"/>
    <w:rsid w:val="00486401"/>
    <w:rsid w:val="004932A6"/>
    <w:rsid w:val="0049547A"/>
    <w:rsid w:val="004A2E91"/>
    <w:rsid w:val="004A3126"/>
    <w:rsid w:val="004A33E2"/>
    <w:rsid w:val="004B53ED"/>
    <w:rsid w:val="004B7C27"/>
    <w:rsid w:val="004B7D28"/>
    <w:rsid w:val="004B7FF7"/>
    <w:rsid w:val="004C0CB6"/>
    <w:rsid w:val="004C528C"/>
    <w:rsid w:val="004C6A43"/>
    <w:rsid w:val="004C6AF2"/>
    <w:rsid w:val="004C707D"/>
    <w:rsid w:val="004D52B2"/>
    <w:rsid w:val="004D5386"/>
    <w:rsid w:val="004D5685"/>
    <w:rsid w:val="004D6C3D"/>
    <w:rsid w:val="004D7116"/>
    <w:rsid w:val="004E0615"/>
    <w:rsid w:val="004E1059"/>
    <w:rsid w:val="004E244E"/>
    <w:rsid w:val="004E340D"/>
    <w:rsid w:val="004E34E3"/>
    <w:rsid w:val="004E55F7"/>
    <w:rsid w:val="004E5CBB"/>
    <w:rsid w:val="004E6B39"/>
    <w:rsid w:val="004E7352"/>
    <w:rsid w:val="004F7C38"/>
    <w:rsid w:val="004F7C81"/>
    <w:rsid w:val="00500834"/>
    <w:rsid w:val="00500F7F"/>
    <w:rsid w:val="00507F01"/>
    <w:rsid w:val="00511347"/>
    <w:rsid w:val="0051192C"/>
    <w:rsid w:val="005164CF"/>
    <w:rsid w:val="0051732E"/>
    <w:rsid w:val="00517785"/>
    <w:rsid w:val="00522169"/>
    <w:rsid w:val="00524CAB"/>
    <w:rsid w:val="00525159"/>
    <w:rsid w:val="00531253"/>
    <w:rsid w:val="00533F57"/>
    <w:rsid w:val="00534EC1"/>
    <w:rsid w:val="00536A89"/>
    <w:rsid w:val="00544EB5"/>
    <w:rsid w:val="005475BA"/>
    <w:rsid w:val="00550619"/>
    <w:rsid w:val="00550B97"/>
    <w:rsid w:val="00551F77"/>
    <w:rsid w:val="00557E95"/>
    <w:rsid w:val="00560283"/>
    <w:rsid w:val="00560911"/>
    <w:rsid w:val="005629EF"/>
    <w:rsid w:val="00563A0F"/>
    <w:rsid w:val="00563DD1"/>
    <w:rsid w:val="0056452A"/>
    <w:rsid w:val="005658A7"/>
    <w:rsid w:val="00566681"/>
    <w:rsid w:val="005674A1"/>
    <w:rsid w:val="00567536"/>
    <w:rsid w:val="00567E73"/>
    <w:rsid w:val="00570DDC"/>
    <w:rsid w:val="005725B4"/>
    <w:rsid w:val="00572B76"/>
    <w:rsid w:val="00573524"/>
    <w:rsid w:val="00580639"/>
    <w:rsid w:val="00581439"/>
    <w:rsid w:val="00583787"/>
    <w:rsid w:val="00584C1A"/>
    <w:rsid w:val="005856D6"/>
    <w:rsid w:val="005919A7"/>
    <w:rsid w:val="00592DBC"/>
    <w:rsid w:val="005932CB"/>
    <w:rsid w:val="0059522D"/>
    <w:rsid w:val="005958D7"/>
    <w:rsid w:val="005959AA"/>
    <w:rsid w:val="00595BF2"/>
    <w:rsid w:val="00596044"/>
    <w:rsid w:val="00596C44"/>
    <w:rsid w:val="00597334"/>
    <w:rsid w:val="005A1D1A"/>
    <w:rsid w:val="005A4570"/>
    <w:rsid w:val="005A470F"/>
    <w:rsid w:val="005A4A81"/>
    <w:rsid w:val="005A6DD5"/>
    <w:rsid w:val="005B11F2"/>
    <w:rsid w:val="005B3379"/>
    <w:rsid w:val="005B36D7"/>
    <w:rsid w:val="005B3C4D"/>
    <w:rsid w:val="005B47D5"/>
    <w:rsid w:val="005B5FCC"/>
    <w:rsid w:val="005B6728"/>
    <w:rsid w:val="005B6F65"/>
    <w:rsid w:val="005D262B"/>
    <w:rsid w:val="005D2697"/>
    <w:rsid w:val="005D3152"/>
    <w:rsid w:val="005E2415"/>
    <w:rsid w:val="005E2914"/>
    <w:rsid w:val="005F05BC"/>
    <w:rsid w:val="005F4ED0"/>
    <w:rsid w:val="005F4F04"/>
    <w:rsid w:val="005F5B72"/>
    <w:rsid w:val="005F719C"/>
    <w:rsid w:val="00600998"/>
    <w:rsid w:val="006016B6"/>
    <w:rsid w:val="00602D58"/>
    <w:rsid w:val="006063F7"/>
    <w:rsid w:val="00606838"/>
    <w:rsid w:val="00607A39"/>
    <w:rsid w:val="00613700"/>
    <w:rsid w:val="00615925"/>
    <w:rsid w:val="00621587"/>
    <w:rsid w:val="006218D3"/>
    <w:rsid w:val="006222C1"/>
    <w:rsid w:val="00626115"/>
    <w:rsid w:val="00627D60"/>
    <w:rsid w:val="00630E83"/>
    <w:rsid w:val="00631906"/>
    <w:rsid w:val="0063258D"/>
    <w:rsid w:val="0063416A"/>
    <w:rsid w:val="006418F9"/>
    <w:rsid w:val="00643F32"/>
    <w:rsid w:val="00645FD7"/>
    <w:rsid w:val="0064601C"/>
    <w:rsid w:val="00646938"/>
    <w:rsid w:val="00646BA4"/>
    <w:rsid w:val="00647AAF"/>
    <w:rsid w:val="006524CE"/>
    <w:rsid w:val="00653DDA"/>
    <w:rsid w:val="00655458"/>
    <w:rsid w:val="006557A0"/>
    <w:rsid w:val="006557D0"/>
    <w:rsid w:val="00656113"/>
    <w:rsid w:val="0065686D"/>
    <w:rsid w:val="006572AC"/>
    <w:rsid w:val="0066180E"/>
    <w:rsid w:val="00664C8D"/>
    <w:rsid w:val="00665224"/>
    <w:rsid w:val="006657B4"/>
    <w:rsid w:val="00665DFD"/>
    <w:rsid w:val="00666FCD"/>
    <w:rsid w:val="00672DCA"/>
    <w:rsid w:val="00672DE7"/>
    <w:rsid w:val="00680BA3"/>
    <w:rsid w:val="00685067"/>
    <w:rsid w:val="0068742B"/>
    <w:rsid w:val="0069323D"/>
    <w:rsid w:val="00693E45"/>
    <w:rsid w:val="00694DB4"/>
    <w:rsid w:val="00694EFB"/>
    <w:rsid w:val="00695589"/>
    <w:rsid w:val="00697CF6"/>
    <w:rsid w:val="006A1B26"/>
    <w:rsid w:val="006A24F9"/>
    <w:rsid w:val="006A3102"/>
    <w:rsid w:val="006B09FD"/>
    <w:rsid w:val="006B496A"/>
    <w:rsid w:val="006B7652"/>
    <w:rsid w:val="006B7CB0"/>
    <w:rsid w:val="006C0807"/>
    <w:rsid w:val="006D007C"/>
    <w:rsid w:val="006D069C"/>
    <w:rsid w:val="006D1A35"/>
    <w:rsid w:val="006D3621"/>
    <w:rsid w:val="006D5E9E"/>
    <w:rsid w:val="006E014A"/>
    <w:rsid w:val="006E0458"/>
    <w:rsid w:val="006E0930"/>
    <w:rsid w:val="006E1FAF"/>
    <w:rsid w:val="006E450A"/>
    <w:rsid w:val="006E48AA"/>
    <w:rsid w:val="006E723C"/>
    <w:rsid w:val="006E7768"/>
    <w:rsid w:val="006F046C"/>
    <w:rsid w:val="006F0CC1"/>
    <w:rsid w:val="006F188A"/>
    <w:rsid w:val="00700637"/>
    <w:rsid w:val="00701465"/>
    <w:rsid w:val="0070473D"/>
    <w:rsid w:val="007064F2"/>
    <w:rsid w:val="00707861"/>
    <w:rsid w:val="00707F9D"/>
    <w:rsid w:val="00713889"/>
    <w:rsid w:val="00714B24"/>
    <w:rsid w:val="00720308"/>
    <w:rsid w:val="00720F28"/>
    <w:rsid w:val="00721D3F"/>
    <w:rsid w:val="00722AB7"/>
    <w:rsid w:val="007234DE"/>
    <w:rsid w:val="00723779"/>
    <w:rsid w:val="00724CCA"/>
    <w:rsid w:val="00725225"/>
    <w:rsid w:val="007307DB"/>
    <w:rsid w:val="00733D2B"/>
    <w:rsid w:val="00733FBD"/>
    <w:rsid w:val="00734171"/>
    <w:rsid w:val="00740717"/>
    <w:rsid w:val="00743FED"/>
    <w:rsid w:val="007466F0"/>
    <w:rsid w:val="00747A7C"/>
    <w:rsid w:val="007502A5"/>
    <w:rsid w:val="007506AD"/>
    <w:rsid w:val="007507D1"/>
    <w:rsid w:val="00750D6F"/>
    <w:rsid w:val="00752150"/>
    <w:rsid w:val="00754CE8"/>
    <w:rsid w:val="0076146C"/>
    <w:rsid w:val="00761522"/>
    <w:rsid w:val="007617D9"/>
    <w:rsid w:val="00762897"/>
    <w:rsid w:val="00762BA9"/>
    <w:rsid w:val="00773011"/>
    <w:rsid w:val="007732CC"/>
    <w:rsid w:val="00774DAB"/>
    <w:rsid w:val="00775398"/>
    <w:rsid w:val="0078292C"/>
    <w:rsid w:val="00785089"/>
    <w:rsid w:val="007931E1"/>
    <w:rsid w:val="0079431A"/>
    <w:rsid w:val="00794EA7"/>
    <w:rsid w:val="007A112B"/>
    <w:rsid w:val="007A1FE8"/>
    <w:rsid w:val="007A4D23"/>
    <w:rsid w:val="007A6141"/>
    <w:rsid w:val="007A6163"/>
    <w:rsid w:val="007A6242"/>
    <w:rsid w:val="007A7EBA"/>
    <w:rsid w:val="007B0E49"/>
    <w:rsid w:val="007B29E8"/>
    <w:rsid w:val="007B2E29"/>
    <w:rsid w:val="007B3EFC"/>
    <w:rsid w:val="007B6FD9"/>
    <w:rsid w:val="007B7347"/>
    <w:rsid w:val="007C1D33"/>
    <w:rsid w:val="007C4677"/>
    <w:rsid w:val="007C5343"/>
    <w:rsid w:val="007C5FB1"/>
    <w:rsid w:val="007C6261"/>
    <w:rsid w:val="007C677A"/>
    <w:rsid w:val="007D443D"/>
    <w:rsid w:val="007E0187"/>
    <w:rsid w:val="007E089C"/>
    <w:rsid w:val="007E2FAC"/>
    <w:rsid w:val="007E3CB7"/>
    <w:rsid w:val="007E4A68"/>
    <w:rsid w:val="007E4A7A"/>
    <w:rsid w:val="007E6F3D"/>
    <w:rsid w:val="007F0544"/>
    <w:rsid w:val="007F0E34"/>
    <w:rsid w:val="007F1981"/>
    <w:rsid w:val="007F1DEC"/>
    <w:rsid w:val="007F3D37"/>
    <w:rsid w:val="007F583D"/>
    <w:rsid w:val="00800FF3"/>
    <w:rsid w:val="008012FA"/>
    <w:rsid w:val="00803014"/>
    <w:rsid w:val="00807342"/>
    <w:rsid w:val="00812250"/>
    <w:rsid w:val="00812D53"/>
    <w:rsid w:val="00813B2D"/>
    <w:rsid w:val="00815622"/>
    <w:rsid w:val="00820A6F"/>
    <w:rsid w:val="00821E08"/>
    <w:rsid w:val="008224CA"/>
    <w:rsid w:val="008245B4"/>
    <w:rsid w:val="00826317"/>
    <w:rsid w:val="008271B2"/>
    <w:rsid w:val="00831C26"/>
    <w:rsid w:val="00832234"/>
    <w:rsid w:val="008323A5"/>
    <w:rsid w:val="0083391F"/>
    <w:rsid w:val="0083615C"/>
    <w:rsid w:val="008362B2"/>
    <w:rsid w:val="00836475"/>
    <w:rsid w:val="0083648D"/>
    <w:rsid w:val="00841A3B"/>
    <w:rsid w:val="00851EB7"/>
    <w:rsid w:val="0085438B"/>
    <w:rsid w:val="00854741"/>
    <w:rsid w:val="00855604"/>
    <w:rsid w:val="0085610B"/>
    <w:rsid w:val="00856EDB"/>
    <w:rsid w:val="00860AF8"/>
    <w:rsid w:val="0086338C"/>
    <w:rsid w:val="00865E0C"/>
    <w:rsid w:val="00867358"/>
    <w:rsid w:val="00871376"/>
    <w:rsid w:val="00871BE9"/>
    <w:rsid w:val="008736CB"/>
    <w:rsid w:val="00876887"/>
    <w:rsid w:val="008770E5"/>
    <w:rsid w:val="00877461"/>
    <w:rsid w:val="0088419A"/>
    <w:rsid w:val="00885222"/>
    <w:rsid w:val="00890825"/>
    <w:rsid w:val="00890B1C"/>
    <w:rsid w:val="008933A9"/>
    <w:rsid w:val="00895B0D"/>
    <w:rsid w:val="0089640B"/>
    <w:rsid w:val="008966BF"/>
    <w:rsid w:val="008978F4"/>
    <w:rsid w:val="008A2F3F"/>
    <w:rsid w:val="008A4BF7"/>
    <w:rsid w:val="008B28D5"/>
    <w:rsid w:val="008B39CF"/>
    <w:rsid w:val="008C078B"/>
    <w:rsid w:val="008C09AC"/>
    <w:rsid w:val="008C2B15"/>
    <w:rsid w:val="008C4EC6"/>
    <w:rsid w:val="008C5533"/>
    <w:rsid w:val="008C56B6"/>
    <w:rsid w:val="008C6FF9"/>
    <w:rsid w:val="008D0ED9"/>
    <w:rsid w:val="008D3E5E"/>
    <w:rsid w:val="008D4378"/>
    <w:rsid w:val="008D57DE"/>
    <w:rsid w:val="008D7700"/>
    <w:rsid w:val="008E0F18"/>
    <w:rsid w:val="008E202D"/>
    <w:rsid w:val="008E5BA0"/>
    <w:rsid w:val="008E7B9E"/>
    <w:rsid w:val="008F057A"/>
    <w:rsid w:val="008F0C93"/>
    <w:rsid w:val="008F1597"/>
    <w:rsid w:val="008F641D"/>
    <w:rsid w:val="00903CB7"/>
    <w:rsid w:val="0090623A"/>
    <w:rsid w:val="009066A4"/>
    <w:rsid w:val="0091041D"/>
    <w:rsid w:val="00910CAB"/>
    <w:rsid w:val="009114C9"/>
    <w:rsid w:val="009124AE"/>
    <w:rsid w:val="00913D18"/>
    <w:rsid w:val="0091775F"/>
    <w:rsid w:val="00920BB8"/>
    <w:rsid w:val="0092453D"/>
    <w:rsid w:val="00925DB4"/>
    <w:rsid w:val="00927F9C"/>
    <w:rsid w:val="0093007A"/>
    <w:rsid w:val="00932990"/>
    <w:rsid w:val="00934546"/>
    <w:rsid w:val="00934A73"/>
    <w:rsid w:val="009368A3"/>
    <w:rsid w:val="00941D2C"/>
    <w:rsid w:val="00945290"/>
    <w:rsid w:val="009467D7"/>
    <w:rsid w:val="009503CA"/>
    <w:rsid w:val="00957C8F"/>
    <w:rsid w:val="00957EA9"/>
    <w:rsid w:val="0096146A"/>
    <w:rsid w:val="00961B8F"/>
    <w:rsid w:val="009625B4"/>
    <w:rsid w:val="00964EDB"/>
    <w:rsid w:val="00967396"/>
    <w:rsid w:val="0098100D"/>
    <w:rsid w:val="00981195"/>
    <w:rsid w:val="00981BBC"/>
    <w:rsid w:val="00982A6E"/>
    <w:rsid w:val="00985A36"/>
    <w:rsid w:val="00987398"/>
    <w:rsid w:val="009923BB"/>
    <w:rsid w:val="00993BB3"/>
    <w:rsid w:val="009A4E52"/>
    <w:rsid w:val="009A5F07"/>
    <w:rsid w:val="009B460E"/>
    <w:rsid w:val="009B5535"/>
    <w:rsid w:val="009B6429"/>
    <w:rsid w:val="009C4F44"/>
    <w:rsid w:val="009D1D27"/>
    <w:rsid w:val="009D34C1"/>
    <w:rsid w:val="009D4962"/>
    <w:rsid w:val="009D6670"/>
    <w:rsid w:val="009E0C18"/>
    <w:rsid w:val="009E3CFB"/>
    <w:rsid w:val="009E3D8A"/>
    <w:rsid w:val="009E512E"/>
    <w:rsid w:val="009E71A1"/>
    <w:rsid w:val="009F1639"/>
    <w:rsid w:val="009F4D6F"/>
    <w:rsid w:val="009F707A"/>
    <w:rsid w:val="00A00C94"/>
    <w:rsid w:val="00A01DF0"/>
    <w:rsid w:val="00A05466"/>
    <w:rsid w:val="00A06A8C"/>
    <w:rsid w:val="00A0792E"/>
    <w:rsid w:val="00A171A8"/>
    <w:rsid w:val="00A179C8"/>
    <w:rsid w:val="00A2181A"/>
    <w:rsid w:val="00A258CB"/>
    <w:rsid w:val="00A25BF9"/>
    <w:rsid w:val="00A271FC"/>
    <w:rsid w:val="00A31F32"/>
    <w:rsid w:val="00A3232B"/>
    <w:rsid w:val="00A33716"/>
    <w:rsid w:val="00A3392A"/>
    <w:rsid w:val="00A366F5"/>
    <w:rsid w:val="00A37668"/>
    <w:rsid w:val="00A40204"/>
    <w:rsid w:val="00A4167F"/>
    <w:rsid w:val="00A43678"/>
    <w:rsid w:val="00A439B6"/>
    <w:rsid w:val="00A44DCE"/>
    <w:rsid w:val="00A471BA"/>
    <w:rsid w:val="00A47A24"/>
    <w:rsid w:val="00A53B58"/>
    <w:rsid w:val="00A56931"/>
    <w:rsid w:val="00A66F17"/>
    <w:rsid w:val="00A70234"/>
    <w:rsid w:val="00A74317"/>
    <w:rsid w:val="00A811BB"/>
    <w:rsid w:val="00A82200"/>
    <w:rsid w:val="00A84524"/>
    <w:rsid w:val="00A92BB4"/>
    <w:rsid w:val="00A967EE"/>
    <w:rsid w:val="00AA153B"/>
    <w:rsid w:val="00AB3C47"/>
    <w:rsid w:val="00AB3E9C"/>
    <w:rsid w:val="00AB7B10"/>
    <w:rsid w:val="00AC236D"/>
    <w:rsid w:val="00AC30FD"/>
    <w:rsid w:val="00AC56FA"/>
    <w:rsid w:val="00AC59BD"/>
    <w:rsid w:val="00AD27D6"/>
    <w:rsid w:val="00AD33E1"/>
    <w:rsid w:val="00AD3F1D"/>
    <w:rsid w:val="00AD50F1"/>
    <w:rsid w:val="00AE23AC"/>
    <w:rsid w:val="00AE5884"/>
    <w:rsid w:val="00AE70C1"/>
    <w:rsid w:val="00AE783D"/>
    <w:rsid w:val="00AF0159"/>
    <w:rsid w:val="00AF082C"/>
    <w:rsid w:val="00AF16CA"/>
    <w:rsid w:val="00AF3325"/>
    <w:rsid w:val="00AF4F55"/>
    <w:rsid w:val="00B00665"/>
    <w:rsid w:val="00B01345"/>
    <w:rsid w:val="00B02D7D"/>
    <w:rsid w:val="00B04CF1"/>
    <w:rsid w:val="00B06717"/>
    <w:rsid w:val="00B127EF"/>
    <w:rsid w:val="00B13B9D"/>
    <w:rsid w:val="00B22BAB"/>
    <w:rsid w:val="00B25273"/>
    <w:rsid w:val="00B26A72"/>
    <w:rsid w:val="00B30CD8"/>
    <w:rsid w:val="00B340AC"/>
    <w:rsid w:val="00B3579C"/>
    <w:rsid w:val="00B37AA3"/>
    <w:rsid w:val="00B40920"/>
    <w:rsid w:val="00B40970"/>
    <w:rsid w:val="00B43C69"/>
    <w:rsid w:val="00B4678E"/>
    <w:rsid w:val="00B4786E"/>
    <w:rsid w:val="00B47F66"/>
    <w:rsid w:val="00B519D0"/>
    <w:rsid w:val="00B51A3C"/>
    <w:rsid w:val="00B51EE5"/>
    <w:rsid w:val="00B556DA"/>
    <w:rsid w:val="00B55D21"/>
    <w:rsid w:val="00B57C58"/>
    <w:rsid w:val="00B615B6"/>
    <w:rsid w:val="00B62BFB"/>
    <w:rsid w:val="00B6711A"/>
    <w:rsid w:val="00B70630"/>
    <w:rsid w:val="00B7090C"/>
    <w:rsid w:val="00B72AF8"/>
    <w:rsid w:val="00B73223"/>
    <w:rsid w:val="00B755D3"/>
    <w:rsid w:val="00B77A8F"/>
    <w:rsid w:val="00B8157F"/>
    <w:rsid w:val="00B8245A"/>
    <w:rsid w:val="00B8425C"/>
    <w:rsid w:val="00B86656"/>
    <w:rsid w:val="00B872A7"/>
    <w:rsid w:val="00B87A5E"/>
    <w:rsid w:val="00B87DC0"/>
    <w:rsid w:val="00B911EF"/>
    <w:rsid w:val="00B92738"/>
    <w:rsid w:val="00B93633"/>
    <w:rsid w:val="00B94623"/>
    <w:rsid w:val="00BA1BAA"/>
    <w:rsid w:val="00BA4A23"/>
    <w:rsid w:val="00BA704D"/>
    <w:rsid w:val="00BB0989"/>
    <w:rsid w:val="00BB1681"/>
    <w:rsid w:val="00BB1BA5"/>
    <w:rsid w:val="00BB36C9"/>
    <w:rsid w:val="00BB3A2E"/>
    <w:rsid w:val="00BB5629"/>
    <w:rsid w:val="00BB5EA1"/>
    <w:rsid w:val="00BC0473"/>
    <w:rsid w:val="00BC238F"/>
    <w:rsid w:val="00BC25D8"/>
    <w:rsid w:val="00BC2795"/>
    <w:rsid w:val="00BC3F2A"/>
    <w:rsid w:val="00BC4886"/>
    <w:rsid w:val="00BC54DF"/>
    <w:rsid w:val="00BC643A"/>
    <w:rsid w:val="00BC7858"/>
    <w:rsid w:val="00BD22D4"/>
    <w:rsid w:val="00BD2DD7"/>
    <w:rsid w:val="00BD4486"/>
    <w:rsid w:val="00BD60BD"/>
    <w:rsid w:val="00BD7AEB"/>
    <w:rsid w:val="00BD7FD7"/>
    <w:rsid w:val="00BE3A8F"/>
    <w:rsid w:val="00BF1B1B"/>
    <w:rsid w:val="00BF2735"/>
    <w:rsid w:val="00BF3C76"/>
    <w:rsid w:val="00BF43C7"/>
    <w:rsid w:val="00BF6995"/>
    <w:rsid w:val="00C01687"/>
    <w:rsid w:val="00C04697"/>
    <w:rsid w:val="00C068C5"/>
    <w:rsid w:val="00C1241B"/>
    <w:rsid w:val="00C13398"/>
    <w:rsid w:val="00C17003"/>
    <w:rsid w:val="00C20979"/>
    <w:rsid w:val="00C27B2C"/>
    <w:rsid w:val="00C27BDA"/>
    <w:rsid w:val="00C31267"/>
    <w:rsid w:val="00C3455A"/>
    <w:rsid w:val="00C347A6"/>
    <w:rsid w:val="00C424E7"/>
    <w:rsid w:val="00C4543E"/>
    <w:rsid w:val="00C46B72"/>
    <w:rsid w:val="00C47F3E"/>
    <w:rsid w:val="00C50317"/>
    <w:rsid w:val="00C54862"/>
    <w:rsid w:val="00C5599E"/>
    <w:rsid w:val="00C55B0A"/>
    <w:rsid w:val="00C55EA9"/>
    <w:rsid w:val="00C56ED5"/>
    <w:rsid w:val="00C634D3"/>
    <w:rsid w:val="00C64FBF"/>
    <w:rsid w:val="00C67FA6"/>
    <w:rsid w:val="00C71EB3"/>
    <w:rsid w:val="00C740DD"/>
    <w:rsid w:val="00C76292"/>
    <w:rsid w:val="00C76E01"/>
    <w:rsid w:val="00C8254C"/>
    <w:rsid w:val="00C908C6"/>
    <w:rsid w:val="00C90D52"/>
    <w:rsid w:val="00C910F0"/>
    <w:rsid w:val="00CA1291"/>
    <w:rsid w:val="00CA3DEC"/>
    <w:rsid w:val="00CA48EF"/>
    <w:rsid w:val="00CA61D6"/>
    <w:rsid w:val="00CA78BB"/>
    <w:rsid w:val="00CB056C"/>
    <w:rsid w:val="00CB11C1"/>
    <w:rsid w:val="00CB7EB6"/>
    <w:rsid w:val="00CC00CC"/>
    <w:rsid w:val="00CC03D2"/>
    <w:rsid w:val="00CC4204"/>
    <w:rsid w:val="00CC5C81"/>
    <w:rsid w:val="00CC604C"/>
    <w:rsid w:val="00CC76C5"/>
    <w:rsid w:val="00CD024E"/>
    <w:rsid w:val="00CD02B0"/>
    <w:rsid w:val="00CD1E3F"/>
    <w:rsid w:val="00CD66C0"/>
    <w:rsid w:val="00CD7B6F"/>
    <w:rsid w:val="00CE2719"/>
    <w:rsid w:val="00CE40C0"/>
    <w:rsid w:val="00CE545B"/>
    <w:rsid w:val="00CF099F"/>
    <w:rsid w:val="00CF09B8"/>
    <w:rsid w:val="00CF5742"/>
    <w:rsid w:val="00CF67E7"/>
    <w:rsid w:val="00CF680D"/>
    <w:rsid w:val="00CF6F4A"/>
    <w:rsid w:val="00D00950"/>
    <w:rsid w:val="00D02147"/>
    <w:rsid w:val="00D025EE"/>
    <w:rsid w:val="00D04897"/>
    <w:rsid w:val="00D050EE"/>
    <w:rsid w:val="00D053A4"/>
    <w:rsid w:val="00D076FA"/>
    <w:rsid w:val="00D13172"/>
    <w:rsid w:val="00D15672"/>
    <w:rsid w:val="00D17CB2"/>
    <w:rsid w:val="00D21E6C"/>
    <w:rsid w:val="00D340C7"/>
    <w:rsid w:val="00D35C62"/>
    <w:rsid w:val="00D370F3"/>
    <w:rsid w:val="00D37D17"/>
    <w:rsid w:val="00D43AE3"/>
    <w:rsid w:val="00D44DD7"/>
    <w:rsid w:val="00D4555C"/>
    <w:rsid w:val="00D45757"/>
    <w:rsid w:val="00D46E09"/>
    <w:rsid w:val="00D47AFF"/>
    <w:rsid w:val="00D510D5"/>
    <w:rsid w:val="00D52EDB"/>
    <w:rsid w:val="00D54B34"/>
    <w:rsid w:val="00D5670C"/>
    <w:rsid w:val="00D5701B"/>
    <w:rsid w:val="00D57140"/>
    <w:rsid w:val="00D61B61"/>
    <w:rsid w:val="00D63DD8"/>
    <w:rsid w:val="00D650BD"/>
    <w:rsid w:val="00D673AC"/>
    <w:rsid w:val="00D677CE"/>
    <w:rsid w:val="00D7316B"/>
    <w:rsid w:val="00D7343A"/>
    <w:rsid w:val="00D73610"/>
    <w:rsid w:val="00D84855"/>
    <w:rsid w:val="00D867CD"/>
    <w:rsid w:val="00D9395D"/>
    <w:rsid w:val="00D97137"/>
    <w:rsid w:val="00DA095F"/>
    <w:rsid w:val="00DA0D21"/>
    <w:rsid w:val="00DA2739"/>
    <w:rsid w:val="00DA2904"/>
    <w:rsid w:val="00DA2EFF"/>
    <w:rsid w:val="00DA6CE3"/>
    <w:rsid w:val="00DA7447"/>
    <w:rsid w:val="00DB1D26"/>
    <w:rsid w:val="00DB4C20"/>
    <w:rsid w:val="00DB4DE7"/>
    <w:rsid w:val="00DB60A8"/>
    <w:rsid w:val="00DC574A"/>
    <w:rsid w:val="00DC6E15"/>
    <w:rsid w:val="00DD3E71"/>
    <w:rsid w:val="00DD4596"/>
    <w:rsid w:val="00DD4B7F"/>
    <w:rsid w:val="00DD7B64"/>
    <w:rsid w:val="00DE0E2D"/>
    <w:rsid w:val="00DE37F3"/>
    <w:rsid w:val="00DE54B5"/>
    <w:rsid w:val="00DE782E"/>
    <w:rsid w:val="00DF1F24"/>
    <w:rsid w:val="00DF4EAA"/>
    <w:rsid w:val="00DF6E0F"/>
    <w:rsid w:val="00DF7A34"/>
    <w:rsid w:val="00E04E6E"/>
    <w:rsid w:val="00E12808"/>
    <w:rsid w:val="00E14C7A"/>
    <w:rsid w:val="00E14FDE"/>
    <w:rsid w:val="00E15756"/>
    <w:rsid w:val="00E15E14"/>
    <w:rsid w:val="00E16210"/>
    <w:rsid w:val="00E17E13"/>
    <w:rsid w:val="00E2058E"/>
    <w:rsid w:val="00E2164D"/>
    <w:rsid w:val="00E27AE7"/>
    <w:rsid w:val="00E31687"/>
    <w:rsid w:val="00E32599"/>
    <w:rsid w:val="00E3565B"/>
    <w:rsid w:val="00E369FA"/>
    <w:rsid w:val="00E40547"/>
    <w:rsid w:val="00E42A60"/>
    <w:rsid w:val="00E43DB3"/>
    <w:rsid w:val="00E45FD3"/>
    <w:rsid w:val="00E502AE"/>
    <w:rsid w:val="00E529BC"/>
    <w:rsid w:val="00E5572E"/>
    <w:rsid w:val="00E63C3F"/>
    <w:rsid w:val="00E66CEF"/>
    <w:rsid w:val="00E71892"/>
    <w:rsid w:val="00E742D1"/>
    <w:rsid w:val="00E74337"/>
    <w:rsid w:val="00E80B0A"/>
    <w:rsid w:val="00E82D06"/>
    <w:rsid w:val="00E82FF9"/>
    <w:rsid w:val="00E833DF"/>
    <w:rsid w:val="00E8527D"/>
    <w:rsid w:val="00E90863"/>
    <w:rsid w:val="00E90DF3"/>
    <w:rsid w:val="00E92E93"/>
    <w:rsid w:val="00E96343"/>
    <w:rsid w:val="00EA2976"/>
    <w:rsid w:val="00EA6471"/>
    <w:rsid w:val="00EA64D9"/>
    <w:rsid w:val="00EB39BC"/>
    <w:rsid w:val="00EB4D71"/>
    <w:rsid w:val="00EB79C2"/>
    <w:rsid w:val="00EC2D09"/>
    <w:rsid w:val="00EC2D41"/>
    <w:rsid w:val="00EC385F"/>
    <w:rsid w:val="00EC540C"/>
    <w:rsid w:val="00EC7C0B"/>
    <w:rsid w:val="00ED0C0D"/>
    <w:rsid w:val="00ED24A1"/>
    <w:rsid w:val="00ED41AE"/>
    <w:rsid w:val="00ED5054"/>
    <w:rsid w:val="00ED6AA2"/>
    <w:rsid w:val="00ED6EB8"/>
    <w:rsid w:val="00EE01F5"/>
    <w:rsid w:val="00EE4956"/>
    <w:rsid w:val="00EE689B"/>
    <w:rsid w:val="00EF3E3A"/>
    <w:rsid w:val="00EF4961"/>
    <w:rsid w:val="00EF6354"/>
    <w:rsid w:val="00F05708"/>
    <w:rsid w:val="00F06411"/>
    <w:rsid w:val="00F066E6"/>
    <w:rsid w:val="00F06BF5"/>
    <w:rsid w:val="00F1196F"/>
    <w:rsid w:val="00F136A7"/>
    <w:rsid w:val="00F14292"/>
    <w:rsid w:val="00F155EE"/>
    <w:rsid w:val="00F15894"/>
    <w:rsid w:val="00F15B1F"/>
    <w:rsid w:val="00F1668A"/>
    <w:rsid w:val="00F1718C"/>
    <w:rsid w:val="00F21636"/>
    <w:rsid w:val="00F23D18"/>
    <w:rsid w:val="00F27B4F"/>
    <w:rsid w:val="00F31D84"/>
    <w:rsid w:val="00F33175"/>
    <w:rsid w:val="00F34244"/>
    <w:rsid w:val="00F34C23"/>
    <w:rsid w:val="00F358E8"/>
    <w:rsid w:val="00F359EF"/>
    <w:rsid w:val="00F43823"/>
    <w:rsid w:val="00F50671"/>
    <w:rsid w:val="00F517A3"/>
    <w:rsid w:val="00F51F73"/>
    <w:rsid w:val="00F548A4"/>
    <w:rsid w:val="00F563E8"/>
    <w:rsid w:val="00F6424F"/>
    <w:rsid w:val="00F65BBF"/>
    <w:rsid w:val="00F66B44"/>
    <w:rsid w:val="00F67FC4"/>
    <w:rsid w:val="00F7274F"/>
    <w:rsid w:val="00F755F7"/>
    <w:rsid w:val="00F75D5F"/>
    <w:rsid w:val="00F760CD"/>
    <w:rsid w:val="00F834B2"/>
    <w:rsid w:val="00F837DC"/>
    <w:rsid w:val="00F86953"/>
    <w:rsid w:val="00F94697"/>
    <w:rsid w:val="00FA00E5"/>
    <w:rsid w:val="00FA18F9"/>
    <w:rsid w:val="00FA46EB"/>
    <w:rsid w:val="00FA5914"/>
    <w:rsid w:val="00FA701F"/>
    <w:rsid w:val="00FA7C21"/>
    <w:rsid w:val="00FB4174"/>
    <w:rsid w:val="00FB46E2"/>
    <w:rsid w:val="00FB5DF5"/>
    <w:rsid w:val="00FC5513"/>
    <w:rsid w:val="00FC6276"/>
    <w:rsid w:val="00FD1D41"/>
    <w:rsid w:val="00FD2567"/>
    <w:rsid w:val="00FD2B0A"/>
    <w:rsid w:val="00FD343D"/>
    <w:rsid w:val="00FD3AF8"/>
    <w:rsid w:val="00FD54B5"/>
    <w:rsid w:val="00FD5684"/>
    <w:rsid w:val="00FD7CCA"/>
    <w:rsid w:val="00FD7DEB"/>
    <w:rsid w:val="00FE1EAD"/>
    <w:rsid w:val="00FE2AF0"/>
    <w:rsid w:val="00FE4659"/>
    <w:rsid w:val="00FE4A86"/>
    <w:rsid w:val="00FE53D8"/>
    <w:rsid w:val="00FF0206"/>
    <w:rsid w:val="00FF1878"/>
    <w:rsid w:val="00FF2C5C"/>
    <w:rsid w:val="00FF55E0"/>
    <w:rsid w:val="0109B8E1"/>
    <w:rsid w:val="0131DADF"/>
    <w:rsid w:val="013D0D7F"/>
    <w:rsid w:val="0196DBAF"/>
    <w:rsid w:val="02ABC51A"/>
    <w:rsid w:val="02E1A94A"/>
    <w:rsid w:val="0706DA05"/>
    <w:rsid w:val="09FC84A2"/>
    <w:rsid w:val="0C3C655A"/>
    <w:rsid w:val="113BB7A5"/>
    <w:rsid w:val="15FEAB8F"/>
    <w:rsid w:val="174DCE58"/>
    <w:rsid w:val="1771A8B5"/>
    <w:rsid w:val="17FDD7BA"/>
    <w:rsid w:val="1AEB69F4"/>
    <w:rsid w:val="1B03D3EF"/>
    <w:rsid w:val="1C02D1D4"/>
    <w:rsid w:val="1D6C41EF"/>
    <w:rsid w:val="1E3D5AFC"/>
    <w:rsid w:val="1FFB6ED9"/>
    <w:rsid w:val="20BF7B0D"/>
    <w:rsid w:val="25CBE210"/>
    <w:rsid w:val="26BB533E"/>
    <w:rsid w:val="272FA662"/>
    <w:rsid w:val="2878F356"/>
    <w:rsid w:val="2A5978D2"/>
    <w:rsid w:val="2E343934"/>
    <w:rsid w:val="2FC5A1E0"/>
    <w:rsid w:val="3021C89E"/>
    <w:rsid w:val="304592B4"/>
    <w:rsid w:val="321ABA7A"/>
    <w:rsid w:val="32666B43"/>
    <w:rsid w:val="3348F663"/>
    <w:rsid w:val="33B68ADB"/>
    <w:rsid w:val="34A7797C"/>
    <w:rsid w:val="37EC7CBC"/>
    <w:rsid w:val="38D66DA2"/>
    <w:rsid w:val="3DCB1992"/>
    <w:rsid w:val="41027F80"/>
    <w:rsid w:val="4592DF8E"/>
    <w:rsid w:val="45F1C0EC"/>
    <w:rsid w:val="4670FD23"/>
    <w:rsid w:val="47192EA1"/>
    <w:rsid w:val="49116B74"/>
    <w:rsid w:val="491D075F"/>
    <w:rsid w:val="49CCEA5C"/>
    <w:rsid w:val="49FCA636"/>
    <w:rsid w:val="4BDF188C"/>
    <w:rsid w:val="4C11F2D9"/>
    <w:rsid w:val="4D8DB7D2"/>
    <w:rsid w:val="4E0FEE6C"/>
    <w:rsid w:val="4E38C0B0"/>
    <w:rsid w:val="4F9252D5"/>
    <w:rsid w:val="4FB28180"/>
    <w:rsid w:val="5054E35C"/>
    <w:rsid w:val="50A2A270"/>
    <w:rsid w:val="50FF0914"/>
    <w:rsid w:val="5277C92A"/>
    <w:rsid w:val="53E61C75"/>
    <w:rsid w:val="550D1FBB"/>
    <w:rsid w:val="574EFC53"/>
    <w:rsid w:val="57E4C7AE"/>
    <w:rsid w:val="590BA7E1"/>
    <w:rsid w:val="5C2FB415"/>
    <w:rsid w:val="5C7FDB9F"/>
    <w:rsid w:val="5CB2AB70"/>
    <w:rsid w:val="5F073621"/>
    <w:rsid w:val="6010CD02"/>
    <w:rsid w:val="60B19135"/>
    <w:rsid w:val="61273FFC"/>
    <w:rsid w:val="63E61838"/>
    <w:rsid w:val="6623F4D1"/>
    <w:rsid w:val="69843ED2"/>
    <w:rsid w:val="69D8D103"/>
    <w:rsid w:val="6AB2D4A7"/>
    <w:rsid w:val="6C399497"/>
    <w:rsid w:val="6D5439C4"/>
    <w:rsid w:val="6F049B0B"/>
    <w:rsid w:val="7216EC3A"/>
    <w:rsid w:val="73AF9FCE"/>
    <w:rsid w:val="7500251E"/>
    <w:rsid w:val="75CB132C"/>
    <w:rsid w:val="768B57CB"/>
    <w:rsid w:val="76C80AE6"/>
    <w:rsid w:val="79C086EB"/>
    <w:rsid w:val="7E194833"/>
    <w:rsid w:val="7FAE87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D8ADAB"/>
  <w15:docId w15:val="{861DE4E2-7FE6-42AC-A363-49B460B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uiPriority w:val="99"/>
    <w:rsid w:val="00A05466"/>
    <w:rPr>
      <w:sz w:val="16"/>
      <w:szCs w:val="16"/>
    </w:rPr>
  </w:style>
  <w:style w:type="paragraph" w:styleId="CommentText">
    <w:name w:val="annotation text"/>
    <w:basedOn w:val="Normal"/>
    <w:link w:val="CommentTextChar"/>
    <w:uiPriority w:val="99"/>
    <w:rsid w:val="00A05466"/>
  </w:style>
  <w:style w:type="character" w:customStyle="1" w:styleId="CommentTextChar">
    <w:name w:val="Comment Text Char"/>
    <w:basedOn w:val="DefaultParagraphFont"/>
    <w:link w:val="CommentText"/>
    <w:uiPriority w:val="99"/>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B7090C"/>
  </w:style>
  <w:style w:type="paragraph" w:styleId="NoSpacing">
    <w:name w:val="No Spacing"/>
    <w:uiPriority w:val="1"/>
    <w:qFormat/>
    <w:rsid w:val="00621587"/>
    <w:pPr>
      <w:overflowPunct w:val="0"/>
      <w:autoSpaceDE w:val="0"/>
      <w:autoSpaceDN w:val="0"/>
      <w:adjustRightInd w:val="0"/>
      <w:textAlignment w:val="baseline"/>
    </w:pPr>
  </w:style>
  <w:style w:type="character" w:customStyle="1" w:styleId="normaltextrun1">
    <w:name w:val="normaltextrun1"/>
    <w:basedOn w:val="DefaultParagraphFont"/>
    <w:rsid w:val="00FD7DEB"/>
  </w:style>
  <w:style w:type="character" w:customStyle="1" w:styleId="eop">
    <w:name w:val="eop"/>
    <w:basedOn w:val="DefaultParagraphFont"/>
    <w:rsid w:val="00FD7DEB"/>
  </w:style>
  <w:style w:type="character" w:styleId="UnresolvedMention">
    <w:name w:val="Unresolved Mention"/>
    <w:basedOn w:val="DefaultParagraphFont"/>
    <w:uiPriority w:val="99"/>
    <w:unhideWhenUsed/>
    <w:rsid w:val="00C20979"/>
    <w:rPr>
      <w:color w:val="605E5C"/>
      <w:shd w:val="clear" w:color="auto" w:fill="E1DFDD"/>
    </w:rPr>
  </w:style>
  <w:style w:type="character" w:styleId="Mention">
    <w:name w:val="Mention"/>
    <w:basedOn w:val="DefaultParagraphFont"/>
    <w:uiPriority w:val="99"/>
    <w:unhideWhenUsed/>
    <w:rsid w:val="00C20979"/>
    <w:rPr>
      <w:color w:val="2B579A"/>
      <w:shd w:val="clear" w:color="auto" w:fill="E1DFDD"/>
    </w:rPr>
  </w:style>
  <w:style w:type="paragraph" w:styleId="FootnoteText">
    <w:name w:val="footnote text"/>
    <w:basedOn w:val="Normal"/>
    <w:link w:val="FootnoteTextChar"/>
    <w:semiHidden/>
    <w:unhideWhenUsed/>
    <w:rsid w:val="00581439"/>
  </w:style>
  <w:style w:type="character" w:customStyle="1" w:styleId="FootnoteTextChar">
    <w:name w:val="Footnote Text Char"/>
    <w:basedOn w:val="DefaultParagraphFont"/>
    <w:link w:val="FootnoteText"/>
    <w:semiHidden/>
    <w:rsid w:val="00581439"/>
  </w:style>
  <w:style w:type="character" w:styleId="FootnoteReference">
    <w:name w:val="footnote reference"/>
    <w:basedOn w:val="DefaultParagraphFont"/>
    <w:semiHidden/>
    <w:unhideWhenUsed/>
    <w:rsid w:val="00581439"/>
    <w:rPr>
      <w:vertAlign w:val="superscript"/>
    </w:rPr>
  </w:style>
  <w:style w:type="character" w:customStyle="1" w:styleId="normaltextrun">
    <w:name w:val="normaltextrun"/>
    <w:basedOn w:val="DefaultParagraphFont"/>
    <w:rsid w:val="0021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B0C543903E7429806616CCC8804BE" ma:contentTypeVersion="15" ma:contentTypeDescription="Create a new document." ma:contentTypeScope="" ma:versionID="cc602a60d3f2218a0af0a97bb20df29c">
  <xsd:schema xmlns:xsd="http://www.w3.org/2001/XMLSchema" xmlns:xs="http://www.w3.org/2001/XMLSchema" xmlns:p="http://schemas.microsoft.com/office/2006/metadata/properties" xmlns:ns2="dfa42e7d-fb86-4563-8984-0accd8a0715b" xmlns:ns3="fd014737-7608-4b1e-b967-8de8d479122d" targetNamespace="http://schemas.microsoft.com/office/2006/metadata/properties" ma:root="true" ma:fieldsID="987ccbbc4501df6732eb651ae9b17c3d" ns2:_="" ns3:_="">
    <xsd:import namespace="dfa42e7d-fb86-4563-8984-0accd8a0715b"/>
    <xsd:import namespace="fd014737-7608-4b1e-b967-8de8d47912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42e7d-fb86-4563-8984-0accd8a07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14737-7608-4b1e-b967-8de8d47912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88967a-d856-449f-a65f-d9ae0dd8a932}" ma:internalName="TaxCatchAll" ma:showField="CatchAllData" ma:web="fd014737-7608-4b1e-b967-8de8d4791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42e7d-fb86-4563-8984-0accd8a0715b">
      <Terms xmlns="http://schemas.microsoft.com/office/infopath/2007/PartnerControls"/>
    </lcf76f155ced4ddcb4097134ff3c332f>
    <TaxCatchAll xmlns="fd014737-7608-4b1e-b967-8de8d479122d" xsi:nil="true"/>
  </documentManagement>
</p:properties>
</file>

<file path=customXml/itemProps1.xml><?xml version="1.0" encoding="utf-8"?>
<ds:datastoreItem xmlns:ds="http://schemas.openxmlformats.org/officeDocument/2006/customXml" ds:itemID="{44A3E70F-C5F6-4DBC-897D-165D3B11D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42e7d-fb86-4563-8984-0accd8a0715b"/>
    <ds:schemaRef ds:uri="fd014737-7608-4b1e-b967-8de8d4791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E828C-2E7B-4146-9F30-9B310FCA166F}">
  <ds:schemaRefs>
    <ds:schemaRef ds:uri="http://schemas.openxmlformats.org/officeDocument/2006/bibliography"/>
  </ds:schemaRefs>
</ds:datastoreItem>
</file>

<file path=customXml/itemProps3.xml><?xml version="1.0" encoding="utf-8"?>
<ds:datastoreItem xmlns:ds="http://schemas.openxmlformats.org/officeDocument/2006/customXml" ds:itemID="{7586BAB7-1BA0-4CA2-A72B-92696C162E35}">
  <ds:schemaRefs>
    <ds:schemaRef ds:uri="http://schemas.microsoft.com/sharepoint/v3/contenttype/forms"/>
  </ds:schemaRefs>
</ds:datastoreItem>
</file>

<file path=customXml/itemProps4.xml><?xml version="1.0" encoding="utf-8"?>
<ds:datastoreItem xmlns:ds="http://schemas.openxmlformats.org/officeDocument/2006/customXml" ds:itemID="{12A4710C-127B-4E9D-BBDA-0CDA60982BBD}">
  <ds:schemaRefs>
    <ds:schemaRef ds:uri="http://schemas.microsoft.com/office/2006/metadata/properties"/>
    <ds:schemaRef ds:uri="dfa42e7d-fb86-4563-8984-0accd8a0715b"/>
    <ds:schemaRef ds:uri="http://schemas.microsoft.com/office/2006/documentManagement/types"/>
    <ds:schemaRef ds:uri="fd014737-7608-4b1e-b967-8de8d479122d"/>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2341</Words>
  <Characters>13345</Characters>
  <Application>Microsoft Office Word</Application>
  <DocSecurity>0</DocSecurity>
  <Lines>111</Lines>
  <Paragraphs>31</Paragraphs>
  <ScaleCrop>false</ScaleCrop>
  <Company>HUD</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Mahoney, Erica D</cp:lastModifiedBy>
  <cp:revision>3</cp:revision>
  <cp:lastPrinted>2014-04-17T08:24:00Z</cp:lastPrinted>
  <dcterms:created xsi:type="dcterms:W3CDTF">2023-08-16T17:34:00Z</dcterms:created>
  <dcterms:modified xsi:type="dcterms:W3CDTF">2023-08-16T17:36:00Z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0x010100158B0C543903E7429806616CCC8804BE</vt:lpwstr>
  </property>
  <property fmtid="{D5CDD505-2E9C-101B-9397-08002B2CF9AE}" pid="3" name="MediaServiceImageTags">
    <vt:lpwstr/>
  </property>
  <property fmtid="{D5CDD505-2E9C-101B-9397-08002B2CF9AE}" pid="4" name="_NewReviewCycle">
    <vt:lpwstr/>
  </property>
</Properties>
</file>