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4E6" w14:paraId="29EA3CA0" w14:textId="77777777">
      <w:pPr>
        <w:jc w:val="center"/>
      </w:pPr>
    </w:p>
    <w:p w:rsidR="003414E6" w14:paraId="1A248D89" w14:textId="77777777">
      <w:pPr>
        <w:jc w:val="center"/>
      </w:pPr>
    </w:p>
    <w:p w:rsidR="0067719F" w14:paraId="07567838" w14:textId="77777777">
      <w:pPr>
        <w:jc w:val="center"/>
      </w:pPr>
      <w:r>
        <w:t>OMB SUPPORTING STATEMENT</w:t>
      </w:r>
    </w:p>
    <w:p w:rsidR="0067719F" w14:paraId="1B4EBFB5" w14:textId="77777777"/>
    <w:p w:rsidR="003414E6" w14:paraId="371D418B" w14:textId="77777777"/>
    <w:p w:rsidR="0067719F" w14:paraId="78685393" w14:textId="77777777">
      <w:r>
        <w:t xml:space="preserve">OPM Form 2809 – Health Benefits </w:t>
      </w:r>
      <w:r w:rsidR="003120F3">
        <w:t>Elect</w:t>
      </w:r>
      <w:r>
        <w:t>ion Form</w:t>
      </w:r>
    </w:p>
    <w:p w:rsidR="0067719F" w14:paraId="555B25B0" w14:textId="77777777"/>
    <w:p w:rsidR="00A86050" w14:paraId="24C1B15F" w14:textId="77777777"/>
    <w:p w:rsidR="00A86050" w:rsidP="00A86050" w14:paraId="35BE5A96" w14:textId="77777777">
      <w:pPr>
        <w:numPr>
          <w:ilvl w:val="0"/>
          <w:numId w:val="3"/>
        </w:numPr>
      </w:pPr>
      <w:r>
        <w:t>Justification</w:t>
      </w:r>
    </w:p>
    <w:p w:rsidR="00A86050" w:rsidP="00A86050" w14:paraId="62A5F47F" w14:textId="77777777"/>
    <w:p w:rsidR="00A86050" w:rsidP="00AF5619" w14:paraId="39D0D4A3" w14:textId="5596B91A">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AF5619" w:rsidR="00AF5619">
        <w:t xml:space="preserve"> </w:t>
      </w:r>
      <w:r w:rsidRPr="00741061" w:rsidR="00AF5619">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F5619" w:rsidP="00A86050" w14:paraId="71811781" w14:textId="77777777">
      <w:pPr>
        <w:ind w:left="720"/>
      </w:pPr>
    </w:p>
    <w:p w:rsidR="00A86050" w:rsidP="00A86050" w14:paraId="1B7A3301" w14:textId="12480F56">
      <w:pPr>
        <w:ind w:left="720"/>
      </w:pPr>
      <w:r>
        <w:t xml:space="preserve">Title 5, U. S. Code, Chapter 89, sections 8905 and 8905a specify the opportunities and conditions under which a retiree, survivor annuitant, or former spouse of a retiree is eligible to enroll or to change enrollment in the Federal Employees Health Benefits Program (FEHBP).  OPM Form 2809 is completed by the person who wishes to enroll or to make an enrollment change, other than an open season change. The circumstances which allow these actions are explained on the form.  </w:t>
      </w:r>
    </w:p>
    <w:p w:rsidR="00A86050" w:rsidP="00A86050" w14:paraId="3A037346" w14:textId="77777777">
      <w:pPr>
        <w:ind w:left="360"/>
      </w:pPr>
    </w:p>
    <w:p w:rsidR="00A86050" w:rsidRPr="00741061" w:rsidP="00AF5619" w14:paraId="316A09F7" w14:textId="06FF2017">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AF5619" w:rsidR="00AF5619">
        <w:t xml:space="preserve"> </w:t>
      </w:r>
      <w:r w:rsidRPr="00741061" w:rsidR="00AF5619">
        <w:t xml:space="preserve">Indicate how, by whom, and for what purpose the information is to be used.  Except for a new collection, indicate the actual use the agency has made of the information received from the current collection. </w:t>
      </w:r>
    </w:p>
    <w:p w:rsidR="00A86050" w:rsidP="00A86050" w14:paraId="4C0D11C9" w14:textId="77777777"/>
    <w:p w:rsidR="0067719F" w:rsidP="00A86050" w14:paraId="2C7029AE" w14:textId="34F7F0A1">
      <w:pPr>
        <w:ind w:left="720"/>
      </w:pPr>
      <w:r>
        <w:rPr>
          <w:noProof/>
        </w:rPr>
        <mc:AlternateContent>
          <mc:Choice Requires="wpi">
            <w:drawing>
              <wp:anchor distT="0" distB="0" distL="114300" distR="114300" simplePos="0" relativeHeight="251658240" behindDoc="0" locked="0" layoutInCell="1" allowOverlap="1">
                <wp:simplePos x="0" y="0"/>
                <wp:positionH relativeFrom="column">
                  <wp:posOffset>3225800</wp:posOffset>
                </wp:positionH>
                <wp:positionV relativeFrom="paragraph">
                  <wp:posOffset>564515</wp:posOffset>
                </wp:positionV>
                <wp:extent cx="53340" cy="26035"/>
                <wp:effectExtent l="0" t="0" r="0" b="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4">
                      <w14:nvContentPartPr>
                        <w14:cNvContentPartPr>
                          <a:cpLocks noRot="1" noChangeAspect="1" noEditPoints="1" noChangeArrowheads="1" noChangeShapeType="1"/>
                        </w14:cNvContentPartPr>
                      </w14:nvContentPartPr>
                      <w14:xfrm>
                        <a:off x="0" y="0"/>
                        <a:ext cx="53340" cy="260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5.6pt;height:3.45pt;margin-top:43.75pt;margin-left:253.3pt;mso-height-percent:0;mso-height-relative:page;mso-width-percent:0;mso-width-relative:page;mso-wrap-distance-bottom:0;mso-wrap-distance-left:9pt;mso-wrap-distance-right:9pt;mso-wrap-distance-top:0;mso-wrap-style:square;position:absolute;visibility:visible;z-index:251659264">
                <v:imagedata r:id="rId5" o:title=""/>
                <o:lock v:ext="edit" verticies="t" shapetype="t"/>
              </v:shape>
            </w:pict>
          </mc:Fallback>
        </mc:AlternateContent>
      </w:r>
      <w:r w:rsidRPr="009A6C84" w:rsidR="009A6C84">
        <w:t>OPM 2809, Health Benefits Election form, is used by annuitants and former spouses to elect, cancel, suspend, or change health benefits enrollment during periods other than open season.</w:t>
      </w:r>
      <w:r w:rsidRPr="00B2553E" w:rsidR="00B2553E">
        <w:t xml:space="preserve"> </w:t>
      </w:r>
      <w:r w:rsidR="00C37082">
        <w:t xml:space="preserve">OPM is </w:t>
      </w:r>
      <w:r w:rsidR="00B2553E">
        <w:t xml:space="preserve">requesting </w:t>
      </w:r>
      <w:r w:rsidR="00323AE3">
        <w:t>the</w:t>
      </w:r>
      <w:r w:rsidR="00B2553E">
        <w:t xml:space="preserve"> renewal of an expiring information collection request (ICR), without change</w:t>
      </w:r>
      <w:r w:rsidR="00F85941">
        <w:t>.</w:t>
      </w:r>
      <w:r w:rsidR="001715CB">
        <w:t xml:space="preserve"> </w:t>
      </w:r>
      <w:r>
        <w:t>If this information were not collected, OPM could not comply with the provisions of title 5, U. S. Code, Chapter 89. The Public Burden Statement meets the requirements of 5 CFR 1320.8(b)(3).</w:t>
      </w:r>
      <w:r w:rsidR="009A6C84">
        <w:t xml:space="preserve"> </w:t>
      </w:r>
    </w:p>
    <w:p w:rsidR="0067719F" w14:paraId="65FBD3FF" w14:textId="77777777"/>
    <w:p w:rsidR="006B37C6" w:rsidRPr="00741061" w:rsidP="006B37C6" w14:paraId="0900CB09" w14:textId="5D7D0E87">
      <w:pPr>
        <w:pStyle w:val="ListParagraph"/>
        <w:numPr>
          <w:ilvl w:val="0"/>
          <w:numId w:val="4"/>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6B37C6" w:rsidP="006B37C6" w14:paraId="7E79D33C" w14:textId="77777777">
      <w:pPr>
        <w:ind w:left="720"/>
      </w:pPr>
    </w:p>
    <w:p w:rsidR="0067719F" w:rsidP="002B1643" w14:paraId="22A9A321" w14:textId="77777777">
      <w:pPr>
        <w:ind w:left="720"/>
      </w:pPr>
      <w:r w:rsidRPr="002B1643">
        <w:t>Use of improved information technology to reduce the burden is not practical. The information collected can only be obtained from the respondents. However, this form will be available in a PDF fillable format on our website and meets our GPEA requirements.</w:t>
      </w:r>
    </w:p>
    <w:p w:rsidR="002B1643" w:rsidP="002B1643" w14:paraId="60E3E60E" w14:textId="77777777">
      <w:pPr>
        <w:ind w:left="720"/>
      </w:pPr>
    </w:p>
    <w:p w:rsidR="00AF5619" w:rsidRPr="00741061" w:rsidP="00AF5619" w14:paraId="2F23823F" w14:textId="77777777">
      <w:pPr>
        <w:pStyle w:val="ListParagraph"/>
        <w:numPr>
          <w:ilvl w:val="0"/>
          <w:numId w:val="4"/>
        </w:numPr>
        <w:shd w:val="pct25" w:color="auto" w:fill="auto"/>
        <w:tabs>
          <w:tab w:val="left" w:pos="-720"/>
        </w:tabs>
        <w:suppressAutoHyphens/>
        <w:contextualSpacing/>
      </w:pPr>
      <w:r w:rsidRPr="00741061">
        <w:t xml:space="preserve">Describe efforts to identify duplication.   Show specifically why any similar information already available cannot be used or modified for use for the purposes described in Item 2 above. </w:t>
      </w:r>
    </w:p>
    <w:p w:rsidR="006B37C6" w:rsidP="006B37C6" w14:paraId="157E7351" w14:textId="77777777">
      <w:pPr>
        <w:ind w:firstLine="720"/>
      </w:pPr>
    </w:p>
    <w:p w:rsidR="002B1643" w:rsidP="002B1643" w14:paraId="2F1A9BE1" w14:textId="77777777">
      <w:pPr>
        <w:ind w:left="300" w:firstLine="420"/>
      </w:pPr>
      <w:r>
        <w:t xml:space="preserve">Every effort is made to identify and avoid duplication. The information is collected       </w:t>
      </w:r>
    </w:p>
    <w:p w:rsidR="002B1643" w:rsidP="0047295A" w14:paraId="2ADADC15" w14:textId="77777777">
      <w:pPr>
        <w:ind w:left="720"/>
      </w:pPr>
      <w:r>
        <w:t>i</w:t>
      </w:r>
      <w:r>
        <w:t xml:space="preserve">ndividually and respondents with no earnings are asked not to respond. There is no other way to obtain this information. </w:t>
      </w:r>
    </w:p>
    <w:p w:rsidR="006B37C6" w:rsidP="006B37C6" w14:paraId="2939E733" w14:textId="77777777">
      <w:pPr>
        <w:ind w:firstLine="720"/>
      </w:pPr>
    </w:p>
    <w:p w:rsidR="006B37C6" w:rsidRPr="00741061" w:rsidP="006B37C6" w14:paraId="2D6753A3" w14:textId="77777777">
      <w:pPr>
        <w:pStyle w:val="ListParagraph"/>
        <w:numPr>
          <w:ilvl w:val="0"/>
          <w:numId w:val="4"/>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6B37C6" w:rsidP="006B37C6" w14:paraId="70007252" w14:textId="77777777">
      <w:pPr>
        <w:ind w:left="720"/>
      </w:pPr>
    </w:p>
    <w:p w:rsidR="0067719F" w:rsidP="006B37C6" w14:paraId="5C2EB963" w14:textId="77777777">
      <w:pPr>
        <w:ind w:left="720"/>
      </w:pPr>
      <w:r>
        <w:t>This information collection request has no impact on small businesses and organizations.</w:t>
      </w:r>
    </w:p>
    <w:p w:rsidR="006B37C6" w:rsidP="006B37C6" w14:paraId="078ADFB6" w14:textId="77777777">
      <w:pPr>
        <w:ind w:left="720"/>
      </w:pPr>
    </w:p>
    <w:p w:rsidR="00AF5619" w:rsidRPr="00741061" w:rsidP="00AF5619" w14:paraId="59594640" w14:textId="77777777">
      <w:pPr>
        <w:pStyle w:val="ListParagraph"/>
        <w:numPr>
          <w:ilvl w:val="0"/>
          <w:numId w:val="4"/>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67719F" w14:paraId="3DCC280D" w14:textId="77777777"/>
    <w:p w:rsidR="006B37C6" w:rsidP="006B37C6" w14:paraId="5C2955E9" w14:textId="77777777">
      <w:pPr>
        <w:ind w:left="720"/>
      </w:pPr>
      <w:r w:rsidRPr="00337437">
        <w:t xml:space="preserve">This information collection </w:t>
      </w:r>
      <w:r>
        <w:t xml:space="preserve">is made when OPM needs to recompute the annuity without the reduction. </w:t>
      </w:r>
      <w:r w:rsidRPr="002C1F76">
        <w:t>This information collection is consistent wi</w:t>
      </w:r>
      <w:r>
        <w:t>th the guidelines in 5 CFR 1320.8(b)(3). If this information were not collected, annuitants could be paid less than the law provides.</w:t>
      </w:r>
    </w:p>
    <w:p w:rsidR="00CB0B42" w:rsidP="006B37C6" w14:paraId="38D1A7A8" w14:textId="77777777">
      <w:pPr>
        <w:ind w:left="720"/>
      </w:pPr>
    </w:p>
    <w:p w:rsidR="00AF5619" w:rsidP="00AF5619" w14:paraId="1302A5F0" w14:textId="77777777">
      <w:pPr>
        <w:pStyle w:val="ListParagraph"/>
        <w:numPr>
          <w:ilvl w:val="0"/>
          <w:numId w:val="4"/>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AF5619" w:rsidP="00AF5619" w14:paraId="67A49538" w14:textId="77777777">
      <w:pPr>
        <w:pStyle w:val="ListParagraph"/>
        <w:shd w:val="pct25" w:color="auto" w:fill="auto"/>
        <w:tabs>
          <w:tab w:val="left" w:pos="-720"/>
        </w:tabs>
        <w:suppressAutoHyphens/>
      </w:pPr>
      <w:r>
        <w:t xml:space="preserve">• requiring respondents to report information to the agency more often than quarterly; </w:t>
      </w:r>
    </w:p>
    <w:p w:rsidR="00AF5619" w:rsidP="00AF5619" w14:paraId="2FFD658E"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AF5619" w:rsidP="00AF5619" w14:paraId="272DB4C1" w14:textId="77777777">
      <w:pPr>
        <w:pStyle w:val="ListParagraph"/>
        <w:shd w:val="pct25" w:color="auto" w:fill="auto"/>
        <w:tabs>
          <w:tab w:val="left" w:pos="-720"/>
        </w:tabs>
        <w:suppressAutoHyphens/>
      </w:pPr>
      <w:r>
        <w:t xml:space="preserve">•requiring respondents to submit more than an original and two copies of any document; </w:t>
      </w:r>
    </w:p>
    <w:p w:rsidR="00AF5619" w:rsidP="00AF5619" w14:paraId="1F7C247C"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AF5619" w:rsidP="00AF5619" w14:paraId="789070C0"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AF5619" w:rsidP="00AF5619" w14:paraId="58426F6F"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AF5619" w:rsidP="00AF5619" w14:paraId="07B9CE91"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F5619" w:rsidP="00AF5619" w14:paraId="7E3650F6"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CB0B42" w:rsidP="00CB0B42" w14:paraId="0125F3E1" w14:textId="77777777">
      <w:pPr>
        <w:ind w:left="720"/>
      </w:pPr>
      <w:r>
        <w:br/>
        <w:t>There are no special circumstances involved in the collection of this information.</w:t>
      </w:r>
    </w:p>
    <w:p w:rsidR="00CB0B42" w:rsidP="00CB0B42" w14:paraId="2809A87A" w14:textId="77777777">
      <w:pPr>
        <w:ind w:left="720"/>
      </w:pPr>
    </w:p>
    <w:p w:rsidR="00CB0B42" w:rsidRPr="00741061" w:rsidP="00CB0B42" w14:paraId="15910A78" w14:textId="683CF505">
      <w:pPr>
        <w:pStyle w:val="ListParagraph"/>
        <w:numPr>
          <w:ilvl w:val="0"/>
          <w:numId w:val="4"/>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r w:rsidR="00AF5619">
        <w:t>.</w:t>
      </w:r>
    </w:p>
    <w:p w:rsidR="00CB0B42" w:rsidP="00CB0B42" w14:paraId="784B5AC5" w14:textId="246B9F57">
      <w:pPr>
        <w:ind w:left="720"/>
      </w:pPr>
      <w:r>
        <w:br/>
        <w:t xml:space="preserve">On </w:t>
      </w:r>
      <w:r w:rsidR="00B42A24">
        <w:t>April</w:t>
      </w:r>
      <w:r w:rsidR="00AF5619">
        <w:t xml:space="preserve"> </w:t>
      </w:r>
      <w:r w:rsidR="00B42A24">
        <w:t>3</w:t>
      </w:r>
      <w:r>
        <w:t xml:space="preserve">, </w:t>
      </w:r>
      <w:r w:rsidR="00AF5619">
        <w:t xml:space="preserve">2023 </w:t>
      </w:r>
      <w:r>
        <w:t xml:space="preserve">a </w:t>
      </w:r>
      <w:r w:rsidR="00B42A24">
        <w:t>3</w:t>
      </w:r>
      <w:r>
        <w:t>0 Day Federal Register Notice was published at 8</w:t>
      </w:r>
      <w:r w:rsidR="00AF5619">
        <w:t>8</w:t>
      </w:r>
      <w:r>
        <w:t xml:space="preserve"> FR </w:t>
      </w:r>
      <w:r w:rsidR="0012266F">
        <w:t xml:space="preserve">19864 </w:t>
      </w:r>
      <w:r>
        <w:t xml:space="preserve">requesting comment. </w:t>
      </w:r>
      <w:r w:rsidR="00B42A24">
        <w:t>The following</w:t>
      </w:r>
      <w:r>
        <w:t xml:space="preserve"> comment w</w:t>
      </w:r>
      <w:r w:rsidR="00B42A24">
        <w:t>as</w:t>
      </w:r>
      <w:r>
        <w:t xml:space="preserve"> received</w:t>
      </w:r>
      <w:r w:rsidR="0012266F">
        <w:t>:</w:t>
      </w:r>
    </w:p>
    <w:p w:rsidR="00177589" w:rsidP="00CB0B42" w14:paraId="5CF48625" w14:textId="77777777">
      <w:pPr>
        <w:ind w:left="720"/>
      </w:pPr>
    </w:p>
    <w:p w:rsidR="00E44C84" w:rsidP="00177589" w14:paraId="4CD825EF" w14:textId="282E28A6">
      <w:pPr>
        <w:ind w:left="720"/>
      </w:pPr>
      <w:r>
        <w:t>“</w:t>
      </w:r>
      <w:r>
        <w:t>GEHA appreciates the opportunity to comment on a recent notice in the Federal Register renewing the SF 2809 Health Benefits Election Form.</w:t>
      </w:r>
      <w:r>
        <w:t xml:space="preserve"> </w:t>
      </w:r>
      <w:r>
        <w:t>While OPM’s notice indicates no changes to the SF 2809 at this time</w:t>
      </w:r>
      <w:r w:rsidR="0024181B">
        <w:t xml:space="preserve">, GEHA would like to encourage OPM to </w:t>
      </w:r>
      <w:r w:rsidR="0024181B">
        <w:t xml:space="preserve">implement the changes discussed at the 2022 FEHB Carrier Conference. During the event, OPM indicated they were modifying the SF 2809 </w:t>
      </w:r>
      <w:r>
        <w:t>to collect member race/ethnicity and gender identity data, and that these changes could be expected in 2023. This data is vital for carriers to assess and reduce health disparities. In the recently released 2024 Call Letter, OPM outlined several Biden-Harris Administration priorities such as gender affirming care, material outcomes, and mental health /substance use disorders. To appropriately support these priorities, carriers need accurate member race/ethnicity and gender identity data.</w:t>
      </w:r>
    </w:p>
    <w:p w:rsidR="00177589" w:rsidP="00CB0B42" w14:paraId="586DB1F3" w14:textId="1BA4E4D9">
      <w:pPr>
        <w:ind w:left="720"/>
      </w:pPr>
    </w:p>
    <w:p w:rsidR="00177589" w:rsidP="00CB0B42" w14:paraId="1FEC2736" w14:textId="0DDA3B54">
      <w:pPr>
        <w:ind w:left="720"/>
      </w:pPr>
      <w:r>
        <w:t>GEHA encourages OPM to update the SF 2809 to reflect these priorities and in alignment with broader efforts with the federal government to improve data collection methods.”</w:t>
      </w:r>
    </w:p>
    <w:p w:rsidR="00177589" w:rsidP="00CB0B42" w14:paraId="0822C2E3" w14:textId="389B28E0">
      <w:pPr>
        <w:ind w:left="720"/>
      </w:pPr>
    </w:p>
    <w:p w:rsidR="00177589" w:rsidP="00CB0B42" w14:paraId="337BEBDF" w14:textId="7D779349">
      <w:pPr>
        <w:ind w:left="720"/>
      </w:pPr>
      <w:r>
        <w:t xml:space="preserve">OPM’s response </w:t>
      </w:r>
      <w:r w:rsidR="000203B1">
        <w:t>is as follows</w:t>
      </w:r>
      <w:r w:rsidR="0012266F">
        <w:t>:</w:t>
      </w:r>
    </w:p>
    <w:p w:rsidR="000203B1" w:rsidP="00CB0B42" w14:paraId="2CC89934" w14:textId="26AA353C">
      <w:pPr>
        <w:ind w:left="720"/>
      </w:pPr>
    </w:p>
    <w:p w:rsidR="000203B1" w:rsidP="000203B1" w14:paraId="791E0DAB" w14:textId="5662A733">
      <w:pPr>
        <w:ind w:left="720"/>
      </w:pPr>
      <w:r>
        <w:t>“</w:t>
      </w:r>
      <w:r>
        <w:t>While your inquiry mentions changes to the SF-2809, the proposed revision is to the OPM-2809, used only for Federal Retirees. That said, OPM continues to explore changes to the SF-2809 to expand collection of demographic information such as race, ethnicity and gender data. This includes potential incorporation of the government’s efforts to update race and ethnicity standards as a part of OMB’s Interagency Technical Working Group on Race and Ethnicity Statistical Standards. OPM anticipates that a future update to the SF-2809 will address this collection. The OPM-2809 will be updated to mirror any changes to the SF-2809.</w:t>
      </w:r>
    </w:p>
    <w:p w:rsidR="000203B1" w:rsidP="000203B1" w14:paraId="21B52C71" w14:textId="77777777">
      <w:pPr>
        <w:ind w:left="720"/>
      </w:pPr>
    </w:p>
    <w:p w:rsidR="000203B1" w:rsidP="000203B1" w14:paraId="6AC9145D" w14:textId="47D52113">
      <w:pPr>
        <w:ind w:left="720"/>
      </w:pPr>
      <w:r>
        <w:t>We appreciate you taking the time to comment on the OPM-2809.</w:t>
      </w:r>
      <w:r>
        <w:t>”</w:t>
      </w:r>
    </w:p>
    <w:p w:rsidR="00B42A24" w:rsidP="00CB0B42" w14:paraId="713D1E2B" w14:textId="77777777">
      <w:pPr>
        <w:ind w:left="720"/>
      </w:pPr>
    </w:p>
    <w:p w:rsidR="00CB0B42" w:rsidP="00CB0B42" w14:paraId="02DE0EE4" w14:textId="77777777">
      <w:pPr>
        <w:ind w:left="720"/>
      </w:pPr>
    </w:p>
    <w:p w:rsidR="00CB0B42" w:rsidRPr="00741061" w:rsidP="00CB0B42" w14:paraId="1BEDE339" w14:textId="77777777">
      <w:pPr>
        <w:pStyle w:val="ListParagraph"/>
        <w:numPr>
          <w:ilvl w:val="0"/>
          <w:numId w:val="4"/>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2B1643" w:rsidP="006B37C6" w14:paraId="1032C380" w14:textId="77777777">
      <w:pPr>
        <w:ind w:left="720"/>
      </w:pPr>
    </w:p>
    <w:p w:rsidR="006B37C6" w:rsidP="006B37C6" w14:paraId="0682BC0D" w14:textId="77777777">
      <w:pPr>
        <w:ind w:left="720"/>
      </w:pPr>
      <w:r>
        <w:t>No payment or gift is provided to respondents.</w:t>
      </w:r>
    </w:p>
    <w:p w:rsidR="002B1643" w:rsidP="006B37C6" w14:paraId="6074FB30" w14:textId="77777777">
      <w:pPr>
        <w:ind w:left="720"/>
      </w:pPr>
    </w:p>
    <w:p w:rsidR="00CB0B42" w:rsidRPr="00741061" w:rsidP="00CB0B42" w14:paraId="02D550AF" w14:textId="77777777">
      <w:pPr>
        <w:pStyle w:val="ListParagraph"/>
        <w:numPr>
          <w:ilvl w:val="0"/>
          <w:numId w:val="4"/>
        </w:numPr>
        <w:shd w:val="pct25" w:color="auto" w:fill="auto"/>
        <w:tabs>
          <w:tab w:val="left" w:pos="-720"/>
          <w:tab w:val="num" w:pos="630"/>
          <w:tab w:val="clear" w:pos="720"/>
        </w:tabs>
        <w:suppressAutoHyphens/>
        <w:ind w:left="630" w:right="-288"/>
        <w:contextualSpacing/>
      </w:pPr>
      <w:r w:rsidRPr="00741061">
        <w:t xml:space="preserve">Describe any assurance of confidentiality provided to respondents and the basis for the assurance in statute, regulation, or agency policy.  </w:t>
      </w:r>
    </w:p>
    <w:p w:rsidR="00CB0B42" w:rsidP="00CB0B42" w14:paraId="4C8500CC" w14:textId="77777777">
      <w:pPr>
        <w:pStyle w:val="ListParagraph"/>
        <w:ind w:right="-288"/>
      </w:pPr>
    </w:p>
    <w:p w:rsidR="00CB0B42" w:rsidP="00CB0B42" w14:paraId="257C66EF" w14:textId="77777777">
      <w:pPr>
        <w:ind w:left="720" w:right="-288"/>
      </w:pPr>
      <w:r>
        <w:t>This information collection is protected by the Privacy Act of 1974 and OPM regulations</w:t>
      </w:r>
      <w:r>
        <w:br/>
        <w:t xml:space="preserve">(5 CFR 831.106).  The routine uses of disclosure appear in the </w:t>
      </w:r>
      <w:r w:rsidRPr="006C4545">
        <w:rPr>
          <w:i/>
        </w:rPr>
        <w:t>Federal Register</w:t>
      </w:r>
      <w:r>
        <w:t xml:space="preserve"> for </w:t>
      </w:r>
    </w:p>
    <w:p w:rsidR="00CB0B42" w:rsidP="00CB0B42" w14:paraId="30859A9E" w14:textId="77777777">
      <w:pPr>
        <w:ind w:right="-288" w:firstLine="720"/>
      </w:pPr>
      <w:r>
        <w:t xml:space="preserve">OPM/Central-1 (73 FR 15013, </w:t>
      </w:r>
      <w:r w:rsidRPr="006C4545">
        <w:rPr>
          <w:i/>
        </w:rPr>
        <w:t>et seq</w:t>
      </w:r>
      <w:r>
        <w:t>., March 20, 2008).</w:t>
      </w:r>
    </w:p>
    <w:p w:rsidR="00CB0B42" w:rsidP="00CB0B42" w14:paraId="1089774B" w14:textId="77777777">
      <w:pPr>
        <w:ind w:right="-288" w:firstLine="720"/>
      </w:pPr>
    </w:p>
    <w:p w:rsidR="00CB0B42" w:rsidRPr="00741061" w:rsidP="00CB0B42" w14:paraId="04B22E33" w14:textId="77777777">
      <w:pPr>
        <w:pStyle w:val="ListParagraph"/>
        <w:numPr>
          <w:ilvl w:val="0"/>
          <w:numId w:val="4"/>
        </w:numPr>
        <w:shd w:val="pct25" w:color="auto" w:fill="auto"/>
        <w:tabs>
          <w:tab w:val="left" w:pos="-720"/>
          <w:tab w:val="num" w:pos="630"/>
          <w:tab w:val="clear" w:pos="72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B0B42" w:rsidP="00CB0B42" w14:paraId="42A3059C" w14:textId="77777777">
      <w:pPr>
        <w:spacing w:before="240"/>
        <w:ind w:left="720"/>
      </w:pPr>
      <w:r>
        <w:t xml:space="preserve">The information collection does not include questions of a sensitive nature, such as sexual behavior and attitudes, religious beliefs, and other matters that are commonly considered private. </w:t>
      </w:r>
    </w:p>
    <w:p w:rsidR="00CB0B42" w:rsidP="00CB0B42" w14:paraId="031B1C86" w14:textId="77777777">
      <w:pPr>
        <w:ind w:right="-288" w:firstLine="720"/>
      </w:pPr>
    </w:p>
    <w:p w:rsidR="00CB0B42" w:rsidRPr="00741061" w:rsidP="00CB0B42" w14:paraId="4221F4E8"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CB0B42" w:rsidRPr="00741061" w:rsidP="00CB0B42" w14:paraId="2BBD32EA" w14:textId="77777777">
      <w:pPr>
        <w:pStyle w:val="ListParagraph"/>
        <w:tabs>
          <w:tab w:val="left" w:pos="-720"/>
        </w:tabs>
        <w:suppressAutoHyphens/>
        <w:ind w:left="360"/>
      </w:pPr>
    </w:p>
    <w:p w:rsidR="00CB0B42" w:rsidP="00CB0B42" w14:paraId="14570231"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CB0B42" w:rsidP="00CB0B42" w14:paraId="68FBDAB4" w14:textId="7777777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00CB0B42" w:rsidRPr="00741061" w:rsidP="00C1773B" w14:paraId="2102217B"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7295A" w:rsidP="00D358C6" w14:paraId="0FC4A85B" w14:textId="5A3E3B2F">
      <w:pPr>
        <w:ind w:left="720"/>
      </w:pPr>
      <w:r>
        <w:br/>
      </w:r>
      <w:r w:rsidR="00FC4360">
        <w:t>Approximately 30,000 changes to health benefits coverage</w:t>
      </w:r>
      <w:r w:rsidR="00EB0FB2">
        <w:t xml:space="preserve"> </w:t>
      </w:r>
      <w:r w:rsidRPr="00EB0FB2" w:rsidR="00EB0FB2">
        <w:t>are processed</w:t>
      </w:r>
      <w:r w:rsidR="00FC4360">
        <w:t xml:space="preserve"> per year.  Of these, 20,000 are submitted on OPM Form 2809 and 10,000 verbally or in written correspondence.  Each form takes approximately 30 minutes to complete; data collection by telephone or mail takes approximately 10 minutes.  The annual burden for the form is 1</w:t>
      </w:r>
      <w:r w:rsidR="00537448">
        <w:t>0</w:t>
      </w:r>
      <w:r w:rsidR="00FC4360">
        <w:t>,</w:t>
      </w:r>
      <w:r w:rsidR="00160396">
        <w:t>000</w:t>
      </w:r>
      <w:r w:rsidR="00FC4360">
        <w:t xml:space="preserve"> hours; the burden for not using the form is 1,667 hours.  The total burden is 1</w:t>
      </w:r>
      <w:r w:rsidR="00537448">
        <w:t>1</w:t>
      </w:r>
      <w:r w:rsidR="00FC4360">
        <w:t>,667 hours.</w:t>
      </w:r>
    </w:p>
    <w:p w:rsidR="0047295A" w:rsidP="00D358C6" w14:paraId="49505820" w14:textId="77777777"/>
    <w:p w:rsidR="0047295A" w:rsidP="0047295A" w14:paraId="2A51AA34" w14:textId="77777777">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1004"/>
        <w:gridCol w:w="1230"/>
        <w:gridCol w:w="1169"/>
        <w:gridCol w:w="1086"/>
        <w:gridCol w:w="982"/>
        <w:gridCol w:w="1018"/>
        <w:gridCol w:w="1169"/>
      </w:tblGrid>
      <w:tr w14:paraId="03B6D02D" w14:textId="77777777" w:rsidTr="0034372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6" w:type="dxa"/>
            <w:shd w:val="clear" w:color="auto" w:fill="D9D9D9"/>
          </w:tcPr>
          <w:p w:rsidR="00C11A92" w:rsidRPr="0034372F" w:rsidP="0034372F" w14:paraId="19FB59EB" w14:textId="77777777">
            <w:pPr>
              <w:spacing w:before="240"/>
              <w:rPr>
                <w:rFonts w:ascii="Arial" w:hAnsi="Arial" w:cs="Arial"/>
                <w:b/>
                <w:sz w:val="16"/>
                <w:szCs w:val="16"/>
              </w:rPr>
            </w:pPr>
            <w:r w:rsidRPr="0034372F">
              <w:rPr>
                <w:rFonts w:ascii="Arial" w:hAnsi="Arial" w:cs="Arial"/>
                <w:b/>
                <w:sz w:val="16"/>
                <w:szCs w:val="16"/>
              </w:rPr>
              <w:t>Form Name</w:t>
            </w:r>
          </w:p>
        </w:tc>
        <w:tc>
          <w:tcPr>
            <w:tcW w:w="1053" w:type="dxa"/>
            <w:shd w:val="clear" w:color="auto" w:fill="D9D9D9"/>
          </w:tcPr>
          <w:p w:rsidR="00C11A92" w:rsidRPr="0034372F" w:rsidP="0034372F" w14:paraId="5AB55BB8" w14:textId="77777777">
            <w:pPr>
              <w:spacing w:before="240"/>
              <w:rPr>
                <w:rFonts w:ascii="Arial" w:hAnsi="Arial" w:cs="Arial"/>
                <w:b/>
                <w:sz w:val="16"/>
                <w:szCs w:val="16"/>
              </w:rPr>
            </w:pPr>
            <w:r w:rsidRPr="0034372F">
              <w:rPr>
                <w:rFonts w:ascii="Arial" w:hAnsi="Arial" w:cs="Arial"/>
                <w:b/>
                <w:sz w:val="16"/>
                <w:szCs w:val="16"/>
              </w:rPr>
              <w:t>Form Number</w:t>
            </w:r>
          </w:p>
        </w:tc>
        <w:tc>
          <w:tcPr>
            <w:tcW w:w="1230" w:type="dxa"/>
            <w:shd w:val="clear" w:color="auto" w:fill="D9D9D9"/>
          </w:tcPr>
          <w:p w:rsidR="00C11A92" w:rsidRPr="0034372F" w:rsidP="0034372F" w14:paraId="7A8C8964" w14:textId="77777777">
            <w:pPr>
              <w:spacing w:before="240"/>
              <w:rPr>
                <w:rFonts w:ascii="Arial" w:hAnsi="Arial" w:cs="Arial"/>
                <w:b/>
                <w:sz w:val="16"/>
                <w:szCs w:val="16"/>
              </w:rPr>
            </w:pPr>
            <w:r w:rsidRPr="0034372F">
              <w:rPr>
                <w:rFonts w:ascii="Arial" w:hAnsi="Arial" w:cs="Arial"/>
                <w:b/>
                <w:sz w:val="16"/>
                <w:szCs w:val="16"/>
              </w:rPr>
              <w:t>No. of Respondents</w:t>
            </w:r>
          </w:p>
        </w:tc>
        <w:tc>
          <w:tcPr>
            <w:tcW w:w="1176" w:type="dxa"/>
            <w:shd w:val="clear" w:color="auto" w:fill="D9D9D9"/>
          </w:tcPr>
          <w:p w:rsidR="00C11A92" w:rsidRPr="0034372F" w:rsidP="0034372F" w14:paraId="7C7FC293" w14:textId="77777777">
            <w:pPr>
              <w:spacing w:before="240"/>
              <w:rPr>
                <w:rFonts w:ascii="Arial" w:hAnsi="Arial" w:cs="Arial"/>
                <w:b/>
                <w:sz w:val="16"/>
                <w:szCs w:val="16"/>
              </w:rPr>
            </w:pPr>
            <w:r w:rsidRPr="0034372F">
              <w:rPr>
                <w:rFonts w:ascii="Arial" w:hAnsi="Arial" w:cs="Arial"/>
                <w:b/>
                <w:sz w:val="16"/>
                <w:szCs w:val="16"/>
              </w:rPr>
              <w:t>No. of Responses per Respondent</w:t>
            </w:r>
          </w:p>
        </w:tc>
        <w:tc>
          <w:tcPr>
            <w:tcW w:w="1114" w:type="dxa"/>
            <w:shd w:val="clear" w:color="auto" w:fill="D9D9D9"/>
          </w:tcPr>
          <w:p w:rsidR="00C11A92" w:rsidRPr="0034372F" w:rsidP="0034372F" w14:paraId="4C588E58" w14:textId="77777777">
            <w:pPr>
              <w:spacing w:before="240"/>
              <w:rPr>
                <w:rFonts w:ascii="Arial" w:hAnsi="Arial" w:cs="Arial"/>
                <w:b/>
                <w:sz w:val="16"/>
                <w:szCs w:val="16"/>
              </w:rPr>
            </w:pPr>
            <w:r w:rsidRPr="0034372F">
              <w:rPr>
                <w:rFonts w:ascii="Arial" w:hAnsi="Arial" w:cs="Arial"/>
                <w:b/>
                <w:sz w:val="16"/>
                <w:szCs w:val="16"/>
              </w:rPr>
              <w:t>Average Burden per Response (in hours)</w:t>
            </w:r>
          </w:p>
        </w:tc>
        <w:tc>
          <w:tcPr>
            <w:tcW w:w="1037" w:type="dxa"/>
            <w:shd w:val="clear" w:color="auto" w:fill="D9D9D9"/>
          </w:tcPr>
          <w:p w:rsidR="00C11A92" w:rsidRPr="0034372F" w:rsidP="0034372F" w14:paraId="7C599311" w14:textId="77777777">
            <w:pPr>
              <w:spacing w:before="240"/>
              <w:rPr>
                <w:rFonts w:ascii="Arial" w:hAnsi="Arial" w:cs="Arial"/>
                <w:b/>
                <w:sz w:val="16"/>
                <w:szCs w:val="16"/>
              </w:rPr>
            </w:pPr>
            <w:r w:rsidRPr="0034372F">
              <w:rPr>
                <w:rFonts w:ascii="Arial" w:hAnsi="Arial" w:cs="Arial"/>
                <w:b/>
                <w:sz w:val="16"/>
                <w:szCs w:val="16"/>
              </w:rPr>
              <w:t>Total Annual Burden (in hours)</w:t>
            </w:r>
          </w:p>
        </w:tc>
        <w:tc>
          <w:tcPr>
            <w:tcW w:w="1064" w:type="dxa"/>
            <w:shd w:val="clear" w:color="auto" w:fill="D9D9D9"/>
          </w:tcPr>
          <w:p w:rsidR="00C11A92" w:rsidRPr="0034372F" w:rsidP="0034372F" w14:paraId="136BEFDC" w14:textId="77777777">
            <w:pPr>
              <w:spacing w:before="240"/>
              <w:rPr>
                <w:rFonts w:ascii="Arial" w:hAnsi="Arial" w:cs="Arial"/>
                <w:b/>
                <w:sz w:val="16"/>
                <w:szCs w:val="16"/>
              </w:rPr>
            </w:pPr>
            <w:r w:rsidRPr="0034372F">
              <w:rPr>
                <w:rFonts w:ascii="Arial" w:hAnsi="Arial" w:cs="Arial"/>
                <w:b/>
                <w:sz w:val="16"/>
                <w:szCs w:val="16"/>
              </w:rPr>
              <w:t>Average Hourly Wage Rate</w:t>
            </w:r>
          </w:p>
        </w:tc>
        <w:tc>
          <w:tcPr>
            <w:tcW w:w="1176" w:type="dxa"/>
            <w:shd w:val="clear" w:color="auto" w:fill="D9D9D9"/>
          </w:tcPr>
          <w:p w:rsidR="00C11A92" w:rsidRPr="0034372F" w:rsidP="0034372F" w14:paraId="2EDD87FD" w14:textId="77777777">
            <w:pPr>
              <w:spacing w:before="240"/>
              <w:rPr>
                <w:rFonts w:ascii="Arial" w:hAnsi="Arial" w:cs="Arial"/>
                <w:b/>
                <w:sz w:val="16"/>
                <w:szCs w:val="16"/>
              </w:rPr>
            </w:pPr>
            <w:r w:rsidRPr="0034372F">
              <w:rPr>
                <w:rFonts w:ascii="Arial" w:hAnsi="Arial" w:cs="Arial"/>
                <w:b/>
                <w:sz w:val="16"/>
                <w:szCs w:val="16"/>
              </w:rPr>
              <w:t>Total Annual Respondent Cost</w:t>
            </w:r>
          </w:p>
        </w:tc>
      </w:tr>
      <w:tr w14:paraId="67FFC5A9" w14:textId="77777777" w:rsidTr="0034372F">
        <w:tblPrEx>
          <w:tblW w:w="0" w:type="auto"/>
          <w:tblInd w:w="720" w:type="dxa"/>
          <w:tblLook w:val="04A0"/>
        </w:tblPrEx>
        <w:tc>
          <w:tcPr>
            <w:tcW w:w="1006" w:type="dxa"/>
            <w:shd w:val="clear" w:color="auto" w:fill="auto"/>
          </w:tcPr>
          <w:p w:rsidR="00C11A92" w:rsidRPr="0034372F" w:rsidP="0034372F" w14:paraId="175D0AF8" w14:textId="673D7BFC">
            <w:pPr>
              <w:spacing w:before="240"/>
              <w:rPr>
                <w:sz w:val="18"/>
                <w:szCs w:val="18"/>
              </w:rPr>
            </w:pPr>
            <w:r w:rsidRPr="00E26880">
              <w:rPr>
                <w:sz w:val="18"/>
                <w:szCs w:val="18"/>
              </w:rPr>
              <w:t>Health Benefits Election Form</w:t>
            </w:r>
            <w:r w:rsidR="00447D2B">
              <w:rPr>
                <w:sz w:val="18"/>
                <w:szCs w:val="18"/>
              </w:rPr>
              <w:t xml:space="preserve"> (written)</w:t>
            </w:r>
          </w:p>
        </w:tc>
        <w:tc>
          <w:tcPr>
            <w:tcW w:w="1053" w:type="dxa"/>
            <w:shd w:val="clear" w:color="auto" w:fill="auto"/>
          </w:tcPr>
          <w:p w:rsidR="00C11A92" w:rsidRPr="0034372F" w:rsidP="0034372F" w14:paraId="677A7D8B" w14:textId="77777777">
            <w:pPr>
              <w:spacing w:before="240"/>
              <w:rPr>
                <w:sz w:val="18"/>
                <w:szCs w:val="18"/>
              </w:rPr>
            </w:pPr>
            <w:r w:rsidRPr="00E26880">
              <w:rPr>
                <w:sz w:val="18"/>
                <w:szCs w:val="18"/>
              </w:rPr>
              <w:t xml:space="preserve">OPM 2809 </w:t>
            </w:r>
          </w:p>
        </w:tc>
        <w:tc>
          <w:tcPr>
            <w:tcW w:w="1230" w:type="dxa"/>
            <w:shd w:val="clear" w:color="auto" w:fill="auto"/>
          </w:tcPr>
          <w:p w:rsidR="00C11A92" w:rsidRPr="0034372F" w:rsidP="0034372F" w14:paraId="612F3933" w14:textId="77777777">
            <w:pPr>
              <w:spacing w:before="240"/>
              <w:jc w:val="right"/>
              <w:rPr>
                <w:sz w:val="18"/>
                <w:szCs w:val="18"/>
              </w:rPr>
            </w:pPr>
            <w:r>
              <w:rPr>
                <w:sz w:val="18"/>
                <w:szCs w:val="18"/>
              </w:rPr>
              <w:t>2</w:t>
            </w:r>
            <w:r w:rsidR="00B721CC">
              <w:rPr>
                <w:sz w:val="18"/>
                <w:szCs w:val="18"/>
              </w:rPr>
              <w:t>0</w:t>
            </w:r>
            <w:r w:rsidRPr="0034372F">
              <w:rPr>
                <w:sz w:val="18"/>
                <w:szCs w:val="18"/>
              </w:rPr>
              <w:t>,000</w:t>
            </w:r>
          </w:p>
        </w:tc>
        <w:tc>
          <w:tcPr>
            <w:tcW w:w="1176" w:type="dxa"/>
            <w:shd w:val="clear" w:color="auto" w:fill="auto"/>
          </w:tcPr>
          <w:p w:rsidR="00C11A92" w:rsidRPr="0034372F" w:rsidP="0034372F" w14:paraId="6BB25575" w14:textId="77777777">
            <w:pPr>
              <w:spacing w:before="240"/>
              <w:jc w:val="right"/>
              <w:rPr>
                <w:sz w:val="18"/>
                <w:szCs w:val="18"/>
              </w:rPr>
            </w:pPr>
            <w:r w:rsidRPr="0034372F">
              <w:rPr>
                <w:sz w:val="18"/>
                <w:szCs w:val="18"/>
              </w:rPr>
              <w:t>1</w:t>
            </w:r>
          </w:p>
        </w:tc>
        <w:tc>
          <w:tcPr>
            <w:tcW w:w="1114" w:type="dxa"/>
            <w:shd w:val="clear" w:color="auto" w:fill="auto"/>
          </w:tcPr>
          <w:p w:rsidR="00C11A92" w:rsidRPr="0034372F" w:rsidP="0034372F" w14:paraId="338553FA" w14:textId="77777777">
            <w:pPr>
              <w:spacing w:before="240"/>
              <w:jc w:val="right"/>
              <w:rPr>
                <w:sz w:val="18"/>
                <w:szCs w:val="18"/>
              </w:rPr>
            </w:pPr>
            <w:r>
              <w:rPr>
                <w:sz w:val="18"/>
                <w:szCs w:val="18"/>
              </w:rPr>
              <w:t>.5</w:t>
            </w:r>
          </w:p>
        </w:tc>
        <w:tc>
          <w:tcPr>
            <w:tcW w:w="1037" w:type="dxa"/>
            <w:shd w:val="clear" w:color="auto" w:fill="auto"/>
          </w:tcPr>
          <w:p w:rsidR="00C11A92" w:rsidRPr="0034372F" w:rsidP="0034372F" w14:paraId="1CF37C02" w14:textId="75A3D5D6">
            <w:pPr>
              <w:spacing w:before="240"/>
              <w:jc w:val="right"/>
              <w:rPr>
                <w:sz w:val="18"/>
                <w:szCs w:val="18"/>
              </w:rPr>
            </w:pPr>
            <w:r>
              <w:rPr>
                <w:sz w:val="18"/>
                <w:szCs w:val="18"/>
              </w:rPr>
              <w:t>1</w:t>
            </w:r>
            <w:r w:rsidR="00537448">
              <w:rPr>
                <w:sz w:val="18"/>
                <w:szCs w:val="18"/>
              </w:rPr>
              <w:t>0</w:t>
            </w:r>
            <w:r w:rsidR="0032674C">
              <w:rPr>
                <w:sz w:val="18"/>
                <w:szCs w:val="18"/>
              </w:rPr>
              <w:t>,000</w:t>
            </w:r>
          </w:p>
        </w:tc>
        <w:tc>
          <w:tcPr>
            <w:tcW w:w="1064" w:type="dxa"/>
            <w:shd w:val="clear" w:color="auto" w:fill="auto"/>
          </w:tcPr>
          <w:p w:rsidR="00C11A92" w:rsidRPr="0034372F" w:rsidP="0034372F" w14:paraId="43E91891" w14:textId="77777777">
            <w:pPr>
              <w:spacing w:before="240"/>
              <w:jc w:val="center"/>
              <w:rPr>
                <w:sz w:val="18"/>
                <w:szCs w:val="18"/>
              </w:rPr>
            </w:pPr>
            <w:r w:rsidRPr="0034372F">
              <w:rPr>
                <w:sz w:val="18"/>
                <w:szCs w:val="18"/>
              </w:rPr>
              <w:t>$</w:t>
            </w:r>
            <w:r w:rsidR="0032674C">
              <w:rPr>
                <w:sz w:val="18"/>
                <w:szCs w:val="18"/>
              </w:rPr>
              <w:t>1</w:t>
            </w:r>
            <w:r w:rsidRPr="0034372F">
              <w:rPr>
                <w:sz w:val="18"/>
                <w:szCs w:val="18"/>
              </w:rPr>
              <w:t>0</w:t>
            </w:r>
            <w:r w:rsidR="0032674C">
              <w:rPr>
                <w:sz w:val="18"/>
                <w:szCs w:val="18"/>
              </w:rPr>
              <w:t>.75</w:t>
            </w:r>
          </w:p>
        </w:tc>
        <w:tc>
          <w:tcPr>
            <w:tcW w:w="1176" w:type="dxa"/>
            <w:shd w:val="clear" w:color="auto" w:fill="auto"/>
          </w:tcPr>
          <w:p w:rsidR="00C11A92" w:rsidRPr="0034372F" w:rsidP="0034372F" w14:paraId="60604339" w14:textId="77777777">
            <w:pPr>
              <w:spacing w:before="240"/>
              <w:jc w:val="center"/>
              <w:rPr>
                <w:sz w:val="18"/>
                <w:szCs w:val="18"/>
              </w:rPr>
            </w:pPr>
            <w:r w:rsidRPr="0034372F">
              <w:rPr>
                <w:sz w:val="18"/>
                <w:szCs w:val="18"/>
              </w:rPr>
              <w:t>$</w:t>
            </w:r>
            <w:r w:rsidR="0032674C">
              <w:rPr>
                <w:sz w:val="18"/>
                <w:szCs w:val="18"/>
              </w:rPr>
              <w:t>268,750.00</w:t>
            </w:r>
            <w:r w:rsidRPr="0034372F">
              <w:rPr>
                <w:sz w:val="18"/>
                <w:szCs w:val="18"/>
              </w:rPr>
              <w:t xml:space="preserve"> </w:t>
            </w:r>
          </w:p>
        </w:tc>
      </w:tr>
      <w:tr w14:paraId="1A44DC38" w14:textId="77777777" w:rsidTr="00A14624">
        <w:tblPrEx>
          <w:tblW w:w="0" w:type="auto"/>
          <w:tblInd w:w="720" w:type="dxa"/>
          <w:tblLook w:val="04A0"/>
        </w:tblPrEx>
        <w:tc>
          <w:tcPr>
            <w:tcW w:w="1006" w:type="dxa"/>
            <w:shd w:val="clear" w:color="auto" w:fill="auto"/>
          </w:tcPr>
          <w:p w:rsidR="00447D2B" w:rsidRPr="0034372F" w:rsidP="00A14624" w14:paraId="5A4ECA12" w14:textId="0EA2FB52">
            <w:pPr>
              <w:spacing w:before="240"/>
              <w:rPr>
                <w:sz w:val="18"/>
                <w:szCs w:val="18"/>
              </w:rPr>
            </w:pPr>
            <w:r w:rsidRPr="00E26880">
              <w:rPr>
                <w:sz w:val="18"/>
                <w:szCs w:val="18"/>
              </w:rPr>
              <w:t>Health Benefits Election Form</w:t>
            </w:r>
            <w:r>
              <w:rPr>
                <w:sz w:val="18"/>
                <w:szCs w:val="18"/>
              </w:rPr>
              <w:br/>
              <w:t>(verbal)</w:t>
            </w:r>
          </w:p>
        </w:tc>
        <w:tc>
          <w:tcPr>
            <w:tcW w:w="1053" w:type="dxa"/>
            <w:shd w:val="clear" w:color="auto" w:fill="auto"/>
          </w:tcPr>
          <w:p w:rsidR="0032674C" w:rsidRPr="0034372F" w:rsidP="00A14624" w14:paraId="1BAB010A" w14:textId="77777777">
            <w:pPr>
              <w:spacing w:before="240"/>
              <w:rPr>
                <w:sz w:val="18"/>
                <w:szCs w:val="18"/>
              </w:rPr>
            </w:pPr>
            <w:r w:rsidRPr="00E26880">
              <w:rPr>
                <w:sz w:val="18"/>
                <w:szCs w:val="18"/>
              </w:rPr>
              <w:t xml:space="preserve">OPM 2809 </w:t>
            </w:r>
          </w:p>
        </w:tc>
        <w:tc>
          <w:tcPr>
            <w:tcW w:w="1230" w:type="dxa"/>
            <w:shd w:val="clear" w:color="auto" w:fill="auto"/>
          </w:tcPr>
          <w:p w:rsidR="0032674C" w:rsidRPr="0034372F" w:rsidP="00A14624" w14:paraId="0A5390B6" w14:textId="77777777">
            <w:pPr>
              <w:spacing w:before="240"/>
              <w:jc w:val="right"/>
              <w:rPr>
                <w:sz w:val="18"/>
                <w:szCs w:val="18"/>
              </w:rPr>
            </w:pPr>
            <w:r>
              <w:rPr>
                <w:sz w:val="18"/>
                <w:szCs w:val="18"/>
              </w:rPr>
              <w:t>10</w:t>
            </w:r>
            <w:r w:rsidRPr="0034372F">
              <w:rPr>
                <w:sz w:val="18"/>
                <w:szCs w:val="18"/>
              </w:rPr>
              <w:t>,000</w:t>
            </w:r>
          </w:p>
        </w:tc>
        <w:tc>
          <w:tcPr>
            <w:tcW w:w="1176" w:type="dxa"/>
            <w:shd w:val="clear" w:color="auto" w:fill="auto"/>
          </w:tcPr>
          <w:p w:rsidR="0032674C" w:rsidRPr="0034372F" w:rsidP="00A14624" w14:paraId="42E352CF" w14:textId="77777777">
            <w:pPr>
              <w:spacing w:before="240"/>
              <w:jc w:val="right"/>
              <w:rPr>
                <w:sz w:val="18"/>
                <w:szCs w:val="18"/>
              </w:rPr>
            </w:pPr>
            <w:r w:rsidRPr="0034372F">
              <w:rPr>
                <w:sz w:val="18"/>
                <w:szCs w:val="18"/>
              </w:rPr>
              <w:t>1</w:t>
            </w:r>
          </w:p>
        </w:tc>
        <w:tc>
          <w:tcPr>
            <w:tcW w:w="1114" w:type="dxa"/>
            <w:shd w:val="clear" w:color="auto" w:fill="auto"/>
          </w:tcPr>
          <w:p w:rsidR="0032674C" w:rsidRPr="0034372F" w:rsidP="00A14624" w14:paraId="25ECADFC" w14:textId="77777777">
            <w:pPr>
              <w:spacing w:before="240"/>
              <w:jc w:val="right"/>
              <w:rPr>
                <w:sz w:val="18"/>
                <w:szCs w:val="18"/>
              </w:rPr>
            </w:pPr>
            <w:r>
              <w:rPr>
                <w:sz w:val="18"/>
                <w:szCs w:val="18"/>
              </w:rPr>
              <w:t>.1666</w:t>
            </w:r>
          </w:p>
        </w:tc>
        <w:tc>
          <w:tcPr>
            <w:tcW w:w="1037" w:type="dxa"/>
            <w:shd w:val="clear" w:color="auto" w:fill="auto"/>
          </w:tcPr>
          <w:p w:rsidR="0032674C" w:rsidRPr="0034372F" w:rsidP="00A14624" w14:paraId="03DB6DC6" w14:textId="77777777">
            <w:pPr>
              <w:spacing w:before="240"/>
              <w:jc w:val="right"/>
              <w:rPr>
                <w:sz w:val="18"/>
                <w:szCs w:val="18"/>
              </w:rPr>
            </w:pPr>
            <w:r>
              <w:rPr>
                <w:sz w:val="18"/>
                <w:szCs w:val="18"/>
              </w:rPr>
              <w:t>1,667</w:t>
            </w:r>
          </w:p>
        </w:tc>
        <w:tc>
          <w:tcPr>
            <w:tcW w:w="1064" w:type="dxa"/>
            <w:shd w:val="clear" w:color="auto" w:fill="auto"/>
          </w:tcPr>
          <w:p w:rsidR="0032674C" w:rsidRPr="0034372F" w:rsidP="00A14624" w14:paraId="140EF483" w14:textId="77777777">
            <w:pPr>
              <w:spacing w:before="240"/>
              <w:jc w:val="center"/>
              <w:rPr>
                <w:sz w:val="18"/>
                <w:szCs w:val="18"/>
              </w:rPr>
            </w:pPr>
            <w:r w:rsidRPr="0034372F">
              <w:rPr>
                <w:sz w:val="18"/>
                <w:szCs w:val="18"/>
              </w:rPr>
              <w:t>$</w:t>
            </w:r>
            <w:r>
              <w:rPr>
                <w:sz w:val="18"/>
                <w:szCs w:val="18"/>
              </w:rPr>
              <w:t>3.58</w:t>
            </w:r>
          </w:p>
        </w:tc>
        <w:tc>
          <w:tcPr>
            <w:tcW w:w="1176" w:type="dxa"/>
            <w:shd w:val="clear" w:color="auto" w:fill="auto"/>
          </w:tcPr>
          <w:p w:rsidR="0032674C" w:rsidRPr="0034372F" w:rsidP="00A14624" w14:paraId="1CC7062E" w14:textId="77777777">
            <w:pPr>
              <w:spacing w:before="240"/>
              <w:jc w:val="center"/>
              <w:rPr>
                <w:sz w:val="18"/>
                <w:szCs w:val="18"/>
              </w:rPr>
            </w:pPr>
            <w:r w:rsidRPr="0034372F">
              <w:rPr>
                <w:sz w:val="18"/>
                <w:szCs w:val="18"/>
              </w:rPr>
              <w:t>$</w:t>
            </w:r>
            <w:r>
              <w:rPr>
                <w:sz w:val="18"/>
                <w:szCs w:val="18"/>
              </w:rPr>
              <w:t>44,750.00</w:t>
            </w:r>
            <w:r w:rsidRPr="0034372F">
              <w:rPr>
                <w:sz w:val="18"/>
                <w:szCs w:val="18"/>
              </w:rPr>
              <w:t xml:space="preserve"> </w:t>
            </w:r>
          </w:p>
        </w:tc>
      </w:tr>
    </w:tbl>
    <w:p w:rsidR="00CB0B42" w:rsidP="00CB0B42" w14:paraId="5EC10B16" w14:textId="77777777">
      <w:pPr>
        <w:ind w:right="-288" w:firstLine="720"/>
      </w:pPr>
    </w:p>
    <w:p w:rsidR="00611CDB" w:rsidP="00CB0B42" w14:paraId="2ED3346B" w14:textId="77777777">
      <w:pPr>
        <w:ind w:right="-288" w:firstLine="720"/>
      </w:pPr>
      <w:r>
        <w:t>The cost to the respondent is $</w:t>
      </w:r>
      <w:r w:rsidR="0032674C">
        <w:t>313,500.00</w:t>
      </w:r>
    </w:p>
    <w:p w:rsidR="00900E7C" w:rsidP="00CB0B42" w14:paraId="778EB626" w14:textId="77777777">
      <w:pPr>
        <w:ind w:right="-288" w:firstLine="720"/>
      </w:pPr>
    </w:p>
    <w:p w:rsidR="00C11A92" w:rsidRPr="00741061" w:rsidP="00C11A92" w14:paraId="38EEC25F"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C11A92" w:rsidRPr="00741061" w:rsidP="00C11A92" w14:paraId="3AA38603" w14:textId="77777777">
      <w:pPr>
        <w:pStyle w:val="ListParagraph"/>
        <w:shd w:val="pct25" w:color="auto" w:fill="auto"/>
        <w:tabs>
          <w:tab w:val="left" w:pos="-720"/>
        </w:tabs>
        <w:suppressAutoHyphens/>
        <w:ind w:left="0"/>
      </w:pPr>
    </w:p>
    <w:p w:rsidR="00C11A92" w:rsidRPr="00741061" w:rsidP="00C11A92" w14:paraId="2E58F037" w14:textId="77777777">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t>
      </w:r>
      <w:r w:rsidRPr="00741061">
        <w:t>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11A92" w:rsidRPr="00741061" w:rsidP="00C11A92" w14:paraId="250440A1" w14:textId="77777777">
      <w:pPr>
        <w:pStyle w:val="ListParagraph"/>
        <w:shd w:val="pct25" w:color="auto" w:fill="FFFFFF"/>
        <w:tabs>
          <w:tab w:val="left" w:pos="-720"/>
        </w:tabs>
        <w:suppressAutoHyphens/>
        <w:ind w:left="0"/>
      </w:pPr>
    </w:p>
    <w:p w:rsidR="00C11A92" w:rsidRPr="00741061" w:rsidP="00C11A92" w14:paraId="2F302161" w14:textId="7777777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11A92" w:rsidRPr="00741061" w:rsidP="00C11A92" w14:paraId="647D4540" w14:textId="77777777">
      <w:pPr>
        <w:pStyle w:val="ListParagraph"/>
        <w:shd w:val="pct25" w:color="auto" w:fill="FFFFFF"/>
        <w:tabs>
          <w:tab w:val="left" w:pos="-720"/>
        </w:tabs>
        <w:suppressAutoHyphens/>
        <w:ind w:left="0"/>
      </w:pPr>
    </w:p>
    <w:p w:rsidR="00C11A92" w:rsidRPr="00741061" w:rsidP="00C11A92" w14:paraId="34D69F3D"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C11A92" w:rsidP="00C11A92" w14:paraId="28A7ABB9" w14:textId="77777777">
      <w:pPr>
        <w:spacing w:before="240"/>
        <w:ind w:firstLine="720"/>
      </w:pPr>
      <w:r>
        <w:t>There is no change in the respondent burden.</w:t>
      </w:r>
    </w:p>
    <w:p w:rsidR="00C11A92" w:rsidP="00C11A92" w14:paraId="43739367" w14:textId="77777777">
      <w:pPr>
        <w:spacing w:before="240"/>
        <w:ind w:firstLine="720"/>
      </w:pPr>
    </w:p>
    <w:p w:rsidR="00C11A92" w:rsidP="00C11A92" w14:paraId="43EA9CED" w14:textId="77777777">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C11A92" w:rsidP="00611CDB" w14:paraId="1A930704" w14:textId="77777777">
      <w:pPr>
        <w:spacing w:before="240"/>
        <w:ind w:left="720"/>
      </w:pPr>
      <w:r w:rsidRPr="001A20F3">
        <w:t>Annualized cost to the Federal Government is approximately</w:t>
      </w:r>
      <w:r w:rsidRPr="00B721CC" w:rsidR="00B721CC">
        <w:t xml:space="preserve"> </w:t>
      </w:r>
      <w:r w:rsidR="00B721CC">
        <w:t>is $87,650.</w:t>
      </w:r>
      <w:r w:rsidR="0032674C">
        <w:t xml:space="preserve"> </w:t>
      </w:r>
      <w:r w:rsidRPr="001A20F3">
        <w:t>This cost is derived from employee salaries, staff hours required to process the forms and the cost</w:t>
      </w:r>
      <w:r w:rsidR="00EB0FB2">
        <w:br/>
      </w:r>
      <w:r w:rsidRPr="001A20F3">
        <w:t xml:space="preserve">of printing, storing and shipping forms.  </w:t>
      </w:r>
    </w:p>
    <w:p w:rsidR="00CB0B42" w:rsidP="006B37C6" w14:paraId="1580F2E8" w14:textId="77777777">
      <w:pPr>
        <w:ind w:left="720"/>
      </w:pPr>
    </w:p>
    <w:p w:rsidR="00C11A92" w:rsidRPr="00741061" w:rsidP="00C11A92" w14:paraId="0EF36894"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14:paraId="2AFFB562" w14:textId="77777777">
      <w:pPr>
        <w:ind w:left="720"/>
      </w:pPr>
    </w:p>
    <w:p w:rsidR="00C11A92" w:rsidP="00900E7C" w14:paraId="2EDE2C3F" w14:textId="77777777">
      <w:pPr>
        <w:ind w:firstLine="720"/>
      </w:pPr>
      <w:r>
        <w:t>There are no</w:t>
      </w:r>
      <w:r>
        <w:t xml:space="preserve"> new changes.</w:t>
      </w:r>
    </w:p>
    <w:p w:rsidR="00C11A92" w:rsidP="006B37C6" w14:paraId="1C5436D8" w14:textId="77777777">
      <w:pPr>
        <w:ind w:left="720"/>
      </w:pPr>
    </w:p>
    <w:p w:rsidR="00C11A92" w:rsidRPr="00741061" w:rsidP="00C11A92" w14:paraId="65C8BAA8"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1A92" w:rsidP="00C11A92" w14:paraId="60ADB617" w14:textId="77777777">
      <w:pPr>
        <w:ind w:left="720"/>
      </w:pPr>
    </w:p>
    <w:p w:rsidR="00C11A92" w:rsidP="00C11A92" w14:paraId="032F8240" w14:textId="77777777">
      <w:pPr>
        <w:ind w:left="720"/>
      </w:pPr>
      <w:r>
        <w:t>The results of this information collection are not published.</w:t>
      </w:r>
    </w:p>
    <w:p w:rsidR="00C11A92" w:rsidP="00C11A92" w14:paraId="50A48852" w14:textId="77777777">
      <w:pPr>
        <w:ind w:left="720"/>
      </w:pPr>
    </w:p>
    <w:p w:rsidR="00C11A92" w:rsidRPr="00741061" w:rsidP="00C11A92" w14:paraId="530E9F09"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14:paraId="72F806AA" w14:textId="77777777">
      <w:pPr>
        <w:pStyle w:val="ListParagraph"/>
        <w:tabs>
          <w:tab w:val="left" w:pos="-720"/>
        </w:tabs>
        <w:suppressAutoHyphens/>
        <w:ind w:left="0"/>
      </w:pPr>
    </w:p>
    <w:p w:rsidR="00611CDB" w:rsidP="00611CDB" w14:paraId="3024A544" w14:textId="77777777">
      <w:pPr>
        <w:ind w:left="720"/>
      </w:pPr>
      <w:r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 xml:space="preserve">practice, Retirement Services printed approximately 2 million documents subject to OMB clearance at a </w:t>
      </w:r>
      <w:r>
        <w:t xml:space="preserve">cost of approximately $85,000. </w:t>
      </w:r>
      <w:r w:rsidRPr="0021279C">
        <w:t>Our costs would rise substantially if additio</w:t>
      </w:r>
      <w:r>
        <w:t xml:space="preserve">nal revision cycles are added. </w:t>
      </w:r>
      <w:r w:rsidRPr="0021279C">
        <w:t>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date18.</w:t>
      </w:r>
      <w:r w:rsidRPr="0092615E">
        <w:t xml:space="preserve"> </w:t>
      </w:r>
      <w:r>
        <w:t>There are no exceptions to the certification statement.</w:t>
      </w:r>
    </w:p>
    <w:p w:rsidR="00C11A92" w:rsidRPr="00741061" w:rsidP="00C11A92" w14:paraId="08E4DEC6" w14:textId="77777777">
      <w:pPr>
        <w:pStyle w:val="ListParagraph"/>
        <w:tabs>
          <w:tab w:val="left" w:pos="-720"/>
        </w:tabs>
        <w:suppressAutoHyphens/>
        <w:ind w:left="0"/>
      </w:pPr>
    </w:p>
    <w:p w:rsidR="00C11A92" w:rsidP="0088417A" w14:paraId="4F4306D4"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C11A92" w:rsidP="00C11A92" w14:paraId="5969D5FF" w14:textId="77777777">
      <w:pPr>
        <w:spacing w:before="240"/>
        <w:ind w:firstLine="720"/>
      </w:pPr>
      <w:r>
        <w:t>There are no exceptions to the certification statement.</w:t>
      </w:r>
    </w:p>
    <w:p w:rsidR="0067719F" w14:paraId="4C436F74" w14:textId="77777777"/>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857039781">
    <w:abstractNumId w:val="2"/>
  </w:num>
  <w:num w:numId="2" w16cid:durableId="1269001924">
    <w:abstractNumId w:val="0"/>
  </w:num>
  <w:num w:numId="3" w16cid:durableId="1669362018">
    <w:abstractNumId w:val="1"/>
  </w:num>
  <w:num w:numId="4" w16cid:durableId="1788088185">
    <w:abstractNumId w:val="4"/>
  </w:num>
  <w:num w:numId="5" w16cid:durableId="1284386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3"/>
    <w:rsid w:val="00015DF7"/>
    <w:rsid w:val="000203B1"/>
    <w:rsid w:val="000C76FA"/>
    <w:rsid w:val="0012266F"/>
    <w:rsid w:val="00160396"/>
    <w:rsid w:val="001715CB"/>
    <w:rsid w:val="001753D1"/>
    <w:rsid w:val="00177589"/>
    <w:rsid w:val="001A20F3"/>
    <w:rsid w:val="001F7B17"/>
    <w:rsid w:val="0021279C"/>
    <w:rsid w:val="00237649"/>
    <w:rsid w:val="0024181B"/>
    <w:rsid w:val="002459DD"/>
    <w:rsid w:val="002B1643"/>
    <w:rsid w:val="002C1F76"/>
    <w:rsid w:val="002E15C4"/>
    <w:rsid w:val="00300EE8"/>
    <w:rsid w:val="003120F3"/>
    <w:rsid w:val="00323AE3"/>
    <w:rsid w:val="0032674C"/>
    <w:rsid w:val="00337437"/>
    <w:rsid w:val="003414E6"/>
    <w:rsid w:val="0034372F"/>
    <w:rsid w:val="003A4EDB"/>
    <w:rsid w:val="00447D2B"/>
    <w:rsid w:val="0047295A"/>
    <w:rsid w:val="004A59B6"/>
    <w:rsid w:val="00537448"/>
    <w:rsid w:val="00591F3F"/>
    <w:rsid w:val="00611CDB"/>
    <w:rsid w:val="006632C4"/>
    <w:rsid w:val="0067719F"/>
    <w:rsid w:val="006B37C6"/>
    <w:rsid w:val="006C4545"/>
    <w:rsid w:val="00741061"/>
    <w:rsid w:val="007438A8"/>
    <w:rsid w:val="00810C0A"/>
    <w:rsid w:val="008114ED"/>
    <w:rsid w:val="0088417A"/>
    <w:rsid w:val="00900E7C"/>
    <w:rsid w:val="0092615E"/>
    <w:rsid w:val="009A69F3"/>
    <w:rsid w:val="009A6C84"/>
    <w:rsid w:val="009B7453"/>
    <w:rsid w:val="00A10BE7"/>
    <w:rsid w:val="00A1229D"/>
    <w:rsid w:val="00A14624"/>
    <w:rsid w:val="00A3690D"/>
    <w:rsid w:val="00A508B9"/>
    <w:rsid w:val="00A86050"/>
    <w:rsid w:val="00AB084A"/>
    <w:rsid w:val="00AF5619"/>
    <w:rsid w:val="00B2553E"/>
    <w:rsid w:val="00B42A24"/>
    <w:rsid w:val="00B721CC"/>
    <w:rsid w:val="00BD491A"/>
    <w:rsid w:val="00C11A92"/>
    <w:rsid w:val="00C1773B"/>
    <w:rsid w:val="00C37082"/>
    <w:rsid w:val="00CB0B42"/>
    <w:rsid w:val="00D358C6"/>
    <w:rsid w:val="00D82F63"/>
    <w:rsid w:val="00E26880"/>
    <w:rsid w:val="00E44C84"/>
    <w:rsid w:val="00EB0FB2"/>
    <w:rsid w:val="00ED158B"/>
    <w:rsid w:val="00F85941"/>
    <w:rsid w:val="00FC4360"/>
    <w:rsid w:val="00FF3D49"/>
    <w:rsid w:val="00FF5C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74D82"/>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ink/ink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23T21:07:29.358"/>
    </inkml:context>
    <inkml:brush xml:id="br0">
      <inkml:brushProperty name="width" value="0.05" units="cm"/>
      <inkml:brushProperty name="height" value="0.05" units="cm"/>
    </inkml:brush>
  </inkml:definitions>
  <inkml:trace contextRef="#ctx0" brushRef="#br0">0 63 3249,'9'-32'705,"7"8"319,4 17-928,3 14-192,-5 3 16,0 4-304,-2 0-112,-2-3-545,-1 3 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2474</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4</cp:revision>
  <cp:lastPrinted>2011-06-22T14:53:00Z</cp:lastPrinted>
  <dcterms:created xsi:type="dcterms:W3CDTF">2023-04-21T16:56:00Z</dcterms:created>
  <dcterms:modified xsi:type="dcterms:W3CDTF">2023-04-21T17:06:00Z</dcterms:modified>
</cp:coreProperties>
</file>