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1F29" w:rsidR="00754990" w:rsidP="00754990" w:rsidRDefault="00754990" w14:paraId="4B0220D0" w14:textId="5E2EB3B6">
      <w:pPr>
        <w:pStyle w:val="DocTitle-IPR"/>
        <w:spacing w:before="1440" w:after="1440"/>
        <w:rPr>
          <w:rFonts w:ascii="Candara" w:hAnsi="Candara"/>
        </w:rPr>
      </w:pPr>
      <w:bookmarkStart w:name="OLE_LINK1" w:id="0"/>
      <w:r w:rsidRPr="00E01F29">
        <w:rPr>
          <w:rFonts w:ascii="Candara" w:hAnsi="Candara"/>
        </w:rPr>
        <w:t xml:space="preserve">Supporting Statement Part </w:t>
      </w:r>
      <w:r>
        <w:rPr>
          <w:rFonts w:ascii="Candara" w:hAnsi="Candara"/>
        </w:rPr>
        <w:t>B</w:t>
      </w:r>
    </w:p>
    <w:p w:rsidRPr="00267BFC" w:rsidR="00754990" w:rsidP="00754990" w:rsidRDefault="00754990" w14:paraId="2BB19CDC" w14:textId="77777777">
      <w:pPr>
        <w:spacing w:before="1440" w:after="1440"/>
        <w:jc w:val="center"/>
        <w:rPr>
          <w:rFonts w:ascii="Candara" w:hAnsi="Candara"/>
          <w:bCs/>
          <w:sz w:val="36"/>
          <w:szCs w:val="52"/>
        </w:rPr>
      </w:pPr>
      <w:r w:rsidRPr="00D6798F">
        <w:rPr>
          <w:rFonts w:ascii="Candara" w:hAnsi="Candara"/>
          <w:bCs/>
          <w:sz w:val="36"/>
          <w:szCs w:val="52"/>
        </w:rPr>
        <w:t>OMB No. 0584-[NEW]</w:t>
      </w:r>
    </w:p>
    <w:p w:rsidR="00754990" w:rsidP="00754990" w:rsidRDefault="00754990" w14:paraId="57DB80D5" w14:textId="77777777">
      <w:pPr>
        <w:spacing w:before="1440" w:after="1440"/>
        <w:jc w:val="center"/>
        <w:rPr>
          <w:rFonts w:ascii="Candara" w:hAnsi="Candara" w:cs="Lucida Sans Unicode"/>
          <w:i/>
          <w:sz w:val="36"/>
          <w:szCs w:val="36"/>
        </w:rPr>
      </w:pPr>
      <w:r w:rsidRPr="00311E40">
        <w:rPr>
          <w:rFonts w:ascii="Candara" w:hAnsi="Candara" w:cs="Lucida Sans Unicode"/>
          <w:i/>
          <w:sz w:val="36"/>
          <w:szCs w:val="36"/>
        </w:rPr>
        <w:t>Food Security Status and Well-Being of Nutrition Assistance Program (NAP) Participants in Puerto Rico</w:t>
      </w:r>
    </w:p>
    <w:p w:rsidRPr="00E40F84" w:rsidR="00754990" w:rsidP="00754990" w:rsidRDefault="00757A2A" w14:paraId="1AEA4E36" w14:textId="5ECF593A">
      <w:pPr>
        <w:spacing w:before="1440" w:after="1440"/>
        <w:jc w:val="center"/>
        <w:rPr>
          <w:rFonts w:ascii="Calibri" w:hAnsi="Calibri" w:cs="Calibri"/>
        </w:rPr>
      </w:pPr>
      <w:r>
        <w:rPr>
          <w:rFonts w:ascii="Calibri" w:hAnsi="Calibri" w:cs="Calibri"/>
        </w:rPr>
        <w:t>May 3</w:t>
      </w:r>
      <w:r w:rsidRPr="00BB4565" w:rsidR="00754990">
        <w:rPr>
          <w:rFonts w:ascii="Calibri" w:hAnsi="Calibri" w:cs="Calibri"/>
        </w:rPr>
        <w:t>, 202</w:t>
      </w:r>
      <w:r w:rsidR="00DE76D6">
        <w:rPr>
          <w:rFonts w:ascii="Calibri" w:hAnsi="Calibri" w:cs="Calibri"/>
        </w:rPr>
        <w:t>2</w:t>
      </w:r>
    </w:p>
    <w:p w:rsidRPr="00C07F5B" w:rsidR="00754990" w:rsidP="00754990" w:rsidRDefault="00754990" w14:paraId="29C73780" w14:textId="77777777">
      <w:pPr>
        <w:pStyle w:val="TableText-IPR"/>
        <w:spacing w:after="120"/>
        <w:jc w:val="center"/>
        <w:rPr>
          <w:b/>
          <w:sz w:val="24"/>
          <w:szCs w:val="24"/>
        </w:rPr>
      </w:pPr>
      <w:r w:rsidRPr="008D5210">
        <w:rPr>
          <w:b/>
          <w:sz w:val="24"/>
          <w:szCs w:val="24"/>
        </w:rPr>
        <w:t xml:space="preserve">Project Officer: </w:t>
      </w:r>
      <w:r>
        <w:rPr>
          <w:b/>
          <w:sz w:val="24"/>
          <w:szCs w:val="24"/>
        </w:rPr>
        <w:t>Kristen Corey</w:t>
      </w:r>
    </w:p>
    <w:p w:rsidR="00754990" w:rsidP="00754990" w:rsidRDefault="00754990" w14:paraId="5AA8E0B9" w14:textId="77777777">
      <w:pPr>
        <w:pStyle w:val="TableText-IPR"/>
        <w:jc w:val="center"/>
        <w:rPr>
          <w:rFonts w:cs="Calibri"/>
          <w:sz w:val="22"/>
          <w:szCs w:val="24"/>
        </w:rPr>
      </w:pPr>
      <w:r>
        <w:rPr>
          <w:rFonts w:cs="Calibri"/>
          <w:sz w:val="22"/>
          <w:szCs w:val="24"/>
        </w:rPr>
        <w:t>Office of Policy Support</w:t>
      </w:r>
    </w:p>
    <w:p w:rsidR="00754990" w:rsidP="00754990" w:rsidRDefault="00754990" w14:paraId="1BC1EE07" w14:textId="77777777">
      <w:pPr>
        <w:pStyle w:val="TableText-IPR"/>
        <w:jc w:val="center"/>
        <w:rPr>
          <w:rFonts w:cs="Calibri"/>
          <w:sz w:val="22"/>
          <w:szCs w:val="24"/>
        </w:rPr>
      </w:pPr>
      <w:r>
        <w:rPr>
          <w:rFonts w:cs="Calibri"/>
          <w:sz w:val="22"/>
          <w:szCs w:val="24"/>
        </w:rPr>
        <w:t>Food and Nutrition Service</w:t>
      </w:r>
    </w:p>
    <w:p w:rsidR="00754990" w:rsidP="00754990" w:rsidRDefault="00754990" w14:paraId="79D54DB1" w14:textId="77777777">
      <w:pPr>
        <w:pStyle w:val="TableText-IPR"/>
        <w:jc w:val="center"/>
        <w:rPr>
          <w:rFonts w:cs="Calibri"/>
          <w:sz w:val="22"/>
          <w:szCs w:val="24"/>
        </w:rPr>
      </w:pPr>
      <w:r>
        <w:rPr>
          <w:rFonts w:cs="Calibri"/>
          <w:sz w:val="22"/>
          <w:szCs w:val="24"/>
        </w:rPr>
        <w:t>U.S. Department of Agriculture</w:t>
      </w:r>
    </w:p>
    <w:p w:rsidR="00754990" w:rsidP="00754990" w:rsidRDefault="00754990" w14:paraId="071286A0" w14:textId="77777777">
      <w:pPr>
        <w:pStyle w:val="TableText-IPR"/>
        <w:jc w:val="center"/>
        <w:rPr>
          <w:rFonts w:cs="Calibri"/>
          <w:sz w:val="22"/>
          <w:szCs w:val="24"/>
        </w:rPr>
      </w:pPr>
      <w:r>
        <w:rPr>
          <w:rFonts w:cs="Calibri"/>
          <w:sz w:val="22"/>
          <w:szCs w:val="24"/>
        </w:rPr>
        <w:t>1320 Braddock Place</w:t>
      </w:r>
    </w:p>
    <w:p w:rsidR="00754990" w:rsidP="00754990" w:rsidRDefault="00754990" w14:paraId="6CC35D66" w14:textId="658CEB39">
      <w:pPr>
        <w:pStyle w:val="TableText-IPR"/>
        <w:jc w:val="center"/>
        <w:rPr>
          <w:rFonts w:cs="Calibri"/>
          <w:sz w:val="22"/>
          <w:szCs w:val="24"/>
        </w:rPr>
      </w:pPr>
      <w:r>
        <w:rPr>
          <w:rFonts w:cs="Calibri"/>
          <w:sz w:val="22"/>
          <w:szCs w:val="24"/>
        </w:rPr>
        <w:t>Alexandria, VA 22314</w:t>
      </w:r>
    </w:p>
    <w:p w:rsidR="005A64F3" w:rsidP="005A64F3" w:rsidRDefault="005A64F3" w14:paraId="7C89019C" w14:textId="77777777">
      <w:pPr>
        <w:pStyle w:val="TableText-IPR"/>
        <w:jc w:val="center"/>
        <w:rPr>
          <w:rFonts w:cs="Calibri"/>
          <w:sz w:val="22"/>
          <w:szCs w:val="24"/>
        </w:rPr>
      </w:pPr>
      <w:r w:rsidRPr="00AA6045">
        <w:rPr>
          <w:rFonts w:cs="Calibri"/>
          <w:sz w:val="22"/>
          <w:szCs w:val="24"/>
        </w:rPr>
        <w:t>703-305-2517</w:t>
      </w:r>
    </w:p>
    <w:p w:rsidR="00754990" w:rsidP="00754990" w:rsidRDefault="00754990" w14:paraId="1DE2F184" w14:textId="77777777">
      <w:pPr>
        <w:pStyle w:val="TableText-IPR"/>
        <w:jc w:val="center"/>
        <w:rPr>
          <w:rFonts w:cs="Calibri"/>
          <w:sz w:val="22"/>
        </w:rPr>
      </w:pPr>
    </w:p>
    <w:p w:rsidRPr="00E40F84" w:rsidR="00754990" w:rsidP="00754990" w:rsidRDefault="00754990" w14:paraId="26581851" w14:textId="77777777">
      <w:pPr>
        <w:pStyle w:val="TableText-IPR"/>
        <w:jc w:val="center"/>
        <w:rPr>
          <w:rFonts w:cs="Calibri"/>
          <w:sz w:val="22"/>
        </w:rPr>
        <w:sectPr w:rsidRPr="00E40F84" w:rsidR="00754990" w:rsidSect="00CB6433">
          <w:headerReference w:type="default" r:id="rId8"/>
          <w:footerReference w:type="default" r:id="rId9"/>
          <w:type w:val="continuous"/>
          <w:pgSz w:w="12240" w:h="15840"/>
          <w:pgMar w:top="1440" w:right="1440" w:bottom="1440" w:left="1440" w:header="720" w:footer="720" w:gutter="0"/>
          <w:pgNumType w:start="1"/>
          <w:cols w:space="720"/>
          <w:docGrid w:linePitch="299"/>
        </w:sectPr>
      </w:pPr>
      <w:r>
        <w:rPr>
          <w:rFonts w:cs="Calibri"/>
          <w:sz w:val="22"/>
        </w:rPr>
        <w:t>Kristen.Corey</w:t>
      </w:r>
      <w:r w:rsidRPr="00E40F84">
        <w:rPr>
          <w:rFonts w:cs="Calibri"/>
          <w:sz w:val="22"/>
        </w:rPr>
        <w:t xml:space="preserve">@usda.gov </w:t>
      </w:r>
    </w:p>
    <w:p w:rsidR="00754990" w:rsidP="00754990" w:rsidRDefault="00754990" w14:paraId="1CA99A38" w14:textId="77777777">
      <w:pPr>
        <w:pStyle w:val="NewHeading10"/>
      </w:pPr>
      <w:r>
        <w:lastRenderedPageBreak/>
        <w:t>Contents</w:t>
      </w:r>
    </w:p>
    <w:p w:rsidRPr="009E3FA4" w:rsidR="00754990" w:rsidP="00754990" w:rsidRDefault="00754990" w14:paraId="318E1210" w14:textId="16F04051">
      <w:pPr>
        <w:pStyle w:val="TOC1"/>
        <w:tabs>
          <w:tab w:val="right" w:leader="dot" w:pos="9350"/>
        </w:tabs>
        <w:rPr>
          <w:rFonts w:asciiTheme="minorHAnsi" w:hAnsiTheme="minorHAnsi" w:eastAsiaTheme="minorEastAsia" w:cstheme="minorBidi"/>
          <w:noProof/>
          <w:sz w:val="20"/>
        </w:rPr>
      </w:pPr>
      <w:r>
        <w:rPr>
          <w:bCs w:val="0"/>
        </w:rPr>
        <w:fldChar w:fldCharType="begin"/>
      </w:r>
      <w:r>
        <w:rPr>
          <w:bCs w:val="0"/>
        </w:rPr>
        <w:instrText xml:space="preserve"> TOC \h \z \t "Heading 1,1,Heading 2,2,Heading 3,3,Hdng3-IPR,3,Hdng1Report-IPR,1,Hdng2-IPR,2,New Heading 1,1,New Heading 2,2,NewHeading1,1,New heading3,3,Heading2-IPR,2" </w:instrText>
      </w:r>
      <w:r>
        <w:rPr>
          <w:bCs w:val="0"/>
        </w:rPr>
        <w:fldChar w:fldCharType="separate"/>
      </w:r>
      <w:hyperlink w:history="1" w:anchor="_Toc14464747">
        <w:r w:rsidRPr="009E3FA4">
          <w:rPr>
            <w:rStyle w:val="Hyperlink"/>
            <w:noProof/>
            <w:sz w:val="22"/>
            <w:szCs w:val="18"/>
          </w:rPr>
          <w:t>Part B. Collection of Information Employing Statistical Methods</w:t>
        </w:r>
        <w:r w:rsidRPr="009E3FA4">
          <w:rPr>
            <w:noProof/>
            <w:webHidden/>
            <w:sz w:val="22"/>
            <w:szCs w:val="18"/>
          </w:rPr>
          <w:tab/>
        </w:r>
        <w:r w:rsidRPr="009E3FA4">
          <w:rPr>
            <w:noProof/>
            <w:webHidden/>
            <w:sz w:val="22"/>
            <w:szCs w:val="18"/>
          </w:rPr>
          <w:fldChar w:fldCharType="begin"/>
        </w:r>
        <w:r w:rsidRPr="009E3FA4">
          <w:rPr>
            <w:noProof/>
            <w:webHidden/>
            <w:sz w:val="22"/>
            <w:szCs w:val="18"/>
          </w:rPr>
          <w:instrText xml:space="preserve"> PAGEREF _Toc14464747 \h </w:instrText>
        </w:r>
        <w:r w:rsidRPr="009E3FA4">
          <w:rPr>
            <w:noProof/>
            <w:webHidden/>
            <w:sz w:val="22"/>
            <w:szCs w:val="18"/>
          </w:rPr>
        </w:r>
        <w:r w:rsidRPr="009E3FA4">
          <w:rPr>
            <w:noProof/>
            <w:webHidden/>
            <w:sz w:val="22"/>
            <w:szCs w:val="18"/>
          </w:rPr>
          <w:fldChar w:fldCharType="separate"/>
        </w:r>
        <w:r w:rsidR="00B97916">
          <w:rPr>
            <w:noProof/>
            <w:webHidden/>
            <w:sz w:val="22"/>
            <w:szCs w:val="18"/>
          </w:rPr>
          <w:t>1</w:t>
        </w:r>
        <w:r w:rsidRPr="009E3FA4">
          <w:rPr>
            <w:noProof/>
            <w:webHidden/>
            <w:sz w:val="22"/>
            <w:szCs w:val="18"/>
          </w:rPr>
          <w:fldChar w:fldCharType="end"/>
        </w:r>
      </w:hyperlink>
    </w:p>
    <w:p w:rsidRPr="009E3FA4" w:rsidR="00754990" w:rsidP="00754990" w:rsidRDefault="00AB5681" w14:paraId="3257C0BC" w14:textId="46345E12">
      <w:pPr>
        <w:pStyle w:val="TOC3"/>
        <w:tabs>
          <w:tab w:val="left" w:pos="720"/>
          <w:tab w:val="right" w:leader="dot" w:pos="9350"/>
        </w:tabs>
        <w:spacing w:after="120"/>
        <w:ind w:left="547" w:hanging="547"/>
        <w:rPr>
          <w:rFonts w:asciiTheme="minorHAnsi" w:hAnsiTheme="minorHAnsi" w:eastAsiaTheme="minorEastAsia" w:cstheme="minorBidi"/>
          <w:iCs w:val="0"/>
          <w:noProof/>
          <w:sz w:val="20"/>
        </w:rPr>
      </w:pPr>
      <w:hyperlink w:history="1" w:anchor="_Toc14464748">
        <w:r w:rsidRPr="009E3FA4" w:rsidR="00754990">
          <w:rPr>
            <w:rStyle w:val="Hyperlink"/>
            <w:noProof/>
            <w:sz w:val="22"/>
            <w:szCs w:val="18"/>
          </w:rPr>
          <w:t>B.1.</w:t>
        </w:r>
        <w:r w:rsidRPr="009E3FA4" w:rsidR="00754990">
          <w:rPr>
            <w:rFonts w:asciiTheme="minorHAnsi" w:hAnsiTheme="minorHAnsi" w:eastAsiaTheme="minorEastAsia" w:cstheme="minorBidi"/>
            <w:iCs w:val="0"/>
            <w:noProof/>
            <w:sz w:val="20"/>
          </w:rPr>
          <w:tab/>
        </w:r>
        <w:r w:rsidRPr="009E3FA4" w:rsidR="00754990">
          <w:rPr>
            <w:rStyle w:val="Hyperlink"/>
            <w:noProof/>
            <w:sz w:val="22"/>
            <w:szCs w:val="18"/>
          </w:rPr>
          <w:t>Respondent Universe and Selection Methods</w:t>
        </w:r>
        <w:r w:rsidRPr="009E3FA4" w:rsidR="00754990">
          <w:rPr>
            <w:noProof/>
            <w:webHidden/>
            <w:sz w:val="22"/>
            <w:szCs w:val="18"/>
          </w:rPr>
          <w:tab/>
        </w:r>
        <w:r w:rsidRPr="009E3FA4" w:rsidR="00754990">
          <w:rPr>
            <w:noProof/>
            <w:webHidden/>
            <w:sz w:val="22"/>
            <w:szCs w:val="18"/>
          </w:rPr>
          <w:fldChar w:fldCharType="begin"/>
        </w:r>
        <w:r w:rsidRPr="009E3FA4" w:rsidR="00754990">
          <w:rPr>
            <w:noProof/>
            <w:webHidden/>
            <w:sz w:val="22"/>
            <w:szCs w:val="18"/>
          </w:rPr>
          <w:instrText xml:space="preserve"> PAGEREF _Toc14464748 \h </w:instrText>
        </w:r>
        <w:r w:rsidRPr="009E3FA4" w:rsidR="00754990">
          <w:rPr>
            <w:noProof/>
            <w:webHidden/>
            <w:sz w:val="22"/>
            <w:szCs w:val="18"/>
          </w:rPr>
        </w:r>
        <w:r w:rsidRPr="009E3FA4" w:rsidR="00754990">
          <w:rPr>
            <w:noProof/>
            <w:webHidden/>
            <w:sz w:val="22"/>
            <w:szCs w:val="18"/>
          </w:rPr>
          <w:fldChar w:fldCharType="separate"/>
        </w:r>
        <w:r w:rsidR="00B97916">
          <w:rPr>
            <w:noProof/>
            <w:webHidden/>
            <w:sz w:val="22"/>
            <w:szCs w:val="18"/>
          </w:rPr>
          <w:t>1</w:t>
        </w:r>
        <w:r w:rsidRPr="009E3FA4" w:rsidR="00754990">
          <w:rPr>
            <w:noProof/>
            <w:webHidden/>
            <w:sz w:val="22"/>
            <w:szCs w:val="18"/>
          </w:rPr>
          <w:fldChar w:fldCharType="end"/>
        </w:r>
      </w:hyperlink>
    </w:p>
    <w:p w:rsidRPr="009E3FA4" w:rsidR="00754990" w:rsidP="00754990" w:rsidRDefault="00AB5681" w14:paraId="6B89CCBA" w14:textId="299CBE72">
      <w:pPr>
        <w:pStyle w:val="TOC3"/>
        <w:tabs>
          <w:tab w:val="left" w:pos="720"/>
          <w:tab w:val="right" w:leader="dot" w:pos="9350"/>
        </w:tabs>
        <w:spacing w:after="120"/>
        <w:ind w:left="547" w:hanging="547"/>
        <w:rPr>
          <w:rFonts w:asciiTheme="minorHAnsi" w:hAnsiTheme="minorHAnsi" w:eastAsiaTheme="minorEastAsia" w:cstheme="minorBidi"/>
          <w:iCs w:val="0"/>
          <w:noProof/>
          <w:sz w:val="20"/>
        </w:rPr>
      </w:pPr>
      <w:hyperlink w:history="1" w:anchor="_Toc14464749">
        <w:r w:rsidRPr="009E3FA4" w:rsidR="00754990">
          <w:rPr>
            <w:rStyle w:val="Hyperlink"/>
            <w:noProof/>
            <w:sz w:val="22"/>
            <w:szCs w:val="18"/>
          </w:rPr>
          <w:t>B.2.</w:t>
        </w:r>
        <w:r w:rsidRPr="009E3FA4" w:rsidR="00754990">
          <w:rPr>
            <w:rFonts w:asciiTheme="minorHAnsi" w:hAnsiTheme="minorHAnsi" w:eastAsiaTheme="minorEastAsia" w:cstheme="minorBidi"/>
            <w:iCs w:val="0"/>
            <w:noProof/>
            <w:sz w:val="20"/>
          </w:rPr>
          <w:tab/>
        </w:r>
        <w:r w:rsidRPr="009E3FA4" w:rsidR="00754990">
          <w:rPr>
            <w:rStyle w:val="Hyperlink"/>
            <w:noProof/>
            <w:sz w:val="22"/>
            <w:szCs w:val="18"/>
          </w:rPr>
          <w:t>Procedures for the Collection of Information</w:t>
        </w:r>
        <w:r w:rsidRPr="009E3FA4" w:rsidR="00754990">
          <w:rPr>
            <w:noProof/>
            <w:webHidden/>
            <w:sz w:val="22"/>
            <w:szCs w:val="18"/>
          </w:rPr>
          <w:tab/>
        </w:r>
        <w:r w:rsidRPr="009E3FA4" w:rsidR="00754990">
          <w:rPr>
            <w:noProof/>
            <w:webHidden/>
            <w:sz w:val="22"/>
            <w:szCs w:val="18"/>
          </w:rPr>
          <w:fldChar w:fldCharType="begin"/>
        </w:r>
        <w:r w:rsidRPr="009E3FA4" w:rsidR="00754990">
          <w:rPr>
            <w:noProof/>
            <w:webHidden/>
            <w:sz w:val="22"/>
            <w:szCs w:val="18"/>
          </w:rPr>
          <w:instrText xml:space="preserve"> PAGEREF _Toc14464749 \h </w:instrText>
        </w:r>
        <w:r w:rsidRPr="009E3FA4" w:rsidR="00754990">
          <w:rPr>
            <w:noProof/>
            <w:webHidden/>
            <w:sz w:val="22"/>
            <w:szCs w:val="18"/>
          </w:rPr>
        </w:r>
        <w:r w:rsidRPr="009E3FA4" w:rsidR="00754990">
          <w:rPr>
            <w:noProof/>
            <w:webHidden/>
            <w:sz w:val="22"/>
            <w:szCs w:val="18"/>
          </w:rPr>
          <w:fldChar w:fldCharType="separate"/>
        </w:r>
        <w:r w:rsidR="00B97916">
          <w:rPr>
            <w:noProof/>
            <w:webHidden/>
            <w:sz w:val="22"/>
            <w:szCs w:val="18"/>
          </w:rPr>
          <w:t>4</w:t>
        </w:r>
        <w:r w:rsidRPr="009E3FA4" w:rsidR="00754990">
          <w:rPr>
            <w:noProof/>
            <w:webHidden/>
            <w:sz w:val="22"/>
            <w:szCs w:val="18"/>
          </w:rPr>
          <w:fldChar w:fldCharType="end"/>
        </w:r>
      </w:hyperlink>
    </w:p>
    <w:p w:rsidRPr="009E3FA4" w:rsidR="00754990" w:rsidP="00754990" w:rsidRDefault="00AB5681" w14:paraId="207FF302" w14:textId="0A9429A3">
      <w:pPr>
        <w:pStyle w:val="TOC3"/>
        <w:tabs>
          <w:tab w:val="left" w:pos="720"/>
          <w:tab w:val="right" w:leader="dot" w:pos="9350"/>
        </w:tabs>
        <w:spacing w:after="120"/>
        <w:ind w:left="547" w:hanging="547"/>
        <w:rPr>
          <w:rFonts w:asciiTheme="minorHAnsi" w:hAnsiTheme="minorHAnsi" w:eastAsiaTheme="minorEastAsia" w:cstheme="minorBidi"/>
          <w:iCs w:val="0"/>
          <w:noProof/>
          <w:sz w:val="20"/>
        </w:rPr>
      </w:pPr>
      <w:hyperlink w:history="1" w:anchor="_Toc14464750">
        <w:r w:rsidRPr="009E3FA4" w:rsidR="00754990">
          <w:rPr>
            <w:rStyle w:val="Hyperlink"/>
            <w:noProof/>
            <w:sz w:val="22"/>
            <w:szCs w:val="18"/>
          </w:rPr>
          <w:t>B.3.</w:t>
        </w:r>
        <w:r w:rsidRPr="009E3FA4" w:rsidR="00754990">
          <w:rPr>
            <w:rFonts w:asciiTheme="minorHAnsi" w:hAnsiTheme="minorHAnsi" w:eastAsiaTheme="minorEastAsia" w:cstheme="minorBidi"/>
            <w:iCs w:val="0"/>
            <w:noProof/>
            <w:sz w:val="20"/>
          </w:rPr>
          <w:tab/>
        </w:r>
        <w:r w:rsidRPr="009E3FA4" w:rsidR="00754990">
          <w:rPr>
            <w:rStyle w:val="Hyperlink"/>
            <w:noProof/>
            <w:sz w:val="22"/>
            <w:szCs w:val="18"/>
          </w:rPr>
          <w:t>Methods to Maximize Response Rates and the Issue of Nonresponse</w:t>
        </w:r>
        <w:r w:rsidRPr="009E3FA4" w:rsidR="00754990">
          <w:rPr>
            <w:noProof/>
            <w:webHidden/>
            <w:sz w:val="22"/>
            <w:szCs w:val="18"/>
          </w:rPr>
          <w:tab/>
        </w:r>
        <w:r w:rsidRPr="009E3FA4" w:rsidR="00754990">
          <w:rPr>
            <w:noProof/>
            <w:webHidden/>
            <w:sz w:val="22"/>
            <w:szCs w:val="18"/>
          </w:rPr>
          <w:fldChar w:fldCharType="begin"/>
        </w:r>
        <w:r w:rsidRPr="009E3FA4" w:rsidR="00754990">
          <w:rPr>
            <w:noProof/>
            <w:webHidden/>
            <w:sz w:val="22"/>
            <w:szCs w:val="18"/>
          </w:rPr>
          <w:instrText xml:space="preserve"> PAGEREF _Toc14464750 \h </w:instrText>
        </w:r>
        <w:r w:rsidRPr="009E3FA4" w:rsidR="00754990">
          <w:rPr>
            <w:noProof/>
            <w:webHidden/>
            <w:sz w:val="22"/>
            <w:szCs w:val="18"/>
          </w:rPr>
        </w:r>
        <w:r w:rsidRPr="009E3FA4" w:rsidR="00754990">
          <w:rPr>
            <w:noProof/>
            <w:webHidden/>
            <w:sz w:val="22"/>
            <w:szCs w:val="18"/>
          </w:rPr>
          <w:fldChar w:fldCharType="separate"/>
        </w:r>
        <w:r w:rsidR="00B97916">
          <w:rPr>
            <w:noProof/>
            <w:webHidden/>
            <w:sz w:val="22"/>
            <w:szCs w:val="18"/>
          </w:rPr>
          <w:t>19</w:t>
        </w:r>
        <w:r w:rsidRPr="009E3FA4" w:rsidR="00754990">
          <w:rPr>
            <w:noProof/>
            <w:webHidden/>
            <w:sz w:val="22"/>
            <w:szCs w:val="18"/>
          </w:rPr>
          <w:fldChar w:fldCharType="end"/>
        </w:r>
      </w:hyperlink>
    </w:p>
    <w:p w:rsidRPr="009E3FA4" w:rsidR="00754990" w:rsidP="00754990" w:rsidRDefault="00AB5681" w14:paraId="679A5BE1" w14:textId="424225DE">
      <w:pPr>
        <w:pStyle w:val="TOC3"/>
        <w:tabs>
          <w:tab w:val="left" w:pos="720"/>
          <w:tab w:val="right" w:leader="dot" w:pos="9350"/>
        </w:tabs>
        <w:spacing w:after="120"/>
        <w:ind w:left="547" w:hanging="547"/>
        <w:rPr>
          <w:rFonts w:asciiTheme="minorHAnsi" w:hAnsiTheme="minorHAnsi" w:eastAsiaTheme="minorEastAsia" w:cstheme="minorBidi"/>
          <w:iCs w:val="0"/>
          <w:noProof/>
          <w:sz w:val="20"/>
        </w:rPr>
      </w:pPr>
      <w:hyperlink w:history="1" w:anchor="_Toc14464751">
        <w:r w:rsidRPr="009E3FA4" w:rsidR="00754990">
          <w:rPr>
            <w:rStyle w:val="Hyperlink"/>
            <w:noProof/>
            <w:sz w:val="22"/>
            <w:szCs w:val="18"/>
          </w:rPr>
          <w:t>B.4.</w:t>
        </w:r>
        <w:r w:rsidRPr="009E3FA4" w:rsidR="00754990">
          <w:rPr>
            <w:rFonts w:asciiTheme="minorHAnsi" w:hAnsiTheme="minorHAnsi" w:eastAsiaTheme="minorEastAsia" w:cstheme="minorBidi"/>
            <w:iCs w:val="0"/>
            <w:noProof/>
            <w:sz w:val="20"/>
          </w:rPr>
          <w:tab/>
        </w:r>
        <w:r w:rsidRPr="009E3FA4" w:rsidR="00754990">
          <w:rPr>
            <w:rStyle w:val="Hyperlink"/>
            <w:noProof/>
            <w:sz w:val="22"/>
            <w:szCs w:val="18"/>
          </w:rPr>
          <w:t>Tests of Procedures</w:t>
        </w:r>
        <w:r w:rsidRPr="009E3FA4" w:rsidR="00754990">
          <w:rPr>
            <w:noProof/>
            <w:webHidden/>
            <w:sz w:val="22"/>
            <w:szCs w:val="18"/>
          </w:rPr>
          <w:tab/>
        </w:r>
        <w:r w:rsidRPr="009E3FA4" w:rsidR="00754990">
          <w:rPr>
            <w:noProof/>
            <w:webHidden/>
            <w:sz w:val="22"/>
            <w:szCs w:val="18"/>
          </w:rPr>
          <w:fldChar w:fldCharType="begin"/>
        </w:r>
        <w:r w:rsidRPr="009E3FA4" w:rsidR="00754990">
          <w:rPr>
            <w:noProof/>
            <w:webHidden/>
            <w:sz w:val="22"/>
            <w:szCs w:val="18"/>
          </w:rPr>
          <w:instrText xml:space="preserve"> PAGEREF _Toc14464751 \h </w:instrText>
        </w:r>
        <w:r w:rsidRPr="009E3FA4" w:rsidR="00754990">
          <w:rPr>
            <w:noProof/>
            <w:webHidden/>
            <w:sz w:val="22"/>
            <w:szCs w:val="18"/>
          </w:rPr>
        </w:r>
        <w:r w:rsidRPr="009E3FA4" w:rsidR="00754990">
          <w:rPr>
            <w:noProof/>
            <w:webHidden/>
            <w:sz w:val="22"/>
            <w:szCs w:val="18"/>
          </w:rPr>
          <w:fldChar w:fldCharType="separate"/>
        </w:r>
        <w:r w:rsidR="00B97916">
          <w:rPr>
            <w:noProof/>
            <w:webHidden/>
            <w:sz w:val="22"/>
            <w:szCs w:val="18"/>
          </w:rPr>
          <w:t>25</w:t>
        </w:r>
        <w:r w:rsidRPr="009E3FA4" w:rsidR="00754990">
          <w:rPr>
            <w:noProof/>
            <w:webHidden/>
            <w:sz w:val="22"/>
            <w:szCs w:val="18"/>
          </w:rPr>
          <w:fldChar w:fldCharType="end"/>
        </w:r>
      </w:hyperlink>
    </w:p>
    <w:p w:rsidRPr="009E3FA4" w:rsidR="00754990" w:rsidP="00754990" w:rsidRDefault="00AB5681" w14:paraId="27C3C3DF" w14:textId="4BF5E4AA">
      <w:pPr>
        <w:pStyle w:val="TOC3"/>
        <w:tabs>
          <w:tab w:val="left" w:pos="720"/>
          <w:tab w:val="right" w:leader="dot" w:pos="9350"/>
        </w:tabs>
        <w:spacing w:after="120"/>
        <w:ind w:left="547" w:hanging="547"/>
        <w:rPr>
          <w:rFonts w:asciiTheme="minorHAnsi" w:hAnsiTheme="minorHAnsi" w:eastAsiaTheme="minorEastAsia" w:cstheme="minorBidi"/>
          <w:iCs w:val="0"/>
          <w:noProof/>
          <w:sz w:val="20"/>
        </w:rPr>
      </w:pPr>
      <w:hyperlink w:history="1" w:anchor="_Toc14464752">
        <w:r w:rsidRPr="009E3FA4" w:rsidR="00754990">
          <w:rPr>
            <w:rStyle w:val="Hyperlink"/>
            <w:noProof/>
            <w:sz w:val="22"/>
            <w:szCs w:val="18"/>
          </w:rPr>
          <w:t>B.5.</w:t>
        </w:r>
        <w:r w:rsidRPr="009E3FA4" w:rsidR="00754990">
          <w:rPr>
            <w:rFonts w:asciiTheme="minorHAnsi" w:hAnsiTheme="minorHAnsi" w:eastAsiaTheme="minorEastAsia" w:cstheme="minorBidi"/>
            <w:iCs w:val="0"/>
            <w:noProof/>
            <w:sz w:val="20"/>
          </w:rPr>
          <w:tab/>
        </w:r>
        <w:r w:rsidRPr="009E3FA4" w:rsidR="00754990">
          <w:rPr>
            <w:rStyle w:val="Hyperlink"/>
            <w:noProof/>
            <w:sz w:val="22"/>
            <w:szCs w:val="18"/>
          </w:rPr>
          <w:t>Consultants</w:t>
        </w:r>
        <w:r w:rsidRPr="009E3FA4" w:rsidR="00754990">
          <w:rPr>
            <w:noProof/>
            <w:webHidden/>
            <w:sz w:val="22"/>
            <w:szCs w:val="18"/>
          </w:rPr>
          <w:tab/>
        </w:r>
        <w:r w:rsidRPr="009E3FA4" w:rsidR="00754990">
          <w:rPr>
            <w:noProof/>
            <w:webHidden/>
            <w:sz w:val="22"/>
            <w:szCs w:val="18"/>
          </w:rPr>
          <w:fldChar w:fldCharType="begin"/>
        </w:r>
        <w:r w:rsidRPr="009E3FA4" w:rsidR="00754990">
          <w:rPr>
            <w:noProof/>
            <w:webHidden/>
            <w:sz w:val="22"/>
            <w:szCs w:val="18"/>
          </w:rPr>
          <w:instrText xml:space="preserve"> PAGEREF _Toc14464752 \h </w:instrText>
        </w:r>
        <w:r w:rsidRPr="009E3FA4" w:rsidR="00754990">
          <w:rPr>
            <w:noProof/>
            <w:webHidden/>
            <w:sz w:val="22"/>
            <w:szCs w:val="18"/>
          </w:rPr>
        </w:r>
        <w:r w:rsidRPr="009E3FA4" w:rsidR="00754990">
          <w:rPr>
            <w:noProof/>
            <w:webHidden/>
            <w:sz w:val="22"/>
            <w:szCs w:val="18"/>
          </w:rPr>
          <w:fldChar w:fldCharType="separate"/>
        </w:r>
        <w:r w:rsidR="00B97916">
          <w:rPr>
            <w:noProof/>
            <w:webHidden/>
            <w:sz w:val="22"/>
            <w:szCs w:val="18"/>
          </w:rPr>
          <w:t>26</w:t>
        </w:r>
        <w:r w:rsidRPr="009E3FA4" w:rsidR="00754990">
          <w:rPr>
            <w:noProof/>
            <w:webHidden/>
            <w:sz w:val="22"/>
            <w:szCs w:val="18"/>
          </w:rPr>
          <w:fldChar w:fldCharType="end"/>
        </w:r>
      </w:hyperlink>
    </w:p>
    <w:p w:rsidRPr="00CF49AA" w:rsidR="00754990" w:rsidP="00754990" w:rsidRDefault="00754990" w14:paraId="1C3E0287" w14:textId="1CF49FF7">
      <w:pPr>
        <w:pStyle w:val="TOCHeading2"/>
        <w:spacing w:before="240"/>
        <w:rPr>
          <w:caps/>
        </w:rPr>
      </w:pPr>
      <w:r>
        <w:rPr>
          <w:bCs/>
          <w:szCs w:val="20"/>
        </w:rPr>
        <w:fldChar w:fldCharType="end"/>
      </w:r>
      <w:r w:rsidRPr="00CF49AA">
        <w:t>Tables</w:t>
      </w:r>
    </w:p>
    <w:p w:rsidRPr="009E3FA4" w:rsidR="009E3FA4" w:rsidP="009E3FA4" w:rsidRDefault="00754990" w14:paraId="62DD318A" w14:textId="7307DBC4">
      <w:pPr>
        <w:pStyle w:val="TableofFigures"/>
        <w:tabs>
          <w:tab w:val="right" w:leader="dot" w:pos="9350"/>
        </w:tabs>
        <w:spacing w:after="120"/>
        <w:ind w:left="0" w:firstLine="0"/>
        <w:rPr>
          <w:rFonts w:asciiTheme="minorHAnsi" w:hAnsiTheme="minorHAnsi" w:eastAsiaTheme="minorEastAsia" w:cstheme="minorBidi"/>
          <w:noProof/>
          <w:sz w:val="22"/>
          <w:szCs w:val="22"/>
        </w:rPr>
      </w:pPr>
      <w:r w:rsidRPr="009E3FA4">
        <w:rPr>
          <w:b/>
          <w:smallCaps/>
          <w:sz w:val="22"/>
          <w:szCs w:val="22"/>
        </w:rPr>
        <w:fldChar w:fldCharType="begin"/>
      </w:r>
      <w:r w:rsidRPr="009E3FA4">
        <w:rPr>
          <w:b/>
          <w:smallCaps/>
          <w:sz w:val="22"/>
          <w:szCs w:val="22"/>
        </w:rPr>
        <w:instrText xml:space="preserve"> TOC \h \z \t "TableTitle-IPR" \c </w:instrText>
      </w:r>
      <w:r w:rsidRPr="009E3FA4">
        <w:rPr>
          <w:b/>
          <w:smallCaps/>
          <w:sz w:val="22"/>
          <w:szCs w:val="22"/>
        </w:rPr>
        <w:fldChar w:fldCharType="separate"/>
      </w:r>
      <w:hyperlink w:history="1" w:anchor="_Toc78365136">
        <w:r w:rsidRPr="009E3FA4" w:rsidR="009E3FA4">
          <w:rPr>
            <w:rStyle w:val="Hyperlink"/>
            <w:rFonts w:eastAsia="Calibri"/>
            <w:noProof/>
            <w:sz w:val="22"/>
            <w:szCs w:val="22"/>
          </w:rPr>
          <w:t>Table B.1.1. Target Subgroups for In-Depth Interviews</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_Toc78365136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3</w:t>
        </w:r>
        <w:r w:rsidRPr="009E3FA4" w:rsidR="009E3FA4">
          <w:rPr>
            <w:noProof/>
            <w:webHidden/>
            <w:sz w:val="22"/>
            <w:szCs w:val="22"/>
          </w:rPr>
          <w:fldChar w:fldCharType="end"/>
        </w:r>
      </w:hyperlink>
    </w:p>
    <w:p w:rsidRPr="009E3FA4" w:rsidR="009E3FA4" w:rsidP="009E3FA4" w:rsidRDefault="00AB5681" w14:paraId="5AC273C4" w14:textId="4635A060">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37">
        <w:r w:rsidRPr="009E3FA4" w:rsidR="009E3FA4">
          <w:rPr>
            <w:rStyle w:val="Hyperlink"/>
            <w:rFonts w:eastAsia="Calibri"/>
            <w:noProof/>
            <w:sz w:val="22"/>
            <w:szCs w:val="22"/>
          </w:rPr>
          <w:t>Table B.1.2. Breakout of Respondents and Nonrespondents by Respondent Type</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_Toc78365137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4</w:t>
        </w:r>
        <w:r w:rsidRPr="009E3FA4" w:rsidR="009E3FA4">
          <w:rPr>
            <w:noProof/>
            <w:webHidden/>
            <w:sz w:val="22"/>
            <w:szCs w:val="22"/>
          </w:rPr>
          <w:fldChar w:fldCharType="end"/>
        </w:r>
      </w:hyperlink>
    </w:p>
    <w:p w:rsidRPr="009E3FA4" w:rsidR="009E3FA4" w:rsidP="009E3FA4" w:rsidRDefault="00AB5681" w14:paraId="70E010F9" w14:textId="1380A910">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38">
        <w:r w:rsidRPr="009E3FA4" w:rsidR="009E3FA4">
          <w:rPr>
            <w:rStyle w:val="Hyperlink"/>
            <w:rFonts w:eastAsia="Calibri"/>
            <w:noProof/>
            <w:sz w:val="22"/>
            <w:szCs w:val="22"/>
          </w:rPr>
          <w:t>Table</w:t>
        </w:r>
        <w:r w:rsidRPr="009E3FA4" w:rsidR="009E3FA4">
          <w:rPr>
            <w:rStyle w:val="Hyperlink"/>
            <w:rFonts w:eastAsia="Calibri"/>
            <w:noProof/>
            <w:spacing w:val="-2"/>
            <w:sz w:val="22"/>
            <w:szCs w:val="22"/>
          </w:rPr>
          <w:t xml:space="preserve"> B.</w:t>
        </w:r>
        <w:r w:rsidRPr="009E3FA4" w:rsidR="009E3FA4">
          <w:rPr>
            <w:rStyle w:val="Hyperlink"/>
            <w:rFonts w:eastAsia="Calibri"/>
            <w:noProof/>
            <w:sz w:val="22"/>
            <w:szCs w:val="22"/>
          </w:rPr>
          <w:t>2.1.</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Key</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Features</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of</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the</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Two</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Components</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of</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the</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Sample</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Design</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for</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the</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Household</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Survey</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_Toc78365138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6</w:t>
        </w:r>
        <w:r w:rsidRPr="009E3FA4" w:rsidR="009E3FA4">
          <w:rPr>
            <w:noProof/>
            <w:webHidden/>
            <w:sz w:val="22"/>
            <w:szCs w:val="22"/>
          </w:rPr>
          <w:fldChar w:fldCharType="end"/>
        </w:r>
      </w:hyperlink>
    </w:p>
    <w:p w:rsidRPr="009E3FA4" w:rsidR="009E3FA4" w:rsidP="009E3FA4" w:rsidRDefault="00AB5681" w14:paraId="5EF81A70" w14:textId="14E222B7">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39">
        <w:r w:rsidRPr="009E3FA4" w:rsidR="009E3FA4">
          <w:rPr>
            <w:rStyle w:val="Hyperlink"/>
            <w:rFonts w:eastAsia="Calibri"/>
            <w:noProof/>
            <w:sz w:val="22"/>
            <w:szCs w:val="22"/>
          </w:rPr>
          <w:t>Table B.2.2. Computation of the Compositing Factor</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_Toc78365139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12</w:t>
        </w:r>
        <w:r w:rsidRPr="009E3FA4" w:rsidR="009E3FA4">
          <w:rPr>
            <w:noProof/>
            <w:webHidden/>
            <w:sz w:val="22"/>
            <w:szCs w:val="22"/>
          </w:rPr>
          <w:fldChar w:fldCharType="end"/>
        </w:r>
      </w:hyperlink>
    </w:p>
    <w:p w:rsidRPr="009E3FA4" w:rsidR="009E3FA4" w:rsidP="009E3FA4" w:rsidRDefault="00AB5681" w14:paraId="6F1B2FCC" w14:textId="274FB7C9">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40">
        <w:r w:rsidRPr="009E3FA4" w:rsidR="009E3FA4">
          <w:rPr>
            <w:rStyle w:val="Hyperlink"/>
            <w:rFonts w:eastAsia="Calibri"/>
            <w:noProof/>
            <w:sz w:val="22"/>
            <w:szCs w:val="22"/>
          </w:rPr>
          <w:t>Table</w:t>
        </w:r>
        <w:r w:rsidRPr="009E3FA4" w:rsidR="009E3FA4">
          <w:rPr>
            <w:rStyle w:val="Hyperlink"/>
            <w:rFonts w:eastAsia="Calibri"/>
            <w:noProof/>
            <w:spacing w:val="-1"/>
            <w:sz w:val="22"/>
            <w:szCs w:val="22"/>
          </w:rPr>
          <w:t xml:space="preserve"> B.</w:t>
        </w:r>
        <w:r w:rsidRPr="009E3FA4" w:rsidR="009E3FA4">
          <w:rPr>
            <w:rStyle w:val="Hyperlink"/>
            <w:rFonts w:eastAsia="Calibri"/>
            <w:noProof/>
            <w:sz w:val="22"/>
            <w:szCs w:val="22"/>
          </w:rPr>
          <w:t>2.3.</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Population</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Prevalence</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of Key</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Subgroups</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_Toc78365140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15</w:t>
        </w:r>
        <w:r w:rsidRPr="009E3FA4" w:rsidR="009E3FA4">
          <w:rPr>
            <w:noProof/>
            <w:webHidden/>
            <w:sz w:val="22"/>
            <w:szCs w:val="22"/>
          </w:rPr>
          <w:fldChar w:fldCharType="end"/>
        </w:r>
      </w:hyperlink>
    </w:p>
    <w:p w:rsidRPr="009E3FA4" w:rsidR="009E3FA4" w:rsidP="009E3FA4" w:rsidRDefault="00AB5681" w14:paraId="0105A1A5" w14:textId="187FD0CC">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41">
        <w:r w:rsidRPr="009E3FA4" w:rsidR="009E3FA4">
          <w:rPr>
            <w:rStyle w:val="Hyperlink"/>
            <w:rFonts w:eastAsia="Calibri"/>
            <w:noProof/>
            <w:sz w:val="22"/>
            <w:szCs w:val="22"/>
          </w:rPr>
          <w:t>Table</w:t>
        </w:r>
        <w:r w:rsidRPr="009E3FA4" w:rsidR="009E3FA4">
          <w:rPr>
            <w:rStyle w:val="Hyperlink"/>
            <w:rFonts w:eastAsia="Calibri"/>
            <w:noProof/>
            <w:spacing w:val="-2"/>
            <w:sz w:val="22"/>
            <w:szCs w:val="22"/>
          </w:rPr>
          <w:t xml:space="preserve"> B.</w:t>
        </w:r>
        <w:r w:rsidRPr="009E3FA4" w:rsidR="009E3FA4">
          <w:rPr>
            <w:rStyle w:val="Hyperlink"/>
            <w:rFonts w:eastAsia="Calibri"/>
            <w:noProof/>
            <w:sz w:val="22"/>
            <w:szCs w:val="22"/>
          </w:rPr>
          <w:t>2.4.</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Expected</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Response</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Rates</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by</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Sampling</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Frame</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for</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Baseline</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Study</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_Toc78365141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17</w:t>
        </w:r>
        <w:r w:rsidRPr="009E3FA4" w:rsidR="009E3FA4">
          <w:rPr>
            <w:noProof/>
            <w:webHidden/>
            <w:sz w:val="22"/>
            <w:szCs w:val="22"/>
          </w:rPr>
          <w:fldChar w:fldCharType="end"/>
        </w:r>
      </w:hyperlink>
    </w:p>
    <w:p w:rsidRPr="009E3FA4" w:rsidR="009E3FA4" w:rsidP="009E3FA4" w:rsidRDefault="00AB5681" w14:paraId="5016E638" w14:textId="333F5C69">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42">
        <w:r w:rsidRPr="009E3FA4" w:rsidR="009E3FA4">
          <w:rPr>
            <w:rStyle w:val="Hyperlink"/>
            <w:rFonts w:eastAsia="Calibri"/>
            <w:noProof/>
            <w:sz w:val="22"/>
            <w:szCs w:val="22"/>
          </w:rPr>
          <w:t xml:space="preserve">Table B.2.5. Expected Yield Rates and Number of Respondents for Each Sampling Frame for the </w:t>
        </w:r>
        <w:r w:rsidR="009E3FA4">
          <w:rPr>
            <w:rStyle w:val="Hyperlink"/>
            <w:rFonts w:eastAsia="Calibri"/>
            <w:noProof/>
            <w:sz w:val="22"/>
            <w:szCs w:val="22"/>
          </w:rPr>
          <w:br/>
        </w:r>
        <w:r w:rsidRPr="009E3FA4" w:rsidR="009E3FA4">
          <w:rPr>
            <w:rStyle w:val="Hyperlink"/>
            <w:rFonts w:eastAsia="Calibri"/>
            <w:noProof/>
            <w:sz w:val="22"/>
            <w:szCs w:val="22"/>
          </w:rPr>
          <w:t>Baseline Study</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_Toc78365142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17</w:t>
        </w:r>
        <w:r w:rsidRPr="009E3FA4" w:rsidR="009E3FA4">
          <w:rPr>
            <w:noProof/>
            <w:webHidden/>
            <w:sz w:val="22"/>
            <w:szCs w:val="22"/>
          </w:rPr>
          <w:fldChar w:fldCharType="end"/>
        </w:r>
      </w:hyperlink>
    </w:p>
    <w:p w:rsidRPr="009E3FA4" w:rsidR="009E3FA4" w:rsidP="009E3FA4" w:rsidRDefault="00AB5681" w14:paraId="198AE3CA" w14:textId="577293D8">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43">
        <w:r w:rsidRPr="009E3FA4" w:rsidR="009E3FA4">
          <w:rPr>
            <w:rStyle w:val="Hyperlink"/>
            <w:rFonts w:eastAsia="Calibri"/>
            <w:noProof/>
            <w:sz w:val="22"/>
            <w:szCs w:val="22"/>
          </w:rPr>
          <w:t>Table</w:t>
        </w:r>
        <w:r w:rsidRPr="009E3FA4" w:rsidR="009E3FA4">
          <w:rPr>
            <w:rStyle w:val="Hyperlink"/>
            <w:rFonts w:eastAsia="Calibri"/>
            <w:noProof/>
            <w:spacing w:val="-2"/>
            <w:sz w:val="22"/>
            <w:szCs w:val="22"/>
          </w:rPr>
          <w:t xml:space="preserve"> B.</w:t>
        </w:r>
        <w:r w:rsidRPr="009E3FA4" w:rsidR="009E3FA4">
          <w:rPr>
            <w:rStyle w:val="Hyperlink"/>
            <w:rFonts w:eastAsia="Calibri"/>
            <w:noProof/>
            <w:sz w:val="22"/>
            <w:szCs w:val="22"/>
          </w:rPr>
          <w:t>2.6.</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Expected</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Yield</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Rates</w:t>
        </w:r>
        <w:r w:rsidRPr="009E3FA4" w:rsidR="009E3FA4">
          <w:rPr>
            <w:rStyle w:val="Hyperlink"/>
            <w:rFonts w:eastAsia="Calibri"/>
            <w:noProof/>
            <w:spacing w:val="-3"/>
            <w:sz w:val="22"/>
            <w:szCs w:val="22"/>
          </w:rPr>
          <w:t xml:space="preserve"> </w:t>
        </w:r>
        <w:r w:rsidRPr="009E3FA4" w:rsidR="009E3FA4">
          <w:rPr>
            <w:rStyle w:val="Hyperlink"/>
            <w:rFonts w:eastAsia="Calibri"/>
            <w:noProof/>
            <w:sz w:val="22"/>
            <w:szCs w:val="22"/>
          </w:rPr>
          <w:t>and</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Number</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of</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Respondents</w:t>
        </w:r>
        <w:r w:rsidRPr="009E3FA4" w:rsidR="009E3FA4">
          <w:rPr>
            <w:rStyle w:val="Hyperlink"/>
            <w:rFonts w:eastAsia="Calibri"/>
            <w:noProof/>
            <w:spacing w:val="-3"/>
            <w:sz w:val="22"/>
            <w:szCs w:val="22"/>
          </w:rPr>
          <w:t xml:space="preserve"> </w:t>
        </w:r>
        <w:r w:rsidRPr="009E3FA4" w:rsidR="009E3FA4">
          <w:rPr>
            <w:rStyle w:val="Hyperlink"/>
            <w:rFonts w:eastAsia="Calibri"/>
            <w:noProof/>
            <w:sz w:val="22"/>
            <w:szCs w:val="22"/>
          </w:rPr>
          <w:t>for</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the</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2‐Year</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Follow‐Up</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_Toc78365143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17</w:t>
        </w:r>
        <w:r w:rsidRPr="009E3FA4" w:rsidR="009E3FA4">
          <w:rPr>
            <w:noProof/>
            <w:webHidden/>
            <w:sz w:val="22"/>
            <w:szCs w:val="22"/>
          </w:rPr>
          <w:fldChar w:fldCharType="end"/>
        </w:r>
      </w:hyperlink>
    </w:p>
    <w:p w:rsidRPr="009E3FA4" w:rsidR="009E3FA4" w:rsidP="009E3FA4" w:rsidRDefault="00AB5681" w14:paraId="00517B7A" w14:textId="1CD9B0CE">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44">
        <w:r w:rsidRPr="009E3FA4" w:rsidR="009E3FA4">
          <w:rPr>
            <w:rStyle w:val="Hyperlink"/>
            <w:rFonts w:eastAsia="Calibri"/>
            <w:noProof/>
            <w:sz w:val="22"/>
            <w:szCs w:val="22"/>
          </w:rPr>
          <w:t>Table</w:t>
        </w:r>
        <w:r w:rsidRPr="009E3FA4" w:rsidR="009E3FA4">
          <w:rPr>
            <w:rStyle w:val="Hyperlink"/>
            <w:rFonts w:eastAsia="Calibri"/>
            <w:noProof/>
            <w:spacing w:val="-3"/>
            <w:sz w:val="22"/>
            <w:szCs w:val="22"/>
          </w:rPr>
          <w:t xml:space="preserve"> B.</w:t>
        </w:r>
        <w:r w:rsidRPr="009E3FA4" w:rsidR="009E3FA4">
          <w:rPr>
            <w:rStyle w:val="Hyperlink"/>
            <w:rFonts w:eastAsia="Calibri"/>
            <w:noProof/>
            <w:sz w:val="22"/>
            <w:szCs w:val="22"/>
          </w:rPr>
          <w:t>2.7.</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Expected</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Margin</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of</w:t>
        </w:r>
        <w:r w:rsidRPr="009E3FA4" w:rsidR="009E3FA4">
          <w:rPr>
            <w:rStyle w:val="Hyperlink"/>
            <w:rFonts w:eastAsia="Calibri"/>
            <w:noProof/>
            <w:spacing w:val="-3"/>
            <w:sz w:val="22"/>
            <w:szCs w:val="22"/>
          </w:rPr>
          <w:t xml:space="preserve"> </w:t>
        </w:r>
        <w:r w:rsidRPr="009E3FA4" w:rsidR="009E3FA4">
          <w:rPr>
            <w:rStyle w:val="Hyperlink"/>
            <w:rFonts w:eastAsia="Calibri"/>
            <w:noProof/>
            <w:sz w:val="22"/>
            <w:szCs w:val="22"/>
          </w:rPr>
          <w:t>Error</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for</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Best,</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Worst,</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and</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Middle</w:t>
        </w:r>
        <w:r w:rsidRPr="009E3FA4" w:rsidR="009E3FA4">
          <w:rPr>
            <w:rStyle w:val="Hyperlink"/>
            <w:rFonts w:eastAsia="Calibri"/>
            <w:noProof/>
            <w:spacing w:val="-3"/>
            <w:sz w:val="22"/>
            <w:szCs w:val="22"/>
          </w:rPr>
          <w:t xml:space="preserve"> </w:t>
        </w:r>
        <w:r w:rsidRPr="009E3FA4" w:rsidR="009E3FA4">
          <w:rPr>
            <w:rStyle w:val="Hyperlink"/>
            <w:rFonts w:eastAsia="Calibri"/>
            <w:noProof/>
            <w:sz w:val="22"/>
            <w:szCs w:val="22"/>
          </w:rPr>
          <w:t>Yield‐Rate</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Scenarios</w:t>
        </w:r>
        <w:r w:rsidRPr="009E3FA4" w:rsidR="009E3FA4">
          <w:rPr>
            <w:rStyle w:val="Hyperlink"/>
            <w:rFonts w:eastAsia="Calibri"/>
            <w:noProof/>
            <w:spacing w:val="-3"/>
            <w:sz w:val="22"/>
            <w:szCs w:val="22"/>
          </w:rPr>
          <w:t xml:space="preserve"> </w:t>
        </w:r>
        <w:r w:rsidRPr="009E3FA4" w:rsidR="009E3FA4">
          <w:rPr>
            <w:rStyle w:val="Hyperlink"/>
            <w:rFonts w:eastAsia="Calibri"/>
            <w:noProof/>
            <w:sz w:val="22"/>
            <w:szCs w:val="22"/>
          </w:rPr>
          <w:t>for</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Estimates</w:t>
        </w:r>
        <w:r w:rsidRPr="009E3FA4" w:rsidR="009E3FA4">
          <w:rPr>
            <w:rStyle w:val="Hyperlink"/>
            <w:rFonts w:eastAsia="Calibri"/>
            <w:noProof/>
            <w:spacing w:val="-3"/>
            <w:sz w:val="22"/>
            <w:szCs w:val="22"/>
          </w:rPr>
          <w:t xml:space="preserve"> </w:t>
        </w:r>
        <w:r w:rsidR="009E3FA4">
          <w:rPr>
            <w:rStyle w:val="Hyperlink"/>
            <w:rFonts w:eastAsia="Calibri"/>
            <w:noProof/>
            <w:spacing w:val="-3"/>
            <w:sz w:val="22"/>
            <w:szCs w:val="22"/>
          </w:rPr>
          <w:br/>
        </w:r>
        <w:r w:rsidRPr="009E3FA4" w:rsidR="009E3FA4">
          <w:rPr>
            <w:rStyle w:val="Hyperlink"/>
            <w:rFonts w:eastAsia="Calibri"/>
            <w:noProof/>
            <w:sz w:val="22"/>
            <w:szCs w:val="22"/>
          </w:rPr>
          <w:t>of</w:t>
        </w:r>
        <w:r w:rsidRPr="009E3FA4" w:rsidR="009E3FA4">
          <w:rPr>
            <w:rStyle w:val="Hyperlink"/>
            <w:rFonts w:eastAsia="Calibri"/>
            <w:noProof/>
            <w:spacing w:val="-2"/>
            <w:sz w:val="22"/>
            <w:szCs w:val="22"/>
          </w:rPr>
          <w:t xml:space="preserve"> a 50-Percent Characteristic: Baseline Study</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_Toc78365144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18</w:t>
        </w:r>
        <w:r w:rsidRPr="009E3FA4" w:rsidR="009E3FA4">
          <w:rPr>
            <w:noProof/>
            <w:webHidden/>
            <w:sz w:val="22"/>
            <w:szCs w:val="22"/>
          </w:rPr>
          <w:fldChar w:fldCharType="end"/>
        </w:r>
      </w:hyperlink>
    </w:p>
    <w:p w:rsidRPr="009E3FA4" w:rsidR="009E3FA4" w:rsidP="009E3FA4" w:rsidRDefault="00AB5681" w14:paraId="50FAA88C" w14:textId="2253E7A1">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45">
        <w:r w:rsidRPr="009E3FA4" w:rsidR="009E3FA4">
          <w:rPr>
            <w:rStyle w:val="Hyperlink"/>
            <w:rFonts w:eastAsia="Calibri"/>
            <w:noProof/>
            <w:sz w:val="22"/>
            <w:szCs w:val="22"/>
          </w:rPr>
          <w:t xml:space="preserve">Table B.2.8. Expected Margin of Error for Middle Yield‐Rate Scenario for Estimates of 20, 30, and </w:t>
        </w:r>
        <w:r w:rsidR="009E3FA4">
          <w:rPr>
            <w:rStyle w:val="Hyperlink"/>
            <w:rFonts w:eastAsia="Calibri"/>
            <w:noProof/>
            <w:sz w:val="22"/>
            <w:szCs w:val="22"/>
          </w:rPr>
          <w:br/>
        </w:r>
        <w:r w:rsidRPr="009E3FA4" w:rsidR="009E3FA4">
          <w:rPr>
            <w:rStyle w:val="Hyperlink"/>
            <w:rFonts w:eastAsia="Calibri"/>
            <w:noProof/>
            <w:sz w:val="22"/>
            <w:szCs w:val="22"/>
          </w:rPr>
          <w:t>40 Percent Characteristics: Baseline Study</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_Toc78365145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18</w:t>
        </w:r>
        <w:r w:rsidRPr="009E3FA4" w:rsidR="009E3FA4">
          <w:rPr>
            <w:noProof/>
            <w:webHidden/>
            <w:sz w:val="22"/>
            <w:szCs w:val="22"/>
          </w:rPr>
          <w:fldChar w:fldCharType="end"/>
        </w:r>
      </w:hyperlink>
    </w:p>
    <w:p w:rsidRPr="009E3FA4" w:rsidR="009E3FA4" w:rsidP="009E3FA4" w:rsidRDefault="00AB5681" w14:paraId="3B20E9AA" w14:textId="301E7B12">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46">
        <w:r w:rsidRPr="009E3FA4" w:rsidR="009E3FA4">
          <w:rPr>
            <w:rStyle w:val="Hyperlink"/>
            <w:rFonts w:eastAsia="Calibri"/>
            <w:noProof/>
            <w:sz w:val="22"/>
            <w:szCs w:val="22"/>
          </w:rPr>
          <w:t>Table</w:t>
        </w:r>
        <w:r w:rsidRPr="009E3FA4" w:rsidR="009E3FA4">
          <w:rPr>
            <w:rStyle w:val="Hyperlink"/>
            <w:rFonts w:eastAsia="Calibri"/>
            <w:noProof/>
            <w:spacing w:val="-3"/>
            <w:sz w:val="22"/>
            <w:szCs w:val="22"/>
          </w:rPr>
          <w:t xml:space="preserve"> B.</w:t>
        </w:r>
        <w:r w:rsidRPr="009E3FA4" w:rsidR="009E3FA4">
          <w:rPr>
            <w:rStyle w:val="Hyperlink"/>
            <w:rFonts w:eastAsia="Calibri"/>
            <w:noProof/>
            <w:sz w:val="22"/>
            <w:szCs w:val="22"/>
          </w:rPr>
          <w:t>2.9.</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Expected</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Margin</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of</w:t>
        </w:r>
        <w:r w:rsidRPr="009E3FA4" w:rsidR="009E3FA4">
          <w:rPr>
            <w:rStyle w:val="Hyperlink"/>
            <w:rFonts w:eastAsia="Calibri"/>
            <w:noProof/>
            <w:spacing w:val="-3"/>
            <w:sz w:val="22"/>
            <w:szCs w:val="22"/>
          </w:rPr>
          <w:t xml:space="preserve"> </w:t>
        </w:r>
        <w:r w:rsidRPr="009E3FA4" w:rsidR="009E3FA4">
          <w:rPr>
            <w:rStyle w:val="Hyperlink"/>
            <w:rFonts w:eastAsia="Calibri"/>
            <w:noProof/>
            <w:sz w:val="22"/>
            <w:szCs w:val="22"/>
          </w:rPr>
          <w:t>Error</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for</w:t>
        </w:r>
        <w:r w:rsidRPr="009E3FA4" w:rsidR="009E3FA4">
          <w:rPr>
            <w:rStyle w:val="Hyperlink"/>
            <w:rFonts w:eastAsia="Calibri"/>
            <w:noProof/>
            <w:spacing w:val="-1"/>
            <w:sz w:val="22"/>
            <w:szCs w:val="22"/>
          </w:rPr>
          <w:t xml:space="preserve"> </w:t>
        </w:r>
        <w:r w:rsidRPr="009E3FA4" w:rsidR="009E3FA4">
          <w:rPr>
            <w:rStyle w:val="Hyperlink"/>
            <w:rFonts w:eastAsia="Calibri"/>
            <w:noProof/>
            <w:sz w:val="22"/>
            <w:szCs w:val="22"/>
          </w:rPr>
          <w:t>Best,</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Worst,</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and</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Middle</w:t>
        </w:r>
        <w:r w:rsidRPr="009E3FA4" w:rsidR="009E3FA4">
          <w:rPr>
            <w:rStyle w:val="Hyperlink"/>
            <w:rFonts w:eastAsia="Calibri"/>
            <w:noProof/>
            <w:spacing w:val="-3"/>
            <w:sz w:val="22"/>
            <w:szCs w:val="22"/>
          </w:rPr>
          <w:t xml:space="preserve"> </w:t>
        </w:r>
        <w:r w:rsidRPr="009E3FA4" w:rsidR="009E3FA4">
          <w:rPr>
            <w:rStyle w:val="Hyperlink"/>
            <w:rFonts w:eastAsia="Calibri"/>
            <w:noProof/>
            <w:sz w:val="22"/>
            <w:szCs w:val="22"/>
          </w:rPr>
          <w:t>Yield‐Rate</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Scenarios</w:t>
        </w:r>
        <w:r w:rsidRPr="009E3FA4" w:rsidR="009E3FA4">
          <w:rPr>
            <w:rStyle w:val="Hyperlink"/>
            <w:rFonts w:eastAsia="Calibri"/>
            <w:noProof/>
            <w:spacing w:val="-3"/>
            <w:sz w:val="22"/>
            <w:szCs w:val="22"/>
          </w:rPr>
          <w:t xml:space="preserve"> </w:t>
        </w:r>
        <w:r w:rsidRPr="009E3FA4" w:rsidR="009E3FA4">
          <w:rPr>
            <w:rStyle w:val="Hyperlink"/>
            <w:rFonts w:eastAsia="Calibri"/>
            <w:noProof/>
            <w:sz w:val="22"/>
            <w:szCs w:val="22"/>
          </w:rPr>
          <w:t>for</w:t>
        </w:r>
        <w:r w:rsidRPr="009E3FA4" w:rsidR="009E3FA4">
          <w:rPr>
            <w:rStyle w:val="Hyperlink"/>
            <w:rFonts w:eastAsia="Calibri"/>
            <w:noProof/>
            <w:spacing w:val="-2"/>
            <w:sz w:val="22"/>
            <w:szCs w:val="22"/>
          </w:rPr>
          <w:t xml:space="preserve"> </w:t>
        </w:r>
        <w:r w:rsidRPr="009E3FA4" w:rsidR="009E3FA4">
          <w:rPr>
            <w:rStyle w:val="Hyperlink"/>
            <w:rFonts w:eastAsia="Calibri"/>
            <w:noProof/>
            <w:sz w:val="22"/>
            <w:szCs w:val="22"/>
          </w:rPr>
          <w:t>Estimates</w:t>
        </w:r>
        <w:r w:rsidRPr="009E3FA4" w:rsidR="009E3FA4">
          <w:rPr>
            <w:rStyle w:val="Hyperlink"/>
            <w:rFonts w:eastAsia="Calibri"/>
            <w:noProof/>
            <w:spacing w:val="-3"/>
            <w:sz w:val="22"/>
            <w:szCs w:val="22"/>
          </w:rPr>
          <w:t xml:space="preserve"> </w:t>
        </w:r>
        <w:r w:rsidR="009E3FA4">
          <w:rPr>
            <w:rStyle w:val="Hyperlink"/>
            <w:rFonts w:eastAsia="Calibri"/>
            <w:noProof/>
            <w:spacing w:val="-3"/>
            <w:sz w:val="22"/>
            <w:szCs w:val="22"/>
          </w:rPr>
          <w:br/>
        </w:r>
        <w:r w:rsidRPr="009E3FA4" w:rsidR="009E3FA4">
          <w:rPr>
            <w:rStyle w:val="Hyperlink"/>
            <w:rFonts w:eastAsia="Calibri"/>
            <w:noProof/>
            <w:sz w:val="22"/>
            <w:szCs w:val="22"/>
          </w:rPr>
          <w:t>of a 50-Percent Characteristic: 2-Year Follow-up Study</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_Toc78365146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19</w:t>
        </w:r>
        <w:r w:rsidRPr="009E3FA4" w:rsidR="009E3FA4">
          <w:rPr>
            <w:noProof/>
            <w:webHidden/>
            <w:sz w:val="22"/>
            <w:szCs w:val="22"/>
          </w:rPr>
          <w:fldChar w:fldCharType="end"/>
        </w:r>
      </w:hyperlink>
    </w:p>
    <w:p w:rsidRPr="009E3FA4" w:rsidR="009E3FA4" w:rsidP="009E3FA4" w:rsidRDefault="00AB5681" w14:paraId="78B0E8B5" w14:textId="4D0A411E">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47">
        <w:r w:rsidRPr="009E3FA4" w:rsidR="009E3FA4">
          <w:rPr>
            <w:rStyle w:val="Hyperlink"/>
            <w:rFonts w:eastAsia="Calibri"/>
            <w:noProof/>
            <w:sz w:val="22"/>
            <w:szCs w:val="22"/>
          </w:rPr>
          <w:t>Table B.3.1. Expected Response Rates</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_Toc78365147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21</w:t>
        </w:r>
        <w:r w:rsidRPr="009E3FA4" w:rsidR="009E3FA4">
          <w:rPr>
            <w:noProof/>
            <w:webHidden/>
            <w:sz w:val="22"/>
            <w:szCs w:val="22"/>
          </w:rPr>
          <w:fldChar w:fldCharType="end"/>
        </w:r>
      </w:hyperlink>
    </w:p>
    <w:p w:rsidRPr="009E3FA4" w:rsidR="009E3FA4" w:rsidP="009E3FA4" w:rsidRDefault="00AB5681" w14:paraId="35DC72AC" w14:textId="0FBE7A49">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48">
        <w:r w:rsidRPr="009E3FA4" w:rsidR="009E3FA4">
          <w:rPr>
            <w:rStyle w:val="Hyperlink"/>
            <w:rFonts w:eastAsia="Calibri"/>
            <w:noProof/>
            <w:sz w:val="22"/>
            <w:szCs w:val="22"/>
          </w:rPr>
          <w:t>Table B.3.2. Timeline for Sampled NAP Participant Data Collection Activities</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_Toc78365148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22</w:t>
        </w:r>
        <w:r w:rsidRPr="009E3FA4" w:rsidR="009E3FA4">
          <w:rPr>
            <w:noProof/>
            <w:webHidden/>
            <w:sz w:val="22"/>
            <w:szCs w:val="22"/>
          </w:rPr>
          <w:fldChar w:fldCharType="end"/>
        </w:r>
      </w:hyperlink>
    </w:p>
    <w:p w:rsidRPr="009E3FA4" w:rsidR="009E3FA4" w:rsidP="009E3FA4" w:rsidRDefault="00AB5681" w14:paraId="65280154" w14:textId="79D9EF71">
      <w:pPr>
        <w:pStyle w:val="TableofFigures"/>
        <w:tabs>
          <w:tab w:val="right" w:leader="dot" w:pos="9350"/>
        </w:tabs>
        <w:spacing w:after="120"/>
        <w:ind w:left="0" w:firstLine="0"/>
        <w:rPr>
          <w:rFonts w:asciiTheme="minorHAnsi" w:hAnsiTheme="minorHAnsi" w:eastAsiaTheme="minorEastAsia" w:cstheme="minorBidi"/>
          <w:noProof/>
          <w:sz w:val="22"/>
          <w:szCs w:val="22"/>
        </w:rPr>
      </w:pPr>
      <w:hyperlink w:history="1" w:anchor="_Toc78365149">
        <w:r w:rsidRPr="009E3FA4" w:rsidR="009E3FA4">
          <w:rPr>
            <w:rStyle w:val="Hyperlink"/>
            <w:rFonts w:eastAsia="Calibri"/>
            <w:noProof/>
            <w:sz w:val="22"/>
            <w:szCs w:val="22"/>
          </w:rPr>
          <w:t>Table B.4.1. Summary of Pretest Findings</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_Toc78365149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25</w:t>
        </w:r>
        <w:r w:rsidRPr="009E3FA4" w:rsidR="009E3FA4">
          <w:rPr>
            <w:noProof/>
            <w:webHidden/>
            <w:sz w:val="22"/>
            <w:szCs w:val="22"/>
          </w:rPr>
          <w:fldChar w:fldCharType="end"/>
        </w:r>
      </w:hyperlink>
    </w:p>
    <w:p w:rsidRPr="009E3FA4" w:rsidR="009E3FA4" w:rsidRDefault="00AB5681" w14:paraId="4AC7F358" w14:textId="4625EA35">
      <w:pPr>
        <w:pStyle w:val="TableofFigures"/>
        <w:tabs>
          <w:tab w:val="right" w:leader="dot" w:pos="9350"/>
        </w:tabs>
        <w:rPr>
          <w:rFonts w:asciiTheme="minorHAnsi" w:hAnsiTheme="minorHAnsi" w:eastAsiaTheme="minorEastAsia" w:cstheme="minorBidi"/>
          <w:noProof/>
          <w:sz w:val="22"/>
          <w:szCs w:val="22"/>
        </w:rPr>
      </w:pPr>
      <w:hyperlink w:history="1" w:anchor="_Toc78365150">
        <w:r w:rsidRPr="009E3FA4" w:rsidR="009E3FA4">
          <w:rPr>
            <w:rStyle w:val="Hyperlink"/>
            <w:rFonts w:eastAsia="Calibri"/>
            <w:noProof/>
            <w:sz w:val="22"/>
            <w:szCs w:val="22"/>
          </w:rPr>
          <w:t>Table B.5.1. Consultants</w:t>
        </w:r>
        <w:r w:rsidRPr="009E3FA4" w:rsidR="009E3FA4">
          <w:rPr>
            <w:noProof/>
            <w:webHidden/>
            <w:sz w:val="22"/>
            <w:szCs w:val="22"/>
          </w:rPr>
          <w:tab/>
        </w:r>
        <w:r w:rsidRPr="009E3FA4" w:rsidR="009E3FA4">
          <w:rPr>
            <w:noProof/>
            <w:webHidden/>
            <w:sz w:val="22"/>
            <w:szCs w:val="22"/>
          </w:rPr>
          <w:fldChar w:fldCharType="begin"/>
        </w:r>
        <w:r w:rsidRPr="009E3FA4" w:rsidR="009E3FA4">
          <w:rPr>
            <w:noProof/>
            <w:webHidden/>
            <w:sz w:val="22"/>
            <w:szCs w:val="22"/>
          </w:rPr>
          <w:instrText xml:space="preserve"> PAGEREF _Toc78365150 \h </w:instrText>
        </w:r>
        <w:r w:rsidRPr="009E3FA4" w:rsidR="009E3FA4">
          <w:rPr>
            <w:noProof/>
            <w:webHidden/>
            <w:sz w:val="22"/>
            <w:szCs w:val="22"/>
          </w:rPr>
        </w:r>
        <w:r w:rsidRPr="009E3FA4" w:rsidR="009E3FA4">
          <w:rPr>
            <w:noProof/>
            <w:webHidden/>
            <w:sz w:val="22"/>
            <w:szCs w:val="22"/>
          </w:rPr>
          <w:fldChar w:fldCharType="separate"/>
        </w:r>
        <w:r w:rsidR="00B97916">
          <w:rPr>
            <w:noProof/>
            <w:webHidden/>
            <w:sz w:val="22"/>
            <w:szCs w:val="22"/>
          </w:rPr>
          <w:t>26</w:t>
        </w:r>
        <w:r w:rsidRPr="009E3FA4" w:rsidR="009E3FA4">
          <w:rPr>
            <w:noProof/>
            <w:webHidden/>
            <w:sz w:val="22"/>
            <w:szCs w:val="22"/>
          </w:rPr>
          <w:fldChar w:fldCharType="end"/>
        </w:r>
      </w:hyperlink>
    </w:p>
    <w:p w:rsidR="00754990" w:rsidP="00754990" w:rsidRDefault="00754990" w14:paraId="6B921223" w14:textId="73CF4C29">
      <w:pPr>
        <w:pStyle w:val="TableofFigures"/>
        <w:rPr>
          <w:rFonts w:asciiTheme="minorHAnsi" w:hAnsiTheme="minorHAnsi" w:eastAsiaTheme="minorEastAsia" w:cstheme="minorBidi"/>
          <w:noProof/>
          <w:sz w:val="22"/>
          <w:szCs w:val="22"/>
        </w:rPr>
      </w:pPr>
      <w:r w:rsidRPr="009E3FA4">
        <w:rPr>
          <w:b/>
          <w:smallCaps/>
          <w:sz w:val="22"/>
          <w:szCs w:val="22"/>
        </w:rPr>
        <w:fldChar w:fldCharType="end"/>
      </w:r>
      <w:r>
        <w:rPr>
          <w:rFonts w:cs="Arial" w:asciiTheme="minorHAnsi" w:hAnsiTheme="minorHAnsi"/>
          <w:b/>
          <w:bCs/>
          <w:sz w:val="22"/>
          <w:szCs w:val="22"/>
        </w:rPr>
        <w:fldChar w:fldCharType="begin"/>
      </w:r>
      <w:r>
        <w:rPr>
          <w:rFonts w:cs="Arial" w:asciiTheme="minorHAnsi" w:hAnsiTheme="minorHAnsi"/>
          <w:b/>
          <w:bCs/>
          <w:sz w:val="22"/>
          <w:szCs w:val="22"/>
        </w:rPr>
        <w:instrText xml:space="preserve"> TOC \h \z \t "TableTitle-IPR" \c </w:instrText>
      </w:r>
      <w:r>
        <w:rPr>
          <w:rFonts w:cs="Arial" w:asciiTheme="minorHAnsi" w:hAnsiTheme="minorHAnsi"/>
          <w:b/>
          <w:bCs/>
          <w:sz w:val="22"/>
          <w:szCs w:val="22"/>
        </w:rPr>
        <w:fldChar w:fldCharType="separate"/>
      </w:r>
    </w:p>
    <w:p w:rsidRPr="003312EF" w:rsidR="00754990" w:rsidP="00754990" w:rsidRDefault="00754990" w14:paraId="5DCEB4E9" w14:textId="77777777">
      <w:pPr>
        <w:pStyle w:val="TOCHeading2"/>
        <w:spacing w:before="0"/>
        <w:rPr>
          <w:caps/>
        </w:rPr>
      </w:pPr>
      <w:r>
        <w:rPr>
          <w:rFonts w:asciiTheme="minorHAnsi" w:hAnsiTheme="minorHAnsi"/>
          <w:bCs/>
          <w:sz w:val="22"/>
          <w:szCs w:val="22"/>
        </w:rPr>
        <w:fldChar w:fldCharType="end"/>
      </w:r>
      <w:r w:rsidRPr="003312EF">
        <w:t>Appendices</w:t>
      </w:r>
    </w:p>
    <w:p w:rsidRPr="009C1F57" w:rsidR="009017E7" w:rsidP="009C1F57" w:rsidRDefault="009017E7" w14:paraId="35E081E0" w14:textId="2369B263">
      <w:pPr>
        <w:pStyle w:val="TOCListText-IPR"/>
        <w:spacing w:after="48" w:afterLines="20"/>
        <w:rPr>
          <w:rFonts w:asciiTheme="minorHAnsi" w:hAnsiTheme="minorHAnsi" w:cstheme="minorHAnsi"/>
          <w:sz w:val="22"/>
          <w:szCs w:val="22"/>
        </w:rPr>
      </w:pPr>
      <w:bookmarkStart w:name="_Hlk92994495" w:id="1"/>
      <w:bookmarkStart w:name="_Hlk30504843" w:id="2"/>
      <w:r w:rsidRPr="009C1F57">
        <w:rPr>
          <w:rFonts w:asciiTheme="minorHAnsi" w:hAnsiTheme="minorHAnsi" w:cstheme="minorHAnsi"/>
          <w:sz w:val="22"/>
          <w:szCs w:val="22"/>
        </w:rPr>
        <w:t>A. Legal Authority</w:t>
      </w:r>
    </w:p>
    <w:p w:rsidRPr="009C1F57" w:rsidR="009017E7" w:rsidP="009C1F57" w:rsidRDefault="009017E7" w14:paraId="2A5BF765" w14:textId="183B0A95">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B. Research Objectives and Questions by Data Source</w:t>
      </w:r>
    </w:p>
    <w:p w:rsidRPr="009C1F57" w:rsidR="009017E7" w:rsidP="009C1F57" w:rsidRDefault="009017E7" w14:paraId="252EAED8" w14:textId="5F4A6589">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C.1</w:t>
      </w:r>
      <w:r w:rsidRPr="009C1F57" w:rsidR="004E1006">
        <w:rPr>
          <w:rFonts w:asciiTheme="minorHAnsi" w:hAnsiTheme="minorHAnsi" w:cstheme="minorHAnsi"/>
          <w:sz w:val="22"/>
          <w:szCs w:val="22"/>
        </w:rPr>
        <w:t>.</w:t>
      </w:r>
      <w:r w:rsidRPr="009C1F57">
        <w:rPr>
          <w:rFonts w:asciiTheme="minorHAnsi" w:hAnsiTheme="minorHAnsi" w:cstheme="minorHAnsi"/>
          <w:sz w:val="22"/>
          <w:szCs w:val="22"/>
        </w:rPr>
        <w:t xml:space="preserve"> Household Survey Instrument in English</w:t>
      </w:r>
    </w:p>
    <w:p w:rsidRPr="009C1F57" w:rsidR="009017E7" w:rsidP="009C1F57" w:rsidRDefault="009017E7" w14:paraId="0AF64896" w14:textId="33129E1F">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C.2</w:t>
      </w:r>
      <w:r w:rsidRPr="009C1F57" w:rsidR="004E1006">
        <w:rPr>
          <w:rFonts w:asciiTheme="minorHAnsi" w:hAnsiTheme="minorHAnsi" w:cstheme="minorHAnsi"/>
          <w:sz w:val="22"/>
          <w:szCs w:val="22"/>
        </w:rPr>
        <w:t>.</w:t>
      </w:r>
      <w:r w:rsidRPr="009C1F57">
        <w:rPr>
          <w:rFonts w:asciiTheme="minorHAnsi" w:hAnsiTheme="minorHAnsi" w:cstheme="minorHAnsi"/>
          <w:sz w:val="22"/>
          <w:szCs w:val="22"/>
        </w:rPr>
        <w:t xml:space="preserve"> Household Survey Instrument in Spanish</w:t>
      </w:r>
    </w:p>
    <w:p w:rsidRPr="009C1F57" w:rsidR="009017E7" w:rsidP="009C1F57" w:rsidRDefault="009017E7" w14:paraId="553537F4" w14:textId="6F87B159">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D.1</w:t>
      </w:r>
      <w:r w:rsidRPr="009C1F57" w:rsidR="004E1006">
        <w:rPr>
          <w:rFonts w:asciiTheme="minorHAnsi" w:hAnsiTheme="minorHAnsi" w:cstheme="minorHAnsi"/>
          <w:sz w:val="22"/>
          <w:szCs w:val="22"/>
        </w:rPr>
        <w:t>.</w:t>
      </w:r>
      <w:r w:rsidRPr="009C1F57">
        <w:rPr>
          <w:rFonts w:asciiTheme="minorHAnsi" w:hAnsiTheme="minorHAnsi" w:cstheme="minorHAnsi"/>
          <w:sz w:val="22"/>
          <w:szCs w:val="22"/>
        </w:rPr>
        <w:t xml:space="preserve"> </w:t>
      </w:r>
      <w:r w:rsidR="002452FC">
        <w:rPr>
          <w:rFonts w:asciiTheme="minorHAnsi" w:hAnsiTheme="minorHAnsi" w:cstheme="minorHAnsi"/>
          <w:sz w:val="22"/>
          <w:szCs w:val="22"/>
        </w:rPr>
        <w:t xml:space="preserve">Web-based </w:t>
      </w:r>
      <w:r w:rsidRPr="009C1F57">
        <w:rPr>
          <w:rFonts w:asciiTheme="minorHAnsi" w:hAnsiTheme="minorHAnsi" w:cstheme="minorHAnsi"/>
          <w:sz w:val="22"/>
          <w:szCs w:val="22"/>
        </w:rPr>
        <w:t>Household Survey Instrument in English</w:t>
      </w:r>
    </w:p>
    <w:p w:rsidRPr="009C1F57" w:rsidR="009017E7" w:rsidP="009C1F57" w:rsidRDefault="009017E7" w14:paraId="75B05D0C" w14:textId="7B275A0F">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D.2</w:t>
      </w:r>
      <w:r w:rsidRPr="009C1F57" w:rsidR="004E1006">
        <w:rPr>
          <w:rFonts w:asciiTheme="minorHAnsi" w:hAnsiTheme="minorHAnsi" w:cstheme="minorHAnsi"/>
          <w:sz w:val="22"/>
          <w:szCs w:val="22"/>
        </w:rPr>
        <w:t>.</w:t>
      </w:r>
      <w:r w:rsidRPr="009C1F57">
        <w:rPr>
          <w:rFonts w:asciiTheme="minorHAnsi" w:hAnsiTheme="minorHAnsi" w:cstheme="minorHAnsi"/>
          <w:sz w:val="22"/>
          <w:szCs w:val="22"/>
        </w:rPr>
        <w:t xml:space="preserve"> </w:t>
      </w:r>
      <w:r w:rsidR="002452FC">
        <w:rPr>
          <w:rFonts w:asciiTheme="minorHAnsi" w:hAnsiTheme="minorHAnsi" w:cstheme="minorHAnsi"/>
          <w:sz w:val="22"/>
          <w:szCs w:val="22"/>
        </w:rPr>
        <w:t xml:space="preserve">Web-based </w:t>
      </w:r>
      <w:r w:rsidRPr="009C1F57">
        <w:rPr>
          <w:rFonts w:asciiTheme="minorHAnsi" w:hAnsiTheme="minorHAnsi" w:cstheme="minorHAnsi"/>
          <w:sz w:val="22"/>
          <w:szCs w:val="22"/>
        </w:rPr>
        <w:t>Household Survey Instrument in Spanish</w:t>
      </w:r>
    </w:p>
    <w:p w:rsidRPr="009C1F57" w:rsidR="009017E7" w:rsidP="009C1F57" w:rsidRDefault="009017E7" w14:paraId="2014F0B0" w14:textId="09C75F9F">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E.1</w:t>
      </w:r>
      <w:r w:rsidRPr="009C1F57" w:rsidR="004E1006">
        <w:rPr>
          <w:rFonts w:asciiTheme="minorHAnsi" w:hAnsiTheme="minorHAnsi" w:cstheme="minorHAnsi"/>
          <w:sz w:val="22"/>
          <w:szCs w:val="22"/>
        </w:rPr>
        <w:t>.</w:t>
      </w:r>
      <w:r w:rsidRPr="009C1F57">
        <w:rPr>
          <w:rFonts w:asciiTheme="minorHAnsi" w:hAnsiTheme="minorHAnsi" w:cstheme="minorHAnsi"/>
          <w:sz w:val="22"/>
          <w:szCs w:val="22"/>
        </w:rPr>
        <w:t xml:space="preserve"> In-depth Interview Protocol in English</w:t>
      </w:r>
    </w:p>
    <w:p w:rsidRPr="009C1F57" w:rsidR="009017E7" w:rsidP="009C1F57" w:rsidRDefault="009017E7" w14:paraId="5E624523" w14:textId="40ABFF26">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lastRenderedPageBreak/>
        <w:t>E.2</w:t>
      </w:r>
      <w:r w:rsidRPr="009C1F57" w:rsidR="004E1006">
        <w:rPr>
          <w:rFonts w:asciiTheme="minorHAnsi" w:hAnsiTheme="minorHAnsi" w:cstheme="minorHAnsi"/>
          <w:sz w:val="22"/>
          <w:szCs w:val="22"/>
        </w:rPr>
        <w:t>.</w:t>
      </w:r>
      <w:r w:rsidRPr="009C1F57">
        <w:rPr>
          <w:rFonts w:asciiTheme="minorHAnsi" w:hAnsiTheme="minorHAnsi" w:cstheme="minorHAnsi"/>
          <w:sz w:val="22"/>
          <w:szCs w:val="22"/>
        </w:rPr>
        <w:t xml:space="preserve"> In-depth Interview Protocol in Spanish</w:t>
      </w:r>
    </w:p>
    <w:p w:rsidRPr="009C1F57" w:rsidR="009017E7" w:rsidP="009C1F57" w:rsidRDefault="009017E7" w14:paraId="46FC9155" w14:textId="7B9F38B5">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F.</w:t>
      </w:r>
      <w:r w:rsidR="002452FC">
        <w:rPr>
          <w:rFonts w:asciiTheme="minorHAnsi" w:hAnsiTheme="minorHAnsi" w:cstheme="minorHAnsi"/>
          <w:sz w:val="22"/>
          <w:szCs w:val="22"/>
        </w:rPr>
        <w:t>1</w:t>
      </w:r>
      <w:r w:rsidRPr="009C1F57" w:rsidR="00AB0809">
        <w:rPr>
          <w:rFonts w:asciiTheme="minorHAnsi" w:hAnsiTheme="minorHAnsi" w:cstheme="minorHAnsi"/>
          <w:sz w:val="22"/>
          <w:szCs w:val="22"/>
        </w:rPr>
        <w:t>.</w:t>
      </w:r>
      <w:r w:rsidRPr="009C1F57">
        <w:rPr>
          <w:rFonts w:asciiTheme="minorHAnsi" w:hAnsiTheme="minorHAnsi" w:cstheme="minorHAnsi"/>
          <w:sz w:val="22"/>
          <w:szCs w:val="22"/>
        </w:rPr>
        <w:t xml:space="preserve"> </w:t>
      </w:r>
      <w:r w:rsidRPr="009C1F57" w:rsidR="002452FC">
        <w:rPr>
          <w:rFonts w:asciiTheme="minorHAnsi" w:hAnsiTheme="minorHAnsi" w:cstheme="minorHAnsi"/>
          <w:sz w:val="22"/>
          <w:szCs w:val="22"/>
        </w:rPr>
        <w:t xml:space="preserve">Concept Mapping </w:t>
      </w:r>
      <w:r w:rsidRPr="009C1F57">
        <w:rPr>
          <w:rFonts w:asciiTheme="minorHAnsi" w:hAnsiTheme="minorHAnsi" w:cstheme="minorHAnsi"/>
          <w:sz w:val="22"/>
          <w:szCs w:val="22"/>
        </w:rPr>
        <w:t>Welcome and Scheduling Email</w:t>
      </w:r>
    </w:p>
    <w:p w:rsidRPr="009C1F57" w:rsidR="009017E7" w:rsidP="009C1F57" w:rsidRDefault="009017E7" w14:paraId="626057B9" w14:textId="264F830C">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F.</w:t>
      </w:r>
      <w:r w:rsidR="002452FC">
        <w:rPr>
          <w:rFonts w:asciiTheme="minorHAnsi" w:hAnsiTheme="minorHAnsi" w:cstheme="minorHAnsi"/>
          <w:sz w:val="22"/>
          <w:szCs w:val="22"/>
        </w:rPr>
        <w:t>2</w:t>
      </w:r>
      <w:r w:rsidRPr="009C1F57">
        <w:rPr>
          <w:rFonts w:asciiTheme="minorHAnsi" w:hAnsiTheme="minorHAnsi" w:cstheme="minorHAnsi"/>
          <w:sz w:val="22"/>
          <w:szCs w:val="22"/>
        </w:rPr>
        <w:t xml:space="preserve">. Reminder Email for First </w:t>
      </w:r>
      <w:r w:rsidRPr="009C1F57" w:rsidR="00AB0809">
        <w:rPr>
          <w:rFonts w:asciiTheme="minorHAnsi" w:hAnsiTheme="minorHAnsi" w:cstheme="minorHAnsi"/>
          <w:sz w:val="22"/>
          <w:szCs w:val="22"/>
        </w:rPr>
        <w:t xml:space="preserve">Concept Mapping </w:t>
      </w:r>
      <w:r w:rsidRPr="009C1F57">
        <w:rPr>
          <w:rFonts w:asciiTheme="minorHAnsi" w:hAnsiTheme="minorHAnsi" w:cstheme="minorHAnsi"/>
          <w:sz w:val="22"/>
          <w:szCs w:val="22"/>
        </w:rPr>
        <w:t>Meeting</w:t>
      </w:r>
    </w:p>
    <w:p w:rsidRPr="009C1F57" w:rsidR="009017E7" w:rsidP="009C1F57" w:rsidRDefault="009017E7" w14:paraId="251238FD" w14:textId="5363309C">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F.</w:t>
      </w:r>
      <w:r w:rsidR="002452FC">
        <w:rPr>
          <w:rFonts w:asciiTheme="minorHAnsi" w:hAnsiTheme="minorHAnsi" w:cstheme="minorHAnsi"/>
          <w:sz w:val="22"/>
          <w:szCs w:val="22"/>
        </w:rPr>
        <w:t>3</w:t>
      </w:r>
      <w:r w:rsidRPr="009C1F57">
        <w:rPr>
          <w:rFonts w:asciiTheme="minorHAnsi" w:hAnsiTheme="minorHAnsi" w:cstheme="minorHAnsi"/>
          <w:sz w:val="22"/>
          <w:szCs w:val="22"/>
        </w:rPr>
        <w:t>. Advance Material for First</w:t>
      </w:r>
      <w:r w:rsidRPr="009C1F57" w:rsidR="00AB0809">
        <w:rPr>
          <w:rFonts w:asciiTheme="minorHAnsi" w:hAnsiTheme="minorHAnsi" w:cstheme="minorHAnsi"/>
          <w:sz w:val="22"/>
          <w:szCs w:val="22"/>
        </w:rPr>
        <w:t xml:space="preserve"> Concept Mapping</w:t>
      </w:r>
      <w:r w:rsidRPr="009C1F57">
        <w:rPr>
          <w:rFonts w:asciiTheme="minorHAnsi" w:hAnsiTheme="minorHAnsi" w:cstheme="minorHAnsi"/>
          <w:sz w:val="22"/>
          <w:szCs w:val="22"/>
        </w:rPr>
        <w:t xml:space="preserve"> Meeting</w:t>
      </w:r>
    </w:p>
    <w:p w:rsidRPr="009C1F57" w:rsidR="009017E7" w:rsidP="009C1F57" w:rsidRDefault="009017E7" w14:paraId="47210126" w14:textId="1F4CB4EE">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F.</w:t>
      </w:r>
      <w:r w:rsidR="002452FC">
        <w:rPr>
          <w:rFonts w:asciiTheme="minorHAnsi" w:hAnsiTheme="minorHAnsi" w:cstheme="minorHAnsi"/>
          <w:sz w:val="22"/>
          <w:szCs w:val="22"/>
        </w:rPr>
        <w:t>4</w:t>
      </w:r>
      <w:r w:rsidRPr="009C1F57">
        <w:rPr>
          <w:rFonts w:asciiTheme="minorHAnsi" w:hAnsiTheme="minorHAnsi" w:cstheme="minorHAnsi"/>
          <w:sz w:val="22"/>
          <w:szCs w:val="22"/>
        </w:rPr>
        <w:t xml:space="preserve">. First </w:t>
      </w:r>
      <w:r w:rsidRPr="009C1F57" w:rsidR="00AB0809">
        <w:rPr>
          <w:rFonts w:asciiTheme="minorHAnsi" w:hAnsiTheme="minorHAnsi" w:cstheme="minorHAnsi"/>
          <w:sz w:val="22"/>
          <w:szCs w:val="22"/>
        </w:rPr>
        <w:t xml:space="preserve">Concept Mapping </w:t>
      </w:r>
      <w:r w:rsidRPr="009C1F57">
        <w:rPr>
          <w:rFonts w:asciiTheme="minorHAnsi" w:hAnsiTheme="minorHAnsi" w:cstheme="minorHAnsi"/>
          <w:sz w:val="22"/>
          <w:szCs w:val="22"/>
        </w:rPr>
        <w:t>Meeting Facilitator Guide</w:t>
      </w:r>
    </w:p>
    <w:p w:rsidRPr="009C1F57" w:rsidR="009017E7" w:rsidP="009C1F57" w:rsidRDefault="009017E7" w14:paraId="28EB3F71" w14:textId="29E1A388">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F.</w:t>
      </w:r>
      <w:r w:rsidR="002452FC">
        <w:rPr>
          <w:rFonts w:asciiTheme="minorHAnsi" w:hAnsiTheme="minorHAnsi" w:cstheme="minorHAnsi"/>
          <w:sz w:val="22"/>
          <w:szCs w:val="22"/>
        </w:rPr>
        <w:t>5</w:t>
      </w:r>
      <w:r w:rsidRPr="009C1F57">
        <w:rPr>
          <w:rFonts w:asciiTheme="minorHAnsi" w:hAnsiTheme="minorHAnsi" w:cstheme="minorHAnsi"/>
          <w:sz w:val="22"/>
          <w:szCs w:val="22"/>
        </w:rPr>
        <w:t xml:space="preserve">. Additional Ideas </w:t>
      </w:r>
      <w:r w:rsidRPr="009C1F57" w:rsidR="002452FC">
        <w:rPr>
          <w:rFonts w:asciiTheme="minorHAnsi" w:hAnsiTheme="minorHAnsi" w:cstheme="minorHAnsi"/>
          <w:sz w:val="22"/>
          <w:szCs w:val="22"/>
        </w:rPr>
        <w:t xml:space="preserve">Concept Mapping </w:t>
      </w:r>
      <w:r w:rsidRPr="009C1F57">
        <w:rPr>
          <w:rFonts w:asciiTheme="minorHAnsi" w:hAnsiTheme="minorHAnsi" w:cstheme="minorHAnsi"/>
          <w:sz w:val="22"/>
          <w:szCs w:val="22"/>
        </w:rPr>
        <w:t>Email</w:t>
      </w:r>
    </w:p>
    <w:p w:rsidRPr="009C1F57" w:rsidR="009017E7" w:rsidP="009C1F57" w:rsidRDefault="009017E7" w14:paraId="63ED8E5E" w14:textId="79BB28EF">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F.</w:t>
      </w:r>
      <w:r w:rsidR="002452FC">
        <w:rPr>
          <w:rFonts w:asciiTheme="minorHAnsi" w:hAnsiTheme="minorHAnsi" w:cstheme="minorHAnsi"/>
          <w:sz w:val="22"/>
          <w:szCs w:val="22"/>
        </w:rPr>
        <w:t>6</w:t>
      </w:r>
      <w:r w:rsidRPr="009C1F57">
        <w:rPr>
          <w:rFonts w:asciiTheme="minorHAnsi" w:hAnsiTheme="minorHAnsi" w:cstheme="minorHAnsi"/>
          <w:sz w:val="22"/>
          <w:szCs w:val="22"/>
        </w:rPr>
        <w:t xml:space="preserve">. Instructions for Sorting and Rating </w:t>
      </w:r>
      <w:r w:rsidRPr="009C1F57" w:rsidR="002452FC">
        <w:rPr>
          <w:rFonts w:asciiTheme="minorHAnsi" w:hAnsiTheme="minorHAnsi" w:cstheme="minorHAnsi"/>
          <w:sz w:val="22"/>
          <w:szCs w:val="22"/>
        </w:rPr>
        <w:t xml:space="preserve">Concept Mapping </w:t>
      </w:r>
      <w:r w:rsidRPr="009C1F57">
        <w:rPr>
          <w:rFonts w:asciiTheme="minorHAnsi" w:hAnsiTheme="minorHAnsi" w:cstheme="minorHAnsi"/>
          <w:sz w:val="22"/>
          <w:szCs w:val="22"/>
        </w:rPr>
        <w:t>Email</w:t>
      </w:r>
    </w:p>
    <w:p w:rsidRPr="009C1F57" w:rsidR="009017E7" w:rsidP="009C1F57" w:rsidRDefault="009017E7" w14:paraId="3E14DDF8" w14:textId="1C1E5848">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F.</w:t>
      </w:r>
      <w:r w:rsidR="002452FC">
        <w:rPr>
          <w:rFonts w:asciiTheme="minorHAnsi" w:hAnsiTheme="minorHAnsi" w:cstheme="minorHAnsi"/>
          <w:sz w:val="22"/>
          <w:szCs w:val="22"/>
        </w:rPr>
        <w:t>7</w:t>
      </w:r>
      <w:r w:rsidRPr="009C1F57">
        <w:rPr>
          <w:rFonts w:asciiTheme="minorHAnsi" w:hAnsiTheme="minorHAnsi" w:cstheme="minorHAnsi"/>
          <w:sz w:val="22"/>
          <w:szCs w:val="22"/>
        </w:rPr>
        <w:t xml:space="preserve">. Second </w:t>
      </w:r>
      <w:r w:rsidRPr="009C1F57" w:rsidR="00AB0809">
        <w:rPr>
          <w:rFonts w:asciiTheme="minorHAnsi" w:hAnsiTheme="minorHAnsi" w:cstheme="minorHAnsi"/>
          <w:sz w:val="22"/>
          <w:szCs w:val="22"/>
        </w:rPr>
        <w:t xml:space="preserve">Concept Mapping </w:t>
      </w:r>
      <w:r w:rsidRPr="009C1F57">
        <w:rPr>
          <w:rFonts w:asciiTheme="minorHAnsi" w:hAnsiTheme="minorHAnsi" w:cstheme="minorHAnsi"/>
          <w:sz w:val="22"/>
          <w:szCs w:val="22"/>
        </w:rPr>
        <w:t>Meeting Scheduling Email</w:t>
      </w:r>
    </w:p>
    <w:p w:rsidRPr="009C1F57" w:rsidR="009017E7" w:rsidP="009C1F57" w:rsidRDefault="009017E7" w14:paraId="4194472A" w14:textId="532D7495">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F.</w:t>
      </w:r>
      <w:r w:rsidR="002452FC">
        <w:rPr>
          <w:rFonts w:asciiTheme="minorHAnsi" w:hAnsiTheme="minorHAnsi" w:cstheme="minorHAnsi"/>
          <w:sz w:val="22"/>
          <w:szCs w:val="22"/>
        </w:rPr>
        <w:t>8</w:t>
      </w:r>
      <w:r w:rsidRPr="009C1F57">
        <w:rPr>
          <w:rFonts w:asciiTheme="minorHAnsi" w:hAnsiTheme="minorHAnsi" w:cstheme="minorHAnsi"/>
          <w:sz w:val="22"/>
          <w:szCs w:val="22"/>
        </w:rPr>
        <w:t xml:space="preserve">. Reminder Email for Second </w:t>
      </w:r>
      <w:r w:rsidRPr="009C1F57" w:rsidR="00AB0809">
        <w:rPr>
          <w:rFonts w:asciiTheme="minorHAnsi" w:hAnsiTheme="minorHAnsi" w:cstheme="minorHAnsi"/>
          <w:sz w:val="22"/>
          <w:szCs w:val="22"/>
        </w:rPr>
        <w:t xml:space="preserve">Concept Mapping </w:t>
      </w:r>
      <w:r w:rsidRPr="009C1F57">
        <w:rPr>
          <w:rFonts w:asciiTheme="minorHAnsi" w:hAnsiTheme="minorHAnsi" w:cstheme="minorHAnsi"/>
          <w:sz w:val="22"/>
          <w:szCs w:val="22"/>
        </w:rPr>
        <w:t>Meeting</w:t>
      </w:r>
    </w:p>
    <w:p w:rsidRPr="009C1F57" w:rsidR="009017E7" w:rsidP="009C1F57" w:rsidRDefault="009017E7" w14:paraId="707AE874" w14:textId="11DE5B56">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F.</w:t>
      </w:r>
      <w:r w:rsidR="002452FC">
        <w:rPr>
          <w:rFonts w:asciiTheme="minorHAnsi" w:hAnsiTheme="minorHAnsi" w:cstheme="minorHAnsi"/>
          <w:sz w:val="22"/>
          <w:szCs w:val="22"/>
        </w:rPr>
        <w:t>9</w:t>
      </w:r>
      <w:r w:rsidRPr="009C1F57">
        <w:rPr>
          <w:rFonts w:asciiTheme="minorHAnsi" w:hAnsiTheme="minorHAnsi" w:cstheme="minorHAnsi"/>
          <w:sz w:val="22"/>
          <w:szCs w:val="22"/>
        </w:rPr>
        <w:t xml:space="preserve">. Advance Material for Second </w:t>
      </w:r>
      <w:r w:rsidRPr="009C1F57" w:rsidR="00AB0809">
        <w:rPr>
          <w:rFonts w:asciiTheme="minorHAnsi" w:hAnsiTheme="minorHAnsi" w:cstheme="minorHAnsi"/>
          <w:sz w:val="22"/>
          <w:szCs w:val="22"/>
        </w:rPr>
        <w:t xml:space="preserve">Concept Mapping </w:t>
      </w:r>
      <w:r w:rsidRPr="009C1F57">
        <w:rPr>
          <w:rFonts w:asciiTheme="minorHAnsi" w:hAnsiTheme="minorHAnsi" w:cstheme="minorHAnsi"/>
          <w:sz w:val="22"/>
          <w:szCs w:val="22"/>
        </w:rPr>
        <w:t>Meeting</w:t>
      </w:r>
    </w:p>
    <w:p w:rsidRPr="009C1F57" w:rsidR="009017E7" w:rsidP="009C1F57" w:rsidRDefault="009017E7" w14:paraId="36348DF2" w14:textId="1A62B89A">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F.</w:t>
      </w:r>
      <w:r w:rsidRPr="009C1F57" w:rsidR="00AB0809">
        <w:rPr>
          <w:rFonts w:asciiTheme="minorHAnsi" w:hAnsiTheme="minorHAnsi" w:cstheme="minorHAnsi"/>
          <w:sz w:val="22"/>
          <w:szCs w:val="22"/>
        </w:rPr>
        <w:t>1</w:t>
      </w:r>
      <w:r w:rsidR="002452FC">
        <w:rPr>
          <w:rFonts w:asciiTheme="minorHAnsi" w:hAnsiTheme="minorHAnsi" w:cstheme="minorHAnsi"/>
          <w:sz w:val="22"/>
          <w:szCs w:val="22"/>
        </w:rPr>
        <w:t>0</w:t>
      </w:r>
      <w:r w:rsidRPr="009C1F57">
        <w:rPr>
          <w:rFonts w:asciiTheme="minorHAnsi" w:hAnsiTheme="minorHAnsi" w:cstheme="minorHAnsi"/>
          <w:sz w:val="22"/>
          <w:szCs w:val="22"/>
        </w:rPr>
        <w:t xml:space="preserve">. Second </w:t>
      </w:r>
      <w:r w:rsidRPr="009C1F57" w:rsidR="00AB0809">
        <w:rPr>
          <w:rFonts w:asciiTheme="minorHAnsi" w:hAnsiTheme="minorHAnsi" w:cstheme="minorHAnsi"/>
          <w:sz w:val="22"/>
          <w:szCs w:val="22"/>
        </w:rPr>
        <w:t xml:space="preserve">Concept Mapping </w:t>
      </w:r>
      <w:r w:rsidRPr="009C1F57">
        <w:rPr>
          <w:rFonts w:asciiTheme="minorHAnsi" w:hAnsiTheme="minorHAnsi" w:cstheme="minorHAnsi"/>
          <w:sz w:val="22"/>
          <w:szCs w:val="22"/>
        </w:rPr>
        <w:t>Meeting Facilitator Guide</w:t>
      </w:r>
    </w:p>
    <w:p w:rsidRPr="009C1F57" w:rsidR="009017E7" w:rsidP="009C1F57" w:rsidRDefault="009017E7" w14:paraId="2ED69279" w14:textId="756D696C">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G.1. First Survey Invitation Letter for NAP Participant List Sample in English</w:t>
      </w:r>
    </w:p>
    <w:p w:rsidRPr="009C1F57" w:rsidR="009017E7" w:rsidP="009C1F57" w:rsidRDefault="009017E7" w14:paraId="78BDEFB0" w14:textId="017249F3">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2</w:t>
      </w:r>
      <w:r w:rsidRPr="009C1F57">
        <w:rPr>
          <w:rFonts w:asciiTheme="minorHAnsi" w:hAnsiTheme="minorHAnsi" w:cstheme="minorHAnsi"/>
          <w:sz w:val="22"/>
          <w:szCs w:val="22"/>
        </w:rPr>
        <w:t xml:space="preserve"> Reminder Postcard for NAP Participant List Sample in English</w:t>
      </w:r>
    </w:p>
    <w:p w:rsidRPr="009C1F57" w:rsidR="009017E7" w:rsidP="009C1F57" w:rsidRDefault="009017E7" w14:paraId="29A13AEF" w14:textId="188BB08B">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3.</w:t>
      </w:r>
      <w:r w:rsidRPr="009C1F57">
        <w:rPr>
          <w:rFonts w:asciiTheme="minorHAnsi" w:hAnsiTheme="minorHAnsi" w:cstheme="minorHAnsi"/>
          <w:sz w:val="22"/>
          <w:szCs w:val="22"/>
        </w:rPr>
        <w:t xml:space="preserve"> Invitation Letter With Mail Survey for NAP Participant List Sample in English (2 mailings) </w:t>
      </w:r>
    </w:p>
    <w:p w:rsidRPr="009C1F57" w:rsidR="009017E7" w:rsidP="009C1F57" w:rsidRDefault="009017E7" w14:paraId="295EB060" w14:textId="42007FFE">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4.</w:t>
      </w:r>
      <w:r w:rsidRPr="009C1F57">
        <w:rPr>
          <w:rFonts w:asciiTheme="minorHAnsi" w:hAnsiTheme="minorHAnsi" w:cstheme="minorHAnsi"/>
          <w:sz w:val="22"/>
          <w:szCs w:val="22"/>
        </w:rPr>
        <w:t xml:space="preserve"> Recording for Inbound Calls to Schedule Survey in English</w:t>
      </w:r>
    </w:p>
    <w:p w:rsidRPr="009C1F57" w:rsidR="009017E7" w:rsidP="009C1F57" w:rsidRDefault="009017E7" w14:paraId="30A12CA4" w14:textId="283AFACB">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5.</w:t>
      </w:r>
      <w:r w:rsidRPr="009C1F57">
        <w:rPr>
          <w:rFonts w:asciiTheme="minorHAnsi" w:hAnsiTheme="minorHAnsi" w:cstheme="minorHAnsi"/>
          <w:sz w:val="22"/>
          <w:szCs w:val="22"/>
        </w:rPr>
        <w:t xml:space="preserve"> Return Call to Schedule Survey in English</w:t>
      </w:r>
    </w:p>
    <w:p w:rsidRPr="009C1F57" w:rsidR="009017E7" w:rsidP="009C1F57" w:rsidRDefault="009017E7" w14:paraId="323A5A48" w14:textId="79B412DD">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6.</w:t>
      </w:r>
      <w:r w:rsidRPr="009C1F57">
        <w:rPr>
          <w:rFonts w:asciiTheme="minorHAnsi" w:hAnsiTheme="minorHAnsi" w:cstheme="minorHAnsi"/>
          <w:sz w:val="22"/>
          <w:szCs w:val="22"/>
        </w:rPr>
        <w:t xml:space="preserve"> Script for Telephone Nonresponse Follow-Up for NAP Participant List Sample in English</w:t>
      </w:r>
    </w:p>
    <w:p w:rsidRPr="009C1F57" w:rsidR="009017E7" w:rsidP="009C1F57" w:rsidRDefault="009017E7" w14:paraId="03A659AC" w14:textId="0C448F51">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7.</w:t>
      </w:r>
      <w:r w:rsidRPr="009C1F57">
        <w:rPr>
          <w:rFonts w:asciiTheme="minorHAnsi" w:hAnsiTheme="minorHAnsi" w:cstheme="minorHAnsi"/>
          <w:sz w:val="22"/>
          <w:szCs w:val="22"/>
        </w:rPr>
        <w:t xml:space="preserve"> Invitation Letter for Area Probability Sample in English (In-Person Delivery) </w:t>
      </w:r>
    </w:p>
    <w:p w:rsidRPr="009C1F57" w:rsidR="009017E7" w:rsidP="009C1F57" w:rsidRDefault="009017E7" w14:paraId="1FCAC2F9" w14:textId="3D3AC09C">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8.</w:t>
      </w:r>
      <w:r w:rsidRPr="009C1F57">
        <w:rPr>
          <w:rFonts w:asciiTheme="minorHAnsi" w:hAnsiTheme="minorHAnsi" w:cstheme="minorHAnsi"/>
          <w:sz w:val="22"/>
          <w:szCs w:val="22"/>
        </w:rPr>
        <w:t xml:space="preserve"> Script for Data Collectors for Area Probability Sample in English (In-Person Delivery) </w:t>
      </w:r>
    </w:p>
    <w:p w:rsidRPr="009C1F57" w:rsidR="009017E7" w:rsidP="009C1F57" w:rsidRDefault="009017E7" w14:paraId="40A699BB" w14:textId="11FC04A1">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9.</w:t>
      </w:r>
      <w:r w:rsidRPr="009C1F57">
        <w:rPr>
          <w:rFonts w:asciiTheme="minorHAnsi" w:hAnsiTheme="minorHAnsi" w:cstheme="minorHAnsi"/>
          <w:sz w:val="22"/>
          <w:szCs w:val="22"/>
        </w:rPr>
        <w:t xml:space="preserve"> Text for Website (Home Page) in English</w:t>
      </w:r>
    </w:p>
    <w:p w:rsidRPr="009C1F57" w:rsidR="009017E7" w:rsidP="009C1F57" w:rsidRDefault="009017E7" w14:paraId="52647B84" w14:textId="0C4A53CE">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G.1</w:t>
      </w:r>
      <w:r w:rsidRPr="009C1F57" w:rsidR="00AB0809">
        <w:rPr>
          <w:rFonts w:asciiTheme="minorHAnsi" w:hAnsiTheme="minorHAnsi" w:cstheme="minorHAnsi"/>
          <w:sz w:val="22"/>
          <w:szCs w:val="22"/>
        </w:rPr>
        <w:t>0.</w:t>
      </w:r>
      <w:r w:rsidRPr="009C1F57">
        <w:rPr>
          <w:rFonts w:asciiTheme="minorHAnsi" w:hAnsiTheme="minorHAnsi" w:cstheme="minorHAnsi"/>
          <w:sz w:val="22"/>
          <w:szCs w:val="22"/>
        </w:rPr>
        <w:t xml:space="preserve"> FAQ Document in English</w:t>
      </w:r>
    </w:p>
    <w:p w:rsidRPr="009C1F57" w:rsidR="009017E7" w:rsidP="009C1F57" w:rsidRDefault="009017E7" w14:paraId="73E355F6" w14:textId="1A7DCBF9">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G.1</w:t>
      </w:r>
      <w:r w:rsidRPr="009C1F57" w:rsidR="00AB0809">
        <w:rPr>
          <w:rFonts w:asciiTheme="minorHAnsi" w:hAnsiTheme="minorHAnsi" w:cstheme="minorHAnsi"/>
          <w:sz w:val="22"/>
          <w:szCs w:val="22"/>
        </w:rPr>
        <w:t>1.</w:t>
      </w:r>
      <w:r w:rsidRPr="009C1F57">
        <w:rPr>
          <w:rFonts w:asciiTheme="minorHAnsi" w:hAnsiTheme="minorHAnsi" w:cstheme="minorHAnsi"/>
          <w:sz w:val="22"/>
          <w:szCs w:val="22"/>
        </w:rPr>
        <w:t xml:space="preserve"> Thank You Letter for Survey Participants in English</w:t>
      </w:r>
    </w:p>
    <w:p w:rsidRPr="009C1F57" w:rsidR="009017E7" w:rsidP="009C1F57" w:rsidRDefault="009017E7" w14:paraId="1D6465CB" w14:textId="45925CA7">
      <w:pPr>
        <w:pStyle w:val="TOCListText-IPR"/>
        <w:spacing w:after="48" w:afterLines="20"/>
        <w:rPr>
          <w:rFonts w:asciiTheme="minorHAnsi" w:hAnsiTheme="minorHAnsi" w:cstheme="minorHAnsi"/>
          <w:sz w:val="22"/>
          <w:szCs w:val="22"/>
        </w:rPr>
      </w:pPr>
      <w:bookmarkStart w:name="_Hlk83911371" w:id="3"/>
      <w:r w:rsidRPr="009C1F57">
        <w:rPr>
          <w:rFonts w:asciiTheme="minorHAnsi" w:hAnsiTheme="minorHAnsi" w:cstheme="minorHAnsi"/>
          <w:sz w:val="22"/>
          <w:szCs w:val="22"/>
        </w:rPr>
        <w:t>G.</w:t>
      </w:r>
      <w:r w:rsidRPr="009C1F57" w:rsidR="00AB0809">
        <w:rPr>
          <w:rFonts w:asciiTheme="minorHAnsi" w:hAnsiTheme="minorHAnsi" w:cstheme="minorHAnsi"/>
          <w:sz w:val="22"/>
          <w:szCs w:val="22"/>
        </w:rPr>
        <w:t>12.</w:t>
      </w:r>
      <w:r w:rsidRPr="009C1F57">
        <w:rPr>
          <w:rFonts w:asciiTheme="minorHAnsi" w:hAnsiTheme="minorHAnsi" w:cstheme="minorHAnsi"/>
          <w:sz w:val="22"/>
          <w:szCs w:val="22"/>
        </w:rPr>
        <w:t xml:space="preserve"> First Survey Invitation Letter for NAP Participant List Sample in Spanish</w:t>
      </w:r>
      <w:bookmarkEnd w:id="3"/>
    </w:p>
    <w:p w:rsidRPr="009C1F57" w:rsidR="009017E7" w:rsidP="009C1F57" w:rsidRDefault="009017E7" w14:paraId="2FA1E581" w14:textId="7AA35365">
      <w:pPr>
        <w:pStyle w:val="TOCListText-IPR"/>
        <w:spacing w:after="48" w:afterLines="20"/>
        <w:rPr>
          <w:rFonts w:asciiTheme="minorHAnsi" w:hAnsiTheme="minorHAnsi" w:cstheme="minorHAnsi"/>
          <w:sz w:val="22"/>
          <w:szCs w:val="22"/>
        </w:rPr>
      </w:pPr>
      <w:bookmarkStart w:name="_Hlk83911410" w:id="4"/>
      <w:r w:rsidRPr="009C1F57">
        <w:rPr>
          <w:rFonts w:asciiTheme="minorHAnsi" w:hAnsiTheme="minorHAnsi" w:cstheme="minorHAnsi"/>
          <w:sz w:val="22"/>
          <w:szCs w:val="22"/>
        </w:rPr>
        <w:t>G.</w:t>
      </w:r>
      <w:r w:rsidRPr="009C1F57" w:rsidR="00AB0809">
        <w:rPr>
          <w:rFonts w:asciiTheme="minorHAnsi" w:hAnsiTheme="minorHAnsi" w:cstheme="minorHAnsi"/>
          <w:sz w:val="22"/>
          <w:szCs w:val="22"/>
        </w:rPr>
        <w:t>13.</w:t>
      </w:r>
      <w:r w:rsidRPr="009C1F57">
        <w:rPr>
          <w:rFonts w:asciiTheme="minorHAnsi" w:hAnsiTheme="minorHAnsi" w:cstheme="minorHAnsi"/>
          <w:sz w:val="22"/>
          <w:szCs w:val="22"/>
        </w:rPr>
        <w:t xml:space="preserve"> Reminder Postcard for NAP Participant List Sample in Spanish</w:t>
      </w:r>
      <w:bookmarkEnd w:id="4"/>
    </w:p>
    <w:p w:rsidRPr="009C1F57" w:rsidR="009017E7" w:rsidP="009C1F57" w:rsidRDefault="009017E7" w14:paraId="70EE47A6" w14:textId="63EB55AE">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 xml:space="preserve">14. </w:t>
      </w:r>
      <w:bookmarkStart w:name="_Hlk83911432" w:id="5"/>
      <w:r w:rsidRPr="009C1F57">
        <w:rPr>
          <w:rFonts w:asciiTheme="minorHAnsi" w:hAnsiTheme="minorHAnsi" w:cstheme="minorHAnsi"/>
          <w:sz w:val="22"/>
          <w:szCs w:val="22"/>
        </w:rPr>
        <w:t>Invitation Letter With Mail Survey for NAP Participant List Sample in Spanish (2 mailings)</w:t>
      </w:r>
      <w:bookmarkEnd w:id="5"/>
    </w:p>
    <w:p w:rsidRPr="009C1F57" w:rsidR="009017E7" w:rsidP="009C1F57" w:rsidRDefault="009017E7" w14:paraId="003F9795" w14:textId="684A76C3">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15.</w:t>
      </w:r>
      <w:r w:rsidRPr="009C1F57">
        <w:rPr>
          <w:rFonts w:asciiTheme="minorHAnsi" w:hAnsiTheme="minorHAnsi" w:cstheme="minorHAnsi"/>
          <w:sz w:val="22"/>
          <w:szCs w:val="22"/>
        </w:rPr>
        <w:t xml:space="preserve"> </w:t>
      </w:r>
      <w:bookmarkStart w:name="_Hlk83911457" w:id="6"/>
      <w:r w:rsidRPr="009C1F57">
        <w:rPr>
          <w:rFonts w:asciiTheme="minorHAnsi" w:hAnsiTheme="minorHAnsi" w:cstheme="minorHAnsi"/>
          <w:sz w:val="22"/>
          <w:szCs w:val="22"/>
        </w:rPr>
        <w:t>Recording for Inbound Calls to Schedule Survey in Spanish</w:t>
      </w:r>
      <w:bookmarkEnd w:id="6"/>
    </w:p>
    <w:p w:rsidRPr="009C1F57" w:rsidR="009017E7" w:rsidP="009C1F57" w:rsidRDefault="009017E7" w14:paraId="22A6CE60" w14:textId="246E52AD">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16.</w:t>
      </w:r>
      <w:r w:rsidRPr="009C1F57">
        <w:rPr>
          <w:rFonts w:asciiTheme="minorHAnsi" w:hAnsiTheme="minorHAnsi" w:cstheme="minorHAnsi"/>
          <w:sz w:val="22"/>
          <w:szCs w:val="22"/>
        </w:rPr>
        <w:t xml:space="preserve"> </w:t>
      </w:r>
      <w:bookmarkStart w:name="_Hlk83911477" w:id="7"/>
      <w:r w:rsidRPr="009C1F57">
        <w:rPr>
          <w:rFonts w:asciiTheme="minorHAnsi" w:hAnsiTheme="minorHAnsi" w:cstheme="minorHAnsi"/>
          <w:sz w:val="22"/>
          <w:szCs w:val="22"/>
        </w:rPr>
        <w:t>Return Call to Schedule Survey in Spanish</w:t>
      </w:r>
      <w:bookmarkEnd w:id="7"/>
    </w:p>
    <w:p w:rsidRPr="009C1F57" w:rsidR="009017E7" w:rsidP="009C1F57" w:rsidRDefault="009017E7" w14:paraId="744808E6" w14:textId="22343CBC">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17.</w:t>
      </w:r>
      <w:r w:rsidRPr="009C1F57">
        <w:rPr>
          <w:rFonts w:asciiTheme="minorHAnsi" w:hAnsiTheme="minorHAnsi" w:cstheme="minorHAnsi"/>
          <w:sz w:val="22"/>
          <w:szCs w:val="22"/>
        </w:rPr>
        <w:t xml:space="preserve"> </w:t>
      </w:r>
      <w:bookmarkStart w:name="_Hlk83911505" w:id="8"/>
      <w:r w:rsidRPr="009C1F57">
        <w:rPr>
          <w:rFonts w:asciiTheme="minorHAnsi" w:hAnsiTheme="minorHAnsi" w:cstheme="minorHAnsi"/>
          <w:sz w:val="22"/>
          <w:szCs w:val="22"/>
        </w:rPr>
        <w:t>Script for Telephone Nonresponse Follow-Up for NAP Participant List Sample in Spanish</w:t>
      </w:r>
      <w:bookmarkEnd w:id="8"/>
    </w:p>
    <w:p w:rsidRPr="009C1F57" w:rsidR="009017E7" w:rsidP="009C1F57" w:rsidRDefault="009017E7" w14:paraId="0A8A477C" w14:textId="0F6E7FDE">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18.</w:t>
      </w:r>
      <w:r w:rsidRPr="009C1F57">
        <w:rPr>
          <w:rFonts w:asciiTheme="minorHAnsi" w:hAnsiTheme="minorHAnsi" w:cstheme="minorHAnsi"/>
          <w:sz w:val="22"/>
          <w:szCs w:val="22"/>
        </w:rPr>
        <w:t xml:space="preserve"> </w:t>
      </w:r>
      <w:bookmarkStart w:name="_Hlk83911531" w:id="9"/>
      <w:r w:rsidRPr="009C1F57">
        <w:rPr>
          <w:rFonts w:asciiTheme="minorHAnsi" w:hAnsiTheme="minorHAnsi" w:cstheme="minorHAnsi"/>
          <w:sz w:val="22"/>
          <w:szCs w:val="22"/>
        </w:rPr>
        <w:t>Invitation Letter for Area Probability Sample in Spanish (In-Person Delivery)</w:t>
      </w:r>
      <w:bookmarkEnd w:id="9"/>
    </w:p>
    <w:p w:rsidRPr="009C1F57" w:rsidR="009017E7" w:rsidP="009C1F57" w:rsidRDefault="009017E7" w14:paraId="75E5111F" w14:textId="31F2CDF7">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w:t>
      </w:r>
      <w:r w:rsidRPr="009C1F57" w:rsidR="00AB0809">
        <w:rPr>
          <w:rFonts w:asciiTheme="minorHAnsi" w:hAnsiTheme="minorHAnsi" w:cstheme="minorHAnsi"/>
          <w:sz w:val="22"/>
          <w:szCs w:val="22"/>
        </w:rPr>
        <w:t>19.</w:t>
      </w:r>
      <w:r w:rsidRPr="009C1F57">
        <w:rPr>
          <w:rFonts w:asciiTheme="minorHAnsi" w:hAnsiTheme="minorHAnsi" w:cstheme="minorHAnsi"/>
          <w:sz w:val="22"/>
          <w:szCs w:val="22"/>
        </w:rPr>
        <w:t xml:space="preserve"> </w:t>
      </w:r>
      <w:bookmarkStart w:name="_Hlk83911551" w:id="10"/>
      <w:r w:rsidRPr="009C1F57">
        <w:rPr>
          <w:rFonts w:asciiTheme="minorHAnsi" w:hAnsiTheme="minorHAnsi" w:cstheme="minorHAnsi"/>
          <w:sz w:val="22"/>
          <w:szCs w:val="22"/>
        </w:rPr>
        <w:t>Script for Data Collectors for Area Probability Sample in Spanish (In-Person Delivery)</w:t>
      </w:r>
      <w:bookmarkEnd w:id="10"/>
    </w:p>
    <w:p w:rsidRPr="009C1F57" w:rsidR="009017E7" w:rsidP="009C1F57" w:rsidRDefault="009017E7" w14:paraId="6FCED17D" w14:textId="1988C61C">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G.2</w:t>
      </w:r>
      <w:r w:rsidRPr="009C1F57" w:rsidR="00AB0809">
        <w:rPr>
          <w:rFonts w:asciiTheme="minorHAnsi" w:hAnsiTheme="minorHAnsi" w:cstheme="minorHAnsi"/>
          <w:sz w:val="22"/>
          <w:szCs w:val="22"/>
        </w:rPr>
        <w:t>0.</w:t>
      </w:r>
      <w:r w:rsidRPr="009C1F57">
        <w:rPr>
          <w:rFonts w:asciiTheme="minorHAnsi" w:hAnsiTheme="minorHAnsi" w:cstheme="minorHAnsi"/>
          <w:sz w:val="22"/>
          <w:szCs w:val="22"/>
        </w:rPr>
        <w:t xml:space="preserve"> </w:t>
      </w:r>
      <w:bookmarkStart w:name="_Hlk83911579" w:id="11"/>
      <w:r w:rsidRPr="009C1F57">
        <w:rPr>
          <w:rFonts w:asciiTheme="minorHAnsi" w:hAnsiTheme="minorHAnsi" w:cstheme="minorHAnsi"/>
          <w:sz w:val="22"/>
          <w:szCs w:val="22"/>
        </w:rPr>
        <w:t>Text for Website (Home Page) in Spanish</w:t>
      </w:r>
      <w:bookmarkEnd w:id="11"/>
    </w:p>
    <w:p w:rsidRPr="009C1F57" w:rsidR="009017E7" w:rsidP="009C1F57" w:rsidRDefault="009017E7" w14:paraId="6C4792BB" w14:textId="50C0EC30">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G.2</w:t>
      </w:r>
      <w:r w:rsidRPr="009C1F57" w:rsidR="00AB0809">
        <w:rPr>
          <w:rFonts w:asciiTheme="minorHAnsi" w:hAnsiTheme="minorHAnsi" w:cstheme="minorHAnsi"/>
          <w:sz w:val="22"/>
          <w:szCs w:val="22"/>
        </w:rPr>
        <w:t>1.</w:t>
      </w:r>
      <w:r w:rsidRPr="009C1F57">
        <w:rPr>
          <w:rFonts w:asciiTheme="minorHAnsi" w:hAnsiTheme="minorHAnsi" w:cstheme="minorHAnsi"/>
          <w:sz w:val="22"/>
          <w:szCs w:val="22"/>
        </w:rPr>
        <w:t xml:space="preserve"> </w:t>
      </w:r>
      <w:bookmarkStart w:name="_Hlk83911603" w:id="12"/>
      <w:r w:rsidRPr="009C1F57">
        <w:rPr>
          <w:rFonts w:asciiTheme="minorHAnsi" w:hAnsiTheme="minorHAnsi" w:cstheme="minorHAnsi"/>
          <w:sz w:val="22"/>
          <w:szCs w:val="22"/>
        </w:rPr>
        <w:t>FAQ Document in Spanish</w:t>
      </w:r>
      <w:bookmarkEnd w:id="12"/>
    </w:p>
    <w:p w:rsidRPr="009C1F57" w:rsidR="009017E7" w:rsidP="009C1F57" w:rsidRDefault="009017E7" w14:paraId="10D5068C" w14:textId="49A758B8">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G.2</w:t>
      </w:r>
      <w:r w:rsidRPr="009C1F57" w:rsidR="00AB0809">
        <w:rPr>
          <w:rFonts w:asciiTheme="minorHAnsi" w:hAnsiTheme="minorHAnsi" w:cstheme="minorHAnsi"/>
          <w:sz w:val="22"/>
          <w:szCs w:val="22"/>
        </w:rPr>
        <w:t>2.</w:t>
      </w:r>
      <w:r w:rsidRPr="009C1F57">
        <w:rPr>
          <w:rFonts w:asciiTheme="minorHAnsi" w:hAnsiTheme="minorHAnsi" w:cstheme="minorHAnsi"/>
          <w:sz w:val="22"/>
          <w:szCs w:val="22"/>
        </w:rPr>
        <w:t xml:space="preserve"> </w:t>
      </w:r>
      <w:bookmarkStart w:name="_Hlk83911628" w:id="13"/>
      <w:r w:rsidRPr="009C1F57">
        <w:rPr>
          <w:rFonts w:asciiTheme="minorHAnsi" w:hAnsiTheme="minorHAnsi" w:cstheme="minorHAnsi"/>
          <w:sz w:val="22"/>
          <w:szCs w:val="22"/>
        </w:rPr>
        <w:t>Thank You Letter for Survey Participants in Spanish</w:t>
      </w:r>
      <w:bookmarkEnd w:id="13"/>
    </w:p>
    <w:p w:rsidRPr="009C1F57" w:rsidR="009017E7" w:rsidP="009C1F57" w:rsidRDefault="009017E7" w14:paraId="5768F104" w14:textId="750247E6">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H. Use of Incentives</w:t>
      </w:r>
    </w:p>
    <w:p w:rsidRPr="009C1F57" w:rsidR="009017E7" w:rsidP="009C1F57" w:rsidRDefault="009017E7" w14:paraId="28853152" w14:textId="2DA69FCA">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I.1. Voicemail Script for In-Depth Interview Recruitment in English</w:t>
      </w:r>
    </w:p>
    <w:p w:rsidRPr="009C1F57" w:rsidR="009017E7" w:rsidP="009C1F57" w:rsidRDefault="009017E7" w14:paraId="18C1DCA0" w14:textId="6C4CDE8C">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I.</w:t>
      </w:r>
      <w:r w:rsidRPr="009C1F57" w:rsidR="00AB0809">
        <w:rPr>
          <w:rFonts w:asciiTheme="minorHAnsi" w:hAnsiTheme="minorHAnsi" w:cstheme="minorHAnsi"/>
          <w:sz w:val="22"/>
          <w:szCs w:val="22"/>
        </w:rPr>
        <w:t>2.</w:t>
      </w:r>
      <w:r w:rsidRPr="009C1F57">
        <w:rPr>
          <w:rFonts w:asciiTheme="minorHAnsi" w:hAnsiTheme="minorHAnsi" w:cstheme="minorHAnsi"/>
          <w:sz w:val="22"/>
          <w:szCs w:val="22"/>
        </w:rPr>
        <w:t xml:space="preserve"> Script for Answered Call in English</w:t>
      </w:r>
    </w:p>
    <w:p w:rsidRPr="009C1F57" w:rsidR="009017E7" w:rsidP="009C1F57" w:rsidRDefault="009017E7" w14:paraId="6039A4B0" w14:textId="5C029CB7">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I.</w:t>
      </w:r>
      <w:r w:rsidRPr="009C1F57" w:rsidR="00AB0809">
        <w:rPr>
          <w:rFonts w:asciiTheme="minorHAnsi" w:hAnsiTheme="minorHAnsi" w:cstheme="minorHAnsi"/>
          <w:sz w:val="22"/>
          <w:szCs w:val="22"/>
        </w:rPr>
        <w:t>3.</w:t>
      </w:r>
      <w:r w:rsidRPr="009C1F57">
        <w:rPr>
          <w:rFonts w:asciiTheme="minorHAnsi" w:hAnsiTheme="minorHAnsi" w:cstheme="minorHAnsi"/>
          <w:sz w:val="22"/>
          <w:szCs w:val="22"/>
        </w:rPr>
        <w:t xml:space="preserve"> Study Announcement for Local Community Partners in English</w:t>
      </w:r>
    </w:p>
    <w:p w:rsidRPr="009C1F57" w:rsidR="009017E7" w:rsidP="009C1F57" w:rsidRDefault="009017E7" w14:paraId="4610109B" w14:textId="03CCB4A7">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I.</w:t>
      </w:r>
      <w:r w:rsidRPr="009C1F57" w:rsidR="00AB0809">
        <w:rPr>
          <w:rFonts w:asciiTheme="minorHAnsi" w:hAnsiTheme="minorHAnsi" w:cstheme="minorHAnsi"/>
          <w:sz w:val="22"/>
          <w:szCs w:val="22"/>
        </w:rPr>
        <w:t>4.</w:t>
      </w:r>
      <w:r w:rsidRPr="009C1F57">
        <w:rPr>
          <w:rFonts w:asciiTheme="minorHAnsi" w:hAnsiTheme="minorHAnsi" w:cstheme="minorHAnsi"/>
          <w:sz w:val="22"/>
          <w:szCs w:val="22"/>
        </w:rPr>
        <w:t xml:space="preserve"> Voicemail Script for In-Depth Interview Recruitment in Spanish</w:t>
      </w:r>
    </w:p>
    <w:p w:rsidRPr="009C1F57" w:rsidR="009017E7" w:rsidP="009C1F57" w:rsidRDefault="009017E7" w14:paraId="7159E99D" w14:textId="5F3B1F0B">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I.</w:t>
      </w:r>
      <w:r w:rsidRPr="009C1F57" w:rsidR="00AB0809">
        <w:rPr>
          <w:rFonts w:asciiTheme="minorHAnsi" w:hAnsiTheme="minorHAnsi" w:cstheme="minorHAnsi"/>
          <w:sz w:val="22"/>
          <w:szCs w:val="22"/>
        </w:rPr>
        <w:t>5.</w:t>
      </w:r>
      <w:r w:rsidRPr="009C1F57">
        <w:rPr>
          <w:rFonts w:asciiTheme="minorHAnsi" w:hAnsiTheme="minorHAnsi" w:cstheme="minorHAnsi"/>
          <w:sz w:val="22"/>
          <w:szCs w:val="22"/>
        </w:rPr>
        <w:t xml:space="preserve"> Script for Answered Call in Spanish</w:t>
      </w:r>
    </w:p>
    <w:p w:rsidRPr="009C1F57" w:rsidR="009017E7" w:rsidP="009C1F57" w:rsidRDefault="009017E7" w14:paraId="21642E0A" w14:textId="7A22C18F">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I.</w:t>
      </w:r>
      <w:r w:rsidRPr="009C1F57" w:rsidR="00AB0809">
        <w:rPr>
          <w:rFonts w:asciiTheme="minorHAnsi" w:hAnsiTheme="minorHAnsi" w:cstheme="minorHAnsi"/>
          <w:sz w:val="22"/>
          <w:szCs w:val="22"/>
        </w:rPr>
        <w:t>6.</w:t>
      </w:r>
      <w:r w:rsidRPr="009C1F57">
        <w:rPr>
          <w:rFonts w:asciiTheme="minorHAnsi" w:hAnsiTheme="minorHAnsi" w:cstheme="minorHAnsi"/>
          <w:sz w:val="22"/>
          <w:szCs w:val="22"/>
        </w:rPr>
        <w:t xml:space="preserve"> Study Announcement for Local Community Partners in Spanish</w:t>
      </w:r>
    </w:p>
    <w:p w:rsidRPr="009C1F57" w:rsidR="009017E7" w:rsidP="009C1F57" w:rsidRDefault="009017E7" w14:paraId="0B441F05" w14:textId="0D39A6EF">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J.1</w:t>
      </w:r>
      <w:r w:rsidRPr="009C1F57" w:rsidR="00AB0809">
        <w:rPr>
          <w:rFonts w:asciiTheme="minorHAnsi" w:hAnsiTheme="minorHAnsi" w:cstheme="minorHAnsi"/>
          <w:sz w:val="22"/>
          <w:szCs w:val="22"/>
        </w:rPr>
        <w:t>.</w:t>
      </w:r>
      <w:r w:rsidRPr="009C1F57">
        <w:rPr>
          <w:rFonts w:asciiTheme="minorHAnsi" w:hAnsiTheme="minorHAnsi" w:cstheme="minorHAnsi"/>
          <w:sz w:val="22"/>
          <w:szCs w:val="22"/>
        </w:rPr>
        <w:t xml:space="preserve"> Email to ADSEF</w:t>
      </w:r>
    </w:p>
    <w:p w:rsidRPr="009C1F57" w:rsidR="009017E7" w:rsidP="009C1F57" w:rsidRDefault="009017E7" w14:paraId="4F66AF8C" w14:textId="4BB6A478">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J.2</w:t>
      </w:r>
      <w:r w:rsidRPr="009C1F57" w:rsidR="00AB0809">
        <w:rPr>
          <w:rFonts w:asciiTheme="minorHAnsi" w:hAnsiTheme="minorHAnsi" w:cstheme="minorHAnsi"/>
          <w:sz w:val="22"/>
          <w:szCs w:val="22"/>
        </w:rPr>
        <w:t>.</w:t>
      </w:r>
      <w:r w:rsidRPr="009C1F57">
        <w:rPr>
          <w:rFonts w:asciiTheme="minorHAnsi" w:hAnsiTheme="minorHAnsi" w:cstheme="minorHAnsi"/>
          <w:sz w:val="22"/>
          <w:szCs w:val="22"/>
        </w:rPr>
        <w:t xml:space="preserve"> Agenda for Meeting With ADSEF</w:t>
      </w:r>
    </w:p>
    <w:p w:rsidRPr="009C1F57" w:rsidR="009017E7" w:rsidP="009C1F57" w:rsidRDefault="009017E7" w14:paraId="3169788F" w14:textId="7177FBBF">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lastRenderedPageBreak/>
        <w:t>J.3</w:t>
      </w:r>
      <w:r w:rsidRPr="009C1F57" w:rsidR="00AB0809">
        <w:rPr>
          <w:rFonts w:asciiTheme="minorHAnsi" w:hAnsiTheme="minorHAnsi" w:cstheme="minorHAnsi"/>
          <w:sz w:val="22"/>
          <w:szCs w:val="22"/>
        </w:rPr>
        <w:t>.</w:t>
      </w:r>
      <w:r w:rsidRPr="009C1F57">
        <w:rPr>
          <w:rFonts w:asciiTheme="minorHAnsi" w:hAnsiTheme="minorHAnsi" w:cstheme="minorHAnsi"/>
          <w:sz w:val="22"/>
          <w:szCs w:val="22"/>
        </w:rPr>
        <w:t xml:space="preserve"> Instructions for Using SFTP Site</w:t>
      </w:r>
    </w:p>
    <w:p w:rsidR="002452FC" w:rsidP="002452FC" w:rsidRDefault="009017E7" w14:paraId="3D3BCFC8" w14:textId="5850B4ED">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K.</w:t>
      </w:r>
      <w:bookmarkStart w:name="_Hlk83984957" w:id="14"/>
      <w:r w:rsidR="002452FC">
        <w:rPr>
          <w:rFonts w:asciiTheme="minorHAnsi" w:hAnsiTheme="minorHAnsi" w:cstheme="minorHAnsi"/>
          <w:sz w:val="22"/>
          <w:szCs w:val="22"/>
        </w:rPr>
        <w:t>1</w:t>
      </w:r>
      <w:r w:rsidRPr="00916A68" w:rsidR="002452FC">
        <w:rPr>
          <w:rFonts w:asciiTheme="minorHAnsi" w:hAnsiTheme="minorHAnsi" w:cstheme="minorHAnsi"/>
          <w:sz w:val="22"/>
          <w:szCs w:val="22"/>
        </w:rPr>
        <w:t xml:space="preserve"> </w:t>
      </w:r>
      <w:r w:rsidRPr="0079317C" w:rsidR="002452FC">
        <w:rPr>
          <w:rFonts w:asciiTheme="minorHAnsi" w:hAnsiTheme="minorHAnsi" w:cstheme="minorHAnsi"/>
          <w:sz w:val="22"/>
          <w:szCs w:val="22"/>
        </w:rPr>
        <w:t>Recruitment Email for Concept Map Stakeholder Groups</w:t>
      </w:r>
    </w:p>
    <w:p w:rsidRPr="00916A68" w:rsidR="002452FC" w:rsidP="002452FC" w:rsidRDefault="002452FC" w14:paraId="3A9F0C64" w14:textId="77777777">
      <w:pPr>
        <w:pStyle w:val="TOCListText-IPR"/>
        <w:spacing w:after="48" w:afterLines="20"/>
        <w:rPr>
          <w:rFonts w:asciiTheme="minorHAnsi" w:hAnsiTheme="minorHAnsi" w:cstheme="minorHAnsi"/>
          <w:sz w:val="22"/>
          <w:szCs w:val="22"/>
        </w:rPr>
      </w:pPr>
      <w:r>
        <w:rPr>
          <w:rFonts w:asciiTheme="minorHAnsi" w:hAnsiTheme="minorHAnsi" w:cstheme="minorHAnsi"/>
          <w:sz w:val="22"/>
          <w:szCs w:val="22"/>
        </w:rPr>
        <w:t xml:space="preserve">K.2 </w:t>
      </w:r>
      <w:r w:rsidRPr="0079317C">
        <w:rPr>
          <w:rFonts w:asciiTheme="minorHAnsi" w:hAnsiTheme="minorHAnsi" w:cstheme="minorHAnsi"/>
          <w:sz w:val="22"/>
          <w:szCs w:val="22"/>
        </w:rPr>
        <w:t>Concept Mapping Informed Consent Form</w:t>
      </w:r>
    </w:p>
    <w:bookmarkEnd w:id="14"/>
    <w:p w:rsidRPr="009C1F57" w:rsidR="009017E7" w:rsidP="009C1F57" w:rsidRDefault="009017E7" w14:paraId="3C9630D1" w14:textId="1645FA41">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L. 60-day Federal Register Notice</w:t>
      </w:r>
    </w:p>
    <w:p w:rsidRPr="009C1F57" w:rsidR="009017E7" w:rsidP="009C1F57" w:rsidRDefault="009017E7" w14:paraId="68DB97B7" w14:textId="159E3A8D">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M. Comments from TWG and FNS responses</w:t>
      </w:r>
    </w:p>
    <w:p w:rsidRPr="009C1F57" w:rsidR="009017E7" w:rsidP="009C1F57" w:rsidRDefault="009017E7" w14:paraId="14A337AC" w14:textId="4B7641E6">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N. NASS Comments</w:t>
      </w:r>
      <w:r w:rsidR="002D0017">
        <w:rPr>
          <w:rFonts w:asciiTheme="minorHAnsi" w:hAnsiTheme="minorHAnsi" w:cstheme="minorHAnsi"/>
          <w:sz w:val="22"/>
          <w:szCs w:val="22"/>
        </w:rPr>
        <w:t xml:space="preserve"> and FNS Responses</w:t>
      </w:r>
    </w:p>
    <w:p w:rsidRPr="009C1F57" w:rsidR="009017E7" w:rsidP="009C1F57" w:rsidRDefault="009017E7" w14:paraId="6BDCE7C9" w14:textId="0C6D0D66">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O. Pretest Methods and Summary of Findings</w:t>
      </w:r>
    </w:p>
    <w:p w:rsidRPr="009C1F57" w:rsidR="009017E7" w:rsidP="009C1F57" w:rsidRDefault="009017E7" w14:paraId="7E47F60B" w14:textId="35954EC7">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P.1</w:t>
      </w:r>
      <w:r w:rsidRPr="009C1F57" w:rsidR="00AB0809">
        <w:rPr>
          <w:rFonts w:asciiTheme="minorHAnsi" w:hAnsiTheme="minorHAnsi" w:cstheme="minorHAnsi"/>
          <w:sz w:val="22"/>
          <w:szCs w:val="22"/>
        </w:rPr>
        <w:t>.</w:t>
      </w:r>
      <w:r w:rsidRPr="009C1F57">
        <w:rPr>
          <w:rFonts w:asciiTheme="minorHAnsi" w:hAnsiTheme="minorHAnsi" w:cstheme="minorHAnsi"/>
          <w:sz w:val="22"/>
          <w:szCs w:val="22"/>
        </w:rPr>
        <w:t xml:space="preserve"> </w:t>
      </w:r>
      <w:r w:rsidRPr="009C1F57" w:rsidR="00AB0809">
        <w:rPr>
          <w:rFonts w:asciiTheme="minorHAnsi" w:hAnsiTheme="minorHAnsi" w:cstheme="minorHAnsi"/>
          <w:sz w:val="22"/>
          <w:szCs w:val="22"/>
        </w:rPr>
        <w:t xml:space="preserve">System of Records Notices </w:t>
      </w:r>
      <w:r w:rsidRPr="009C1F57">
        <w:rPr>
          <w:rFonts w:asciiTheme="minorHAnsi" w:hAnsiTheme="minorHAnsi" w:cstheme="minorHAnsi"/>
          <w:sz w:val="22"/>
          <w:szCs w:val="22"/>
        </w:rPr>
        <w:t>FNS-8 USDA Studies and Reports</w:t>
      </w:r>
    </w:p>
    <w:p w:rsidRPr="009C1F57" w:rsidR="009017E7" w:rsidP="009C1F57" w:rsidRDefault="009017E7" w14:paraId="29B6F6A3" w14:textId="7E672811">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P.2</w:t>
      </w:r>
      <w:r w:rsidRPr="009C1F57" w:rsidR="00AB0809">
        <w:rPr>
          <w:rFonts w:asciiTheme="minorHAnsi" w:hAnsiTheme="minorHAnsi" w:cstheme="minorHAnsi"/>
          <w:sz w:val="22"/>
          <w:szCs w:val="22"/>
        </w:rPr>
        <w:t>.</w:t>
      </w:r>
      <w:r w:rsidRPr="009C1F57">
        <w:rPr>
          <w:rFonts w:asciiTheme="minorHAnsi" w:hAnsiTheme="minorHAnsi" w:cstheme="minorHAnsi"/>
          <w:sz w:val="22"/>
          <w:szCs w:val="22"/>
        </w:rPr>
        <w:t xml:space="preserve"> </w:t>
      </w:r>
      <w:r w:rsidRPr="009C1F57" w:rsidR="00AB0809">
        <w:rPr>
          <w:rFonts w:asciiTheme="minorHAnsi" w:hAnsiTheme="minorHAnsi" w:cstheme="minorHAnsi"/>
          <w:sz w:val="22"/>
          <w:szCs w:val="22"/>
        </w:rPr>
        <w:t xml:space="preserve">System of Records Notices </w:t>
      </w:r>
      <w:r w:rsidRPr="009C1F57">
        <w:rPr>
          <w:rFonts w:asciiTheme="minorHAnsi" w:hAnsiTheme="minorHAnsi" w:cstheme="minorHAnsi"/>
          <w:sz w:val="22"/>
          <w:szCs w:val="22"/>
        </w:rPr>
        <w:t>FNS-10 Persons Doing Business With the Food and Nutrition Service</w:t>
      </w:r>
    </w:p>
    <w:p w:rsidRPr="009C1F57" w:rsidR="00821AB2" w:rsidP="009C1F57" w:rsidRDefault="00821AB2" w14:paraId="2E30C3F5" w14:textId="1A14A694">
      <w:pPr>
        <w:pStyle w:val="TOCListText-IPR"/>
        <w:spacing w:after="48" w:afterLines="20"/>
        <w:rPr>
          <w:rFonts w:asciiTheme="minorHAnsi" w:hAnsiTheme="minorHAnsi" w:cstheme="minorHAnsi"/>
          <w:szCs w:val="22"/>
        </w:rPr>
      </w:pPr>
      <w:r w:rsidRPr="009C1F57">
        <w:rPr>
          <w:rFonts w:asciiTheme="minorHAnsi" w:hAnsiTheme="minorHAnsi" w:cstheme="minorHAnsi"/>
          <w:sz w:val="22"/>
          <w:szCs w:val="22"/>
        </w:rPr>
        <w:t>Q. Privacy Office Comments</w:t>
      </w:r>
      <w:r w:rsidR="002D0017">
        <w:rPr>
          <w:rFonts w:asciiTheme="minorHAnsi" w:hAnsiTheme="minorHAnsi" w:cstheme="minorHAnsi"/>
          <w:sz w:val="22"/>
          <w:szCs w:val="22"/>
        </w:rPr>
        <w:t xml:space="preserve"> and FNS Responses</w:t>
      </w:r>
    </w:p>
    <w:p w:rsidRPr="009C1F57" w:rsidR="009017E7" w:rsidP="009C1F57" w:rsidRDefault="009017E7" w14:paraId="5DEA6172" w14:textId="41CC0416">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R.</w:t>
      </w:r>
      <w:r w:rsidRPr="009C1F57" w:rsidR="00BE09E4">
        <w:rPr>
          <w:rFonts w:asciiTheme="minorHAnsi" w:hAnsiTheme="minorHAnsi" w:cstheme="minorHAnsi"/>
          <w:sz w:val="22"/>
          <w:szCs w:val="22"/>
        </w:rPr>
        <w:t xml:space="preserve"> </w:t>
      </w:r>
      <w:r w:rsidRPr="009C1F57">
        <w:rPr>
          <w:rFonts w:asciiTheme="minorHAnsi" w:hAnsiTheme="minorHAnsi" w:cstheme="minorHAnsi"/>
          <w:sz w:val="22"/>
          <w:szCs w:val="22"/>
        </w:rPr>
        <w:t>Institutional Review Board Approval Letter</w:t>
      </w:r>
    </w:p>
    <w:p w:rsidRPr="009C1F57" w:rsidR="009017E7" w:rsidP="009C1F57" w:rsidRDefault="009017E7" w14:paraId="03A947D5" w14:textId="4AC59D6D">
      <w:pPr>
        <w:pStyle w:val="TOCListText-IPR"/>
        <w:spacing w:after="48" w:afterLines="20"/>
        <w:rPr>
          <w:rFonts w:asciiTheme="minorHAnsi" w:hAnsiTheme="minorHAnsi" w:cstheme="minorHAnsi"/>
          <w:sz w:val="22"/>
          <w:szCs w:val="22"/>
        </w:rPr>
      </w:pPr>
      <w:r w:rsidRPr="009C1F57">
        <w:rPr>
          <w:rFonts w:asciiTheme="minorHAnsi" w:hAnsiTheme="minorHAnsi" w:cstheme="minorHAnsi"/>
          <w:sz w:val="22"/>
          <w:szCs w:val="22"/>
        </w:rPr>
        <w:t>S.</w:t>
      </w:r>
      <w:r w:rsidRPr="009C1F57" w:rsidR="00BE09E4">
        <w:rPr>
          <w:rFonts w:asciiTheme="minorHAnsi" w:hAnsiTheme="minorHAnsi" w:cstheme="minorHAnsi"/>
          <w:sz w:val="22"/>
          <w:szCs w:val="22"/>
        </w:rPr>
        <w:t xml:space="preserve"> </w:t>
      </w:r>
      <w:r w:rsidRPr="009C1F57">
        <w:rPr>
          <w:rFonts w:asciiTheme="minorHAnsi" w:hAnsiTheme="minorHAnsi" w:cstheme="minorHAnsi"/>
          <w:sz w:val="22"/>
          <w:szCs w:val="22"/>
        </w:rPr>
        <w:t>Insight Policy Research Information Security and Confidentiality Pledge</w:t>
      </w:r>
    </w:p>
    <w:p w:rsidRPr="009C1F57" w:rsidR="009017E7" w:rsidP="009C1F57" w:rsidRDefault="009017E7" w14:paraId="10355BB2" w14:textId="1A354BD9">
      <w:pPr>
        <w:pStyle w:val="TOCListText-IPR"/>
        <w:spacing w:after="48" w:afterLines="20"/>
        <w:rPr>
          <w:rFonts w:asciiTheme="minorHAnsi" w:hAnsiTheme="minorHAnsi" w:cstheme="minorHAnsi"/>
          <w:b/>
          <w:caps/>
          <w:sz w:val="22"/>
          <w:szCs w:val="22"/>
        </w:rPr>
      </w:pPr>
      <w:r w:rsidRPr="009C1F57">
        <w:rPr>
          <w:rFonts w:asciiTheme="minorHAnsi" w:hAnsiTheme="minorHAnsi" w:cstheme="minorHAnsi"/>
          <w:sz w:val="22"/>
          <w:szCs w:val="22"/>
        </w:rPr>
        <w:t>T.</w:t>
      </w:r>
      <w:r w:rsidRPr="009C1F57" w:rsidR="00BE09E4">
        <w:rPr>
          <w:rFonts w:asciiTheme="minorHAnsi" w:hAnsiTheme="minorHAnsi" w:cstheme="minorHAnsi"/>
          <w:sz w:val="22"/>
          <w:szCs w:val="22"/>
        </w:rPr>
        <w:t xml:space="preserve"> </w:t>
      </w:r>
      <w:r w:rsidRPr="009C1F57">
        <w:rPr>
          <w:rFonts w:asciiTheme="minorHAnsi" w:hAnsiTheme="minorHAnsi" w:cstheme="minorHAnsi"/>
          <w:sz w:val="22"/>
          <w:szCs w:val="22"/>
        </w:rPr>
        <w:t>Total Public Burden Hours and Cost</w:t>
      </w:r>
    </w:p>
    <w:bookmarkEnd w:id="1"/>
    <w:p w:rsidRPr="009017E7" w:rsidR="009017E7" w:rsidP="009017E7" w:rsidRDefault="009017E7" w14:paraId="6A0B80AC" w14:textId="77777777">
      <w:pPr>
        <w:keepNext/>
        <w:spacing w:after="240" w:line="480" w:lineRule="auto"/>
        <w:ind w:left="720" w:hanging="720"/>
        <w:outlineLvl w:val="1"/>
        <w:rPr>
          <w:rFonts w:ascii="Candara" w:hAnsi="Candara" w:eastAsia="Calibri" w:cs="Arial"/>
          <w:b/>
          <w:color w:val="B32732"/>
          <w:sz w:val="22"/>
          <w:szCs w:val="22"/>
        </w:rPr>
        <w:sectPr w:rsidRPr="009017E7" w:rsidR="009017E7" w:rsidSect="00AE3AA1">
          <w:headerReference w:type="default" r:id="rId10"/>
          <w:footerReference w:type="default" r:id="rId11"/>
          <w:pgSz w:w="12240" w:h="15840" w:code="1"/>
          <w:pgMar w:top="1440" w:right="1440" w:bottom="864" w:left="1440" w:header="720" w:footer="720" w:gutter="0"/>
          <w:pgNumType w:start="1"/>
          <w:cols w:space="720"/>
          <w:docGrid w:linePitch="360"/>
        </w:sectPr>
      </w:pPr>
    </w:p>
    <w:p w:rsidRPr="00960E81" w:rsidR="00641B88" w:rsidP="00960E81" w:rsidRDefault="00641B88" w14:paraId="355A465E" w14:textId="7E96EDD4">
      <w:pPr>
        <w:pStyle w:val="NewHeading10"/>
        <w:rPr>
          <w:caps/>
          <w:sz w:val="32"/>
          <w:szCs w:val="32"/>
        </w:rPr>
      </w:pPr>
      <w:bookmarkStart w:name="_Toc522861135" w:id="16"/>
      <w:bookmarkStart w:name="_Toc14464747" w:id="17"/>
      <w:bookmarkEnd w:id="2"/>
      <w:bookmarkEnd w:id="0"/>
      <w:r w:rsidRPr="00960E81">
        <w:rPr>
          <w:sz w:val="32"/>
          <w:szCs w:val="32"/>
        </w:rPr>
        <w:lastRenderedPageBreak/>
        <w:t xml:space="preserve">Part B. </w:t>
      </w:r>
      <w:bookmarkEnd w:id="16"/>
      <w:r w:rsidRPr="00960E81">
        <w:rPr>
          <w:sz w:val="32"/>
          <w:szCs w:val="32"/>
        </w:rPr>
        <w:t>Collection of Information Employing Statistical Methods</w:t>
      </w:r>
      <w:bookmarkEnd w:id="17"/>
    </w:p>
    <w:p w:rsidRPr="00FB2120" w:rsidR="007433EF" w:rsidP="006C712C" w:rsidRDefault="00500C20" w14:paraId="4E996696" w14:textId="7FE130C3">
      <w:pPr>
        <w:pStyle w:val="Hdng3-IPR"/>
      </w:pPr>
      <w:bookmarkStart w:name="_Toc514142001" w:id="18"/>
      <w:bookmarkStart w:name="_Toc14464748" w:id="19"/>
      <w:r w:rsidRPr="00FB2120">
        <w:t>Respondent Universe and Selection Methods</w:t>
      </w:r>
      <w:bookmarkEnd w:id="18"/>
      <w:bookmarkEnd w:id="19"/>
    </w:p>
    <w:p w:rsidRPr="00B62368" w:rsidR="008B4B1D" w:rsidP="00641B88" w:rsidRDefault="00500C20" w14:paraId="4A350D03" w14:textId="501BE03E">
      <w:pPr>
        <w:pStyle w:val="Qyestion"/>
      </w:pPr>
      <w:r w:rsidRPr="00026ADE">
        <w:t>Describe (including a numerical estimate) the potential respondent universe and any sampling or other respondent selection method to be used</w:t>
      </w:r>
      <w:r w:rsidRPr="00026ADE" w:rsidR="00AC0A3D">
        <w:t xml:space="preserve">. </w:t>
      </w:r>
      <w:r w:rsidRPr="00026ADE">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Pr="00026ADE" w:rsidR="00AC0A3D">
        <w:t xml:space="preserve">. </w:t>
      </w:r>
      <w:r w:rsidRPr="00026ADE">
        <w:t>Indicate expected response rates for the collection as a whole.</w:t>
      </w:r>
      <w:r w:rsidRPr="00026ADE" w:rsidR="005B230E">
        <w:t xml:space="preserve"> </w:t>
      </w:r>
      <w:r w:rsidRPr="00026ADE">
        <w:t xml:space="preserve">If the collection had been conducted </w:t>
      </w:r>
      <w:r w:rsidRPr="00B62368">
        <w:t>previously, include the actual response rate achieved during the last collection.</w:t>
      </w:r>
    </w:p>
    <w:p w:rsidRPr="00B62368" w:rsidR="00F20070" w:rsidP="00FB2120" w:rsidRDefault="00F67443" w14:paraId="5686D529" w14:textId="3D3F77DB">
      <w:pPr>
        <w:pStyle w:val="Heading4NoLetter-IPR"/>
        <w:spacing w:before="240" w:after="120"/>
      </w:pPr>
      <w:r>
        <w:t>B.1.1</w:t>
      </w:r>
      <w:r w:rsidR="00122326">
        <w:t>.</w:t>
      </w:r>
      <w:r>
        <w:tab/>
      </w:r>
      <w:r w:rsidRPr="00B62368" w:rsidR="00657EB9">
        <w:t>Respondent Universe</w:t>
      </w:r>
    </w:p>
    <w:p w:rsidR="00FB79D2" w:rsidP="00503F46" w:rsidRDefault="002976DF" w14:paraId="26204FEA" w14:textId="125DC169">
      <w:pPr>
        <w:pStyle w:val="Body11ptCalibri-IPR"/>
        <w:spacing w:after="240"/>
      </w:pPr>
      <w:r>
        <w:t xml:space="preserve">The </w:t>
      </w:r>
      <w:r w:rsidR="00A83732">
        <w:t>objectives o</w:t>
      </w:r>
      <w:r>
        <w:t xml:space="preserve">f this study are to </w:t>
      </w:r>
      <w:r w:rsidR="00A83732">
        <w:t xml:space="preserve">collect representative survey data on household food security in Puerto Rico; conduct in-depth interviews with </w:t>
      </w:r>
      <w:r w:rsidR="00F975D9">
        <w:t>Nutrition Assistance Program (</w:t>
      </w:r>
      <w:r w:rsidR="00A83732">
        <w:t>NAP</w:t>
      </w:r>
      <w:r w:rsidR="00F975D9">
        <w:t>)</w:t>
      </w:r>
      <w:r w:rsidR="00A83732">
        <w:t xml:space="preserve"> participants and low-income nonparticipants; and identify</w:t>
      </w:r>
      <w:r w:rsidRPr="00A83732" w:rsidR="00A83732">
        <w:t xml:space="preserve"> </w:t>
      </w:r>
      <w:r w:rsidR="00A83732">
        <w:t xml:space="preserve">policies that influence the delivery and effectiveness of NAP in reducing food insecurity and gaps in knowledge of </w:t>
      </w:r>
      <w:r w:rsidRPr="00B12287" w:rsidR="00A83732">
        <w:t xml:space="preserve">how NAP </w:t>
      </w:r>
      <w:r w:rsidRPr="00AF3F9C" w:rsidR="00A83732">
        <w:t>protects against</w:t>
      </w:r>
      <w:r w:rsidR="00A83732">
        <w:t xml:space="preserve"> low</w:t>
      </w:r>
      <w:r w:rsidRPr="00AF3F9C" w:rsidR="00A83732">
        <w:t xml:space="preserve"> food security</w:t>
      </w:r>
      <w:r w:rsidR="00A83732">
        <w:t xml:space="preserve">. </w:t>
      </w:r>
      <w:r w:rsidR="00313A22">
        <w:t>T</w:t>
      </w:r>
      <w:r w:rsidR="0015484D">
        <w:t xml:space="preserve">his study is powered for a 2-year follow-up study. </w:t>
      </w:r>
      <w:r w:rsidR="00313A22">
        <w:t>Accordingly</w:t>
      </w:r>
      <w:r w:rsidR="0015484D">
        <w:t>, the sample size is larger than what would be required without follow-up. Th</w:t>
      </w:r>
      <w:r w:rsidR="00090F27">
        <w:t>e</w:t>
      </w:r>
      <w:r w:rsidR="0015484D">
        <w:t xml:space="preserve"> 2-year follow-up study is not part of </w:t>
      </w:r>
      <w:r w:rsidR="00313A22">
        <w:t>this</w:t>
      </w:r>
      <w:r w:rsidR="0015484D">
        <w:t xml:space="preserve"> data collection </w:t>
      </w:r>
      <w:r w:rsidR="00313A22">
        <w:t>request</w:t>
      </w:r>
      <w:r w:rsidR="0015484D">
        <w:t>.</w:t>
      </w:r>
    </w:p>
    <w:p w:rsidR="002976DF" w:rsidP="00040E67" w:rsidRDefault="00FB79D2" w14:paraId="2B51610F" w14:textId="7F5B3C6E">
      <w:pPr>
        <w:pStyle w:val="BulletsRed-IPR"/>
      </w:pPr>
      <w:r w:rsidRPr="00040E67">
        <w:rPr>
          <w:b/>
          <w:bCs/>
        </w:rPr>
        <w:t>Household survey</w:t>
      </w:r>
      <w:r>
        <w:t>:</w:t>
      </w:r>
      <w:r w:rsidR="003E2A98">
        <w:t xml:space="preserve"> </w:t>
      </w:r>
      <w:r w:rsidR="008B4B1D">
        <w:t>The</w:t>
      </w:r>
      <w:r w:rsidR="008B4B1D">
        <w:rPr>
          <w:spacing w:val="-4"/>
        </w:rPr>
        <w:t xml:space="preserve"> </w:t>
      </w:r>
      <w:r w:rsidR="00A83732">
        <w:rPr>
          <w:spacing w:val="-4"/>
        </w:rPr>
        <w:t xml:space="preserve">respondent universe </w:t>
      </w:r>
      <w:r w:rsidR="008B4B1D">
        <w:t>for</w:t>
      </w:r>
      <w:r w:rsidR="008B4B1D">
        <w:rPr>
          <w:spacing w:val="-3"/>
        </w:rPr>
        <w:t xml:space="preserve"> </w:t>
      </w:r>
      <w:r w:rsidR="008B4B1D">
        <w:t>the</w:t>
      </w:r>
      <w:r w:rsidR="008B4B1D">
        <w:rPr>
          <w:spacing w:val="-2"/>
        </w:rPr>
        <w:t xml:space="preserve"> </w:t>
      </w:r>
      <w:r w:rsidR="008B4B1D">
        <w:t>survey</w:t>
      </w:r>
      <w:r w:rsidR="008B4B1D">
        <w:rPr>
          <w:spacing w:val="-3"/>
        </w:rPr>
        <w:t xml:space="preserve"> </w:t>
      </w:r>
      <w:r w:rsidR="008B4B1D">
        <w:t>includes</w:t>
      </w:r>
      <w:r w:rsidR="008B4B1D">
        <w:rPr>
          <w:spacing w:val="-3"/>
        </w:rPr>
        <w:t xml:space="preserve"> </w:t>
      </w:r>
      <w:r w:rsidR="008B4B1D">
        <w:t>all</w:t>
      </w:r>
      <w:r w:rsidR="008B4B1D">
        <w:rPr>
          <w:spacing w:val="-4"/>
        </w:rPr>
        <w:t xml:space="preserve"> </w:t>
      </w:r>
      <w:r w:rsidR="008B4B1D">
        <w:t>households</w:t>
      </w:r>
      <w:r w:rsidR="008B4B1D">
        <w:rPr>
          <w:spacing w:val="-3"/>
        </w:rPr>
        <w:t xml:space="preserve"> </w:t>
      </w:r>
      <w:r w:rsidR="008B4B1D">
        <w:t>in Puerto</w:t>
      </w:r>
      <w:r w:rsidR="008B4B1D">
        <w:rPr>
          <w:spacing w:val="-4"/>
        </w:rPr>
        <w:t xml:space="preserve"> </w:t>
      </w:r>
      <w:r w:rsidR="008B4B1D">
        <w:t>Rico.</w:t>
      </w:r>
      <w:r w:rsidR="008B4B1D">
        <w:rPr>
          <w:spacing w:val="-3"/>
        </w:rPr>
        <w:t xml:space="preserve"> </w:t>
      </w:r>
      <w:r w:rsidR="008B4B1D">
        <w:t>The</w:t>
      </w:r>
      <w:r w:rsidR="008B4B1D">
        <w:rPr>
          <w:spacing w:val="-3"/>
        </w:rPr>
        <w:t xml:space="preserve"> </w:t>
      </w:r>
      <w:r w:rsidR="008B4B1D">
        <w:t>sample</w:t>
      </w:r>
      <w:r w:rsidR="008B4B1D">
        <w:rPr>
          <w:spacing w:val="-2"/>
        </w:rPr>
        <w:t xml:space="preserve"> </w:t>
      </w:r>
      <w:r w:rsidR="008B4B1D">
        <w:t>design</w:t>
      </w:r>
      <w:r w:rsidR="008B4B1D">
        <w:rPr>
          <w:spacing w:val="-4"/>
        </w:rPr>
        <w:t xml:space="preserve"> </w:t>
      </w:r>
      <w:r w:rsidR="005A0F39">
        <w:rPr>
          <w:spacing w:val="-4"/>
        </w:rPr>
        <w:t>will support</w:t>
      </w:r>
      <w:r w:rsidR="008B4B1D">
        <w:rPr>
          <w:spacing w:val="-2"/>
        </w:rPr>
        <w:t xml:space="preserve"> </w:t>
      </w:r>
      <w:r w:rsidR="008B4B1D">
        <w:t>a</w:t>
      </w:r>
      <w:r w:rsidR="008B4B1D">
        <w:rPr>
          <w:spacing w:val="-1"/>
        </w:rPr>
        <w:t xml:space="preserve"> </w:t>
      </w:r>
      <w:r w:rsidR="008B4B1D">
        <w:t>sample</w:t>
      </w:r>
      <w:r w:rsidR="008B4B1D">
        <w:rPr>
          <w:spacing w:val="-2"/>
        </w:rPr>
        <w:t xml:space="preserve"> </w:t>
      </w:r>
      <w:r w:rsidR="008B4B1D">
        <w:t>of</w:t>
      </w:r>
      <w:r w:rsidR="008B4B1D">
        <w:rPr>
          <w:spacing w:val="1"/>
        </w:rPr>
        <w:t xml:space="preserve"> </w:t>
      </w:r>
      <w:r w:rsidR="008B4B1D">
        <w:t>respondents</w:t>
      </w:r>
      <w:r w:rsidR="008B4B1D">
        <w:rPr>
          <w:spacing w:val="-1"/>
        </w:rPr>
        <w:t xml:space="preserve"> </w:t>
      </w:r>
      <w:r w:rsidR="008B4B1D">
        <w:t>to</w:t>
      </w:r>
      <w:r w:rsidR="008B4B1D">
        <w:rPr>
          <w:spacing w:val="1"/>
        </w:rPr>
        <w:t xml:space="preserve"> </w:t>
      </w:r>
      <w:r w:rsidR="008B4B1D">
        <w:t>be analyzed</w:t>
      </w:r>
      <w:r w:rsidR="008B4B1D">
        <w:rPr>
          <w:spacing w:val="-1"/>
        </w:rPr>
        <w:t xml:space="preserve"> </w:t>
      </w:r>
      <w:r w:rsidR="008B4B1D">
        <w:t>at</w:t>
      </w:r>
      <w:r w:rsidR="008B4B1D">
        <w:rPr>
          <w:spacing w:val="-1"/>
        </w:rPr>
        <w:t xml:space="preserve"> </w:t>
      </w:r>
      <w:r w:rsidR="008B4B1D">
        <w:t xml:space="preserve">the household level. </w:t>
      </w:r>
      <w:r w:rsidR="00354705">
        <w:t>It</w:t>
      </w:r>
      <w:r w:rsidR="008B4B1D">
        <w:t xml:space="preserve"> will include households enrolled in </w:t>
      </w:r>
      <w:r w:rsidR="00090F27">
        <w:t xml:space="preserve">NAP, which is sponsored by </w:t>
      </w:r>
      <w:r w:rsidR="008B4B1D">
        <w:t>the U.S. Department of Agriculture</w:t>
      </w:r>
      <w:r w:rsidR="00090F27">
        <w:t xml:space="preserve"> (USDA),</w:t>
      </w:r>
      <w:r w:rsidR="008B4B1D">
        <w:t xml:space="preserve"> and households not enrolled in NAP.</w:t>
      </w:r>
      <w:r w:rsidR="002976DF">
        <w:t xml:space="preserve"> </w:t>
      </w:r>
    </w:p>
    <w:p w:rsidR="00FB79D2" w:rsidP="00040E67" w:rsidRDefault="00FB79D2" w14:paraId="569147DB" w14:textId="794780DD">
      <w:pPr>
        <w:pStyle w:val="BulletsRed-IPR"/>
      </w:pPr>
      <w:r w:rsidRPr="00040E67">
        <w:rPr>
          <w:b/>
          <w:bCs/>
        </w:rPr>
        <w:t>In-depth interviews</w:t>
      </w:r>
      <w:r>
        <w:t xml:space="preserve">: </w:t>
      </w:r>
      <w:r w:rsidR="000853C8">
        <w:t>The respondent universe for the in-depth interviews</w:t>
      </w:r>
      <w:r w:rsidR="00F975D9">
        <w:t xml:space="preserve"> </w:t>
      </w:r>
      <w:r w:rsidR="000853C8">
        <w:t>includes</w:t>
      </w:r>
      <w:r w:rsidR="007A2A20">
        <w:t xml:space="preserve"> individuals in</w:t>
      </w:r>
      <w:r w:rsidR="00355186">
        <w:t xml:space="preserve"> </w:t>
      </w:r>
      <w:r w:rsidR="000853C8">
        <w:t xml:space="preserve">low-income </w:t>
      </w:r>
      <w:r w:rsidR="00460EE2">
        <w:t>households</w:t>
      </w:r>
      <w:r w:rsidR="007A2A20">
        <w:t xml:space="preserve"> </w:t>
      </w:r>
      <w:r w:rsidR="009455B8">
        <w:t>who</w:t>
      </w:r>
      <w:r w:rsidR="007A2A20">
        <w:t xml:space="preserve"> participated in the survey</w:t>
      </w:r>
      <w:r w:rsidR="00090F27">
        <w:t xml:space="preserve">, </w:t>
      </w:r>
      <w:r>
        <w:t>includ</w:t>
      </w:r>
      <w:r w:rsidR="00090F27">
        <w:t>ing</w:t>
      </w:r>
      <w:r>
        <w:t xml:space="preserve"> NAP participants and low-income </w:t>
      </w:r>
      <w:r w:rsidR="008F03F0">
        <w:t>individuals not participating in NAP</w:t>
      </w:r>
      <w:r>
        <w:t>.</w:t>
      </w:r>
    </w:p>
    <w:p w:rsidR="000853C8" w:rsidP="00040E67" w:rsidRDefault="00FB79D2" w14:paraId="52507D7C" w14:textId="39E328CB">
      <w:pPr>
        <w:pStyle w:val="BulletsRed-IPR"/>
      </w:pPr>
      <w:r w:rsidRPr="00040E67">
        <w:rPr>
          <w:b/>
          <w:bCs/>
        </w:rPr>
        <w:t>Concept</w:t>
      </w:r>
      <w:r w:rsidR="00090F27">
        <w:rPr>
          <w:b/>
          <w:bCs/>
        </w:rPr>
        <w:t>-</w:t>
      </w:r>
      <w:r w:rsidRPr="00040E67">
        <w:rPr>
          <w:b/>
          <w:bCs/>
        </w:rPr>
        <w:t>mapping task</w:t>
      </w:r>
      <w:r>
        <w:t xml:space="preserve">: </w:t>
      </w:r>
      <w:r w:rsidR="000853C8">
        <w:t>The respondent universe for the concept</w:t>
      </w:r>
      <w:r w:rsidR="00090F27">
        <w:t>-</w:t>
      </w:r>
      <w:r w:rsidR="000853C8">
        <w:t xml:space="preserve">mapping task </w:t>
      </w:r>
      <w:r w:rsidR="002976DF">
        <w:t xml:space="preserve">includes </w:t>
      </w:r>
      <w:r w:rsidR="00B94502">
        <w:t xml:space="preserve">stakeholders </w:t>
      </w:r>
      <w:r w:rsidRPr="005210BA" w:rsidR="00B94502">
        <w:t>who have technical knowledge of the policies related to Puerto Rico’s food and nutrition system and represent the primary interest groups engaged in food security issues</w:t>
      </w:r>
      <w:r>
        <w:t xml:space="preserve"> (</w:t>
      </w:r>
      <w:r w:rsidR="008F03F0">
        <w:t>e</w:t>
      </w:r>
      <w:r>
        <w:t xml:space="preserve">.g., representatives from public agencies that administer food security and human service </w:t>
      </w:r>
      <w:r>
        <w:lastRenderedPageBreak/>
        <w:t>programs, human service providers, advocacy organizations, private sector representatives, and academics or researchers)</w:t>
      </w:r>
      <w:r w:rsidRPr="005210BA" w:rsidR="00B94502">
        <w:t xml:space="preserve">. </w:t>
      </w:r>
    </w:p>
    <w:p w:rsidRPr="00B62368" w:rsidR="008B4B1D" w:rsidP="008B4B1D" w:rsidRDefault="00F67443" w14:paraId="5608173C" w14:textId="21E73CAE">
      <w:pPr>
        <w:pStyle w:val="Heading4NoLetter-IPR"/>
        <w:spacing w:before="240" w:after="120"/>
      </w:pPr>
      <w:r>
        <w:t>B.1.2</w:t>
      </w:r>
      <w:r w:rsidR="00122326">
        <w:t>.</w:t>
      </w:r>
      <w:r>
        <w:tab/>
      </w:r>
      <w:r w:rsidR="008B4B1D">
        <w:t>Selection Methods</w:t>
      </w:r>
    </w:p>
    <w:p w:rsidRPr="002D3C5E" w:rsidR="002976DF" w:rsidP="00EE06CB" w:rsidRDefault="002976DF" w14:paraId="00E4874E" w14:textId="2752FC46">
      <w:pPr>
        <w:pStyle w:val="Body11ptCalibri-IPR"/>
        <w:rPr>
          <w:b/>
          <w:bCs/>
          <w:i/>
          <w:iCs/>
        </w:rPr>
      </w:pPr>
      <w:r w:rsidRPr="002D3C5E">
        <w:rPr>
          <w:b/>
          <w:bCs/>
          <w:i/>
          <w:iCs/>
        </w:rPr>
        <w:t xml:space="preserve">Household </w:t>
      </w:r>
      <w:r w:rsidR="00122326">
        <w:rPr>
          <w:b/>
          <w:bCs/>
          <w:i/>
          <w:iCs/>
        </w:rPr>
        <w:t>s</w:t>
      </w:r>
      <w:r w:rsidRPr="002D3C5E">
        <w:rPr>
          <w:b/>
          <w:bCs/>
          <w:i/>
          <w:iCs/>
        </w:rPr>
        <w:t>urvey</w:t>
      </w:r>
    </w:p>
    <w:p w:rsidR="008B4B1D" w:rsidP="00503F46" w:rsidRDefault="003E223D" w14:paraId="0F703543" w14:textId="3AB9463D">
      <w:pPr>
        <w:pStyle w:val="Body11ptCalibri-IPR"/>
        <w:spacing w:after="240"/>
      </w:pPr>
      <w:r>
        <w:t xml:space="preserve">A </w:t>
      </w:r>
      <w:r w:rsidR="00313A22">
        <w:t xml:space="preserve">dual-frame </w:t>
      </w:r>
      <w:r>
        <w:t>sampling approach</w:t>
      </w:r>
      <w:r w:rsidR="005B21B1">
        <w:t xml:space="preserve"> </w:t>
      </w:r>
      <w:r>
        <w:t>will be used to identify and sample NAP‐participating and low‐income</w:t>
      </w:r>
      <w:r>
        <w:rPr>
          <w:spacing w:val="1"/>
        </w:rPr>
        <w:t xml:space="preserve"> </w:t>
      </w:r>
      <w:r>
        <w:t>nonparticipating households and collect representative survey data on household food security in</w:t>
      </w:r>
      <w:r>
        <w:rPr>
          <w:spacing w:val="1"/>
        </w:rPr>
        <w:t xml:space="preserve"> </w:t>
      </w:r>
      <w:r>
        <w:t>Puerto Rico</w:t>
      </w:r>
      <w:r w:rsidR="00C146F6">
        <w:t xml:space="preserve"> (see section B.2.1)</w:t>
      </w:r>
      <w:r>
        <w:t xml:space="preserve">. </w:t>
      </w:r>
      <w:r w:rsidR="008D11CB">
        <w:t>The two sources to build the household survey sampling frames are an administrative list of NAP</w:t>
      </w:r>
      <w:r w:rsidR="008D11CB">
        <w:rPr>
          <w:spacing w:val="1"/>
        </w:rPr>
        <w:t xml:space="preserve"> </w:t>
      </w:r>
      <w:r w:rsidR="008D11CB">
        <w:t xml:space="preserve">participants provided by </w:t>
      </w:r>
      <w:r w:rsidRPr="00B871F5" w:rsidR="00090F27">
        <w:t xml:space="preserve">Administración de Desarrollo Socioeconómico de la Familia </w:t>
      </w:r>
      <w:r w:rsidR="00090F27">
        <w:t>(</w:t>
      </w:r>
      <w:r w:rsidR="008D11CB">
        <w:t>ADSEF</w:t>
      </w:r>
      <w:r w:rsidR="00090F27">
        <w:t>)</w:t>
      </w:r>
      <w:r w:rsidR="008D11CB">
        <w:t xml:space="preserve"> and an area probability sample. </w:t>
      </w:r>
      <w:r>
        <w:t>The classic multiple‐frame sampling approach</w:t>
      </w:r>
      <w:r w:rsidR="0092428C">
        <w:rPr>
          <w:rStyle w:val="FootnoteReference"/>
        </w:rPr>
        <w:footnoteReference w:id="2"/>
      </w:r>
      <w:r>
        <w:t xml:space="preserve"> facilitates selecting samples</w:t>
      </w:r>
      <w:r>
        <w:rPr>
          <w:spacing w:val="1"/>
        </w:rPr>
        <w:t xml:space="preserve"> </w:t>
      </w:r>
      <w:r>
        <w:t>from</w:t>
      </w:r>
      <w:r>
        <w:rPr>
          <w:spacing w:val="-3"/>
        </w:rPr>
        <w:t xml:space="preserve"> </w:t>
      </w:r>
      <w:r>
        <w:t>overlapping</w:t>
      </w:r>
      <w:r>
        <w:rPr>
          <w:spacing w:val="-4"/>
        </w:rPr>
        <w:t xml:space="preserve"> </w:t>
      </w:r>
      <w:r>
        <w:t>frames—one</w:t>
      </w:r>
      <w:r>
        <w:rPr>
          <w:spacing w:val="-3"/>
        </w:rPr>
        <w:t xml:space="preserve"> </w:t>
      </w:r>
      <w:r>
        <w:t>with</w:t>
      </w:r>
      <w:r>
        <w:rPr>
          <w:spacing w:val="-3"/>
        </w:rPr>
        <w:t xml:space="preserve"> </w:t>
      </w:r>
      <w:r>
        <w:t>near‐complete</w:t>
      </w:r>
      <w:r>
        <w:rPr>
          <w:spacing w:val="-3"/>
        </w:rPr>
        <w:t xml:space="preserve"> </w:t>
      </w:r>
      <w:r>
        <w:t>population</w:t>
      </w:r>
      <w:r>
        <w:rPr>
          <w:spacing w:val="-3"/>
        </w:rPr>
        <w:t xml:space="preserve"> </w:t>
      </w:r>
      <w:r>
        <w:t>coverage</w:t>
      </w:r>
      <w:r>
        <w:rPr>
          <w:spacing w:val="-3"/>
        </w:rPr>
        <w:t xml:space="preserve"> </w:t>
      </w:r>
      <w:r>
        <w:t>and</w:t>
      </w:r>
      <w:r>
        <w:rPr>
          <w:spacing w:val="-3"/>
        </w:rPr>
        <w:t xml:space="preserve"> </w:t>
      </w:r>
      <w:r>
        <w:t>other(s)</w:t>
      </w:r>
      <w:r>
        <w:rPr>
          <w:spacing w:val="-4"/>
        </w:rPr>
        <w:t xml:space="preserve"> </w:t>
      </w:r>
      <w:r>
        <w:t>with</w:t>
      </w:r>
      <w:r>
        <w:rPr>
          <w:spacing w:val="-3"/>
        </w:rPr>
        <w:t xml:space="preserve"> </w:t>
      </w:r>
      <w:r w:rsidR="004816F1">
        <w:t xml:space="preserve">potentially lower </w:t>
      </w:r>
      <w:r>
        <w:t xml:space="preserve">coverage—to be combined so </w:t>
      </w:r>
      <w:r w:rsidR="00354705">
        <w:t xml:space="preserve">that </w:t>
      </w:r>
      <w:r>
        <w:t>the total aggregated sample has the coverage of the more</w:t>
      </w:r>
      <w:r>
        <w:rPr>
          <w:spacing w:val="1"/>
        </w:rPr>
        <w:t xml:space="preserve"> </w:t>
      </w:r>
      <w:r>
        <w:t>complete frame. The survey instrument will contain questions to identify the overlap across the two</w:t>
      </w:r>
      <w:r>
        <w:rPr>
          <w:spacing w:val="1"/>
        </w:rPr>
        <w:t xml:space="preserve"> </w:t>
      </w:r>
      <w:r>
        <w:t>sample</w:t>
      </w:r>
      <w:r>
        <w:rPr>
          <w:spacing w:val="-3"/>
        </w:rPr>
        <w:t xml:space="preserve"> </w:t>
      </w:r>
      <w:r>
        <w:t>frames</w:t>
      </w:r>
      <w:r w:rsidRPr="004C011F" w:rsidR="008D11CB">
        <w:t>—</w:t>
      </w:r>
      <w:r>
        <w:t>specifically, to ascertain whether the household was participating in NAP at the time the NAP list was extracted</w:t>
      </w:r>
      <w:r w:rsidR="008D11CB">
        <w:rPr>
          <w:spacing w:val="-2"/>
        </w:rPr>
        <w:t xml:space="preserve">; </w:t>
      </w:r>
      <w:r w:rsidR="008D11CB">
        <w:t>this</w:t>
      </w:r>
      <w:r>
        <w:rPr>
          <w:spacing w:val="-2"/>
        </w:rPr>
        <w:t xml:space="preserve"> </w:t>
      </w:r>
      <w:r>
        <w:t>information</w:t>
      </w:r>
      <w:r>
        <w:rPr>
          <w:spacing w:val="-2"/>
        </w:rPr>
        <w:t xml:space="preserve"> </w:t>
      </w:r>
      <w:r>
        <w:t>will</w:t>
      </w:r>
      <w:r>
        <w:rPr>
          <w:spacing w:val="-1"/>
        </w:rPr>
        <w:t xml:space="preserve"> </w:t>
      </w:r>
      <w:r>
        <w:t>be</w:t>
      </w:r>
      <w:r>
        <w:rPr>
          <w:spacing w:val="-1"/>
        </w:rPr>
        <w:t xml:space="preserve"> </w:t>
      </w:r>
      <w:r>
        <w:t>used</w:t>
      </w:r>
      <w:r>
        <w:rPr>
          <w:spacing w:val="-1"/>
        </w:rPr>
        <w:t xml:space="preserve"> </w:t>
      </w:r>
      <w:r>
        <w:t>to</w:t>
      </w:r>
      <w:r>
        <w:rPr>
          <w:spacing w:val="-3"/>
        </w:rPr>
        <w:t xml:space="preserve"> </w:t>
      </w:r>
      <w:r>
        <w:t>adjust</w:t>
      </w:r>
      <w:r>
        <w:rPr>
          <w:spacing w:val="-2"/>
        </w:rPr>
        <w:t xml:space="preserve"> </w:t>
      </w:r>
      <w:r>
        <w:t>the</w:t>
      </w:r>
      <w:r>
        <w:rPr>
          <w:spacing w:val="-2"/>
        </w:rPr>
        <w:t xml:space="preserve"> </w:t>
      </w:r>
      <w:r>
        <w:t>sample</w:t>
      </w:r>
      <w:r>
        <w:rPr>
          <w:spacing w:val="-3"/>
        </w:rPr>
        <w:t xml:space="preserve"> </w:t>
      </w:r>
      <w:r>
        <w:t>weights for</w:t>
      </w:r>
      <w:r>
        <w:rPr>
          <w:spacing w:val="-2"/>
        </w:rPr>
        <w:t xml:space="preserve"> </w:t>
      </w:r>
      <w:r>
        <w:t>the</w:t>
      </w:r>
      <w:r>
        <w:rPr>
          <w:spacing w:val="-2"/>
        </w:rPr>
        <w:t xml:space="preserve"> </w:t>
      </w:r>
      <w:r>
        <w:t>overlap</w:t>
      </w:r>
      <w:r w:rsidR="005B21B1">
        <w:t>.</w:t>
      </w:r>
      <w:r w:rsidR="005A0795">
        <w:rPr>
          <w:rStyle w:val="FootnoteReference"/>
        </w:rPr>
        <w:footnoteReference w:id="3"/>
      </w:r>
    </w:p>
    <w:p w:rsidRPr="00676A5B" w:rsidR="002976DF" w:rsidP="00EE06CB" w:rsidRDefault="002976DF" w14:paraId="2486D3E5" w14:textId="366B3FC9">
      <w:pPr>
        <w:pStyle w:val="Body11ptCalibri-IPR"/>
        <w:rPr>
          <w:b/>
          <w:bCs/>
          <w:i/>
          <w:iCs/>
        </w:rPr>
      </w:pPr>
      <w:r w:rsidRPr="00676A5B">
        <w:rPr>
          <w:b/>
          <w:bCs/>
          <w:i/>
          <w:iCs/>
        </w:rPr>
        <w:t>In-depth interviews</w:t>
      </w:r>
    </w:p>
    <w:p w:rsidR="00071425" w:rsidP="00503F46" w:rsidRDefault="001378ED" w14:paraId="54F89FFC" w14:textId="7B3DBB0E">
      <w:pPr>
        <w:pStyle w:val="Body11ptCalibri-IPR"/>
        <w:spacing w:after="240"/>
      </w:pPr>
      <w:r>
        <w:t xml:space="preserve">The study sample for the </w:t>
      </w:r>
      <w:r w:rsidR="00090F27">
        <w:t>in-depth interviews</w:t>
      </w:r>
      <w:r>
        <w:t xml:space="preserve"> will be drawn from survey respondents who agreed to be contacted for an interview</w:t>
      </w:r>
      <w:r w:rsidRPr="00354705" w:rsidR="00354705">
        <w:t xml:space="preserve"> </w:t>
      </w:r>
      <w:r w:rsidR="00354705">
        <w:t>and provided contact information for follow-up purposes</w:t>
      </w:r>
      <w:r>
        <w:t xml:space="preserve">. </w:t>
      </w:r>
      <w:r w:rsidR="003967B7">
        <w:t xml:space="preserve">Every respondent who indicates interest will be classified </w:t>
      </w:r>
      <w:r w:rsidR="00BA5ABE">
        <w:t xml:space="preserve">into a subgroup </w:t>
      </w:r>
      <w:r w:rsidR="003967B7">
        <w:t xml:space="preserve">based on their NAP participation status and income level, </w:t>
      </w:r>
      <w:r w:rsidR="00520359">
        <w:t>presence of children in the household</w:t>
      </w:r>
      <w:r w:rsidR="00EC63B1">
        <w:t>,</w:t>
      </w:r>
      <w:r w:rsidR="00520359">
        <w:t xml:space="preserve"> and food security status. </w:t>
      </w:r>
      <w:r w:rsidR="00505925">
        <w:t>R</w:t>
      </w:r>
      <w:r w:rsidR="00520359">
        <w:t xml:space="preserve">espondents who fall into </w:t>
      </w:r>
      <w:r w:rsidR="00354705">
        <w:t xml:space="preserve">1 </w:t>
      </w:r>
      <w:r w:rsidR="00520359">
        <w:t xml:space="preserve">of the 12 subgroups shown in </w:t>
      </w:r>
      <w:r w:rsidR="008F03F0">
        <w:t>table B.1.1</w:t>
      </w:r>
      <w:r w:rsidR="00505925">
        <w:t xml:space="preserve"> will be recruited</w:t>
      </w:r>
      <w:r w:rsidR="00520359">
        <w:t xml:space="preserve"> until </w:t>
      </w:r>
      <w:r w:rsidR="00505925">
        <w:t>the study team</w:t>
      </w:r>
      <w:r w:rsidR="00520359">
        <w:t xml:space="preserve"> complete</w:t>
      </w:r>
      <w:r w:rsidR="00505925">
        <w:t>s</w:t>
      </w:r>
      <w:r w:rsidR="00520359">
        <w:t xml:space="preserve"> the desired number of interviews for each subgroup</w:t>
      </w:r>
      <w:r w:rsidR="004B37B7">
        <w:t xml:space="preserve">. </w:t>
      </w:r>
    </w:p>
    <w:p w:rsidR="008F03F0" w:rsidRDefault="008F03F0" w14:paraId="302A2EF8" w14:textId="1BB77750">
      <w:pPr>
        <w:pStyle w:val="TableTitle-IPR"/>
      </w:pPr>
      <w:bookmarkStart w:name="_Toc78365136" w:id="20"/>
      <w:r>
        <w:lastRenderedPageBreak/>
        <w:t>Table B.1.1</w:t>
      </w:r>
      <w:r w:rsidR="00122326">
        <w:t>.</w:t>
      </w:r>
      <w:r>
        <w:t xml:space="preserve"> </w:t>
      </w:r>
      <w:r w:rsidR="00EC63B1">
        <w:t>Target Subgroups for In-</w:t>
      </w:r>
      <w:r w:rsidR="00122326">
        <w:t>D</w:t>
      </w:r>
      <w:r w:rsidR="00EC63B1">
        <w:t>epth Interviews</w:t>
      </w:r>
      <w:bookmarkEnd w:id="20"/>
    </w:p>
    <w:tbl>
      <w:tblPr>
        <w:tblStyle w:val="InsightTable1"/>
        <w:tblW w:w="9302" w:type="dxa"/>
        <w:tblLook w:val="04A0" w:firstRow="1" w:lastRow="0" w:firstColumn="1" w:lastColumn="0" w:noHBand="0" w:noVBand="1"/>
      </w:tblPr>
      <w:tblGrid>
        <w:gridCol w:w="1984"/>
        <w:gridCol w:w="594"/>
        <w:gridCol w:w="599"/>
        <w:gridCol w:w="602"/>
        <w:gridCol w:w="596"/>
        <w:gridCol w:w="598"/>
        <w:gridCol w:w="603"/>
        <w:gridCol w:w="595"/>
        <w:gridCol w:w="599"/>
        <w:gridCol w:w="602"/>
        <w:gridCol w:w="596"/>
        <w:gridCol w:w="598"/>
        <w:gridCol w:w="736"/>
      </w:tblGrid>
      <w:tr w:rsidR="00EC63B1" w:rsidTr="002B0C69" w14:paraId="1C1DCF6F" w14:textId="77777777">
        <w:trPr>
          <w:cnfStyle w:val="100000000000" w:firstRow="1" w:lastRow="0" w:firstColumn="0" w:lastColumn="0" w:oddVBand="0" w:evenVBand="0" w:oddHBand="0" w:evenHBand="0" w:firstRowFirstColumn="0" w:firstRowLastColumn="0" w:lastRowFirstColumn="0" w:lastRowLastColumn="0"/>
          <w:trHeight w:val="360"/>
        </w:trPr>
        <w:tc>
          <w:tcPr>
            <w:tcW w:w="1984" w:type="dxa"/>
          </w:tcPr>
          <w:p w:rsidRPr="004D5354" w:rsidR="00EC63B1" w:rsidP="00CB6433" w:rsidRDefault="00EC63B1" w14:paraId="5F571E2C" w14:textId="77777777">
            <w:pPr>
              <w:pStyle w:val="TableHeaderRow-IPR"/>
              <w:keepNext/>
            </w:pPr>
            <w:r w:rsidRPr="004D5354">
              <w:t xml:space="preserve">Participation </w:t>
            </w:r>
            <w:r>
              <w:t>S</w:t>
            </w:r>
            <w:r w:rsidRPr="004D5354">
              <w:t>tatus</w:t>
            </w:r>
          </w:p>
        </w:tc>
        <w:tc>
          <w:tcPr>
            <w:tcW w:w="3592" w:type="dxa"/>
            <w:gridSpan w:val="6"/>
          </w:tcPr>
          <w:p w:rsidRPr="004D5354" w:rsidR="00EC63B1" w:rsidP="00CB6433" w:rsidRDefault="00EC63B1" w14:paraId="2C2D73FF" w14:textId="77777777">
            <w:pPr>
              <w:pStyle w:val="TableHeaderRow-IPR"/>
              <w:keepNext/>
            </w:pPr>
            <w:r w:rsidRPr="004D5354">
              <w:t>Participating in NAP</w:t>
            </w:r>
          </w:p>
        </w:tc>
        <w:tc>
          <w:tcPr>
            <w:tcW w:w="3726" w:type="dxa"/>
            <w:gridSpan w:val="6"/>
          </w:tcPr>
          <w:p w:rsidRPr="004D5354" w:rsidR="00EC63B1" w:rsidP="00CB6433" w:rsidRDefault="002F6E33" w14:paraId="66C7DAB2" w14:textId="71A37E1B">
            <w:pPr>
              <w:pStyle w:val="TableHeaderRow-IPR"/>
              <w:keepNext/>
            </w:pPr>
            <w:r>
              <w:t>Low</w:t>
            </w:r>
            <w:r w:rsidR="00505925">
              <w:t xml:space="preserve"> I</w:t>
            </w:r>
            <w:r>
              <w:t xml:space="preserve">ncome, </w:t>
            </w:r>
            <w:r w:rsidRPr="004D5354" w:rsidR="00EC63B1">
              <w:t xml:space="preserve">Not </w:t>
            </w:r>
            <w:r w:rsidR="00EC63B1">
              <w:t>P</w:t>
            </w:r>
            <w:r w:rsidRPr="004D5354" w:rsidR="00EC63B1">
              <w:t xml:space="preserve">articipating in NAP </w:t>
            </w:r>
          </w:p>
        </w:tc>
      </w:tr>
      <w:tr w:rsidR="00EC63B1" w:rsidTr="002B0C69" w14:paraId="56758C1B" w14:textId="77777777">
        <w:trPr>
          <w:trHeight w:val="360"/>
        </w:trPr>
        <w:tc>
          <w:tcPr>
            <w:tcW w:w="1984" w:type="dxa"/>
            <w:tcBorders>
              <w:top w:val="single" w:color="B12732" w:sz="8" w:space="0"/>
              <w:left w:val="nil"/>
              <w:bottom w:val="single" w:color="A6A6A6" w:themeColor="background1" w:themeShade="A6" w:sz="4" w:space="0"/>
              <w:right w:val="single" w:color="A6A6A6" w:themeColor="background1" w:themeShade="A6" w:sz="4" w:space="0"/>
            </w:tcBorders>
          </w:tcPr>
          <w:p w:rsidRPr="00503F46" w:rsidR="00EC63B1" w:rsidP="00CB6433" w:rsidRDefault="00EC63B1" w14:paraId="3EAB96F6" w14:textId="77777777">
            <w:pPr>
              <w:pStyle w:val="TableHeaderRow-IPR"/>
              <w:keepNext/>
              <w:jc w:val="left"/>
              <w:rPr>
                <w:rFonts w:asciiTheme="minorHAnsi" w:hAnsiTheme="minorHAnsi" w:cstheme="minorHAnsi"/>
                <w:b w:val="0"/>
                <w:bCs/>
                <w:sz w:val="20"/>
                <w:szCs w:val="20"/>
              </w:rPr>
            </w:pPr>
            <w:r w:rsidRPr="00503F46">
              <w:rPr>
                <w:rFonts w:asciiTheme="minorHAnsi" w:hAnsiTheme="minorHAnsi" w:cstheme="minorHAnsi"/>
                <w:b w:val="0"/>
                <w:bCs/>
                <w:sz w:val="20"/>
                <w:szCs w:val="20"/>
              </w:rPr>
              <w:t>Household status</w:t>
            </w:r>
          </w:p>
        </w:tc>
        <w:tc>
          <w:tcPr>
            <w:tcW w:w="1795" w:type="dxa"/>
            <w:gridSpan w:val="3"/>
            <w:tcBorders>
              <w:top w:val="single" w:color="B12732" w:sz="8" w:space="0"/>
              <w:left w:val="single" w:color="A6A6A6" w:themeColor="background1" w:themeShade="A6" w:sz="4" w:space="0"/>
            </w:tcBorders>
            <w:shd w:val="clear" w:color="auto" w:fill="E9EFF7"/>
          </w:tcPr>
          <w:p w:rsidRPr="00503F46" w:rsidR="00EC63B1" w:rsidP="00CB6433" w:rsidRDefault="00EC63B1" w14:paraId="57CB39B3" w14:textId="77777777">
            <w:pPr>
              <w:pStyle w:val="BodyText-IPR"/>
              <w:keepNext/>
              <w:spacing w:after="0"/>
              <w:jc w:val="center"/>
              <w:rPr>
                <w:rFonts w:asciiTheme="minorHAnsi" w:hAnsiTheme="minorHAnsi" w:cstheme="minorHAnsi"/>
                <w:szCs w:val="20"/>
              </w:rPr>
            </w:pPr>
            <w:r w:rsidRPr="00503F46">
              <w:rPr>
                <w:rFonts w:asciiTheme="minorHAnsi" w:hAnsiTheme="minorHAnsi" w:cstheme="minorHAnsi"/>
                <w:szCs w:val="20"/>
              </w:rPr>
              <w:t>Household with children</w:t>
            </w:r>
          </w:p>
        </w:tc>
        <w:tc>
          <w:tcPr>
            <w:tcW w:w="1797" w:type="dxa"/>
            <w:gridSpan w:val="3"/>
            <w:tcBorders>
              <w:top w:val="single" w:color="B12732" w:sz="8" w:space="0"/>
            </w:tcBorders>
            <w:shd w:val="clear" w:color="auto" w:fill="E9EFF7"/>
          </w:tcPr>
          <w:p w:rsidRPr="00503F46" w:rsidR="00EC63B1" w:rsidP="00CB6433" w:rsidRDefault="00EC63B1" w14:paraId="2A717C2B" w14:textId="77777777">
            <w:pPr>
              <w:pStyle w:val="BodyText-IPR"/>
              <w:keepNext/>
              <w:spacing w:after="0"/>
              <w:jc w:val="center"/>
              <w:rPr>
                <w:rFonts w:asciiTheme="minorHAnsi" w:hAnsiTheme="minorHAnsi" w:cstheme="minorHAnsi"/>
                <w:szCs w:val="20"/>
              </w:rPr>
            </w:pPr>
            <w:r w:rsidRPr="00503F46">
              <w:rPr>
                <w:rFonts w:asciiTheme="minorHAnsi" w:hAnsiTheme="minorHAnsi" w:cstheme="minorHAnsi"/>
                <w:szCs w:val="20"/>
              </w:rPr>
              <w:t>Household without children</w:t>
            </w:r>
          </w:p>
        </w:tc>
        <w:tc>
          <w:tcPr>
            <w:tcW w:w="1796" w:type="dxa"/>
            <w:gridSpan w:val="3"/>
            <w:tcBorders>
              <w:top w:val="single" w:color="B12732" w:sz="8" w:space="0"/>
              <w:bottom w:val="single" w:color="A6A6A6" w:themeColor="background1" w:themeShade="A6" w:sz="4" w:space="0"/>
            </w:tcBorders>
          </w:tcPr>
          <w:p w:rsidRPr="00503F46" w:rsidR="00EC63B1" w:rsidP="00CB6433" w:rsidRDefault="00EC63B1" w14:paraId="5EB545ED" w14:textId="77777777">
            <w:pPr>
              <w:pStyle w:val="BodyText-IPR"/>
              <w:keepNext/>
              <w:spacing w:after="0"/>
              <w:jc w:val="center"/>
              <w:rPr>
                <w:rFonts w:asciiTheme="minorHAnsi" w:hAnsiTheme="minorHAnsi" w:cstheme="minorHAnsi"/>
                <w:szCs w:val="20"/>
              </w:rPr>
            </w:pPr>
            <w:r w:rsidRPr="00503F46">
              <w:rPr>
                <w:rFonts w:asciiTheme="minorHAnsi" w:hAnsiTheme="minorHAnsi" w:cstheme="minorHAnsi"/>
                <w:szCs w:val="20"/>
              </w:rPr>
              <w:t>Household with children</w:t>
            </w:r>
          </w:p>
        </w:tc>
        <w:tc>
          <w:tcPr>
            <w:tcW w:w="1930" w:type="dxa"/>
            <w:gridSpan w:val="3"/>
            <w:tcBorders>
              <w:top w:val="single" w:color="B12732" w:sz="8" w:space="0"/>
            </w:tcBorders>
          </w:tcPr>
          <w:p w:rsidRPr="00503F46" w:rsidR="00EC63B1" w:rsidP="00CB6433" w:rsidRDefault="00EC63B1" w14:paraId="6B4879CD" w14:textId="77777777">
            <w:pPr>
              <w:pStyle w:val="BodyText-IPR"/>
              <w:keepNext/>
              <w:spacing w:after="0"/>
              <w:jc w:val="center"/>
              <w:rPr>
                <w:rFonts w:asciiTheme="minorHAnsi" w:hAnsiTheme="minorHAnsi" w:cstheme="minorHAnsi"/>
                <w:szCs w:val="20"/>
              </w:rPr>
            </w:pPr>
            <w:r w:rsidRPr="00503F46">
              <w:rPr>
                <w:rFonts w:asciiTheme="minorHAnsi" w:hAnsiTheme="minorHAnsi" w:cstheme="minorHAnsi"/>
                <w:szCs w:val="20"/>
              </w:rPr>
              <w:t>Household without children</w:t>
            </w:r>
          </w:p>
        </w:tc>
      </w:tr>
      <w:tr w:rsidR="00EC63B1" w:rsidTr="002B0C69" w14:paraId="42F897C9" w14:textId="77777777">
        <w:trPr>
          <w:trHeight w:val="360"/>
        </w:trPr>
        <w:tc>
          <w:tcPr>
            <w:tcW w:w="1984"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tcPr>
          <w:p w:rsidRPr="00503F46" w:rsidR="00EC63B1" w:rsidP="002B0C69" w:rsidRDefault="00EC63B1" w14:paraId="768CD188" w14:textId="77777777">
            <w:pPr>
              <w:pStyle w:val="TableHeaderRow-IPR"/>
              <w:jc w:val="left"/>
              <w:rPr>
                <w:rFonts w:asciiTheme="minorHAnsi" w:hAnsiTheme="minorHAnsi" w:cstheme="minorHAnsi"/>
                <w:b w:val="0"/>
                <w:bCs/>
                <w:sz w:val="20"/>
                <w:szCs w:val="20"/>
              </w:rPr>
            </w:pPr>
            <w:r w:rsidRPr="00503F46">
              <w:rPr>
                <w:rFonts w:asciiTheme="minorHAnsi" w:hAnsiTheme="minorHAnsi" w:cstheme="minorHAnsi"/>
                <w:b w:val="0"/>
                <w:bCs/>
                <w:sz w:val="20"/>
                <w:szCs w:val="20"/>
              </w:rPr>
              <w:t>Food security status</w:t>
            </w:r>
          </w:p>
        </w:tc>
        <w:tc>
          <w:tcPr>
            <w:tcW w:w="594" w:type="dxa"/>
            <w:tcBorders>
              <w:left w:val="single" w:color="A6A6A6" w:themeColor="background1" w:themeShade="A6" w:sz="4" w:space="0"/>
              <w:bottom w:val="single" w:color="A6A6A6" w:themeColor="background1" w:themeShade="A6" w:sz="4" w:space="0"/>
            </w:tcBorders>
            <w:shd w:val="clear" w:color="auto" w:fill="F2F2F2" w:themeFill="background1" w:themeFillShade="F2"/>
          </w:tcPr>
          <w:p w:rsidRPr="00503F46" w:rsidR="00EC63B1" w:rsidP="002B0C69" w:rsidRDefault="00EC63B1" w14:paraId="134F3390"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FS</w:t>
            </w:r>
          </w:p>
        </w:tc>
        <w:tc>
          <w:tcPr>
            <w:tcW w:w="599" w:type="dxa"/>
            <w:tcBorders>
              <w:bottom w:val="single" w:color="A6A6A6" w:themeColor="background1" w:themeShade="A6" w:sz="4" w:space="0"/>
            </w:tcBorders>
            <w:shd w:val="clear" w:color="auto" w:fill="F2F2F2" w:themeFill="background1" w:themeFillShade="F2"/>
          </w:tcPr>
          <w:p w:rsidRPr="00503F46" w:rsidR="00EC63B1" w:rsidP="002B0C69" w:rsidRDefault="00EC63B1" w14:paraId="6079D72E"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LFS</w:t>
            </w:r>
          </w:p>
        </w:tc>
        <w:tc>
          <w:tcPr>
            <w:tcW w:w="602" w:type="dxa"/>
            <w:tcBorders>
              <w:bottom w:val="single" w:color="A6A6A6" w:themeColor="background1" w:themeShade="A6" w:sz="4" w:space="0"/>
            </w:tcBorders>
            <w:shd w:val="clear" w:color="auto" w:fill="F2F2F2" w:themeFill="background1" w:themeFillShade="F2"/>
          </w:tcPr>
          <w:p w:rsidRPr="00503F46" w:rsidR="00EC63B1" w:rsidP="002B0C69" w:rsidRDefault="00EC63B1" w14:paraId="3D40DE92"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VLFS</w:t>
            </w:r>
          </w:p>
        </w:tc>
        <w:tc>
          <w:tcPr>
            <w:tcW w:w="596" w:type="dxa"/>
            <w:tcBorders>
              <w:bottom w:val="single" w:color="A6A6A6" w:themeColor="background1" w:themeShade="A6" w:sz="4" w:space="0"/>
            </w:tcBorders>
            <w:shd w:val="clear" w:color="auto" w:fill="F2F2F2" w:themeFill="background1" w:themeFillShade="F2"/>
          </w:tcPr>
          <w:p w:rsidRPr="00503F46" w:rsidR="00EC63B1" w:rsidP="002B0C69" w:rsidRDefault="00EC63B1" w14:paraId="7CA75F3A"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FS</w:t>
            </w:r>
          </w:p>
        </w:tc>
        <w:tc>
          <w:tcPr>
            <w:tcW w:w="598" w:type="dxa"/>
            <w:tcBorders>
              <w:bottom w:val="single" w:color="A6A6A6" w:themeColor="background1" w:themeShade="A6" w:sz="4" w:space="0"/>
            </w:tcBorders>
            <w:shd w:val="clear" w:color="auto" w:fill="F2F2F2" w:themeFill="background1" w:themeFillShade="F2"/>
          </w:tcPr>
          <w:p w:rsidRPr="00503F46" w:rsidR="00EC63B1" w:rsidP="002B0C69" w:rsidRDefault="00EC63B1" w14:paraId="3BFD2C42"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LFS</w:t>
            </w:r>
          </w:p>
        </w:tc>
        <w:tc>
          <w:tcPr>
            <w:tcW w:w="603" w:type="dxa"/>
            <w:tcBorders>
              <w:bottom w:val="single" w:color="A6A6A6" w:themeColor="background1" w:themeShade="A6" w:sz="4" w:space="0"/>
            </w:tcBorders>
            <w:shd w:val="clear" w:color="auto" w:fill="F2F2F2" w:themeFill="background1" w:themeFillShade="F2"/>
          </w:tcPr>
          <w:p w:rsidRPr="00503F46" w:rsidR="00EC63B1" w:rsidP="002B0C69" w:rsidRDefault="00EC63B1" w14:paraId="7A97A0F0"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VLFS</w:t>
            </w:r>
          </w:p>
        </w:tc>
        <w:tc>
          <w:tcPr>
            <w:tcW w:w="595" w:type="dxa"/>
            <w:tcBorders>
              <w:top w:val="single" w:color="A6A6A6" w:themeColor="background1" w:themeShade="A6" w:sz="4" w:space="0"/>
              <w:bottom w:val="single" w:color="A6A6A6" w:themeColor="background1" w:themeShade="A6" w:sz="4" w:space="0"/>
            </w:tcBorders>
          </w:tcPr>
          <w:p w:rsidRPr="00503F46" w:rsidR="00EC63B1" w:rsidP="002B0C69" w:rsidRDefault="00EC63B1" w14:paraId="26060389"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FS</w:t>
            </w:r>
          </w:p>
        </w:tc>
        <w:tc>
          <w:tcPr>
            <w:tcW w:w="599" w:type="dxa"/>
            <w:tcBorders>
              <w:top w:val="single" w:color="A6A6A6" w:themeColor="background1" w:themeShade="A6" w:sz="4" w:space="0"/>
              <w:bottom w:val="single" w:color="A6A6A6" w:themeColor="background1" w:themeShade="A6" w:sz="4" w:space="0"/>
            </w:tcBorders>
          </w:tcPr>
          <w:p w:rsidRPr="00503F46" w:rsidR="00EC63B1" w:rsidP="002B0C69" w:rsidRDefault="00EC63B1" w14:paraId="4FC26B6C"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LFS</w:t>
            </w:r>
          </w:p>
        </w:tc>
        <w:tc>
          <w:tcPr>
            <w:tcW w:w="602" w:type="dxa"/>
            <w:tcBorders>
              <w:top w:val="single" w:color="A6A6A6" w:themeColor="background1" w:themeShade="A6" w:sz="4" w:space="0"/>
              <w:bottom w:val="single" w:color="A6A6A6" w:themeColor="background1" w:themeShade="A6" w:sz="4" w:space="0"/>
            </w:tcBorders>
          </w:tcPr>
          <w:p w:rsidRPr="00503F46" w:rsidR="00EC63B1" w:rsidP="002B0C69" w:rsidRDefault="00EC63B1" w14:paraId="709FE11A"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VLFS</w:t>
            </w:r>
          </w:p>
        </w:tc>
        <w:tc>
          <w:tcPr>
            <w:tcW w:w="596" w:type="dxa"/>
            <w:tcBorders>
              <w:bottom w:val="single" w:color="A6A6A6" w:themeColor="background1" w:themeShade="A6" w:sz="4" w:space="0"/>
            </w:tcBorders>
          </w:tcPr>
          <w:p w:rsidRPr="00503F46" w:rsidR="00EC63B1" w:rsidP="002B0C69" w:rsidRDefault="00EC63B1" w14:paraId="408B9E9A"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FS</w:t>
            </w:r>
          </w:p>
        </w:tc>
        <w:tc>
          <w:tcPr>
            <w:tcW w:w="598" w:type="dxa"/>
            <w:tcBorders>
              <w:bottom w:val="single" w:color="A6A6A6" w:themeColor="background1" w:themeShade="A6" w:sz="4" w:space="0"/>
            </w:tcBorders>
          </w:tcPr>
          <w:p w:rsidRPr="00503F46" w:rsidR="00EC63B1" w:rsidP="002B0C69" w:rsidRDefault="00EC63B1" w14:paraId="47505309"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LFS</w:t>
            </w:r>
          </w:p>
        </w:tc>
        <w:tc>
          <w:tcPr>
            <w:tcW w:w="736" w:type="dxa"/>
            <w:tcBorders>
              <w:bottom w:val="single" w:color="A6A6A6" w:themeColor="background1" w:themeShade="A6" w:sz="4" w:space="0"/>
            </w:tcBorders>
          </w:tcPr>
          <w:p w:rsidRPr="00503F46" w:rsidR="00EC63B1" w:rsidP="002B0C69" w:rsidRDefault="00EC63B1" w14:paraId="6F8E58FB"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VLFS</w:t>
            </w:r>
          </w:p>
        </w:tc>
      </w:tr>
      <w:tr w:rsidR="00EC63B1" w:rsidTr="002B0C69" w14:paraId="742F7EE9" w14:textId="77777777">
        <w:trPr>
          <w:trHeight w:val="360"/>
        </w:trPr>
        <w:tc>
          <w:tcPr>
            <w:tcW w:w="1984" w:type="dxa"/>
            <w:tcBorders>
              <w:top w:val="single" w:color="A6A6A6" w:themeColor="background1" w:themeShade="A6" w:sz="4" w:space="0"/>
              <w:left w:val="nil"/>
              <w:bottom w:val="single" w:color="7F7F7F" w:themeColor="text1" w:themeTint="80" w:sz="18" w:space="0"/>
              <w:right w:val="single" w:color="A6A6A6" w:themeColor="background1" w:themeShade="A6" w:sz="4" w:space="0"/>
            </w:tcBorders>
          </w:tcPr>
          <w:p w:rsidRPr="00503F46" w:rsidR="00EC63B1" w:rsidP="002B0C69" w:rsidRDefault="00EC63B1" w14:paraId="55E3C492" w14:textId="77777777">
            <w:pPr>
              <w:pStyle w:val="TableHeaderRow-IPR"/>
              <w:jc w:val="left"/>
              <w:rPr>
                <w:rFonts w:asciiTheme="minorHAnsi" w:hAnsiTheme="minorHAnsi" w:cstheme="minorHAnsi"/>
                <w:b w:val="0"/>
                <w:bCs/>
                <w:sz w:val="20"/>
                <w:szCs w:val="20"/>
              </w:rPr>
            </w:pPr>
            <w:r w:rsidRPr="00503F46">
              <w:rPr>
                <w:rFonts w:asciiTheme="minorHAnsi" w:hAnsiTheme="minorHAnsi" w:cstheme="minorHAnsi"/>
                <w:b w:val="0"/>
                <w:bCs/>
                <w:sz w:val="20"/>
                <w:szCs w:val="20"/>
              </w:rPr>
              <w:t>Target number of completed interviews</w:t>
            </w:r>
          </w:p>
        </w:tc>
        <w:tc>
          <w:tcPr>
            <w:tcW w:w="594" w:type="dxa"/>
            <w:tcBorders>
              <w:top w:val="single" w:color="A6A6A6" w:themeColor="background1" w:themeShade="A6" w:sz="4" w:space="0"/>
              <w:left w:val="single" w:color="A6A6A6" w:themeColor="background1" w:themeShade="A6" w:sz="4" w:space="0"/>
              <w:bottom w:val="single" w:color="7F7F7F" w:themeColor="text1" w:themeTint="80" w:sz="18" w:space="0"/>
            </w:tcBorders>
          </w:tcPr>
          <w:p w:rsidRPr="00503F46" w:rsidR="00EC63B1" w:rsidP="002B0C69" w:rsidRDefault="00EC63B1" w14:paraId="1DF90AFB"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c>
          <w:tcPr>
            <w:tcW w:w="599" w:type="dxa"/>
            <w:tcBorders>
              <w:top w:val="single" w:color="A6A6A6" w:themeColor="background1" w:themeShade="A6" w:sz="4" w:space="0"/>
              <w:bottom w:val="single" w:color="7F7F7F" w:themeColor="text1" w:themeTint="80" w:sz="18" w:space="0"/>
            </w:tcBorders>
          </w:tcPr>
          <w:p w:rsidRPr="00503F46" w:rsidR="00EC63B1" w:rsidP="002B0C69" w:rsidRDefault="00EC63B1" w14:paraId="7626EEE9"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c>
          <w:tcPr>
            <w:tcW w:w="602" w:type="dxa"/>
            <w:tcBorders>
              <w:top w:val="single" w:color="A6A6A6" w:themeColor="background1" w:themeShade="A6" w:sz="4" w:space="0"/>
              <w:bottom w:val="single" w:color="7F7F7F" w:themeColor="text1" w:themeTint="80" w:sz="18" w:space="0"/>
            </w:tcBorders>
          </w:tcPr>
          <w:p w:rsidRPr="00503F46" w:rsidR="00EC63B1" w:rsidP="002B0C69" w:rsidRDefault="00EC63B1" w14:paraId="4EA85588"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c>
          <w:tcPr>
            <w:tcW w:w="596" w:type="dxa"/>
            <w:tcBorders>
              <w:top w:val="single" w:color="A6A6A6" w:themeColor="background1" w:themeShade="A6" w:sz="4" w:space="0"/>
              <w:bottom w:val="single" w:color="7F7F7F" w:themeColor="text1" w:themeTint="80" w:sz="18" w:space="0"/>
            </w:tcBorders>
          </w:tcPr>
          <w:p w:rsidRPr="00503F46" w:rsidR="00EC63B1" w:rsidP="002B0C69" w:rsidRDefault="00EC63B1" w14:paraId="2AE62A09"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c>
          <w:tcPr>
            <w:tcW w:w="598" w:type="dxa"/>
            <w:tcBorders>
              <w:top w:val="single" w:color="A6A6A6" w:themeColor="background1" w:themeShade="A6" w:sz="4" w:space="0"/>
              <w:bottom w:val="single" w:color="7F7F7F" w:themeColor="text1" w:themeTint="80" w:sz="18" w:space="0"/>
            </w:tcBorders>
          </w:tcPr>
          <w:p w:rsidRPr="00503F46" w:rsidR="00EC63B1" w:rsidP="002B0C69" w:rsidRDefault="00EC63B1" w14:paraId="5AE756C3"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c>
          <w:tcPr>
            <w:tcW w:w="603" w:type="dxa"/>
            <w:tcBorders>
              <w:top w:val="single" w:color="A6A6A6" w:themeColor="background1" w:themeShade="A6" w:sz="4" w:space="0"/>
              <w:bottom w:val="single" w:color="7F7F7F" w:themeColor="text1" w:themeTint="80" w:sz="18" w:space="0"/>
            </w:tcBorders>
          </w:tcPr>
          <w:p w:rsidRPr="00503F46" w:rsidR="00EC63B1" w:rsidP="002B0C69" w:rsidRDefault="00EC63B1" w14:paraId="77F85938"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c>
          <w:tcPr>
            <w:tcW w:w="595" w:type="dxa"/>
            <w:tcBorders>
              <w:top w:val="single" w:color="A6A6A6" w:themeColor="background1" w:themeShade="A6" w:sz="4" w:space="0"/>
              <w:bottom w:val="single" w:color="7F7F7F" w:themeColor="text1" w:themeTint="80" w:sz="18" w:space="0"/>
            </w:tcBorders>
          </w:tcPr>
          <w:p w:rsidRPr="00503F46" w:rsidR="00EC63B1" w:rsidP="002B0C69" w:rsidRDefault="00EC63B1" w14:paraId="0D83A625"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c>
          <w:tcPr>
            <w:tcW w:w="599" w:type="dxa"/>
            <w:tcBorders>
              <w:top w:val="single" w:color="A6A6A6" w:themeColor="background1" w:themeShade="A6" w:sz="4" w:space="0"/>
              <w:bottom w:val="single" w:color="7F7F7F" w:themeColor="text1" w:themeTint="80" w:sz="18" w:space="0"/>
            </w:tcBorders>
          </w:tcPr>
          <w:p w:rsidRPr="00503F46" w:rsidR="00EC63B1" w:rsidP="002B0C69" w:rsidRDefault="00EC63B1" w14:paraId="0E898308"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c>
          <w:tcPr>
            <w:tcW w:w="602" w:type="dxa"/>
            <w:tcBorders>
              <w:top w:val="single" w:color="A6A6A6" w:themeColor="background1" w:themeShade="A6" w:sz="4" w:space="0"/>
              <w:bottom w:val="single" w:color="7F7F7F" w:themeColor="text1" w:themeTint="80" w:sz="18" w:space="0"/>
            </w:tcBorders>
          </w:tcPr>
          <w:p w:rsidRPr="00503F46" w:rsidR="00EC63B1" w:rsidP="002B0C69" w:rsidRDefault="00EC63B1" w14:paraId="4C74761D"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c>
          <w:tcPr>
            <w:tcW w:w="596" w:type="dxa"/>
            <w:tcBorders>
              <w:top w:val="single" w:color="A6A6A6" w:themeColor="background1" w:themeShade="A6" w:sz="4" w:space="0"/>
              <w:bottom w:val="single" w:color="7F7F7F" w:themeColor="text1" w:themeTint="80" w:sz="18" w:space="0"/>
            </w:tcBorders>
          </w:tcPr>
          <w:p w:rsidRPr="00503F46" w:rsidR="00EC63B1" w:rsidP="002B0C69" w:rsidRDefault="00EC63B1" w14:paraId="2AE416D2"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c>
          <w:tcPr>
            <w:tcW w:w="598" w:type="dxa"/>
            <w:tcBorders>
              <w:top w:val="single" w:color="A6A6A6" w:themeColor="background1" w:themeShade="A6" w:sz="4" w:space="0"/>
              <w:bottom w:val="single" w:color="7F7F7F" w:themeColor="text1" w:themeTint="80" w:sz="18" w:space="0"/>
            </w:tcBorders>
          </w:tcPr>
          <w:p w:rsidRPr="00503F46" w:rsidR="00EC63B1" w:rsidP="002B0C69" w:rsidRDefault="00EC63B1" w14:paraId="0B4C396E"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c>
          <w:tcPr>
            <w:tcW w:w="736" w:type="dxa"/>
            <w:tcBorders>
              <w:top w:val="single" w:color="A6A6A6" w:themeColor="background1" w:themeShade="A6" w:sz="4" w:space="0"/>
              <w:bottom w:val="single" w:color="7F7F7F" w:themeColor="text1" w:themeTint="80" w:sz="18" w:space="0"/>
            </w:tcBorders>
          </w:tcPr>
          <w:p w:rsidRPr="00503F46" w:rsidR="00EC63B1" w:rsidP="002B0C69" w:rsidRDefault="00EC63B1" w14:paraId="0643DADA" w14:textId="77777777">
            <w:pPr>
              <w:pStyle w:val="BodyText-IPR"/>
              <w:spacing w:after="0"/>
              <w:jc w:val="center"/>
              <w:rPr>
                <w:rFonts w:asciiTheme="minorHAnsi" w:hAnsiTheme="minorHAnsi" w:cstheme="minorHAnsi"/>
                <w:szCs w:val="20"/>
              </w:rPr>
            </w:pPr>
            <w:r w:rsidRPr="00503F46">
              <w:rPr>
                <w:rFonts w:asciiTheme="minorHAnsi" w:hAnsiTheme="minorHAnsi" w:cstheme="minorHAnsi"/>
                <w:szCs w:val="20"/>
              </w:rPr>
              <w:t>12</w:t>
            </w:r>
          </w:p>
        </w:tc>
      </w:tr>
    </w:tbl>
    <w:p w:rsidRPr="00960E81" w:rsidR="004B37B7" w:rsidP="00960E81" w:rsidRDefault="00EC63B1" w14:paraId="4734D455" w14:textId="4950DB66">
      <w:pPr>
        <w:pStyle w:val="FtnteBodyText-IPR"/>
        <w:spacing w:before="60"/>
        <w:rPr>
          <w:sz w:val="18"/>
          <w:szCs w:val="18"/>
        </w:rPr>
      </w:pPr>
      <w:r w:rsidRPr="00960E81">
        <w:rPr>
          <w:sz w:val="18"/>
          <w:szCs w:val="18"/>
        </w:rPr>
        <w:t>Notes: FS = food secure; LFS = low food secure; VLFS = very low food secure</w:t>
      </w:r>
    </w:p>
    <w:p w:rsidR="004B37B7" w:rsidP="00503F46" w:rsidRDefault="00F64691" w14:paraId="720A2C3E" w14:textId="732E3AC4">
      <w:pPr>
        <w:pStyle w:val="BodyText-IPR"/>
        <w:spacing w:line="480" w:lineRule="exact"/>
      </w:pPr>
      <w:r>
        <w:t xml:space="preserve">As recommended by a Technical Working Group member, the study team will allow for some flexibility regarding the number of completed interviews per subgroup. Interviewers will participate in weekly or biweekly meetings to discuss recruitment efforts, information gaps, and commonalities across interviewees and subgroups. </w:t>
      </w:r>
      <w:r w:rsidR="004843E4">
        <w:t xml:space="preserve">These discussions can help inform decisions about how many interviews are sufficient for a particular subgroup. </w:t>
      </w:r>
      <w:r>
        <w:t xml:space="preserve">If data collectors are unable to recruit </w:t>
      </w:r>
      <w:r w:rsidR="004843E4">
        <w:t xml:space="preserve">an acceptable number </w:t>
      </w:r>
      <w:r>
        <w:t>interviewees from the list of survey respondents who express interest, the study team will seek assistance from local community partners that serve the target</w:t>
      </w:r>
      <w:r w:rsidRPr="002608F4">
        <w:t xml:space="preserve"> population</w:t>
      </w:r>
      <w:r>
        <w:t xml:space="preserve">. </w:t>
      </w:r>
      <w:r w:rsidR="004843E4">
        <w:t xml:space="preserve">The team will provide a study announcement (see Appendix </w:t>
      </w:r>
      <w:r w:rsidR="004421E2">
        <w:t>I</w:t>
      </w:r>
      <w:r w:rsidR="004843E4">
        <w:t>.</w:t>
      </w:r>
      <w:r w:rsidR="00D76C2F">
        <w:t>3</w:t>
      </w:r>
      <w:r w:rsidR="004421E2">
        <w:t xml:space="preserve"> and I.</w:t>
      </w:r>
      <w:r w:rsidR="00D76C2F">
        <w:t>6</w:t>
      </w:r>
      <w:r w:rsidR="004843E4">
        <w:t xml:space="preserve">) for local partners to disseminate via social media or display in places where members of the target population are likely to see it. The announcement will include a brief description of the study and a toll-free number. Interviewers residing in Puerto Rico </w:t>
      </w:r>
      <w:r w:rsidR="004B37B7">
        <w:t xml:space="preserve">will answer calls to the toll-free number and use a screening script to determine whether a caller belongs to one of the subgroups </w:t>
      </w:r>
      <w:r w:rsidR="00505925">
        <w:t xml:space="preserve">being </w:t>
      </w:r>
      <w:r w:rsidR="004B37B7">
        <w:t>recruit</w:t>
      </w:r>
      <w:r w:rsidR="00505925">
        <w:t>ed</w:t>
      </w:r>
      <w:r w:rsidR="004816F1">
        <w:t xml:space="preserve"> (see </w:t>
      </w:r>
      <w:r w:rsidR="00505925">
        <w:t>A</w:t>
      </w:r>
      <w:r w:rsidR="004816F1">
        <w:t xml:space="preserve">ppendix </w:t>
      </w:r>
      <w:r w:rsidR="002A0E0D">
        <w:t>I</w:t>
      </w:r>
      <w:r w:rsidR="004843E4">
        <w:t>.</w:t>
      </w:r>
      <w:r w:rsidR="00D76C2F">
        <w:t>2</w:t>
      </w:r>
      <w:r w:rsidR="004421E2">
        <w:t xml:space="preserve"> and </w:t>
      </w:r>
      <w:r w:rsidR="002A0E0D">
        <w:t>I</w:t>
      </w:r>
      <w:r w:rsidR="004843E4">
        <w:t>.</w:t>
      </w:r>
      <w:r w:rsidR="00D76C2F">
        <w:t>5</w:t>
      </w:r>
      <w:r w:rsidR="004843E4">
        <w:t xml:space="preserve">). </w:t>
      </w:r>
      <w:r w:rsidR="004B37B7">
        <w:t xml:space="preserve">Screening questions will ask about NAP participation, presence of children in the household, and household income. </w:t>
      </w:r>
    </w:p>
    <w:p w:rsidR="004B37B7" w:rsidP="00503F46" w:rsidRDefault="004B37B7" w14:paraId="66CE4EEF" w14:textId="072F17BA">
      <w:pPr>
        <w:pStyle w:val="BodyText-IPR"/>
        <w:spacing w:after="120" w:line="480" w:lineRule="exact"/>
        <w:rPr>
          <w:b/>
          <w:bCs/>
          <w:i/>
          <w:iCs/>
        </w:rPr>
      </w:pPr>
      <w:r w:rsidRPr="002D3C5E">
        <w:rPr>
          <w:b/>
          <w:bCs/>
          <w:i/>
          <w:iCs/>
        </w:rPr>
        <w:t xml:space="preserve">Concept </w:t>
      </w:r>
      <w:r w:rsidR="00122326">
        <w:rPr>
          <w:b/>
          <w:bCs/>
          <w:i/>
          <w:iCs/>
        </w:rPr>
        <w:t>m</w:t>
      </w:r>
      <w:r w:rsidRPr="002D3C5E">
        <w:rPr>
          <w:b/>
          <w:bCs/>
          <w:i/>
          <w:iCs/>
        </w:rPr>
        <w:t>apping</w:t>
      </w:r>
    </w:p>
    <w:p w:rsidRPr="002D3C5E" w:rsidR="00A44350" w:rsidP="00503F46" w:rsidRDefault="00505925" w14:paraId="5C2316E7" w14:textId="1315E504">
      <w:pPr>
        <w:pStyle w:val="BodyText-IPR"/>
        <w:spacing w:line="480" w:lineRule="exact"/>
      </w:pPr>
      <w:r>
        <w:t xml:space="preserve">The study team </w:t>
      </w:r>
      <w:r w:rsidR="00A44350">
        <w:t xml:space="preserve">will </w:t>
      </w:r>
      <w:r w:rsidR="00A24669">
        <w:t xml:space="preserve">assemble </w:t>
      </w:r>
      <w:r w:rsidR="00A44350">
        <w:t>a list of stakeholders for the concept</w:t>
      </w:r>
      <w:r>
        <w:t>-</w:t>
      </w:r>
      <w:r w:rsidR="00A44350">
        <w:t>mapping task by asking F</w:t>
      </w:r>
      <w:r w:rsidRPr="005210BA" w:rsidR="00A44350">
        <w:t>NS staff and</w:t>
      </w:r>
      <w:r w:rsidR="00A24669">
        <w:t xml:space="preserve"> the study’s</w:t>
      </w:r>
      <w:r w:rsidRPr="005210BA" w:rsidR="00A44350">
        <w:t xml:space="preserve"> </w:t>
      </w:r>
      <w:r w:rsidR="004816F1">
        <w:t>Technical Working Group (</w:t>
      </w:r>
      <w:r w:rsidRPr="005210BA" w:rsidR="00A44350">
        <w:t>TWG</w:t>
      </w:r>
      <w:r w:rsidR="004816F1">
        <w:t>)</w:t>
      </w:r>
      <w:r w:rsidRPr="005210BA" w:rsidR="00A44350">
        <w:t xml:space="preserve"> members</w:t>
      </w:r>
      <w:r w:rsidR="00A44350">
        <w:t xml:space="preserve"> for recommendations. </w:t>
      </w:r>
      <w:r w:rsidR="0030231D">
        <w:t xml:space="preserve">The study team will send identified stakeholders a recruitment letter that explains the concept-mapping task and requests their participation (see Appendix </w:t>
      </w:r>
      <w:r w:rsidR="004421E2">
        <w:t>K</w:t>
      </w:r>
      <w:r w:rsidR="00767E69">
        <w:t>.1 and K.2</w:t>
      </w:r>
      <w:r w:rsidR="0030231D">
        <w:t>). I</w:t>
      </w:r>
      <w:r w:rsidR="00FF04E7">
        <w:t>nvited stakeholders</w:t>
      </w:r>
      <w:r w:rsidR="0030231D">
        <w:t xml:space="preserve"> will be </w:t>
      </w:r>
      <w:r w:rsidR="00FF04E7">
        <w:t>ask</w:t>
      </w:r>
      <w:r w:rsidR="0030231D">
        <w:t xml:space="preserve">ed </w:t>
      </w:r>
      <w:r w:rsidR="00FF04E7">
        <w:t xml:space="preserve">to recommend additional </w:t>
      </w:r>
      <w:r w:rsidR="0030231D">
        <w:t xml:space="preserve">participants </w:t>
      </w:r>
      <w:r w:rsidR="00FF04E7">
        <w:t xml:space="preserve">until </w:t>
      </w:r>
      <w:r w:rsidR="0030231D">
        <w:t>six</w:t>
      </w:r>
      <w:r w:rsidRPr="005210BA" w:rsidR="0030231D">
        <w:t xml:space="preserve"> stakeholder groups </w:t>
      </w:r>
      <w:r w:rsidR="0030231D">
        <w:t>representing different sectors (e.g., public agencies, human service providers) are formed</w:t>
      </w:r>
      <w:r w:rsidRPr="005210BA" w:rsidR="0030231D">
        <w:t xml:space="preserve">. </w:t>
      </w:r>
      <w:r w:rsidR="0030231D">
        <w:t>Each group will include about seven</w:t>
      </w:r>
      <w:r w:rsidRPr="005210BA" w:rsidR="0030231D">
        <w:t xml:space="preserve"> members</w:t>
      </w:r>
      <w:r w:rsidR="0030231D">
        <w:t xml:space="preserve">. </w:t>
      </w:r>
      <w:r w:rsidRPr="005210BA" w:rsidR="0030231D">
        <w:t>This</w:t>
      </w:r>
      <w:r w:rsidR="0030231D">
        <w:t xml:space="preserve"> number of groups and </w:t>
      </w:r>
      <w:r w:rsidR="0030231D">
        <w:lastRenderedPageBreak/>
        <w:t xml:space="preserve">participating individuals </w:t>
      </w:r>
      <w:r w:rsidRPr="005210BA" w:rsidR="0030231D">
        <w:t xml:space="preserve">will help ensure each </w:t>
      </w:r>
      <w:r w:rsidR="0030231D">
        <w:t>g</w:t>
      </w:r>
      <w:r w:rsidRPr="005210BA" w:rsidR="0030231D">
        <w:t>roup is small enough to engage in the data collection task</w:t>
      </w:r>
      <w:r w:rsidR="0030231D">
        <w:t>, and that stakeholders collectively represent a broad array of knowledge and experience.</w:t>
      </w:r>
    </w:p>
    <w:p w:rsidRPr="00B62368" w:rsidR="00657EB9" w:rsidP="0022020C" w:rsidRDefault="00F67443" w14:paraId="1F9FA17F" w14:textId="788706D3">
      <w:pPr>
        <w:pStyle w:val="Heading4NoLetter-IPR"/>
        <w:spacing w:before="240" w:after="120"/>
      </w:pPr>
      <w:r>
        <w:t>B.1.3</w:t>
      </w:r>
      <w:r w:rsidR="00122326">
        <w:t>.</w:t>
      </w:r>
      <w:r>
        <w:tab/>
      </w:r>
      <w:r w:rsidRPr="00B62368" w:rsidR="00657EB9">
        <w:t>Estimated Number of Respondents</w:t>
      </w:r>
    </w:p>
    <w:p w:rsidR="006F56BF" w:rsidP="00960E81" w:rsidRDefault="00504C03" w14:paraId="2AA8474D" w14:textId="421BF67D">
      <w:pPr>
        <w:pStyle w:val="BodyText-IPR"/>
        <w:spacing w:line="480" w:lineRule="exact"/>
        <w:rPr>
          <w:b/>
          <w:bCs/>
          <w:i/>
          <w:iCs/>
        </w:rPr>
      </w:pPr>
      <w:r>
        <w:t>This study will gather data through a</w:t>
      </w:r>
      <w:r w:rsidR="001730FD">
        <w:t xml:space="preserve"> representative</w:t>
      </w:r>
      <w:r>
        <w:t xml:space="preserve"> household survey, in-depth interviews</w:t>
      </w:r>
      <w:r w:rsidR="001730FD">
        <w:t xml:space="preserve"> with NAP participants and low-income nonparticipants</w:t>
      </w:r>
      <w:r>
        <w:t>, and concept mapping. This new information collection will have 12,</w:t>
      </w:r>
      <w:r w:rsidR="00330660">
        <w:t>504</w:t>
      </w:r>
      <w:r>
        <w:t xml:space="preserve"> respondents (19 </w:t>
      </w:r>
      <w:r w:rsidR="002F6E33">
        <w:t>Puerto Ric</w:t>
      </w:r>
      <w:r w:rsidR="005F44AE">
        <w:t>o</w:t>
      </w:r>
      <w:r w:rsidR="002F6E33">
        <w:t xml:space="preserve"> </w:t>
      </w:r>
      <w:r w:rsidR="005F44AE">
        <w:t>G</w:t>
      </w:r>
      <w:r>
        <w:t>overnment staff; 18 staff from businesses or other for-profit organizations; 18 staff from nonprofit organizations; and 12,4</w:t>
      </w:r>
      <w:r w:rsidR="002F6E33">
        <w:t>4</w:t>
      </w:r>
      <w:r w:rsidR="00330660">
        <w:t>9</w:t>
      </w:r>
      <w:r>
        <w:t xml:space="preserve"> individuals). It is anticipated that of the </w:t>
      </w:r>
      <w:r w:rsidR="00732826">
        <w:t>12,</w:t>
      </w:r>
      <w:r w:rsidR="00330660">
        <w:t>504</w:t>
      </w:r>
      <w:r>
        <w:t xml:space="preserve"> contacted, 3,7</w:t>
      </w:r>
      <w:r w:rsidR="009B69CE">
        <w:t>4</w:t>
      </w:r>
      <w:r w:rsidR="00330660">
        <w:t>5</w:t>
      </w:r>
      <w:r>
        <w:t xml:space="preserve"> will be responsive and 8,7</w:t>
      </w:r>
      <w:r w:rsidR="00732826">
        <w:t>5</w:t>
      </w:r>
      <w:r w:rsidR="00330660">
        <w:t>9</w:t>
      </w:r>
      <w:r>
        <w:t xml:space="preserve"> will be nonresponsive. Table B.1.</w:t>
      </w:r>
      <w:r w:rsidR="00B96425">
        <w:t>2</w:t>
      </w:r>
      <w:r>
        <w:t xml:space="preserve"> provides the breakout of respondents and nonrespondents by respondent type</w:t>
      </w:r>
      <w:r w:rsidR="00124043">
        <w:t xml:space="preserve"> and the expected response rate</w:t>
      </w:r>
      <w:r w:rsidR="00016367">
        <w:t>;</w:t>
      </w:r>
      <w:r w:rsidRPr="00016367" w:rsidR="00016367">
        <w:t xml:space="preserve"> </w:t>
      </w:r>
      <w:r w:rsidR="00016367">
        <w:t xml:space="preserve">see section B.3 for details on efforts to ensure the intended response rates are achieved. Appendix </w:t>
      </w:r>
      <w:r w:rsidR="004421E2">
        <w:t>T</w:t>
      </w:r>
      <w:r w:rsidR="00016367">
        <w:t xml:space="preserve"> provides a full breakdown of respondents.</w:t>
      </w:r>
    </w:p>
    <w:p w:rsidR="000B3AE7" w:rsidP="00960E81" w:rsidRDefault="000B3AE7" w14:paraId="2D52433C" w14:textId="0292B376">
      <w:pPr>
        <w:pStyle w:val="TableTitle-IPR"/>
      </w:pPr>
      <w:bookmarkStart w:name="_Hlk94708893" w:id="21"/>
      <w:bookmarkStart w:name="_Toc511721620" w:id="22"/>
      <w:bookmarkStart w:name="_Toc78365137" w:id="23"/>
      <w:bookmarkStart w:name="_Hlk94708965" w:id="24"/>
      <w:r w:rsidRPr="00960E81">
        <w:t>Table B.1.</w:t>
      </w:r>
      <w:r w:rsidRPr="00960E81" w:rsidR="003D1289">
        <w:t>2</w:t>
      </w:r>
      <w:bookmarkEnd w:id="21"/>
      <w:r w:rsidRPr="00960E81">
        <w:t>. Breakout of Respondents and Nonrespondents by Respondent Type</w:t>
      </w:r>
      <w:bookmarkEnd w:id="22"/>
      <w:bookmarkEnd w:id="23"/>
    </w:p>
    <w:tbl>
      <w:tblPr>
        <w:tblStyle w:val="InsightTable"/>
        <w:tblW w:w="5017" w:type="pct"/>
        <w:tblLayout w:type="fixed"/>
        <w:tblCellMar>
          <w:left w:w="58" w:type="dxa"/>
          <w:right w:w="58" w:type="dxa"/>
        </w:tblCellMar>
        <w:tblLook w:val="04A0" w:firstRow="1" w:lastRow="0" w:firstColumn="1" w:lastColumn="0" w:noHBand="0" w:noVBand="1"/>
      </w:tblPr>
      <w:tblGrid>
        <w:gridCol w:w="1923"/>
        <w:gridCol w:w="2609"/>
        <w:gridCol w:w="1080"/>
        <w:gridCol w:w="1349"/>
        <w:gridCol w:w="1533"/>
        <w:gridCol w:w="898"/>
      </w:tblGrid>
      <w:tr w:rsidRPr="00B62368" w:rsidR="006F56BF" w:rsidTr="006F56BF" w14:paraId="3AC65B99"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2413" w:type="pct"/>
            <w:gridSpan w:val="2"/>
          </w:tcPr>
          <w:p w:rsidR="00016367" w:rsidP="00960E81" w:rsidRDefault="00016367" w14:paraId="71EC96C9" w14:textId="77777777">
            <w:pPr>
              <w:rPr>
                <w:rFonts w:ascii="Lucida Sans" w:hAnsi="Lucida Sans"/>
                <w:b/>
                <w:bCs/>
                <w:sz w:val="18"/>
                <w:szCs w:val="20"/>
              </w:rPr>
            </w:pPr>
            <w:r w:rsidRPr="00B62368">
              <w:rPr>
                <w:rFonts w:ascii="Lucida Sans" w:hAnsi="Lucida Sans"/>
                <w:b/>
                <w:bCs/>
                <w:sz w:val="18"/>
                <w:szCs w:val="20"/>
              </w:rPr>
              <w:t>Respondent Type</w:t>
            </w:r>
          </w:p>
        </w:tc>
        <w:tc>
          <w:tcPr>
            <w:tcW w:w="575" w:type="pct"/>
          </w:tcPr>
          <w:p w:rsidRPr="00B62368" w:rsidR="00016367" w:rsidRDefault="00016367" w14:paraId="1C61A491" w14:textId="77777777">
            <w:pPr>
              <w:rPr>
                <w:rFonts w:ascii="Lucida Sans" w:hAnsi="Lucida Sans"/>
                <w:b/>
                <w:bCs/>
                <w:sz w:val="18"/>
                <w:szCs w:val="20"/>
              </w:rPr>
            </w:pPr>
            <w:r w:rsidRPr="00B62368">
              <w:rPr>
                <w:rFonts w:ascii="Lucida Sans" w:hAnsi="Lucida Sans"/>
                <w:b/>
                <w:bCs/>
                <w:sz w:val="18"/>
                <w:szCs w:val="20"/>
              </w:rPr>
              <w:t>Total Contacted</w:t>
            </w:r>
          </w:p>
        </w:tc>
        <w:tc>
          <w:tcPr>
            <w:tcW w:w="718" w:type="pct"/>
          </w:tcPr>
          <w:p w:rsidRPr="00B62368" w:rsidR="00016367" w:rsidRDefault="00016367" w14:paraId="68F318C7" w14:textId="77777777">
            <w:pPr>
              <w:rPr>
                <w:rFonts w:ascii="Lucida Sans" w:hAnsi="Lucida Sans"/>
                <w:b/>
                <w:bCs/>
                <w:sz w:val="18"/>
                <w:szCs w:val="20"/>
              </w:rPr>
            </w:pPr>
            <w:r w:rsidRPr="00B62368">
              <w:rPr>
                <w:rFonts w:ascii="Lucida Sans" w:hAnsi="Lucida Sans"/>
                <w:b/>
                <w:bCs/>
                <w:sz w:val="18"/>
                <w:szCs w:val="20"/>
              </w:rPr>
              <w:t>Number of Respondents</w:t>
            </w:r>
          </w:p>
        </w:tc>
        <w:tc>
          <w:tcPr>
            <w:tcW w:w="816" w:type="pct"/>
          </w:tcPr>
          <w:p w:rsidRPr="00B62368" w:rsidR="00016367" w:rsidRDefault="00016367" w14:paraId="510A7CC8" w14:textId="77777777">
            <w:pPr>
              <w:ind w:left="-61" w:right="-57"/>
              <w:rPr>
                <w:rFonts w:ascii="Lucida Sans" w:hAnsi="Lucida Sans"/>
                <w:b/>
                <w:bCs/>
                <w:sz w:val="18"/>
                <w:szCs w:val="20"/>
              </w:rPr>
            </w:pPr>
            <w:r w:rsidRPr="00B62368">
              <w:rPr>
                <w:rFonts w:ascii="Lucida Sans" w:hAnsi="Lucida Sans"/>
                <w:b/>
                <w:bCs/>
                <w:sz w:val="18"/>
                <w:szCs w:val="20"/>
              </w:rPr>
              <w:t>Number of Nonrespondents</w:t>
            </w:r>
          </w:p>
        </w:tc>
        <w:tc>
          <w:tcPr>
            <w:tcW w:w="478" w:type="pct"/>
          </w:tcPr>
          <w:p w:rsidRPr="00B62368" w:rsidR="00016367" w:rsidRDefault="00016367" w14:paraId="1A61F37A" w14:textId="77777777">
            <w:pPr>
              <w:ind w:left="-61" w:right="-57"/>
              <w:rPr>
                <w:rFonts w:ascii="Lucida Sans" w:hAnsi="Lucida Sans"/>
                <w:b/>
                <w:bCs/>
                <w:sz w:val="18"/>
                <w:szCs w:val="20"/>
              </w:rPr>
            </w:pPr>
            <w:r>
              <w:rPr>
                <w:rFonts w:ascii="Lucida Sans" w:hAnsi="Lucida Sans"/>
                <w:b/>
                <w:bCs/>
                <w:sz w:val="18"/>
                <w:szCs w:val="20"/>
              </w:rPr>
              <w:t>Response Rate</w:t>
            </w:r>
          </w:p>
        </w:tc>
      </w:tr>
      <w:tr w:rsidRPr="00124043" w:rsidR="00016367" w:rsidTr="007C531B" w14:paraId="420E84DB" w14:textId="77777777">
        <w:trPr>
          <w:trHeight w:val="288"/>
        </w:trPr>
        <w:tc>
          <w:tcPr>
            <w:tcW w:w="5000" w:type="pct"/>
            <w:gridSpan w:val="6"/>
            <w:shd w:val="clear" w:color="auto" w:fill="F2F2F2" w:themeFill="background1" w:themeFillShade="F2"/>
          </w:tcPr>
          <w:p w:rsidRPr="00960E81" w:rsidR="00016367" w:rsidRDefault="00016367" w14:paraId="66B4D2F9" w14:textId="77777777">
            <w:pPr>
              <w:pStyle w:val="TableText-IPR"/>
              <w:rPr>
                <w:b/>
                <w:bCs/>
              </w:rPr>
            </w:pPr>
            <w:r w:rsidRPr="00960E81">
              <w:rPr>
                <w:b/>
                <w:bCs/>
              </w:rPr>
              <w:t>Concept mapping</w:t>
            </w:r>
          </w:p>
        </w:tc>
      </w:tr>
      <w:tr w:rsidRPr="00B62368" w:rsidR="006F56BF" w:rsidTr="006F56BF" w14:paraId="598B73CB" w14:textId="77777777">
        <w:trPr>
          <w:trHeight w:val="288"/>
        </w:trPr>
        <w:tc>
          <w:tcPr>
            <w:tcW w:w="1024" w:type="pct"/>
          </w:tcPr>
          <w:p w:rsidRPr="00503F46" w:rsidR="00016367" w:rsidRDefault="00016367" w14:paraId="420B9CB3" w14:textId="77777777">
            <w:pPr>
              <w:pStyle w:val="TableText-IPR"/>
            </w:pPr>
            <w:r w:rsidRPr="00503F46">
              <w:t>Puerto Rico Government</w:t>
            </w:r>
          </w:p>
        </w:tc>
        <w:tc>
          <w:tcPr>
            <w:tcW w:w="1389" w:type="pct"/>
          </w:tcPr>
          <w:p w:rsidRPr="00503F46" w:rsidR="00016367" w:rsidRDefault="00016367" w14:paraId="52876262" w14:textId="77777777">
            <w:pPr>
              <w:pStyle w:val="TableText-IPR"/>
              <w:rPr>
                <w:rFonts w:asciiTheme="minorHAnsi" w:hAnsiTheme="minorHAnsi"/>
              </w:rPr>
            </w:pPr>
            <w:r w:rsidRPr="00503F46">
              <w:rPr>
                <w:rFonts w:asciiTheme="minorHAnsi" w:hAnsiTheme="minorHAnsi"/>
              </w:rPr>
              <w:t>Human services, education, and healthcare agency staff</w:t>
            </w:r>
          </w:p>
        </w:tc>
        <w:tc>
          <w:tcPr>
            <w:tcW w:w="575" w:type="pct"/>
            <w:shd w:val="clear" w:color="auto" w:fill="auto"/>
          </w:tcPr>
          <w:p w:rsidRPr="00117B49" w:rsidR="00016367" w:rsidP="001315E2" w:rsidRDefault="00016367" w14:paraId="2ED61DE6" w14:textId="77777777">
            <w:pPr>
              <w:pStyle w:val="TableText-IPR"/>
              <w:jc w:val="right"/>
            </w:pPr>
            <w:r w:rsidRPr="00117B49">
              <w:t>18</w:t>
            </w:r>
          </w:p>
        </w:tc>
        <w:tc>
          <w:tcPr>
            <w:tcW w:w="718" w:type="pct"/>
          </w:tcPr>
          <w:p w:rsidRPr="00503F46" w:rsidR="00016367" w:rsidP="001315E2" w:rsidRDefault="00016367" w14:paraId="6745C14A" w14:textId="77777777">
            <w:pPr>
              <w:pStyle w:val="TableText-IPR"/>
              <w:jc w:val="right"/>
            </w:pPr>
            <w:r w:rsidRPr="00503F46">
              <w:t>14</w:t>
            </w:r>
          </w:p>
        </w:tc>
        <w:tc>
          <w:tcPr>
            <w:tcW w:w="816" w:type="pct"/>
          </w:tcPr>
          <w:p w:rsidRPr="00503F46" w:rsidR="00016367" w:rsidP="001315E2" w:rsidRDefault="00016367" w14:paraId="7A1531AF" w14:textId="77777777">
            <w:pPr>
              <w:pStyle w:val="TableText-IPR"/>
              <w:jc w:val="right"/>
            </w:pPr>
            <w:r w:rsidRPr="00503F46">
              <w:t>4</w:t>
            </w:r>
          </w:p>
        </w:tc>
        <w:tc>
          <w:tcPr>
            <w:tcW w:w="478" w:type="pct"/>
          </w:tcPr>
          <w:p w:rsidRPr="00503F46" w:rsidR="00016367" w:rsidP="001315E2" w:rsidRDefault="00016367" w14:paraId="1A2005CE" w14:textId="77777777">
            <w:pPr>
              <w:pStyle w:val="TableText-IPR"/>
              <w:jc w:val="right"/>
            </w:pPr>
            <w:r>
              <w:t>0.78</w:t>
            </w:r>
          </w:p>
        </w:tc>
      </w:tr>
      <w:tr w:rsidRPr="00B62368" w:rsidR="006F56BF" w:rsidTr="006F56BF" w14:paraId="1DC407F2" w14:textId="77777777">
        <w:trPr>
          <w:trHeight w:val="288"/>
        </w:trPr>
        <w:tc>
          <w:tcPr>
            <w:tcW w:w="1024" w:type="pct"/>
          </w:tcPr>
          <w:p w:rsidRPr="00503F46" w:rsidR="00016367" w:rsidRDefault="00016367" w14:paraId="55E62948" w14:textId="77777777">
            <w:pPr>
              <w:pStyle w:val="TableText-IPR"/>
            </w:pPr>
            <w:r w:rsidRPr="00503F46">
              <w:t>Business or other</w:t>
            </w:r>
            <w:r>
              <w:t xml:space="preserve"> </w:t>
            </w:r>
            <w:r w:rsidRPr="00503F46">
              <w:t>for-profit organizations</w:t>
            </w:r>
          </w:p>
        </w:tc>
        <w:tc>
          <w:tcPr>
            <w:tcW w:w="1389" w:type="pct"/>
          </w:tcPr>
          <w:p w:rsidRPr="00503F46" w:rsidR="00016367" w:rsidRDefault="00016367" w14:paraId="79CA96A1" w14:textId="77777777">
            <w:pPr>
              <w:pStyle w:val="TableText-IPR"/>
            </w:pPr>
            <w:r w:rsidRPr="00503F46">
              <w:t>Private business and academia staff</w:t>
            </w:r>
          </w:p>
        </w:tc>
        <w:tc>
          <w:tcPr>
            <w:tcW w:w="575" w:type="pct"/>
            <w:shd w:val="clear" w:color="auto" w:fill="auto"/>
          </w:tcPr>
          <w:p w:rsidRPr="00117B49" w:rsidR="00016367" w:rsidP="001315E2" w:rsidRDefault="00016367" w14:paraId="6C0198C5" w14:textId="77777777">
            <w:pPr>
              <w:pStyle w:val="TableText-IPR"/>
              <w:jc w:val="right"/>
            </w:pPr>
            <w:r w:rsidRPr="00117B49">
              <w:t>18</w:t>
            </w:r>
          </w:p>
        </w:tc>
        <w:tc>
          <w:tcPr>
            <w:tcW w:w="718" w:type="pct"/>
          </w:tcPr>
          <w:p w:rsidRPr="00503F46" w:rsidR="00016367" w:rsidP="001315E2" w:rsidRDefault="00016367" w14:paraId="144EA831" w14:textId="77777777">
            <w:pPr>
              <w:pStyle w:val="TableText-IPR"/>
              <w:jc w:val="right"/>
            </w:pPr>
            <w:r w:rsidRPr="00503F46">
              <w:t>14</w:t>
            </w:r>
          </w:p>
        </w:tc>
        <w:tc>
          <w:tcPr>
            <w:tcW w:w="816" w:type="pct"/>
          </w:tcPr>
          <w:p w:rsidRPr="00503F46" w:rsidR="00016367" w:rsidP="001315E2" w:rsidRDefault="00016367" w14:paraId="28972590" w14:textId="77777777">
            <w:pPr>
              <w:pStyle w:val="TableText-IPR"/>
              <w:jc w:val="right"/>
            </w:pPr>
            <w:r w:rsidRPr="00503F46">
              <w:t>4</w:t>
            </w:r>
          </w:p>
        </w:tc>
        <w:tc>
          <w:tcPr>
            <w:tcW w:w="478" w:type="pct"/>
          </w:tcPr>
          <w:p w:rsidRPr="00503F46" w:rsidR="00016367" w:rsidP="001315E2" w:rsidRDefault="00016367" w14:paraId="4988BCE9" w14:textId="77777777">
            <w:pPr>
              <w:pStyle w:val="TableText-IPR"/>
              <w:jc w:val="right"/>
            </w:pPr>
            <w:r>
              <w:t>0.78</w:t>
            </w:r>
          </w:p>
        </w:tc>
      </w:tr>
      <w:tr w:rsidRPr="00B62368" w:rsidR="006F56BF" w:rsidTr="007C531B" w14:paraId="7920CA57" w14:textId="77777777">
        <w:trPr>
          <w:trHeight w:val="288"/>
        </w:trPr>
        <w:tc>
          <w:tcPr>
            <w:tcW w:w="1024" w:type="pct"/>
            <w:hideMark/>
          </w:tcPr>
          <w:p w:rsidRPr="00503F46" w:rsidR="00016367" w:rsidRDefault="00016367" w14:paraId="04718577" w14:textId="77777777">
            <w:pPr>
              <w:pStyle w:val="TableText-IPR"/>
            </w:pPr>
            <w:r w:rsidRPr="00503F46">
              <w:t xml:space="preserve">Nonprofit organizations </w:t>
            </w:r>
          </w:p>
        </w:tc>
        <w:tc>
          <w:tcPr>
            <w:tcW w:w="1389" w:type="pct"/>
          </w:tcPr>
          <w:p w:rsidRPr="00503F46" w:rsidR="00016367" w:rsidRDefault="00016367" w14:paraId="1219E2B3" w14:textId="77777777">
            <w:pPr>
              <w:pStyle w:val="TableText-IPR"/>
            </w:pPr>
            <w:r w:rsidRPr="00503F46">
              <w:t>Advocacy organizations, human service</w:t>
            </w:r>
            <w:r>
              <w:t>s</w:t>
            </w:r>
            <w:r w:rsidRPr="00503F46">
              <w:t xml:space="preserve"> provider staff</w:t>
            </w:r>
          </w:p>
        </w:tc>
        <w:tc>
          <w:tcPr>
            <w:tcW w:w="575" w:type="pct"/>
            <w:shd w:val="clear" w:color="auto" w:fill="auto"/>
          </w:tcPr>
          <w:p w:rsidRPr="00117B49" w:rsidR="00016367" w:rsidP="001315E2" w:rsidRDefault="00016367" w14:paraId="061AB6E9" w14:textId="77777777">
            <w:pPr>
              <w:pStyle w:val="TableText-IPR"/>
              <w:jc w:val="right"/>
            </w:pPr>
            <w:r w:rsidRPr="00117B49">
              <w:t>18</w:t>
            </w:r>
          </w:p>
        </w:tc>
        <w:tc>
          <w:tcPr>
            <w:tcW w:w="718" w:type="pct"/>
          </w:tcPr>
          <w:p w:rsidRPr="00503F46" w:rsidR="00016367" w:rsidP="001315E2" w:rsidRDefault="00016367" w14:paraId="49E7BFDE" w14:textId="77777777">
            <w:pPr>
              <w:pStyle w:val="TableText-IPR"/>
              <w:jc w:val="right"/>
            </w:pPr>
            <w:r w:rsidRPr="00503F46">
              <w:t xml:space="preserve">14 </w:t>
            </w:r>
          </w:p>
        </w:tc>
        <w:tc>
          <w:tcPr>
            <w:tcW w:w="816" w:type="pct"/>
          </w:tcPr>
          <w:p w:rsidRPr="00503F46" w:rsidR="00016367" w:rsidP="001315E2" w:rsidRDefault="00016367" w14:paraId="5AB87C77" w14:textId="77777777">
            <w:pPr>
              <w:pStyle w:val="TableText-IPR"/>
              <w:jc w:val="right"/>
            </w:pPr>
            <w:r w:rsidRPr="00503F46">
              <w:t>4</w:t>
            </w:r>
          </w:p>
        </w:tc>
        <w:tc>
          <w:tcPr>
            <w:tcW w:w="478" w:type="pct"/>
          </w:tcPr>
          <w:p w:rsidRPr="00503F46" w:rsidR="00016367" w:rsidP="001315E2" w:rsidRDefault="00016367" w14:paraId="728BD2BE" w14:textId="77777777">
            <w:pPr>
              <w:pStyle w:val="TableText-IPR"/>
              <w:jc w:val="right"/>
            </w:pPr>
            <w:r>
              <w:t>0.78</w:t>
            </w:r>
          </w:p>
        </w:tc>
      </w:tr>
      <w:tr w:rsidRPr="00124043" w:rsidR="00016367" w:rsidTr="007C531B" w14:paraId="571CB2D7" w14:textId="77777777">
        <w:trPr>
          <w:trHeight w:val="301"/>
        </w:trPr>
        <w:tc>
          <w:tcPr>
            <w:tcW w:w="5000" w:type="pct"/>
            <w:gridSpan w:val="6"/>
            <w:shd w:val="clear" w:color="auto" w:fill="F2F2F2" w:themeFill="background1" w:themeFillShade="F2"/>
          </w:tcPr>
          <w:p w:rsidRPr="00960E81" w:rsidR="00016367" w:rsidRDefault="00016367" w14:paraId="79FF6D9A" w14:textId="77777777">
            <w:pPr>
              <w:pStyle w:val="TableText-IPR"/>
              <w:rPr>
                <w:b/>
                <w:bCs/>
              </w:rPr>
            </w:pPr>
            <w:r w:rsidRPr="00960E81">
              <w:rPr>
                <w:b/>
                <w:bCs/>
              </w:rPr>
              <w:t>Survey</w:t>
            </w:r>
          </w:p>
        </w:tc>
      </w:tr>
      <w:tr w:rsidRPr="00B62368" w:rsidR="006F56BF" w:rsidTr="006F56BF" w14:paraId="39F96029" w14:textId="77777777">
        <w:trPr>
          <w:trHeight w:val="288"/>
        </w:trPr>
        <w:tc>
          <w:tcPr>
            <w:tcW w:w="1024" w:type="pct"/>
          </w:tcPr>
          <w:p w:rsidRPr="00503F46" w:rsidR="00016367" w:rsidRDefault="00016367" w14:paraId="0305D2BA" w14:textId="77777777">
            <w:pPr>
              <w:pStyle w:val="TableText-IPR"/>
            </w:pPr>
            <w:r w:rsidRPr="00503F46">
              <w:t>Puerto Rico Government</w:t>
            </w:r>
          </w:p>
        </w:tc>
        <w:tc>
          <w:tcPr>
            <w:tcW w:w="1389" w:type="pct"/>
          </w:tcPr>
          <w:p w:rsidRPr="00503F46" w:rsidR="00016367" w:rsidRDefault="00016367" w14:paraId="1171DD46" w14:textId="77777777">
            <w:pPr>
              <w:pStyle w:val="TableText-IPR"/>
              <w:rPr>
                <w:rFonts w:asciiTheme="minorHAnsi" w:hAnsiTheme="minorHAnsi"/>
              </w:rPr>
            </w:pPr>
            <w:r w:rsidRPr="00503F46">
              <w:rPr>
                <w:rFonts w:asciiTheme="minorHAnsi" w:hAnsiTheme="minorHAnsi"/>
              </w:rPr>
              <w:t>ADSEF staff</w:t>
            </w:r>
          </w:p>
        </w:tc>
        <w:tc>
          <w:tcPr>
            <w:tcW w:w="575" w:type="pct"/>
            <w:shd w:val="clear" w:color="auto" w:fill="auto"/>
          </w:tcPr>
          <w:p w:rsidRPr="00503F46" w:rsidR="00016367" w:rsidP="001315E2" w:rsidRDefault="00016367" w14:paraId="584286A5" w14:textId="77777777">
            <w:pPr>
              <w:pStyle w:val="TableText-IPR"/>
              <w:jc w:val="right"/>
            </w:pPr>
            <w:r w:rsidRPr="00503F46">
              <w:t>1</w:t>
            </w:r>
          </w:p>
        </w:tc>
        <w:tc>
          <w:tcPr>
            <w:tcW w:w="718" w:type="pct"/>
          </w:tcPr>
          <w:p w:rsidRPr="00503F46" w:rsidR="00016367" w:rsidP="001315E2" w:rsidRDefault="00016367" w14:paraId="0B344BF9" w14:textId="77777777">
            <w:pPr>
              <w:pStyle w:val="TableText-IPR"/>
              <w:jc w:val="right"/>
            </w:pPr>
            <w:r w:rsidRPr="00503F46">
              <w:t>1</w:t>
            </w:r>
          </w:p>
        </w:tc>
        <w:tc>
          <w:tcPr>
            <w:tcW w:w="816" w:type="pct"/>
          </w:tcPr>
          <w:p w:rsidRPr="00503F46" w:rsidR="00016367" w:rsidP="001315E2" w:rsidRDefault="00016367" w14:paraId="705355BD" w14:textId="77777777">
            <w:pPr>
              <w:pStyle w:val="TableText-IPR"/>
              <w:jc w:val="right"/>
            </w:pPr>
            <w:r w:rsidRPr="00503F46">
              <w:t>0</w:t>
            </w:r>
          </w:p>
        </w:tc>
        <w:tc>
          <w:tcPr>
            <w:tcW w:w="478" w:type="pct"/>
          </w:tcPr>
          <w:p w:rsidRPr="00503F46" w:rsidR="00016367" w:rsidP="001315E2" w:rsidRDefault="00016367" w14:paraId="480D1C09" w14:textId="77777777">
            <w:pPr>
              <w:pStyle w:val="TableText-IPR"/>
              <w:jc w:val="right"/>
            </w:pPr>
            <w:r>
              <w:t>1.00</w:t>
            </w:r>
          </w:p>
        </w:tc>
      </w:tr>
      <w:tr w:rsidRPr="00B62368" w:rsidR="006F56BF" w:rsidTr="006F56BF" w14:paraId="3B32B408" w14:textId="77777777">
        <w:trPr>
          <w:trHeight w:val="301"/>
        </w:trPr>
        <w:tc>
          <w:tcPr>
            <w:tcW w:w="1024" w:type="pct"/>
            <w:vMerge w:val="restart"/>
          </w:tcPr>
          <w:p w:rsidRPr="00503F46" w:rsidR="00016367" w:rsidRDefault="00016367" w14:paraId="2EEAC509" w14:textId="77777777">
            <w:pPr>
              <w:pStyle w:val="TableText-IPR"/>
            </w:pPr>
            <w:r w:rsidRPr="00503F46">
              <w:t>Individuals</w:t>
            </w:r>
          </w:p>
        </w:tc>
        <w:tc>
          <w:tcPr>
            <w:tcW w:w="1389" w:type="pct"/>
          </w:tcPr>
          <w:p w:rsidRPr="00503F46" w:rsidR="00016367" w:rsidRDefault="00016367" w14:paraId="7F95B053" w14:textId="77777777">
            <w:pPr>
              <w:pStyle w:val="TableText-IPR"/>
            </w:pPr>
            <w:r w:rsidRPr="00503F46">
              <w:t>Pretest participants</w:t>
            </w:r>
          </w:p>
        </w:tc>
        <w:tc>
          <w:tcPr>
            <w:tcW w:w="575" w:type="pct"/>
            <w:shd w:val="clear" w:color="auto" w:fill="auto"/>
          </w:tcPr>
          <w:p w:rsidRPr="00503F46" w:rsidR="00016367" w:rsidP="001315E2" w:rsidRDefault="00016367" w14:paraId="2C9A59FD" w14:textId="77777777">
            <w:pPr>
              <w:pStyle w:val="TableText-IPR"/>
              <w:jc w:val="right"/>
            </w:pPr>
            <w:r>
              <w:t>12</w:t>
            </w:r>
          </w:p>
        </w:tc>
        <w:tc>
          <w:tcPr>
            <w:tcW w:w="718" w:type="pct"/>
          </w:tcPr>
          <w:p w:rsidRPr="00503F46" w:rsidR="00016367" w:rsidP="001315E2" w:rsidRDefault="002D72C0" w14:paraId="387AFFE0" w14:textId="2A813855">
            <w:pPr>
              <w:pStyle w:val="TableText-IPR"/>
              <w:jc w:val="right"/>
            </w:pPr>
            <w:r>
              <w:t>8</w:t>
            </w:r>
          </w:p>
        </w:tc>
        <w:tc>
          <w:tcPr>
            <w:tcW w:w="816" w:type="pct"/>
          </w:tcPr>
          <w:p w:rsidRPr="00503F46" w:rsidR="00016367" w:rsidP="001315E2" w:rsidRDefault="002D72C0" w14:paraId="61B6FA5B" w14:textId="3A5AE50E">
            <w:pPr>
              <w:pStyle w:val="TableText-IPR"/>
              <w:jc w:val="right"/>
            </w:pPr>
            <w:r>
              <w:t>4</w:t>
            </w:r>
          </w:p>
        </w:tc>
        <w:tc>
          <w:tcPr>
            <w:tcW w:w="478" w:type="pct"/>
          </w:tcPr>
          <w:p w:rsidRPr="00503F46" w:rsidR="00016367" w:rsidP="001315E2" w:rsidRDefault="00016367" w14:paraId="43AF67EC" w14:textId="4C120B33">
            <w:pPr>
              <w:pStyle w:val="TableText-IPR"/>
              <w:jc w:val="right"/>
            </w:pPr>
            <w:r>
              <w:t>0.</w:t>
            </w:r>
            <w:r w:rsidR="002D72C0">
              <w:t>67</w:t>
            </w:r>
          </w:p>
        </w:tc>
      </w:tr>
      <w:tr w:rsidRPr="00B62368" w:rsidR="006F56BF" w:rsidTr="006F56BF" w14:paraId="7B07438B" w14:textId="77777777">
        <w:trPr>
          <w:trHeight w:val="346"/>
        </w:trPr>
        <w:tc>
          <w:tcPr>
            <w:tcW w:w="1024" w:type="pct"/>
            <w:vMerge/>
          </w:tcPr>
          <w:p w:rsidRPr="00503F46" w:rsidR="00016367" w:rsidRDefault="00016367" w14:paraId="233174F1" w14:textId="77777777">
            <w:pPr>
              <w:pStyle w:val="TableText-IPR"/>
            </w:pPr>
          </w:p>
        </w:tc>
        <w:tc>
          <w:tcPr>
            <w:tcW w:w="1389" w:type="pct"/>
          </w:tcPr>
          <w:p w:rsidRPr="00503F46" w:rsidR="00016367" w:rsidRDefault="00016367" w14:paraId="3B6019D1" w14:textId="77777777">
            <w:pPr>
              <w:pStyle w:val="TableText-IPR"/>
            </w:pPr>
            <w:r w:rsidRPr="00503F46">
              <w:t xml:space="preserve">NAP sample </w:t>
            </w:r>
          </w:p>
        </w:tc>
        <w:tc>
          <w:tcPr>
            <w:tcW w:w="575" w:type="pct"/>
            <w:shd w:val="clear" w:color="auto" w:fill="auto"/>
          </w:tcPr>
          <w:p w:rsidRPr="00503F46" w:rsidR="00016367" w:rsidP="001315E2" w:rsidRDefault="00016367" w14:paraId="70CB3FB7" w14:textId="77777777">
            <w:pPr>
              <w:pStyle w:val="TableText-IPR"/>
              <w:jc w:val="right"/>
            </w:pPr>
            <w:r w:rsidRPr="00503F46">
              <w:t>3,170</w:t>
            </w:r>
          </w:p>
        </w:tc>
        <w:tc>
          <w:tcPr>
            <w:tcW w:w="718" w:type="pct"/>
          </w:tcPr>
          <w:p w:rsidRPr="00503F46" w:rsidR="00016367" w:rsidP="001315E2" w:rsidRDefault="00016367" w14:paraId="405832B0" w14:textId="77777777">
            <w:pPr>
              <w:pStyle w:val="TableText-IPR"/>
              <w:jc w:val="right"/>
            </w:pPr>
            <w:r w:rsidRPr="00503F46">
              <w:t>922</w:t>
            </w:r>
          </w:p>
        </w:tc>
        <w:tc>
          <w:tcPr>
            <w:tcW w:w="816" w:type="pct"/>
          </w:tcPr>
          <w:p w:rsidRPr="00503F46" w:rsidR="00016367" w:rsidP="001315E2" w:rsidRDefault="00016367" w14:paraId="129D504C" w14:textId="77777777">
            <w:pPr>
              <w:pStyle w:val="TableText-IPR"/>
              <w:jc w:val="right"/>
            </w:pPr>
            <w:r w:rsidRPr="00503F46">
              <w:t>2,248</w:t>
            </w:r>
          </w:p>
        </w:tc>
        <w:tc>
          <w:tcPr>
            <w:tcW w:w="478" w:type="pct"/>
          </w:tcPr>
          <w:p w:rsidRPr="00503F46" w:rsidR="00016367" w:rsidP="001315E2" w:rsidRDefault="00D03F76" w14:paraId="381E3C97" w14:textId="3F031A56">
            <w:pPr>
              <w:pStyle w:val="TableText-IPR"/>
              <w:jc w:val="right"/>
            </w:pPr>
            <w:r w:rsidRPr="00F95BEC">
              <w:t>0.33</w:t>
            </w:r>
            <w:r w:rsidRPr="00F95BEC">
              <w:rPr>
                <w:vertAlign w:val="superscript"/>
              </w:rPr>
              <w:t>a</w:t>
            </w:r>
          </w:p>
        </w:tc>
      </w:tr>
      <w:tr w:rsidRPr="00B62368" w:rsidR="006F56BF" w:rsidTr="006F56BF" w14:paraId="2FA693AF" w14:textId="77777777">
        <w:trPr>
          <w:trHeight w:val="301"/>
        </w:trPr>
        <w:tc>
          <w:tcPr>
            <w:tcW w:w="1024" w:type="pct"/>
            <w:vMerge/>
          </w:tcPr>
          <w:p w:rsidRPr="00503F46" w:rsidR="00016367" w:rsidRDefault="00016367" w14:paraId="60B731C4" w14:textId="77777777">
            <w:pPr>
              <w:pStyle w:val="TableText-IPR"/>
            </w:pPr>
          </w:p>
        </w:tc>
        <w:tc>
          <w:tcPr>
            <w:tcW w:w="1389" w:type="pct"/>
          </w:tcPr>
          <w:p w:rsidRPr="00503F46" w:rsidR="00016367" w:rsidRDefault="00016367" w14:paraId="6EFD1939" w14:textId="77777777">
            <w:pPr>
              <w:pStyle w:val="TableText-IPR"/>
            </w:pPr>
            <w:r w:rsidRPr="00503F46">
              <w:t>Area probability sample</w:t>
            </w:r>
          </w:p>
        </w:tc>
        <w:tc>
          <w:tcPr>
            <w:tcW w:w="575" w:type="pct"/>
          </w:tcPr>
          <w:p w:rsidRPr="00503F46" w:rsidR="00016367" w:rsidP="001315E2" w:rsidRDefault="00016367" w14:paraId="7EBD848F" w14:textId="77777777">
            <w:pPr>
              <w:pStyle w:val="TableText-IPR"/>
              <w:jc w:val="right"/>
            </w:pPr>
            <w:r w:rsidRPr="00503F46">
              <w:t>9,110</w:t>
            </w:r>
          </w:p>
        </w:tc>
        <w:tc>
          <w:tcPr>
            <w:tcW w:w="718" w:type="pct"/>
          </w:tcPr>
          <w:p w:rsidRPr="00503F46" w:rsidR="00016367" w:rsidP="001315E2" w:rsidRDefault="00016367" w14:paraId="47934EAC" w14:textId="77777777">
            <w:pPr>
              <w:pStyle w:val="TableText-IPR"/>
              <w:jc w:val="right"/>
            </w:pPr>
            <w:r w:rsidRPr="00503F46">
              <w:t>2,733</w:t>
            </w:r>
          </w:p>
        </w:tc>
        <w:tc>
          <w:tcPr>
            <w:tcW w:w="816" w:type="pct"/>
          </w:tcPr>
          <w:p w:rsidRPr="00503F46" w:rsidR="00016367" w:rsidP="001315E2" w:rsidRDefault="00016367" w14:paraId="793DE589" w14:textId="77777777">
            <w:pPr>
              <w:pStyle w:val="TableText-IPR"/>
              <w:jc w:val="right"/>
            </w:pPr>
            <w:r w:rsidRPr="00503F46">
              <w:t>6,377</w:t>
            </w:r>
          </w:p>
        </w:tc>
        <w:tc>
          <w:tcPr>
            <w:tcW w:w="478" w:type="pct"/>
          </w:tcPr>
          <w:p w:rsidRPr="00503F46" w:rsidR="00016367" w:rsidP="001315E2" w:rsidRDefault="00016367" w14:paraId="569BBCCB" w14:textId="77777777">
            <w:pPr>
              <w:pStyle w:val="TableText-IPR"/>
              <w:jc w:val="right"/>
            </w:pPr>
            <w:r>
              <w:t>0.30</w:t>
            </w:r>
          </w:p>
        </w:tc>
      </w:tr>
      <w:tr w:rsidRPr="00124043" w:rsidR="00016367" w:rsidTr="007C531B" w14:paraId="55B62E96" w14:textId="77777777">
        <w:trPr>
          <w:trHeight w:val="301"/>
        </w:trPr>
        <w:tc>
          <w:tcPr>
            <w:tcW w:w="5000" w:type="pct"/>
            <w:gridSpan w:val="6"/>
            <w:shd w:val="clear" w:color="auto" w:fill="F2F2F2" w:themeFill="background1" w:themeFillShade="F2"/>
          </w:tcPr>
          <w:p w:rsidRPr="00960E81" w:rsidR="00016367" w:rsidRDefault="00016367" w14:paraId="247C758B" w14:textId="77777777">
            <w:pPr>
              <w:pStyle w:val="TableText-IPR"/>
              <w:rPr>
                <w:b/>
                <w:bCs/>
              </w:rPr>
            </w:pPr>
            <w:r w:rsidRPr="00960E81">
              <w:rPr>
                <w:b/>
                <w:bCs/>
              </w:rPr>
              <w:t>In-depth interviews</w:t>
            </w:r>
          </w:p>
        </w:tc>
      </w:tr>
      <w:tr w:rsidRPr="00B62368" w:rsidR="006F56BF" w:rsidTr="006F56BF" w14:paraId="1CE0D83B" w14:textId="77777777">
        <w:trPr>
          <w:trHeight w:val="301"/>
        </w:trPr>
        <w:tc>
          <w:tcPr>
            <w:tcW w:w="1024" w:type="pct"/>
            <w:vMerge w:val="restart"/>
          </w:tcPr>
          <w:p w:rsidRPr="00503F46" w:rsidR="00016367" w:rsidRDefault="00016367" w14:paraId="49260935" w14:textId="77777777">
            <w:pPr>
              <w:pStyle w:val="TableText-IPR"/>
            </w:pPr>
            <w:r>
              <w:t>Individuals</w:t>
            </w:r>
          </w:p>
        </w:tc>
        <w:tc>
          <w:tcPr>
            <w:tcW w:w="1389" w:type="pct"/>
          </w:tcPr>
          <w:p w:rsidRPr="00503F46" w:rsidR="00016367" w:rsidRDefault="00016367" w14:paraId="533C127D" w14:textId="77777777">
            <w:pPr>
              <w:pStyle w:val="TableText-IPR"/>
            </w:pPr>
            <w:r w:rsidRPr="00503F46">
              <w:t>Pretest participants</w:t>
            </w:r>
          </w:p>
        </w:tc>
        <w:tc>
          <w:tcPr>
            <w:tcW w:w="575" w:type="pct"/>
            <w:shd w:val="clear" w:color="auto" w:fill="auto"/>
          </w:tcPr>
          <w:p w:rsidRPr="00503F46" w:rsidR="00016367" w:rsidP="001315E2" w:rsidRDefault="00016367" w14:paraId="429E3641" w14:textId="77777777">
            <w:pPr>
              <w:pStyle w:val="TableText-IPR"/>
              <w:jc w:val="right"/>
            </w:pPr>
            <w:r w:rsidRPr="00117B49">
              <w:t>12</w:t>
            </w:r>
          </w:p>
        </w:tc>
        <w:tc>
          <w:tcPr>
            <w:tcW w:w="718" w:type="pct"/>
          </w:tcPr>
          <w:p w:rsidRPr="00503F46" w:rsidR="00016367" w:rsidP="001315E2" w:rsidRDefault="00016367" w14:paraId="4A942438" w14:textId="77777777">
            <w:pPr>
              <w:pStyle w:val="TableText-IPR"/>
              <w:jc w:val="right"/>
            </w:pPr>
            <w:r>
              <w:t>9</w:t>
            </w:r>
          </w:p>
        </w:tc>
        <w:tc>
          <w:tcPr>
            <w:tcW w:w="816" w:type="pct"/>
          </w:tcPr>
          <w:p w:rsidRPr="00503F46" w:rsidR="00016367" w:rsidP="001315E2" w:rsidRDefault="00016367" w14:paraId="303E528F" w14:textId="77777777">
            <w:pPr>
              <w:pStyle w:val="TableText-IPR"/>
              <w:jc w:val="right"/>
            </w:pPr>
            <w:r>
              <w:t>3</w:t>
            </w:r>
          </w:p>
        </w:tc>
        <w:tc>
          <w:tcPr>
            <w:tcW w:w="478" w:type="pct"/>
          </w:tcPr>
          <w:p w:rsidRPr="00503F46" w:rsidR="00016367" w:rsidP="001315E2" w:rsidRDefault="00016367" w14:paraId="61F20619" w14:textId="77777777">
            <w:pPr>
              <w:pStyle w:val="TableText-IPR"/>
              <w:jc w:val="right"/>
            </w:pPr>
            <w:r>
              <w:t>0.75</w:t>
            </w:r>
          </w:p>
        </w:tc>
      </w:tr>
      <w:tr w:rsidRPr="00B62368" w:rsidR="006F56BF" w:rsidTr="006F56BF" w14:paraId="185BDB6E" w14:textId="77777777">
        <w:trPr>
          <w:trHeight w:val="301"/>
        </w:trPr>
        <w:tc>
          <w:tcPr>
            <w:tcW w:w="1024" w:type="pct"/>
            <w:vMerge/>
          </w:tcPr>
          <w:p w:rsidRPr="00503F46" w:rsidR="00016367" w:rsidRDefault="00016367" w14:paraId="78D41F87" w14:textId="77777777">
            <w:pPr>
              <w:pStyle w:val="TableText-IPR"/>
            </w:pPr>
          </w:p>
        </w:tc>
        <w:tc>
          <w:tcPr>
            <w:tcW w:w="1389" w:type="pct"/>
          </w:tcPr>
          <w:p w:rsidRPr="00503F46" w:rsidR="00016367" w:rsidRDefault="00016367" w14:paraId="7CCA84E9" w14:textId="75162650">
            <w:pPr>
              <w:pStyle w:val="TableText-IPR"/>
            </w:pPr>
            <w:r w:rsidRPr="00503F46">
              <w:t>NAP sample</w:t>
            </w:r>
            <w:r w:rsidR="00D03F76">
              <w:rPr>
                <w:vertAlign w:val="superscript"/>
              </w:rPr>
              <w:t>b</w:t>
            </w:r>
          </w:p>
        </w:tc>
        <w:tc>
          <w:tcPr>
            <w:tcW w:w="575" w:type="pct"/>
          </w:tcPr>
          <w:p w:rsidRPr="00503F46" w:rsidR="00016367" w:rsidP="001315E2" w:rsidRDefault="00016367" w14:paraId="0059DD0E" w14:textId="77777777">
            <w:pPr>
              <w:pStyle w:val="TableText-IPR"/>
              <w:jc w:val="right"/>
            </w:pPr>
            <w:r>
              <w:t>360</w:t>
            </w:r>
          </w:p>
        </w:tc>
        <w:tc>
          <w:tcPr>
            <w:tcW w:w="718" w:type="pct"/>
          </w:tcPr>
          <w:p w:rsidRPr="00503F46" w:rsidR="00016367" w:rsidP="001315E2" w:rsidRDefault="00016367" w14:paraId="1281FFB0" w14:textId="77777777">
            <w:pPr>
              <w:pStyle w:val="TableText-IPR"/>
              <w:jc w:val="right"/>
            </w:pPr>
            <w:r>
              <w:t>58</w:t>
            </w:r>
          </w:p>
        </w:tc>
        <w:tc>
          <w:tcPr>
            <w:tcW w:w="816" w:type="pct"/>
          </w:tcPr>
          <w:p w:rsidRPr="00503F46" w:rsidR="00016367" w:rsidP="001315E2" w:rsidRDefault="00016367" w14:paraId="203AACC0" w14:textId="77777777">
            <w:pPr>
              <w:pStyle w:val="TableText-IPR"/>
              <w:jc w:val="right"/>
            </w:pPr>
            <w:r>
              <w:t>302</w:t>
            </w:r>
          </w:p>
        </w:tc>
        <w:tc>
          <w:tcPr>
            <w:tcW w:w="478" w:type="pct"/>
          </w:tcPr>
          <w:p w:rsidRPr="00503F46" w:rsidR="00016367" w:rsidP="001315E2" w:rsidRDefault="00016367" w14:paraId="0602113C" w14:textId="77777777">
            <w:pPr>
              <w:pStyle w:val="TableText-IPR"/>
              <w:jc w:val="right"/>
            </w:pPr>
            <w:r>
              <w:t>0.16</w:t>
            </w:r>
          </w:p>
        </w:tc>
      </w:tr>
      <w:tr w:rsidRPr="00B62368" w:rsidR="006F56BF" w:rsidTr="006F56BF" w14:paraId="67BD5825" w14:textId="77777777">
        <w:trPr>
          <w:trHeight w:val="301"/>
        </w:trPr>
        <w:tc>
          <w:tcPr>
            <w:tcW w:w="1024" w:type="pct"/>
            <w:vMerge/>
          </w:tcPr>
          <w:p w:rsidRPr="00503F46" w:rsidR="00016367" w:rsidRDefault="00016367" w14:paraId="16FDBA05" w14:textId="77777777">
            <w:pPr>
              <w:pStyle w:val="TableText-IPR"/>
            </w:pPr>
          </w:p>
        </w:tc>
        <w:tc>
          <w:tcPr>
            <w:tcW w:w="1389" w:type="pct"/>
          </w:tcPr>
          <w:p w:rsidRPr="00503F46" w:rsidR="00016367" w:rsidRDefault="00016367" w14:paraId="1ED607FE" w14:textId="77777777">
            <w:pPr>
              <w:pStyle w:val="TableText-IPR"/>
            </w:pPr>
            <w:r w:rsidRPr="00503F46">
              <w:t>Local organization recruitment</w:t>
            </w:r>
          </w:p>
        </w:tc>
        <w:tc>
          <w:tcPr>
            <w:tcW w:w="575" w:type="pct"/>
          </w:tcPr>
          <w:p w:rsidRPr="00503F46" w:rsidR="00016367" w:rsidP="001315E2" w:rsidRDefault="00016367" w14:paraId="13FD5B44" w14:textId="77777777">
            <w:pPr>
              <w:pStyle w:val="TableText-IPR"/>
              <w:jc w:val="right"/>
            </w:pPr>
            <w:r>
              <w:t>145</w:t>
            </w:r>
          </w:p>
        </w:tc>
        <w:tc>
          <w:tcPr>
            <w:tcW w:w="718" w:type="pct"/>
          </w:tcPr>
          <w:p w:rsidRPr="00503F46" w:rsidR="00016367" w:rsidP="001315E2" w:rsidRDefault="00016367" w14:paraId="79A2F7D2" w14:textId="77777777">
            <w:pPr>
              <w:pStyle w:val="TableText-IPR"/>
              <w:jc w:val="right"/>
            </w:pPr>
            <w:r>
              <w:t>29</w:t>
            </w:r>
          </w:p>
        </w:tc>
        <w:tc>
          <w:tcPr>
            <w:tcW w:w="816" w:type="pct"/>
          </w:tcPr>
          <w:p w:rsidRPr="00503F46" w:rsidR="00016367" w:rsidP="001315E2" w:rsidRDefault="00016367" w14:paraId="7C0A355C" w14:textId="77777777">
            <w:pPr>
              <w:pStyle w:val="TableText-IPR"/>
              <w:jc w:val="right"/>
            </w:pPr>
            <w:r>
              <w:t>116</w:t>
            </w:r>
          </w:p>
        </w:tc>
        <w:tc>
          <w:tcPr>
            <w:tcW w:w="478" w:type="pct"/>
          </w:tcPr>
          <w:p w:rsidRPr="00503F46" w:rsidR="00016367" w:rsidP="001315E2" w:rsidRDefault="00016367" w14:paraId="2EAE1737" w14:textId="77777777">
            <w:pPr>
              <w:pStyle w:val="TableText-IPR"/>
              <w:jc w:val="right"/>
            </w:pPr>
            <w:r>
              <w:t>0.20</w:t>
            </w:r>
          </w:p>
        </w:tc>
      </w:tr>
      <w:tr w:rsidRPr="00B62368" w:rsidR="006F56BF" w:rsidTr="006F56BF" w14:paraId="7C1CEE01" w14:textId="77777777">
        <w:trPr>
          <w:trHeight w:val="301"/>
        </w:trPr>
        <w:tc>
          <w:tcPr>
            <w:tcW w:w="1024" w:type="pct"/>
            <w:vMerge/>
          </w:tcPr>
          <w:p w:rsidRPr="00503F46" w:rsidR="00016367" w:rsidRDefault="00016367" w14:paraId="65EB6200" w14:textId="77777777">
            <w:pPr>
              <w:pStyle w:val="TableText-IPR"/>
            </w:pPr>
          </w:p>
        </w:tc>
        <w:tc>
          <w:tcPr>
            <w:tcW w:w="1389" w:type="pct"/>
          </w:tcPr>
          <w:p w:rsidRPr="00503F46" w:rsidR="00016367" w:rsidRDefault="00016367" w14:paraId="121B7CAF" w14:textId="6DC8B96E">
            <w:pPr>
              <w:pStyle w:val="TableText-IPR"/>
            </w:pPr>
            <w:r w:rsidRPr="00503F46">
              <w:t>Area probability sample</w:t>
            </w:r>
            <w:r w:rsidR="00D03F76">
              <w:rPr>
                <w:vertAlign w:val="superscript"/>
              </w:rPr>
              <w:t>c</w:t>
            </w:r>
          </w:p>
        </w:tc>
        <w:tc>
          <w:tcPr>
            <w:tcW w:w="575" w:type="pct"/>
          </w:tcPr>
          <w:p w:rsidRPr="00503F46" w:rsidR="00016367" w:rsidP="001315E2" w:rsidRDefault="00016367" w14:paraId="438B0184" w14:textId="77777777">
            <w:pPr>
              <w:pStyle w:val="TableText-IPR"/>
              <w:jc w:val="right"/>
            </w:pPr>
            <w:r>
              <w:t>360</w:t>
            </w:r>
          </w:p>
        </w:tc>
        <w:tc>
          <w:tcPr>
            <w:tcW w:w="718" w:type="pct"/>
          </w:tcPr>
          <w:p w:rsidRPr="00503F46" w:rsidR="00016367" w:rsidP="001315E2" w:rsidRDefault="00016367" w14:paraId="46C60AC8" w14:textId="77777777">
            <w:pPr>
              <w:pStyle w:val="TableText-IPR"/>
              <w:jc w:val="right"/>
            </w:pPr>
            <w:r>
              <w:t>57</w:t>
            </w:r>
          </w:p>
        </w:tc>
        <w:tc>
          <w:tcPr>
            <w:tcW w:w="816" w:type="pct"/>
          </w:tcPr>
          <w:p w:rsidRPr="00503F46" w:rsidR="00016367" w:rsidP="001315E2" w:rsidRDefault="00016367" w14:paraId="36986EBA" w14:textId="77777777">
            <w:pPr>
              <w:pStyle w:val="TableText-IPR"/>
              <w:jc w:val="right"/>
            </w:pPr>
            <w:r>
              <w:t>303</w:t>
            </w:r>
          </w:p>
        </w:tc>
        <w:tc>
          <w:tcPr>
            <w:tcW w:w="478" w:type="pct"/>
          </w:tcPr>
          <w:p w:rsidRPr="00503F46" w:rsidR="00016367" w:rsidP="001315E2" w:rsidRDefault="00016367" w14:paraId="10DCA7C5" w14:textId="77777777">
            <w:pPr>
              <w:pStyle w:val="TableText-IPR"/>
              <w:jc w:val="right"/>
            </w:pPr>
            <w:r>
              <w:t>0.16</w:t>
            </w:r>
          </w:p>
        </w:tc>
      </w:tr>
      <w:tr w:rsidRPr="00150EFE" w:rsidR="00150EFE" w:rsidTr="00F75E25" w14:paraId="77101C43" w14:textId="77777777">
        <w:trPr>
          <w:trHeight w:val="301"/>
        </w:trPr>
        <w:tc>
          <w:tcPr>
            <w:tcW w:w="1024" w:type="pct"/>
          </w:tcPr>
          <w:p w:rsidRPr="00150EFE" w:rsidR="00150EFE" w:rsidP="00F75E25" w:rsidRDefault="00150EFE" w14:paraId="50B46114" w14:textId="43132F57">
            <w:pPr>
              <w:pStyle w:val="TableText-IPR"/>
              <w:rPr>
                <w:b/>
                <w:bCs/>
              </w:rPr>
            </w:pPr>
            <w:r w:rsidRPr="00150EFE">
              <w:rPr>
                <w:b/>
                <w:bCs/>
              </w:rPr>
              <w:t>Total (unique)</w:t>
            </w:r>
          </w:p>
        </w:tc>
        <w:tc>
          <w:tcPr>
            <w:tcW w:w="1389" w:type="pct"/>
          </w:tcPr>
          <w:p w:rsidRPr="00150EFE" w:rsidR="00150EFE" w:rsidP="00F75E25" w:rsidRDefault="00150EFE" w14:paraId="32FD2F95" w14:textId="77777777">
            <w:pPr>
              <w:pStyle w:val="TableText-IPR"/>
              <w:jc w:val="right"/>
              <w:rPr>
                <w:b/>
                <w:bCs/>
              </w:rPr>
            </w:pPr>
          </w:p>
        </w:tc>
        <w:tc>
          <w:tcPr>
            <w:tcW w:w="575" w:type="pct"/>
          </w:tcPr>
          <w:p w:rsidRPr="00F75E25" w:rsidR="00150EFE" w:rsidP="00F75E25" w:rsidRDefault="00150EFE" w14:paraId="36172F83" w14:textId="70D9D8C1">
            <w:pPr>
              <w:pStyle w:val="TableText-IPR"/>
              <w:jc w:val="right"/>
              <w:rPr>
                <w:b/>
                <w:bCs/>
              </w:rPr>
            </w:pPr>
            <w:r w:rsidRPr="00F75E25">
              <w:rPr>
                <w:b/>
                <w:bCs/>
              </w:rPr>
              <w:t>12,504</w:t>
            </w:r>
          </w:p>
        </w:tc>
        <w:tc>
          <w:tcPr>
            <w:tcW w:w="718" w:type="pct"/>
          </w:tcPr>
          <w:p w:rsidRPr="00F75E25" w:rsidR="00150EFE" w:rsidP="00F75E25" w:rsidRDefault="00150EFE" w14:paraId="328679E6" w14:textId="3CA73B0A">
            <w:pPr>
              <w:pStyle w:val="TableText-IPR"/>
              <w:jc w:val="right"/>
              <w:rPr>
                <w:b/>
                <w:bCs/>
              </w:rPr>
            </w:pPr>
            <w:r w:rsidRPr="00F75E25">
              <w:rPr>
                <w:b/>
                <w:bCs/>
              </w:rPr>
              <w:t>3,74</w:t>
            </w:r>
            <w:r w:rsidR="002D72C0">
              <w:rPr>
                <w:b/>
                <w:bCs/>
              </w:rPr>
              <w:t>4</w:t>
            </w:r>
          </w:p>
        </w:tc>
        <w:tc>
          <w:tcPr>
            <w:tcW w:w="816" w:type="pct"/>
          </w:tcPr>
          <w:p w:rsidRPr="00F75E25" w:rsidR="00150EFE" w:rsidP="00F75E25" w:rsidRDefault="00150EFE" w14:paraId="6BFF4711" w14:textId="28653E4A">
            <w:pPr>
              <w:pStyle w:val="TableText-IPR"/>
              <w:jc w:val="right"/>
              <w:rPr>
                <w:b/>
                <w:bCs/>
              </w:rPr>
            </w:pPr>
            <w:r w:rsidRPr="00F75E25">
              <w:rPr>
                <w:b/>
                <w:bCs/>
              </w:rPr>
              <w:t>8,7</w:t>
            </w:r>
            <w:r w:rsidR="002D72C0">
              <w:rPr>
                <w:b/>
                <w:bCs/>
              </w:rPr>
              <w:t>60</w:t>
            </w:r>
          </w:p>
        </w:tc>
        <w:tc>
          <w:tcPr>
            <w:tcW w:w="478" w:type="pct"/>
          </w:tcPr>
          <w:p w:rsidRPr="00150EFE" w:rsidR="00150EFE" w:rsidP="00F75E25" w:rsidRDefault="00150EFE" w14:paraId="3B564133" w14:textId="23787598">
            <w:pPr>
              <w:pStyle w:val="TableText-IPR"/>
              <w:jc w:val="right"/>
              <w:rPr>
                <w:b/>
                <w:bCs/>
              </w:rPr>
            </w:pPr>
            <w:r>
              <w:rPr>
                <w:b/>
                <w:bCs/>
              </w:rPr>
              <w:t>0.30</w:t>
            </w:r>
          </w:p>
        </w:tc>
      </w:tr>
    </w:tbl>
    <w:p w:rsidRPr="0038571C" w:rsidR="00D03F76" w:rsidP="00D03F76" w:rsidRDefault="00D03F76" w14:paraId="74DDD3BE" w14:textId="77777777">
      <w:pPr>
        <w:pStyle w:val="FtnteBodyText-IPR"/>
        <w:spacing w:before="60"/>
        <w:rPr>
          <w:sz w:val="18"/>
          <w:szCs w:val="18"/>
        </w:rPr>
      </w:pPr>
      <w:bookmarkStart w:name="_Toc514142002" w:id="25"/>
      <w:bookmarkStart w:name="_Toc14464749" w:id="26"/>
      <w:bookmarkEnd w:id="24"/>
      <w:r>
        <w:rPr>
          <w:sz w:val="18"/>
          <w:szCs w:val="18"/>
          <w:vertAlign w:val="superscript"/>
        </w:rPr>
        <w:t xml:space="preserve">a </w:t>
      </w:r>
      <w:r w:rsidRPr="007F4EF9">
        <w:rPr>
          <w:sz w:val="18"/>
          <w:szCs w:val="18"/>
        </w:rPr>
        <w:t>Because the nonrespondents are subsampled at a rate of 1/3, respondents to the telephone follow up are included with a weight of 3.0 in the response rate computations. Ineligible sampled cases are excluded from both the numerator and denominator of the response rate computation.</w:t>
      </w:r>
    </w:p>
    <w:p w:rsidR="006F56BF" w:rsidP="007C531B" w:rsidRDefault="00D03F76" w14:paraId="32347535" w14:textId="487EA03B">
      <w:pPr>
        <w:pStyle w:val="FtnteBodyText-IPR"/>
        <w:spacing w:before="60"/>
        <w:rPr>
          <w:sz w:val="18"/>
          <w:szCs w:val="18"/>
        </w:rPr>
      </w:pPr>
      <w:r>
        <w:rPr>
          <w:sz w:val="18"/>
          <w:szCs w:val="18"/>
          <w:vertAlign w:val="superscript"/>
        </w:rPr>
        <w:lastRenderedPageBreak/>
        <w:t>b</w:t>
      </w:r>
      <w:r w:rsidRPr="00150EFE" w:rsidR="007C531B">
        <w:rPr>
          <w:sz w:val="18"/>
          <w:szCs w:val="18"/>
        </w:rPr>
        <w:t xml:space="preserve"> </w:t>
      </w:r>
      <w:r w:rsidR="00150EFE">
        <w:rPr>
          <w:sz w:val="18"/>
          <w:szCs w:val="18"/>
        </w:rPr>
        <w:t>Individuals in the</w:t>
      </w:r>
      <w:r w:rsidRPr="00150EFE" w:rsidR="007C531B">
        <w:rPr>
          <w:sz w:val="18"/>
          <w:szCs w:val="18"/>
        </w:rPr>
        <w:t xml:space="preserve"> </w:t>
      </w:r>
      <w:r w:rsidR="007C531B">
        <w:rPr>
          <w:sz w:val="18"/>
          <w:szCs w:val="18"/>
        </w:rPr>
        <w:t>NAP sample</w:t>
      </w:r>
      <w:r w:rsidR="00150EFE">
        <w:rPr>
          <w:sz w:val="18"/>
          <w:szCs w:val="18"/>
        </w:rPr>
        <w:t xml:space="preserve"> who are contacted for</w:t>
      </w:r>
      <w:r w:rsidR="007C531B">
        <w:rPr>
          <w:sz w:val="18"/>
          <w:szCs w:val="18"/>
        </w:rPr>
        <w:t xml:space="preserve"> interview</w:t>
      </w:r>
      <w:r w:rsidR="00150EFE">
        <w:rPr>
          <w:sz w:val="18"/>
          <w:szCs w:val="18"/>
        </w:rPr>
        <w:t>s</w:t>
      </w:r>
      <w:r w:rsidR="007C531B">
        <w:rPr>
          <w:sz w:val="18"/>
          <w:szCs w:val="18"/>
        </w:rPr>
        <w:t xml:space="preserve"> </w:t>
      </w:r>
      <w:r w:rsidRPr="00150EFE" w:rsidR="007C531B">
        <w:rPr>
          <w:sz w:val="18"/>
          <w:szCs w:val="18"/>
        </w:rPr>
        <w:t>are a subset of the</w:t>
      </w:r>
      <w:r w:rsidR="00150EFE">
        <w:rPr>
          <w:sz w:val="18"/>
          <w:szCs w:val="18"/>
        </w:rPr>
        <w:t xml:space="preserve"> individuals</w:t>
      </w:r>
      <w:r w:rsidRPr="00150EFE" w:rsidR="007C531B">
        <w:rPr>
          <w:sz w:val="18"/>
          <w:szCs w:val="18"/>
        </w:rPr>
        <w:t xml:space="preserve"> </w:t>
      </w:r>
      <w:r w:rsidR="007C531B">
        <w:rPr>
          <w:sz w:val="18"/>
          <w:szCs w:val="18"/>
        </w:rPr>
        <w:t xml:space="preserve">in the NAP sample </w:t>
      </w:r>
      <w:r w:rsidR="00150EFE">
        <w:rPr>
          <w:sz w:val="18"/>
          <w:szCs w:val="18"/>
        </w:rPr>
        <w:t>who complete</w:t>
      </w:r>
      <w:r w:rsidRPr="00150EFE" w:rsidR="007C531B">
        <w:rPr>
          <w:sz w:val="18"/>
          <w:szCs w:val="18"/>
        </w:rPr>
        <w:t xml:space="preserve"> the survey</w:t>
      </w:r>
      <w:r w:rsidR="007C531B">
        <w:rPr>
          <w:sz w:val="18"/>
          <w:szCs w:val="18"/>
        </w:rPr>
        <w:t>; thus, they are not included in the totals of unique persons contacte</w:t>
      </w:r>
      <w:r w:rsidR="00150EFE">
        <w:rPr>
          <w:sz w:val="18"/>
          <w:szCs w:val="18"/>
        </w:rPr>
        <w:t>d, respondents, and non-respondents</w:t>
      </w:r>
      <w:r w:rsidRPr="00150EFE" w:rsidR="007C531B">
        <w:rPr>
          <w:sz w:val="18"/>
          <w:szCs w:val="18"/>
        </w:rPr>
        <w:t xml:space="preserve">. </w:t>
      </w:r>
    </w:p>
    <w:p w:rsidRPr="00150EFE" w:rsidR="00150EFE" w:rsidP="00150EFE" w:rsidRDefault="00D03F76" w14:paraId="6688D1C1" w14:textId="3CD5C73C">
      <w:pPr>
        <w:pStyle w:val="FtnteBodyText-IPR"/>
        <w:spacing w:before="60"/>
        <w:rPr>
          <w:sz w:val="18"/>
          <w:szCs w:val="18"/>
        </w:rPr>
      </w:pPr>
      <w:r>
        <w:rPr>
          <w:sz w:val="18"/>
          <w:szCs w:val="18"/>
          <w:vertAlign w:val="superscript"/>
        </w:rPr>
        <w:t>c</w:t>
      </w:r>
      <w:r w:rsidRPr="00F757CD" w:rsidR="00150EFE">
        <w:rPr>
          <w:sz w:val="18"/>
          <w:szCs w:val="18"/>
        </w:rPr>
        <w:t xml:space="preserve"> </w:t>
      </w:r>
      <w:r w:rsidR="00150EFE">
        <w:rPr>
          <w:sz w:val="18"/>
          <w:szCs w:val="18"/>
        </w:rPr>
        <w:t xml:space="preserve">Individuals in the area probability sample who are contacted for interviews </w:t>
      </w:r>
      <w:r w:rsidRPr="00F757CD" w:rsidR="00150EFE">
        <w:rPr>
          <w:sz w:val="18"/>
          <w:szCs w:val="18"/>
        </w:rPr>
        <w:t>are a subset of the</w:t>
      </w:r>
      <w:r w:rsidR="00150EFE">
        <w:rPr>
          <w:sz w:val="18"/>
          <w:szCs w:val="18"/>
        </w:rPr>
        <w:t xml:space="preserve"> individuals</w:t>
      </w:r>
      <w:r w:rsidRPr="00F757CD" w:rsidR="00150EFE">
        <w:rPr>
          <w:sz w:val="18"/>
          <w:szCs w:val="18"/>
        </w:rPr>
        <w:t xml:space="preserve"> </w:t>
      </w:r>
      <w:r w:rsidR="00150EFE">
        <w:rPr>
          <w:sz w:val="18"/>
          <w:szCs w:val="18"/>
        </w:rPr>
        <w:t>in the area probability sample who complete</w:t>
      </w:r>
      <w:r w:rsidRPr="00F757CD" w:rsidR="00150EFE">
        <w:rPr>
          <w:sz w:val="18"/>
          <w:szCs w:val="18"/>
        </w:rPr>
        <w:t xml:space="preserve"> the survey</w:t>
      </w:r>
      <w:r w:rsidR="00150EFE">
        <w:rPr>
          <w:sz w:val="18"/>
          <w:szCs w:val="18"/>
        </w:rPr>
        <w:t>; thus, they are not included in the totals of unique persons contacted, respondents, and non-respondents</w:t>
      </w:r>
      <w:r w:rsidRPr="00F757CD" w:rsidR="00150EFE">
        <w:rPr>
          <w:sz w:val="18"/>
          <w:szCs w:val="18"/>
        </w:rPr>
        <w:t>.</w:t>
      </w:r>
    </w:p>
    <w:p w:rsidRPr="00B62368" w:rsidR="001776C5" w:rsidRDefault="001776C5" w14:paraId="087792AA" w14:textId="3317C6DA">
      <w:pPr>
        <w:pStyle w:val="Hdng3-IPR"/>
        <w:spacing w:before="240"/>
      </w:pPr>
      <w:r w:rsidRPr="00B62368">
        <w:t>P</w:t>
      </w:r>
      <w:r w:rsidRPr="00B62368" w:rsidR="00500C20">
        <w:t xml:space="preserve">rocedures for the </w:t>
      </w:r>
      <w:r w:rsidRPr="00B62368" w:rsidR="003B0C3F">
        <w:t>C</w:t>
      </w:r>
      <w:r w:rsidRPr="00B62368" w:rsidR="00500C20">
        <w:t xml:space="preserve">ollection of </w:t>
      </w:r>
      <w:r w:rsidRPr="00B62368" w:rsidR="003B0C3F">
        <w:t>I</w:t>
      </w:r>
      <w:r w:rsidRPr="00B62368" w:rsidR="00500C20">
        <w:t>nformation</w:t>
      </w:r>
      <w:bookmarkEnd w:id="25"/>
      <w:bookmarkEnd w:id="26"/>
    </w:p>
    <w:p w:rsidRPr="00B62368" w:rsidR="00500C20" w:rsidP="00960E81" w:rsidRDefault="00500C20" w14:paraId="50FF9EBC" w14:textId="77777777">
      <w:pPr>
        <w:pStyle w:val="Hdng4Calibri-IPR"/>
        <w:keepNext w:val="0"/>
        <w:rPr>
          <w:rFonts w:ascii="Candara" w:hAnsi="Candara"/>
          <w:sz w:val="22"/>
          <w:szCs w:val="22"/>
        </w:rPr>
      </w:pPr>
      <w:r w:rsidRPr="00B62368">
        <w:rPr>
          <w:rFonts w:ascii="Candara" w:hAnsi="Candara"/>
          <w:sz w:val="22"/>
          <w:szCs w:val="22"/>
        </w:rPr>
        <w:t>Describe the procedures for the collection of information including:</w:t>
      </w:r>
    </w:p>
    <w:p w:rsidRPr="00B62368" w:rsidR="00500C20" w:rsidP="00960E81" w:rsidRDefault="00500C20" w14:paraId="79796C48" w14:textId="77777777">
      <w:pPr>
        <w:pStyle w:val="BulletsRed-IPR"/>
        <w:numPr>
          <w:ilvl w:val="0"/>
          <w:numId w:val="33"/>
        </w:numPr>
        <w:spacing w:line="240" w:lineRule="auto"/>
        <w:rPr>
          <w:rFonts w:ascii="Candara" w:hAnsi="Candara"/>
          <w:b/>
          <w:szCs w:val="22"/>
        </w:rPr>
      </w:pPr>
      <w:r w:rsidRPr="00B62368">
        <w:rPr>
          <w:rFonts w:ascii="Candara" w:hAnsi="Candara"/>
          <w:b/>
          <w:szCs w:val="22"/>
        </w:rPr>
        <w:t>Statistical methodology for stratification and sample selection</w:t>
      </w:r>
    </w:p>
    <w:p w:rsidRPr="00B62368" w:rsidR="00500C20" w:rsidP="002D3C5E" w:rsidRDefault="00500C20" w14:paraId="423C0C21" w14:textId="77777777">
      <w:pPr>
        <w:pStyle w:val="BulletsRed-IPR"/>
        <w:numPr>
          <w:ilvl w:val="0"/>
          <w:numId w:val="33"/>
        </w:numPr>
        <w:spacing w:line="240" w:lineRule="auto"/>
        <w:rPr>
          <w:rFonts w:ascii="Candara" w:hAnsi="Candara"/>
          <w:b/>
          <w:szCs w:val="22"/>
        </w:rPr>
      </w:pPr>
      <w:r w:rsidRPr="00B62368">
        <w:rPr>
          <w:rFonts w:ascii="Candara" w:hAnsi="Candara"/>
          <w:b/>
          <w:szCs w:val="22"/>
        </w:rPr>
        <w:t>Estimation procedure</w:t>
      </w:r>
    </w:p>
    <w:p w:rsidRPr="00B62368" w:rsidR="00500C20" w:rsidP="002D3C5E" w:rsidRDefault="00500C20" w14:paraId="14AA1F23" w14:textId="77777777">
      <w:pPr>
        <w:pStyle w:val="BulletsRed-IPR"/>
        <w:numPr>
          <w:ilvl w:val="0"/>
          <w:numId w:val="33"/>
        </w:numPr>
        <w:spacing w:line="240" w:lineRule="auto"/>
        <w:rPr>
          <w:rFonts w:ascii="Candara" w:hAnsi="Candara"/>
          <w:b/>
          <w:szCs w:val="22"/>
        </w:rPr>
      </w:pPr>
      <w:r w:rsidRPr="00B62368">
        <w:rPr>
          <w:rFonts w:ascii="Candara" w:hAnsi="Candara"/>
          <w:b/>
          <w:szCs w:val="22"/>
        </w:rPr>
        <w:t>Degree of accuracy needed for the purpose described in the justification</w:t>
      </w:r>
    </w:p>
    <w:p w:rsidRPr="00B62368" w:rsidR="00500C20" w:rsidP="002D3C5E" w:rsidRDefault="00500C20" w14:paraId="5D7950B0" w14:textId="77777777">
      <w:pPr>
        <w:pStyle w:val="BulletsRed-IPR"/>
        <w:numPr>
          <w:ilvl w:val="0"/>
          <w:numId w:val="33"/>
        </w:numPr>
        <w:spacing w:line="240" w:lineRule="auto"/>
        <w:rPr>
          <w:rFonts w:ascii="Candara" w:hAnsi="Candara"/>
          <w:b/>
          <w:szCs w:val="22"/>
        </w:rPr>
      </w:pPr>
      <w:r w:rsidRPr="00B62368">
        <w:rPr>
          <w:rFonts w:ascii="Candara" w:hAnsi="Candara"/>
          <w:b/>
          <w:szCs w:val="22"/>
        </w:rPr>
        <w:t>Unusual problems requiring specialized sampling procedures</w:t>
      </w:r>
    </w:p>
    <w:p w:rsidRPr="002D3C5E" w:rsidR="00A8375E" w:rsidP="00503F46" w:rsidRDefault="00500C20" w14:paraId="64C586EB" w14:textId="4D88A4FF">
      <w:pPr>
        <w:pStyle w:val="BulletsRed-IPR"/>
        <w:numPr>
          <w:ilvl w:val="0"/>
          <w:numId w:val="33"/>
        </w:numPr>
        <w:spacing w:after="240" w:line="240" w:lineRule="auto"/>
        <w:rPr>
          <w:rFonts w:ascii="Candara" w:hAnsi="Candara"/>
          <w:b/>
          <w:szCs w:val="22"/>
        </w:rPr>
      </w:pPr>
      <w:r w:rsidRPr="00B62368">
        <w:rPr>
          <w:rFonts w:ascii="Candara" w:hAnsi="Candara"/>
          <w:b/>
          <w:szCs w:val="22"/>
        </w:rPr>
        <w:t>Any use of periodic (less frequent than annual) data collection cycles to reduce burden</w:t>
      </w:r>
    </w:p>
    <w:p w:rsidR="00C175BE" w:rsidP="00503F46" w:rsidRDefault="00A66D96" w14:paraId="26404BB7" w14:textId="5983BDD9">
      <w:pPr>
        <w:pStyle w:val="Body11ptCalibri-IPR"/>
        <w:spacing w:after="240"/>
      </w:pPr>
      <w:r>
        <w:rPr>
          <w:rFonts w:asciiTheme="minorHAnsi" w:hAnsiTheme="minorHAnsi" w:cstheme="minorHAnsi"/>
          <w:bCs/>
          <w:szCs w:val="22"/>
        </w:rPr>
        <w:t>The in-depth interviews and concept</w:t>
      </w:r>
      <w:r w:rsidR="00E3373B">
        <w:rPr>
          <w:rFonts w:asciiTheme="minorHAnsi" w:hAnsiTheme="minorHAnsi" w:cstheme="minorHAnsi"/>
          <w:bCs/>
          <w:szCs w:val="22"/>
        </w:rPr>
        <w:t>-</w:t>
      </w:r>
      <w:r>
        <w:rPr>
          <w:rFonts w:asciiTheme="minorHAnsi" w:hAnsiTheme="minorHAnsi" w:cstheme="minorHAnsi"/>
          <w:bCs/>
          <w:szCs w:val="22"/>
        </w:rPr>
        <w:t xml:space="preserve">mapping tasks do not </w:t>
      </w:r>
      <w:r w:rsidR="00485D29">
        <w:rPr>
          <w:rFonts w:asciiTheme="minorHAnsi" w:hAnsiTheme="minorHAnsi" w:cstheme="minorHAnsi"/>
          <w:bCs/>
          <w:szCs w:val="22"/>
        </w:rPr>
        <w:t xml:space="preserve">use </w:t>
      </w:r>
      <w:r w:rsidRPr="00B62368" w:rsidR="00C175BE">
        <w:t xml:space="preserve">statistical sampling </w:t>
      </w:r>
      <w:r w:rsidR="00485D29">
        <w:t xml:space="preserve">or estimation </w:t>
      </w:r>
      <w:r w:rsidRPr="00B62368" w:rsidR="00C175BE">
        <w:t>methodolog</w:t>
      </w:r>
      <w:r>
        <w:t>ies</w:t>
      </w:r>
      <w:r w:rsidR="001730FD">
        <w:t xml:space="preserve">. </w:t>
      </w:r>
      <w:r w:rsidR="00E3373B">
        <w:t>T</w:t>
      </w:r>
      <w:r>
        <w:t xml:space="preserve">he </w:t>
      </w:r>
      <w:r w:rsidR="00485D29">
        <w:t xml:space="preserve">information collection </w:t>
      </w:r>
      <w:r>
        <w:t xml:space="preserve">procedures </w:t>
      </w:r>
      <w:r w:rsidR="00485D29">
        <w:t xml:space="preserve">used </w:t>
      </w:r>
      <w:r>
        <w:t xml:space="preserve">for </w:t>
      </w:r>
      <w:r w:rsidR="00485D29">
        <w:t xml:space="preserve">the </w:t>
      </w:r>
      <w:r>
        <w:t>in-depth interviews and concept</w:t>
      </w:r>
      <w:r w:rsidR="0092428C">
        <w:t>-</w:t>
      </w:r>
      <w:r>
        <w:t>mapping tasks</w:t>
      </w:r>
      <w:r w:rsidR="00E3373B">
        <w:t xml:space="preserve"> are described</w:t>
      </w:r>
      <w:r w:rsidR="00485D29">
        <w:t xml:space="preserve"> below, </w:t>
      </w:r>
      <w:r w:rsidR="00E3373B">
        <w:t xml:space="preserve">followed by </w:t>
      </w:r>
      <w:r w:rsidR="00FA01CB">
        <w:t>a review</w:t>
      </w:r>
      <w:r w:rsidR="00E3373B">
        <w:t xml:space="preserve"> of</w:t>
      </w:r>
      <w:r>
        <w:t xml:space="preserve"> statistical </w:t>
      </w:r>
      <w:r w:rsidR="00485D29">
        <w:t xml:space="preserve">methodologies </w:t>
      </w:r>
      <w:r>
        <w:t xml:space="preserve">used </w:t>
      </w:r>
      <w:r w:rsidR="001730FD">
        <w:t xml:space="preserve">for the </w:t>
      </w:r>
      <w:r w:rsidR="00485D29">
        <w:t xml:space="preserve">household survey data </w:t>
      </w:r>
      <w:r w:rsidR="001730FD">
        <w:t>collection</w:t>
      </w:r>
      <w:r w:rsidRPr="00485D29" w:rsidR="00485D29">
        <w:t xml:space="preserve"> </w:t>
      </w:r>
      <w:r w:rsidR="00485D29">
        <w:t xml:space="preserve">in </w:t>
      </w:r>
      <w:r w:rsidR="00354705">
        <w:t>s</w:t>
      </w:r>
      <w:r w:rsidR="00485D29">
        <w:t>ections B.2.1 through B.2.5</w:t>
      </w:r>
      <w:r w:rsidR="001730FD">
        <w:t>.</w:t>
      </w:r>
    </w:p>
    <w:p w:rsidR="00122326" w:rsidP="00CB6433" w:rsidRDefault="00C175BE" w14:paraId="4FA4832B" w14:textId="77777777">
      <w:pPr>
        <w:pStyle w:val="Body11ptCalibri-IPR"/>
        <w:keepNext/>
      </w:pPr>
      <w:r w:rsidRPr="000D610B">
        <w:rPr>
          <w:b/>
          <w:bCs/>
          <w:i/>
          <w:iCs/>
        </w:rPr>
        <w:t>In-depth interview procedures</w:t>
      </w:r>
    </w:p>
    <w:p w:rsidR="00503F46" w:rsidP="00503F46" w:rsidRDefault="000D610B" w14:paraId="67B8002F" w14:textId="77777777">
      <w:pPr>
        <w:pStyle w:val="Body11ptCalibri-IPR"/>
        <w:spacing w:after="240"/>
      </w:pPr>
      <w:r>
        <w:t xml:space="preserve">Every </w:t>
      </w:r>
      <w:r w:rsidR="00E3373B">
        <w:t>3</w:t>
      </w:r>
      <w:r>
        <w:t xml:space="preserve"> weeks during the survey data collection period, </w:t>
      </w:r>
      <w:r w:rsidR="00E3373B">
        <w:t xml:space="preserve">the study team </w:t>
      </w:r>
      <w:r>
        <w:t xml:space="preserve">will generate a list of survey respondents who volunteer to be contacted for an in-depth interview. The list will include the following data elements: respondent name and contact information, NAP participation status, household size and income, presence of children in the household, and food security status. </w:t>
      </w:r>
      <w:r w:rsidR="00E3373B">
        <w:t>T</w:t>
      </w:r>
      <w:r>
        <w:t>hese data elements</w:t>
      </w:r>
      <w:r w:rsidR="00E3373B">
        <w:t xml:space="preserve"> will be used</w:t>
      </w:r>
      <w:r>
        <w:t xml:space="preserve"> to classify each respondent into one of the 12 target subgroups</w:t>
      </w:r>
      <w:r w:rsidR="003D1289">
        <w:t xml:space="preserve"> (see table B.1.1)</w:t>
      </w:r>
      <w:r>
        <w:t xml:space="preserve">. </w:t>
      </w:r>
    </w:p>
    <w:p w:rsidR="00503F46" w:rsidP="00503F46" w:rsidRDefault="00A8375E" w14:paraId="2D2E7BF6" w14:textId="1F094526">
      <w:pPr>
        <w:pStyle w:val="Body11ptCalibri-IPR"/>
        <w:spacing w:after="240"/>
      </w:pPr>
      <w:r>
        <w:t xml:space="preserve">A field supervisor will assign </w:t>
      </w:r>
      <w:r w:rsidR="00581DB9">
        <w:t xml:space="preserve">survey respondent volunteers to </w:t>
      </w:r>
      <w:r>
        <w:t xml:space="preserve">trained interviewers. Interviewers will contact individuals by phone to schedule the interviews, using the script shown in </w:t>
      </w:r>
      <w:r w:rsidR="00581DB9">
        <w:t>A</w:t>
      </w:r>
      <w:r w:rsidRPr="003D6B4C" w:rsidR="00581DB9">
        <w:t xml:space="preserve">ppendix </w:t>
      </w:r>
      <w:r w:rsidR="004421E2">
        <w:t>I</w:t>
      </w:r>
      <w:r w:rsidR="00581DB9">
        <w:t>.1</w:t>
      </w:r>
      <w:r w:rsidR="004421E2">
        <w:t xml:space="preserve"> and I.</w:t>
      </w:r>
      <w:r w:rsidR="00D76C2F">
        <w:t>4</w:t>
      </w:r>
      <w:r w:rsidRPr="003D6B4C" w:rsidR="00581DB9">
        <w:t xml:space="preserve"> </w:t>
      </w:r>
      <w:r>
        <w:t>Upon reaching a potential interviewee by phone, the interviewer will explain the purpose of the call and try to schedule the in-person interview within the next few days</w:t>
      </w:r>
      <w:r w:rsidR="00581DB9">
        <w:t xml:space="preserve"> (see Appendix </w:t>
      </w:r>
      <w:r w:rsidR="004421E2">
        <w:t>I</w:t>
      </w:r>
      <w:r w:rsidR="00581DB9">
        <w:t>.</w:t>
      </w:r>
      <w:r w:rsidR="00D76C2F">
        <w:t>2</w:t>
      </w:r>
      <w:r w:rsidR="004421E2">
        <w:t xml:space="preserve"> and I.</w:t>
      </w:r>
      <w:r w:rsidR="00D76C2F">
        <w:t>5</w:t>
      </w:r>
      <w:r w:rsidR="00581DB9">
        <w:t>).</w:t>
      </w:r>
      <w:r>
        <w:t xml:space="preserve"> Avoiding delays between scheduling and conducting the interview will help minimize the likelihood of no-shows or cancellations.</w:t>
      </w:r>
    </w:p>
    <w:p w:rsidR="00503F46" w:rsidP="00503F46" w:rsidRDefault="00760053" w14:paraId="17178CFC" w14:textId="77777777">
      <w:pPr>
        <w:pStyle w:val="Body11ptCalibri-IPR"/>
        <w:rPr>
          <w:b/>
          <w:bCs/>
          <w:i/>
          <w:iCs/>
        </w:rPr>
      </w:pPr>
      <w:r w:rsidRPr="00040E67">
        <w:rPr>
          <w:b/>
          <w:bCs/>
          <w:i/>
          <w:iCs/>
        </w:rPr>
        <w:lastRenderedPageBreak/>
        <w:t>Concept</w:t>
      </w:r>
      <w:r w:rsidR="00E3373B">
        <w:rPr>
          <w:b/>
          <w:bCs/>
          <w:i/>
          <w:iCs/>
        </w:rPr>
        <w:t>-</w:t>
      </w:r>
      <w:r w:rsidRPr="00040E67" w:rsidR="00C669E6">
        <w:rPr>
          <w:b/>
          <w:bCs/>
          <w:i/>
          <w:iCs/>
        </w:rPr>
        <w:t>m</w:t>
      </w:r>
      <w:r w:rsidRPr="00040E67">
        <w:rPr>
          <w:b/>
          <w:bCs/>
          <w:i/>
          <w:iCs/>
        </w:rPr>
        <w:t>apping</w:t>
      </w:r>
      <w:r w:rsidRPr="00040E67" w:rsidR="00C669E6">
        <w:rPr>
          <w:b/>
          <w:bCs/>
          <w:i/>
          <w:iCs/>
        </w:rPr>
        <w:t xml:space="preserve"> procedures</w:t>
      </w:r>
      <w:bookmarkStart w:name="_Hlk75965636" w:id="27"/>
    </w:p>
    <w:p w:rsidRPr="005210BA" w:rsidR="009E0B57" w:rsidP="00503F46" w:rsidRDefault="00E3373B" w14:paraId="0EE29639" w14:textId="5E5CC738">
      <w:pPr>
        <w:pStyle w:val="Body11ptCalibri-IPR"/>
        <w:spacing w:after="240"/>
      </w:pPr>
      <w:r>
        <w:t>The study team</w:t>
      </w:r>
      <w:r w:rsidR="009E0B57">
        <w:t xml:space="preserve"> </w:t>
      </w:r>
      <w:r w:rsidRPr="005210BA" w:rsidR="009E0B57">
        <w:t xml:space="preserve">will primarily rely on guidance from FNS, TWG members, and a snowball sampling approach to select </w:t>
      </w:r>
      <w:r w:rsidR="009E0B57">
        <w:t xml:space="preserve">stakeholders to </w:t>
      </w:r>
      <w:r w:rsidRPr="005210BA" w:rsidR="009E0B57">
        <w:t>participa</w:t>
      </w:r>
      <w:r w:rsidR="009E0B57">
        <w:t>te</w:t>
      </w:r>
      <w:r w:rsidRPr="005210BA" w:rsidR="009E0B57">
        <w:t xml:space="preserve"> in the concept-mapping process.</w:t>
      </w:r>
      <w:r w:rsidR="009E0B57">
        <w:t xml:space="preserve"> The team will first seek input from FNS staff and TWG members to identify and recruit stakeholders. Selection criteria will include expertise in policy issues related to NAP and food security in Puerto Rico, </w:t>
      </w:r>
      <w:r w:rsidRPr="005210BA" w:rsidR="009E0B57">
        <w:t>familiarity with one or more of the stages of Puerto Rico’s food and nutrition system, and ability to represent the perspectives of key stakeholders in that system</w:t>
      </w:r>
      <w:r w:rsidR="009E0B57">
        <w:t xml:space="preserve">. After </w:t>
      </w:r>
      <w:r>
        <w:t xml:space="preserve">contacting </w:t>
      </w:r>
      <w:r w:rsidR="009E0B57">
        <w:t>potential participants recommended by FNS and the TWG</w:t>
      </w:r>
      <w:r w:rsidRPr="00E3373B">
        <w:t xml:space="preserve"> </w:t>
      </w:r>
      <w:r>
        <w:t>via email</w:t>
      </w:r>
      <w:r w:rsidR="00F9064B">
        <w:t xml:space="preserve"> (see Appendix </w:t>
      </w:r>
      <w:r w:rsidR="00881E9A">
        <w:t>K</w:t>
      </w:r>
      <w:r w:rsidR="00767E69">
        <w:t>.1</w:t>
      </w:r>
      <w:r w:rsidR="00F9064B">
        <w:t>)</w:t>
      </w:r>
      <w:r w:rsidR="009E0B57">
        <w:t xml:space="preserve">, the team will solicit recommendations for additional stakeholders from those contacted and repeat the process until all stakeholder group members are selected. The team anticipates convening </w:t>
      </w:r>
      <w:r>
        <w:t xml:space="preserve">6 </w:t>
      </w:r>
      <w:r w:rsidR="009E0B57">
        <w:t xml:space="preserve">stakeholder groups with </w:t>
      </w:r>
      <w:r>
        <w:t xml:space="preserve">7 </w:t>
      </w:r>
      <w:r w:rsidR="009E0B57">
        <w:t>members each</w:t>
      </w:r>
      <w:r>
        <w:t>,</w:t>
      </w:r>
      <w:r w:rsidR="009E0B57">
        <w:t xml:space="preserve"> for a total of 42 stakeholder group members. </w:t>
      </w:r>
    </w:p>
    <w:bookmarkEnd w:id="27"/>
    <w:p w:rsidR="003E223D" w:rsidP="003E223D" w:rsidRDefault="006E04B2" w14:paraId="649A71DB" w14:textId="63D3101E">
      <w:pPr>
        <w:pStyle w:val="Heading4NoLetter-IPR"/>
        <w:spacing w:before="240" w:after="120"/>
      </w:pPr>
      <w:r>
        <w:t>B.2.1</w:t>
      </w:r>
      <w:r w:rsidR="00122326">
        <w:t>.</w:t>
      </w:r>
      <w:r>
        <w:tab/>
      </w:r>
      <w:r w:rsidR="003E223D">
        <w:t>Statistical Methodology for Stratification and Sample Selection</w:t>
      </w:r>
      <w:r w:rsidR="00C669E6">
        <w:t xml:space="preserve"> for Household Survey</w:t>
      </w:r>
    </w:p>
    <w:p w:rsidR="003D5F5A" w:rsidP="00503F46" w:rsidRDefault="00E3373B" w14:paraId="017DDA55" w14:textId="155C0419">
      <w:pPr>
        <w:pStyle w:val="Body11ptCalibrDBi-IPR"/>
        <w:spacing w:after="240"/>
      </w:pPr>
      <w:r>
        <w:t xml:space="preserve">The study team </w:t>
      </w:r>
      <w:r w:rsidR="003D5F5A">
        <w:t>will use two sourc</w:t>
      </w:r>
      <w:r w:rsidR="002455B1">
        <w:t xml:space="preserve">es to build the household </w:t>
      </w:r>
      <w:r w:rsidR="00C669E6">
        <w:t xml:space="preserve">survey </w:t>
      </w:r>
      <w:r w:rsidR="002455B1">
        <w:t>sampling</w:t>
      </w:r>
      <w:r w:rsidR="003D5F5A">
        <w:t xml:space="preserve"> frames: an administrative list of NAP</w:t>
      </w:r>
      <w:r w:rsidR="003D5F5A">
        <w:rPr>
          <w:spacing w:val="1"/>
        </w:rPr>
        <w:t xml:space="preserve"> </w:t>
      </w:r>
      <w:r w:rsidR="003D5F5A">
        <w:t xml:space="preserve">participants provided by </w:t>
      </w:r>
      <w:r w:rsidR="00607FCF">
        <w:t xml:space="preserve">ADSEF and an area </w:t>
      </w:r>
      <w:r w:rsidR="003D5F5A">
        <w:t>probability sample.</w:t>
      </w:r>
      <w:r>
        <w:rPr>
          <w:rStyle w:val="FootnoteReference"/>
        </w:rPr>
        <w:footnoteReference w:id="4"/>
      </w:r>
      <w:r w:rsidR="003D5F5A">
        <w:t xml:space="preserve"> This </w:t>
      </w:r>
      <w:r w:rsidR="00C146F6">
        <w:t>dual-frame</w:t>
      </w:r>
      <w:r w:rsidR="003D5F5A">
        <w:t xml:space="preserve"> approach is designed to balance the relative efficiencies and coverage of each sampling frame.</w:t>
      </w:r>
      <w:r w:rsidR="00404247">
        <w:t xml:space="preserve"> </w:t>
      </w:r>
      <w:r w:rsidR="003D5F5A">
        <w:t xml:space="preserve">The NAP </w:t>
      </w:r>
      <w:r w:rsidR="0092428C">
        <w:t xml:space="preserve">administrative </w:t>
      </w:r>
      <w:r w:rsidR="003D5F5A">
        <w:t>list provides the most efficient approach for sampling NAP participants, and the area</w:t>
      </w:r>
      <w:r w:rsidR="003D5F5A">
        <w:rPr>
          <w:spacing w:val="1"/>
        </w:rPr>
        <w:t xml:space="preserve"> </w:t>
      </w:r>
      <w:r w:rsidR="003D5F5A">
        <w:t>probability</w:t>
      </w:r>
      <w:r w:rsidR="003D5F5A">
        <w:rPr>
          <w:spacing w:val="-3"/>
        </w:rPr>
        <w:t xml:space="preserve"> </w:t>
      </w:r>
      <w:r w:rsidR="003D5F5A">
        <w:t>sample</w:t>
      </w:r>
      <w:r w:rsidR="003D5F5A">
        <w:rPr>
          <w:spacing w:val="-1"/>
        </w:rPr>
        <w:t xml:space="preserve"> </w:t>
      </w:r>
      <w:r w:rsidR="003D5F5A">
        <w:t>provides</w:t>
      </w:r>
      <w:r w:rsidR="003D5F5A">
        <w:rPr>
          <w:spacing w:val="-2"/>
        </w:rPr>
        <w:t xml:space="preserve"> </w:t>
      </w:r>
      <w:r w:rsidR="003D5F5A">
        <w:t>coverage</w:t>
      </w:r>
      <w:r w:rsidR="003D5F5A">
        <w:rPr>
          <w:spacing w:val="-1"/>
        </w:rPr>
        <w:t xml:space="preserve"> </w:t>
      </w:r>
      <w:r w:rsidR="003D5F5A">
        <w:t>of</w:t>
      </w:r>
      <w:r w:rsidR="003D5F5A">
        <w:rPr>
          <w:spacing w:val="-1"/>
        </w:rPr>
        <w:t xml:space="preserve"> </w:t>
      </w:r>
      <w:r w:rsidR="003D5F5A">
        <w:t>the</w:t>
      </w:r>
      <w:r w:rsidR="003D5F5A">
        <w:rPr>
          <w:spacing w:val="-1"/>
        </w:rPr>
        <w:t xml:space="preserve"> </w:t>
      </w:r>
      <w:r w:rsidR="003D5F5A">
        <w:t>full</w:t>
      </w:r>
      <w:r w:rsidR="003D5F5A">
        <w:rPr>
          <w:spacing w:val="-1"/>
        </w:rPr>
        <w:t xml:space="preserve"> </w:t>
      </w:r>
      <w:r w:rsidR="003D5F5A">
        <w:t>population,</w:t>
      </w:r>
      <w:r w:rsidR="003D5F5A">
        <w:rPr>
          <w:spacing w:val="-2"/>
        </w:rPr>
        <w:t xml:space="preserve"> </w:t>
      </w:r>
      <w:r w:rsidR="003D5F5A">
        <w:t>including</w:t>
      </w:r>
      <w:r w:rsidR="003D5F5A">
        <w:rPr>
          <w:spacing w:val="-2"/>
        </w:rPr>
        <w:t xml:space="preserve"> </w:t>
      </w:r>
      <w:r w:rsidR="003D5F5A">
        <w:t>NAP nonparticipants.</w:t>
      </w:r>
    </w:p>
    <w:p w:rsidR="006E04B2" w:rsidP="00503F46" w:rsidRDefault="00E3373B" w14:paraId="759727B1" w14:textId="02EEE139">
      <w:pPr>
        <w:pStyle w:val="Body11ptCalibrDBi-IPR"/>
        <w:spacing w:after="240"/>
      </w:pPr>
      <w:r>
        <w:t>The study team</w:t>
      </w:r>
      <w:r>
        <w:rPr>
          <w:spacing w:val="-4"/>
        </w:rPr>
        <w:t xml:space="preserve"> </w:t>
      </w:r>
      <w:r w:rsidR="003D5F5A">
        <w:t>will</w:t>
      </w:r>
      <w:r w:rsidR="003D5F5A">
        <w:rPr>
          <w:spacing w:val="-4"/>
        </w:rPr>
        <w:t xml:space="preserve"> </w:t>
      </w:r>
      <w:r w:rsidR="003D5F5A">
        <w:t>use</w:t>
      </w:r>
      <w:r w:rsidR="003D5F5A">
        <w:rPr>
          <w:spacing w:val="-4"/>
        </w:rPr>
        <w:t xml:space="preserve"> </w:t>
      </w:r>
      <w:r w:rsidR="003D5F5A">
        <w:t>the</w:t>
      </w:r>
      <w:r w:rsidR="003D5F5A">
        <w:rPr>
          <w:spacing w:val="-4"/>
        </w:rPr>
        <w:t xml:space="preserve"> </w:t>
      </w:r>
      <w:r w:rsidR="003D5F5A">
        <w:t>NAP</w:t>
      </w:r>
      <w:r w:rsidR="003D5F5A">
        <w:rPr>
          <w:spacing w:val="-2"/>
        </w:rPr>
        <w:t xml:space="preserve"> </w:t>
      </w:r>
      <w:r w:rsidR="003D5F5A">
        <w:t>administrative</w:t>
      </w:r>
      <w:r w:rsidR="003D5F5A">
        <w:rPr>
          <w:spacing w:val="-5"/>
        </w:rPr>
        <w:t xml:space="preserve"> </w:t>
      </w:r>
      <w:r w:rsidR="00607FCF">
        <w:t>list</w:t>
      </w:r>
      <w:r w:rsidR="003D5F5A">
        <w:rPr>
          <w:spacing w:val="-3"/>
        </w:rPr>
        <w:t xml:space="preserve"> </w:t>
      </w:r>
      <w:r w:rsidR="003D5F5A">
        <w:t>to</w:t>
      </w:r>
      <w:r w:rsidR="003D5F5A">
        <w:rPr>
          <w:spacing w:val="-3"/>
        </w:rPr>
        <w:t xml:space="preserve"> </w:t>
      </w:r>
      <w:r w:rsidR="003D5F5A">
        <w:t>identify</w:t>
      </w:r>
      <w:r w:rsidR="003D5F5A">
        <w:rPr>
          <w:spacing w:val="-5"/>
        </w:rPr>
        <w:t xml:space="preserve"> </w:t>
      </w:r>
      <w:r w:rsidR="003D5F5A">
        <w:t>and</w:t>
      </w:r>
      <w:r w:rsidR="003D5F5A">
        <w:rPr>
          <w:spacing w:val="-3"/>
        </w:rPr>
        <w:t xml:space="preserve"> </w:t>
      </w:r>
      <w:r w:rsidR="003D5F5A">
        <w:t>sample NAP</w:t>
      </w:r>
      <w:r w:rsidR="003D5F5A">
        <w:rPr>
          <w:spacing w:val="-4"/>
        </w:rPr>
        <w:t xml:space="preserve"> </w:t>
      </w:r>
      <w:r w:rsidR="003D5F5A">
        <w:t>participa</w:t>
      </w:r>
      <w:r w:rsidR="00F9064B">
        <w:t>ting households</w:t>
      </w:r>
      <w:r w:rsidR="003D5F5A">
        <w:t>.</w:t>
      </w:r>
      <w:r w:rsidR="003D5F5A">
        <w:rPr>
          <w:spacing w:val="-4"/>
        </w:rPr>
        <w:t xml:space="preserve"> </w:t>
      </w:r>
      <w:r w:rsidR="003D5F5A">
        <w:t>The</w:t>
      </w:r>
      <w:r w:rsidR="003D5F5A">
        <w:rPr>
          <w:spacing w:val="-5"/>
        </w:rPr>
        <w:t xml:space="preserve"> </w:t>
      </w:r>
      <w:r w:rsidR="003D5F5A">
        <w:t>area</w:t>
      </w:r>
      <w:r w:rsidR="00607FCF">
        <w:t xml:space="preserve"> </w:t>
      </w:r>
      <w:r w:rsidR="003D5F5A">
        <w:t>probability</w:t>
      </w:r>
      <w:r w:rsidR="00607FCF">
        <w:t xml:space="preserve"> </w:t>
      </w:r>
      <w:r w:rsidR="003D5F5A">
        <w:t xml:space="preserve">sample will be used to identify and sample </w:t>
      </w:r>
      <w:r w:rsidRPr="00F9064B" w:rsidR="00F9064B">
        <w:rPr>
          <w:rFonts w:hint="eastAsia"/>
        </w:rPr>
        <w:t>NAP participating households, low‐income nonparticipating households</w:t>
      </w:r>
      <w:r w:rsidR="003D5F5A">
        <w:t>, and</w:t>
      </w:r>
      <w:r w:rsidR="003D5F5A">
        <w:rPr>
          <w:spacing w:val="1"/>
        </w:rPr>
        <w:t xml:space="preserve"> </w:t>
      </w:r>
      <w:r w:rsidR="003D5F5A">
        <w:t xml:space="preserve">households ineligible for NAP. Table </w:t>
      </w:r>
      <w:r w:rsidR="00607FCF">
        <w:t>B.</w:t>
      </w:r>
      <w:r w:rsidR="003D5F5A">
        <w:t>2.</w:t>
      </w:r>
      <w:r w:rsidR="00607FCF">
        <w:t>1</w:t>
      </w:r>
      <w:r w:rsidR="003D5F5A">
        <w:t xml:space="preserve"> provides an overview of key features of </w:t>
      </w:r>
      <w:r>
        <w:t>the</w:t>
      </w:r>
      <w:r w:rsidR="003D5F5A">
        <w:t xml:space="preserve"> two</w:t>
      </w:r>
      <w:r w:rsidR="003D5F5A">
        <w:rPr>
          <w:spacing w:val="1"/>
        </w:rPr>
        <w:t xml:space="preserve"> </w:t>
      </w:r>
      <w:r w:rsidR="003D5F5A">
        <w:t>sample design</w:t>
      </w:r>
      <w:r>
        <w:t xml:space="preserve"> components</w:t>
      </w:r>
      <w:r w:rsidR="003D5F5A">
        <w:t>, including the sample sizes and expected response rates for each</w:t>
      </w:r>
      <w:r w:rsidR="003D5F5A">
        <w:rPr>
          <w:spacing w:val="1"/>
        </w:rPr>
        <w:t xml:space="preserve"> </w:t>
      </w:r>
      <w:r w:rsidR="003D5F5A">
        <w:t xml:space="preserve">sampling frame. </w:t>
      </w:r>
      <w:r w:rsidR="00417730">
        <w:t>D</w:t>
      </w:r>
      <w:r w:rsidRPr="007A0261" w:rsidR="00417730">
        <w:t xml:space="preserve">ata collection will begin at the same time for the two survey sample frames (i.e., NAP participant list and area probability), but data collection procedures and field </w:t>
      </w:r>
      <w:r w:rsidRPr="007A0261" w:rsidR="00417730">
        <w:lastRenderedPageBreak/>
        <w:t>periods will vary by frame type. The field period for the NAP par</w:t>
      </w:r>
      <w:r w:rsidR="00417730">
        <w:t>ticipant list frame is 10 weeks</w:t>
      </w:r>
      <w:r w:rsidRPr="007A0261" w:rsidR="00417730">
        <w:t xml:space="preserve"> and the area</w:t>
      </w:r>
      <w:r w:rsidR="00417730">
        <w:t xml:space="preserve"> </w:t>
      </w:r>
      <w:r w:rsidRPr="007A0261" w:rsidR="00417730">
        <w:t>probability frame is 20 weeks.</w:t>
      </w:r>
      <w:r w:rsidR="00417730">
        <w:rPr>
          <w:rStyle w:val="FootnoteReference"/>
        </w:rPr>
        <w:footnoteReference w:id="5"/>
      </w:r>
    </w:p>
    <w:p w:rsidRPr="00503F46" w:rsidR="003D5F5A" w:rsidP="00503F46" w:rsidRDefault="003D5F5A" w14:paraId="2D31EDFF" w14:textId="289F12E7">
      <w:pPr>
        <w:pStyle w:val="TableTitle-IPR"/>
      </w:pPr>
      <w:bookmarkStart w:name="_Toc78365138" w:id="28"/>
      <w:r>
        <w:t>Table</w:t>
      </w:r>
      <w:r>
        <w:rPr>
          <w:spacing w:val="-2"/>
        </w:rPr>
        <w:t xml:space="preserve"> </w:t>
      </w:r>
      <w:r w:rsidR="00607FCF">
        <w:rPr>
          <w:spacing w:val="-2"/>
        </w:rPr>
        <w:t>B.</w:t>
      </w:r>
      <w:r>
        <w:t>2.</w:t>
      </w:r>
      <w:r w:rsidR="00607FCF">
        <w:t>1</w:t>
      </w:r>
      <w:r>
        <w:t>.</w:t>
      </w:r>
      <w:r>
        <w:rPr>
          <w:spacing w:val="-1"/>
        </w:rPr>
        <w:t xml:space="preserve"> </w:t>
      </w:r>
      <w:r>
        <w:t>Key</w:t>
      </w:r>
      <w:r>
        <w:rPr>
          <w:spacing w:val="-1"/>
        </w:rPr>
        <w:t xml:space="preserve"> </w:t>
      </w:r>
      <w:r>
        <w:t>Features</w:t>
      </w:r>
      <w:r>
        <w:rPr>
          <w:spacing w:val="-1"/>
        </w:rPr>
        <w:t xml:space="preserve"> </w:t>
      </w:r>
      <w:r>
        <w:t>of</w:t>
      </w:r>
      <w:r>
        <w:rPr>
          <w:spacing w:val="-2"/>
        </w:rPr>
        <w:t xml:space="preserve"> </w:t>
      </w:r>
      <w:r>
        <w:t>the</w:t>
      </w:r>
      <w:r>
        <w:rPr>
          <w:spacing w:val="-1"/>
        </w:rPr>
        <w:t xml:space="preserve"> </w:t>
      </w:r>
      <w:r>
        <w:t>Two</w:t>
      </w:r>
      <w:r>
        <w:rPr>
          <w:spacing w:val="-1"/>
        </w:rPr>
        <w:t xml:space="preserve"> </w:t>
      </w:r>
      <w:r>
        <w:t>Components</w:t>
      </w:r>
      <w:r>
        <w:rPr>
          <w:spacing w:val="-1"/>
        </w:rPr>
        <w:t xml:space="preserve"> </w:t>
      </w:r>
      <w:r>
        <w:t>of</w:t>
      </w:r>
      <w:r>
        <w:rPr>
          <w:spacing w:val="-1"/>
        </w:rPr>
        <w:t xml:space="preserve"> </w:t>
      </w:r>
      <w:r>
        <w:t>the</w:t>
      </w:r>
      <w:r>
        <w:rPr>
          <w:spacing w:val="-1"/>
        </w:rPr>
        <w:t xml:space="preserve"> </w:t>
      </w:r>
      <w:r>
        <w:t>Sample</w:t>
      </w:r>
      <w:r>
        <w:rPr>
          <w:spacing w:val="-1"/>
        </w:rPr>
        <w:t xml:space="preserve"> </w:t>
      </w:r>
      <w:r>
        <w:t>Design</w:t>
      </w:r>
      <w:r>
        <w:rPr>
          <w:spacing w:val="-1"/>
        </w:rPr>
        <w:t xml:space="preserve"> </w:t>
      </w:r>
      <w:r>
        <w:t>for</w:t>
      </w:r>
      <w:r>
        <w:rPr>
          <w:spacing w:val="-1"/>
        </w:rPr>
        <w:t xml:space="preserve"> </w:t>
      </w:r>
      <w:r>
        <w:t>the</w:t>
      </w:r>
      <w:r>
        <w:rPr>
          <w:spacing w:val="-1"/>
        </w:rPr>
        <w:t xml:space="preserve"> </w:t>
      </w:r>
      <w:r>
        <w:t>Household</w:t>
      </w:r>
      <w:r>
        <w:rPr>
          <w:spacing w:val="-1"/>
        </w:rPr>
        <w:t xml:space="preserve"> </w:t>
      </w:r>
      <w:r>
        <w:t>Survey</w:t>
      </w:r>
      <w:bookmarkEnd w:id="28"/>
    </w:p>
    <w:tbl>
      <w:tblPr>
        <w:tblStyle w:val="InsightTable"/>
        <w:tblW w:w="9420" w:type="dxa"/>
        <w:tblLayout w:type="fixed"/>
        <w:tblLook w:val="01E0" w:firstRow="1" w:lastRow="1" w:firstColumn="1" w:lastColumn="1" w:noHBand="0" w:noVBand="0"/>
      </w:tblPr>
      <w:tblGrid>
        <w:gridCol w:w="4892"/>
        <w:gridCol w:w="2070"/>
        <w:gridCol w:w="2458"/>
      </w:tblGrid>
      <w:tr w:rsidR="00503F46" w:rsidTr="00960E81" w14:paraId="6DF77CB0"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4892" w:type="dxa"/>
          </w:tcPr>
          <w:p w:rsidR="00503F46" w:rsidP="00503F46" w:rsidRDefault="00503F46" w14:paraId="6E56F423" w14:textId="0824D3A2">
            <w:pPr>
              <w:pStyle w:val="TableText-IPR"/>
            </w:pPr>
            <w:r w:rsidRPr="006B016F">
              <w:rPr>
                <w:rFonts w:ascii="Lucida Sans"/>
                <w:b/>
                <w:sz w:val="18"/>
              </w:rPr>
              <w:t>Sample</w:t>
            </w:r>
            <w:r w:rsidRPr="006B016F">
              <w:rPr>
                <w:rFonts w:ascii="Lucida Sans"/>
                <w:b/>
                <w:spacing w:val="-2"/>
                <w:sz w:val="18"/>
              </w:rPr>
              <w:t xml:space="preserve"> </w:t>
            </w:r>
            <w:r w:rsidRPr="006B016F">
              <w:rPr>
                <w:rFonts w:ascii="Lucida Sans"/>
                <w:b/>
                <w:sz w:val="18"/>
              </w:rPr>
              <w:t>Design</w:t>
            </w:r>
            <w:r w:rsidRPr="006B016F">
              <w:rPr>
                <w:rFonts w:ascii="Lucida Sans"/>
                <w:b/>
                <w:spacing w:val="-1"/>
                <w:sz w:val="18"/>
              </w:rPr>
              <w:t xml:space="preserve"> </w:t>
            </w:r>
            <w:r w:rsidRPr="006B016F">
              <w:rPr>
                <w:rFonts w:ascii="Lucida Sans"/>
                <w:b/>
                <w:sz w:val="18"/>
              </w:rPr>
              <w:t>Features</w:t>
            </w:r>
          </w:p>
        </w:tc>
        <w:tc>
          <w:tcPr>
            <w:tcW w:w="2070" w:type="dxa"/>
          </w:tcPr>
          <w:p w:rsidRPr="003A382E" w:rsidR="00503F46" w:rsidP="00503F46" w:rsidRDefault="00503F46" w14:paraId="18E0D908" w14:textId="07D7920C">
            <w:pPr>
              <w:pStyle w:val="TableText-IPR"/>
            </w:pPr>
            <w:r w:rsidRPr="006B016F">
              <w:rPr>
                <w:rFonts w:ascii="Lucida Sans"/>
                <w:b/>
                <w:sz w:val="18"/>
              </w:rPr>
              <w:t>NAP Participants List</w:t>
            </w:r>
          </w:p>
        </w:tc>
        <w:tc>
          <w:tcPr>
            <w:tcW w:w="2458" w:type="dxa"/>
          </w:tcPr>
          <w:p w:rsidRPr="003A382E" w:rsidR="00503F46" w:rsidP="00503F46" w:rsidRDefault="00503F46" w14:paraId="04F2B431" w14:textId="740A7F91">
            <w:pPr>
              <w:pStyle w:val="TableText-IPR"/>
            </w:pPr>
            <w:r w:rsidRPr="006B016F">
              <w:rPr>
                <w:rFonts w:ascii="Lucida Sans"/>
                <w:b/>
                <w:sz w:val="18"/>
              </w:rPr>
              <w:t>Area Probability</w:t>
            </w:r>
            <w:r w:rsidRPr="006B016F">
              <w:rPr>
                <w:rFonts w:ascii="Lucida Sans"/>
                <w:b/>
                <w:spacing w:val="-6"/>
                <w:sz w:val="18"/>
              </w:rPr>
              <w:t xml:space="preserve"> </w:t>
            </w:r>
            <w:r w:rsidRPr="006B016F">
              <w:rPr>
                <w:rFonts w:ascii="Lucida Sans"/>
                <w:b/>
                <w:sz w:val="18"/>
              </w:rPr>
              <w:t>Sample</w:t>
            </w:r>
          </w:p>
        </w:tc>
      </w:tr>
      <w:tr w:rsidR="003D5F5A" w:rsidTr="00960E81" w14:paraId="350B4AF6" w14:textId="77777777">
        <w:trPr>
          <w:trHeight w:val="300"/>
        </w:trPr>
        <w:tc>
          <w:tcPr>
            <w:tcW w:w="4892" w:type="dxa"/>
          </w:tcPr>
          <w:p w:rsidR="003D5F5A" w:rsidP="00960E81" w:rsidRDefault="003D5F5A" w14:paraId="0AC73210" w14:textId="77777777">
            <w:pPr>
              <w:pStyle w:val="TableText-IPR"/>
              <w:keepNext/>
            </w:pPr>
            <w:r>
              <w:t>Original</w:t>
            </w:r>
            <w:r>
              <w:rPr>
                <w:spacing w:val="-5"/>
              </w:rPr>
              <w:t xml:space="preserve"> </w:t>
            </w:r>
            <w:r>
              <w:t>sample</w:t>
            </w:r>
            <w:r>
              <w:rPr>
                <w:spacing w:val="-5"/>
              </w:rPr>
              <w:t xml:space="preserve"> </w:t>
            </w:r>
            <w:r>
              <w:t>size</w:t>
            </w:r>
            <w:r>
              <w:rPr>
                <w:spacing w:val="-5"/>
              </w:rPr>
              <w:t xml:space="preserve"> </w:t>
            </w:r>
            <w:r>
              <w:t>(excluding</w:t>
            </w:r>
            <w:r>
              <w:rPr>
                <w:spacing w:val="-5"/>
              </w:rPr>
              <w:t xml:space="preserve"> </w:t>
            </w:r>
            <w:r>
              <w:t>reserve)</w:t>
            </w:r>
          </w:p>
        </w:tc>
        <w:tc>
          <w:tcPr>
            <w:tcW w:w="2070" w:type="dxa"/>
          </w:tcPr>
          <w:p w:rsidRPr="003A382E" w:rsidR="003D5F5A" w:rsidP="001315E2" w:rsidRDefault="003D5F5A" w14:paraId="16D8429E" w14:textId="77777777">
            <w:pPr>
              <w:pStyle w:val="TableText-IPR"/>
              <w:keepNext/>
              <w:jc w:val="right"/>
            </w:pPr>
            <w:r w:rsidRPr="003A382E">
              <w:t>3,170</w:t>
            </w:r>
          </w:p>
        </w:tc>
        <w:tc>
          <w:tcPr>
            <w:tcW w:w="2458" w:type="dxa"/>
          </w:tcPr>
          <w:p w:rsidRPr="003A382E" w:rsidR="003D5F5A" w:rsidP="001315E2" w:rsidRDefault="003D5F5A" w14:paraId="018060B9" w14:textId="77777777">
            <w:pPr>
              <w:pStyle w:val="TableText-IPR"/>
              <w:keepNext/>
              <w:jc w:val="right"/>
            </w:pPr>
            <w:r w:rsidRPr="003A382E">
              <w:t>9,110</w:t>
            </w:r>
          </w:p>
        </w:tc>
      </w:tr>
      <w:tr w:rsidR="003D5F5A" w:rsidTr="00960E81" w14:paraId="568D774C" w14:textId="77777777">
        <w:trPr>
          <w:trHeight w:val="299"/>
        </w:trPr>
        <w:tc>
          <w:tcPr>
            <w:tcW w:w="4892" w:type="dxa"/>
          </w:tcPr>
          <w:p w:rsidR="003D5F5A" w:rsidP="002D3C5E" w:rsidRDefault="003D5F5A" w14:paraId="0D478A3A" w14:textId="77777777">
            <w:pPr>
              <w:pStyle w:val="TableText-IPR"/>
            </w:pPr>
            <w:r>
              <w:t>Eligibility</w:t>
            </w:r>
            <w:r>
              <w:rPr>
                <w:spacing w:val="-4"/>
              </w:rPr>
              <w:t xml:space="preserve"> </w:t>
            </w:r>
            <w:r>
              <w:t>rate</w:t>
            </w:r>
            <w:r>
              <w:rPr>
                <w:spacing w:val="-4"/>
              </w:rPr>
              <w:t xml:space="preserve"> </w:t>
            </w:r>
            <w:r>
              <w:t>(still</w:t>
            </w:r>
            <w:r>
              <w:rPr>
                <w:spacing w:val="-4"/>
              </w:rPr>
              <w:t xml:space="preserve"> </w:t>
            </w:r>
            <w:r>
              <w:t>residing</w:t>
            </w:r>
            <w:r>
              <w:rPr>
                <w:spacing w:val="-3"/>
              </w:rPr>
              <w:t xml:space="preserve"> </w:t>
            </w:r>
            <w:r>
              <w:t>in</w:t>
            </w:r>
            <w:r>
              <w:rPr>
                <w:spacing w:val="-4"/>
              </w:rPr>
              <w:t xml:space="preserve"> </w:t>
            </w:r>
            <w:r>
              <w:t>Puerto</w:t>
            </w:r>
            <w:r>
              <w:rPr>
                <w:spacing w:val="-3"/>
              </w:rPr>
              <w:t xml:space="preserve"> </w:t>
            </w:r>
            <w:r>
              <w:t>Rico)</w:t>
            </w:r>
          </w:p>
        </w:tc>
        <w:tc>
          <w:tcPr>
            <w:tcW w:w="2070" w:type="dxa"/>
          </w:tcPr>
          <w:p w:rsidRPr="003A382E" w:rsidR="003D5F5A" w:rsidP="001315E2" w:rsidRDefault="003D5F5A" w14:paraId="0C8E7D4C" w14:textId="77777777">
            <w:pPr>
              <w:pStyle w:val="TableText-IPR"/>
              <w:jc w:val="right"/>
            </w:pPr>
            <w:r w:rsidRPr="003A382E">
              <w:t>0.9</w:t>
            </w:r>
          </w:p>
        </w:tc>
        <w:tc>
          <w:tcPr>
            <w:tcW w:w="2458" w:type="dxa"/>
          </w:tcPr>
          <w:p w:rsidRPr="003A382E" w:rsidR="003D5F5A" w:rsidP="001315E2" w:rsidRDefault="003D5F5A" w14:paraId="51697A81" w14:textId="77777777">
            <w:pPr>
              <w:pStyle w:val="TableText-IPR"/>
              <w:jc w:val="right"/>
            </w:pPr>
            <w:r w:rsidRPr="003A382E">
              <w:t>1</w:t>
            </w:r>
          </w:p>
        </w:tc>
      </w:tr>
      <w:tr w:rsidR="00F9064B" w:rsidTr="00960E81" w14:paraId="3A7F373A" w14:textId="77777777">
        <w:trPr>
          <w:trHeight w:val="300"/>
        </w:trPr>
        <w:tc>
          <w:tcPr>
            <w:tcW w:w="4892" w:type="dxa"/>
          </w:tcPr>
          <w:p w:rsidRPr="00960E81" w:rsidR="00F9064B" w:rsidP="00F9064B" w:rsidRDefault="00F9064B" w14:paraId="7B8CF6DE" w14:textId="63BB0930">
            <w:pPr>
              <w:pStyle w:val="TableText-IPR"/>
              <w:rPr>
                <w:sz w:val="22"/>
                <w:szCs w:val="22"/>
              </w:rPr>
            </w:pPr>
            <w:r w:rsidRPr="00ED20FC">
              <w:t>Response rate to mailed web invitation and paper survey</w:t>
            </w:r>
            <w:r w:rsidRPr="00960E81">
              <w:rPr>
                <w:sz w:val="22"/>
                <w:szCs w:val="22"/>
                <w:vertAlign w:val="superscript"/>
              </w:rPr>
              <w:t>a</w:t>
            </w:r>
          </w:p>
        </w:tc>
        <w:tc>
          <w:tcPr>
            <w:tcW w:w="2070" w:type="dxa"/>
          </w:tcPr>
          <w:p w:rsidRPr="003A382E" w:rsidR="00F9064B" w:rsidP="001315E2" w:rsidRDefault="00F9064B" w14:paraId="69E7AB8A" w14:textId="387D02D4">
            <w:pPr>
              <w:pStyle w:val="TableText-IPR"/>
              <w:jc w:val="right"/>
            </w:pPr>
            <w:r w:rsidRPr="00ED20FC">
              <w:t>0.3</w:t>
            </w:r>
          </w:p>
        </w:tc>
        <w:tc>
          <w:tcPr>
            <w:tcW w:w="2458" w:type="dxa"/>
          </w:tcPr>
          <w:p w:rsidRPr="003A382E" w:rsidR="00F9064B" w:rsidP="001315E2" w:rsidRDefault="00F9064B" w14:paraId="77ACC7F0" w14:textId="2EE24779">
            <w:pPr>
              <w:pStyle w:val="TableText-IPR"/>
              <w:jc w:val="right"/>
            </w:pPr>
            <w:r w:rsidRPr="00ED20FC">
              <w:t>N/A</w:t>
            </w:r>
          </w:p>
        </w:tc>
      </w:tr>
      <w:tr w:rsidRPr="004C011F" w:rsidR="00F9064B" w:rsidTr="00960E81" w14:paraId="6AAFF065" w14:textId="77777777">
        <w:trPr>
          <w:trHeight w:val="300"/>
        </w:trPr>
        <w:tc>
          <w:tcPr>
            <w:tcW w:w="4892" w:type="dxa"/>
          </w:tcPr>
          <w:p w:rsidRPr="00F9064B" w:rsidR="00F9064B" w:rsidP="00960E81" w:rsidRDefault="00F9064B" w14:paraId="1D69A64A" w14:textId="77777777">
            <w:pPr>
              <w:pStyle w:val="TableText-IPR"/>
              <w:ind w:left="341"/>
            </w:pPr>
            <w:r w:rsidRPr="00F9064B">
              <w:t>Web/Paper survey completes</w:t>
            </w:r>
          </w:p>
        </w:tc>
        <w:tc>
          <w:tcPr>
            <w:tcW w:w="2070" w:type="dxa"/>
          </w:tcPr>
          <w:p w:rsidRPr="00F9064B" w:rsidR="00F9064B" w:rsidP="001315E2" w:rsidRDefault="00F9064B" w14:paraId="791D2AB6" w14:textId="77777777">
            <w:pPr>
              <w:pStyle w:val="TableText-IPR"/>
              <w:jc w:val="right"/>
            </w:pPr>
            <w:r w:rsidRPr="00F9064B">
              <w:t>856</w:t>
            </w:r>
          </w:p>
        </w:tc>
        <w:tc>
          <w:tcPr>
            <w:tcW w:w="2458" w:type="dxa"/>
          </w:tcPr>
          <w:p w:rsidRPr="00F9064B" w:rsidR="00F9064B" w:rsidP="001315E2" w:rsidRDefault="00F9064B" w14:paraId="6EFC9368" w14:textId="77777777">
            <w:pPr>
              <w:pStyle w:val="TableText-IPR"/>
              <w:jc w:val="right"/>
            </w:pPr>
            <w:r w:rsidRPr="00F9064B">
              <w:t>N/A</w:t>
            </w:r>
          </w:p>
        </w:tc>
      </w:tr>
      <w:tr w:rsidR="003D5F5A" w:rsidTr="00960E81" w14:paraId="4A841B0D" w14:textId="77777777">
        <w:trPr>
          <w:trHeight w:val="299"/>
        </w:trPr>
        <w:tc>
          <w:tcPr>
            <w:tcW w:w="4892" w:type="dxa"/>
          </w:tcPr>
          <w:p w:rsidR="003D5F5A" w:rsidP="002D3C5E" w:rsidRDefault="003D5F5A" w14:paraId="69D2BD66" w14:textId="77777777">
            <w:pPr>
              <w:pStyle w:val="TableText-IPR"/>
            </w:pPr>
            <w:r>
              <w:t>Subsampling</w:t>
            </w:r>
            <w:r>
              <w:rPr>
                <w:spacing w:val="-5"/>
              </w:rPr>
              <w:t xml:space="preserve"> </w:t>
            </w:r>
            <w:r>
              <w:t>rate</w:t>
            </w:r>
            <w:r>
              <w:rPr>
                <w:spacing w:val="-4"/>
              </w:rPr>
              <w:t xml:space="preserve"> </w:t>
            </w:r>
            <w:r>
              <w:t>for</w:t>
            </w:r>
            <w:r>
              <w:rPr>
                <w:spacing w:val="-6"/>
              </w:rPr>
              <w:t xml:space="preserve"> </w:t>
            </w:r>
            <w:r>
              <w:t>phone</w:t>
            </w:r>
            <w:r>
              <w:rPr>
                <w:spacing w:val="-4"/>
              </w:rPr>
              <w:t xml:space="preserve"> </w:t>
            </w:r>
            <w:r>
              <w:t>follow‐up</w:t>
            </w:r>
          </w:p>
        </w:tc>
        <w:tc>
          <w:tcPr>
            <w:tcW w:w="2070" w:type="dxa"/>
          </w:tcPr>
          <w:p w:rsidRPr="003A382E" w:rsidR="003D5F5A" w:rsidP="001315E2" w:rsidRDefault="003D5F5A" w14:paraId="54B8D27D" w14:textId="77777777">
            <w:pPr>
              <w:pStyle w:val="TableText-IPR"/>
              <w:jc w:val="right"/>
            </w:pPr>
            <w:r w:rsidRPr="003A382E">
              <w:t>0.33</w:t>
            </w:r>
          </w:p>
        </w:tc>
        <w:tc>
          <w:tcPr>
            <w:tcW w:w="2458" w:type="dxa"/>
          </w:tcPr>
          <w:p w:rsidRPr="003A382E" w:rsidR="003D5F5A" w:rsidP="001315E2" w:rsidRDefault="003D5F5A" w14:paraId="516FD67B" w14:textId="77777777">
            <w:pPr>
              <w:pStyle w:val="TableText-IPR"/>
              <w:jc w:val="right"/>
            </w:pPr>
            <w:r w:rsidRPr="003A382E">
              <w:t>N/A</w:t>
            </w:r>
          </w:p>
        </w:tc>
      </w:tr>
      <w:tr w:rsidR="003D5F5A" w:rsidTr="00960E81" w14:paraId="50A40F33" w14:textId="77777777">
        <w:trPr>
          <w:trHeight w:val="300"/>
        </w:trPr>
        <w:tc>
          <w:tcPr>
            <w:tcW w:w="4892" w:type="dxa"/>
          </w:tcPr>
          <w:p w:rsidR="003D5F5A" w:rsidP="002D3C5E" w:rsidRDefault="003D5F5A" w14:paraId="490EB0EA" w14:textId="77777777">
            <w:pPr>
              <w:pStyle w:val="TableText-IPR"/>
            </w:pPr>
            <w:r>
              <w:t>Number</w:t>
            </w:r>
            <w:r>
              <w:rPr>
                <w:spacing w:val="-4"/>
              </w:rPr>
              <w:t xml:space="preserve"> </w:t>
            </w:r>
            <w:r>
              <w:t>of</w:t>
            </w:r>
            <w:r>
              <w:rPr>
                <w:spacing w:val="-3"/>
              </w:rPr>
              <w:t xml:space="preserve"> </w:t>
            </w:r>
            <w:r>
              <w:t>cases</w:t>
            </w:r>
            <w:r>
              <w:rPr>
                <w:spacing w:val="-4"/>
              </w:rPr>
              <w:t xml:space="preserve"> </w:t>
            </w:r>
            <w:r>
              <w:t>sent</w:t>
            </w:r>
            <w:r>
              <w:rPr>
                <w:spacing w:val="-3"/>
              </w:rPr>
              <w:t xml:space="preserve"> </w:t>
            </w:r>
            <w:r>
              <w:t>for</w:t>
            </w:r>
            <w:r>
              <w:rPr>
                <w:spacing w:val="-4"/>
              </w:rPr>
              <w:t xml:space="preserve"> </w:t>
            </w:r>
            <w:r>
              <w:t>phone</w:t>
            </w:r>
            <w:r>
              <w:rPr>
                <w:spacing w:val="-4"/>
              </w:rPr>
              <w:t xml:space="preserve"> </w:t>
            </w:r>
            <w:r>
              <w:t>follow‐up</w:t>
            </w:r>
          </w:p>
        </w:tc>
        <w:tc>
          <w:tcPr>
            <w:tcW w:w="2070" w:type="dxa"/>
          </w:tcPr>
          <w:p w:rsidRPr="003A382E" w:rsidR="003D5F5A" w:rsidP="001315E2" w:rsidRDefault="003D5F5A" w14:paraId="53A5F020" w14:textId="77777777">
            <w:pPr>
              <w:pStyle w:val="TableText-IPR"/>
              <w:jc w:val="right"/>
            </w:pPr>
            <w:r w:rsidRPr="003A382E">
              <w:t>666</w:t>
            </w:r>
          </w:p>
        </w:tc>
        <w:tc>
          <w:tcPr>
            <w:tcW w:w="2458" w:type="dxa"/>
          </w:tcPr>
          <w:p w:rsidRPr="003A382E" w:rsidR="003D5F5A" w:rsidP="001315E2" w:rsidRDefault="003D5F5A" w14:paraId="1FF9E3C7" w14:textId="77777777">
            <w:pPr>
              <w:pStyle w:val="TableText-IPR"/>
              <w:jc w:val="right"/>
            </w:pPr>
            <w:r w:rsidRPr="003A382E">
              <w:t>N/A</w:t>
            </w:r>
          </w:p>
        </w:tc>
      </w:tr>
      <w:tr w:rsidR="003D5F5A" w:rsidTr="00960E81" w14:paraId="4297E34E" w14:textId="77777777">
        <w:trPr>
          <w:trHeight w:val="299"/>
        </w:trPr>
        <w:tc>
          <w:tcPr>
            <w:tcW w:w="4892" w:type="dxa"/>
          </w:tcPr>
          <w:p w:rsidR="003D5F5A" w:rsidP="002D3C5E" w:rsidRDefault="003D5F5A" w14:paraId="40E8036D" w14:textId="77777777">
            <w:pPr>
              <w:pStyle w:val="TableText-IPR"/>
            </w:pPr>
            <w:r>
              <w:t>Phone</w:t>
            </w:r>
            <w:r>
              <w:rPr>
                <w:spacing w:val="-4"/>
              </w:rPr>
              <w:t xml:space="preserve"> </w:t>
            </w:r>
            <w:r>
              <w:t>follow‐up</w:t>
            </w:r>
            <w:r>
              <w:rPr>
                <w:spacing w:val="-4"/>
              </w:rPr>
              <w:t xml:space="preserve"> </w:t>
            </w:r>
            <w:r>
              <w:t>response</w:t>
            </w:r>
            <w:r>
              <w:rPr>
                <w:spacing w:val="-3"/>
              </w:rPr>
              <w:t xml:space="preserve"> </w:t>
            </w:r>
            <w:r>
              <w:t>rate</w:t>
            </w:r>
            <w:r>
              <w:rPr>
                <w:spacing w:val="-3"/>
              </w:rPr>
              <w:t xml:space="preserve"> </w:t>
            </w:r>
            <w:r>
              <w:t>(conditional)</w:t>
            </w:r>
          </w:p>
        </w:tc>
        <w:tc>
          <w:tcPr>
            <w:tcW w:w="2070" w:type="dxa"/>
          </w:tcPr>
          <w:p w:rsidRPr="003A382E" w:rsidR="003D5F5A" w:rsidP="001315E2" w:rsidRDefault="003D5F5A" w14:paraId="1FD835A8" w14:textId="77777777">
            <w:pPr>
              <w:pStyle w:val="TableText-IPR"/>
              <w:jc w:val="right"/>
            </w:pPr>
            <w:r w:rsidRPr="003A382E">
              <w:t>0.1</w:t>
            </w:r>
          </w:p>
        </w:tc>
        <w:tc>
          <w:tcPr>
            <w:tcW w:w="2458" w:type="dxa"/>
          </w:tcPr>
          <w:p w:rsidRPr="003A382E" w:rsidR="003D5F5A" w:rsidP="001315E2" w:rsidRDefault="003D5F5A" w14:paraId="448F2554" w14:textId="77777777">
            <w:pPr>
              <w:pStyle w:val="TableText-IPR"/>
              <w:jc w:val="right"/>
            </w:pPr>
            <w:r w:rsidRPr="003A382E">
              <w:t>N/A</w:t>
            </w:r>
          </w:p>
        </w:tc>
      </w:tr>
      <w:tr w:rsidR="003D5F5A" w:rsidTr="00960E81" w14:paraId="2734C696" w14:textId="77777777">
        <w:trPr>
          <w:trHeight w:val="299"/>
        </w:trPr>
        <w:tc>
          <w:tcPr>
            <w:tcW w:w="4892" w:type="dxa"/>
          </w:tcPr>
          <w:p w:rsidR="003D5F5A" w:rsidP="002D3C5E" w:rsidRDefault="003D5F5A" w14:paraId="57F7EE5E" w14:textId="77777777">
            <w:pPr>
              <w:pStyle w:val="TableText-IPR"/>
            </w:pPr>
            <w:r>
              <w:t>Phone</w:t>
            </w:r>
            <w:r>
              <w:rPr>
                <w:spacing w:val="-3"/>
              </w:rPr>
              <w:t xml:space="preserve"> </w:t>
            </w:r>
            <w:r>
              <w:t>completes</w:t>
            </w:r>
          </w:p>
        </w:tc>
        <w:tc>
          <w:tcPr>
            <w:tcW w:w="2070" w:type="dxa"/>
          </w:tcPr>
          <w:p w:rsidRPr="003A382E" w:rsidR="003D5F5A" w:rsidP="001315E2" w:rsidRDefault="003D5F5A" w14:paraId="5D806D7B" w14:textId="77777777">
            <w:pPr>
              <w:pStyle w:val="TableText-IPR"/>
              <w:jc w:val="right"/>
            </w:pPr>
            <w:r w:rsidRPr="003A382E">
              <w:t>66</w:t>
            </w:r>
          </w:p>
        </w:tc>
        <w:tc>
          <w:tcPr>
            <w:tcW w:w="2458" w:type="dxa"/>
          </w:tcPr>
          <w:p w:rsidRPr="003A382E" w:rsidR="003D5F5A" w:rsidP="001315E2" w:rsidRDefault="003D5F5A" w14:paraId="22F4DFA7" w14:textId="77777777">
            <w:pPr>
              <w:pStyle w:val="TableText-IPR"/>
              <w:jc w:val="right"/>
            </w:pPr>
            <w:r w:rsidRPr="003A382E">
              <w:t>N/A</w:t>
            </w:r>
          </w:p>
        </w:tc>
      </w:tr>
      <w:tr w:rsidR="003D5F5A" w:rsidTr="00960E81" w14:paraId="4CC69D66" w14:textId="77777777">
        <w:trPr>
          <w:trHeight w:val="300"/>
        </w:trPr>
        <w:tc>
          <w:tcPr>
            <w:tcW w:w="4892" w:type="dxa"/>
          </w:tcPr>
          <w:p w:rsidR="003D5F5A" w:rsidP="002D3C5E" w:rsidRDefault="003D5F5A" w14:paraId="2EB335D2" w14:textId="77777777">
            <w:pPr>
              <w:pStyle w:val="TableText-IPR"/>
            </w:pPr>
            <w:r>
              <w:t>Overall</w:t>
            </w:r>
            <w:r>
              <w:rPr>
                <w:spacing w:val="-5"/>
              </w:rPr>
              <w:t xml:space="preserve"> </w:t>
            </w:r>
            <w:r>
              <w:t>response</w:t>
            </w:r>
            <w:r>
              <w:rPr>
                <w:spacing w:val="-5"/>
              </w:rPr>
              <w:t xml:space="preserve"> </w:t>
            </w:r>
            <w:r>
              <w:t>rate</w:t>
            </w:r>
          </w:p>
        </w:tc>
        <w:tc>
          <w:tcPr>
            <w:tcW w:w="2070" w:type="dxa"/>
          </w:tcPr>
          <w:p w:rsidRPr="003A382E" w:rsidR="003D5F5A" w:rsidP="001315E2" w:rsidRDefault="003D5F5A" w14:paraId="2C247E26" w14:textId="77777777">
            <w:pPr>
              <w:pStyle w:val="TableText-IPR"/>
              <w:jc w:val="right"/>
            </w:pPr>
            <w:r w:rsidRPr="003A382E">
              <w:t>0.33</w:t>
            </w:r>
          </w:p>
        </w:tc>
        <w:tc>
          <w:tcPr>
            <w:tcW w:w="2458" w:type="dxa"/>
          </w:tcPr>
          <w:p w:rsidRPr="003A382E" w:rsidR="003D5F5A" w:rsidP="001315E2" w:rsidRDefault="003D5F5A" w14:paraId="0F084EE0" w14:textId="77777777">
            <w:pPr>
              <w:pStyle w:val="TableText-IPR"/>
              <w:jc w:val="right"/>
            </w:pPr>
            <w:r w:rsidRPr="003A382E">
              <w:t>0.3</w:t>
            </w:r>
          </w:p>
        </w:tc>
      </w:tr>
      <w:tr w:rsidR="003D5F5A" w:rsidTr="00960E81" w14:paraId="5065EB17" w14:textId="77777777">
        <w:trPr>
          <w:trHeight w:val="299"/>
        </w:trPr>
        <w:tc>
          <w:tcPr>
            <w:tcW w:w="4892" w:type="dxa"/>
          </w:tcPr>
          <w:p w:rsidR="003D5F5A" w:rsidP="002D3C5E" w:rsidRDefault="003D5F5A" w14:paraId="7A912A78" w14:textId="77777777">
            <w:pPr>
              <w:pStyle w:val="TableText-IPR"/>
            </w:pPr>
            <w:r>
              <w:t>Overall</w:t>
            </w:r>
            <w:r>
              <w:rPr>
                <w:spacing w:val="-4"/>
              </w:rPr>
              <w:t xml:space="preserve"> </w:t>
            </w:r>
            <w:r>
              <w:t>yield</w:t>
            </w:r>
            <w:r>
              <w:rPr>
                <w:spacing w:val="-3"/>
              </w:rPr>
              <w:t xml:space="preserve"> </w:t>
            </w:r>
            <w:r>
              <w:t>rate</w:t>
            </w:r>
          </w:p>
        </w:tc>
        <w:tc>
          <w:tcPr>
            <w:tcW w:w="2070" w:type="dxa"/>
          </w:tcPr>
          <w:p w:rsidRPr="003A382E" w:rsidR="003D5F5A" w:rsidP="001315E2" w:rsidRDefault="003D5F5A" w14:paraId="2E172452" w14:textId="77777777">
            <w:pPr>
              <w:pStyle w:val="TableText-IPR"/>
              <w:jc w:val="right"/>
            </w:pPr>
            <w:r w:rsidRPr="003A382E">
              <w:t>0.29</w:t>
            </w:r>
          </w:p>
        </w:tc>
        <w:tc>
          <w:tcPr>
            <w:tcW w:w="2458" w:type="dxa"/>
          </w:tcPr>
          <w:p w:rsidRPr="003A382E" w:rsidR="003D5F5A" w:rsidP="001315E2" w:rsidRDefault="003D5F5A" w14:paraId="48D938D4" w14:textId="77777777">
            <w:pPr>
              <w:pStyle w:val="TableText-IPR"/>
              <w:jc w:val="right"/>
            </w:pPr>
            <w:r w:rsidRPr="003A382E">
              <w:t>0.3</w:t>
            </w:r>
          </w:p>
        </w:tc>
      </w:tr>
      <w:tr w:rsidR="003D5F5A" w:rsidTr="00960E81" w14:paraId="0A20DF90" w14:textId="77777777">
        <w:trPr>
          <w:trHeight w:val="300"/>
        </w:trPr>
        <w:tc>
          <w:tcPr>
            <w:tcW w:w="4892" w:type="dxa"/>
          </w:tcPr>
          <w:p w:rsidR="003D5F5A" w:rsidP="002D3C5E" w:rsidRDefault="003D5F5A" w14:paraId="70F8B588" w14:textId="5338132F">
            <w:pPr>
              <w:pStyle w:val="TableText-IPR"/>
            </w:pPr>
            <w:r>
              <w:t>Completed</w:t>
            </w:r>
            <w:r>
              <w:rPr>
                <w:spacing w:val="-7"/>
              </w:rPr>
              <w:t xml:space="preserve"> </w:t>
            </w:r>
            <w:r>
              <w:t>baseline</w:t>
            </w:r>
            <w:r>
              <w:rPr>
                <w:spacing w:val="-6"/>
              </w:rPr>
              <w:t xml:space="preserve"> </w:t>
            </w:r>
            <w:r>
              <w:t>interviews</w:t>
            </w:r>
            <w:r w:rsidR="00F9064B">
              <w:rPr>
                <w:rFonts w:eastAsia="Times New Roman" w:cs="Calibri"/>
                <w:color w:val="000000"/>
                <w:vertAlign w:val="superscript"/>
              </w:rPr>
              <w:t>b</w:t>
            </w:r>
          </w:p>
        </w:tc>
        <w:tc>
          <w:tcPr>
            <w:tcW w:w="2070" w:type="dxa"/>
          </w:tcPr>
          <w:p w:rsidRPr="003A382E" w:rsidR="003D5F5A" w:rsidP="001315E2" w:rsidRDefault="003D5F5A" w14:paraId="10591CFE" w14:textId="77777777">
            <w:pPr>
              <w:pStyle w:val="TableText-IPR"/>
              <w:jc w:val="right"/>
            </w:pPr>
            <w:r w:rsidRPr="003A382E">
              <w:t>922</w:t>
            </w:r>
          </w:p>
        </w:tc>
        <w:tc>
          <w:tcPr>
            <w:tcW w:w="2458" w:type="dxa"/>
          </w:tcPr>
          <w:p w:rsidRPr="003A382E" w:rsidR="003D5F5A" w:rsidP="001315E2" w:rsidRDefault="003D5F5A" w14:paraId="45B9F60B" w14:textId="77777777">
            <w:pPr>
              <w:pStyle w:val="TableText-IPR"/>
              <w:jc w:val="right"/>
            </w:pPr>
            <w:r w:rsidRPr="003A382E">
              <w:t>2,733</w:t>
            </w:r>
          </w:p>
        </w:tc>
      </w:tr>
    </w:tbl>
    <w:p w:rsidRPr="00960E81" w:rsidR="003D5F5A" w:rsidP="00960E81" w:rsidRDefault="003D5F5A" w14:paraId="2A2D4971" w14:textId="7262EA76">
      <w:pPr>
        <w:pStyle w:val="FtnteBodyText-IPR"/>
        <w:spacing w:before="60"/>
        <w:rPr>
          <w:sz w:val="18"/>
          <w:szCs w:val="18"/>
        </w:rPr>
      </w:pPr>
      <w:r w:rsidRPr="00960E81">
        <w:rPr>
          <w:sz w:val="18"/>
          <w:szCs w:val="18"/>
        </w:rPr>
        <w:t>Note: Response rates experience</w:t>
      </w:r>
      <w:r w:rsidRPr="00960E81" w:rsidR="00CD0350">
        <w:rPr>
          <w:sz w:val="18"/>
          <w:szCs w:val="18"/>
        </w:rPr>
        <w:t>d</w:t>
      </w:r>
      <w:r w:rsidRPr="00960E81">
        <w:rPr>
          <w:sz w:val="18"/>
          <w:szCs w:val="18"/>
        </w:rPr>
        <w:t xml:space="preserve"> in similar studies of SNAP participants: (1) Food Insecurity Nutrition Incentive grant evaluation</w:t>
      </w:r>
      <w:r w:rsidRPr="00960E81" w:rsidR="0092428C">
        <w:rPr>
          <w:sz w:val="18"/>
          <w:szCs w:val="18"/>
        </w:rPr>
        <w:t xml:space="preserve"> (</w:t>
      </w:r>
      <w:r w:rsidRPr="00960E81">
        <w:rPr>
          <w:sz w:val="18"/>
          <w:szCs w:val="18"/>
        </w:rPr>
        <w:t>63</w:t>
      </w:r>
      <w:r w:rsidRPr="00960E81" w:rsidR="00A835CB">
        <w:rPr>
          <w:sz w:val="18"/>
          <w:szCs w:val="18"/>
        </w:rPr>
        <w:t xml:space="preserve"> percent</w:t>
      </w:r>
      <w:r w:rsidRPr="00960E81">
        <w:rPr>
          <w:sz w:val="18"/>
          <w:szCs w:val="18"/>
        </w:rPr>
        <w:t>), (2) Barriers That Constrain the Adequacy of Supplemental Nutrition Assistance Program (SNAP) Allotments (40</w:t>
      </w:r>
      <w:r w:rsidRPr="00960E81" w:rsidR="00A835CB">
        <w:rPr>
          <w:sz w:val="18"/>
          <w:szCs w:val="18"/>
        </w:rPr>
        <w:t xml:space="preserve"> percent</w:t>
      </w:r>
      <w:r w:rsidRPr="00960E81">
        <w:rPr>
          <w:sz w:val="18"/>
          <w:szCs w:val="18"/>
        </w:rPr>
        <w:t>), and (3)</w:t>
      </w:r>
      <w:r w:rsidRPr="00960E81" w:rsidR="00404247">
        <w:rPr>
          <w:sz w:val="18"/>
          <w:szCs w:val="18"/>
        </w:rPr>
        <w:t xml:space="preserve"> </w:t>
      </w:r>
      <w:r w:rsidRPr="00960E81">
        <w:rPr>
          <w:sz w:val="18"/>
          <w:szCs w:val="18"/>
        </w:rPr>
        <w:t>Nutrition</w:t>
      </w:r>
      <w:r w:rsidRPr="00960E81">
        <w:rPr>
          <w:spacing w:val="-1"/>
          <w:sz w:val="18"/>
          <w:szCs w:val="18"/>
        </w:rPr>
        <w:t xml:space="preserve"> </w:t>
      </w:r>
      <w:r w:rsidRPr="00960E81">
        <w:rPr>
          <w:sz w:val="18"/>
          <w:szCs w:val="18"/>
        </w:rPr>
        <w:t>Assistance</w:t>
      </w:r>
      <w:r w:rsidRPr="00960E81">
        <w:rPr>
          <w:spacing w:val="-1"/>
          <w:sz w:val="18"/>
          <w:szCs w:val="18"/>
        </w:rPr>
        <w:t xml:space="preserve"> </w:t>
      </w:r>
      <w:r w:rsidRPr="00960E81">
        <w:rPr>
          <w:sz w:val="18"/>
          <w:szCs w:val="18"/>
        </w:rPr>
        <w:t>in</w:t>
      </w:r>
      <w:r w:rsidRPr="00960E81">
        <w:rPr>
          <w:spacing w:val="-2"/>
          <w:sz w:val="18"/>
          <w:szCs w:val="18"/>
        </w:rPr>
        <w:t xml:space="preserve"> </w:t>
      </w:r>
      <w:r w:rsidRPr="00960E81">
        <w:rPr>
          <w:sz w:val="18"/>
          <w:szCs w:val="18"/>
        </w:rPr>
        <w:t>Farmers</w:t>
      </w:r>
      <w:r w:rsidRPr="00960E81">
        <w:rPr>
          <w:spacing w:val="-3"/>
          <w:sz w:val="18"/>
          <w:szCs w:val="18"/>
        </w:rPr>
        <w:t xml:space="preserve"> </w:t>
      </w:r>
      <w:r w:rsidRPr="00960E81">
        <w:rPr>
          <w:sz w:val="18"/>
          <w:szCs w:val="18"/>
        </w:rPr>
        <w:t>Markets:</w:t>
      </w:r>
      <w:r w:rsidRPr="00960E81">
        <w:rPr>
          <w:spacing w:val="-1"/>
          <w:sz w:val="18"/>
          <w:szCs w:val="18"/>
        </w:rPr>
        <w:t xml:space="preserve"> </w:t>
      </w:r>
      <w:r w:rsidRPr="00960E81">
        <w:rPr>
          <w:sz w:val="18"/>
          <w:szCs w:val="18"/>
        </w:rPr>
        <w:t>Task</w:t>
      </w:r>
      <w:r w:rsidRPr="00960E81">
        <w:rPr>
          <w:spacing w:val="-2"/>
          <w:sz w:val="18"/>
          <w:szCs w:val="18"/>
        </w:rPr>
        <w:t xml:space="preserve"> </w:t>
      </w:r>
      <w:r w:rsidRPr="00960E81">
        <w:rPr>
          <w:sz w:val="18"/>
          <w:szCs w:val="18"/>
        </w:rPr>
        <w:t>2‐Understanding the</w:t>
      </w:r>
      <w:r w:rsidRPr="00960E81">
        <w:rPr>
          <w:spacing w:val="-1"/>
          <w:sz w:val="18"/>
          <w:szCs w:val="18"/>
        </w:rPr>
        <w:t xml:space="preserve"> </w:t>
      </w:r>
      <w:r w:rsidRPr="00960E81">
        <w:rPr>
          <w:sz w:val="18"/>
          <w:szCs w:val="18"/>
        </w:rPr>
        <w:t>Shopping</w:t>
      </w:r>
      <w:r w:rsidRPr="00960E81">
        <w:rPr>
          <w:spacing w:val="-3"/>
          <w:sz w:val="18"/>
          <w:szCs w:val="18"/>
        </w:rPr>
        <w:t xml:space="preserve"> </w:t>
      </w:r>
      <w:r w:rsidRPr="00960E81">
        <w:rPr>
          <w:sz w:val="18"/>
          <w:szCs w:val="18"/>
        </w:rPr>
        <w:t>Patterns of</w:t>
      </w:r>
      <w:r w:rsidRPr="00960E81">
        <w:rPr>
          <w:spacing w:val="-1"/>
          <w:sz w:val="18"/>
          <w:szCs w:val="18"/>
        </w:rPr>
        <w:t xml:space="preserve"> </w:t>
      </w:r>
      <w:r w:rsidRPr="00960E81">
        <w:rPr>
          <w:sz w:val="18"/>
          <w:szCs w:val="18"/>
        </w:rPr>
        <w:t>SNAP</w:t>
      </w:r>
      <w:r w:rsidRPr="00960E81">
        <w:rPr>
          <w:spacing w:val="-1"/>
          <w:sz w:val="18"/>
          <w:szCs w:val="18"/>
        </w:rPr>
        <w:t xml:space="preserve"> </w:t>
      </w:r>
      <w:r w:rsidRPr="00960E81">
        <w:rPr>
          <w:sz w:val="18"/>
          <w:szCs w:val="18"/>
        </w:rPr>
        <w:t>Participants (46</w:t>
      </w:r>
      <w:r w:rsidRPr="00960E81" w:rsidR="00A835CB">
        <w:rPr>
          <w:sz w:val="18"/>
          <w:szCs w:val="18"/>
        </w:rPr>
        <w:t xml:space="preserve"> percent</w:t>
      </w:r>
      <w:r w:rsidRPr="00960E81">
        <w:rPr>
          <w:sz w:val="18"/>
          <w:szCs w:val="18"/>
        </w:rPr>
        <w:t>)</w:t>
      </w:r>
    </w:p>
    <w:p w:rsidRPr="00F9064B" w:rsidR="00F9064B" w:rsidP="00F9064B" w:rsidRDefault="00F9064B" w14:paraId="7A222E29" w14:textId="2142FB09">
      <w:pPr>
        <w:pStyle w:val="CommentText"/>
        <w:rPr>
          <w:rFonts w:asciiTheme="minorHAnsi" w:hAnsiTheme="minorHAnsi" w:cstheme="minorHAnsi"/>
          <w:color w:val="000000"/>
          <w:sz w:val="18"/>
          <w:szCs w:val="18"/>
        </w:rPr>
      </w:pPr>
      <w:r w:rsidRPr="00F9064B">
        <w:rPr>
          <w:rFonts w:asciiTheme="minorHAnsi" w:hAnsiTheme="minorHAnsi" w:cstheme="minorHAnsi"/>
          <w:color w:val="000000"/>
          <w:sz w:val="18"/>
          <w:szCs w:val="18"/>
          <w:vertAlign w:val="superscript"/>
        </w:rPr>
        <w:t xml:space="preserve">a </w:t>
      </w:r>
      <w:r w:rsidRPr="00F9064B">
        <w:rPr>
          <w:rFonts w:asciiTheme="minorHAnsi" w:hAnsiTheme="minorHAnsi" w:cstheme="minorHAnsi"/>
          <w:color w:val="000000"/>
          <w:sz w:val="18"/>
          <w:szCs w:val="18"/>
        </w:rPr>
        <w:t xml:space="preserve">Assumes $5 </w:t>
      </w:r>
      <w:r w:rsidR="00A8431B">
        <w:rPr>
          <w:rFonts w:asciiTheme="minorHAnsi" w:hAnsiTheme="minorHAnsi" w:cstheme="minorHAnsi"/>
          <w:color w:val="000000"/>
          <w:sz w:val="18"/>
          <w:szCs w:val="18"/>
        </w:rPr>
        <w:t>prepaid cash incentive</w:t>
      </w:r>
      <w:r w:rsidRPr="00F9064B">
        <w:rPr>
          <w:rFonts w:asciiTheme="minorHAnsi" w:hAnsiTheme="minorHAnsi" w:cstheme="minorHAnsi"/>
          <w:color w:val="000000"/>
          <w:sz w:val="18"/>
          <w:szCs w:val="18"/>
        </w:rPr>
        <w:t>, initial survey mailing, postcard, second survey mailing</w:t>
      </w:r>
    </w:p>
    <w:p w:rsidRPr="00F9064B" w:rsidR="00F9064B" w:rsidP="00F9064B" w:rsidRDefault="00F9064B" w14:paraId="58B71907" w14:textId="77777777">
      <w:pPr>
        <w:pStyle w:val="CommentText"/>
        <w:rPr>
          <w:rFonts w:asciiTheme="minorHAnsi" w:hAnsiTheme="minorHAnsi" w:cstheme="minorHAnsi"/>
          <w:color w:val="000000"/>
          <w:sz w:val="18"/>
          <w:szCs w:val="18"/>
        </w:rPr>
      </w:pPr>
      <w:r w:rsidRPr="00F9064B">
        <w:rPr>
          <w:rFonts w:asciiTheme="minorHAnsi" w:hAnsiTheme="minorHAnsi" w:cstheme="minorHAnsi"/>
          <w:color w:val="000000"/>
          <w:sz w:val="18"/>
          <w:szCs w:val="18"/>
          <w:vertAlign w:val="superscript"/>
        </w:rPr>
        <w:t>b</w:t>
      </w:r>
      <w:r w:rsidRPr="00F9064B">
        <w:rPr>
          <w:rFonts w:asciiTheme="minorHAnsi" w:hAnsiTheme="minorHAnsi" w:cstheme="minorHAnsi"/>
          <w:color w:val="000000"/>
          <w:sz w:val="18"/>
          <w:szCs w:val="18"/>
        </w:rPr>
        <w:t xml:space="preserve"> Respondents from both the NAP participant list and the area probability sample have three response options: mail back the paper survey, complete the web-based survey online, or schedule a telephone interview</w:t>
      </w:r>
    </w:p>
    <w:p w:rsidRPr="00960E81" w:rsidR="009957A8" w:rsidP="00F9064B" w:rsidRDefault="003D5F5A" w14:paraId="21544AF0" w14:textId="77777777">
      <w:pPr>
        <w:pStyle w:val="Body11ptCalibri-IPR"/>
        <w:rPr>
          <w:b/>
          <w:bCs/>
          <w:i/>
        </w:rPr>
      </w:pPr>
      <w:r w:rsidRPr="00960E81">
        <w:rPr>
          <w:b/>
          <w:bCs/>
          <w:i/>
        </w:rPr>
        <w:t>NAP participant list frame</w:t>
      </w:r>
      <w:r w:rsidRPr="00960E81" w:rsidR="00F9064B">
        <w:rPr>
          <w:b/>
          <w:bCs/>
          <w:i/>
        </w:rPr>
        <w:t xml:space="preserve">. </w:t>
      </w:r>
    </w:p>
    <w:p w:rsidR="00503F46" w:rsidP="00F9064B" w:rsidRDefault="00F9064B" w14:paraId="1BEA4EA3" w14:textId="67D995CA">
      <w:pPr>
        <w:pStyle w:val="Body11ptCalibri-IPR"/>
      </w:pPr>
      <w:r w:rsidRPr="00002867">
        <w:t xml:space="preserve">The Insight team will work with ADSEF to obtain administrative case files of NAP participants, which will be used as the NAP participant list sampling frame. </w:t>
      </w:r>
      <w:r w:rsidR="003D5F5A">
        <w:t>The NAP participant list</w:t>
      </w:r>
      <w:r w:rsidR="003D5F5A">
        <w:rPr>
          <w:spacing w:val="1"/>
        </w:rPr>
        <w:t xml:space="preserve"> </w:t>
      </w:r>
      <w:r w:rsidR="003D5F5A">
        <w:t>includes the household’s address, phone number, and other variables related to NAP participation,</w:t>
      </w:r>
      <w:r w:rsidR="003D5F5A">
        <w:rPr>
          <w:spacing w:val="1"/>
        </w:rPr>
        <w:t xml:space="preserve"> </w:t>
      </w:r>
      <w:r w:rsidR="003D5F5A">
        <w:t>which may include household size, income, NAP start date, and other demographics. This sampling</w:t>
      </w:r>
      <w:r w:rsidR="003D5F5A">
        <w:rPr>
          <w:spacing w:val="1"/>
        </w:rPr>
        <w:t xml:space="preserve"> </w:t>
      </w:r>
      <w:r w:rsidR="003D5F5A">
        <w:t>frame will provide total coverage of NAP participants at the time the list is created. Depending on the</w:t>
      </w:r>
      <w:r w:rsidR="003D5F5A">
        <w:rPr>
          <w:spacing w:val="1"/>
        </w:rPr>
        <w:t xml:space="preserve"> </w:t>
      </w:r>
      <w:r w:rsidR="003D5F5A">
        <w:t>time lag between the list creation date and data collection, there may be newly enrolled NAP</w:t>
      </w:r>
      <w:r w:rsidR="003D5F5A">
        <w:rPr>
          <w:spacing w:val="1"/>
        </w:rPr>
        <w:t xml:space="preserve"> </w:t>
      </w:r>
      <w:r w:rsidR="003D5F5A">
        <w:t>participants</w:t>
      </w:r>
      <w:r w:rsidR="003D5F5A">
        <w:rPr>
          <w:spacing w:val="-4"/>
        </w:rPr>
        <w:t xml:space="preserve"> </w:t>
      </w:r>
      <w:r w:rsidR="003D5F5A">
        <w:t>who</w:t>
      </w:r>
      <w:r w:rsidR="003D5F5A">
        <w:rPr>
          <w:spacing w:val="-4"/>
        </w:rPr>
        <w:t xml:space="preserve"> </w:t>
      </w:r>
      <w:r w:rsidR="003D5F5A">
        <w:t>are</w:t>
      </w:r>
      <w:r w:rsidR="003D5F5A">
        <w:rPr>
          <w:spacing w:val="-3"/>
        </w:rPr>
        <w:t xml:space="preserve"> </w:t>
      </w:r>
      <w:r w:rsidR="003D5F5A">
        <w:t>not</w:t>
      </w:r>
      <w:r w:rsidR="003D5F5A">
        <w:rPr>
          <w:spacing w:val="-4"/>
        </w:rPr>
        <w:t xml:space="preserve"> </w:t>
      </w:r>
      <w:r w:rsidR="003D5F5A">
        <w:t>included</w:t>
      </w:r>
      <w:r w:rsidR="003D5F5A">
        <w:rPr>
          <w:spacing w:val="-3"/>
        </w:rPr>
        <w:t xml:space="preserve"> </w:t>
      </w:r>
      <w:r w:rsidR="003D5F5A">
        <w:t>in</w:t>
      </w:r>
      <w:r w:rsidR="003D5F5A">
        <w:rPr>
          <w:spacing w:val="-4"/>
        </w:rPr>
        <w:t xml:space="preserve"> </w:t>
      </w:r>
      <w:r w:rsidR="003D5F5A">
        <w:t>the</w:t>
      </w:r>
      <w:r w:rsidR="003D5F5A">
        <w:rPr>
          <w:spacing w:val="-3"/>
        </w:rPr>
        <w:t xml:space="preserve"> </w:t>
      </w:r>
      <w:r w:rsidR="003D5F5A">
        <w:t>NAP</w:t>
      </w:r>
      <w:r w:rsidR="003D5F5A">
        <w:rPr>
          <w:spacing w:val="-3"/>
        </w:rPr>
        <w:t xml:space="preserve"> </w:t>
      </w:r>
      <w:r w:rsidR="003D5F5A">
        <w:t>participant</w:t>
      </w:r>
      <w:r w:rsidR="003D5F5A">
        <w:rPr>
          <w:spacing w:val="-3"/>
        </w:rPr>
        <w:t xml:space="preserve"> </w:t>
      </w:r>
      <w:r w:rsidR="003D5F5A">
        <w:t>list.</w:t>
      </w:r>
      <w:r w:rsidR="003D5F5A">
        <w:rPr>
          <w:spacing w:val="-1"/>
        </w:rPr>
        <w:t xml:space="preserve"> </w:t>
      </w:r>
      <w:r w:rsidR="003D5F5A">
        <w:t>These</w:t>
      </w:r>
      <w:r w:rsidR="003D5F5A">
        <w:rPr>
          <w:spacing w:val="-3"/>
        </w:rPr>
        <w:t xml:space="preserve"> </w:t>
      </w:r>
      <w:r w:rsidR="003D5F5A">
        <w:t>households</w:t>
      </w:r>
      <w:r w:rsidR="003D5F5A">
        <w:rPr>
          <w:spacing w:val="-3"/>
        </w:rPr>
        <w:t xml:space="preserve"> </w:t>
      </w:r>
      <w:r w:rsidR="003D5F5A">
        <w:t>will</w:t>
      </w:r>
      <w:r w:rsidR="003D5F5A">
        <w:rPr>
          <w:spacing w:val="-3"/>
        </w:rPr>
        <w:t xml:space="preserve"> </w:t>
      </w:r>
      <w:r w:rsidR="003D5F5A">
        <w:t>not</w:t>
      </w:r>
      <w:r w:rsidR="003D5F5A">
        <w:rPr>
          <w:spacing w:val="-2"/>
        </w:rPr>
        <w:t xml:space="preserve"> </w:t>
      </w:r>
      <w:r w:rsidR="003D5F5A">
        <w:t>have</w:t>
      </w:r>
      <w:r w:rsidR="003D5F5A">
        <w:rPr>
          <w:spacing w:val="-4"/>
        </w:rPr>
        <w:t xml:space="preserve"> </w:t>
      </w:r>
      <w:r w:rsidR="003D5F5A">
        <w:t>a</w:t>
      </w:r>
      <w:r w:rsidR="003D5F5A">
        <w:rPr>
          <w:spacing w:val="-3"/>
        </w:rPr>
        <w:t xml:space="preserve"> </w:t>
      </w:r>
      <w:r w:rsidR="003D5F5A">
        <w:t>chance</w:t>
      </w:r>
      <w:r w:rsidR="003D5F5A">
        <w:rPr>
          <w:spacing w:val="-3"/>
        </w:rPr>
        <w:t xml:space="preserve"> </w:t>
      </w:r>
      <w:r w:rsidR="003D5F5A">
        <w:t>to</w:t>
      </w:r>
      <w:r w:rsidR="003D5F5A">
        <w:rPr>
          <w:spacing w:val="1"/>
        </w:rPr>
        <w:t xml:space="preserve"> </w:t>
      </w:r>
      <w:r w:rsidR="00607FCF">
        <w:t>be selected from</w:t>
      </w:r>
      <w:r w:rsidR="003D5F5A">
        <w:t xml:space="preserve"> the NAP participant list frame, but they will be included on the area</w:t>
      </w:r>
      <w:r w:rsidR="00E3373B">
        <w:t xml:space="preserve"> </w:t>
      </w:r>
      <w:r w:rsidR="003D5F5A">
        <w:t>probability sampling</w:t>
      </w:r>
      <w:r w:rsidR="00CD0350">
        <w:t xml:space="preserve"> </w:t>
      </w:r>
      <w:r w:rsidR="003D5F5A">
        <w:t>frame.</w:t>
      </w:r>
    </w:p>
    <w:p w:rsidR="00503F46" w:rsidP="00503F46" w:rsidRDefault="003D5F5A" w14:paraId="5DB5537C" w14:textId="77D5CDF6">
      <w:pPr>
        <w:pStyle w:val="Body11ptCalibri-IPR"/>
        <w:spacing w:after="240"/>
      </w:pPr>
      <w:r>
        <w:t>The</w:t>
      </w:r>
      <w:r>
        <w:rPr>
          <w:spacing w:val="-4"/>
        </w:rPr>
        <w:t xml:space="preserve"> </w:t>
      </w:r>
      <w:r>
        <w:t>NAP</w:t>
      </w:r>
      <w:r>
        <w:rPr>
          <w:spacing w:val="-3"/>
        </w:rPr>
        <w:t xml:space="preserve"> </w:t>
      </w:r>
      <w:r>
        <w:t>participant</w:t>
      </w:r>
      <w:r>
        <w:rPr>
          <w:spacing w:val="-3"/>
        </w:rPr>
        <w:t xml:space="preserve"> </w:t>
      </w:r>
      <w:r>
        <w:t>list</w:t>
      </w:r>
      <w:r>
        <w:rPr>
          <w:spacing w:val="-4"/>
        </w:rPr>
        <w:t xml:space="preserve"> </w:t>
      </w:r>
      <w:r>
        <w:t>frame</w:t>
      </w:r>
      <w:r>
        <w:rPr>
          <w:spacing w:val="-2"/>
        </w:rPr>
        <w:t xml:space="preserve"> </w:t>
      </w:r>
      <w:r>
        <w:t>may</w:t>
      </w:r>
      <w:r>
        <w:rPr>
          <w:spacing w:val="-3"/>
        </w:rPr>
        <w:t xml:space="preserve"> </w:t>
      </w:r>
      <w:r>
        <w:t>also</w:t>
      </w:r>
      <w:r>
        <w:rPr>
          <w:spacing w:val="-3"/>
        </w:rPr>
        <w:t xml:space="preserve"> </w:t>
      </w:r>
      <w:r>
        <w:t>include</w:t>
      </w:r>
      <w:r>
        <w:rPr>
          <w:spacing w:val="-4"/>
        </w:rPr>
        <w:t xml:space="preserve"> </w:t>
      </w:r>
      <w:r>
        <w:t>sampled</w:t>
      </w:r>
      <w:r>
        <w:rPr>
          <w:spacing w:val="-2"/>
        </w:rPr>
        <w:t xml:space="preserve"> </w:t>
      </w:r>
      <w:r>
        <w:t>households</w:t>
      </w:r>
      <w:r>
        <w:rPr>
          <w:spacing w:val="-4"/>
        </w:rPr>
        <w:t xml:space="preserve"> </w:t>
      </w:r>
      <w:r w:rsidR="00E3373B">
        <w:t>that</w:t>
      </w:r>
      <w:r w:rsidR="00E3373B">
        <w:rPr>
          <w:spacing w:val="-3"/>
        </w:rPr>
        <w:t xml:space="preserve"> </w:t>
      </w:r>
      <w:r>
        <w:t>no</w:t>
      </w:r>
      <w:r>
        <w:rPr>
          <w:spacing w:val="-3"/>
        </w:rPr>
        <w:t xml:space="preserve"> </w:t>
      </w:r>
      <w:r>
        <w:t>longer</w:t>
      </w:r>
      <w:r>
        <w:rPr>
          <w:spacing w:val="-3"/>
        </w:rPr>
        <w:t xml:space="preserve"> </w:t>
      </w:r>
      <w:r>
        <w:t>participate</w:t>
      </w:r>
      <w:r>
        <w:rPr>
          <w:spacing w:val="-1"/>
        </w:rPr>
        <w:t xml:space="preserve"> </w:t>
      </w:r>
      <w:r>
        <w:t>in</w:t>
      </w:r>
      <w:r>
        <w:rPr>
          <w:spacing w:val="-4"/>
        </w:rPr>
        <w:t xml:space="preserve"> </w:t>
      </w:r>
      <w:r>
        <w:t>NAP</w:t>
      </w:r>
      <w:r>
        <w:rPr>
          <w:spacing w:val="-2"/>
        </w:rPr>
        <w:t xml:space="preserve"> </w:t>
      </w:r>
      <w:r>
        <w:t>at</w:t>
      </w:r>
      <w:r w:rsidR="00404247">
        <w:t xml:space="preserve"> </w:t>
      </w:r>
      <w:r>
        <w:t>the time of data collection. These households will be included in the study and analyzed as part of the</w:t>
      </w:r>
      <w:r>
        <w:rPr>
          <w:spacing w:val="1"/>
        </w:rPr>
        <w:t xml:space="preserve"> </w:t>
      </w:r>
      <w:r>
        <w:lastRenderedPageBreak/>
        <w:t xml:space="preserve">non‐NAP subgroup. </w:t>
      </w:r>
      <w:r w:rsidR="00E3373B">
        <w:t xml:space="preserve">The study team </w:t>
      </w:r>
      <w:r>
        <w:t xml:space="preserve">will request the participant list </w:t>
      </w:r>
      <w:r w:rsidR="008830AA">
        <w:t xml:space="preserve">from ADSEF (see Appendix </w:t>
      </w:r>
      <w:r w:rsidR="00B85E4A">
        <w:t>J</w:t>
      </w:r>
      <w:r w:rsidR="008830AA">
        <w:t>.1–</w:t>
      </w:r>
      <w:r w:rsidR="00B85E4A">
        <w:t>J</w:t>
      </w:r>
      <w:r w:rsidR="008830AA">
        <w:t xml:space="preserve">.2) </w:t>
      </w:r>
      <w:r>
        <w:t>as close to data collection as possible to reduce</w:t>
      </w:r>
      <w:r>
        <w:rPr>
          <w:spacing w:val="1"/>
        </w:rPr>
        <w:t xml:space="preserve"> </w:t>
      </w:r>
      <w:r w:rsidR="000B3BDC">
        <w:rPr>
          <w:spacing w:val="1"/>
        </w:rPr>
        <w:t>the number of households that have a change in NAP participation status</w:t>
      </w:r>
      <w:r>
        <w:t xml:space="preserve"> between the </w:t>
      </w:r>
      <w:r w:rsidR="000B3BDC">
        <w:t xml:space="preserve">time the list is created </w:t>
      </w:r>
      <w:r>
        <w:t>and</w:t>
      </w:r>
      <w:r>
        <w:rPr>
          <w:spacing w:val="-1"/>
        </w:rPr>
        <w:t xml:space="preserve"> </w:t>
      </w:r>
      <w:r>
        <w:t>the data collection period.</w:t>
      </w:r>
    </w:p>
    <w:p w:rsidR="00013514" w:rsidP="00013514" w:rsidRDefault="003D5F5A" w14:paraId="6A6BC4B1" w14:textId="77777777">
      <w:pPr>
        <w:pStyle w:val="Body11ptCalibri-IPR"/>
        <w:spacing w:after="240"/>
      </w:pPr>
      <w:r>
        <w:t>A systematic sample of households will be selected from the NAP participant list sampling frame.</w:t>
      </w:r>
      <w:r>
        <w:rPr>
          <w:spacing w:val="-2"/>
        </w:rPr>
        <w:t xml:space="preserve"> </w:t>
      </w:r>
      <w:r>
        <w:t>Variables</w:t>
      </w:r>
      <w:r>
        <w:rPr>
          <w:spacing w:val="-3"/>
        </w:rPr>
        <w:t xml:space="preserve"> </w:t>
      </w:r>
      <w:r>
        <w:t>available</w:t>
      </w:r>
      <w:r>
        <w:rPr>
          <w:spacing w:val="-4"/>
        </w:rPr>
        <w:t xml:space="preserve"> </w:t>
      </w:r>
      <w:r>
        <w:t>on</w:t>
      </w:r>
      <w:r>
        <w:rPr>
          <w:spacing w:val="-3"/>
        </w:rPr>
        <w:t xml:space="preserve"> </w:t>
      </w:r>
      <w:r>
        <w:t>the</w:t>
      </w:r>
      <w:r>
        <w:rPr>
          <w:spacing w:val="-4"/>
        </w:rPr>
        <w:t xml:space="preserve"> </w:t>
      </w:r>
      <w:r>
        <w:t>frame</w:t>
      </w:r>
      <w:r>
        <w:rPr>
          <w:spacing w:val="-3"/>
        </w:rPr>
        <w:t xml:space="preserve"> </w:t>
      </w:r>
      <w:r>
        <w:t>will</w:t>
      </w:r>
      <w:r>
        <w:rPr>
          <w:spacing w:val="-4"/>
        </w:rPr>
        <w:t xml:space="preserve"> </w:t>
      </w:r>
      <w:r>
        <w:t>be</w:t>
      </w:r>
      <w:r>
        <w:rPr>
          <w:spacing w:val="-3"/>
        </w:rPr>
        <w:t xml:space="preserve"> </w:t>
      </w:r>
      <w:r>
        <w:t>reviewed</w:t>
      </w:r>
      <w:r>
        <w:rPr>
          <w:spacing w:val="-4"/>
        </w:rPr>
        <w:t xml:space="preserve"> </w:t>
      </w:r>
      <w:r>
        <w:t>as</w:t>
      </w:r>
      <w:r>
        <w:rPr>
          <w:spacing w:val="-3"/>
        </w:rPr>
        <w:t xml:space="preserve"> </w:t>
      </w:r>
      <w:r>
        <w:t>possible</w:t>
      </w:r>
      <w:r>
        <w:rPr>
          <w:spacing w:val="-3"/>
        </w:rPr>
        <w:t xml:space="preserve"> </w:t>
      </w:r>
      <w:r>
        <w:t>stratification</w:t>
      </w:r>
      <w:r>
        <w:rPr>
          <w:spacing w:val="-3"/>
        </w:rPr>
        <w:t xml:space="preserve"> </w:t>
      </w:r>
      <w:r>
        <w:t>variables. Variables chosen for stratification will be those</w:t>
      </w:r>
      <w:r>
        <w:rPr>
          <w:spacing w:val="1"/>
        </w:rPr>
        <w:t xml:space="preserve"> </w:t>
      </w:r>
      <w:r>
        <w:t>expected to be correlated with food security, including geographic variables, income, household size,</w:t>
      </w:r>
      <w:r>
        <w:rPr>
          <w:spacing w:val="1"/>
        </w:rPr>
        <w:t xml:space="preserve"> </w:t>
      </w:r>
      <w:r>
        <w:t xml:space="preserve">and demographic variables. </w:t>
      </w:r>
      <w:r w:rsidR="0092428C">
        <w:t xml:space="preserve">A total of </w:t>
      </w:r>
      <w:r>
        <w:t xml:space="preserve">3,170 households </w:t>
      </w:r>
      <w:r w:rsidR="0092428C">
        <w:t xml:space="preserve">will be sampled </w:t>
      </w:r>
      <w:r>
        <w:t>from the NAP participant list sampling</w:t>
      </w:r>
      <w:r>
        <w:rPr>
          <w:spacing w:val="1"/>
        </w:rPr>
        <w:t xml:space="preserve"> </w:t>
      </w:r>
      <w:r>
        <w:t>frame.</w:t>
      </w:r>
    </w:p>
    <w:p w:rsidR="008F72D0" w:rsidP="006E55C9" w:rsidRDefault="006E55C9" w14:paraId="0C8A426C" w14:textId="496E5108">
      <w:pPr>
        <w:pStyle w:val="Body11ptCalibri-IPR"/>
        <w:spacing w:before="120" w:after="240"/>
        <w:rPr>
          <w:szCs w:val="22"/>
        </w:rPr>
      </w:pPr>
      <w:r w:rsidRPr="00B36BEB">
        <w:rPr>
          <w:szCs w:val="22"/>
        </w:rPr>
        <w:t>Using the mailing address</w:t>
      </w:r>
      <w:r>
        <w:rPr>
          <w:szCs w:val="22"/>
        </w:rPr>
        <w:t>es</w:t>
      </w:r>
      <w:r w:rsidRPr="00B36BEB">
        <w:rPr>
          <w:szCs w:val="22"/>
        </w:rPr>
        <w:t xml:space="preserve"> </w:t>
      </w:r>
      <w:r>
        <w:rPr>
          <w:szCs w:val="22"/>
        </w:rPr>
        <w:t>provided by ADSEF</w:t>
      </w:r>
      <w:r w:rsidRPr="00B36BEB">
        <w:rPr>
          <w:szCs w:val="22"/>
        </w:rPr>
        <w:t xml:space="preserve">, </w:t>
      </w:r>
      <w:r>
        <w:rPr>
          <w:szCs w:val="22"/>
        </w:rPr>
        <w:t>the study team</w:t>
      </w:r>
      <w:r w:rsidRPr="00B36BEB">
        <w:rPr>
          <w:szCs w:val="22"/>
        </w:rPr>
        <w:t xml:space="preserve"> will mail an</w:t>
      </w:r>
      <w:r>
        <w:rPr>
          <w:szCs w:val="22"/>
        </w:rPr>
        <w:t xml:space="preserve"> initial </w:t>
      </w:r>
      <w:r w:rsidRPr="00B36BEB">
        <w:rPr>
          <w:szCs w:val="22"/>
        </w:rPr>
        <w:t xml:space="preserve">invitation letter </w:t>
      </w:r>
      <w:r w:rsidR="003D2375">
        <w:rPr>
          <w:szCs w:val="22"/>
        </w:rPr>
        <w:t xml:space="preserve">with a $5 prepaid cash incentive </w:t>
      </w:r>
      <w:r>
        <w:rPr>
          <w:szCs w:val="22"/>
        </w:rPr>
        <w:t xml:space="preserve">to households sampled from the NAP participant list. The letter will </w:t>
      </w:r>
      <w:r w:rsidRPr="00B36BEB">
        <w:rPr>
          <w:szCs w:val="22"/>
        </w:rPr>
        <w:t>explain the study</w:t>
      </w:r>
      <w:r w:rsidR="008F72D0">
        <w:rPr>
          <w:szCs w:val="22"/>
        </w:rPr>
        <w:t>, offer a $40 postparticipation incentive</w:t>
      </w:r>
      <w:r w:rsidR="002452FC">
        <w:rPr>
          <w:szCs w:val="22"/>
        </w:rPr>
        <w:t xml:space="preserve"> </w:t>
      </w:r>
      <w:r w:rsidR="002452FC">
        <w:t>(paid by gift card)</w:t>
      </w:r>
      <w:r w:rsidR="002452FC">
        <w:rPr>
          <w:szCs w:val="22"/>
        </w:rPr>
        <w:t>,</w:t>
      </w:r>
      <w:r w:rsidR="008F72D0">
        <w:rPr>
          <w:szCs w:val="22"/>
        </w:rPr>
        <w:t xml:space="preserve"> and</w:t>
      </w:r>
      <w:r w:rsidRPr="00B36BEB">
        <w:rPr>
          <w:szCs w:val="22"/>
        </w:rPr>
        <w:t xml:space="preserve"> invit</w:t>
      </w:r>
      <w:r>
        <w:rPr>
          <w:szCs w:val="22"/>
        </w:rPr>
        <w:t xml:space="preserve">e an adult member of the household </w:t>
      </w:r>
      <w:r w:rsidRPr="00B36BEB">
        <w:rPr>
          <w:szCs w:val="22"/>
        </w:rPr>
        <w:t>to complete the survey</w:t>
      </w:r>
      <w:r>
        <w:rPr>
          <w:szCs w:val="22"/>
        </w:rPr>
        <w:t xml:space="preserve"> via web (see Appendix </w:t>
      </w:r>
      <w:r w:rsidR="00B85E4A">
        <w:rPr>
          <w:szCs w:val="22"/>
        </w:rPr>
        <w:t>G</w:t>
      </w:r>
      <w:r>
        <w:rPr>
          <w:szCs w:val="22"/>
        </w:rPr>
        <w:t>.1</w:t>
      </w:r>
      <w:r w:rsidR="00B85E4A">
        <w:rPr>
          <w:szCs w:val="22"/>
        </w:rPr>
        <w:t xml:space="preserve"> and G.</w:t>
      </w:r>
      <w:r w:rsidR="00D76C2F">
        <w:rPr>
          <w:szCs w:val="22"/>
        </w:rPr>
        <w:t>1</w:t>
      </w:r>
      <w:r w:rsidR="00B85E4A">
        <w:rPr>
          <w:szCs w:val="22"/>
        </w:rPr>
        <w:t>2</w:t>
      </w:r>
      <w:r>
        <w:rPr>
          <w:szCs w:val="22"/>
        </w:rPr>
        <w:t>)</w:t>
      </w:r>
      <w:r w:rsidRPr="00B36BEB">
        <w:rPr>
          <w:szCs w:val="22"/>
        </w:rPr>
        <w:t xml:space="preserve">. </w:t>
      </w:r>
    </w:p>
    <w:p w:rsidR="006E55C9" w:rsidP="006E55C9" w:rsidRDefault="006E55C9" w14:paraId="5E284FE0" w14:textId="4E0CB688">
      <w:pPr>
        <w:pStyle w:val="Body11ptCalibri-IPR"/>
        <w:spacing w:before="120" w:after="240"/>
        <w:rPr>
          <w:szCs w:val="22"/>
        </w:rPr>
      </w:pPr>
      <w:r w:rsidRPr="00B36BEB">
        <w:rPr>
          <w:szCs w:val="22"/>
        </w:rPr>
        <w:t xml:space="preserve">One week after the initial mailing, </w:t>
      </w:r>
      <w:r>
        <w:rPr>
          <w:szCs w:val="22"/>
        </w:rPr>
        <w:t>the study team</w:t>
      </w:r>
      <w:r w:rsidRPr="00B36BEB">
        <w:rPr>
          <w:szCs w:val="22"/>
        </w:rPr>
        <w:t xml:space="preserve"> will send a postcard </w:t>
      </w:r>
      <w:r>
        <w:rPr>
          <w:szCs w:val="22"/>
        </w:rPr>
        <w:t>to nonrespondents</w:t>
      </w:r>
      <w:r w:rsidRPr="00B36BEB">
        <w:rPr>
          <w:szCs w:val="22"/>
        </w:rPr>
        <w:t>, remind</w:t>
      </w:r>
      <w:r>
        <w:rPr>
          <w:szCs w:val="22"/>
        </w:rPr>
        <w:t>ing them to complete the survey</w:t>
      </w:r>
      <w:r w:rsidR="00807FCC">
        <w:rPr>
          <w:szCs w:val="22"/>
        </w:rPr>
        <w:t xml:space="preserve"> (see Appendix </w:t>
      </w:r>
      <w:r w:rsidR="00B85E4A">
        <w:rPr>
          <w:szCs w:val="22"/>
        </w:rPr>
        <w:t>G</w:t>
      </w:r>
      <w:r w:rsidR="00807FCC">
        <w:rPr>
          <w:szCs w:val="22"/>
        </w:rPr>
        <w:t>.</w:t>
      </w:r>
      <w:r w:rsidR="00D76C2F">
        <w:rPr>
          <w:szCs w:val="22"/>
        </w:rPr>
        <w:t>2</w:t>
      </w:r>
      <w:r w:rsidR="00B85E4A">
        <w:rPr>
          <w:szCs w:val="22"/>
        </w:rPr>
        <w:t xml:space="preserve"> and G.</w:t>
      </w:r>
      <w:r w:rsidR="00D76C2F">
        <w:rPr>
          <w:szCs w:val="22"/>
        </w:rPr>
        <w:t>13</w:t>
      </w:r>
      <w:r w:rsidR="00807FCC">
        <w:rPr>
          <w:szCs w:val="22"/>
        </w:rPr>
        <w:t>)</w:t>
      </w:r>
      <w:r>
        <w:rPr>
          <w:szCs w:val="22"/>
        </w:rPr>
        <w:t xml:space="preserve">. </w:t>
      </w:r>
      <w:r w:rsidR="008F72D0">
        <w:rPr>
          <w:szCs w:val="22"/>
        </w:rPr>
        <w:t>Next</w:t>
      </w:r>
      <w:r w:rsidR="00F86A26">
        <w:rPr>
          <w:szCs w:val="22"/>
        </w:rPr>
        <w:t xml:space="preserve">, the study team will mail nonrespondents a paper survey packet, which will include a cover letter with a link to the web survey, a hardcopy version of the survey, and a postage-paid return envelope (see Appendix </w:t>
      </w:r>
      <w:r w:rsidR="00B85E4A">
        <w:rPr>
          <w:szCs w:val="22"/>
        </w:rPr>
        <w:t>G</w:t>
      </w:r>
      <w:r w:rsidR="00F86A26">
        <w:rPr>
          <w:szCs w:val="22"/>
        </w:rPr>
        <w:t>.</w:t>
      </w:r>
      <w:r w:rsidR="00D76C2F">
        <w:rPr>
          <w:szCs w:val="22"/>
        </w:rPr>
        <w:t>3</w:t>
      </w:r>
      <w:r w:rsidR="00B85E4A">
        <w:rPr>
          <w:szCs w:val="22"/>
        </w:rPr>
        <w:t xml:space="preserve"> and G.</w:t>
      </w:r>
      <w:r w:rsidR="00D76C2F">
        <w:rPr>
          <w:szCs w:val="22"/>
        </w:rPr>
        <w:t>14</w:t>
      </w:r>
      <w:r w:rsidR="00F86A26">
        <w:rPr>
          <w:szCs w:val="22"/>
        </w:rPr>
        <w:t>)</w:t>
      </w:r>
      <w:r w:rsidRPr="00DF58CA" w:rsidR="00F86A26">
        <w:rPr>
          <w:szCs w:val="22"/>
        </w:rPr>
        <w:t>.</w:t>
      </w:r>
      <w:r w:rsidR="00F86A26">
        <w:rPr>
          <w:szCs w:val="22"/>
        </w:rPr>
        <w:t xml:space="preserve"> </w:t>
      </w:r>
      <w:r w:rsidRPr="00DF58CA" w:rsidR="00F86A26">
        <w:rPr>
          <w:szCs w:val="22"/>
        </w:rPr>
        <w:t xml:space="preserve">Approximately </w:t>
      </w:r>
      <w:r w:rsidR="00F86A26">
        <w:rPr>
          <w:szCs w:val="22"/>
        </w:rPr>
        <w:t>5</w:t>
      </w:r>
      <w:r w:rsidRPr="00DF58CA" w:rsidR="00F86A26">
        <w:rPr>
          <w:szCs w:val="22"/>
        </w:rPr>
        <w:t xml:space="preserve"> weeks</w:t>
      </w:r>
      <w:r w:rsidR="00F86A26">
        <w:rPr>
          <w:szCs w:val="22"/>
        </w:rPr>
        <w:t xml:space="preserve"> after the initial mailing, remaining nonrespondents will receive a second paper survey packet.</w:t>
      </w:r>
      <w:r w:rsidR="003D2375">
        <w:rPr>
          <w:szCs w:val="22"/>
        </w:rPr>
        <w:t xml:space="preserve"> </w:t>
      </w:r>
      <w:r w:rsidR="008F72D0">
        <w:t>The</w:t>
      </w:r>
      <w:r w:rsidR="008F72D0">
        <w:rPr>
          <w:spacing w:val="-3"/>
        </w:rPr>
        <w:t xml:space="preserve"> </w:t>
      </w:r>
      <w:r w:rsidR="008F72D0">
        <w:t>response</w:t>
      </w:r>
      <w:r w:rsidR="008F72D0">
        <w:rPr>
          <w:spacing w:val="-2"/>
        </w:rPr>
        <w:t xml:space="preserve"> </w:t>
      </w:r>
      <w:r w:rsidR="008F72D0">
        <w:t>rate</w:t>
      </w:r>
      <w:r w:rsidR="008F72D0">
        <w:rPr>
          <w:spacing w:val="-2"/>
        </w:rPr>
        <w:t xml:space="preserve"> </w:t>
      </w:r>
      <w:r w:rsidR="008F72D0">
        <w:t>for</w:t>
      </w:r>
      <w:r w:rsidR="008F72D0">
        <w:rPr>
          <w:spacing w:val="-3"/>
        </w:rPr>
        <w:t xml:space="preserve"> the </w:t>
      </w:r>
      <w:r w:rsidR="008F72D0">
        <w:t>survey</w:t>
      </w:r>
      <w:r w:rsidR="008F72D0">
        <w:rPr>
          <w:spacing w:val="-2"/>
        </w:rPr>
        <w:t xml:space="preserve"> </w:t>
      </w:r>
      <w:r w:rsidR="008F72D0">
        <w:t>will</w:t>
      </w:r>
      <w:r w:rsidR="008F72D0">
        <w:rPr>
          <w:spacing w:val="-2"/>
        </w:rPr>
        <w:t xml:space="preserve"> </w:t>
      </w:r>
      <w:r w:rsidR="008F72D0">
        <w:t>depend</w:t>
      </w:r>
      <w:r w:rsidR="008F72D0">
        <w:rPr>
          <w:spacing w:val="-3"/>
        </w:rPr>
        <w:t xml:space="preserve"> </w:t>
      </w:r>
      <w:r w:rsidR="008F72D0">
        <w:t>on</w:t>
      </w:r>
      <w:r w:rsidR="008F72D0">
        <w:rPr>
          <w:spacing w:val="-3"/>
        </w:rPr>
        <w:t xml:space="preserve"> </w:t>
      </w:r>
      <w:r w:rsidR="008F72D0">
        <w:t>the reliability</w:t>
      </w:r>
      <w:r w:rsidR="008F72D0">
        <w:rPr>
          <w:spacing w:val="-2"/>
        </w:rPr>
        <w:t xml:space="preserve"> </w:t>
      </w:r>
      <w:r w:rsidR="008F72D0">
        <w:t>of addresses</w:t>
      </w:r>
      <w:r w:rsidR="008F72D0">
        <w:rPr>
          <w:spacing w:val="-3"/>
        </w:rPr>
        <w:t xml:space="preserve"> </w:t>
      </w:r>
      <w:r w:rsidR="008F72D0">
        <w:t>on</w:t>
      </w:r>
      <w:r w:rsidR="008F72D0">
        <w:rPr>
          <w:spacing w:val="-2"/>
        </w:rPr>
        <w:t xml:space="preserve"> </w:t>
      </w:r>
      <w:r w:rsidR="008F72D0">
        <w:t>the</w:t>
      </w:r>
      <w:r w:rsidR="008F72D0">
        <w:rPr>
          <w:spacing w:val="-2"/>
        </w:rPr>
        <w:t xml:space="preserve"> </w:t>
      </w:r>
      <w:r w:rsidR="008F72D0">
        <w:t>NAP list and</w:t>
      </w:r>
      <w:r w:rsidR="008F72D0">
        <w:rPr>
          <w:spacing w:val="-2"/>
        </w:rPr>
        <w:t xml:space="preserve"> </w:t>
      </w:r>
      <w:r w:rsidR="008F72D0">
        <w:t>cooperation</w:t>
      </w:r>
      <w:r w:rsidR="008F72D0">
        <w:rPr>
          <w:spacing w:val="-1"/>
        </w:rPr>
        <w:t xml:space="preserve"> </w:t>
      </w:r>
      <w:r w:rsidR="008F72D0">
        <w:t>of</w:t>
      </w:r>
      <w:r w:rsidR="008F72D0">
        <w:rPr>
          <w:spacing w:val="-3"/>
        </w:rPr>
        <w:t xml:space="preserve"> </w:t>
      </w:r>
      <w:r w:rsidR="008F72D0">
        <w:t>selected</w:t>
      </w:r>
      <w:r w:rsidR="008F72D0">
        <w:rPr>
          <w:spacing w:val="-2"/>
        </w:rPr>
        <w:t xml:space="preserve"> </w:t>
      </w:r>
      <w:r w:rsidR="008F72D0">
        <w:t xml:space="preserve">households. </w:t>
      </w:r>
      <w:r w:rsidRPr="00782646" w:rsidR="008F72D0">
        <w:t>The study team will follow up</w:t>
      </w:r>
      <w:r w:rsidR="008F72D0">
        <w:t xml:space="preserve"> with</w:t>
      </w:r>
      <w:r w:rsidR="008F72D0">
        <w:rPr>
          <w:spacing w:val="-3"/>
        </w:rPr>
        <w:t xml:space="preserve"> a </w:t>
      </w:r>
      <w:r w:rsidR="008F72D0">
        <w:t>one‐third</w:t>
      </w:r>
      <w:r w:rsidR="008F72D0">
        <w:rPr>
          <w:spacing w:val="-4"/>
        </w:rPr>
        <w:t xml:space="preserve"> </w:t>
      </w:r>
      <w:r w:rsidR="008F72D0">
        <w:t>subsample</w:t>
      </w:r>
      <w:r w:rsidR="008F72D0">
        <w:rPr>
          <w:spacing w:val="-3"/>
        </w:rPr>
        <w:t xml:space="preserve"> </w:t>
      </w:r>
      <w:r w:rsidR="008F72D0">
        <w:t>of</w:t>
      </w:r>
      <w:r w:rsidR="008F72D0">
        <w:rPr>
          <w:spacing w:val="-4"/>
        </w:rPr>
        <w:t xml:space="preserve"> </w:t>
      </w:r>
      <w:r w:rsidR="008F72D0">
        <w:t>nonrespondents</w:t>
      </w:r>
      <w:r w:rsidR="008F72D0">
        <w:rPr>
          <w:spacing w:val="-4"/>
        </w:rPr>
        <w:t xml:space="preserve"> by </w:t>
      </w:r>
      <w:r w:rsidR="008F72D0">
        <w:t>telephone, using</w:t>
      </w:r>
      <w:r w:rsidR="008F72D0">
        <w:rPr>
          <w:spacing w:val="-2"/>
        </w:rPr>
        <w:t xml:space="preserve"> </w:t>
      </w:r>
      <w:r w:rsidR="008F72D0">
        <w:t>the</w:t>
      </w:r>
      <w:r w:rsidR="008F72D0">
        <w:rPr>
          <w:spacing w:val="-1"/>
        </w:rPr>
        <w:t xml:space="preserve"> </w:t>
      </w:r>
      <w:r w:rsidR="008F72D0">
        <w:t>phone</w:t>
      </w:r>
      <w:r w:rsidR="008F72D0">
        <w:rPr>
          <w:spacing w:val="-2"/>
        </w:rPr>
        <w:t xml:space="preserve"> </w:t>
      </w:r>
      <w:r w:rsidR="008F72D0">
        <w:t>numbers</w:t>
      </w:r>
      <w:r w:rsidR="008F72D0">
        <w:rPr>
          <w:spacing w:val="-2"/>
        </w:rPr>
        <w:t xml:space="preserve"> </w:t>
      </w:r>
      <w:r w:rsidR="008F72D0">
        <w:t>provided</w:t>
      </w:r>
      <w:r w:rsidR="008F72D0">
        <w:rPr>
          <w:spacing w:val="-1"/>
        </w:rPr>
        <w:t xml:space="preserve"> </w:t>
      </w:r>
      <w:r w:rsidR="008F72D0">
        <w:t>on</w:t>
      </w:r>
      <w:r w:rsidR="008F72D0">
        <w:rPr>
          <w:spacing w:val="-2"/>
        </w:rPr>
        <w:t xml:space="preserve"> </w:t>
      </w:r>
      <w:r w:rsidR="008F72D0">
        <w:t>the</w:t>
      </w:r>
      <w:r w:rsidR="008F72D0">
        <w:rPr>
          <w:spacing w:val="-2"/>
        </w:rPr>
        <w:t xml:space="preserve"> </w:t>
      </w:r>
      <w:r w:rsidR="008F72D0">
        <w:t>NAP</w:t>
      </w:r>
      <w:r w:rsidR="008F72D0">
        <w:rPr>
          <w:spacing w:val="-1"/>
        </w:rPr>
        <w:t xml:space="preserve"> </w:t>
      </w:r>
      <w:r w:rsidR="008F72D0">
        <w:t>participant</w:t>
      </w:r>
      <w:r w:rsidR="008F72D0">
        <w:rPr>
          <w:spacing w:val="-2"/>
        </w:rPr>
        <w:t xml:space="preserve"> </w:t>
      </w:r>
      <w:r w:rsidR="008F72D0">
        <w:t>list</w:t>
      </w:r>
      <w:r w:rsidR="00B85E4A">
        <w:t xml:space="preserve"> (Appendix G.</w:t>
      </w:r>
      <w:r w:rsidR="00D76C2F">
        <w:t xml:space="preserve">6 </w:t>
      </w:r>
      <w:r w:rsidR="00B85E4A">
        <w:t>and G.</w:t>
      </w:r>
      <w:r w:rsidR="00D76C2F">
        <w:t>17</w:t>
      </w:r>
      <w:r w:rsidR="008F72D0">
        <w:t xml:space="preserve"> </w:t>
      </w:r>
      <w:r w:rsidR="00F86A26">
        <w:rPr>
          <w:szCs w:val="22"/>
        </w:rPr>
        <w:t xml:space="preserve">Telephone </w:t>
      </w:r>
      <w:r w:rsidR="003D2375">
        <w:rPr>
          <w:szCs w:val="22"/>
        </w:rPr>
        <w:t>interviewers</w:t>
      </w:r>
      <w:r w:rsidR="00F86A26">
        <w:rPr>
          <w:szCs w:val="22"/>
        </w:rPr>
        <w:t xml:space="preserve"> will </w:t>
      </w:r>
      <w:r w:rsidRPr="00ED1441" w:rsidR="00F86A26">
        <w:t>reference prior communications (survey mailings and reminders) sent by the study team</w:t>
      </w:r>
      <w:r w:rsidR="00F86A26">
        <w:t>.</w:t>
      </w:r>
      <w:r w:rsidR="003D2375">
        <w:t xml:space="preserve"> </w:t>
      </w:r>
      <w:r>
        <w:rPr>
          <w:szCs w:val="22"/>
        </w:rPr>
        <w:t xml:space="preserve">See table B.3.2 for a brief overview of the timeline for data collection activities for households sampled from the NAP list. </w:t>
      </w:r>
    </w:p>
    <w:p w:rsidR="0062133C" w:rsidP="006E55C9" w:rsidRDefault="0062133C" w14:paraId="738B6C36" w14:textId="77777777">
      <w:pPr>
        <w:pStyle w:val="Body11ptCalibri-IPR"/>
        <w:spacing w:before="120" w:after="240"/>
        <w:rPr>
          <w:szCs w:val="22"/>
        </w:rPr>
      </w:pPr>
    </w:p>
    <w:p w:rsidRPr="00040E67" w:rsidR="006E55C9" w:rsidP="006E55C9" w:rsidRDefault="006E55C9" w14:paraId="4B8D29E7" w14:textId="77777777">
      <w:pPr>
        <w:pStyle w:val="TableTitle-IPR"/>
      </w:pPr>
      <w:r w:rsidRPr="00040E67">
        <w:lastRenderedPageBreak/>
        <w:t xml:space="preserve">Table B.3.2. Timeline for </w:t>
      </w:r>
      <w:r>
        <w:t>S</w:t>
      </w:r>
      <w:r w:rsidRPr="00040E67">
        <w:t xml:space="preserve">ampled NAP </w:t>
      </w:r>
      <w:r>
        <w:t>P</w:t>
      </w:r>
      <w:r w:rsidRPr="00040E67">
        <w:t xml:space="preserve">articipant </w:t>
      </w:r>
      <w:r>
        <w:t>D</w:t>
      </w:r>
      <w:r w:rsidRPr="00040E67">
        <w:t xml:space="preserve">ata </w:t>
      </w:r>
      <w:r>
        <w:t>C</w:t>
      </w:r>
      <w:r w:rsidRPr="00040E67">
        <w:t xml:space="preserve">ollection </w:t>
      </w:r>
      <w:r>
        <w:t>A</w:t>
      </w:r>
      <w:r w:rsidRPr="00040E67">
        <w:t xml:space="preserve">ctivities </w:t>
      </w:r>
    </w:p>
    <w:tbl>
      <w:tblPr>
        <w:tblStyle w:val="InsightTable"/>
        <w:tblW w:w="0" w:type="auto"/>
        <w:tblLook w:val="04A0" w:firstRow="1" w:lastRow="0" w:firstColumn="1" w:lastColumn="0" w:noHBand="0" w:noVBand="1"/>
      </w:tblPr>
      <w:tblGrid>
        <w:gridCol w:w="1807"/>
        <w:gridCol w:w="5605"/>
        <w:gridCol w:w="1890"/>
      </w:tblGrid>
      <w:tr w:rsidR="006E55C9" w:rsidTr="004421E2" w14:paraId="288AA4C0" w14:textId="77777777">
        <w:trPr>
          <w:cnfStyle w:val="100000000000" w:firstRow="1" w:lastRow="0" w:firstColumn="0" w:lastColumn="0" w:oddVBand="0" w:evenVBand="0" w:oddHBand="0" w:evenHBand="0" w:firstRowFirstColumn="0" w:firstRowLastColumn="0" w:lastRowFirstColumn="0" w:lastRowLastColumn="0"/>
          <w:trHeight w:val="360"/>
        </w:trPr>
        <w:tc>
          <w:tcPr>
            <w:tcW w:w="1807" w:type="dxa"/>
          </w:tcPr>
          <w:p w:rsidR="006E55C9" w:rsidP="004421E2" w:rsidRDefault="006E55C9" w14:paraId="214B4526" w14:textId="77777777">
            <w:pPr>
              <w:pStyle w:val="TableHeaderRow-IPR"/>
              <w:rPr>
                <w:sz w:val="24"/>
              </w:rPr>
            </w:pPr>
            <w:r w:rsidRPr="00FC46F5">
              <w:t>Time Period</w:t>
            </w:r>
          </w:p>
        </w:tc>
        <w:tc>
          <w:tcPr>
            <w:tcW w:w="5605" w:type="dxa"/>
          </w:tcPr>
          <w:p w:rsidR="006E55C9" w:rsidP="004421E2" w:rsidRDefault="006E55C9" w14:paraId="5FA8979F" w14:textId="77777777">
            <w:pPr>
              <w:pStyle w:val="TableHeaderRow-IPR"/>
              <w:rPr>
                <w:sz w:val="24"/>
              </w:rPr>
            </w:pPr>
            <w:r w:rsidRPr="00FC46F5">
              <w:t>Activity</w:t>
            </w:r>
          </w:p>
        </w:tc>
        <w:tc>
          <w:tcPr>
            <w:tcW w:w="1890" w:type="dxa"/>
          </w:tcPr>
          <w:p w:rsidRPr="00FC46F5" w:rsidR="006E55C9" w:rsidP="004421E2" w:rsidRDefault="006E55C9" w14:paraId="61CDA047" w14:textId="77777777">
            <w:pPr>
              <w:pStyle w:val="TableHeaderRow-IPR"/>
            </w:pPr>
            <w:r>
              <w:t>Appendix</w:t>
            </w:r>
          </w:p>
        </w:tc>
      </w:tr>
      <w:tr w:rsidR="006E55C9" w:rsidTr="004421E2" w14:paraId="29DB1A03" w14:textId="77777777">
        <w:trPr>
          <w:trHeight w:val="288"/>
        </w:trPr>
        <w:tc>
          <w:tcPr>
            <w:tcW w:w="1807" w:type="dxa"/>
          </w:tcPr>
          <w:p w:rsidR="006E55C9" w:rsidP="004421E2" w:rsidRDefault="006E55C9" w14:paraId="69DF353C" w14:textId="77777777">
            <w:pPr>
              <w:pStyle w:val="TableText-IPR"/>
              <w:rPr>
                <w:sz w:val="24"/>
              </w:rPr>
            </w:pPr>
            <w:r w:rsidRPr="00DF58CA">
              <w:t>Week 1</w:t>
            </w:r>
          </w:p>
        </w:tc>
        <w:tc>
          <w:tcPr>
            <w:tcW w:w="5605" w:type="dxa"/>
          </w:tcPr>
          <w:p w:rsidR="006E55C9" w:rsidP="004421E2" w:rsidRDefault="006E55C9" w14:paraId="330A36AF" w14:textId="77777777">
            <w:pPr>
              <w:pStyle w:val="TableText-IPR"/>
              <w:rPr>
                <w:sz w:val="24"/>
              </w:rPr>
            </w:pPr>
            <w:r w:rsidRPr="00DF58CA">
              <w:t>Initial survey packet mailing</w:t>
            </w:r>
          </w:p>
        </w:tc>
        <w:tc>
          <w:tcPr>
            <w:tcW w:w="1890" w:type="dxa"/>
          </w:tcPr>
          <w:p w:rsidRPr="00DF58CA" w:rsidR="006E55C9" w:rsidP="001315E2" w:rsidRDefault="00B85E4A" w14:paraId="29E0A307" w14:textId="5AFE43A4">
            <w:pPr>
              <w:pStyle w:val="TableText-IPR"/>
              <w:jc w:val="center"/>
            </w:pPr>
            <w:r>
              <w:t>G</w:t>
            </w:r>
            <w:r w:rsidR="006E55C9">
              <w:t>.1</w:t>
            </w:r>
            <w:r>
              <w:t xml:space="preserve"> and G.</w:t>
            </w:r>
            <w:r w:rsidR="00EE34D0">
              <w:t>1</w:t>
            </w:r>
            <w:r>
              <w:t>2</w:t>
            </w:r>
          </w:p>
        </w:tc>
      </w:tr>
      <w:tr w:rsidR="006E55C9" w:rsidTr="004421E2" w14:paraId="5803DE2D" w14:textId="77777777">
        <w:trPr>
          <w:trHeight w:val="288"/>
        </w:trPr>
        <w:tc>
          <w:tcPr>
            <w:tcW w:w="1807" w:type="dxa"/>
          </w:tcPr>
          <w:p w:rsidR="006E55C9" w:rsidP="004421E2" w:rsidRDefault="006E55C9" w14:paraId="5581B018" w14:textId="77777777">
            <w:pPr>
              <w:pStyle w:val="TableText-IPR"/>
              <w:rPr>
                <w:sz w:val="24"/>
              </w:rPr>
            </w:pPr>
            <w:r w:rsidRPr="00DF58CA">
              <w:t>Week 2</w:t>
            </w:r>
          </w:p>
        </w:tc>
        <w:tc>
          <w:tcPr>
            <w:tcW w:w="5605" w:type="dxa"/>
          </w:tcPr>
          <w:p w:rsidR="006E55C9" w:rsidP="004421E2" w:rsidRDefault="006E55C9" w14:paraId="6B4D5BBD" w14:textId="77777777">
            <w:pPr>
              <w:pStyle w:val="TableText-IPR"/>
              <w:rPr>
                <w:sz w:val="24"/>
              </w:rPr>
            </w:pPr>
            <w:r w:rsidRPr="00DF58CA">
              <w:t>Reminder postcard to nonrespondents</w:t>
            </w:r>
          </w:p>
        </w:tc>
        <w:tc>
          <w:tcPr>
            <w:tcW w:w="1890" w:type="dxa"/>
          </w:tcPr>
          <w:p w:rsidRPr="00DF58CA" w:rsidR="006E55C9" w:rsidP="001315E2" w:rsidRDefault="00B85E4A" w14:paraId="11C54565" w14:textId="2E8C710F">
            <w:pPr>
              <w:pStyle w:val="TableText-IPR"/>
              <w:jc w:val="center"/>
            </w:pPr>
            <w:r>
              <w:t>G</w:t>
            </w:r>
            <w:r w:rsidR="006E55C9">
              <w:t>.</w:t>
            </w:r>
            <w:r w:rsidR="00EE34D0">
              <w:t>2</w:t>
            </w:r>
            <w:r>
              <w:t xml:space="preserve"> and G.</w:t>
            </w:r>
            <w:r w:rsidR="00EE34D0">
              <w:t>13</w:t>
            </w:r>
          </w:p>
        </w:tc>
      </w:tr>
      <w:tr w:rsidR="006E55C9" w:rsidTr="004421E2" w14:paraId="75016185" w14:textId="77777777">
        <w:trPr>
          <w:trHeight w:val="288"/>
        </w:trPr>
        <w:tc>
          <w:tcPr>
            <w:tcW w:w="1807" w:type="dxa"/>
          </w:tcPr>
          <w:p w:rsidR="006E55C9" w:rsidP="004421E2" w:rsidRDefault="006E55C9" w14:paraId="276F3DD0" w14:textId="77777777">
            <w:pPr>
              <w:pStyle w:val="TableText-IPR"/>
              <w:rPr>
                <w:sz w:val="24"/>
              </w:rPr>
            </w:pPr>
            <w:r w:rsidRPr="00DF58CA">
              <w:t>Week 4</w:t>
            </w:r>
          </w:p>
        </w:tc>
        <w:tc>
          <w:tcPr>
            <w:tcW w:w="5605" w:type="dxa"/>
          </w:tcPr>
          <w:p w:rsidR="006E55C9" w:rsidP="004421E2" w:rsidRDefault="006E55C9" w14:paraId="71A329C1" w14:textId="77777777">
            <w:pPr>
              <w:pStyle w:val="TableText-IPR"/>
              <w:rPr>
                <w:sz w:val="24"/>
              </w:rPr>
            </w:pPr>
            <w:r w:rsidRPr="00DF58CA">
              <w:t>First paper survey packet mailing to nonrespondents</w:t>
            </w:r>
          </w:p>
        </w:tc>
        <w:tc>
          <w:tcPr>
            <w:tcW w:w="1890" w:type="dxa"/>
          </w:tcPr>
          <w:p w:rsidRPr="00DF58CA" w:rsidR="006E55C9" w:rsidP="002A0BC3" w:rsidRDefault="00B85E4A" w14:paraId="1B85BF1C" w14:textId="351617EC">
            <w:pPr>
              <w:pStyle w:val="TableText-IPR"/>
              <w:jc w:val="center"/>
            </w:pPr>
            <w:r>
              <w:t>G</w:t>
            </w:r>
            <w:r w:rsidR="006E55C9">
              <w:t>.</w:t>
            </w:r>
            <w:r w:rsidR="00EE34D0">
              <w:t>3</w:t>
            </w:r>
            <w:r>
              <w:t xml:space="preserve"> and G.</w:t>
            </w:r>
            <w:r w:rsidR="00EE34D0">
              <w:t>14</w:t>
            </w:r>
          </w:p>
        </w:tc>
      </w:tr>
      <w:tr w:rsidR="006E55C9" w:rsidTr="004421E2" w14:paraId="177F8A83" w14:textId="77777777">
        <w:trPr>
          <w:trHeight w:val="288"/>
        </w:trPr>
        <w:tc>
          <w:tcPr>
            <w:tcW w:w="1807" w:type="dxa"/>
          </w:tcPr>
          <w:p w:rsidR="006E55C9" w:rsidP="004421E2" w:rsidRDefault="006E55C9" w14:paraId="51072F0A" w14:textId="77777777">
            <w:pPr>
              <w:pStyle w:val="TableText-IPR"/>
              <w:rPr>
                <w:sz w:val="24"/>
              </w:rPr>
            </w:pPr>
            <w:r w:rsidRPr="00DF58CA">
              <w:t>Week 6</w:t>
            </w:r>
          </w:p>
        </w:tc>
        <w:tc>
          <w:tcPr>
            <w:tcW w:w="5605" w:type="dxa"/>
          </w:tcPr>
          <w:p w:rsidR="006E55C9" w:rsidP="004421E2" w:rsidRDefault="006E55C9" w14:paraId="1BA47910" w14:textId="77777777">
            <w:pPr>
              <w:pStyle w:val="TableText-IPR"/>
              <w:rPr>
                <w:sz w:val="24"/>
              </w:rPr>
            </w:pPr>
            <w:r w:rsidRPr="00DF58CA">
              <w:t>Second paper survey mailing to nonrespondents</w:t>
            </w:r>
          </w:p>
        </w:tc>
        <w:tc>
          <w:tcPr>
            <w:tcW w:w="1890" w:type="dxa"/>
          </w:tcPr>
          <w:p w:rsidRPr="00DF58CA" w:rsidR="006E55C9" w:rsidP="001315E2" w:rsidRDefault="00B85E4A" w14:paraId="0FC519E8" w14:textId="486EF6BB">
            <w:pPr>
              <w:pStyle w:val="TableText-IPR"/>
              <w:jc w:val="center"/>
            </w:pPr>
            <w:r>
              <w:t>G</w:t>
            </w:r>
            <w:r w:rsidR="006E55C9">
              <w:t>.</w:t>
            </w:r>
            <w:r w:rsidR="00EE34D0">
              <w:t>4</w:t>
            </w:r>
            <w:r>
              <w:t xml:space="preserve"> and G.</w:t>
            </w:r>
            <w:r w:rsidR="00EE34D0">
              <w:t>15</w:t>
            </w:r>
          </w:p>
        </w:tc>
      </w:tr>
      <w:tr w:rsidR="006E55C9" w:rsidTr="004421E2" w14:paraId="037F0A04" w14:textId="77777777">
        <w:trPr>
          <w:trHeight w:val="288"/>
        </w:trPr>
        <w:tc>
          <w:tcPr>
            <w:tcW w:w="1807" w:type="dxa"/>
          </w:tcPr>
          <w:p w:rsidR="006E55C9" w:rsidP="004421E2" w:rsidRDefault="006E55C9" w14:paraId="12F18408" w14:textId="77777777">
            <w:pPr>
              <w:pStyle w:val="TableText-IPR"/>
              <w:rPr>
                <w:sz w:val="24"/>
              </w:rPr>
            </w:pPr>
            <w:r w:rsidRPr="00DF58CA">
              <w:t>Weeks 8 to 10</w:t>
            </w:r>
          </w:p>
        </w:tc>
        <w:tc>
          <w:tcPr>
            <w:tcW w:w="5605" w:type="dxa"/>
          </w:tcPr>
          <w:p w:rsidR="006E55C9" w:rsidP="004421E2" w:rsidRDefault="006E55C9" w14:paraId="5662E279" w14:textId="77777777">
            <w:pPr>
              <w:pStyle w:val="TableText-IPR"/>
              <w:rPr>
                <w:sz w:val="24"/>
              </w:rPr>
            </w:pPr>
            <w:r w:rsidRPr="00DF58CA">
              <w:t>Telephone follow-up with nonrespondents</w:t>
            </w:r>
          </w:p>
        </w:tc>
        <w:tc>
          <w:tcPr>
            <w:tcW w:w="1890" w:type="dxa"/>
          </w:tcPr>
          <w:p w:rsidRPr="00DF58CA" w:rsidR="006E55C9" w:rsidP="001315E2" w:rsidRDefault="00B85E4A" w14:paraId="2A97254F" w14:textId="60AC51A6">
            <w:pPr>
              <w:pStyle w:val="TableText-IPR"/>
              <w:jc w:val="center"/>
            </w:pPr>
            <w:r>
              <w:t>G</w:t>
            </w:r>
            <w:r w:rsidR="006E55C9">
              <w:t>.</w:t>
            </w:r>
            <w:r w:rsidR="00EE34D0">
              <w:t>5</w:t>
            </w:r>
            <w:r>
              <w:t xml:space="preserve"> and G.</w:t>
            </w:r>
            <w:r w:rsidR="00EE34D0">
              <w:t>16</w:t>
            </w:r>
          </w:p>
        </w:tc>
      </w:tr>
    </w:tbl>
    <w:p w:rsidR="005F44AE" w:rsidP="002A0BC3" w:rsidRDefault="003D5F5A" w14:paraId="22A97068" w14:textId="7A9018CA">
      <w:pPr>
        <w:pStyle w:val="Body11ptCalibri-IPR"/>
        <w:keepNext/>
        <w:rPr>
          <w:i/>
          <w:spacing w:val="-3"/>
        </w:rPr>
      </w:pPr>
      <w:r w:rsidRPr="00EF57BE">
        <w:rPr>
          <w:b/>
          <w:bCs/>
          <w:i/>
        </w:rPr>
        <w:t>Area</w:t>
      </w:r>
      <w:r w:rsidR="00FA01CB">
        <w:rPr>
          <w:b/>
          <w:bCs/>
          <w:i/>
        </w:rPr>
        <w:t xml:space="preserve"> </w:t>
      </w:r>
      <w:r w:rsidRPr="00EF57BE">
        <w:rPr>
          <w:b/>
          <w:bCs/>
          <w:i/>
        </w:rPr>
        <w:t>probability</w:t>
      </w:r>
      <w:r w:rsidRPr="00EF57BE">
        <w:rPr>
          <w:b/>
          <w:bCs/>
          <w:i/>
          <w:spacing w:val="-3"/>
        </w:rPr>
        <w:t xml:space="preserve"> </w:t>
      </w:r>
      <w:r w:rsidRPr="00EF57BE">
        <w:rPr>
          <w:b/>
          <w:bCs/>
          <w:i/>
        </w:rPr>
        <w:t>frame</w:t>
      </w:r>
    </w:p>
    <w:p w:rsidR="00013514" w:rsidP="00013514" w:rsidRDefault="00FA01CB" w14:paraId="42EF3908" w14:textId="77777777">
      <w:pPr>
        <w:pStyle w:val="Body11ptCalibri-IPR"/>
        <w:spacing w:after="240"/>
      </w:pPr>
      <w:r>
        <w:t>The study team</w:t>
      </w:r>
      <w:r>
        <w:rPr>
          <w:spacing w:val="-2"/>
        </w:rPr>
        <w:t xml:space="preserve"> </w:t>
      </w:r>
      <w:r w:rsidR="003D5F5A">
        <w:t>will</w:t>
      </w:r>
      <w:r w:rsidR="003D5F5A">
        <w:rPr>
          <w:spacing w:val="-2"/>
        </w:rPr>
        <w:t xml:space="preserve"> </w:t>
      </w:r>
      <w:r w:rsidR="003D5F5A">
        <w:t>use</w:t>
      </w:r>
      <w:r w:rsidR="003D5F5A">
        <w:rPr>
          <w:spacing w:val="-2"/>
        </w:rPr>
        <w:t xml:space="preserve"> </w:t>
      </w:r>
      <w:r w:rsidR="003D5F5A">
        <w:t>a</w:t>
      </w:r>
      <w:r w:rsidR="003D5F5A">
        <w:rPr>
          <w:spacing w:val="-2"/>
        </w:rPr>
        <w:t xml:space="preserve"> </w:t>
      </w:r>
      <w:r w:rsidR="003D5F5A">
        <w:t>stratified</w:t>
      </w:r>
      <w:r w:rsidR="003D5F5A">
        <w:rPr>
          <w:spacing w:val="-2"/>
        </w:rPr>
        <w:t xml:space="preserve"> </w:t>
      </w:r>
      <w:r w:rsidR="003D5F5A">
        <w:t>multistage</w:t>
      </w:r>
      <w:r w:rsidR="003D5F5A">
        <w:rPr>
          <w:spacing w:val="-2"/>
        </w:rPr>
        <w:t xml:space="preserve"> </w:t>
      </w:r>
      <w:r w:rsidR="003D5F5A">
        <w:t>sampling</w:t>
      </w:r>
      <w:r w:rsidR="003D5F5A">
        <w:rPr>
          <w:spacing w:val="-2"/>
        </w:rPr>
        <w:t xml:space="preserve"> </w:t>
      </w:r>
      <w:r w:rsidR="003D5F5A">
        <w:t>design</w:t>
      </w:r>
      <w:r w:rsidR="003D5F5A">
        <w:rPr>
          <w:spacing w:val="-3"/>
        </w:rPr>
        <w:t xml:space="preserve"> </w:t>
      </w:r>
      <w:r w:rsidR="003D5F5A">
        <w:t>to</w:t>
      </w:r>
      <w:r w:rsidR="003D5F5A">
        <w:rPr>
          <w:spacing w:val="-2"/>
        </w:rPr>
        <w:t xml:space="preserve"> </w:t>
      </w:r>
      <w:r w:rsidR="003D5F5A">
        <w:t>sample</w:t>
      </w:r>
      <w:r w:rsidR="003D5F5A">
        <w:rPr>
          <w:spacing w:val="-3"/>
        </w:rPr>
        <w:t xml:space="preserve"> </w:t>
      </w:r>
      <w:r w:rsidR="00E73281">
        <w:rPr>
          <w:spacing w:val="-3"/>
        </w:rPr>
        <w:t xml:space="preserve">households </w:t>
      </w:r>
      <w:r w:rsidR="003D5F5A">
        <w:t>from</w:t>
      </w:r>
      <w:r w:rsidR="003D5F5A">
        <w:rPr>
          <w:spacing w:val="-2"/>
        </w:rPr>
        <w:t xml:space="preserve"> </w:t>
      </w:r>
      <w:r w:rsidR="003D5F5A">
        <w:t>the</w:t>
      </w:r>
      <w:r w:rsidR="00E73281">
        <w:t xml:space="preserve"> </w:t>
      </w:r>
      <w:r w:rsidR="003D5F5A">
        <w:t>area</w:t>
      </w:r>
      <w:r w:rsidR="00E73281">
        <w:t xml:space="preserve"> </w:t>
      </w:r>
      <w:r w:rsidR="003D5F5A">
        <w:t xml:space="preserve">probability frame. Households will be sampled within geographic areas </w:t>
      </w:r>
      <w:r w:rsidR="0047544F">
        <w:t>(</w:t>
      </w:r>
      <w:r w:rsidR="003D5F5A">
        <w:t>segments</w:t>
      </w:r>
      <w:r w:rsidR="0047544F">
        <w:t>)</w:t>
      </w:r>
      <w:r w:rsidR="003D5F5A">
        <w:t>. Segments</w:t>
      </w:r>
      <w:r w:rsidR="003D5F5A">
        <w:rPr>
          <w:spacing w:val="1"/>
        </w:rPr>
        <w:t xml:space="preserve"> </w:t>
      </w:r>
      <w:r w:rsidR="003D5F5A">
        <w:t>(the primary sampling units) will be formed by grouping neighboring census blocks until the number of</w:t>
      </w:r>
      <w:r w:rsidR="003D5F5A">
        <w:rPr>
          <w:spacing w:val="1"/>
        </w:rPr>
        <w:t xml:space="preserve"> </w:t>
      </w:r>
      <w:r w:rsidR="003D5F5A">
        <w:t>housing units in the census blocks</w:t>
      </w:r>
      <w:r w:rsidR="00E73281">
        <w:t xml:space="preserve"> (based on data from the 2020 </w:t>
      </w:r>
      <w:r w:rsidR="0092428C">
        <w:t>C</w:t>
      </w:r>
      <w:r w:rsidR="00E73281">
        <w:t>ensus)</w:t>
      </w:r>
      <w:r w:rsidR="003D5F5A">
        <w:t xml:space="preserve"> is large enough to support the sample to be selected within the</w:t>
      </w:r>
      <w:r w:rsidR="003D5F5A">
        <w:rPr>
          <w:spacing w:val="1"/>
        </w:rPr>
        <w:t xml:space="preserve"> </w:t>
      </w:r>
      <w:r w:rsidR="003D5F5A">
        <w:t xml:space="preserve">segment. </w:t>
      </w:r>
      <w:r>
        <w:t xml:space="preserve">The study team </w:t>
      </w:r>
      <w:r w:rsidR="003D5F5A">
        <w:t>will select a stratified probability</w:t>
      </w:r>
      <w:r w:rsidR="003D5F5A">
        <w:rPr>
          <w:spacing w:val="1"/>
        </w:rPr>
        <w:t xml:space="preserve"> </w:t>
      </w:r>
      <w:r w:rsidR="003D5F5A">
        <w:t>proportionate to size (PPS) sample of segments with core‐based statistical</w:t>
      </w:r>
      <w:r w:rsidR="0047544F">
        <w:t xml:space="preserve"> areas as the strata.</w:t>
      </w:r>
      <w:r w:rsidR="003D5F5A">
        <w:t xml:space="preserve"> </w:t>
      </w:r>
      <w:r w:rsidR="0092428C">
        <w:t xml:space="preserve">A total of </w:t>
      </w:r>
      <w:r w:rsidR="003D5F5A">
        <w:t xml:space="preserve">100 segments </w:t>
      </w:r>
      <w:r w:rsidR="0092428C">
        <w:t xml:space="preserve">will be selected </w:t>
      </w:r>
      <w:r w:rsidR="003D5F5A">
        <w:t>from the</w:t>
      </w:r>
      <w:r w:rsidR="003D5F5A">
        <w:rPr>
          <w:spacing w:val="1"/>
        </w:rPr>
        <w:t xml:space="preserve"> </w:t>
      </w:r>
      <w:r w:rsidR="003D5F5A">
        <w:t>area</w:t>
      </w:r>
      <w:r>
        <w:t xml:space="preserve"> </w:t>
      </w:r>
      <w:r w:rsidR="003D5F5A">
        <w:t>probability</w:t>
      </w:r>
      <w:r w:rsidR="003D5F5A">
        <w:rPr>
          <w:spacing w:val="-1"/>
        </w:rPr>
        <w:t xml:space="preserve"> </w:t>
      </w:r>
      <w:r w:rsidR="003D5F5A">
        <w:t>frame.</w:t>
      </w:r>
    </w:p>
    <w:p w:rsidR="00013514" w:rsidP="00013514" w:rsidRDefault="003D5F5A" w14:paraId="3B2A2B60" w14:textId="77777777">
      <w:pPr>
        <w:pStyle w:val="Body11ptCalibri-IPR"/>
        <w:spacing w:after="240"/>
      </w:pPr>
      <w:r>
        <w:t>The area</w:t>
      </w:r>
      <w:r w:rsidR="00FA01CB">
        <w:t xml:space="preserve"> </w:t>
      </w:r>
      <w:r>
        <w:t>probability sample will include a sample of 9,110 addresses selected within the 100 sampled</w:t>
      </w:r>
      <w:r>
        <w:rPr>
          <w:spacing w:val="1"/>
        </w:rPr>
        <w:t xml:space="preserve"> </w:t>
      </w:r>
      <w:r>
        <w:t>segments</w:t>
      </w:r>
      <w:r w:rsidR="0047544F">
        <w:t xml:space="preserve"> with equal probabilities within segments</w:t>
      </w:r>
      <w:r>
        <w:t>.</w:t>
      </w:r>
      <w:r w:rsidR="0047544F">
        <w:t xml:space="preserve"> The </w:t>
      </w:r>
      <w:r w:rsidR="00AD05E0">
        <w:t xml:space="preserve">target sampling rate to be applied to addresses within a </w:t>
      </w:r>
      <w:r w:rsidR="0047544F">
        <w:t>given segment will be computed by dividing the overall targ</w:t>
      </w:r>
      <w:r w:rsidR="00AD05E0">
        <w:t xml:space="preserve">et sampling rate (9,110 divided by the total number of housing units in Puerto Rico, based on the 2020 </w:t>
      </w:r>
      <w:r w:rsidR="0092428C">
        <w:t>C</w:t>
      </w:r>
      <w:r w:rsidR="00AD05E0">
        <w:t xml:space="preserve">ensus) by the probability of selection of the segment. </w:t>
      </w:r>
      <w:r w:rsidR="00FA01CB">
        <w:t>T</w:t>
      </w:r>
      <w:r w:rsidR="00AD05E0">
        <w:t xml:space="preserve">he sampling interval for the segment </w:t>
      </w:r>
      <w:r w:rsidR="00FA01CB">
        <w:t xml:space="preserve">will be obtained </w:t>
      </w:r>
      <w:r w:rsidR="00AD05E0">
        <w:t xml:space="preserve">by </w:t>
      </w:r>
      <w:r w:rsidR="00FA01CB">
        <w:t xml:space="preserve">rounding </w:t>
      </w:r>
      <w:r w:rsidR="00AD05E0">
        <w:t xml:space="preserve">the reciprocal of the target sampling rate to the nearest integer, </w:t>
      </w:r>
      <w:r w:rsidR="00AD05E0">
        <w:rPr>
          <w:i/>
        </w:rPr>
        <w:t>k</w:t>
      </w:r>
      <w:r w:rsidR="00AD05E0">
        <w:t xml:space="preserve">. </w:t>
      </w:r>
      <w:r>
        <w:t>Data collectors will have maps of each segment and instructions on how to move about the</w:t>
      </w:r>
      <w:r>
        <w:rPr>
          <w:spacing w:val="1"/>
        </w:rPr>
        <w:t xml:space="preserve"> </w:t>
      </w:r>
      <w:r>
        <w:t>segment,</w:t>
      </w:r>
      <w:r>
        <w:rPr>
          <w:spacing w:val="-3"/>
        </w:rPr>
        <w:t xml:space="preserve"> </w:t>
      </w:r>
      <w:r>
        <w:t>sampling</w:t>
      </w:r>
      <w:r>
        <w:rPr>
          <w:spacing w:val="-3"/>
        </w:rPr>
        <w:t xml:space="preserve"> </w:t>
      </w:r>
      <w:r>
        <w:t>every</w:t>
      </w:r>
      <w:r>
        <w:rPr>
          <w:spacing w:val="1"/>
        </w:rPr>
        <w:t xml:space="preserve"> </w:t>
      </w:r>
      <w:r>
        <w:rPr>
          <w:i/>
        </w:rPr>
        <w:t>k</w:t>
      </w:r>
      <w:r>
        <w:rPr>
          <w:i/>
          <w:vertAlign w:val="superscript"/>
        </w:rPr>
        <w:t>th</w:t>
      </w:r>
      <w:r>
        <w:rPr>
          <w:i/>
          <w:spacing w:val="-2"/>
        </w:rPr>
        <w:t xml:space="preserve"> </w:t>
      </w:r>
      <w:r>
        <w:t>residential</w:t>
      </w:r>
      <w:r>
        <w:rPr>
          <w:spacing w:val="-1"/>
        </w:rPr>
        <w:t xml:space="preserve"> </w:t>
      </w:r>
      <w:r>
        <w:t>unit</w:t>
      </w:r>
      <w:r>
        <w:rPr>
          <w:spacing w:val="-2"/>
        </w:rPr>
        <w:t xml:space="preserve"> </w:t>
      </w:r>
      <w:r>
        <w:t>into</w:t>
      </w:r>
      <w:r>
        <w:rPr>
          <w:spacing w:val="-2"/>
        </w:rPr>
        <w:t xml:space="preserve"> </w:t>
      </w:r>
      <w:r>
        <w:t>the</w:t>
      </w:r>
      <w:r>
        <w:rPr>
          <w:spacing w:val="-2"/>
        </w:rPr>
        <w:t xml:space="preserve"> </w:t>
      </w:r>
      <w:r>
        <w:t>sample.</w:t>
      </w:r>
      <w:r>
        <w:rPr>
          <w:spacing w:val="-2"/>
        </w:rPr>
        <w:t xml:space="preserve"> </w:t>
      </w:r>
    </w:p>
    <w:p w:rsidR="002C515E" w:rsidP="002C515E" w:rsidRDefault="003D5F5A" w14:paraId="7C742EF9" w14:textId="3E88E427">
      <w:pPr>
        <w:pStyle w:val="BodyText-IPR"/>
        <w:spacing w:line="480" w:lineRule="exact"/>
      </w:pPr>
      <w:r>
        <w:t>To achieve cost</w:t>
      </w:r>
      <w:r>
        <w:rPr>
          <w:spacing w:val="1"/>
        </w:rPr>
        <w:t xml:space="preserve"> </w:t>
      </w:r>
      <w:r>
        <w:t xml:space="preserve">efficiencies, </w:t>
      </w:r>
      <w:r w:rsidR="00FA01CB">
        <w:t>the team</w:t>
      </w:r>
      <w:r>
        <w:t xml:space="preserve"> plan</w:t>
      </w:r>
      <w:r w:rsidR="00FA01CB">
        <w:t>s</w:t>
      </w:r>
      <w:r>
        <w:t xml:space="preserve"> to use local data collectors, who will </w:t>
      </w:r>
      <w:r w:rsidR="002C515E">
        <w:t>knock on doors and attempt to talk with an adult member of each sampled household</w:t>
      </w:r>
      <w:r w:rsidRPr="00D229EA" w:rsidR="002C515E">
        <w:t xml:space="preserve"> </w:t>
      </w:r>
      <w:r w:rsidRPr="00ED1441" w:rsidR="002C515E">
        <w:t>about their selection into the study</w:t>
      </w:r>
      <w:r w:rsidR="002C515E">
        <w:t xml:space="preserve"> and the purpose of the study. If a member of the household answers, the data collector will hand that person a packet including a cover letter, paper survey, postage-paid return envelope, and a $5 prepaid </w:t>
      </w:r>
      <w:r w:rsidR="002C515E">
        <w:lastRenderedPageBreak/>
        <w:t xml:space="preserve">cash incentive (see Appendix </w:t>
      </w:r>
      <w:r w:rsidR="00B85E4A">
        <w:t>G</w:t>
      </w:r>
      <w:r w:rsidR="002C515E">
        <w:t>.</w:t>
      </w:r>
      <w:r w:rsidR="00EE34D0">
        <w:t>7</w:t>
      </w:r>
      <w:r w:rsidR="00B85E4A">
        <w:t>, G</w:t>
      </w:r>
      <w:r w:rsidR="002C515E">
        <w:t>.</w:t>
      </w:r>
      <w:r w:rsidR="00EE34D0">
        <w:t>8</w:t>
      </w:r>
      <w:r w:rsidR="00B85E4A">
        <w:t>, G.</w:t>
      </w:r>
      <w:r w:rsidR="00EE34D0">
        <w:t>18</w:t>
      </w:r>
      <w:r w:rsidR="00B85E4A">
        <w:t>, and G.</w:t>
      </w:r>
      <w:r w:rsidR="00EE34D0">
        <w:t>19</w:t>
      </w:r>
      <w:r w:rsidR="002C515E">
        <w:t>). If no one answers the door at a sampled household, the data collector will leave the packet at the doorstep.</w:t>
      </w:r>
    </w:p>
    <w:p w:rsidR="00417730" w:rsidP="002C515E" w:rsidRDefault="002C515E" w14:paraId="6DFE7B06" w14:textId="28277494">
      <w:pPr>
        <w:pStyle w:val="Body11ptCalibri-IPR"/>
        <w:spacing w:after="240"/>
      </w:pPr>
      <w:r>
        <w:t xml:space="preserve">When speaking with an adult household member, the field data collector will explain the four possible options to complete the survey and receive the $40 </w:t>
      </w:r>
      <w:r w:rsidR="00A8431B">
        <w:t xml:space="preserve">postparticipation </w:t>
      </w:r>
      <w:r>
        <w:t>incentive</w:t>
      </w:r>
      <w:r w:rsidR="002452FC">
        <w:t xml:space="preserve"> (paid by gift card)</w:t>
      </w:r>
      <w:r>
        <w:t>: (1) v</w:t>
      </w:r>
      <w:r w:rsidRPr="006B3226">
        <w:t>isit the study website and complete the web survey</w:t>
      </w:r>
      <w:r>
        <w:t>,</w:t>
      </w:r>
      <w:r w:rsidRPr="006B3226">
        <w:t xml:space="preserve"> </w:t>
      </w:r>
      <w:r>
        <w:t>(2) m</w:t>
      </w:r>
      <w:r w:rsidRPr="006B3226">
        <w:t>ail the completed survey t</w:t>
      </w:r>
      <w:r>
        <w:t>o the study team’s home office, (3) s</w:t>
      </w:r>
      <w:r w:rsidRPr="006B3226">
        <w:t>chedule a time for the data collector to return and pick up the survey</w:t>
      </w:r>
      <w:r>
        <w:t>,</w:t>
      </w:r>
      <w:r w:rsidRPr="006B3226">
        <w:t xml:space="preserve"> </w:t>
      </w:r>
      <w:r>
        <w:t>or (4) s</w:t>
      </w:r>
      <w:r w:rsidRPr="006B3226">
        <w:t xml:space="preserve">chedule a time to complete the </w:t>
      </w:r>
      <w:r>
        <w:t>survey</w:t>
      </w:r>
      <w:r w:rsidRPr="006B3226">
        <w:t xml:space="preserve"> by phone</w:t>
      </w:r>
      <w:r w:rsidR="00417730">
        <w:t>.</w:t>
      </w:r>
    </w:p>
    <w:p w:rsidR="005F44AE" w:rsidRDefault="00E06665" w14:paraId="09252589" w14:textId="77777777">
      <w:pPr>
        <w:pStyle w:val="Body11ptCalibri-IPR"/>
        <w:rPr>
          <w:i/>
        </w:rPr>
      </w:pPr>
      <w:r w:rsidRPr="00EF57BE">
        <w:rPr>
          <w:b/>
          <w:bCs/>
          <w:i/>
        </w:rPr>
        <w:t>Reserve sample</w:t>
      </w:r>
    </w:p>
    <w:p w:rsidR="00C175BE" w:rsidP="00013514" w:rsidRDefault="00E06665" w14:paraId="23E65899" w14:textId="07EEBDD8">
      <w:pPr>
        <w:pStyle w:val="Body11ptCalibri-IPR"/>
        <w:spacing w:after="240"/>
      </w:pPr>
      <w:r>
        <w:t xml:space="preserve">In addition to the primary sample described above, </w:t>
      </w:r>
      <w:r w:rsidR="00FA01CB">
        <w:t>the study team</w:t>
      </w:r>
      <w:r>
        <w:t xml:space="preserve"> will select a reserve sample </w:t>
      </w:r>
      <w:r w:rsidR="00AD05E0">
        <w:t xml:space="preserve">that is 5 percent of the primary sample </w:t>
      </w:r>
      <w:r w:rsidR="00EB1239">
        <w:t xml:space="preserve">size </w:t>
      </w:r>
      <w:r>
        <w:t>and will be prepared</w:t>
      </w:r>
      <w:r w:rsidR="00AD05E0">
        <w:t xml:space="preserve"> </w:t>
      </w:r>
      <w:r>
        <w:t xml:space="preserve">to release it </w:t>
      </w:r>
      <w:r w:rsidR="00FA01CB">
        <w:t>if</w:t>
      </w:r>
      <w:r>
        <w:t xml:space="preserve"> the sample yield falls substantially short of expectations. For the area</w:t>
      </w:r>
      <w:r>
        <w:rPr>
          <w:spacing w:val="1"/>
        </w:rPr>
        <w:t xml:space="preserve"> </w:t>
      </w:r>
      <w:r>
        <w:t>probability</w:t>
      </w:r>
      <w:r>
        <w:rPr>
          <w:spacing w:val="-4"/>
        </w:rPr>
        <w:t xml:space="preserve"> </w:t>
      </w:r>
      <w:r>
        <w:t>sample,</w:t>
      </w:r>
      <w:r>
        <w:rPr>
          <w:spacing w:val="-2"/>
        </w:rPr>
        <w:t xml:space="preserve"> </w:t>
      </w:r>
      <w:r>
        <w:t>the</w:t>
      </w:r>
      <w:r>
        <w:rPr>
          <w:spacing w:val="-3"/>
        </w:rPr>
        <w:t xml:space="preserve"> </w:t>
      </w:r>
      <w:r>
        <w:t>reserve</w:t>
      </w:r>
      <w:r>
        <w:rPr>
          <w:spacing w:val="-2"/>
        </w:rPr>
        <w:t xml:space="preserve"> </w:t>
      </w:r>
      <w:r>
        <w:t>sample</w:t>
      </w:r>
      <w:r>
        <w:rPr>
          <w:spacing w:val="-1"/>
        </w:rPr>
        <w:t xml:space="preserve"> </w:t>
      </w:r>
      <w:r>
        <w:t>will</w:t>
      </w:r>
      <w:r>
        <w:rPr>
          <w:spacing w:val="-3"/>
        </w:rPr>
        <w:t xml:space="preserve"> </w:t>
      </w:r>
      <w:r>
        <w:t>be</w:t>
      </w:r>
      <w:r w:rsidR="00AD05E0">
        <w:t xml:space="preserve"> a</w:t>
      </w:r>
      <w:r>
        <w:t>n</w:t>
      </w:r>
      <w:r>
        <w:rPr>
          <w:spacing w:val="-2"/>
        </w:rPr>
        <w:t xml:space="preserve"> </w:t>
      </w:r>
      <w:r>
        <w:t>additional</w:t>
      </w:r>
      <w:r>
        <w:rPr>
          <w:spacing w:val="-4"/>
        </w:rPr>
        <w:t xml:space="preserve"> </w:t>
      </w:r>
      <w:r w:rsidR="00AD05E0">
        <w:t xml:space="preserve">5 </w:t>
      </w:r>
      <w:r>
        <w:t>segments that are expected to yield an additional 456 sampled addresses. For the NAP list sample, the</w:t>
      </w:r>
      <w:r>
        <w:rPr>
          <w:spacing w:val="1"/>
        </w:rPr>
        <w:t xml:space="preserve"> </w:t>
      </w:r>
      <w:r>
        <w:t>reserve sample will be an additional 159 sampled</w:t>
      </w:r>
      <w:r>
        <w:rPr>
          <w:spacing w:val="1"/>
        </w:rPr>
        <w:t xml:space="preserve"> </w:t>
      </w:r>
      <w:r>
        <w:t xml:space="preserve">households. </w:t>
      </w:r>
      <w:r w:rsidR="00FA01CB">
        <w:t>The study team</w:t>
      </w:r>
      <w:r w:rsidR="005A241B">
        <w:t xml:space="preserve"> will monitor t</w:t>
      </w:r>
      <w:r>
        <w:t>he sample and numbers of completed surveys to determine whether</w:t>
      </w:r>
      <w:r>
        <w:rPr>
          <w:spacing w:val="1"/>
        </w:rPr>
        <w:t xml:space="preserve"> </w:t>
      </w:r>
      <w:r>
        <w:t>release</w:t>
      </w:r>
      <w:r>
        <w:rPr>
          <w:spacing w:val="-1"/>
        </w:rPr>
        <w:t xml:space="preserve"> </w:t>
      </w:r>
      <w:r>
        <w:t>of</w:t>
      </w:r>
      <w:r>
        <w:rPr>
          <w:spacing w:val="-1"/>
        </w:rPr>
        <w:t xml:space="preserve"> </w:t>
      </w:r>
      <w:r>
        <w:t>any reserve</w:t>
      </w:r>
      <w:r>
        <w:rPr>
          <w:spacing w:val="-1"/>
        </w:rPr>
        <w:t xml:space="preserve"> </w:t>
      </w:r>
      <w:r>
        <w:t>sample is</w:t>
      </w:r>
      <w:r>
        <w:rPr>
          <w:spacing w:val="-3"/>
        </w:rPr>
        <w:t xml:space="preserve"> </w:t>
      </w:r>
      <w:r>
        <w:t>needed</w:t>
      </w:r>
      <w:r>
        <w:rPr>
          <w:spacing w:val="-1"/>
        </w:rPr>
        <w:t xml:space="preserve"> </w:t>
      </w:r>
      <w:r>
        <w:t>during data</w:t>
      </w:r>
      <w:r>
        <w:rPr>
          <w:spacing w:val="-2"/>
        </w:rPr>
        <w:t xml:space="preserve"> </w:t>
      </w:r>
      <w:r>
        <w:t>collection for</w:t>
      </w:r>
      <w:r>
        <w:rPr>
          <w:spacing w:val="-1"/>
        </w:rPr>
        <w:t xml:space="preserve"> </w:t>
      </w:r>
      <w:r>
        <w:t>the</w:t>
      </w:r>
      <w:r>
        <w:rPr>
          <w:spacing w:val="-1"/>
        </w:rPr>
        <w:t xml:space="preserve"> </w:t>
      </w:r>
      <w:r>
        <w:t>baseline</w:t>
      </w:r>
      <w:r>
        <w:rPr>
          <w:spacing w:val="-1"/>
        </w:rPr>
        <w:t xml:space="preserve"> </w:t>
      </w:r>
      <w:r>
        <w:t>study.</w:t>
      </w:r>
    </w:p>
    <w:p w:rsidR="009957A8" w:rsidP="009957A8" w:rsidRDefault="009957A8" w14:paraId="2B8FF663" w14:textId="77777777">
      <w:pPr>
        <w:pStyle w:val="Body11ptCalibri-IPR"/>
        <w:keepNext/>
      </w:pPr>
      <w:r>
        <w:rPr>
          <w:b/>
          <w:bCs/>
          <w:i/>
          <w:iCs/>
        </w:rPr>
        <w:t>Quality control procedures for survey data collection</w:t>
      </w:r>
    </w:p>
    <w:p w:rsidR="009957A8" w:rsidP="009957A8" w:rsidRDefault="009957A8" w14:paraId="4CEC026A" w14:textId="77777777">
      <w:pPr>
        <w:spacing w:after="240" w:line="480" w:lineRule="exact"/>
        <w:rPr>
          <w:rFonts w:ascii="Calibri" w:hAnsi="Calibri"/>
          <w:sz w:val="22"/>
        </w:rPr>
      </w:pPr>
      <w:r>
        <w:rPr>
          <w:rFonts w:ascii="Calibri" w:hAnsi="Calibri"/>
          <w:sz w:val="22"/>
        </w:rPr>
        <w:t xml:space="preserve">The study team will incorporate quality control (QC) procedures across all survey data collection activities for the duration of the field period. The study team will develop a Study Management System to provide complete data collection and management to support all survey activities and follow a case throughout its lifecycle.  </w:t>
      </w:r>
    </w:p>
    <w:p w:rsidRPr="00781262" w:rsidR="009957A8" w:rsidP="00960E81" w:rsidRDefault="009957A8" w14:paraId="15257D2B" w14:textId="77777777">
      <w:pPr>
        <w:spacing w:after="360" w:line="480" w:lineRule="exact"/>
      </w:pPr>
      <w:r>
        <w:rPr>
          <w:rFonts w:ascii="Calibri" w:hAnsi="Calibri"/>
          <w:sz w:val="22"/>
        </w:rPr>
        <w:t xml:space="preserve">The team responsible for hardcopy surveys will carefully inspect the contents of the survey packages before they are mailed. QC procedures for the field staff will involve tracking their location, verifying the amount of time spent on each block, and assessing the contact attempt recordings. QC procedures for returned paper surveys will involve tracking and comparing counts at all stages of processing to ensure </w:t>
      </w:r>
      <w:r>
        <w:rPr>
          <w:rFonts w:ascii="Calibri" w:hAnsi="Calibri"/>
          <w:sz w:val="22"/>
        </w:rPr>
        <w:lastRenderedPageBreak/>
        <w:t xml:space="preserve">every mailed survey has a status code. The study team will implement standard visual inspection protocols to verify the accuracy of the data-capturing process for the Teleform paper surveys. QC procedures for the telephone surveys will involve listening to 10 percent of the survey administration (real time or recorded) and providing feedback to the interviewers to improve interviewing techniques (if needed) for gaining cooperation, asking questions, or recording responses. The study team will develop a standardized QC checklist for team supervisors to review the telephone administration of the survey. Given the multimode data collection approach, the study team will harmonize the data across the modes prior to analyses. Once harmonized, the team will use descriptive statistics to identify and address outliers and response rates for key survey items. </w:t>
      </w:r>
    </w:p>
    <w:p w:rsidRPr="00B62368" w:rsidR="003E223D" w:rsidP="003E223D" w:rsidRDefault="006E04B2" w14:paraId="285DD66E" w14:textId="331E2DFC">
      <w:pPr>
        <w:pStyle w:val="Heading4NoLetter-IPR"/>
        <w:spacing w:before="240" w:after="120"/>
      </w:pPr>
      <w:r>
        <w:t>B.2.2</w:t>
      </w:r>
      <w:r w:rsidR="00122326">
        <w:t>.</w:t>
      </w:r>
      <w:r>
        <w:tab/>
      </w:r>
      <w:r w:rsidR="003E223D">
        <w:t>Estimation Procedure</w:t>
      </w:r>
      <w:r w:rsidR="00C669E6">
        <w:t xml:space="preserve"> for Household Survey</w:t>
      </w:r>
    </w:p>
    <w:p w:rsidR="005F44AE" w:rsidP="00EE06CB" w:rsidRDefault="008E48B9" w14:paraId="1B4E9416" w14:textId="77777777">
      <w:pPr>
        <w:pStyle w:val="Body11ptCalibri-IPR"/>
        <w:rPr>
          <w:i/>
        </w:rPr>
      </w:pPr>
      <w:r w:rsidRPr="00EF57BE">
        <w:rPr>
          <w:b/>
          <w:bCs/>
          <w:i/>
        </w:rPr>
        <w:t>Overview</w:t>
      </w:r>
    </w:p>
    <w:p w:rsidR="00013514" w:rsidP="00013514" w:rsidRDefault="00FA01CB" w14:paraId="2236639A" w14:textId="77777777">
      <w:pPr>
        <w:pStyle w:val="Body11ptCalibri-IPR"/>
        <w:spacing w:after="240"/>
      </w:pPr>
      <w:r>
        <w:t>The study team</w:t>
      </w:r>
      <w:r w:rsidR="005A241B">
        <w:t xml:space="preserve"> will compute s</w:t>
      </w:r>
      <w:r w:rsidR="002F2551">
        <w:t>urvey weights to account for the differential probabilities of selection of households from the two sampling frames, subsampling for nonresponse follow-up, differential nonresponse, and overlap between the two samples.</w:t>
      </w:r>
    </w:p>
    <w:p w:rsidR="00013514" w:rsidP="00013514" w:rsidRDefault="00FA01CB" w14:paraId="4DC63507" w14:textId="77777777">
      <w:pPr>
        <w:pStyle w:val="Body11ptCalibri-IPR"/>
        <w:spacing w:after="240"/>
      </w:pPr>
      <w:r>
        <w:t xml:space="preserve">The team </w:t>
      </w:r>
      <w:r w:rsidR="00E06665">
        <w:t xml:space="preserve">will use a classical design‐based approach, </w:t>
      </w:r>
      <w:r w:rsidR="006E04B2">
        <w:t xml:space="preserve">beginning </w:t>
      </w:r>
      <w:r w:rsidR="00E06665">
        <w:t xml:space="preserve">with </w:t>
      </w:r>
      <w:r w:rsidR="006E04B2">
        <w:t>b</w:t>
      </w:r>
      <w:r w:rsidR="00E06665">
        <w:t>ase weights</w:t>
      </w:r>
      <w:r w:rsidR="00E06665">
        <w:rPr>
          <w:spacing w:val="1"/>
        </w:rPr>
        <w:t xml:space="preserve"> </w:t>
      </w:r>
      <w:r w:rsidR="00E06665">
        <w:t>constructed as inverses of the probabilities of selection. In the perfect data collection context (e.g., no</w:t>
      </w:r>
      <w:r w:rsidR="00E06665">
        <w:rPr>
          <w:spacing w:val="1"/>
        </w:rPr>
        <w:t xml:space="preserve"> </w:t>
      </w:r>
      <w:r w:rsidR="00E06665">
        <w:t>nonresponse, no undercoverage), this scheme produces unbiased estimates and does not require any</w:t>
      </w:r>
      <w:r w:rsidR="00E06665">
        <w:rPr>
          <w:spacing w:val="1"/>
        </w:rPr>
        <w:t xml:space="preserve"> </w:t>
      </w:r>
      <w:r w:rsidR="00E06665">
        <w:t>model assumptions. However, the base weights must be modified to account for undercoverage and</w:t>
      </w:r>
      <w:r w:rsidR="00E06665">
        <w:rPr>
          <w:spacing w:val="1"/>
        </w:rPr>
        <w:t xml:space="preserve"> </w:t>
      </w:r>
      <w:r w:rsidR="00E06665">
        <w:t>nonresponse to reduce bias. The overlap in the two sampling frames also necessitates compositing of</w:t>
      </w:r>
      <w:r w:rsidR="00E06665">
        <w:rPr>
          <w:spacing w:val="1"/>
        </w:rPr>
        <w:t xml:space="preserve"> </w:t>
      </w:r>
      <w:r w:rsidR="00E06665">
        <w:t xml:space="preserve">their weights to avoid overrepresentation of households in the overlap. </w:t>
      </w:r>
      <w:r>
        <w:t xml:space="preserve">The study team </w:t>
      </w:r>
      <w:r w:rsidR="00E06665">
        <w:t>will calculate</w:t>
      </w:r>
      <w:r w:rsidR="00E06665">
        <w:rPr>
          <w:spacing w:val="1"/>
        </w:rPr>
        <w:t xml:space="preserve"> </w:t>
      </w:r>
      <w:r w:rsidR="00E06665">
        <w:t>the household base weights and associated adjustments (e.g., unknown eligibility adjustments,</w:t>
      </w:r>
      <w:r w:rsidR="00E06665">
        <w:rPr>
          <w:spacing w:val="1"/>
        </w:rPr>
        <w:t xml:space="preserve"> </w:t>
      </w:r>
      <w:r w:rsidR="00E06665">
        <w:t>nonresponse adjustments) separately for the NAP list sample and the area</w:t>
      </w:r>
      <w:r w:rsidR="006E04B2">
        <w:t xml:space="preserve"> </w:t>
      </w:r>
      <w:r w:rsidR="00E06665">
        <w:t>probability sample because</w:t>
      </w:r>
      <w:r w:rsidR="00E06665">
        <w:rPr>
          <w:spacing w:val="1"/>
        </w:rPr>
        <w:t xml:space="preserve"> </w:t>
      </w:r>
      <w:r w:rsidR="00E06665">
        <w:t>the samples will be selected from separate frames with differential sampling rates</w:t>
      </w:r>
      <w:r>
        <w:t>,</w:t>
      </w:r>
      <w:r w:rsidR="00E06665">
        <w:t xml:space="preserve"> and differences in</w:t>
      </w:r>
      <w:r w:rsidR="00E06665">
        <w:rPr>
          <w:spacing w:val="1"/>
        </w:rPr>
        <w:t xml:space="preserve"> </w:t>
      </w:r>
      <w:r w:rsidR="00E06665">
        <w:t>data collection procedures are expected to result in different response propensities among the two</w:t>
      </w:r>
      <w:r w:rsidR="00E06665">
        <w:rPr>
          <w:spacing w:val="1"/>
        </w:rPr>
        <w:t xml:space="preserve"> </w:t>
      </w:r>
      <w:r w:rsidR="00E06665">
        <w:lastRenderedPageBreak/>
        <w:t>samples.</w:t>
      </w:r>
      <w:r w:rsidR="00E06665">
        <w:rPr>
          <w:spacing w:val="-5"/>
        </w:rPr>
        <w:t xml:space="preserve"> </w:t>
      </w:r>
      <w:r w:rsidR="00E06665">
        <w:t>The</w:t>
      </w:r>
      <w:r w:rsidR="00E06665">
        <w:rPr>
          <w:spacing w:val="-4"/>
        </w:rPr>
        <w:t xml:space="preserve"> </w:t>
      </w:r>
      <w:r w:rsidR="00E06665">
        <w:t>weighting</w:t>
      </w:r>
      <w:r w:rsidR="00E06665">
        <w:rPr>
          <w:spacing w:val="-4"/>
        </w:rPr>
        <w:t xml:space="preserve"> </w:t>
      </w:r>
      <w:r w:rsidR="00E06665">
        <w:t>steps</w:t>
      </w:r>
      <w:r w:rsidR="00E06665">
        <w:rPr>
          <w:spacing w:val="-4"/>
        </w:rPr>
        <w:t xml:space="preserve"> </w:t>
      </w:r>
      <w:r w:rsidR="00E06665">
        <w:t>are</w:t>
      </w:r>
      <w:r w:rsidR="00E06665">
        <w:rPr>
          <w:spacing w:val="-4"/>
        </w:rPr>
        <w:t xml:space="preserve"> </w:t>
      </w:r>
      <w:r w:rsidR="00E06665">
        <w:t>discussed</w:t>
      </w:r>
      <w:r w:rsidR="00E06665">
        <w:rPr>
          <w:spacing w:val="-4"/>
        </w:rPr>
        <w:t xml:space="preserve"> </w:t>
      </w:r>
      <w:r w:rsidR="00E06665">
        <w:t>below,</w:t>
      </w:r>
      <w:r w:rsidR="00E06665">
        <w:rPr>
          <w:spacing w:val="-4"/>
        </w:rPr>
        <w:t xml:space="preserve"> </w:t>
      </w:r>
      <w:r w:rsidR="00E06665">
        <w:t>followed</w:t>
      </w:r>
      <w:r w:rsidR="00E06665">
        <w:rPr>
          <w:spacing w:val="-4"/>
        </w:rPr>
        <w:t xml:space="preserve"> </w:t>
      </w:r>
      <w:r w:rsidR="00E06665">
        <w:t>by</w:t>
      </w:r>
      <w:r w:rsidR="00E06665">
        <w:rPr>
          <w:spacing w:val="-5"/>
        </w:rPr>
        <w:t xml:space="preserve"> </w:t>
      </w:r>
      <w:r w:rsidR="00E06665">
        <w:t>a</w:t>
      </w:r>
      <w:r w:rsidR="00E06665">
        <w:rPr>
          <w:spacing w:val="3"/>
        </w:rPr>
        <w:t xml:space="preserve"> </w:t>
      </w:r>
      <w:r w:rsidR="00E06665">
        <w:t>review</w:t>
      </w:r>
      <w:r w:rsidR="00E06665">
        <w:rPr>
          <w:spacing w:val="-4"/>
        </w:rPr>
        <w:t xml:space="preserve"> </w:t>
      </w:r>
      <w:r w:rsidR="00E06665">
        <w:t>of</w:t>
      </w:r>
      <w:r w:rsidR="00E06665">
        <w:rPr>
          <w:spacing w:val="-4"/>
        </w:rPr>
        <w:t xml:space="preserve"> </w:t>
      </w:r>
      <w:r w:rsidR="00E06665">
        <w:t>the</w:t>
      </w:r>
      <w:r w:rsidR="00E06665">
        <w:rPr>
          <w:spacing w:val="-5"/>
        </w:rPr>
        <w:t xml:space="preserve"> </w:t>
      </w:r>
      <w:r w:rsidR="00E06665">
        <w:t>specifics</w:t>
      </w:r>
      <w:r w:rsidR="00E06665">
        <w:rPr>
          <w:spacing w:val="-4"/>
        </w:rPr>
        <w:t xml:space="preserve"> </w:t>
      </w:r>
      <w:r w:rsidR="00E06665">
        <w:t>of</w:t>
      </w:r>
      <w:r w:rsidR="00E06665">
        <w:rPr>
          <w:spacing w:val="-4"/>
        </w:rPr>
        <w:t xml:space="preserve"> </w:t>
      </w:r>
      <w:r w:rsidR="00E06665">
        <w:t>the</w:t>
      </w:r>
      <w:r w:rsidR="00E06665">
        <w:rPr>
          <w:spacing w:val="-4"/>
        </w:rPr>
        <w:t xml:space="preserve"> </w:t>
      </w:r>
      <w:r w:rsidR="00E06665">
        <w:t>weighting</w:t>
      </w:r>
      <w:r w:rsidR="00E06665">
        <w:rPr>
          <w:spacing w:val="1"/>
        </w:rPr>
        <w:t xml:space="preserve"> </w:t>
      </w:r>
      <w:r w:rsidR="00E06665">
        <w:t>steps</w:t>
      </w:r>
      <w:r w:rsidR="00E06665">
        <w:rPr>
          <w:spacing w:val="-2"/>
        </w:rPr>
        <w:t xml:space="preserve"> </w:t>
      </w:r>
      <w:r w:rsidR="00E06665">
        <w:t>as</w:t>
      </w:r>
      <w:r w:rsidR="00E06665">
        <w:rPr>
          <w:spacing w:val="-1"/>
        </w:rPr>
        <w:t xml:space="preserve"> </w:t>
      </w:r>
      <w:r w:rsidR="00E06665">
        <w:t>they relate to</w:t>
      </w:r>
      <w:r w:rsidR="00E06665">
        <w:rPr>
          <w:spacing w:val="1"/>
        </w:rPr>
        <w:t xml:space="preserve"> </w:t>
      </w:r>
      <w:r w:rsidR="00E06665">
        <w:t>each</w:t>
      </w:r>
      <w:r w:rsidR="00E06665">
        <w:rPr>
          <w:spacing w:val="-1"/>
        </w:rPr>
        <w:t xml:space="preserve"> </w:t>
      </w:r>
      <w:r w:rsidR="00E06665">
        <w:t>sampling</w:t>
      </w:r>
      <w:r w:rsidR="00E06665">
        <w:rPr>
          <w:spacing w:val="-1"/>
        </w:rPr>
        <w:t xml:space="preserve"> </w:t>
      </w:r>
      <w:r w:rsidR="00E06665">
        <w:t>frame.</w:t>
      </w:r>
    </w:p>
    <w:p w:rsidR="00013514" w:rsidP="00013514" w:rsidRDefault="00FB3E1E" w14:paraId="5268C3A7" w14:textId="77777777">
      <w:pPr>
        <w:pStyle w:val="Body11ptCalibri-IPR"/>
        <w:spacing w:after="240"/>
      </w:pPr>
      <w:r>
        <w:t>T</w:t>
      </w:r>
      <w:r w:rsidR="00E06665">
        <w:t xml:space="preserve">he base weight </w:t>
      </w:r>
      <w:r>
        <w:t xml:space="preserve">will be adjusted </w:t>
      </w:r>
      <w:r w:rsidR="00E06665">
        <w:t>for unknown eligibility status</w:t>
      </w:r>
      <w:r w:rsidR="006E04B2">
        <w:t xml:space="preserve"> </w:t>
      </w:r>
      <w:r w:rsidR="00E06665">
        <w:t>and</w:t>
      </w:r>
      <w:r w:rsidR="00E06665">
        <w:rPr>
          <w:spacing w:val="-4"/>
        </w:rPr>
        <w:t xml:space="preserve"> </w:t>
      </w:r>
      <w:r w:rsidR="00E06665">
        <w:t>nonresponse.</w:t>
      </w:r>
      <w:r w:rsidR="00E06665">
        <w:rPr>
          <w:spacing w:val="-4"/>
        </w:rPr>
        <w:t xml:space="preserve"> </w:t>
      </w:r>
      <w:r>
        <w:t>The study team</w:t>
      </w:r>
      <w:r w:rsidR="00E06665">
        <w:rPr>
          <w:spacing w:val="-4"/>
        </w:rPr>
        <w:t xml:space="preserve"> </w:t>
      </w:r>
      <w:r w:rsidR="00E06665">
        <w:t>will</w:t>
      </w:r>
      <w:r w:rsidR="00E06665">
        <w:rPr>
          <w:spacing w:val="-1"/>
        </w:rPr>
        <w:t xml:space="preserve"> </w:t>
      </w:r>
      <w:r w:rsidR="00E06665">
        <w:t>use</w:t>
      </w:r>
      <w:r w:rsidR="00E06665">
        <w:rPr>
          <w:spacing w:val="-4"/>
        </w:rPr>
        <w:t xml:space="preserve"> </w:t>
      </w:r>
      <w:r w:rsidR="00E06665">
        <w:t>the</w:t>
      </w:r>
      <w:r w:rsidR="00E06665">
        <w:rPr>
          <w:spacing w:val="-4"/>
        </w:rPr>
        <w:t xml:space="preserve"> </w:t>
      </w:r>
      <w:r w:rsidR="00E06665">
        <w:t>weighting‐class</w:t>
      </w:r>
      <w:r w:rsidR="00E06665">
        <w:rPr>
          <w:spacing w:val="-3"/>
        </w:rPr>
        <w:t xml:space="preserve"> </w:t>
      </w:r>
      <w:r w:rsidR="00E06665">
        <w:t>method</w:t>
      </w:r>
      <w:r>
        <w:rPr>
          <w:rStyle w:val="FootnoteReference"/>
        </w:rPr>
        <w:footnoteReference w:id="6"/>
      </w:r>
      <w:r w:rsidR="005A241B">
        <w:t xml:space="preserve"> for</w:t>
      </w:r>
      <w:r w:rsidR="00E06665">
        <w:t xml:space="preserve"> the unknown</w:t>
      </w:r>
      <w:r w:rsidR="006E04B2">
        <w:t xml:space="preserve"> </w:t>
      </w:r>
      <w:r w:rsidR="00E06665">
        <w:t>eligibility and nonresponse a</w:t>
      </w:r>
      <w:r w:rsidR="006E04B2">
        <w:t xml:space="preserve">djustments. </w:t>
      </w:r>
      <w:r>
        <w:t xml:space="preserve">The team </w:t>
      </w:r>
      <w:r w:rsidR="005A241B">
        <w:t>will form w</w:t>
      </w:r>
      <w:r w:rsidR="00E06665">
        <w:t>eighting classes by</w:t>
      </w:r>
      <w:r w:rsidR="00E06665">
        <w:rPr>
          <w:spacing w:val="1"/>
        </w:rPr>
        <w:t xml:space="preserve"> </w:t>
      </w:r>
      <w:r w:rsidR="00E06665">
        <w:t>identifying variables correlated with the propensity to respond as determined via a classification</w:t>
      </w:r>
      <w:r w:rsidR="006E04B2">
        <w:t xml:space="preserve"> tree</w:t>
      </w:r>
      <w:r w:rsidR="00E06665">
        <w:t xml:space="preserve"> algorithm. Variables used for creating weighting‐class cells must be available for all</w:t>
      </w:r>
      <w:r w:rsidR="00E06665">
        <w:rPr>
          <w:spacing w:val="1"/>
        </w:rPr>
        <w:t xml:space="preserve"> </w:t>
      </w:r>
      <w:r w:rsidR="00E06665">
        <w:t>sampled cases regardless of their response status. Therefore, variables available on the sampling frame</w:t>
      </w:r>
      <w:r w:rsidR="00E06665">
        <w:rPr>
          <w:spacing w:val="1"/>
        </w:rPr>
        <w:t xml:space="preserve"> </w:t>
      </w:r>
      <w:r w:rsidR="00E06665">
        <w:t>are candidates for forming weighting‐class cells.</w:t>
      </w:r>
    </w:p>
    <w:p w:rsidR="00013514" w:rsidP="00013514" w:rsidRDefault="00BB4565" w14:paraId="06B53ED4" w14:textId="77777777">
      <w:pPr>
        <w:pStyle w:val="Body11ptCalibri-IPR"/>
        <w:spacing w:after="240"/>
      </w:pPr>
      <w:r w:rsidRPr="00013514">
        <w:rPr>
          <w:b/>
          <w:bCs/>
          <w:i/>
        </w:rPr>
        <w:t xml:space="preserve">Base weights. </w:t>
      </w:r>
      <w:r>
        <w:t>The</w:t>
      </w:r>
      <w:r>
        <w:rPr>
          <w:spacing w:val="-3"/>
        </w:rPr>
        <w:t xml:space="preserve"> </w:t>
      </w:r>
      <w:r>
        <w:t>base</w:t>
      </w:r>
      <w:r>
        <w:rPr>
          <w:spacing w:val="-3"/>
        </w:rPr>
        <w:t xml:space="preserve"> </w:t>
      </w:r>
      <w:r>
        <w:t>weight</w:t>
      </w:r>
      <w:r>
        <w:rPr>
          <w:spacing w:val="-2"/>
        </w:rPr>
        <w:t xml:space="preserve"> </w:t>
      </w:r>
      <w:r>
        <w:t>is</w:t>
      </w:r>
      <w:r>
        <w:rPr>
          <w:spacing w:val="-3"/>
        </w:rPr>
        <w:t xml:space="preserve"> </w:t>
      </w:r>
      <w:r>
        <w:t>the</w:t>
      </w:r>
      <w:r>
        <w:rPr>
          <w:spacing w:val="-3"/>
        </w:rPr>
        <w:t xml:space="preserve"> </w:t>
      </w:r>
      <w:r>
        <w:t>inverse</w:t>
      </w:r>
      <w:r>
        <w:rPr>
          <w:spacing w:val="-2"/>
        </w:rPr>
        <w:t xml:space="preserve"> </w:t>
      </w:r>
      <w:r>
        <w:t>of</w:t>
      </w:r>
      <w:r>
        <w:rPr>
          <w:spacing w:val="-3"/>
        </w:rPr>
        <w:t xml:space="preserve"> </w:t>
      </w:r>
      <w:r>
        <w:t>the</w:t>
      </w:r>
      <w:r>
        <w:rPr>
          <w:spacing w:val="-2"/>
        </w:rPr>
        <w:t xml:space="preserve"> </w:t>
      </w:r>
      <w:r>
        <w:t>probability</w:t>
      </w:r>
      <w:r>
        <w:rPr>
          <w:spacing w:val="-3"/>
        </w:rPr>
        <w:t xml:space="preserve"> </w:t>
      </w:r>
      <w:r>
        <w:t>of</w:t>
      </w:r>
      <w:r>
        <w:rPr>
          <w:spacing w:val="-2"/>
        </w:rPr>
        <w:t xml:space="preserve"> </w:t>
      </w:r>
      <w:r>
        <w:t>selection. For</w:t>
      </w:r>
      <w:r>
        <w:rPr>
          <w:spacing w:val="-4"/>
        </w:rPr>
        <w:t xml:space="preserve"> </w:t>
      </w:r>
      <w:r w:rsidRPr="00BA0DAC">
        <w:t>households</w:t>
      </w:r>
      <w:r w:rsidRPr="00BA0DAC">
        <w:rPr>
          <w:spacing w:val="-4"/>
        </w:rPr>
        <w:t xml:space="preserve"> </w:t>
      </w:r>
      <w:r w:rsidRPr="00BA0DAC">
        <w:t>sampled</w:t>
      </w:r>
      <w:r w:rsidRPr="00BA0DAC">
        <w:rPr>
          <w:spacing w:val="-4"/>
        </w:rPr>
        <w:t xml:space="preserve"> </w:t>
      </w:r>
      <w:r w:rsidRPr="00BA0DAC">
        <w:t>in</w:t>
      </w:r>
      <w:r w:rsidRPr="00BA0DAC">
        <w:rPr>
          <w:spacing w:val="-4"/>
        </w:rPr>
        <w:t xml:space="preserve"> </w:t>
      </w:r>
      <w:r w:rsidRPr="00BA0DAC">
        <w:t>the</w:t>
      </w:r>
      <w:r w:rsidRPr="00BA0DAC">
        <w:rPr>
          <w:spacing w:val="-3"/>
        </w:rPr>
        <w:t xml:space="preserve"> </w:t>
      </w:r>
      <w:r w:rsidRPr="00BA0DAC">
        <w:t>area</w:t>
      </w:r>
      <w:r w:rsidR="00FB3E1E">
        <w:t xml:space="preserve"> </w:t>
      </w:r>
      <w:r w:rsidRPr="00BA0DAC">
        <w:t>probability</w:t>
      </w:r>
      <w:r w:rsidRPr="00BA0DAC">
        <w:rPr>
          <w:spacing w:val="-4"/>
        </w:rPr>
        <w:t xml:space="preserve"> </w:t>
      </w:r>
      <w:r w:rsidRPr="00BA0DAC">
        <w:t>frame,</w:t>
      </w:r>
      <w:r w:rsidRPr="00BA0DAC">
        <w:rPr>
          <w:spacing w:val="-3"/>
        </w:rPr>
        <w:t xml:space="preserve"> </w:t>
      </w:r>
      <w:r w:rsidRPr="00BA0DAC">
        <w:t>the</w:t>
      </w:r>
      <w:r w:rsidRPr="00BA0DAC">
        <w:rPr>
          <w:spacing w:val="-4"/>
        </w:rPr>
        <w:t xml:space="preserve"> </w:t>
      </w:r>
      <w:r w:rsidRPr="00BA0DAC">
        <w:t>base</w:t>
      </w:r>
      <w:r w:rsidRPr="00BA0DAC">
        <w:rPr>
          <w:spacing w:val="-3"/>
        </w:rPr>
        <w:t xml:space="preserve"> </w:t>
      </w:r>
      <w:r w:rsidRPr="00BA0DAC">
        <w:t>weight</w:t>
      </w:r>
      <w:r w:rsidRPr="00BA0DAC">
        <w:rPr>
          <w:spacing w:val="-3"/>
        </w:rPr>
        <w:t xml:space="preserve"> </w:t>
      </w:r>
      <w:r w:rsidRPr="00BA0DAC">
        <w:t>must</w:t>
      </w:r>
      <w:r w:rsidRPr="00BA0DAC">
        <w:rPr>
          <w:spacing w:val="-4"/>
        </w:rPr>
        <w:t xml:space="preserve"> </w:t>
      </w:r>
      <w:r w:rsidRPr="00BA0DAC">
        <w:t>account</w:t>
      </w:r>
      <w:r w:rsidRPr="00BA0DAC">
        <w:rPr>
          <w:spacing w:val="-3"/>
        </w:rPr>
        <w:t xml:space="preserve"> </w:t>
      </w:r>
      <w:r w:rsidRPr="00BA0DAC">
        <w:t>for the two stages</w:t>
      </w:r>
      <w:r>
        <w:t xml:space="preserve"> of sampling, so the base weight is the reciprocal of the product of the probability of selection of the segment and</w:t>
      </w:r>
      <w:r>
        <w:rPr>
          <w:spacing w:val="1"/>
        </w:rPr>
        <w:t xml:space="preserve"> </w:t>
      </w:r>
      <w:r>
        <w:t xml:space="preserve">the within‐segment sampling fraction. For households on the NAP list, </w:t>
      </w:r>
      <w:r w:rsidR="00FB3E1E">
        <w:t>the study team</w:t>
      </w:r>
      <w:r>
        <w:t xml:space="preserve"> will adjust the base weight to take into account the subsampling of nonrespondents with available phone numbers for nonresponse follow-up by phone.</w:t>
      </w:r>
    </w:p>
    <w:p w:rsidRPr="00013514" w:rsidR="00BB4565" w:rsidP="00013514" w:rsidRDefault="00BB4565" w14:paraId="42C23966" w14:textId="21B3B862">
      <w:pPr>
        <w:pStyle w:val="Body11ptCalibri-IPR"/>
        <w:spacing w:after="240"/>
      </w:pPr>
      <w:r w:rsidRPr="00013514">
        <w:rPr>
          <w:b/>
          <w:bCs/>
          <w:i/>
        </w:rPr>
        <w:t>Adjustments for unknown eligibility and nonresponse.</w:t>
      </w:r>
      <w:r>
        <w:rPr>
          <w:i/>
        </w:rPr>
        <w:t xml:space="preserve"> </w:t>
      </w:r>
      <w:r>
        <w:t xml:space="preserve">Next, </w:t>
      </w:r>
      <w:r w:rsidR="00FB3E1E">
        <w:t>the team</w:t>
      </w:r>
      <w:r>
        <w:t xml:space="preserve"> will adjust the weights for unknown eligibility and nonresponse as follows:</w:t>
      </w:r>
      <w:r>
        <w:rPr>
          <w:i/>
        </w:rPr>
        <w:t xml:space="preserve"> </w:t>
      </w:r>
    </w:p>
    <w:p w:rsidR="00BB4565" w:rsidP="00BB4565" w:rsidRDefault="00BB4565" w14:paraId="3020E096" w14:textId="046D7F00">
      <w:pPr>
        <w:pStyle w:val="BulletsRed-IPR"/>
      </w:pPr>
      <w:r>
        <w:rPr>
          <w:b/>
        </w:rPr>
        <w:t xml:space="preserve">Unknown eligibility. </w:t>
      </w:r>
      <w:r w:rsidR="00FB3E1E">
        <w:t>E</w:t>
      </w:r>
      <w:r>
        <w:t xml:space="preserve">ach sampled household </w:t>
      </w:r>
      <w:r w:rsidR="00FB3E1E">
        <w:t xml:space="preserve">will be classified </w:t>
      </w:r>
      <w:r>
        <w:t>into four response categories: respondent, eligible nonrespondent, ineligible, and unknown eligibility (cases for which eligibility cannot be</w:t>
      </w:r>
      <w:r>
        <w:rPr>
          <w:spacing w:val="1"/>
        </w:rPr>
        <w:t xml:space="preserve"> </w:t>
      </w:r>
      <w:r>
        <w:t>determined). To be considered eligible for this study, a household must reside in Puerto Rico.</w:t>
      </w:r>
      <w:r>
        <w:rPr>
          <w:spacing w:val="1"/>
        </w:rPr>
        <w:t xml:space="preserve"> </w:t>
      </w:r>
      <w:r>
        <w:t>The determination of eligibility differs among sampling frames. For the unknown eligibility</w:t>
      </w:r>
      <w:r>
        <w:rPr>
          <w:spacing w:val="1"/>
        </w:rPr>
        <w:t xml:space="preserve"> </w:t>
      </w:r>
      <w:r>
        <w:t xml:space="preserve">adjustment, </w:t>
      </w:r>
      <w:r w:rsidR="00FB3E1E">
        <w:t>the study team</w:t>
      </w:r>
      <w:r>
        <w:t xml:space="preserve"> will adjust the weights for sampled households in which eligibility can be</w:t>
      </w:r>
      <w:r>
        <w:rPr>
          <w:spacing w:val="1"/>
        </w:rPr>
        <w:t xml:space="preserve"> </w:t>
      </w:r>
      <w:r>
        <w:t>determined</w:t>
      </w:r>
      <w:r>
        <w:rPr>
          <w:spacing w:val="-5"/>
        </w:rPr>
        <w:t xml:space="preserve"> </w:t>
      </w:r>
      <w:r>
        <w:t>to</w:t>
      </w:r>
      <w:r>
        <w:rPr>
          <w:spacing w:val="-4"/>
        </w:rPr>
        <w:t xml:space="preserve"> </w:t>
      </w:r>
      <w:r>
        <w:t>account</w:t>
      </w:r>
      <w:r>
        <w:rPr>
          <w:spacing w:val="-3"/>
        </w:rPr>
        <w:t xml:space="preserve"> </w:t>
      </w:r>
      <w:r>
        <w:t>for</w:t>
      </w:r>
      <w:r>
        <w:rPr>
          <w:spacing w:val="-4"/>
        </w:rPr>
        <w:t xml:space="preserve"> </w:t>
      </w:r>
      <w:r>
        <w:t>households</w:t>
      </w:r>
      <w:r>
        <w:rPr>
          <w:spacing w:val="-4"/>
        </w:rPr>
        <w:t xml:space="preserve"> </w:t>
      </w:r>
      <w:r>
        <w:t>with</w:t>
      </w:r>
      <w:r>
        <w:rPr>
          <w:spacing w:val="-3"/>
        </w:rPr>
        <w:t xml:space="preserve"> </w:t>
      </w:r>
      <w:r>
        <w:t>unknown</w:t>
      </w:r>
      <w:r>
        <w:rPr>
          <w:spacing w:val="-4"/>
        </w:rPr>
        <w:t xml:space="preserve"> </w:t>
      </w:r>
      <w:r>
        <w:t>eligibility</w:t>
      </w:r>
      <w:r>
        <w:rPr>
          <w:spacing w:val="-4"/>
        </w:rPr>
        <w:t xml:space="preserve"> </w:t>
      </w:r>
      <w:r>
        <w:t>within</w:t>
      </w:r>
      <w:r>
        <w:rPr>
          <w:spacing w:val="-4"/>
        </w:rPr>
        <w:t xml:space="preserve"> </w:t>
      </w:r>
      <w:r>
        <w:t>the</w:t>
      </w:r>
      <w:r>
        <w:rPr>
          <w:spacing w:val="-3"/>
        </w:rPr>
        <w:t xml:space="preserve"> </w:t>
      </w:r>
      <w:r>
        <w:t>same</w:t>
      </w:r>
      <w:r>
        <w:rPr>
          <w:spacing w:val="-3"/>
        </w:rPr>
        <w:t xml:space="preserve"> </w:t>
      </w:r>
      <w:r>
        <w:t>weighting</w:t>
      </w:r>
      <w:r>
        <w:rPr>
          <w:spacing w:val="-4"/>
        </w:rPr>
        <w:t xml:space="preserve"> </w:t>
      </w:r>
      <w:r>
        <w:t>class.</w:t>
      </w:r>
    </w:p>
    <w:p w:rsidR="00BB4565" w:rsidP="00013514" w:rsidRDefault="00BB4565" w14:paraId="269CA24A" w14:textId="3263FC3C">
      <w:pPr>
        <w:pStyle w:val="BulletsRed-IPR"/>
        <w:spacing w:after="240"/>
      </w:pPr>
      <w:r>
        <w:rPr>
          <w:b/>
        </w:rPr>
        <w:lastRenderedPageBreak/>
        <w:t xml:space="preserve">Nonresponse. </w:t>
      </w:r>
      <w:r>
        <w:t xml:space="preserve">For the nonresponse adjustment, </w:t>
      </w:r>
      <w:r w:rsidR="00FB3E1E">
        <w:t xml:space="preserve">the study team </w:t>
      </w:r>
      <w:r>
        <w:t>will adjust weights for respondents to</w:t>
      </w:r>
      <w:r>
        <w:rPr>
          <w:spacing w:val="1"/>
        </w:rPr>
        <w:t xml:space="preserve"> </w:t>
      </w:r>
      <w:r>
        <w:t xml:space="preserve">account for nonrespondents within the same weighting class. Within each weighting class, </w:t>
      </w:r>
      <w:r w:rsidR="00FB3E1E">
        <w:t>the team</w:t>
      </w:r>
      <w:r>
        <w:t xml:space="preserve"> will calculate the</w:t>
      </w:r>
      <w:r>
        <w:rPr>
          <w:spacing w:val="1"/>
        </w:rPr>
        <w:t xml:space="preserve"> </w:t>
      </w:r>
      <w:r>
        <w:t>weighting</w:t>
      </w:r>
      <w:r>
        <w:rPr>
          <w:spacing w:val="-4"/>
        </w:rPr>
        <w:t xml:space="preserve"> </w:t>
      </w:r>
      <w:r>
        <w:t>adjustment</w:t>
      </w:r>
      <w:r>
        <w:rPr>
          <w:spacing w:val="-4"/>
        </w:rPr>
        <w:t xml:space="preserve"> </w:t>
      </w:r>
      <w:r>
        <w:t>factor</w:t>
      </w:r>
      <w:r>
        <w:rPr>
          <w:spacing w:val="-3"/>
        </w:rPr>
        <w:t xml:space="preserve"> </w:t>
      </w:r>
      <w:r>
        <w:t>by</w:t>
      </w:r>
      <w:r>
        <w:rPr>
          <w:spacing w:val="-2"/>
        </w:rPr>
        <w:t xml:space="preserve"> </w:t>
      </w:r>
      <w:r>
        <w:t>the</w:t>
      </w:r>
      <w:r>
        <w:rPr>
          <w:spacing w:val="-2"/>
        </w:rPr>
        <w:t xml:space="preserve"> </w:t>
      </w:r>
      <w:r>
        <w:t>ratio</w:t>
      </w:r>
      <w:r>
        <w:rPr>
          <w:spacing w:val="-2"/>
        </w:rPr>
        <w:t xml:space="preserve"> </w:t>
      </w:r>
      <w:r>
        <w:t>of</w:t>
      </w:r>
      <w:r>
        <w:rPr>
          <w:spacing w:val="-3"/>
        </w:rPr>
        <w:t xml:space="preserve"> </w:t>
      </w:r>
      <w:r>
        <w:t>the</w:t>
      </w:r>
      <w:r>
        <w:rPr>
          <w:spacing w:val="-3"/>
        </w:rPr>
        <w:t xml:space="preserve"> </w:t>
      </w:r>
      <w:r>
        <w:t>sum</w:t>
      </w:r>
      <w:r>
        <w:rPr>
          <w:spacing w:val="-2"/>
        </w:rPr>
        <w:t xml:space="preserve"> </w:t>
      </w:r>
      <w:r>
        <w:t>of</w:t>
      </w:r>
      <w:r>
        <w:rPr>
          <w:spacing w:val="-4"/>
        </w:rPr>
        <w:t xml:space="preserve"> </w:t>
      </w:r>
      <w:r>
        <w:t>base</w:t>
      </w:r>
      <w:r>
        <w:rPr>
          <w:spacing w:val="-3"/>
        </w:rPr>
        <w:t xml:space="preserve"> </w:t>
      </w:r>
      <w:r>
        <w:t>weights</w:t>
      </w:r>
      <w:r>
        <w:rPr>
          <w:spacing w:val="-3"/>
        </w:rPr>
        <w:t xml:space="preserve"> </w:t>
      </w:r>
      <w:r>
        <w:t>of</w:t>
      </w:r>
      <w:r>
        <w:rPr>
          <w:spacing w:val="-3"/>
        </w:rPr>
        <w:t xml:space="preserve"> </w:t>
      </w:r>
      <w:r>
        <w:t>all</w:t>
      </w:r>
      <w:r>
        <w:rPr>
          <w:spacing w:val="-4"/>
        </w:rPr>
        <w:t xml:space="preserve"> </w:t>
      </w:r>
      <w:r>
        <w:t>sampled households (including respondents and nonrespondents but excluding ineligibles) in that</w:t>
      </w:r>
      <w:r>
        <w:rPr>
          <w:spacing w:val="1"/>
        </w:rPr>
        <w:t xml:space="preserve"> </w:t>
      </w:r>
      <w:r>
        <w:t>weighting class to the sum of the household base weights of respondents in that weighting</w:t>
      </w:r>
      <w:r>
        <w:rPr>
          <w:spacing w:val="1"/>
        </w:rPr>
        <w:t xml:space="preserve"> </w:t>
      </w:r>
      <w:r>
        <w:t xml:space="preserve">class. </w:t>
      </w:r>
      <w:r w:rsidR="00FB3E1E">
        <w:t>The study team</w:t>
      </w:r>
      <w:r>
        <w:t xml:space="preserve"> will create weighting class cells with a minimum of 30 respondents in each cell.</w:t>
      </w:r>
      <w:r>
        <w:rPr>
          <w:spacing w:val="1"/>
        </w:rPr>
        <w:t xml:space="preserve"> </w:t>
      </w:r>
      <w:r w:rsidR="00FB3E1E">
        <w:rPr>
          <w:spacing w:val="1"/>
        </w:rPr>
        <w:t xml:space="preserve">The team </w:t>
      </w:r>
      <w:r>
        <w:rPr>
          <w:spacing w:val="1"/>
        </w:rPr>
        <w:t xml:space="preserve">will collapse </w:t>
      </w:r>
      <w:r>
        <w:t>weighting class cells with larger adjustment factors, as determined by reviewing the data, with similar cells to reduce variations in weights. Extreme weights may be</w:t>
      </w:r>
      <w:r>
        <w:rPr>
          <w:spacing w:val="1"/>
        </w:rPr>
        <w:t xml:space="preserve"> </w:t>
      </w:r>
      <w:r>
        <w:t>influential, and large weight variation will decrease the precision of the estimates.</w:t>
      </w:r>
      <w:r w:rsidR="00FB3E1E">
        <w:rPr>
          <w:rStyle w:val="FootnoteReference"/>
        </w:rPr>
        <w:footnoteReference w:id="7"/>
      </w:r>
      <w:r>
        <w:t xml:space="preserve"> Collapsing weighting class cells with large adjustment factors will pool</w:t>
      </w:r>
      <w:r>
        <w:rPr>
          <w:spacing w:val="1"/>
        </w:rPr>
        <w:t xml:space="preserve"> </w:t>
      </w:r>
      <w:r>
        <w:t>the</w:t>
      </w:r>
      <w:r>
        <w:rPr>
          <w:spacing w:val="-1"/>
        </w:rPr>
        <w:t xml:space="preserve"> </w:t>
      </w:r>
      <w:r>
        <w:t>sampled cases, smoothing the</w:t>
      </w:r>
      <w:r>
        <w:rPr>
          <w:spacing w:val="-2"/>
        </w:rPr>
        <w:t xml:space="preserve"> </w:t>
      </w:r>
      <w:r>
        <w:t>size</w:t>
      </w:r>
      <w:r>
        <w:rPr>
          <w:spacing w:val="1"/>
        </w:rPr>
        <w:t xml:space="preserve"> </w:t>
      </w:r>
      <w:r>
        <w:t>of</w:t>
      </w:r>
      <w:r>
        <w:rPr>
          <w:spacing w:val="-2"/>
        </w:rPr>
        <w:t xml:space="preserve"> </w:t>
      </w:r>
      <w:r>
        <w:t>the adjustment factor, thereby limiting variation in the weights and the potential for very influential observations.</w:t>
      </w:r>
    </w:p>
    <w:p w:rsidR="00013514" w:rsidP="00013514" w:rsidRDefault="00F67443" w14:paraId="16AA0086" w14:textId="77777777">
      <w:pPr>
        <w:pStyle w:val="Body11ptCalibri-IPR"/>
        <w:spacing w:after="240"/>
      </w:pPr>
      <w:r>
        <w:t>For</w:t>
      </w:r>
      <w:r>
        <w:rPr>
          <w:spacing w:val="2"/>
        </w:rPr>
        <w:t xml:space="preserve"> </w:t>
      </w:r>
      <w:r>
        <w:t>the</w:t>
      </w:r>
      <w:r>
        <w:rPr>
          <w:spacing w:val="2"/>
        </w:rPr>
        <w:t xml:space="preserve"> </w:t>
      </w:r>
      <w:r>
        <w:t>area</w:t>
      </w:r>
      <w:r w:rsidR="00A30B37">
        <w:t xml:space="preserve"> </w:t>
      </w:r>
      <w:r>
        <w:t>probability</w:t>
      </w:r>
      <w:r>
        <w:rPr>
          <w:spacing w:val="3"/>
        </w:rPr>
        <w:t xml:space="preserve"> </w:t>
      </w:r>
      <w:r>
        <w:t>sample,</w:t>
      </w:r>
      <w:r>
        <w:rPr>
          <w:spacing w:val="3"/>
        </w:rPr>
        <w:t xml:space="preserve"> </w:t>
      </w:r>
      <w:r>
        <w:t>geographic</w:t>
      </w:r>
      <w:r>
        <w:rPr>
          <w:spacing w:val="3"/>
        </w:rPr>
        <w:t xml:space="preserve"> </w:t>
      </w:r>
      <w:r>
        <w:t>variables,</w:t>
      </w:r>
      <w:r>
        <w:rPr>
          <w:spacing w:val="3"/>
        </w:rPr>
        <w:t xml:space="preserve"> </w:t>
      </w:r>
      <w:r>
        <w:t>such</w:t>
      </w:r>
      <w:r>
        <w:rPr>
          <w:spacing w:val="3"/>
        </w:rPr>
        <w:t xml:space="preserve"> </w:t>
      </w:r>
      <w:r>
        <w:t>as</w:t>
      </w:r>
      <w:r>
        <w:rPr>
          <w:spacing w:val="1"/>
        </w:rPr>
        <w:t xml:space="preserve"> </w:t>
      </w:r>
      <w:r>
        <w:t xml:space="preserve">urban or rural status and aggregate census tract‐level estimates from the most current </w:t>
      </w:r>
      <w:r w:rsidR="00FB3E1E">
        <w:t>American Community Survey (</w:t>
      </w:r>
      <w:r>
        <w:t>ACS</w:t>
      </w:r>
      <w:r w:rsidR="00FB3E1E">
        <w:t>)</w:t>
      </w:r>
      <w:r>
        <w:t>, can be used</w:t>
      </w:r>
      <w:r>
        <w:rPr>
          <w:spacing w:val="1"/>
        </w:rPr>
        <w:t xml:space="preserve"> </w:t>
      </w:r>
      <w:r>
        <w:t>to</w:t>
      </w:r>
      <w:r>
        <w:rPr>
          <w:spacing w:val="1"/>
        </w:rPr>
        <w:t xml:space="preserve"> </w:t>
      </w:r>
      <w:r>
        <w:t>adjust</w:t>
      </w:r>
      <w:r>
        <w:rPr>
          <w:spacing w:val="2"/>
        </w:rPr>
        <w:t xml:space="preserve"> </w:t>
      </w:r>
      <w:r>
        <w:t>for</w:t>
      </w:r>
      <w:r>
        <w:rPr>
          <w:spacing w:val="1"/>
        </w:rPr>
        <w:t xml:space="preserve"> </w:t>
      </w:r>
      <w:r>
        <w:t>unknown</w:t>
      </w:r>
      <w:r w:rsidR="00A30B37">
        <w:t xml:space="preserve"> </w:t>
      </w:r>
      <w:r>
        <w:t>eligibility</w:t>
      </w:r>
      <w:r>
        <w:rPr>
          <w:spacing w:val="4"/>
        </w:rPr>
        <w:t xml:space="preserve"> </w:t>
      </w:r>
      <w:r>
        <w:t>status</w:t>
      </w:r>
      <w:r>
        <w:rPr>
          <w:spacing w:val="2"/>
        </w:rPr>
        <w:t xml:space="preserve"> </w:t>
      </w:r>
      <w:r>
        <w:t>and</w:t>
      </w:r>
      <w:r>
        <w:rPr>
          <w:spacing w:val="1"/>
        </w:rPr>
        <w:t xml:space="preserve"> </w:t>
      </w:r>
      <w:r>
        <w:t>nonresponse.</w:t>
      </w:r>
      <w:r>
        <w:rPr>
          <w:spacing w:val="1"/>
        </w:rPr>
        <w:t xml:space="preserve"> </w:t>
      </w:r>
      <w:r>
        <w:t>An</w:t>
      </w:r>
      <w:r>
        <w:rPr>
          <w:spacing w:val="2"/>
        </w:rPr>
        <w:t xml:space="preserve"> </w:t>
      </w:r>
      <w:r>
        <w:t>example</w:t>
      </w:r>
      <w:r>
        <w:rPr>
          <w:spacing w:val="1"/>
        </w:rPr>
        <w:t xml:space="preserve"> </w:t>
      </w:r>
      <w:r>
        <w:t>of</w:t>
      </w:r>
      <w:r>
        <w:rPr>
          <w:spacing w:val="2"/>
        </w:rPr>
        <w:t xml:space="preserve"> </w:t>
      </w:r>
      <w:r>
        <w:t>a</w:t>
      </w:r>
      <w:r>
        <w:rPr>
          <w:spacing w:val="1"/>
        </w:rPr>
        <w:t xml:space="preserve"> </w:t>
      </w:r>
      <w:r>
        <w:t>census‐tract</w:t>
      </w:r>
      <w:r>
        <w:rPr>
          <w:spacing w:val="2"/>
        </w:rPr>
        <w:t xml:space="preserve"> </w:t>
      </w:r>
      <w:r>
        <w:t>level</w:t>
      </w:r>
      <w:r>
        <w:rPr>
          <w:spacing w:val="1"/>
        </w:rPr>
        <w:t xml:space="preserve"> </w:t>
      </w:r>
      <w:r>
        <w:t>variable</w:t>
      </w:r>
      <w:r>
        <w:rPr>
          <w:spacing w:val="1"/>
        </w:rPr>
        <w:t xml:space="preserve"> </w:t>
      </w:r>
      <w:r>
        <w:t>that might be considered in defining weighting classes is a categorized version of the percentage of</w:t>
      </w:r>
      <w:r>
        <w:rPr>
          <w:spacing w:val="1"/>
        </w:rPr>
        <w:t xml:space="preserve"> </w:t>
      </w:r>
      <w:r>
        <w:t>households</w:t>
      </w:r>
      <w:r>
        <w:rPr>
          <w:spacing w:val="1"/>
        </w:rPr>
        <w:t xml:space="preserve"> </w:t>
      </w:r>
      <w:r>
        <w:t>in</w:t>
      </w:r>
      <w:r>
        <w:rPr>
          <w:spacing w:val="1"/>
        </w:rPr>
        <w:t xml:space="preserve"> </w:t>
      </w:r>
      <w:r>
        <w:t>the</w:t>
      </w:r>
      <w:r>
        <w:rPr>
          <w:spacing w:val="2"/>
        </w:rPr>
        <w:t xml:space="preserve"> </w:t>
      </w:r>
      <w:r>
        <w:t>tract</w:t>
      </w:r>
      <w:r>
        <w:rPr>
          <w:spacing w:val="1"/>
        </w:rPr>
        <w:t xml:space="preserve"> </w:t>
      </w:r>
      <w:r>
        <w:t>with</w:t>
      </w:r>
      <w:r>
        <w:rPr>
          <w:spacing w:val="1"/>
        </w:rPr>
        <w:t xml:space="preserve"> </w:t>
      </w:r>
      <w:r>
        <w:t>incomes</w:t>
      </w:r>
      <w:r>
        <w:rPr>
          <w:spacing w:val="3"/>
        </w:rPr>
        <w:t xml:space="preserve"> </w:t>
      </w:r>
      <w:r>
        <w:t>below</w:t>
      </w:r>
      <w:r>
        <w:rPr>
          <w:spacing w:val="3"/>
        </w:rPr>
        <w:t xml:space="preserve"> </w:t>
      </w:r>
      <w:r>
        <w:t>the</w:t>
      </w:r>
      <w:r>
        <w:rPr>
          <w:spacing w:val="3"/>
        </w:rPr>
        <w:t xml:space="preserve"> </w:t>
      </w:r>
      <w:r>
        <w:t>poverty</w:t>
      </w:r>
      <w:r>
        <w:rPr>
          <w:spacing w:val="2"/>
        </w:rPr>
        <w:t xml:space="preserve"> </w:t>
      </w:r>
      <w:r>
        <w:t>threshold</w:t>
      </w:r>
      <w:r w:rsidR="00A30B37">
        <w:t>.</w:t>
      </w:r>
    </w:p>
    <w:p w:rsidR="00A01FB5" w:rsidP="00013514" w:rsidRDefault="00FB3E1E" w14:paraId="0FF15D9F" w14:textId="6796939E">
      <w:pPr>
        <w:pStyle w:val="Body11ptCalibri-IPR"/>
        <w:spacing w:after="240"/>
      </w:pPr>
      <w:r>
        <w:t xml:space="preserve">The study team </w:t>
      </w:r>
      <w:r w:rsidR="00AE09ED">
        <w:t xml:space="preserve">will </w:t>
      </w:r>
      <w:r w:rsidR="00A01FB5">
        <w:t>include</w:t>
      </w:r>
      <w:r w:rsidR="00AE09ED">
        <w:t xml:space="preserve"> v</w:t>
      </w:r>
      <w:r w:rsidR="00E06665">
        <w:t>ariables</w:t>
      </w:r>
      <w:r w:rsidR="00E06665">
        <w:rPr>
          <w:spacing w:val="1"/>
        </w:rPr>
        <w:t xml:space="preserve"> </w:t>
      </w:r>
      <w:r w:rsidR="00E06665">
        <w:t>available on the NAP participant list</w:t>
      </w:r>
      <w:r w:rsidR="00A30B37">
        <w:t xml:space="preserve">, such as </w:t>
      </w:r>
      <w:r w:rsidR="00E06665">
        <w:t>demographics, the number of people in the household,</w:t>
      </w:r>
      <w:r w:rsidR="00E06665">
        <w:rPr>
          <w:spacing w:val="1"/>
        </w:rPr>
        <w:t xml:space="preserve"> </w:t>
      </w:r>
      <w:r w:rsidR="00E06665">
        <w:t>NAP start date, and inco</w:t>
      </w:r>
      <w:r w:rsidR="00A30B37">
        <w:t xml:space="preserve">me, into the </w:t>
      </w:r>
      <w:r w:rsidR="00E06665">
        <w:t xml:space="preserve">classification </w:t>
      </w:r>
      <w:r w:rsidR="00A30B37">
        <w:t xml:space="preserve">tree </w:t>
      </w:r>
      <w:r w:rsidR="00E06665">
        <w:t>algorithm to form weighting classes</w:t>
      </w:r>
      <w:r w:rsidR="00A30B37">
        <w:t xml:space="preserve"> for </w:t>
      </w:r>
      <w:r w:rsidR="00EE06CB">
        <w:t>nonresponse adjustment.</w:t>
      </w:r>
    </w:p>
    <w:p w:rsidR="005F44AE" w:rsidP="00EE06CB" w:rsidRDefault="006A7398" w14:paraId="31681120" w14:textId="77777777">
      <w:pPr>
        <w:pStyle w:val="Body11ptCalibri-IPR"/>
        <w:rPr>
          <w:i/>
        </w:rPr>
      </w:pPr>
      <w:r w:rsidRPr="00EF57BE">
        <w:rPr>
          <w:b/>
          <w:bCs/>
          <w:i/>
        </w:rPr>
        <w:t>Compositing adjustment</w:t>
      </w:r>
    </w:p>
    <w:p w:rsidR="00013514" w:rsidP="00013514" w:rsidRDefault="00A174C2" w14:paraId="3BC7B0EE" w14:textId="77777777">
      <w:pPr>
        <w:pStyle w:val="Body11ptCalibri-IPR"/>
        <w:spacing w:after="240"/>
      </w:pPr>
      <w:r>
        <w:t xml:space="preserve">The study team </w:t>
      </w:r>
      <w:r w:rsidR="008F69D7">
        <w:t>will composite together t</w:t>
      </w:r>
      <w:r w:rsidR="009360C8">
        <w:t xml:space="preserve">he nonresponse </w:t>
      </w:r>
      <w:r w:rsidR="00E06665">
        <w:t xml:space="preserve">adjusted weights of </w:t>
      </w:r>
      <w:r w:rsidR="006A7398">
        <w:t>households</w:t>
      </w:r>
      <w:r w:rsidR="00E06665">
        <w:t xml:space="preserve"> with completed surveys </w:t>
      </w:r>
      <w:r w:rsidR="006A7398">
        <w:t>to account for</w:t>
      </w:r>
      <w:r w:rsidR="00E06665">
        <w:t xml:space="preserve"> overlap</w:t>
      </w:r>
      <w:r w:rsidR="006A7398">
        <w:t xml:space="preserve"> in the sampling frames</w:t>
      </w:r>
      <w:r w:rsidR="00E06665">
        <w:t xml:space="preserve">. Compositing is a weighting approach </w:t>
      </w:r>
      <w:r w:rsidR="00E06665">
        <w:lastRenderedPageBreak/>
        <w:t>that essentially</w:t>
      </w:r>
      <w:r w:rsidR="009360C8">
        <w:t xml:space="preserve"> </w:t>
      </w:r>
      <w:r w:rsidR="008B5D14">
        <w:t xml:space="preserve">creates a new weight by applying a weighted average adjustment to </w:t>
      </w:r>
      <w:r w:rsidR="00E06665">
        <w:t>the weights of</w:t>
      </w:r>
      <w:r w:rsidR="00E06665">
        <w:rPr>
          <w:spacing w:val="-2"/>
        </w:rPr>
        <w:t xml:space="preserve"> </w:t>
      </w:r>
      <w:r w:rsidR="00E06665">
        <w:t>two</w:t>
      </w:r>
      <w:r w:rsidR="00E06665">
        <w:rPr>
          <w:spacing w:val="-1"/>
        </w:rPr>
        <w:t xml:space="preserve"> </w:t>
      </w:r>
      <w:r w:rsidR="00E06665">
        <w:t>or</w:t>
      </w:r>
      <w:r w:rsidR="00E06665">
        <w:rPr>
          <w:spacing w:val="-3"/>
        </w:rPr>
        <w:t xml:space="preserve"> </w:t>
      </w:r>
      <w:r w:rsidR="00E06665">
        <w:t>more</w:t>
      </w:r>
      <w:r w:rsidR="00E06665">
        <w:rPr>
          <w:spacing w:val="-1"/>
        </w:rPr>
        <w:t xml:space="preserve"> </w:t>
      </w:r>
      <w:r w:rsidR="00E06665">
        <w:t>samples</w:t>
      </w:r>
      <w:r w:rsidR="00E06665">
        <w:rPr>
          <w:spacing w:val="-1"/>
        </w:rPr>
        <w:t xml:space="preserve"> </w:t>
      </w:r>
      <w:r w:rsidR="00E06665">
        <w:t>that</w:t>
      </w:r>
      <w:r w:rsidR="00E06665">
        <w:rPr>
          <w:spacing w:val="-1"/>
        </w:rPr>
        <w:t xml:space="preserve"> </w:t>
      </w:r>
      <w:r w:rsidR="00E06665">
        <w:t>represent</w:t>
      </w:r>
      <w:r w:rsidR="00E06665">
        <w:rPr>
          <w:spacing w:val="-2"/>
        </w:rPr>
        <w:t xml:space="preserve"> </w:t>
      </w:r>
      <w:r w:rsidR="00E06665">
        <w:t>the same</w:t>
      </w:r>
      <w:r w:rsidR="00E06665">
        <w:rPr>
          <w:spacing w:val="-2"/>
        </w:rPr>
        <w:t xml:space="preserve"> </w:t>
      </w:r>
      <w:r w:rsidR="00E06665">
        <w:t>population.</w:t>
      </w:r>
      <w:r>
        <w:rPr>
          <w:rStyle w:val="FootnoteReference"/>
        </w:rPr>
        <w:footnoteReference w:id="8"/>
      </w:r>
    </w:p>
    <w:p w:rsidRPr="00013514" w:rsidR="00E50329" w:rsidP="00013514" w:rsidRDefault="00E06665" w14:paraId="48BD8197" w14:textId="447E491D">
      <w:pPr>
        <w:pStyle w:val="Body11ptCalibri-IPR"/>
        <w:spacing w:after="240"/>
      </w:pPr>
      <w:r>
        <w:t xml:space="preserve">The </w:t>
      </w:r>
      <w:r w:rsidR="00F67443">
        <w:t xml:space="preserve">questionnaire contains questions </w:t>
      </w:r>
      <w:r>
        <w:t xml:space="preserve">to </w:t>
      </w:r>
      <w:r w:rsidR="00F67443">
        <w:t>ascertain th</w:t>
      </w:r>
      <w:r>
        <w:t>e overlap of the two sample frames.</w:t>
      </w:r>
      <w:r w:rsidR="00404247">
        <w:t xml:space="preserve"> </w:t>
      </w:r>
      <w:r>
        <w:t>All</w:t>
      </w:r>
      <w:r>
        <w:rPr>
          <w:spacing w:val="-3"/>
        </w:rPr>
        <w:t xml:space="preserve"> </w:t>
      </w:r>
      <w:r>
        <w:t>households</w:t>
      </w:r>
      <w:r>
        <w:rPr>
          <w:spacing w:val="-3"/>
        </w:rPr>
        <w:t xml:space="preserve"> </w:t>
      </w:r>
      <w:r>
        <w:t>in</w:t>
      </w:r>
      <w:r>
        <w:rPr>
          <w:spacing w:val="-4"/>
        </w:rPr>
        <w:t xml:space="preserve"> </w:t>
      </w:r>
      <w:r>
        <w:t>Puerto</w:t>
      </w:r>
      <w:r>
        <w:rPr>
          <w:spacing w:val="-4"/>
        </w:rPr>
        <w:t xml:space="preserve"> </w:t>
      </w:r>
      <w:r>
        <w:t>Rico</w:t>
      </w:r>
      <w:r>
        <w:rPr>
          <w:spacing w:val="-3"/>
        </w:rPr>
        <w:t xml:space="preserve"> </w:t>
      </w:r>
      <w:r>
        <w:t>are</w:t>
      </w:r>
      <w:r>
        <w:rPr>
          <w:spacing w:val="-3"/>
        </w:rPr>
        <w:t xml:space="preserve"> </w:t>
      </w:r>
      <w:r>
        <w:t>represented</w:t>
      </w:r>
      <w:r>
        <w:rPr>
          <w:spacing w:val="-4"/>
        </w:rPr>
        <w:t xml:space="preserve"> </w:t>
      </w:r>
      <w:r>
        <w:t>on</w:t>
      </w:r>
      <w:r>
        <w:rPr>
          <w:spacing w:val="-4"/>
        </w:rPr>
        <w:t xml:space="preserve"> </w:t>
      </w:r>
      <w:r>
        <w:t>the</w:t>
      </w:r>
      <w:r>
        <w:rPr>
          <w:spacing w:val="-2"/>
        </w:rPr>
        <w:t xml:space="preserve"> </w:t>
      </w:r>
      <w:r>
        <w:t>area</w:t>
      </w:r>
      <w:r w:rsidR="009360C8">
        <w:t xml:space="preserve"> </w:t>
      </w:r>
      <w:r>
        <w:t>probability</w:t>
      </w:r>
      <w:r>
        <w:rPr>
          <w:spacing w:val="-3"/>
        </w:rPr>
        <w:t xml:space="preserve"> </w:t>
      </w:r>
      <w:r>
        <w:t>frame.</w:t>
      </w:r>
      <w:r>
        <w:rPr>
          <w:spacing w:val="-4"/>
        </w:rPr>
        <w:t xml:space="preserve"> </w:t>
      </w:r>
      <w:r>
        <w:t>Therefore,</w:t>
      </w:r>
      <w:r>
        <w:rPr>
          <w:spacing w:val="-3"/>
        </w:rPr>
        <w:t xml:space="preserve"> </w:t>
      </w:r>
      <w:r>
        <w:t>all</w:t>
      </w:r>
      <w:r>
        <w:rPr>
          <w:spacing w:val="-3"/>
        </w:rPr>
        <w:t xml:space="preserve"> </w:t>
      </w:r>
      <w:r>
        <w:t>households</w:t>
      </w:r>
      <w:r w:rsidR="009360C8">
        <w:t xml:space="preserve"> sam</w:t>
      </w:r>
      <w:r>
        <w:t>pled from the NAP participan</w:t>
      </w:r>
      <w:r w:rsidR="008B5D14">
        <w:t xml:space="preserve">t list will also be on the area </w:t>
      </w:r>
      <w:r>
        <w:t>probabil</w:t>
      </w:r>
      <w:r w:rsidR="009360C8">
        <w:t xml:space="preserve">ity frame. Questions included in </w:t>
      </w:r>
      <w:r>
        <w:t xml:space="preserve">the survey will determine </w:t>
      </w:r>
      <w:r w:rsidR="008B5D14">
        <w:t>whether</w:t>
      </w:r>
      <w:r>
        <w:t xml:space="preserve"> those h</w:t>
      </w:r>
      <w:r w:rsidR="008B5D14">
        <w:t xml:space="preserve">ouseholds sampled from the area </w:t>
      </w:r>
      <w:r>
        <w:t>probability frame are also on th</w:t>
      </w:r>
      <w:r w:rsidR="008F69D7">
        <w:t>e</w:t>
      </w:r>
      <w:r w:rsidR="00404247">
        <w:t xml:space="preserve"> </w:t>
      </w:r>
      <w:r>
        <w:t>NAP participant list frame</w:t>
      </w:r>
      <w:r w:rsidR="008B5D14">
        <w:t xml:space="preserve"> (by ascertaining whether the households </w:t>
      </w:r>
      <w:r w:rsidR="008F69D7">
        <w:t xml:space="preserve">were </w:t>
      </w:r>
      <w:r w:rsidR="008B5D14">
        <w:t>receiving NAP benefits at the reference date corresponding to the timing of the NAP list extracted for sampling purposes)</w:t>
      </w:r>
      <w:r>
        <w:t>. Based on the responses to these survey questions,</w:t>
      </w:r>
      <w:r w:rsidR="008F69D7">
        <w:t xml:space="preserve"> </w:t>
      </w:r>
      <w:r>
        <w:t>responding households</w:t>
      </w:r>
      <w:r w:rsidR="00A174C2">
        <w:t xml:space="preserve"> will be classified</w:t>
      </w:r>
      <w:r>
        <w:rPr>
          <w:spacing w:val="1"/>
        </w:rPr>
        <w:t xml:space="preserve"> </w:t>
      </w:r>
      <w:r>
        <w:t xml:space="preserve">as shown in table </w:t>
      </w:r>
      <w:r w:rsidR="00CA00FC">
        <w:t>B.2.2.</w:t>
      </w:r>
      <w:r>
        <w:t xml:space="preserve"> The compositing factor (</w:t>
      </w:r>
      <w:r>
        <w:rPr>
          <w:i/>
        </w:rPr>
        <w:t>λ</w:t>
      </w:r>
      <w:r>
        <w:t>) for each group is shown in the last</w:t>
      </w:r>
      <w:r>
        <w:rPr>
          <w:spacing w:val="1"/>
        </w:rPr>
        <w:t xml:space="preserve"> </w:t>
      </w:r>
      <w:r>
        <w:t>column.</w:t>
      </w:r>
      <w:r w:rsidR="008B5D14">
        <w:t xml:space="preserve"> The composited weight is the product of the nonresponse adjusted weight and the compositing factor.</w:t>
      </w:r>
    </w:p>
    <w:p w:rsidRPr="00EF57BE" w:rsidR="00E06665" w:rsidP="00960E81" w:rsidRDefault="00C02316" w14:paraId="20486119" w14:textId="5A34B2E4">
      <w:pPr>
        <w:pStyle w:val="TableTitle-IPR"/>
        <w:spacing w:before="360"/>
      </w:pPr>
      <w:bookmarkStart w:name="_Toc78365139" w:id="29"/>
      <w:r w:rsidRPr="00C02316">
        <w:t>Table</w:t>
      </w:r>
      <w:r w:rsidR="00CA00FC">
        <w:t xml:space="preserve"> B.2.2</w:t>
      </w:r>
      <w:r w:rsidR="009937F6">
        <w:t>.</w:t>
      </w:r>
      <w:r w:rsidRPr="00C02316">
        <w:t xml:space="preserve"> Computation of the Compositing Factor</w:t>
      </w:r>
      <w:bookmarkEnd w:id="29"/>
    </w:p>
    <w:tbl>
      <w:tblPr>
        <w:tblStyle w:val="InsightTable"/>
        <w:tblW w:w="4888" w:type="pct"/>
        <w:tblLayout w:type="fixed"/>
        <w:tblLook w:val="04A0" w:firstRow="1" w:lastRow="0" w:firstColumn="1" w:lastColumn="0" w:noHBand="0" w:noVBand="1"/>
      </w:tblPr>
      <w:tblGrid>
        <w:gridCol w:w="1247"/>
        <w:gridCol w:w="2116"/>
        <w:gridCol w:w="1010"/>
        <w:gridCol w:w="1563"/>
        <w:gridCol w:w="1649"/>
        <w:gridCol w:w="1565"/>
      </w:tblGrid>
      <w:tr w:rsidRPr="00A75B9B" w:rsidR="002B1B42" w:rsidTr="00013514" w14:paraId="5ACEB860"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681" w:type="pct"/>
            <w:vMerge w:val="restart"/>
            <w:hideMark/>
          </w:tcPr>
          <w:p w:rsidRPr="009621C5" w:rsidR="002B1B42" w:rsidP="005C401C" w:rsidRDefault="002B1B42" w14:paraId="7FAF9B90" w14:textId="77777777">
            <w:pPr>
              <w:pStyle w:val="TableHeaderRow-IPR"/>
            </w:pPr>
            <w:r w:rsidRPr="009621C5">
              <w:t>Group</w:t>
            </w:r>
          </w:p>
        </w:tc>
        <w:tc>
          <w:tcPr>
            <w:tcW w:w="1708" w:type="pct"/>
            <w:gridSpan w:val="2"/>
            <w:tcBorders>
              <w:bottom w:val="dotted" w:color="B12732" w:sz="4" w:space="0"/>
            </w:tcBorders>
            <w:hideMark/>
          </w:tcPr>
          <w:p w:rsidRPr="009621C5" w:rsidR="002B1B42" w:rsidP="005C401C" w:rsidRDefault="002B1B42" w14:paraId="0EEFD4C2" w14:textId="78545515">
            <w:pPr>
              <w:pStyle w:val="TableHeaderRow-IPR"/>
            </w:pPr>
            <w:r w:rsidRPr="009621C5">
              <w:t>Sampled From</w:t>
            </w:r>
          </w:p>
        </w:tc>
        <w:tc>
          <w:tcPr>
            <w:tcW w:w="854" w:type="pct"/>
            <w:vMerge w:val="restart"/>
            <w:hideMark/>
          </w:tcPr>
          <w:p w:rsidRPr="009621C5" w:rsidR="002B1B42" w:rsidP="005C401C" w:rsidRDefault="002B1B42" w14:paraId="21C1CA41" w14:textId="77777777">
            <w:pPr>
              <w:pStyle w:val="TableHeaderRow-IPR"/>
            </w:pPr>
            <w:r w:rsidRPr="009621C5">
              <w:t>Household Participates in NAP</w:t>
            </w:r>
          </w:p>
        </w:tc>
        <w:tc>
          <w:tcPr>
            <w:tcW w:w="901" w:type="pct"/>
            <w:vMerge w:val="restart"/>
            <w:hideMark/>
          </w:tcPr>
          <w:p w:rsidRPr="009621C5" w:rsidR="002B1B42" w:rsidP="005C401C" w:rsidRDefault="002B1B42" w14:paraId="133AE905" w14:textId="77777777">
            <w:pPr>
              <w:pStyle w:val="TableHeaderRow-IPR"/>
            </w:pPr>
            <w:r w:rsidRPr="009621C5">
              <w:t>Effective Sample Size*</w:t>
            </w:r>
          </w:p>
        </w:tc>
        <w:tc>
          <w:tcPr>
            <w:tcW w:w="855" w:type="pct"/>
            <w:vMerge w:val="restart"/>
            <w:hideMark/>
          </w:tcPr>
          <w:p w:rsidRPr="009621C5" w:rsidR="002B1B42" w:rsidP="005C401C" w:rsidRDefault="002B1B42" w14:paraId="560A0E2D" w14:textId="77777777">
            <w:pPr>
              <w:pStyle w:val="TableHeaderRow-IPR"/>
            </w:pPr>
            <w:r w:rsidRPr="009621C5">
              <w:t>Compositing Factor (</w:t>
            </w:r>
            <w:r w:rsidRPr="009621C5">
              <w:rPr>
                <w:rFonts w:ascii="Calibri" w:hAnsi="Calibri" w:cs="Calibri"/>
              </w:rPr>
              <w:t>λ</w:t>
            </w:r>
            <w:r w:rsidRPr="009621C5">
              <w:t>)</w:t>
            </w:r>
          </w:p>
        </w:tc>
      </w:tr>
      <w:tr w:rsidRPr="00A75B9B" w:rsidR="002B1B42" w:rsidTr="00CB6433" w14:paraId="194A82C6"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681" w:type="pct"/>
            <w:vMerge/>
            <w:hideMark/>
          </w:tcPr>
          <w:p w:rsidRPr="00A75B9B" w:rsidR="002B1B42" w:rsidP="005C401C" w:rsidRDefault="002B1B42" w14:paraId="47842785" w14:textId="77777777">
            <w:pPr>
              <w:pStyle w:val="TableText-IPR"/>
            </w:pPr>
          </w:p>
        </w:tc>
        <w:tc>
          <w:tcPr>
            <w:tcW w:w="1156" w:type="pct"/>
            <w:tcBorders>
              <w:top w:val="dotted" w:color="B12732" w:sz="4" w:space="0"/>
            </w:tcBorders>
            <w:hideMark/>
          </w:tcPr>
          <w:p w:rsidRPr="00640FB7" w:rsidR="002B1B42" w:rsidP="002B1B42" w:rsidRDefault="002B1B42" w14:paraId="33ED01B1" w14:textId="77B87C53">
            <w:pPr>
              <w:pStyle w:val="TableHeaderRow-IPR"/>
              <w:rPr>
                <w:sz w:val="17"/>
                <w:szCs w:val="17"/>
              </w:rPr>
            </w:pPr>
            <w:r>
              <w:rPr>
                <w:sz w:val="17"/>
                <w:szCs w:val="17"/>
              </w:rPr>
              <w:t xml:space="preserve">Area </w:t>
            </w:r>
            <w:r w:rsidR="00A174C2">
              <w:rPr>
                <w:sz w:val="17"/>
                <w:szCs w:val="17"/>
              </w:rPr>
              <w:t>P</w:t>
            </w:r>
            <w:r>
              <w:rPr>
                <w:sz w:val="17"/>
                <w:szCs w:val="17"/>
              </w:rPr>
              <w:t xml:space="preserve">robability </w:t>
            </w:r>
            <w:r w:rsidR="00A174C2">
              <w:rPr>
                <w:sz w:val="17"/>
                <w:szCs w:val="17"/>
              </w:rPr>
              <w:t>F</w:t>
            </w:r>
            <w:r>
              <w:rPr>
                <w:sz w:val="17"/>
                <w:szCs w:val="17"/>
              </w:rPr>
              <w:t>rame</w:t>
            </w:r>
          </w:p>
        </w:tc>
        <w:tc>
          <w:tcPr>
            <w:tcW w:w="552" w:type="pct"/>
            <w:tcBorders>
              <w:top w:val="dotted" w:color="B12732" w:sz="4" w:space="0"/>
            </w:tcBorders>
            <w:hideMark/>
          </w:tcPr>
          <w:p w:rsidRPr="00640FB7" w:rsidR="002B1B42" w:rsidP="005C401C" w:rsidRDefault="002B1B42" w14:paraId="4E983E11" w14:textId="671EC4BE">
            <w:pPr>
              <w:pStyle w:val="TableHeaderRow-IPR"/>
              <w:rPr>
                <w:sz w:val="17"/>
                <w:szCs w:val="17"/>
              </w:rPr>
            </w:pPr>
            <w:r>
              <w:rPr>
                <w:sz w:val="17"/>
                <w:szCs w:val="17"/>
              </w:rPr>
              <w:t xml:space="preserve">NAP </w:t>
            </w:r>
            <w:r w:rsidR="00A174C2">
              <w:rPr>
                <w:sz w:val="17"/>
                <w:szCs w:val="17"/>
              </w:rPr>
              <w:t>L</w:t>
            </w:r>
            <w:r>
              <w:rPr>
                <w:sz w:val="17"/>
                <w:szCs w:val="17"/>
              </w:rPr>
              <w:t>ist</w:t>
            </w:r>
          </w:p>
        </w:tc>
        <w:tc>
          <w:tcPr>
            <w:tcW w:w="854" w:type="pct"/>
            <w:vMerge/>
            <w:hideMark/>
          </w:tcPr>
          <w:p w:rsidRPr="00A75B9B" w:rsidR="002B1B42" w:rsidP="005C401C" w:rsidRDefault="002B1B42" w14:paraId="419202B8" w14:textId="77777777">
            <w:pPr>
              <w:pStyle w:val="TableText-IPR"/>
            </w:pPr>
          </w:p>
        </w:tc>
        <w:tc>
          <w:tcPr>
            <w:tcW w:w="901" w:type="pct"/>
            <w:vMerge/>
            <w:hideMark/>
          </w:tcPr>
          <w:p w:rsidRPr="00A75B9B" w:rsidR="002B1B42" w:rsidP="005C401C" w:rsidRDefault="002B1B42" w14:paraId="3CF924E3" w14:textId="77777777">
            <w:pPr>
              <w:pStyle w:val="TableText-IPR"/>
            </w:pPr>
          </w:p>
        </w:tc>
        <w:tc>
          <w:tcPr>
            <w:tcW w:w="855" w:type="pct"/>
            <w:vMerge/>
            <w:hideMark/>
          </w:tcPr>
          <w:p w:rsidRPr="00A75B9B" w:rsidR="002B1B42" w:rsidP="005C401C" w:rsidRDefault="002B1B42" w14:paraId="3D08E51E" w14:textId="77777777">
            <w:pPr>
              <w:pStyle w:val="TableText-IPR"/>
            </w:pPr>
          </w:p>
        </w:tc>
      </w:tr>
      <w:tr w:rsidRPr="00A75B9B" w:rsidR="002B1B42" w:rsidTr="00CB6433" w14:paraId="38F5E998" w14:textId="77777777">
        <w:trPr>
          <w:trHeight w:val="288"/>
        </w:trPr>
        <w:tc>
          <w:tcPr>
            <w:tcW w:w="681" w:type="pct"/>
            <w:hideMark/>
          </w:tcPr>
          <w:p w:rsidRPr="00A75B9B" w:rsidR="002B1B42" w:rsidP="005C401C" w:rsidRDefault="002B1B42" w14:paraId="2BC218CA" w14:textId="6C10460D">
            <w:pPr>
              <w:pStyle w:val="TableText-IPR"/>
            </w:pPr>
            <w:r>
              <w:t>a</w:t>
            </w:r>
          </w:p>
        </w:tc>
        <w:tc>
          <w:tcPr>
            <w:tcW w:w="1156" w:type="pct"/>
            <w:hideMark/>
          </w:tcPr>
          <w:p w:rsidRPr="00A75B9B" w:rsidR="002B1B42" w:rsidP="002B1B42" w:rsidRDefault="002B1B42" w14:paraId="503DB7E7" w14:textId="683A3D63">
            <w:pPr>
              <w:pStyle w:val="TableText-IPR"/>
              <w:jc w:val="center"/>
            </w:pPr>
            <w:r>
              <w:t>X</w:t>
            </w:r>
          </w:p>
        </w:tc>
        <w:tc>
          <w:tcPr>
            <w:tcW w:w="552" w:type="pct"/>
            <w:hideMark/>
          </w:tcPr>
          <w:p w:rsidRPr="00A75B9B" w:rsidR="002B1B42" w:rsidP="002B1B42" w:rsidRDefault="002B1B42" w14:paraId="1FD5B755" w14:textId="1D51DC07">
            <w:pPr>
              <w:pStyle w:val="TableText-IPR"/>
              <w:jc w:val="center"/>
            </w:pPr>
          </w:p>
        </w:tc>
        <w:tc>
          <w:tcPr>
            <w:tcW w:w="854" w:type="pct"/>
            <w:hideMark/>
          </w:tcPr>
          <w:p w:rsidRPr="00A75B9B" w:rsidR="002B1B42" w:rsidP="002B1B42" w:rsidRDefault="002B1B42" w14:paraId="64E70308" w14:textId="4252161B">
            <w:pPr>
              <w:pStyle w:val="TableText-IPR"/>
              <w:jc w:val="center"/>
            </w:pPr>
          </w:p>
        </w:tc>
        <w:tc>
          <w:tcPr>
            <w:tcW w:w="901" w:type="pct"/>
            <w:hideMark/>
          </w:tcPr>
          <w:p w:rsidRPr="002B1B42" w:rsidR="002B1B42" w:rsidP="002B1B42" w:rsidRDefault="002B1B42" w14:paraId="09B53BC7" w14:textId="56C0E1DB">
            <w:pPr>
              <w:pStyle w:val="TableText-IPR"/>
              <w:jc w:val="center"/>
              <w:rPr>
                <w:i/>
              </w:rPr>
            </w:pPr>
            <w:r>
              <w:rPr>
                <w:i/>
              </w:rPr>
              <w:t>na</w:t>
            </w:r>
          </w:p>
        </w:tc>
        <w:tc>
          <w:tcPr>
            <w:tcW w:w="855" w:type="pct"/>
            <w:hideMark/>
          </w:tcPr>
          <w:p w:rsidRPr="002B1B42" w:rsidR="002B1B42" w:rsidP="002B1B42" w:rsidRDefault="002B1B42" w14:paraId="08C2EC75" w14:textId="5FE8AEF0">
            <w:pPr>
              <w:pStyle w:val="TableText-IPR"/>
              <w:jc w:val="center"/>
              <w:rPr>
                <w:i/>
              </w:rPr>
            </w:pPr>
            <w:r>
              <w:rPr>
                <w:i/>
              </w:rPr>
              <w:t>1</w:t>
            </w:r>
          </w:p>
        </w:tc>
      </w:tr>
      <w:tr w:rsidRPr="00A75B9B" w:rsidR="002B1B42" w:rsidTr="00CB6433" w14:paraId="2BA516F5" w14:textId="77777777">
        <w:trPr>
          <w:trHeight w:val="288"/>
        </w:trPr>
        <w:tc>
          <w:tcPr>
            <w:tcW w:w="681" w:type="pct"/>
            <w:hideMark/>
          </w:tcPr>
          <w:p w:rsidRPr="00A75B9B" w:rsidR="002B1B42" w:rsidP="005C401C" w:rsidRDefault="002B1B42" w14:paraId="4D0F42AF" w14:textId="4A4649AB">
            <w:pPr>
              <w:pStyle w:val="TableText-IPR"/>
            </w:pPr>
            <w:r>
              <w:t>b</w:t>
            </w:r>
          </w:p>
        </w:tc>
        <w:tc>
          <w:tcPr>
            <w:tcW w:w="1156" w:type="pct"/>
            <w:noWrap/>
            <w:hideMark/>
          </w:tcPr>
          <w:p w:rsidRPr="00A75B9B" w:rsidR="002B1B42" w:rsidP="002B1B42" w:rsidRDefault="002B1B42" w14:paraId="5D7E24F0" w14:textId="6872C2F2">
            <w:pPr>
              <w:pStyle w:val="TableText-IPR"/>
              <w:jc w:val="center"/>
            </w:pPr>
            <w:r>
              <w:t>X</w:t>
            </w:r>
          </w:p>
        </w:tc>
        <w:tc>
          <w:tcPr>
            <w:tcW w:w="552" w:type="pct"/>
            <w:noWrap/>
            <w:hideMark/>
          </w:tcPr>
          <w:p w:rsidRPr="00A75B9B" w:rsidR="002B1B42" w:rsidP="002B1B42" w:rsidRDefault="002B1B42" w14:paraId="242838C5" w14:textId="15ADA5EB">
            <w:pPr>
              <w:pStyle w:val="TableText-IPR"/>
              <w:jc w:val="center"/>
            </w:pPr>
          </w:p>
        </w:tc>
        <w:tc>
          <w:tcPr>
            <w:tcW w:w="854" w:type="pct"/>
            <w:hideMark/>
          </w:tcPr>
          <w:p w:rsidRPr="00A75B9B" w:rsidR="002B1B42" w:rsidP="002B1B42" w:rsidRDefault="002B1B42" w14:paraId="3616AE57" w14:textId="1975343A">
            <w:pPr>
              <w:pStyle w:val="TableText-IPR"/>
              <w:jc w:val="center"/>
            </w:pPr>
            <w:r>
              <w:t>X</w:t>
            </w:r>
          </w:p>
        </w:tc>
        <w:tc>
          <w:tcPr>
            <w:tcW w:w="901" w:type="pct"/>
            <w:hideMark/>
          </w:tcPr>
          <w:p w:rsidRPr="002B1B42" w:rsidR="002B1B42" w:rsidP="002B1B42" w:rsidRDefault="002B1B42" w14:paraId="526248C2" w14:textId="09E5019E">
            <w:pPr>
              <w:pStyle w:val="TableText-IPR"/>
              <w:jc w:val="center"/>
              <w:rPr>
                <w:i/>
              </w:rPr>
            </w:pPr>
            <w:r>
              <w:rPr>
                <w:i/>
              </w:rPr>
              <w:t>nb</w:t>
            </w:r>
          </w:p>
        </w:tc>
        <w:tc>
          <w:tcPr>
            <w:tcW w:w="855" w:type="pct"/>
            <w:noWrap/>
            <w:hideMark/>
          </w:tcPr>
          <w:p w:rsidRPr="002B1B42" w:rsidR="002B1B42" w:rsidP="002B1B42" w:rsidRDefault="002B1B42" w14:paraId="1F8E2819" w14:textId="7ED2120E">
            <w:pPr>
              <w:pStyle w:val="TableText-IPR"/>
              <w:jc w:val="center"/>
              <w:rPr>
                <w:i/>
              </w:rPr>
            </w:pPr>
            <w:r w:rsidRPr="002B1B42">
              <w:rPr>
                <w:i/>
              </w:rPr>
              <w:t>n</w:t>
            </w:r>
            <w:r>
              <w:rPr>
                <w:i/>
              </w:rPr>
              <w:t>b</w:t>
            </w:r>
            <w:r w:rsidRPr="002B1B42">
              <w:rPr>
                <w:i/>
              </w:rPr>
              <w:t>/(</w:t>
            </w:r>
            <w:r>
              <w:rPr>
                <w:i/>
              </w:rPr>
              <w:t>nb</w:t>
            </w:r>
            <w:r w:rsidRPr="002B1B42">
              <w:rPr>
                <w:i/>
              </w:rPr>
              <w:t>+n</w:t>
            </w:r>
            <w:r>
              <w:rPr>
                <w:i/>
              </w:rPr>
              <w:t>c</w:t>
            </w:r>
            <w:r w:rsidRPr="002B1B42">
              <w:rPr>
                <w:i/>
              </w:rPr>
              <w:t>)</w:t>
            </w:r>
          </w:p>
        </w:tc>
      </w:tr>
      <w:tr w:rsidRPr="00A75B9B" w:rsidR="002B1B42" w:rsidTr="00CB6433" w14:paraId="2F25526B" w14:textId="77777777">
        <w:trPr>
          <w:trHeight w:val="288"/>
        </w:trPr>
        <w:tc>
          <w:tcPr>
            <w:tcW w:w="681" w:type="pct"/>
            <w:hideMark/>
          </w:tcPr>
          <w:p w:rsidRPr="00A75B9B" w:rsidR="002B1B42" w:rsidP="002B1B42" w:rsidRDefault="002B1B42" w14:paraId="6AB1692F" w14:textId="54FB6EEF">
            <w:pPr>
              <w:pStyle w:val="TableText-IPR"/>
            </w:pPr>
            <w:r>
              <w:t>c</w:t>
            </w:r>
          </w:p>
        </w:tc>
        <w:tc>
          <w:tcPr>
            <w:tcW w:w="1156" w:type="pct"/>
            <w:noWrap/>
            <w:hideMark/>
          </w:tcPr>
          <w:p w:rsidRPr="00A75B9B" w:rsidR="002B1B42" w:rsidP="002B1B42" w:rsidRDefault="002B1B42" w14:paraId="331D28AC" w14:textId="708A30B1">
            <w:pPr>
              <w:pStyle w:val="TableText-IPR"/>
              <w:jc w:val="center"/>
            </w:pPr>
          </w:p>
        </w:tc>
        <w:tc>
          <w:tcPr>
            <w:tcW w:w="552" w:type="pct"/>
            <w:hideMark/>
          </w:tcPr>
          <w:p w:rsidRPr="00A75B9B" w:rsidR="002B1B42" w:rsidP="002B1B42" w:rsidRDefault="002B1B42" w14:paraId="337073C9" w14:textId="77777777">
            <w:pPr>
              <w:pStyle w:val="TableText-IPR"/>
              <w:jc w:val="center"/>
            </w:pPr>
            <w:r w:rsidRPr="00A75B9B">
              <w:t>X</w:t>
            </w:r>
          </w:p>
        </w:tc>
        <w:tc>
          <w:tcPr>
            <w:tcW w:w="854" w:type="pct"/>
            <w:noWrap/>
            <w:hideMark/>
          </w:tcPr>
          <w:p w:rsidRPr="00A75B9B" w:rsidR="002B1B42" w:rsidP="002B1B42" w:rsidRDefault="002B1B42" w14:paraId="7C16A375" w14:textId="6D0CB7D5">
            <w:pPr>
              <w:pStyle w:val="TableText-IPR"/>
              <w:jc w:val="center"/>
            </w:pPr>
            <w:r>
              <w:t>N/A</w:t>
            </w:r>
          </w:p>
        </w:tc>
        <w:tc>
          <w:tcPr>
            <w:tcW w:w="901" w:type="pct"/>
            <w:hideMark/>
          </w:tcPr>
          <w:p w:rsidRPr="002B1B42" w:rsidR="002B1B42" w:rsidP="002B1B42" w:rsidRDefault="002B1B42" w14:paraId="3FF5144F" w14:textId="3550E2C2">
            <w:pPr>
              <w:pStyle w:val="TableText-IPR"/>
              <w:jc w:val="center"/>
              <w:rPr>
                <w:i/>
              </w:rPr>
            </w:pPr>
            <w:r>
              <w:rPr>
                <w:i/>
              </w:rPr>
              <w:t>nc</w:t>
            </w:r>
          </w:p>
        </w:tc>
        <w:tc>
          <w:tcPr>
            <w:tcW w:w="855" w:type="pct"/>
            <w:noWrap/>
            <w:hideMark/>
          </w:tcPr>
          <w:p w:rsidRPr="002B1B42" w:rsidR="002B1B42" w:rsidP="002B1B42" w:rsidRDefault="002B1B42" w14:paraId="3818EC12" w14:textId="67AB0EBE">
            <w:pPr>
              <w:pStyle w:val="TableText-IPR"/>
              <w:jc w:val="center"/>
              <w:rPr>
                <w:i/>
              </w:rPr>
            </w:pPr>
            <w:r w:rsidRPr="002B1B42">
              <w:rPr>
                <w:i/>
              </w:rPr>
              <w:t>n</w:t>
            </w:r>
            <w:r>
              <w:rPr>
                <w:i/>
              </w:rPr>
              <w:t>c</w:t>
            </w:r>
            <w:r w:rsidRPr="002B1B42">
              <w:rPr>
                <w:i/>
              </w:rPr>
              <w:t>/(n</w:t>
            </w:r>
            <w:r>
              <w:rPr>
                <w:i/>
              </w:rPr>
              <w:t>b</w:t>
            </w:r>
            <w:r w:rsidRPr="002B1B42">
              <w:rPr>
                <w:i/>
              </w:rPr>
              <w:t>+n</w:t>
            </w:r>
            <w:r>
              <w:rPr>
                <w:i/>
              </w:rPr>
              <w:t>c</w:t>
            </w:r>
            <w:r w:rsidRPr="002B1B42">
              <w:rPr>
                <w:i/>
              </w:rPr>
              <w:t>)</w:t>
            </w:r>
          </w:p>
        </w:tc>
      </w:tr>
    </w:tbl>
    <w:p w:rsidR="002B1B42" w:rsidP="002B1B42" w:rsidRDefault="002B1B42" w14:paraId="45D7B195" w14:textId="77777777">
      <w:pPr>
        <w:pStyle w:val="FtnteTable-IPR"/>
      </w:pPr>
      <w:r w:rsidRPr="00A75B9B">
        <w:t xml:space="preserve">*Computed as the number of respondents divided by the unequal weighting design effect. The unequal weighting design effect is estimated as </w:t>
      </w:r>
      <m:oMath>
        <m:r>
          <w:rPr>
            <w:rFonts w:ascii="Cambria Math" w:hAnsi="Cambria Math"/>
          </w:rPr>
          <m:t>1+</m:t>
        </m:r>
        <m:sSubSup>
          <m:sSubSupPr>
            <m:ctrlPr>
              <w:rPr>
                <w:rFonts w:ascii="Cambria Math" w:hAnsi="Cambria Math"/>
                <w:i/>
              </w:rPr>
            </m:ctrlPr>
          </m:sSubSupPr>
          <m:e>
            <m:r>
              <w:rPr>
                <w:rFonts w:ascii="Cambria Math" w:hAnsi="Cambria Math"/>
              </w:rPr>
              <m:t>cv</m:t>
            </m:r>
          </m:e>
          <m:sub>
            <m:r>
              <w:rPr>
                <w:rFonts w:ascii="Cambria Math" w:hAnsi="Cambria Math"/>
              </w:rPr>
              <m:t>w</m:t>
            </m:r>
          </m:sub>
          <m:sup>
            <m:r>
              <w:rPr>
                <w:rFonts w:ascii="Cambria Math" w:hAnsi="Cambria Math"/>
              </w:rPr>
              <m:t>2</m:t>
            </m:r>
          </m:sup>
        </m:sSubSup>
      </m:oMath>
      <w:r w:rsidRPr="00A75B9B">
        <w:t xml:space="preserve">, where </w:t>
      </w:r>
      <m:oMath>
        <m:sSubSup>
          <m:sSubSupPr>
            <m:ctrlPr>
              <w:rPr>
                <w:rFonts w:ascii="Cambria Math" w:hAnsi="Cambria Math"/>
                <w:i/>
              </w:rPr>
            </m:ctrlPr>
          </m:sSubSupPr>
          <m:e>
            <m:r>
              <w:rPr>
                <w:rFonts w:ascii="Cambria Math" w:hAnsi="Cambria Math"/>
              </w:rPr>
              <m:t>cv</m:t>
            </m:r>
          </m:e>
          <m:sub>
            <m:r>
              <w:rPr>
                <w:rFonts w:ascii="Cambria Math" w:hAnsi="Cambria Math"/>
              </w:rPr>
              <m:t>w</m:t>
            </m:r>
          </m:sub>
          <m:sup>
            <m:r>
              <w:rPr>
                <w:rFonts w:ascii="Cambria Math" w:hAnsi="Cambria Math"/>
              </w:rPr>
              <m:t>2</m:t>
            </m:r>
          </m:sup>
        </m:sSubSup>
        <m:r>
          <w:rPr>
            <w:rFonts w:ascii="Cambria Math" w:hAnsi="Cambria Math"/>
          </w:rPr>
          <m:t xml:space="preserve"> </m:t>
        </m:r>
      </m:oMath>
      <w:r w:rsidRPr="00A75B9B">
        <w:t xml:space="preserve">is the coefficient of variation of the nonresponse adjusted weights of the respondents in the group. </w:t>
      </w:r>
    </w:p>
    <w:p w:rsidR="005F44AE" w:rsidP="004C4E17" w:rsidRDefault="008B5D14" w14:paraId="5DCC2AF4" w14:textId="77777777">
      <w:pPr>
        <w:pStyle w:val="Body11ptCalibri-IPR"/>
      </w:pPr>
      <w:r w:rsidRPr="00EF57BE">
        <w:rPr>
          <w:b/>
          <w:bCs/>
          <w:i/>
        </w:rPr>
        <w:t>Calibration adjustment</w:t>
      </w:r>
    </w:p>
    <w:p w:rsidR="00013514" w:rsidP="00013514" w:rsidRDefault="00E06665" w14:paraId="463379A3" w14:textId="77777777">
      <w:pPr>
        <w:pStyle w:val="Body11ptCalibri-IPR"/>
        <w:spacing w:after="240"/>
      </w:pPr>
      <w:r>
        <w:t xml:space="preserve">To compute the </w:t>
      </w:r>
      <w:r w:rsidR="008B5D14">
        <w:t xml:space="preserve">final household </w:t>
      </w:r>
      <w:r>
        <w:t xml:space="preserve">weight, </w:t>
      </w:r>
      <w:r w:rsidR="00A174C2">
        <w:t xml:space="preserve">the study team </w:t>
      </w:r>
      <w:r w:rsidR="003507F8">
        <w:t>will calibrate the composite</w:t>
      </w:r>
      <w:r>
        <w:t xml:space="preserve"> weights to external</w:t>
      </w:r>
      <w:r>
        <w:rPr>
          <w:spacing w:val="1"/>
        </w:rPr>
        <w:t xml:space="preserve"> </w:t>
      </w:r>
      <w:r>
        <w:t xml:space="preserve">household totals so </w:t>
      </w:r>
      <w:r w:rsidR="007B5641">
        <w:t xml:space="preserve">that </w:t>
      </w:r>
      <w:r>
        <w:t xml:space="preserve">the sum of weights of the respondent sample </w:t>
      </w:r>
      <w:r w:rsidR="007B5641">
        <w:t>matches the</w:t>
      </w:r>
      <w:r>
        <w:t xml:space="preserve"> total number of</w:t>
      </w:r>
      <w:r>
        <w:rPr>
          <w:spacing w:val="1"/>
        </w:rPr>
        <w:t xml:space="preserve"> </w:t>
      </w:r>
      <w:r>
        <w:t xml:space="preserve">households </w:t>
      </w:r>
      <w:r w:rsidR="007B5641">
        <w:t xml:space="preserve">in Puerto Rico from external sources, overall and for categories of variables used in the calibration adjustment. </w:t>
      </w:r>
      <w:r>
        <w:t>To facilitate the use of multiple</w:t>
      </w:r>
      <w:r>
        <w:rPr>
          <w:spacing w:val="1"/>
        </w:rPr>
        <w:t xml:space="preserve"> </w:t>
      </w:r>
      <w:r>
        <w:t>characteristics in this calibration adjustment, raking</w:t>
      </w:r>
      <w:r w:rsidR="00A174C2">
        <w:rPr>
          <w:rStyle w:val="FootnoteReference"/>
        </w:rPr>
        <w:footnoteReference w:id="9"/>
      </w:r>
      <w:r>
        <w:t xml:space="preserve"> </w:t>
      </w:r>
      <w:r w:rsidR="0092428C">
        <w:t xml:space="preserve">will be used </w:t>
      </w:r>
      <w:r>
        <w:t>as the</w:t>
      </w:r>
      <w:r>
        <w:rPr>
          <w:spacing w:val="1"/>
        </w:rPr>
        <w:t xml:space="preserve"> </w:t>
      </w:r>
      <w:r>
        <w:t xml:space="preserve">calibration method. To the extent possible, the respondent sample </w:t>
      </w:r>
      <w:r w:rsidR="00172CA6">
        <w:t xml:space="preserve">will be </w:t>
      </w:r>
      <w:r w:rsidR="00172CA6">
        <w:lastRenderedPageBreak/>
        <w:t xml:space="preserve">calibrated </w:t>
      </w:r>
      <w:r>
        <w:t>to external totals</w:t>
      </w:r>
      <w:r>
        <w:rPr>
          <w:spacing w:val="1"/>
        </w:rPr>
        <w:t xml:space="preserve"> </w:t>
      </w:r>
      <w:r>
        <w:t>based on the key subgroups of interest: (1) NAP participation, (2) presence of children in household, (3)</w:t>
      </w:r>
      <w:r>
        <w:rPr>
          <w:spacing w:val="1"/>
        </w:rPr>
        <w:t xml:space="preserve"> </w:t>
      </w:r>
      <w:r>
        <w:t>presence of older individuals</w:t>
      </w:r>
      <w:r w:rsidR="000812CC">
        <w:t xml:space="preserve"> (60 and older)</w:t>
      </w:r>
      <w:r>
        <w:t xml:space="preserve"> in household, (4) presence of adults with</w:t>
      </w:r>
      <w:r>
        <w:rPr>
          <w:spacing w:val="1"/>
        </w:rPr>
        <w:t xml:space="preserve"> </w:t>
      </w:r>
      <w:r>
        <w:t>disabilities in</w:t>
      </w:r>
      <w:r w:rsidR="007B5641">
        <w:t xml:space="preserve"> </w:t>
      </w:r>
      <w:r>
        <w:t>household, and (5) the low‐income nonparticipant subgroup membership. Because of</w:t>
      </w:r>
      <w:r>
        <w:rPr>
          <w:spacing w:val="1"/>
        </w:rPr>
        <w:t xml:space="preserve"> </w:t>
      </w:r>
      <w:r>
        <w:t>associations among these dimensions, it is expected not all dimensions will be retained in the raking</w:t>
      </w:r>
      <w:r>
        <w:rPr>
          <w:spacing w:val="1"/>
        </w:rPr>
        <w:t xml:space="preserve"> </w:t>
      </w:r>
      <w:r>
        <w:t>adjustment. The team will give priority to NAP participation status and collapse or eliminate other</w:t>
      </w:r>
      <w:r>
        <w:rPr>
          <w:spacing w:val="1"/>
        </w:rPr>
        <w:t xml:space="preserve"> </w:t>
      </w:r>
      <w:r>
        <w:t xml:space="preserve">dimensions as necessary. For all dimensions other than NAP participation, </w:t>
      </w:r>
      <w:r w:rsidR="00172CA6">
        <w:t xml:space="preserve">the study team </w:t>
      </w:r>
      <w:r w:rsidR="000812CC">
        <w:t xml:space="preserve">will obtain </w:t>
      </w:r>
      <w:r>
        <w:t xml:space="preserve">the external totals </w:t>
      </w:r>
      <w:r w:rsidR="006834E2">
        <w:t xml:space="preserve">from the most recent </w:t>
      </w:r>
      <w:r w:rsidR="00A174C2">
        <w:t>5</w:t>
      </w:r>
      <w:r>
        <w:t xml:space="preserve">‐year ACS. </w:t>
      </w:r>
      <w:r w:rsidR="00172CA6">
        <w:t xml:space="preserve">The team </w:t>
      </w:r>
      <w:r w:rsidR="000812CC">
        <w:t>will obtain t</w:t>
      </w:r>
      <w:r>
        <w:t>he NAP participation external total from</w:t>
      </w:r>
      <w:r>
        <w:rPr>
          <w:spacing w:val="1"/>
        </w:rPr>
        <w:t xml:space="preserve"> </w:t>
      </w:r>
      <w:r>
        <w:t>administrative</w:t>
      </w:r>
      <w:r>
        <w:rPr>
          <w:spacing w:val="-4"/>
        </w:rPr>
        <w:t xml:space="preserve"> </w:t>
      </w:r>
      <w:r>
        <w:t>counts.</w:t>
      </w:r>
      <w:r>
        <w:rPr>
          <w:spacing w:val="-3"/>
        </w:rPr>
        <w:t xml:space="preserve"> </w:t>
      </w:r>
    </w:p>
    <w:p w:rsidR="00E06665" w:rsidP="00013514" w:rsidRDefault="00E06665" w14:paraId="359064A0" w14:textId="687E0931">
      <w:pPr>
        <w:pStyle w:val="Body11ptCalibri-IPR"/>
        <w:spacing w:after="240"/>
      </w:pPr>
      <w:r>
        <w:t>Because of the inherent differences in the two sampling frames, there may be large variations in the</w:t>
      </w:r>
      <w:r>
        <w:rPr>
          <w:spacing w:val="1"/>
        </w:rPr>
        <w:t xml:space="preserve"> </w:t>
      </w:r>
      <w:r>
        <w:t>weights. Extreme weights may be influential, and large weight variation will decrease the precision of</w:t>
      </w:r>
      <w:r>
        <w:rPr>
          <w:spacing w:val="1"/>
        </w:rPr>
        <w:t xml:space="preserve"> </w:t>
      </w:r>
      <w:r>
        <w:t>the</w:t>
      </w:r>
      <w:r>
        <w:rPr>
          <w:spacing w:val="-3"/>
        </w:rPr>
        <w:t xml:space="preserve"> </w:t>
      </w:r>
      <w:r>
        <w:t>estimates.</w:t>
      </w:r>
      <w:r w:rsidR="00172CA6">
        <w:rPr>
          <w:rStyle w:val="FootnoteReference"/>
        </w:rPr>
        <w:footnoteReference w:id="10"/>
      </w:r>
      <w:r>
        <w:rPr>
          <w:spacing w:val="-2"/>
        </w:rPr>
        <w:t xml:space="preserve"> </w:t>
      </w:r>
      <w:r>
        <w:t>The</w:t>
      </w:r>
      <w:r>
        <w:rPr>
          <w:spacing w:val="-2"/>
        </w:rPr>
        <w:t xml:space="preserve"> </w:t>
      </w:r>
      <w:r>
        <w:t>team</w:t>
      </w:r>
      <w:r>
        <w:rPr>
          <w:spacing w:val="-3"/>
        </w:rPr>
        <w:t xml:space="preserve"> </w:t>
      </w:r>
      <w:r>
        <w:t>will</w:t>
      </w:r>
      <w:r>
        <w:rPr>
          <w:spacing w:val="-2"/>
        </w:rPr>
        <w:t xml:space="preserve"> </w:t>
      </w:r>
      <w:r>
        <w:t>consider</w:t>
      </w:r>
      <w:r>
        <w:rPr>
          <w:spacing w:val="-2"/>
        </w:rPr>
        <w:t xml:space="preserve"> </w:t>
      </w:r>
      <w:r>
        <w:t>trimming</w:t>
      </w:r>
      <w:r>
        <w:rPr>
          <w:spacing w:val="-2"/>
        </w:rPr>
        <w:t xml:space="preserve"> </w:t>
      </w:r>
      <w:r>
        <w:t>extreme</w:t>
      </w:r>
      <w:r>
        <w:rPr>
          <w:spacing w:val="-3"/>
        </w:rPr>
        <w:t xml:space="preserve"> </w:t>
      </w:r>
      <w:r>
        <w:t>outliers</w:t>
      </w:r>
      <w:r>
        <w:rPr>
          <w:spacing w:val="-3"/>
        </w:rPr>
        <w:t xml:space="preserve"> </w:t>
      </w:r>
      <w:r>
        <w:t>to</w:t>
      </w:r>
      <w:r>
        <w:rPr>
          <w:spacing w:val="-3"/>
        </w:rPr>
        <w:t xml:space="preserve"> </w:t>
      </w:r>
      <w:r>
        <w:t>mitigate</w:t>
      </w:r>
      <w:r>
        <w:rPr>
          <w:spacing w:val="-3"/>
        </w:rPr>
        <w:t xml:space="preserve"> </w:t>
      </w:r>
      <w:r>
        <w:t>their</w:t>
      </w:r>
      <w:r w:rsidR="00D24948">
        <w:t xml:space="preserve"> </w:t>
      </w:r>
      <w:r>
        <w:t>impact</w:t>
      </w:r>
      <w:r>
        <w:rPr>
          <w:spacing w:val="-2"/>
        </w:rPr>
        <w:t xml:space="preserve"> </w:t>
      </w:r>
      <w:r>
        <w:t>on</w:t>
      </w:r>
      <w:r>
        <w:rPr>
          <w:spacing w:val="-2"/>
        </w:rPr>
        <w:t xml:space="preserve"> </w:t>
      </w:r>
      <w:r>
        <w:t>analysis</w:t>
      </w:r>
      <w:r>
        <w:rPr>
          <w:spacing w:val="-1"/>
        </w:rPr>
        <w:t xml:space="preserve"> </w:t>
      </w:r>
      <w:r>
        <w:t>results</w:t>
      </w:r>
      <w:r w:rsidR="00172CA6">
        <w:t xml:space="preserve"> and </w:t>
      </w:r>
      <w:r w:rsidR="00D24948">
        <w:rPr>
          <w:spacing w:val="-1"/>
        </w:rPr>
        <w:t xml:space="preserve">will again rake </w:t>
      </w:r>
      <w:r w:rsidR="00D24948">
        <w:t>t</w:t>
      </w:r>
      <w:r>
        <w:t>he</w:t>
      </w:r>
      <w:r>
        <w:rPr>
          <w:spacing w:val="-1"/>
        </w:rPr>
        <w:t xml:space="preserve"> </w:t>
      </w:r>
      <w:r>
        <w:t>trimmed</w:t>
      </w:r>
      <w:r>
        <w:rPr>
          <w:spacing w:val="-1"/>
        </w:rPr>
        <w:t xml:space="preserve"> </w:t>
      </w:r>
      <w:r>
        <w:t>weights</w:t>
      </w:r>
      <w:r>
        <w:rPr>
          <w:spacing w:val="-1"/>
        </w:rPr>
        <w:t xml:space="preserve"> </w:t>
      </w:r>
      <w:r>
        <w:t>to the external</w:t>
      </w:r>
      <w:r>
        <w:rPr>
          <w:spacing w:val="-1"/>
        </w:rPr>
        <w:t xml:space="preserve"> </w:t>
      </w:r>
      <w:r>
        <w:t>totals.</w:t>
      </w:r>
    </w:p>
    <w:p w:rsidR="005F44AE" w:rsidP="004C4E17" w:rsidRDefault="002455B1" w14:paraId="0862C7A4" w14:textId="77777777">
      <w:pPr>
        <w:pStyle w:val="Body11ptCalibri-IPR"/>
      </w:pPr>
      <w:r w:rsidRPr="00EF57BE">
        <w:rPr>
          <w:b/>
          <w:bCs/>
          <w:i/>
        </w:rPr>
        <w:t>Variance estimation</w:t>
      </w:r>
    </w:p>
    <w:p w:rsidR="00013514" w:rsidP="00013514" w:rsidRDefault="00172CA6" w14:paraId="01485E03" w14:textId="77777777">
      <w:pPr>
        <w:pStyle w:val="Body11ptCalibri-IPR"/>
        <w:spacing w:after="240"/>
      </w:pPr>
      <w:r>
        <w:t>The study team</w:t>
      </w:r>
      <w:r w:rsidR="00244CF7">
        <w:t xml:space="preserve"> can compute e</w:t>
      </w:r>
      <w:r w:rsidR="0069773E">
        <w:t>stimates of the precision of the estimates using replication methods, such as the</w:t>
      </w:r>
      <w:r w:rsidR="0069773E">
        <w:rPr>
          <w:spacing w:val="1"/>
        </w:rPr>
        <w:t xml:space="preserve"> </w:t>
      </w:r>
      <w:r w:rsidR="0069773E">
        <w:t>jackknife method, or the linearization approach based on Taylor Series approximations.</w:t>
      </w:r>
      <w:r>
        <w:rPr>
          <w:rStyle w:val="FootnoteReference"/>
        </w:rPr>
        <w:footnoteReference w:id="11"/>
      </w:r>
      <w:r w:rsidR="0069773E">
        <w:rPr>
          <w:spacing w:val="1"/>
        </w:rPr>
        <w:t xml:space="preserve"> </w:t>
      </w:r>
      <w:r w:rsidR="0069773E">
        <w:t xml:space="preserve">The replication </w:t>
      </w:r>
      <w:r w:rsidR="002455B1">
        <w:t>approach</w:t>
      </w:r>
      <w:r w:rsidR="0069773E">
        <w:t xml:space="preserve"> is implemented by defining subsamples (replicates) and applying weighting</w:t>
      </w:r>
      <w:r w:rsidR="0069773E">
        <w:rPr>
          <w:spacing w:val="1"/>
        </w:rPr>
        <w:t xml:space="preserve"> </w:t>
      </w:r>
      <w:r w:rsidR="0069773E">
        <w:t>adjustments for each replicate separately. In addition to the weights described above (the “full‐sample</w:t>
      </w:r>
      <w:r w:rsidR="0069773E">
        <w:rPr>
          <w:spacing w:val="1"/>
        </w:rPr>
        <w:t xml:space="preserve"> </w:t>
      </w:r>
      <w:r w:rsidR="0069773E">
        <w:t xml:space="preserve">weight”), </w:t>
      </w:r>
      <w:r>
        <w:t>the study team</w:t>
      </w:r>
      <w:r w:rsidR="0069773E">
        <w:t xml:space="preserve"> </w:t>
      </w:r>
      <w:r w:rsidR="00244CF7">
        <w:t xml:space="preserve">will </w:t>
      </w:r>
      <w:r w:rsidR="0069773E">
        <w:t>compute and provide replicate weights on the analysis files. With the replicate</w:t>
      </w:r>
      <w:r w:rsidR="0069773E">
        <w:rPr>
          <w:spacing w:val="1"/>
        </w:rPr>
        <w:t xml:space="preserve"> </w:t>
      </w:r>
      <w:r w:rsidR="0069773E">
        <w:t>weights, standard software, such as R, Stata, SAS (Survey procs), and SUDAAN, can be used for analyses</w:t>
      </w:r>
      <w:r w:rsidR="0069773E">
        <w:rPr>
          <w:spacing w:val="1"/>
        </w:rPr>
        <w:t xml:space="preserve"> </w:t>
      </w:r>
      <w:r w:rsidR="0069773E">
        <w:t>to appropriately reflect the precision, accounting for the complex sample design and estimation scheme</w:t>
      </w:r>
      <w:r w:rsidR="00244CF7">
        <w:t>.</w:t>
      </w:r>
      <w:r w:rsidR="00404247">
        <w:t xml:space="preserve"> </w:t>
      </w:r>
      <w:r>
        <w:t>The team</w:t>
      </w:r>
      <w:r w:rsidR="002455B1">
        <w:t xml:space="preserve"> w</w:t>
      </w:r>
      <w:r w:rsidR="0069773E">
        <w:t>ill also include variance stratum and variance unit identifiers on each record in the analysis</w:t>
      </w:r>
      <w:r w:rsidR="0069773E">
        <w:rPr>
          <w:spacing w:val="1"/>
        </w:rPr>
        <w:t xml:space="preserve"> </w:t>
      </w:r>
      <w:r w:rsidR="0069773E">
        <w:t xml:space="preserve">files </w:t>
      </w:r>
      <w:r w:rsidR="0092428C">
        <w:t xml:space="preserve">to ensure </w:t>
      </w:r>
      <w:r w:rsidR="0069773E">
        <w:t>the Taylor Series linearization approach can be used (as an alternative to replication) by analysts</w:t>
      </w:r>
      <w:r w:rsidR="0069773E">
        <w:rPr>
          <w:spacing w:val="1"/>
        </w:rPr>
        <w:t xml:space="preserve"> </w:t>
      </w:r>
      <w:r w:rsidR="0069773E">
        <w:t>who prefer that method. The two methods often give very similar estimates of standard errors, although</w:t>
      </w:r>
      <w:r w:rsidR="004304E5">
        <w:t xml:space="preserve"> </w:t>
      </w:r>
      <w:r w:rsidR="00244CF7">
        <w:t>r</w:t>
      </w:r>
      <w:r w:rsidR="0069773E">
        <w:t xml:space="preserve">eplication methods are more effective in accounting for the </w:t>
      </w:r>
      <w:r w:rsidR="0069773E">
        <w:lastRenderedPageBreak/>
        <w:t>precision effects of several adjustments to</w:t>
      </w:r>
      <w:r w:rsidR="0069773E">
        <w:rPr>
          <w:spacing w:val="1"/>
        </w:rPr>
        <w:t xml:space="preserve"> </w:t>
      </w:r>
      <w:r w:rsidR="0069773E">
        <w:t>the weights. The differences in the standard errors obtained by the two methods are likely to be more</w:t>
      </w:r>
      <w:r w:rsidR="0069773E">
        <w:rPr>
          <w:spacing w:val="1"/>
        </w:rPr>
        <w:t xml:space="preserve"> </w:t>
      </w:r>
      <w:r w:rsidR="0069773E">
        <w:t>substantial for estimates of totals compared with estimates of means and proportions</w:t>
      </w:r>
      <w:r>
        <w:t>.</w:t>
      </w:r>
      <w:r>
        <w:rPr>
          <w:rStyle w:val="FootnoteReference"/>
        </w:rPr>
        <w:footnoteReference w:id="12"/>
      </w:r>
    </w:p>
    <w:p w:rsidR="00013514" w:rsidP="00013514" w:rsidRDefault="00172CA6" w14:paraId="16D19B99" w14:textId="5C6DA74F">
      <w:pPr>
        <w:pStyle w:val="Body11ptCalibri-IPR"/>
        <w:spacing w:after="240"/>
      </w:pPr>
      <w:r>
        <w:t xml:space="preserve">The study team </w:t>
      </w:r>
      <w:r w:rsidR="00244CF7">
        <w:t>will base t</w:t>
      </w:r>
      <w:r w:rsidR="0069773E">
        <w:t>he formation of replicates and the definitions of variance strata on how the sample was</w:t>
      </w:r>
      <w:r w:rsidR="0069773E">
        <w:rPr>
          <w:spacing w:val="1"/>
        </w:rPr>
        <w:t xml:space="preserve"> </w:t>
      </w:r>
      <w:r w:rsidR="0069773E">
        <w:t>selected and will vary</w:t>
      </w:r>
      <w:r w:rsidR="00244CF7">
        <w:t xml:space="preserve"> the formation and definitions</w:t>
      </w:r>
      <w:r w:rsidR="0069773E">
        <w:t xml:space="preserve"> by sampling frame. </w:t>
      </w:r>
      <w:r>
        <w:t xml:space="preserve">The team </w:t>
      </w:r>
      <w:r w:rsidR="00244CF7">
        <w:t>will create r</w:t>
      </w:r>
      <w:r w:rsidR="0069773E">
        <w:t>eplicates and variance strata within each</w:t>
      </w:r>
      <w:r w:rsidR="0069773E">
        <w:rPr>
          <w:spacing w:val="1"/>
        </w:rPr>
        <w:t xml:space="preserve"> </w:t>
      </w:r>
      <w:r w:rsidR="0069773E">
        <w:t xml:space="preserve">sampling frame. </w:t>
      </w:r>
      <w:r>
        <w:t>V</w:t>
      </w:r>
      <w:r w:rsidR="0069773E">
        <w:t>ariance strata</w:t>
      </w:r>
      <w:r>
        <w:t xml:space="preserve"> will be defined</w:t>
      </w:r>
      <w:r w:rsidR="0069773E">
        <w:t xml:space="preserve"> as sampling strata nested within a sampling frame. To</w:t>
      </w:r>
      <w:r w:rsidR="0069773E">
        <w:rPr>
          <w:spacing w:val="1"/>
        </w:rPr>
        <w:t xml:space="preserve"> </w:t>
      </w:r>
      <w:r w:rsidR="0069773E">
        <w:t>create</w:t>
      </w:r>
      <w:r w:rsidR="0069773E">
        <w:rPr>
          <w:spacing w:val="-1"/>
        </w:rPr>
        <w:t xml:space="preserve"> </w:t>
      </w:r>
      <w:r w:rsidR="0069773E">
        <w:t>balance</w:t>
      </w:r>
      <w:r w:rsidR="0069773E">
        <w:rPr>
          <w:spacing w:val="-3"/>
        </w:rPr>
        <w:t xml:space="preserve"> </w:t>
      </w:r>
      <w:r w:rsidR="0069773E">
        <w:t>across</w:t>
      </w:r>
      <w:r w:rsidR="0069773E">
        <w:rPr>
          <w:spacing w:val="-2"/>
        </w:rPr>
        <w:t xml:space="preserve"> </w:t>
      </w:r>
      <w:r w:rsidR="0069773E">
        <w:t>the</w:t>
      </w:r>
      <w:r w:rsidR="0069773E">
        <w:rPr>
          <w:spacing w:val="-2"/>
        </w:rPr>
        <w:t xml:space="preserve"> </w:t>
      </w:r>
      <w:r w:rsidR="0069773E">
        <w:t>samples,</w:t>
      </w:r>
      <w:r w:rsidR="0069773E">
        <w:rPr>
          <w:spacing w:val="-2"/>
        </w:rPr>
        <w:t xml:space="preserve"> </w:t>
      </w:r>
      <w:r>
        <w:rPr>
          <w:spacing w:val="-2"/>
        </w:rPr>
        <w:t>the team</w:t>
      </w:r>
      <w:r w:rsidR="00244CF7">
        <w:rPr>
          <w:spacing w:val="-2"/>
        </w:rPr>
        <w:t xml:space="preserve"> will create </w:t>
      </w:r>
      <w:r w:rsidR="0069773E">
        <w:t>50</w:t>
      </w:r>
      <w:r w:rsidR="0069773E">
        <w:rPr>
          <w:spacing w:val="-2"/>
        </w:rPr>
        <w:t xml:space="preserve"> </w:t>
      </w:r>
      <w:r w:rsidR="0069773E">
        <w:t>replicates</w:t>
      </w:r>
      <w:r w:rsidR="0069773E">
        <w:rPr>
          <w:spacing w:val="-2"/>
        </w:rPr>
        <w:t xml:space="preserve"> </w:t>
      </w:r>
      <w:r w:rsidR="0069773E">
        <w:t>for</w:t>
      </w:r>
      <w:r w:rsidR="0069773E">
        <w:rPr>
          <w:spacing w:val="-3"/>
        </w:rPr>
        <w:t xml:space="preserve"> </w:t>
      </w:r>
      <w:r w:rsidR="0069773E">
        <w:t>each</w:t>
      </w:r>
      <w:r w:rsidR="0069773E">
        <w:rPr>
          <w:spacing w:val="-1"/>
        </w:rPr>
        <w:t xml:space="preserve"> </w:t>
      </w:r>
      <w:r w:rsidR="0069773E">
        <w:t>sampling</w:t>
      </w:r>
      <w:r w:rsidR="0069773E">
        <w:rPr>
          <w:spacing w:val="-3"/>
        </w:rPr>
        <w:t xml:space="preserve"> </w:t>
      </w:r>
      <w:r w:rsidR="0069773E">
        <w:t>frame</w:t>
      </w:r>
      <w:r w:rsidR="008830AA">
        <w:t>,</w:t>
      </w:r>
      <w:r w:rsidR="0069773E">
        <w:rPr>
          <w:spacing w:val="-2"/>
        </w:rPr>
        <w:t xml:space="preserve"> </w:t>
      </w:r>
      <w:r w:rsidR="0069773E">
        <w:t>for</w:t>
      </w:r>
      <w:r w:rsidR="0069773E">
        <w:rPr>
          <w:spacing w:val="-2"/>
        </w:rPr>
        <w:t xml:space="preserve"> </w:t>
      </w:r>
      <w:r w:rsidR="0069773E">
        <w:t>a</w:t>
      </w:r>
      <w:r w:rsidR="0069773E">
        <w:rPr>
          <w:spacing w:val="-3"/>
        </w:rPr>
        <w:t xml:space="preserve"> </w:t>
      </w:r>
      <w:r w:rsidR="0069773E">
        <w:t>total</w:t>
      </w:r>
      <w:r w:rsidR="00F67443">
        <w:t xml:space="preserve"> </w:t>
      </w:r>
      <w:r w:rsidR="0069773E">
        <w:t>of</w:t>
      </w:r>
      <w:r w:rsidR="0069773E">
        <w:rPr>
          <w:spacing w:val="-4"/>
        </w:rPr>
        <w:t xml:space="preserve"> </w:t>
      </w:r>
      <w:r w:rsidR="0069773E">
        <w:t>100</w:t>
      </w:r>
      <w:r w:rsidR="0069773E">
        <w:rPr>
          <w:spacing w:val="-2"/>
        </w:rPr>
        <w:t xml:space="preserve"> </w:t>
      </w:r>
      <w:r w:rsidR="0069773E">
        <w:t>replicates</w:t>
      </w:r>
      <w:r>
        <w:rPr>
          <w:spacing w:val="-3"/>
        </w:rPr>
        <w:t xml:space="preserve"> to </w:t>
      </w:r>
      <w:r w:rsidR="0069773E">
        <w:t>provide</w:t>
      </w:r>
      <w:r w:rsidR="0069773E">
        <w:rPr>
          <w:spacing w:val="-2"/>
        </w:rPr>
        <w:t xml:space="preserve"> </w:t>
      </w:r>
      <w:r w:rsidR="0069773E">
        <w:t>sufficient</w:t>
      </w:r>
      <w:r w:rsidR="0069773E">
        <w:rPr>
          <w:spacing w:val="-4"/>
        </w:rPr>
        <w:t xml:space="preserve"> </w:t>
      </w:r>
      <w:r w:rsidR="0069773E">
        <w:t>degrees</w:t>
      </w:r>
      <w:r w:rsidR="0069773E">
        <w:rPr>
          <w:spacing w:val="-2"/>
        </w:rPr>
        <w:t xml:space="preserve"> </w:t>
      </w:r>
      <w:r w:rsidR="0069773E">
        <w:t>of</w:t>
      </w:r>
      <w:r w:rsidR="0069773E">
        <w:rPr>
          <w:spacing w:val="-2"/>
        </w:rPr>
        <w:t xml:space="preserve"> </w:t>
      </w:r>
      <w:r w:rsidR="0069773E">
        <w:t>freedom</w:t>
      </w:r>
      <w:r w:rsidR="0069773E">
        <w:rPr>
          <w:spacing w:val="-3"/>
        </w:rPr>
        <w:t xml:space="preserve"> </w:t>
      </w:r>
      <w:r w:rsidR="0069773E">
        <w:t>and</w:t>
      </w:r>
      <w:r w:rsidR="0069773E">
        <w:rPr>
          <w:spacing w:val="-2"/>
        </w:rPr>
        <w:t xml:space="preserve"> </w:t>
      </w:r>
      <w:r w:rsidR="0069773E">
        <w:t>limit</w:t>
      </w:r>
      <w:r w:rsidR="0069773E">
        <w:rPr>
          <w:spacing w:val="-4"/>
        </w:rPr>
        <w:t xml:space="preserve"> </w:t>
      </w:r>
      <w:r w:rsidR="0069773E">
        <w:t>the</w:t>
      </w:r>
      <w:r w:rsidR="0069773E">
        <w:rPr>
          <w:spacing w:val="-2"/>
        </w:rPr>
        <w:t xml:space="preserve"> </w:t>
      </w:r>
      <w:r w:rsidR="0069773E">
        <w:t>number</w:t>
      </w:r>
      <w:r w:rsidR="0069773E">
        <w:rPr>
          <w:spacing w:val="-3"/>
        </w:rPr>
        <w:t xml:space="preserve"> </w:t>
      </w:r>
      <w:r w:rsidR="0069773E">
        <w:t>of</w:t>
      </w:r>
      <w:r w:rsidR="004304E5">
        <w:t xml:space="preserve"> </w:t>
      </w:r>
      <w:r w:rsidR="00244CF7">
        <w:t>w</w:t>
      </w:r>
      <w:r w:rsidR="0069773E">
        <w:t>eight</w:t>
      </w:r>
      <w:r w:rsidR="0069773E">
        <w:rPr>
          <w:spacing w:val="-1"/>
        </w:rPr>
        <w:t xml:space="preserve"> </w:t>
      </w:r>
      <w:r w:rsidR="0069773E">
        <w:t>variables, keeping</w:t>
      </w:r>
      <w:r w:rsidR="0069773E">
        <w:rPr>
          <w:spacing w:val="-1"/>
        </w:rPr>
        <w:t xml:space="preserve"> </w:t>
      </w:r>
      <w:r w:rsidR="0069773E">
        <w:t>the dataset</w:t>
      </w:r>
      <w:r w:rsidR="0069773E">
        <w:rPr>
          <w:spacing w:val="-2"/>
        </w:rPr>
        <w:t xml:space="preserve"> </w:t>
      </w:r>
      <w:r w:rsidR="0069773E">
        <w:t>manageable for data</w:t>
      </w:r>
      <w:r w:rsidR="0069773E">
        <w:rPr>
          <w:spacing w:val="-1"/>
        </w:rPr>
        <w:t xml:space="preserve"> </w:t>
      </w:r>
      <w:r w:rsidR="0069773E">
        <w:t>analysis.</w:t>
      </w:r>
    </w:p>
    <w:p w:rsidR="00013514" w:rsidP="00013514" w:rsidRDefault="002455B1" w14:paraId="4DCDF65A" w14:textId="77777777">
      <w:pPr>
        <w:pStyle w:val="Body11ptCalibri-IPR"/>
        <w:spacing w:after="240"/>
      </w:pPr>
      <w:r>
        <w:t>For the NAP list sample, the sampling unit is the household</w:t>
      </w:r>
      <w:r w:rsidR="00CA00FC">
        <w:t xml:space="preserve">, and </w:t>
      </w:r>
      <w:r w:rsidR="0069773E">
        <w:t>households will serve as the variance</w:t>
      </w:r>
      <w:r w:rsidR="0069773E">
        <w:rPr>
          <w:spacing w:val="1"/>
        </w:rPr>
        <w:t xml:space="preserve"> </w:t>
      </w:r>
      <w:r w:rsidR="0069773E">
        <w:t xml:space="preserve">units for this sample. </w:t>
      </w:r>
      <w:r w:rsidR="00CA00FC">
        <w:t>For the area probability sample, there are two stages of selection, with households sampled within</w:t>
      </w:r>
      <w:r w:rsidR="00CA00FC">
        <w:rPr>
          <w:spacing w:val="1"/>
        </w:rPr>
        <w:t xml:space="preserve"> </w:t>
      </w:r>
      <w:r w:rsidR="00CA00FC">
        <w:t>sampled</w:t>
      </w:r>
      <w:r w:rsidR="00CA00FC">
        <w:rPr>
          <w:spacing w:val="-3"/>
        </w:rPr>
        <w:t xml:space="preserve"> </w:t>
      </w:r>
      <w:r w:rsidR="00CA00FC">
        <w:t xml:space="preserve">segments. </w:t>
      </w:r>
      <w:r w:rsidR="0069773E">
        <w:t>The variance strata definition will mirror the definition of the strata defined for</w:t>
      </w:r>
      <w:r w:rsidR="0069773E">
        <w:rPr>
          <w:spacing w:val="1"/>
        </w:rPr>
        <w:t xml:space="preserve"> </w:t>
      </w:r>
      <w:r w:rsidR="0069773E">
        <w:t>sampling</w:t>
      </w:r>
      <w:r w:rsidR="00CA00FC">
        <w:t>, with combining of strata as needed to obtain 50 replicates associated with each of the two samples</w:t>
      </w:r>
      <w:r w:rsidR="0069773E">
        <w:t xml:space="preserve">. </w:t>
      </w:r>
      <w:r w:rsidR="00172CA6">
        <w:t xml:space="preserve">The study team </w:t>
      </w:r>
      <w:r w:rsidR="00244CF7">
        <w:t>will use t</w:t>
      </w:r>
      <w:r w:rsidR="0069773E">
        <w:t xml:space="preserve">he </w:t>
      </w:r>
      <w:r w:rsidR="0071635E">
        <w:t>stratified</w:t>
      </w:r>
      <w:r w:rsidR="0069773E">
        <w:t xml:space="preserve"> jackknife</w:t>
      </w:r>
      <w:r w:rsidR="0071635E">
        <w:t xml:space="preserve"> </w:t>
      </w:r>
      <w:r w:rsidR="0069773E">
        <w:t>replication method (</w:t>
      </w:r>
      <w:r w:rsidR="0071635E">
        <w:t xml:space="preserve">JKn) </w:t>
      </w:r>
      <w:r w:rsidR="00CA00FC">
        <w:t>to create replicates. For the NAP list sample, w</w:t>
      </w:r>
      <w:r w:rsidR="0069773E">
        <w:t>ithin</w:t>
      </w:r>
      <w:r w:rsidR="0069773E">
        <w:rPr>
          <w:spacing w:val="-2"/>
        </w:rPr>
        <w:t xml:space="preserve"> </w:t>
      </w:r>
      <w:r w:rsidR="0069773E">
        <w:t>each</w:t>
      </w:r>
      <w:r w:rsidR="0069773E">
        <w:rPr>
          <w:spacing w:val="-2"/>
        </w:rPr>
        <w:t xml:space="preserve"> </w:t>
      </w:r>
      <w:r w:rsidR="0069773E">
        <w:t>variance</w:t>
      </w:r>
      <w:r w:rsidR="0069773E">
        <w:rPr>
          <w:spacing w:val="-1"/>
        </w:rPr>
        <w:t xml:space="preserve"> </w:t>
      </w:r>
      <w:r w:rsidR="0069773E">
        <w:t>stratum,</w:t>
      </w:r>
      <w:r w:rsidR="0069773E">
        <w:rPr>
          <w:spacing w:val="-2"/>
        </w:rPr>
        <w:t xml:space="preserve"> </w:t>
      </w:r>
      <w:r w:rsidR="00172CA6">
        <w:t>the team</w:t>
      </w:r>
      <w:r w:rsidR="0069773E">
        <w:rPr>
          <w:spacing w:val="-1"/>
        </w:rPr>
        <w:t xml:space="preserve"> </w:t>
      </w:r>
      <w:r w:rsidR="0069773E">
        <w:t>will</w:t>
      </w:r>
      <w:r w:rsidR="0069773E">
        <w:rPr>
          <w:spacing w:val="-2"/>
        </w:rPr>
        <w:t xml:space="preserve"> </w:t>
      </w:r>
      <w:r w:rsidR="0069773E">
        <w:t>form</w:t>
      </w:r>
      <w:r w:rsidR="0069773E">
        <w:rPr>
          <w:spacing w:val="-2"/>
        </w:rPr>
        <w:t xml:space="preserve"> </w:t>
      </w:r>
      <w:r w:rsidR="0069773E">
        <w:t>equal‐sized</w:t>
      </w:r>
      <w:r w:rsidR="0069773E">
        <w:rPr>
          <w:spacing w:val="-2"/>
        </w:rPr>
        <w:t xml:space="preserve"> </w:t>
      </w:r>
      <w:r w:rsidR="0069773E">
        <w:t>clusters</w:t>
      </w:r>
      <w:r w:rsidR="0069773E">
        <w:rPr>
          <w:spacing w:val="-1"/>
        </w:rPr>
        <w:t xml:space="preserve"> </w:t>
      </w:r>
      <w:r w:rsidR="0069773E">
        <w:t>(groups)</w:t>
      </w:r>
      <w:r w:rsidR="0069773E">
        <w:rPr>
          <w:spacing w:val="-2"/>
        </w:rPr>
        <w:t xml:space="preserve"> </w:t>
      </w:r>
      <w:r w:rsidR="0069773E">
        <w:t>of</w:t>
      </w:r>
      <w:r w:rsidR="0069773E">
        <w:rPr>
          <w:spacing w:val="-2"/>
        </w:rPr>
        <w:t xml:space="preserve"> </w:t>
      </w:r>
      <w:r w:rsidR="0069773E">
        <w:t>sampled</w:t>
      </w:r>
      <w:r w:rsidR="0069773E">
        <w:rPr>
          <w:spacing w:val="-1"/>
        </w:rPr>
        <w:t xml:space="preserve"> </w:t>
      </w:r>
      <w:r w:rsidR="0071635E">
        <w:t xml:space="preserve">households </w:t>
      </w:r>
      <w:r w:rsidR="0069773E">
        <w:t>by</w:t>
      </w:r>
      <w:r w:rsidR="0069773E">
        <w:rPr>
          <w:spacing w:val="-2"/>
        </w:rPr>
        <w:t xml:space="preserve"> </w:t>
      </w:r>
      <w:r w:rsidR="0069773E">
        <w:t>randomly</w:t>
      </w:r>
      <w:r w:rsidR="0069773E">
        <w:rPr>
          <w:spacing w:val="2"/>
        </w:rPr>
        <w:t xml:space="preserve"> </w:t>
      </w:r>
      <w:r w:rsidR="0069773E">
        <w:t>grouping</w:t>
      </w:r>
      <w:r w:rsidR="0069773E">
        <w:rPr>
          <w:spacing w:val="1"/>
        </w:rPr>
        <w:t xml:space="preserve"> </w:t>
      </w:r>
      <w:r w:rsidR="0069773E">
        <w:t>them</w:t>
      </w:r>
      <w:r w:rsidR="0069773E">
        <w:rPr>
          <w:spacing w:val="-1"/>
        </w:rPr>
        <w:t xml:space="preserve"> </w:t>
      </w:r>
      <w:r w:rsidR="0069773E">
        <w:t>to</w:t>
      </w:r>
      <w:r w:rsidR="0069773E">
        <w:rPr>
          <w:spacing w:val="-1"/>
        </w:rPr>
        <w:t xml:space="preserve"> </w:t>
      </w:r>
      <w:r w:rsidR="0069773E">
        <w:t>create</w:t>
      </w:r>
      <w:r w:rsidR="0069773E">
        <w:rPr>
          <w:spacing w:val="-2"/>
        </w:rPr>
        <w:t xml:space="preserve"> </w:t>
      </w:r>
      <w:r w:rsidR="0071635E">
        <w:t>50 replicates</w:t>
      </w:r>
      <w:r w:rsidR="0069773E">
        <w:t>.</w:t>
      </w:r>
    </w:p>
    <w:p w:rsidR="00013514" w:rsidP="00013514" w:rsidRDefault="00172CA6" w14:paraId="07B83E68" w14:textId="77777777">
      <w:pPr>
        <w:pStyle w:val="Body11ptCalibri-IPR"/>
        <w:spacing w:after="240"/>
      </w:pPr>
      <w:r>
        <w:t xml:space="preserve">The study team </w:t>
      </w:r>
      <w:r w:rsidR="00244CF7">
        <w:t>will also use t</w:t>
      </w:r>
      <w:r w:rsidR="0069773E">
        <w:t>he</w:t>
      </w:r>
      <w:r w:rsidR="0069773E">
        <w:rPr>
          <w:spacing w:val="-3"/>
        </w:rPr>
        <w:t xml:space="preserve"> </w:t>
      </w:r>
      <w:r w:rsidR="0069773E">
        <w:t>adjustments</w:t>
      </w:r>
      <w:r w:rsidR="0069773E">
        <w:rPr>
          <w:spacing w:val="-2"/>
        </w:rPr>
        <w:t xml:space="preserve"> </w:t>
      </w:r>
      <w:r w:rsidR="0069773E">
        <w:t>that</w:t>
      </w:r>
      <w:r w:rsidR="0069773E">
        <w:rPr>
          <w:spacing w:val="-1"/>
        </w:rPr>
        <w:t xml:space="preserve"> </w:t>
      </w:r>
      <w:r w:rsidR="0069773E">
        <w:t>produce</w:t>
      </w:r>
      <w:r w:rsidR="0069773E">
        <w:rPr>
          <w:spacing w:val="-2"/>
        </w:rPr>
        <w:t xml:space="preserve"> </w:t>
      </w:r>
      <w:r w:rsidR="0069773E">
        <w:t>the</w:t>
      </w:r>
      <w:r w:rsidR="0069773E">
        <w:rPr>
          <w:spacing w:val="-2"/>
        </w:rPr>
        <w:t xml:space="preserve"> </w:t>
      </w:r>
      <w:r w:rsidR="0069773E">
        <w:t>full sample</w:t>
      </w:r>
      <w:r w:rsidR="0069773E">
        <w:rPr>
          <w:spacing w:val="-2"/>
        </w:rPr>
        <w:t xml:space="preserve"> </w:t>
      </w:r>
      <w:r w:rsidR="0069773E">
        <w:t>weight</w:t>
      </w:r>
      <w:r w:rsidR="0069773E">
        <w:rPr>
          <w:spacing w:val="-2"/>
        </w:rPr>
        <w:t xml:space="preserve"> </w:t>
      </w:r>
      <w:r w:rsidR="0069773E">
        <w:t>in computing the replicate weights, with the adjustment factors computed separately</w:t>
      </w:r>
      <w:r w:rsidR="0069773E">
        <w:rPr>
          <w:spacing w:val="1"/>
        </w:rPr>
        <w:t xml:space="preserve"> </w:t>
      </w:r>
      <w:r w:rsidR="0069773E">
        <w:t>within</w:t>
      </w:r>
      <w:r w:rsidR="0069773E">
        <w:rPr>
          <w:spacing w:val="-1"/>
        </w:rPr>
        <w:t xml:space="preserve"> </w:t>
      </w:r>
      <w:r w:rsidR="0069773E">
        <w:t>each replicate.</w:t>
      </w:r>
    </w:p>
    <w:p w:rsidR="007B5641" w:rsidP="00013514" w:rsidRDefault="007B5641" w14:paraId="7BB9AC14" w14:textId="0B4C4323">
      <w:pPr>
        <w:pStyle w:val="Body11ptCalibri-IPR"/>
        <w:spacing w:after="240"/>
      </w:pPr>
      <w:r>
        <w:t>The</w:t>
      </w:r>
      <w:r>
        <w:rPr>
          <w:spacing w:val="-5"/>
        </w:rPr>
        <w:t xml:space="preserve"> </w:t>
      </w:r>
      <w:r>
        <w:t>final</w:t>
      </w:r>
      <w:r>
        <w:rPr>
          <w:spacing w:val="-4"/>
        </w:rPr>
        <w:t xml:space="preserve"> </w:t>
      </w:r>
      <w:r>
        <w:t>weighted</w:t>
      </w:r>
      <w:r>
        <w:rPr>
          <w:spacing w:val="-4"/>
        </w:rPr>
        <w:t xml:space="preserve"> </w:t>
      </w:r>
      <w:r>
        <w:t>sample</w:t>
      </w:r>
      <w:r>
        <w:rPr>
          <w:spacing w:val="-3"/>
        </w:rPr>
        <w:t xml:space="preserve"> </w:t>
      </w:r>
      <w:r>
        <w:t>of</w:t>
      </w:r>
      <w:r>
        <w:rPr>
          <w:spacing w:val="-4"/>
        </w:rPr>
        <w:t xml:space="preserve"> </w:t>
      </w:r>
      <w:r>
        <w:t>responding</w:t>
      </w:r>
      <w:r>
        <w:rPr>
          <w:spacing w:val="-4"/>
        </w:rPr>
        <w:t xml:space="preserve"> </w:t>
      </w:r>
      <w:r>
        <w:t>households</w:t>
      </w:r>
      <w:r>
        <w:rPr>
          <w:spacing w:val="-2"/>
        </w:rPr>
        <w:t xml:space="preserve"> </w:t>
      </w:r>
      <w:r>
        <w:t>will</w:t>
      </w:r>
      <w:r>
        <w:rPr>
          <w:spacing w:val="-3"/>
        </w:rPr>
        <w:t xml:space="preserve"> </w:t>
      </w:r>
      <w:r>
        <w:t>represent</w:t>
      </w:r>
      <w:r>
        <w:rPr>
          <w:spacing w:val="-4"/>
        </w:rPr>
        <w:t xml:space="preserve"> </w:t>
      </w:r>
      <w:r>
        <w:t>the</w:t>
      </w:r>
      <w:r>
        <w:rPr>
          <w:spacing w:val="-4"/>
        </w:rPr>
        <w:t xml:space="preserve"> </w:t>
      </w:r>
      <w:r>
        <w:t>population</w:t>
      </w:r>
      <w:r>
        <w:rPr>
          <w:spacing w:val="-4"/>
        </w:rPr>
        <w:t xml:space="preserve"> </w:t>
      </w:r>
      <w:r>
        <w:t>of</w:t>
      </w:r>
      <w:r>
        <w:rPr>
          <w:spacing w:val="-4"/>
        </w:rPr>
        <w:t xml:space="preserve"> </w:t>
      </w:r>
      <w:r>
        <w:t>households</w:t>
      </w:r>
      <w:r>
        <w:rPr>
          <w:spacing w:val="-4"/>
        </w:rPr>
        <w:t xml:space="preserve"> </w:t>
      </w:r>
      <w:r w:rsidR="00CA00FC">
        <w:t>in P</w:t>
      </w:r>
      <w:r>
        <w:t>uerto</w:t>
      </w:r>
      <w:r>
        <w:rPr>
          <w:spacing w:val="-2"/>
        </w:rPr>
        <w:t xml:space="preserve"> </w:t>
      </w:r>
      <w:r>
        <w:t>Rico.</w:t>
      </w:r>
      <w:r w:rsidR="00244CF7">
        <w:t xml:space="preserve"> </w:t>
      </w:r>
      <w:r w:rsidR="00172CA6">
        <w:t>The study team</w:t>
      </w:r>
      <w:r w:rsidR="00244CF7">
        <w:t xml:space="preserve"> will attach t</w:t>
      </w:r>
      <w:r>
        <w:t>he final</w:t>
      </w:r>
      <w:r w:rsidR="00CA00FC">
        <w:t xml:space="preserve"> full-sample</w:t>
      </w:r>
      <w:r>
        <w:t xml:space="preserve"> weight and corresponding replicate</w:t>
      </w:r>
      <w:r>
        <w:rPr>
          <w:spacing w:val="1"/>
        </w:rPr>
        <w:t xml:space="preserve"> </w:t>
      </w:r>
      <w:r>
        <w:t>weights</w:t>
      </w:r>
      <w:r>
        <w:rPr>
          <w:spacing w:val="-1"/>
        </w:rPr>
        <w:t xml:space="preserve"> </w:t>
      </w:r>
      <w:r>
        <w:t>to the</w:t>
      </w:r>
      <w:r>
        <w:rPr>
          <w:spacing w:val="-1"/>
        </w:rPr>
        <w:t xml:space="preserve"> </w:t>
      </w:r>
      <w:r>
        <w:t>respondents’</w:t>
      </w:r>
      <w:r>
        <w:rPr>
          <w:spacing w:val="-1"/>
        </w:rPr>
        <w:t xml:space="preserve"> </w:t>
      </w:r>
      <w:r>
        <w:t>survey</w:t>
      </w:r>
      <w:r>
        <w:rPr>
          <w:spacing w:val="-2"/>
        </w:rPr>
        <w:t xml:space="preserve"> </w:t>
      </w:r>
      <w:r>
        <w:t>records</w:t>
      </w:r>
      <w:r>
        <w:rPr>
          <w:spacing w:val="-2"/>
        </w:rPr>
        <w:t xml:space="preserve"> </w:t>
      </w:r>
      <w:r>
        <w:t>(as</w:t>
      </w:r>
      <w:r>
        <w:rPr>
          <w:spacing w:val="-4"/>
        </w:rPr>
        <w:t xml:space="preserve"> </w:t>
      </w:r>
      <w:r>
        <w:t>variables</w:t>
      </w:r>
      <w:r>
        <w:rPr>
          <w:spacing w:val="-1"/>
        </w:rPr>
        <w:t xml:space="preserve"> </w:t>
      </w:r>
      <w:r>
        <w:t>in</w:t>
      </w:r>
      <w:r>
        <w:rPr>
          <w:spacing w:val="-2"/>
        </w:rPr>
        <w:t xml:space="preserve"> </w:t>
      </w:r>
      <w:r>
        <w:t>the dataset)</w:t>
      </w:r>
      <w:r>
        <w:rPr>
          <w:spacing w:val="-1"/>
        </w:rPr>
        <w:t xml:space="preserve"> </w:t>
      </w:r>
      <w:r>
        <w:t>for</w:t>
      </w:r>
      <w:r>
        <w:rPr>
          <w:spacing w:val="-1"/>
        </w:rPr>
        <w:t xml:space="preserve"> </w:t>
      </w:r>
      <w:r>
        <w:t>use</w:t>
      </w:r>
      <w:r>
        <w:rPr>
          <w:spacing w:val="-2"/>
        </w:rPr>
        <w:t xml:space="preserve"> </w:t>
      </w:r>
      <w:r w:rsidR="00CA00FC">
        <w:t>in a</w:t>
      </w:r>
      <w:r>
        <w:t>nalyses. The dataset will contain one record for each responde</w:t>
      </w:r>
      <w:r w:rsidR="00CA00FC">
        <w:t>nt, with corresponding household w</w:t>
      </w:r>
      <w:r>
        <w:t>eights.</w:t>
      </w:r>
    </w:p>
    <w:p w:rsidRPr="00B62368" w:rsidR="003E223D" w:rsidP="00960E81" w:rsidRDefault="006E04B2" w14:paraId="2DDE8AF1" w14:textId="50919D24">
      <w:pPr>
        <w:pStyle w:val="Heading4NoLetter-IPR"/>
        <w:spacing w:before="360" w:after="120"/>
      </w:pPr>
      <w:r>
        <w:lastRenderedPageBreak/>
        <w:t>B.2.3</w:t>
      </w:r>
      <w:r w:rsidR="005F44AE">
        <w:t>.</w:t>
      </w:r>
      <w:r>
        <w:tab/>
      </w:r>
      <w:r w:rsidR="003E223D">
        <w:t>Degree of Accuracy Needed for the Purpose Described in the Justification</w:t>
      </w:r>
    </w:p>
    <w:p w:rsidRPr="00EF57BE" w:rsidR="003D5F5A" w:rsidP="00960E81" w:rsidRDefault="00172CA6" w14:paraId="67EE6975" w14:textId="76014CBD">
      <w:pPr>
        <w:pStyle w:val="Body11ptCalibri-IPR"/>
      </w:pPr>
      <w:r>
        <w:t>T</w:t>
      </w:r>
      <w:r w:rsidR="003D5F5A">
        <w:t>he</w:t>
      </w:r>
      <w:r w:rsidR="003D5F5A">
        <w:rPr>
          <w:spacing w:val="-4"/>
        </w:rPr>
        <w:t xml:space="preserve"> </w:t>
      </w:r>
      <w:r w:rsidR="003D5F5A">
        <w:t>sample</w:t>
      </w:r>
      <w:r>
        <w:t xml:space="preserve"> was designed</w:t>
      </w:r>
      <w:r w:rsidR="003D5F5A">
        <w:rPr>
          <w:spacing w:val="-4"/>
        </w:rPr>
        <w:t xml:space="preserve"> </w:t>
      </w:r>
      <w:r w:rsidR="003D5F5A">
        <w:t>to</w:t>
      </w:r>
      <w:r w:rsidR="003D5F5A">
        <w:rPr>
          <w:spacing w:val="-3"/>
        </w:rPr>
        <w:t xml:space="preserve"> </w:t>
      </w:r>
      <w:r w:rsidR="003D5F5A">
        <w:t>support</w:t>
      </w:r>
      <w:r w:rsidR="003D5F5A">
        <w:rPr>
          <w:spacing w:val="-2"/>
        </w:rPr>
        <w:t xml:space="preserve"> </w:t>
      </w:r>
      <w:r w:rsidR="003D5F5A">
        <w:t>estimates</w:t>
      </w:r>
      <w:r w:rsidR="003D5F5A">
        <w:rPr>
          <w:spacing w:val="-3"/>
        </w:rPr>
        <w:t xml:space="preserve"> </w:t>
      </w:r>
      <w:r w:rsidR="003D5F5A">
        <w:t>for</w:t>
      </w:r>
      <w:r w:rsidR="003D5F5A">
        <w:rPr>
          <w:spacing w:val="-3"/>
        </w:rPr>
        <w:t xml:space="preserve"> </w:t>
      </w:r>
      <w:r w:rsidR="003D5F5A">
        <w:t>the</w:t>
      </w:r>
      <w:r w:rsidR="003D5F5A">
        <w:rPr>
          <w:spacing w:val="-2"/>
        </w:rPr>
        <w:t xml:space="preserve"> </w:t>
      </w:r>
      <w:r w:rsidR="003D5F5A">
        <w:t>overall</w:t>
      </w:r>
      <w:r w:rsidR="003D5F5A">
        <w:rPr>
          <w:spacing w:val="-4"/>
        </w:rPr>
        <w:t xml:space="preserve"> </w:t>
      </w:r>
      <w:r w:rsidR="007D24AD">
        <w:rPr>
          <w:spacing w:val="-4"/>
        </w:rPr>
        <w:t xml:space="preserve">household </w:t>
      </w:r>
      <w:r w:rsidR="003D5F5A">
        <w:t>population</w:t>
      </w:r>
      <w:r w:rsidR="003D5F5A">
        <w:rPr>
          <w:spacing w:val="-4"/>
        </w:rPr>
        <w:t xml:space="preserve"> </w:t>
      </w:r>
      <w:r w:rsidR="003D5F5A">
        <w:t>of</w:t>
      </w:r>
      <w:r w:rsidR="003D5F5A">
        <w:rPr>
          <w:spacing w:val="-4"/>
        </w:rPr>
        <w:t xml:space="preserve"> </w:t>
      </w:r>
      <w:r w:rsidR="003D5F5A">
        <w:t>Puerto</w:t>
      </w:r>
      <w:r w:rsidR="003D5F5A">
        <w:rPr>
          <w:spacing w:val="-3"/>
        </w:rPr>
        <w:t xml:space="preserve"> </w:t>
      </w:r>
      <w:r w:rsidR="003D5F5A">
        <w:t>Rico</w:t>
      </w:r>
      <w:r w:rsidR="003D5F5A">
        <w:rPr>
          <w:spacing w:val="-4"/>
        </w:rPr>
        <w:t xml:space="preserve"> </w:t>
      </w:r>
      <w:r w:rsidR="003D5F5A">
        <w:t>and</w:t>
      </w:r>
      <w:r w:rsidR="003D5F5A">
        <w:rPr>
          <w:spacing w:val="-3"/>
        </w:rPr>
        <w:t xml:space="preserve"> </w:t>
      </w:r>
      <w:r w:rsidR="003D5F5A">
        <w:t>key</w:t>
      </w:r>
      <w:r w:rsidR="003D5F5A">
        <w:rPr>
          <w:spacing w:val="-4"/>
        </w:rPr>
        <w:t xml:space="preserve"> </w:t>
      </w:r>
      <w:r w:rsidR="007D24AD">
        <w:rPr>
          <w:spacing w:val="-4"/>
        </w:rPr>
        <w:t xml:space="preserve">household </w:t>
      </w:r>
      <w:r w:rsidR="003D5F5A">
        <w:t>subgroups</w:t>
      </w:r>
      <w:r w:rsidR="003D5F5A">
        <w:rPr>
          <w:spacing w:val="1"/>
        </w:rPr>
        <w:t xml:space="preserve"> </w:t>
      </w:r>
      <w:r w:rsidR="003D5F5A">
        <w:t xml:space="preserve">for the baseline study and a </w:t>
      </w:r>
      <w:r w:rsidR="005911CB">
        <w:t>2</w:t>
      </w:r>
      <w:r w:rsidR="003D5F5A">
        <w:t>‐year follow‐up with a margin of error of ±5 percent</w:t>
      </w:r>
      <w:r w:rsidR="007D24AD">
        <w:t xml:space="preserve"> for</w:t>
      </w:r>
      <w:r w:rsidR="003D5F5A">
        <w:t xml:space="preserve"> a 95</w:t>
      </w:r>
      <w:r w:rsidR="005911CB">
        <w:t xml:space="preserve"> </w:t>
      </w:r>
      <w:r w:rsidR="003D5F5A">
        <w:t>percent</w:t>
      </w:r>
      <w:r w:rsidR="003D5F5A">
        <w:rPr>
          <w:spacing w:val="1"/>
        </w:rPr>
        <w:t xml:space="preserve"> </w:t>
      </w:r>
      <w:r w:rsidR="003D5F5A">
        <w:t xml:space="preserve">confidence interval for a binary statistic with a response of 50 percent in each category. This means for </w:t>
      </w:r>
      <w:r w:rsidR="007D24AD">
        <w:t>a b</w:t>
      </w:r>
      <w:r w:rsidR="003D5F5A">
        <w:t xml:space="preserve">inary characteristic possessed by 50 percent of the population, the margin of error of </w:t>
      </w:r>
      <w:r w:rsidR="007D24AD">
        <w:t xml:space="preserve">a 95 percent confidence interval on </w:t>
      </w:r>
      <w:r w:rsidR="003D5F5A">
        <w:t>the estimate</w:t>
      </w:r>
      <w:r w:rsidR="003D5F5A">
        <w:rPr>
          <w:spacing w:val="1"/>
        </w:rPr>
        <w:t xml:space="preserve"> </w:t>
      </w:r>
      <w:r w:rsidR="003D5F5A">
        <w:t>would be expected to be 5 percentage points. For example, if 50 percent of households in Puerto Rico</w:t>
      </w:r>
      <w:r w:rsidR="003D5F5A">
        <w:rPr>
          <w:spacing w:val="1"/>
        </w:rPr>
        <w:t xml:space="preserve"> </w:t>
      </w:r>
      <w:r w:rsidR="003D5F5A">
        <w:t>are food insecure, a 95</w:t>
      </w:r>
      <w:r w:rsidR="0092428C">
        <w:t xml:space="preserve"> </w:t>
      </w:r>
      <w:r w:rsidR="003D5F5A">
        <w:t>percent confidence interval for that estimate would be expected to go from 45</w:t>
      </w:r>
      <w:r w:rsidR="003D5F5A">
        <w:rPr>
          <w:spacing w:val="1"/>
        </w:rPr>
        <w:t xml:space="preserve"> </w:t>
      </w:r>
      <w:r w:rsidR="003D5F5A">
        <w:t>percent to 55 percent.</w:t>
      </w:r>
      <w:r w:rsidR="007D24AD">
        <w:t xml:space="preserve"> </w:t>
      </w:r>
      <w:r w:rsidR="003D5F5A">
        <w:t>To</w:t>
      </w:r>
      <w:r w:rsidR="003D5F5A">
        <w:rPr>
          <w:spacing w:val="1"/>
        </w:rPr>
        <w:t xml:space="preserve"> </w:t>
      </w:r>
      <w:r w:rsidR="003D5F5A">
        <w:t>achieve the target level of precision, the required effective sample size (i.e., the nominal sample size</w:t>
      </w:r>
      <w:r w:rsidR="003D5F5A">
        <w:rPr>
          <w:spacing w:val="1"/>
        </w:rPr>
        <w:t xml:space="preserve"> </w:t>
      </w:r>
      <w:r w:rsidR="003D5F5A">
        <w:t>divided</w:t>
      </w:r>
      <w:r w:rsidR="003D5F5A">
        <w:rPr>
          <w:spacing w:val="-1"/>
        </w:rPr>
        <w:t xml:space="preserve"> </w:t>
      </w:r>
      <w:r w:rsidR="003D5F5A">
        <w:t>by</w:t>
      </w:r>
      <w:r w:rsidR="003D5F5A">
        <w:rPr>
          <w:spacing w:val="-2"/>
        </w:rPr>
        <w:t xml:space="preserve"> </w:t>
      </w:r>
      <w:r w:rsidR="003D5F5A">
        <w:t>the</w:t>
      </w:r>
      <w:r w:rsidR="003D5F5A">
        <w:rPr>
          <w:spacing w:val="-2"/>
        </w:rPr>
        <w:t xml:space="preserve"> </w:t>
      </w:r>
      <w:r w:rsidR="003D5F5A">
        <w:t>expected</w:t>
      </w:r>
      <w:r w:rsidR="003D5F5A">
        <w:rPr>
          <w:spacing w:val="-1"/>
        </w:rPr>
        <w:t xml:space="preserve"> </w:t>
      </w:r>
      <w:r w:rsidR="003D5F5A">
        <w:t>design</w:t>
      </w:r>
      <w:r w:rsidR="003D5F5A">
        <w:rPr>
          <w:spacing w:val="-2"/>
        </w:rPr>
        <w:t xml:space="preserve"> </w:t>
      </w:r>
      <w:r w:rsidR="003D5F5A">
        <w:t>effect) can</w:t>
      </w:r>
      <w:r w:rsidR="003D5F5A">
        <w:rPr>
          <w:spacing w:val="-2"/>
        </w:rPr>
        <w:t xml:space="preserve"> </w:t>
      </w:r>
      <w:r w:rsidR="003D5F5A">
        <w:t>be computed</w:t>
      </w:r>
      <w:r w:rsidR="003D5F5A">
        <w:rPr>
          <w:spacing w:val="-2"/>
        </w:rPr>
        <w:t xml:space="preserve"> </w:t>
      </w:r>
      <w:r w:rsidR="003D5F5A">
        <w:t>by</w:t>
      </w:r>
      <w:r w:rsidR="003D5F5A">
        <w:rPr>
          <w:spacing w:val="-2"/>
        </w:rPr>
        <w:t xml:space="preserve"> </w:t>
      </w:r>
      <w:r w:rsidR="003D5F5A">
        <w:t>solving</w:t>
      </w:r>
      <w:r w:rsidR="003D5F5A">
        <w:rPr>
          <w:spacing w:val="-2"/>
        </w:rPr>
        <w:t xml:space="preserve"> </w:t>
      </w:r>
      <w:r w:rsidR="003D5F5A">
        <w:t>for</w:t>
      </w:r>
      <w:r w:rsidR="003D5F5A">
        <w:rPr>
          <w:spacing w:val="-2"/>
        </w:rPr>
        <w:t xml:space="preserve"> </w:t>
      </w:r>
      <w:r w:rsidRPr="00D31EC9" w:rsidR="003D5F5A">
        <w:rPr>
          <w:i/>
          <w:iCs/>
        </w:rPr>
        <w:t>n</w:t>
      </w:r>
      <w:r w:rsidR="003D5F5A">
        <w:rPr>
          <w:spacing w:val="-1"/>
        </w:rPr>
        <w:t xml:space="preserve"> </w:t>
      </w:r>
      <w:r w:rsidR="003D5F5A">
        <w:t>in</w:t>
      </w:r>
      <w:r w:rsidR="003D5F5A">
        <w:rPr>
          <w:spacing w:val="-1"/>
        </w:rPr>
        <w:t xml:space="preserve"> </w:t>
      </w:r>
      <w:r w:rsidR="003D5F5A">
        <w:t>the following:</w:t>
      </w:r>
    </w:p>
    <w:p w:rsidRPr="00DE11DF" w:rsidR="003D5F5A" w:rsidP="00DE11DF" w:rsidRDefault="003D5F5A" w14:paraId="6F9847C8" w14:textId="12EDAE8F">
      <w:pPr>
        <w:pStyle w:val="Body11ptCalibri-IPR"/>
        <w:jc w:val="center"/>
      </w:pPr>
      <w:r>
        <w:t>1.96*sqrt(</w:t>
      </w:r>
      <w:r>
        <w:rPr>
          <w:i/>
        </w:rPr>
        <w:t>p</w:t>
      </w:r>
      <w:r>
        <w:t>*(1‐</w:t>
      </w:r>
      <w:r>
        <w:rPr>
          <w:i/>
        </w:rPr>
        <w:t>p</w:t>
      </w:r>
      <w:r>
        <w:t>)/</w:t>
      </w:r>
      <w:r>
        <w:rPr>
          <w:i/>
        </w:rPr>
        <w:t>n</w:t>
      </w:r>
      <w:r>
        <w:t>)</w:t>
      </w:r>
      <w:r>
        <w:rPr>
          <w:spacing w:val="-4"/>
        </w:rPr>
        <w:t xml:space="preserve"> </w:t>
      </w:r>
      <w:r>
        <w:t>≤</w:t>
      </w:r>
      <w:r>
        <w:rPr>
          <w:spacing w:val="-3"/>
        </w:rPr>
        <w:t xml:space="preserve"> </w:t>
      </w:r>
      <w:r>
        <w:t>0.05</w:t>
      </w:r>
    </w:p>
    <w:p w:rsidR="00013514" w:rsidP="00013514" w:rsidRDefault="003D5F5A" w14:paraId="680B194F" w14:textId="77777777">
      <w:pPr>
        <w:pStyle w:val="Body11ptCalibri-IPR"/>
        <w:spacing w:after="240"/>
      </w:pPr>
      <w:r>
        <w:t xml:space="preserve">where </w:t>
      </w:r>
      <w:r>
        <w:rPr>
          <w:i/>
        </w:rPr>
        <w:t xml:space="preserve">p </w:t>
      </w:r>
      <w:r>
        <w:t xml:space="preserve">= 0.5 and </w:t>
      </w:r>
      <w:r>
        <w:rPr>
          <w:i/>
        </w:rPr>
        <w:t xml:space="preserve">n </w:t>
      </w:r>
      <w:r>
        <w:t>= the effective sample size. Based on this com</w:t>
      </w:r>
      <w:r w:rsidR="007D24AD">
        <w:t>putation, at least 400 effective c</w:t>
      </w:r>
      <w:r>
        <w:t>ompleted</w:t>
      </w:r>
      <w:r>
        <w:rPr>
          <w:spacing w:val="-2"/>
        </w:rPr>
        <w:t xml:space="preserve"> </w:t>
      </w:r>
      <w:r>
        <w:t>surveys</w:t>
      </w:r>
      <w:r>
        <w:rPr>
          <w:spacing w:val="-2"/>
        </w:rPr>
        <w:t xml:space="preserve"> </w:t>
      </w:r>
      <w:r>
        <w:t>are</w:t>
      </w:r>
      <w:r>
        <w:rPr>
          <w:spacing w:val="-2"/>
        </w:rPr>
        <w:t xml:space="preserve"> </w:t>
      </w:r>
      <w:r>
        <w:t>required</w:t>
      </w:r>
      <w:r>
        <w:rPr>
          <w:spacing w:val="-3"/>
        </w:rPr>
        <w:t xml:space="preserve"> </w:t>
      </w:r>
      <w:r>
        <w:t>for</w:t>
      </w:r>
      <w:r>
        <w:rPr>
          <w:spacing w:val="-2"/>
        </w:rPr>
        <w:t xml:space="preserve"> </w:t>
      </w:r>
      <w:r>
        <w:t>each</w:t>
      </w:r>
      <w:r>
        <w:rPr>
          <w:spacing w:val="-3"/>
        </w:rPr>
        <w:t xml:space="preserve"> </w:t>
      </w:r>
      <w:r>
        <w:t>key</w:t>
      </w:r>
      <w:r>
        <w:rPr>
          <w:spacing w:val="-1"/>
        </w:rPr>
        <w:t xml:space="preserve"> </w:t>
      </w:r>
      <w:r>
        <w:t>subgroup</w:t>
      </w:r>
      <w:r>
        <w:rPr>
          <w:spacing w:val="-3"/>
        </w:rPr>
        <w:t xml:space="preserve"> </w:t>
      </w:r>
      <w:r>
        <w:t>to meet</w:t>
      </w:r>
      <w:r>
        <w:rPr>
          <w:spacing w:val="-3"/>
        </w:rPr>
        <w:t xml:space="preserve"> </w:t>
      </w:r>
      <w:r>
        <w:t>the</w:t>
      </w:r>
      <w:r>
        <w:rPr>
          <w:spacing w:val="-1"/>
        </w:rPr>
        <w:t xml:space="preserve"> </w:t>
      </w:r>
      <w:r>
        <w:t>precision</w:t>
      </w:r>
      <w:r>
        <w:rPr>
          <w:spacing w:val="-3"/>
        </w:rPr>
        <w:t xml:space="preserve"> </w:t>
      </w:r>
      <w:r>
        <w:t>requirements.</w:t>
      </w:r>
      <w:bookmarkStart w:name="_Hlk78282395" w:id="30"/>
    </w:p>
    <w:p w:rsidR="00145E55" w:rsidP="00960E81" w:rsidRDefault="003D5F5A" w14:paraId="676577FF" w14:textId="6D1F624D">
      <w:pPr>
        <w:pStyle w:val="Body11ptCalibri-IPR"/>
        <w:spacing w:after="360"/>
      </w:pPr>
      <w:r>
        <w:t>The</w:t>
      </w:r>
      <w:r>
        <w:rPr>
          <w:spacing w:val="-3"/>
        </w:rPr>
        <w:t xml:space="preserve"> </w:t>
      </w:r>
      <w:r>
        <w:t>key</w:t>
      </w:r>
      <w:r>
        <w:rPr>
          <w:spacing w:val="-3"/>
        </w:rPr>
        <w:t xml:space="preserve"> </w:t>
      </w:r>
      <w:r>
        <w:t>subgroups</w:t>
      </w:r>
      <w:r>
        <w:rPr>
          <w:spacing w:val="-2"/>
        </w:rPr>
        <w:t xml:space="preserve"> </w:t>
      </w:r>
      <w:r>
        <w:t>of</w:t>
      </w:r>
      <w:r>
        <w:rPr>
          <w:spacing w:val="-3"/>
        </w:rPr>
        <w:t xml:space="preserve"> </w:t>
      </w:r>
      <w:r>
        <w:t>interest</w:t>
      </w:r>
      <w:r>
        <w:rPr>
          <w:spacing w:val="-2"/>
        </w:rPr>
        <w:t xml:space="preserve"> </w:t>
      </w:r>
      <w:r>
        <w:t>and</w:t>
      </w:r>
      <w:r>
        <w:rPr>
          <w:spacing w:val="-2"/>
        </w:rPr>
        <w:t xml:space="preserve"> </w:t>
      </w:r>
      <w:r>
        <w:t>their</w:t>
      </w:r>
      <w:r>
        <w:rPr>
          <w:spacing w:val="-2"/>
        </w:rPr>
        <w:t xml:space="preserve"> </w:t>
      </w:r>
      <w:r>
        <w:t>expected</w:t>
      </w:r>
      <w:r>
        <w:rPr>
          <w:spacing w:val="-3"/>
        </w:rPr>
        <w:t xml:space="preserve"> </w:t>
      </w:r>
      <w:r>
        <w:t>prevalence</w:t>
      </w:r>
      <w:r>
        <w:rPr>
          <w:spacing w:val="-3"/>
        </w:rPr>
        <w:t xml:space="preserve"> </w:t>
      </w:r>
      <w:r>
        <w:t>in</w:t>
      </w:r>
      <w:r>
        <w:rPr>
          <w:spacing w:val="-1"/>
        </w:rPr>
        <w:t xml:space="preserve"> </w:t>
      </w:r>
      <w:r>
        <w:t>the</w:t>
      </w:r>
      <w:r>
        <w:rPr>
          <w:spacing w:val="-2"/>
        </w:rPr>
        <w:t xml:space="preserve"> </w:t>
      </w:r>
      <w:r>
        <w:t>target</w:t>
      </w:r>
      <w:r>
        <w:rPr>
          <w:spacing w:val="-2"/>
        </w:rPr>
        <w:t xml:space="preserve"> </w:t>
      </w:r>
      <w:r>
        <w:t>population</w:t>
      </w:r>
      <w:r>
        <w:rPr>
          <w:spacing w:val="-3"/>
        </w:rPr>
        <w:t xml:space="preserve"> </w:t>
      </w:r>
      <w:r>
        <w:t>appear</w:t>
      </w:r>
      <w:r>
        <w:rPr>
          <w:spacing w:val="-1"/>
        </w:rPr>
        <w:t xml:space="preserve"> </w:t>
      </w:r>
      <w:r>
        <w:t>in</w:t>
      </w:r>
      <w:r>
        <w:rPr>
          <w:spacing w:val="-2"/>
        </w:rPr>
        <w:t xml:space="preserve"> </w:t>
      </w:r>
      <w:r>
        <w:t>table</w:t>
      </w:r>
      <w:r w:rsidR="004304E5">
        <w:t xml:space="preserve"> </w:t>
      </w:r>
      <w:r w:rsidR="00CA00FC">
        <w:t>B.</w:t>
      </w:r>
      <w:r>
        <w:t>2.</w:t>
      </w:r>
      <w:r w:rsidR="00CA00FC">
        <w:t>3</w:t>
      </w:r>
      <w:r>
        <w:t>.</w:t>
      </w:r>
      <w:r>
        <w:rPr>
          <w:spacing w:val="-3"/>
        </w:rPr>
        <w:t xml:space="preserve"> </w:t>
      </w:r>
      <w:r w:rsidR="00172CA6">
        <w:t>P</w:t>
      </w:r>
      <w:r>
        <w:t>opulation</w:t>
      </w:r>
      <w:r>
        <w:rPr>
          <w:spacing w:val="-3"/>
        </w:rPr>
        <w:t xml:space="preserve"> </w:t>
      </w:r>
      <w:r>
        <w:t>percentages</w:t>
      </w:r>
      <w:r>
        <w:rPr>
          <w:spacing w:val="-3"/>
        </w:rPr>
        <w:t xml:space="preserve"> </w:t>
      </w:r>
      <w:r>
        <w:t>of</w:t>
      </w:r>
      <w:r>
        <w:rPr>
          <w:spacing w:val="-3"/>
        </w:rPr>
        <w:t xml:space="preserve"> </w:t>
      </w:r>
      <w:r>
        <w:t>NAP</w:t>
      </w:r>
      <w:r>
        <w:rPr>
          <w:spacing w:val="-2"/>
        </w:rPr>
        <w:t xml:space="preserve"> </w:t>
      </w:r>
      <w:r>
        <w:t>participants</w:t>
      </w:r>
      <w:r>
        <w:rPr>
          <w:spacing w:val="-3"/>
        </w:rPr>
        <w:t xml:space="preserve"> </w:t>
      </w:r>
      <w:r w:rsidR="00172CA6">
        <w:rPr>
          <w:spacing w:val="-3"/>
        </w:rPr>
        <w:t xml:space="preserve">were derived </w:t>
      </w:r>
      <w:r>
        <w:t>from</w:t>
      </w:r>
      <w:r>
        <w:rPr>
          <w:spacing w:val="-3"/>
        </w:rPr>
        <w:t xml:space="preserve"> </w:t>
      </w:r>
      <w:r>
        <w:t>FNS</w:t>
      </w:r>
      <w:r>
        <w:rPr>
          <w:spacing w:val="-3"/>
        </w:rPr>
        <w:t xml:space="preserve"> </w:t>
      </w:r>
      <w:r>
        <w:t>key</w:t>
      </w:r>
      <w:r>
        <w:rPr>
          <w:spacing w:val="-2"/>
        </w:rPr>
        <w:t xml:space="preserve"> </w:t>
      </w:r>
      <w:r>
        <w:t>data</w:t>
      </w:r>
      <w:r>
        <w:rPr>
          <w:spacing w:val="-2"/>
        </w:rPr>
        <w:t xml:space="preserve"> </w:t>
      </w:r>
      <w:r>
        <w:t>reports</w:t>
      </w:r>
      <w:r>
        <w:rPr>
          <w:spacing w:val="-2"/>
        </w:rPr>
        <w:t xml:space="preserve"> </w:t>
      </w:r>
      <w:r>
        <w:t>from</w:t>
      </w:r>
      <w:r>
        <w:rPr>
          <w:spacing w:val="-3"/>
        </w:rPr>
        <w:t xml:space="preserve"> </w:t>
      </w:r>
      <w:r>
        <w:t>2019</w:t>
      </w:r>
      <w:r w:rsidR="006109E2">
        <w:rPr>
          <w:rStyle w:val="FootnoteReference"/>
        </w:rPr>
        <w:footnoteReference w:id="13"/>
      </w:r>
      <w:r w:rsidR="006109E2">
        <w:t xml:space="preserve"> </w:t>
      </w:r>
      <w:r>
        <w:t>and the estimated population totals from ACS 5‐year (2014–2018)</w:t>
      </w:r>
      <w:r>
        <w:rPr>
          <w:spacing w:val="1"/>
        </w:rPr>
        <w:t xml:space="preserve"> </w:t>
      </w:r>
      <w:r>
        <w:t>Public</w:t>
      </w:r>
      <w:r>
        <w:rPr>
          <w:spacing w:val="2"/>
        </w:rPr>
        <w:t xml:space="preserve"> </w:t>
      </w:r>
      <w:r>
        <w:t>Use</w:t>
      </w:r>
      <w:r>
        <w:rPr>
          <w:spacing w:val="2"/>
        </w:rPr>
        <w:t xml:space="preserve"> </w:t>
      </w:r>
      <w:r>
        <w:t>Microdata</w:t>
      </w:r>
      <w:r>
        <w:rPr>
          <w:spacing w:val="2"/>
        </w:rPr>
        <w:t xml:space="preserve"> </w:t>
      </w:r>
      <w:r>
        <w:t>Sample</w:t>
      </w:r>
      <w:r>
        <w:rPr>
          <w:spacing w:val="-1"/>
        </w:rPr>
        <w:t xml:space="preserve"> </w:t>
      </w:r>
      <w:r>
        <w:t>(PUMS)</w:t>
      </w:r>
      <w:r>
        <w:rPr>
          <w:spacing w:val="2"/>
        </w:rPr>
        <w:t xml:space="preserve"> </w:t>
      </w:r>
      <w:r>
        <w:t>datafile.</w:t>
      </w:r>
      <w:r>
        <w:rPr>
          <w:spacing w:val="2"/>
        </w:rPr>
        <w:t xml:space="preserve"> </w:t>
      </w:r>
      <w:r w:rsidR="00172CA6">
        <w:t>A</w:t>
      </w:r>
      <w:r>
        <w:t>ll</w:t>
      </w:r>
      <w:r>
        <w:rPr>
          <w:spacing w:val="2"/>
        </w:rPr>
        <w:t xml:space="preserve"> </w:t>
      </w:r>
      <w:r>
        <w:t>other</w:t>
      </w:r>
      <w:r>
        <w:rPr>
          <w:spacing w:val="2"/>
        </w:rPr>
        <w:t xml:space="preserve"> </w:t>
      </w:r>
      <w:r>
        <w:t>proportions</w:t>
      </w:r>
      <w:r>
        <w:rPr>
          <w:spacing w:val="1"/>
        </w:rPr>
        <w:t xml:space="preserve"> </w:t>
      </w:r>
      <w:r w:rsidR="00172CA6">
        <w:rPr>
          <w:spacing w:val="1"/>
        </w:rPr>
        <w:t xml:space="preserve">were estimated </w:t>
      </w:r>
      <w:r>
        <w:t>using</w:t>
      </w:r>
      <w:r>
        <w:rPr>
          <w:spacing w:val="1"/>
        </w:rPr>
        <w:t xml:space="preserve"> </w:t>
      </w:r>
      <w:r>
        <w:t>the</w:t>
      </w:r>
      <w:r>
        <w:rPr>
          <w:spacing w:val="1"/>
        </w:rPr>
        <w:t xml:space="preserve"> </w:t>
      </w:r>
      <w:r>
        <w:t>ACS</w:t>
      </w:r>
      <w:r>
        <w:rPr>
          <w:spacing w:val="-1"/>
        </w:rPr>
        <w:t xml:space="preserve"> </w:t>
      </w:r>
      <w:r>
        <w:t>5‐year (2014–2018) PUMS</w:t>
      </w:r>
      <w:bookmarkEnd w:id="30"/>
      <w:r w:rsidR="00D078E3">
        <w:t>.</w:t>
      </w:r>
      <w:r w:rsidR="00755F14">
        <w:rPr>
          <w:rStyle w:val="FootnoteReference"/>
        </w:rPr>
        <w:footnoteReference w:id="14"/>
      </w:r>
    </w:p>
    <w:p w:rsidR="003D5F5A" w:rsidP="00EF57BE" w:rsidRDefault="003D5F5A" w14:paraId="5C04A172" w14:textId="7B64F86B">
      <w:pPr>
        <w:pStyle w:val="TableTitle-IPR"/>
      </w:pPr>
      <w:bookmarkStart w:name="_Toc78365140" w:id="31"/>
      <w:r>
        <w:t>Table</w:t>
      </w:r>
      <w:r>
        <w:rPr>
          <w:spacing w:val="-1"/>
        </w:rPr>
        <w:t xml:space="preserve"> </w:t>
      </w:r>
      <w:r w:rsidR="00CA00FC">
        <w:rPr>
          <w:spacing w:val="-1"/>
        </w:rPr>
        <w:t>B.</w:t>
      </w:r>
      <w:r>
        <w:t>2.</w:t>
      </w:r>
      <w:r w:rsidR="00CA00FC">
        <w:t>3</w:t>
      </w:r>
      <w:r>
        <w:t>.</w:t>
      </w:r>
      <w:r>
        <w:rPr>
          <w:spacing w:val="-1"/>
        </w:rPr>
        <w:t xml:space="preserve"> </w:t>
      </w:r>
      <w:r>
        <w:t>Population</w:t>
      </w:r>
      <w:r>
        <w:rPr>
          <w:spacing w:val="-1"/>
        </w:rPr>
        <w:t xml:space="preserve"> </w:t>
      </w:r>
      <w:r>
        <w:t>Prevalence</w:t>
      </w:r>
      <w:r>
        <w:rPr>
          <w:spacing w:val="-1"/>
        </w:rPr>
        <w:t xml:space="preserve"> </w:t>
      </w:r>
      <w:r>
        <w:t>of Key</w:t>
      </w:r>
      <w:r>
        <w:rPr>
          <w:spacing w:val="-1"/>
        </w:rPr>
        <w:t xml:space="preserve"> </w:t>
      </w:r>
      <w:r>
        <w:t>Subgroups</w:t>
      </w:r>
      <w:bookmarkEnd w:id="31"/>
    </w:p>
    <w:tbl>
      <w:tblPr>
        <w:tblStyle w:val="InsightTable"/>
        <w:tblW w:w="0" w:type="auto"/>
        <w:tblLook w:val="04A0" w:firstRow="1" w:lastRow="0" w:firstColumn="1" w:lastColumn="0" w:noHBand="0" w:noVBand="1"/>
      </w:tblPr>
      <w:tblGrid>
        <w:gridCol w:w="5058"/>
        <w:gridCol w:w="4244"/>
      </w:tblGrid>
      <w:tr w:rsidR="00145E55" w:rsidTr="00CB6433" w14:paraId="0D4EA990" w14:textId="77777777">
        <w:trPr>
          <w:cnfStyle w:val="100000000000" w:firstRow="1" w:lastRow="0" w:firstColumn="0" w:lastColumn="0" w:oddVBand="0" w:evenVBand="0" w:oddHBand="0" w:evenHBand="0" w:firstRowFirstColumn="0" w:firstRowLastColumn="0" w:lastRowFirstColumn="0" w:lastRowLastColumn="0"/>
          <w:trHeight w:val="360"/>
        </w:trPr>
        <w:tc>
          <w:tcPr>
            <w:tcW w:w="5252" w:type="dxa"/>
          </w:tcPr>
          <w:p w:rsidR="00145E55" w:rsidP="00040E67" w:rsidRDefault="00145E55" w14:paraId="5F34F2C0" w14:textId="7F333137">
            <w:pPr>
              <w:pStyle w:val="TableHeaderRow-IPR"/>
            </w:pPr>
            <w:r>
              <w:t>Household-Level Subgroups</w:t>
            </w:r>
          </w:p>
        </w:tc>
        <w:tc>
          <w:tcPr>
            <w:tcW w:w="4390" w:type="dxa"/>
          </w:tcPr>
          <w:p w:rsidR="00145E55" w:rsidP="00040E67" w:rsidRDefault="00145E55" w14:paraId="0D5191AF" w14:textId="4A2AE4BD">
            <w:pPr>
              <w:pStyle w:val="TableHeaderRow-IPR"/>
            </w:pPr>
            <w:r>
              <w:t>P</w:t>
            </w:r>
            <w:r w:rsidR="004304E5">
              <w:t>e</w:t>
            </w:r>
            <w:r>
              <w:t>rcent of Population (Households)</w:t>
            </w:r>
          </w:p>
        </w:tc>
      </w:tr>
      <w:tr w:rsidR="00145E55" w:rsidTr="00CB6433" w14:paraId="407C3FD4" w14:textId="77777777">
        <w:trPr>
          <w:trHeight w:val="288"/>
        </w:trPr>
        <w:tc>
          <w:tcPr>
            <w:tcW w:w="5252" w:type="dxa"/>
            <w:vAlign w:val="top"/>
          </w:tcPr>
          <w:p w:rsidR="00145E55" w:rsidP="00040E67" w:rsidRDefault="00145E55" w14:paraId="1DCBBBA0" w14:textId="4830E0AD">
            <w:pPr>
              <w:pStyle w:val="TableText-IPR"/>
            </w:pPr>
            <w:r w:rsidRPr="00296A6C">
              <w:t>NAP participating households</w:t>
            </w:r>
          </w:p>
        </w:tc>
        <w:tc>
          <w:tcPr>
            <w:tcW w:w="4390" w:type="dxa"/>
            <w:vAlign w:val="top"/>
          </w:tcPr>
          <w:p w:rsidR="00145E55" w:rsidP="001315E2" w:rsidRDefault="00145E55" w14:paraId="2BE9B973" w14:textId="162836B9">
            <w:pPr>
              <w:pStyle w:val="TableText-IPR"/>
              <w:jc w:val="center"/>
            </w:pPr>
            <w:r w:rsidRPr="00296A6C">
              <w:t>46.7</w:t>
            </w:r>
          </w:p>
        </w:tc>
      </w:tr>
      <w:tr w:rsidR="00145E55" w:rsidTr="00CB6433" w14:paraId="40330390" w14:textId="77777777">
        <w:trPr>
          <w:trHeight w:val="288"/>
        </w:trPr>
        <w:tc>
          <w:tcPr>
            <w:tcW w:w="5252" w:type="dxa"/>
            <w:vAlign w:val="top"/>
          </w:tcPr>
          <w:p w:rsidR="00145E55" w:rsidP="00040E67" w:rsidRDefault="00145E55" w14:paraId="79A973B1" w14:textId="1FC823F0">
            <w:pPr>
              <w:pStyle w:val="TableText-IPR"/>
            </w:pPr>
            <w:r w:rsidRPr="00296A6C">
              <w:t>Households with children</w:t>
            </w:r>
          </w:p>
        </w:tc>
        <w:tc>
          <w:tcPr>
            <w:tcW w:w="4390" w:type="dxa"/>
            <w:vAlign w:val="top"/>
          </w:tcPr>
          <w:p w:rsidR="00145E55" w:rsidP="001315E2" w:rsidRDefault="00145E55" w14:paraId="74C838AC" w14:textId="5C1761A9">
            <w:pPr>
              <w:pStyle w:val="TableText-IPR"/>
              <w:jc w:val="center"/>
            </w:pPr>
            <w:r w:rsidRPr="00296A6C">
              <w:t>29.2</w:t>
            </w:r>
          </w:p>
        </w:tc>
      </w:tr>
      <w:tr w:rsidR="00145E55" w:rsidTr="00CB6433" w14:paraId="56935587" w14:textId="77777777">
        <w:trPr>
          <w:trHeight w:val="288"/>
        </w:trPr>
        <w:tc>
          <w:tcPr>
            <w:tcW w:w="5252" w:type="dxa"/>
            <w:vAlign w:val="top"/>
          </w:tcPr>
          <w:p w:rsidR="00145E55" w:rsidP="00040E67" w:rsidRDefault="00145E55" w14:paraId="001C8681" w14:textId="080A886F">
            <w:pPr>
              <w:pStyle w:val="TableText-IPR"/>
            </w:pPr>
            <w:r w:rsidRPr="00296A6C">
              <w:t>Households with older members (60 and older)</w:t>
            </w:r>
          </w:p>
        </w:tc>
        <w:tc>
          <w:tcPr>
            <w:tcW w:w="4390" w:type="dxa"/>
            <w:vAlign w:val="top"/>
          </w:tcPr>
          <w:p w:rsidR="00145E55" w:rsidP="001315E2" w:rsidRDefault="00145E55" w14:paraId="6160B883" w14:textId="1720BD5A">
            <w:pPr>
              <w:pStyle w:val="TableText-IPR"/>
              <w:jc w:val="center"/>
            </w:pPr>
            <w:r w:rsidRPr="00296A6C">
              <w:t>47.7</w:t>
            </w:r>
          </w:p>
        </w:tc>
      </w:tr>
      <w:tr w:rsidR="00145E55" w:rsidTr="00CB6433" w14:paraId="1D0DFD83" w14:textId="77777777">
        <w:trPr>
          <w:trHeight w:val="288"/>
        </w:trPr>
        <w:tc>
          <w:tcPr>
            <w:tcW w:w="5252" w:type="dxa"/>
            <w:vAlign w:val="top"/>
          </w:tcPr>
          <w:p w:rsidR="00145E55" w:rsidP="00040E67" w:rsidRDefault="00145E55" w14:paraId="6D44FF65" w14:textId="5E0CF3EB">
            <w:pPr>
              <w:pStyle w:val="TableText-IPR"/>
            </w:pPr>
            <w:r w:rsidRPr="00296A6C">
              <w:t>Households with at least one person with a disability</w:t>
            </w:r>
          </w:p>
        </w:tc>
        <w:tc>
          <w:tcPr>
            <w:tcW w:w="4390" w:type="dxa"/>
            <w:vAlign w:val="top"/>
          </w:tcPr>
          <w:p w:rsidR="00145E55" w:rsidP="001315E2" w:rsidRDefault="00145E55" w14:paraId="0B06C05A" w14:textId="31F6707D">
            <w:pPr>
              <w:pStyle w:val="TableText-IPR"/>
              <w:jc w:val="center"/>
            </w:pPr>
            <w:r w:rsidRPr="00296A6C">
              <w:t>40.5</w:t>
            </w:r>
          </w:p>
        </w:tc>
      </w:tr>
    </w:tbl>
    <w:p w:rsidRPr="008830AA" w:rsidR="003D5F5A" w:rsidP="00960E81" w:rsidRDefault="003D5F5A" w14:paraId="529C6467" w14:textId="77777777">
      <w:pPr>
        <w:pStyle w:val="FtnteBodyText-IPR"/>
        <w:spacing w:before="60"/>
      </w:pPr>
      <w:r w:rsidRPr="008830AA">
        <w:t>Note:</w:t>
      </w:r>
      <w:r w:rsidRPr="008830AA">
        <w:rPr>
          <w:spacing w:val="-4"/>
        </w:rPr>
        <w:t xml:space="preserve"> </w:t>
      </w:r>
      <w:r w:rsidRPr="008830AA">
        <w:t>Disability</w:t>
      </w:r>
      <w:r w:rsidRPr="008830AA">
        <w:rPr>
          <w:spacing w:val="-3"/>
        </w:rPr>
        <w:t xml:space="preserve"> </w:t>
      </w:r>
      <w:r w:rsidRPr="008830AA">
        <w:t>status</w:t>
      </w:r>
      <w:r w:rsidRPr="008830AA">
        <w:rPr>
          <w:spacing w:val="-4"/>
        </w:rPr>
        <w:t xml:space="preserve"> </w:t>
      </w:r>
      <w:r w:rsidRPr="008830AA">
        <w:t>is</w:t>
      </w:r>
      <w:r w:rsidRPr="008830AA">
        <w:rPr>
          <w:spacing w:val="-5"/>
        </w:rPr>
        <w:t xml:space="preserve"> </w:t>
      </w:r>
      <w:r w:rsidRPr="008830AA">
        <w:t>based</w:t>
      </w:r>
      <w:r w:rsidRPr="008830AA">
        <w:rPr>
          <w:spacing w:val="-2"/>
        </w:rPr>
        <w:t xml:space="preserve"> </w:t>
      </w:r>
      <w:r w:rsidRPr="008830AA">
        <w:t>on</w:t>
      </w:r>
      <w:r w:rsidRPr="008830AA">
        <w:rPr>
          <w:spacing w:val="-5"/>
        </w:rPr>
        <w:t xml:space="preserve"> </w:t>
      </w:r>
      <w:r w:rsidRPr="008830AA">
        <w:t>the</w:t>
      </w:r>
      <w:r w:rsidRPr="008830AA">
        <w:rPr>
          <w:spacing w:val="-4"/>
        </w:rPr>
        <w:t xml:space="preserve"> </w:t>
      </w:r>
      <w:r w:rsidRPr="008830AA">
        <w:t>American</w:t>
      </w:r>
      <w:r w:rsidRPr="008830AA">
        <w:rPr>
          <w:spacing w:val="-4"/>
        </w:rPr>
        <w:t xml:space="preserve"> </w:t>
      </w:r>
      <w:r w:rsidRPr="008830AA">
        <w:t>Community</w:t>
      </w:r>
      <w:r w:rsidRPr="008830AA">
        <w:rPr>
          <w:spacing w:val="-5"/>
        </w:rPr>
        <w:t xml:space="preserve"> </w:t>
      </w:r>
      <w:r w:rsidRPr="008830AA">
        <w:t>Survey</w:t>
      </w:r>
      <w:r w:rsidRPr="008830AA">
        <w:rPr>
          <w:spacing w:val="-3"/>
        </w:rPr>
        <w:t xml:space="preserve"> </w:t>
      </w:r>
      <w:r w:rsidRPr="008830AA">
        <w:t>definition.</w:t>
      </w:r>
    </w:p>
    <w:p w:rsidRPr="008830AA" w:rsidR="003D5F5A" w:rsidP="00013514" w:rsidRDefault="003D5F5A" w14:paraId="54C4B263" w14:textId="77777777">
      <w:pPr>
        <w:pStyle w:val="FtnteBodyText-IPR"/>
        <w:spacing w:after="120"/>
      </w:pPr>
      <w:r w:rsidRPr="008830AA">
        <w:t>Sources: FNS Key Data Reports (2019) for NAP participation estimates; 2014–2018 American Community Survey 5‐year Public</w:t>
      </w:r>
      <w:r w:rsidRPr="008830AA">
        <w:rPr>
          <w:spacing w:val="-39"/>
        </w:rPr>
        <w:t xml:space="preserve"> </w:t>
      </w:r>
      <w:r w:rsidRPr="008830AA">
        <w:t>Use</w:t>
      </w:r>
      <w:r w:rsidRPr="008830AA">
        <w:rPr>
          <w:spacing w:val="-1"/>
        </w:rPr>
        <w:t xml:space="preserve"> </w:t>
      </w:r>
      <w:r w:rsidRPr="008830AA">
        <w:t>Microdata Sample</w:t>
      </w:r>
      <w:r w:rsidRPr="008830AA">
        <w:rPr>
          <w:spacing w:val="-1"/>
        </w:rPr>
        <w:t xml:space="preserve"> </w:t>
      </w:r>
      <w:r w:rsidRPr="008830AA">
        <w:t>for</w:t>
      </w:r>
      <w:r w:rsidRPr="008830AA">
        <w:rPr>
          <w:spacing w:val="-1"/>
        </w:rPr>
        <w:t xml:space="preserve"> </w:t>
      </w:r>
      <w:r w:rsidRPr="008830AA">
        <w:t>all</w:t>
      </w:r>
      <w:r w:rsidRPr="008830AA">
        <w:rPr>
          <w:spacing w:val="-1"/>
        </w:rPr>
        <w:t xml:space="preserve"> </w:t>
      </w:r>
      <w:r w:rsidRPr="008830AA">
        <w:t>other</w:t>
      </w:r>
      <w:r w:rsidRPr="008830AA">
        <w:rPr>
          <w:spacing w:val="-1"/>
        </w:rPr>
        <w:t xml:space="preserve"> </w:t>
      </w:r>
      <w:r w:rsidRPr="008830AA">
        <w:t>estimates</w:t>
      </w:r>
    </w:p>
    <w:p w:rsidR="003D5F5A" w:rsidP="00013514" w:rsidRDefault="00FA7DE7" w14:paraId="70800666" w14:textId="6FA3F4DA">
      <w:pPr>
        <w:pStyle w:val="Body11ptCalibri-IPR"/>
        <w:spacing w:after="240"/>
      </w:pPr>
      <w:r>
        <w:lastRenderedPageBreak/>
        <w:t>T</w:t>
      </w:r>
      <w:r w:rsidR="003D5F5A">
        <w:t xml:space="preserve">he sample size </w:t>
      </w:r>
      <w:r>
        <w:t xml:space="preserve">was designed </w:t>
      </w:r>
      <w:r w:rsidR="003D5F5A">
        <w:t>to be la</w:t>
      </w:r>
      <w:r w:rsidR="007D24AD">
        <w:t>rge enough to meet the precision r</w:t>
      </w:r>
      <w:r w:rsidR="003D5F5A">
        <w:t xml:space="preserve">equirement for the subgroup with the lowest </w:t>
      </w:r>
      <w:r w:rsidR="007D24AD">
        <w:t xml:space="preserve">expected population prevalence, </w:t>
      </w:r>
      <w:r w:rsidR="003D5F5A">
        <w:t>households with</w:t>
      </w:r>
      <w:r w:rsidR="003D5F5A">
        <w:rPr>
          <w:spacing w:val="1"/>
        </w:rPr>
        <w:t xml:space="preserve"> </w:t>
      </w:r>
      <w:r w:rsidR="007D24AD">
        <w:t>children</w:t>
      </w:r>
      <w:r w:rsidR="003D5F5A">
        <w:t>.</w:t>
      </w:r>
      <w:r w:rsidR="007D24AD">
        <w:t xml:space="preserve"> </w:t>
      </w:r>
    </w:p>
    <w:p w:rsidR="005F44AE" w:rsidP="004C4E17" w:rsidRDefault="003D5F5A" w14:paraId="101BC7B0" w14:textId="77777777">
      <w:pPr>
        <w:pStyle w:val="Body11ptCalibri-IPR"/>
        <w:rPr>
          <w:i/>
        </w:rPr>
      </w:pPr>
      <w:r w:rsidRPr="00EF57BE">
        <w:rPr>
          <w:b/>
          <w:bCs/>
          <w:i/>
        </w:rPr>
        <w:t>Design effects</w:t>
      </w:r>
    </w:p>
    <w:p w:rsidR="003D5F5A" w:rsidP="00013514" w:rsidRDefault="00FA7DE7" w14:paraId="58665B47" w14:textId="16FFD277">
      <w:pPr>
        <w:pStyle w:val="Body11ptCalibri-IPR"/>
        <w:spacing w:after="240"/>
      </w:pPr>
      <w:r>
        <w:t>T</w:t>
      </w:r>
      <w:r w:rsidR="003D5F5A">
        <w:t>his study</w:t>
      </w:r>
      <w:r>
        <w:t xml:space="preserve"> has</w:t>
      </w:r>
      <w:r w:rsidR="003D5F5A">
        <w:t xml:space="preserve"> three potential sources of design</w:t>
      </w:r>
      <w:r w:rsidR="007D24AD">
        <w:t xml:space="preserve"> effects (increase</w:t>
      </w:r>
      <w:r w:rsidR="00D67CDF">
        <w:t>s</w:t>
      </w:r>
      <w:r w:rsidR="007D24AD">
        <w:t xml:space="preserve"> in variance)</w:t>
      </w:r>
      <w:r w:rsidR="003D5F5A">
        <w:t>: (1) the differential sampling of</w:t>
      </w:r>
      <w:r w:rsidR="003D5F5A">
        <w:rPr>
          <w:spacing w:val="1"/>
        </w:rPr>
        <w:t xml:space="preserve"> </w:t>
      </w:r>
      <w:r w:rsidR="003D5F5A">
        <w:t>households across sampling frames and the need to composite the samples, (2) the effect of the</w:t>
      </w:r>
      <w:r w:rsidR="003D5F5A">
        <w:rPr>
          <w:spacing w:val="1"/>
        </w:rPr>
        <w:t xml:space="preserve"> </w:t>
      </w:r>
      <w:r w:rsidR="003D5F5A">
        <w:t>clustering of the area‐pro</w:t>
      </w:r>
      <w:r w:rsidR="00BB549B">
        <w:t xml:space="preserve">bability sample within segments, </w:t>
      </w:r>
      <w:r w:rsidR="003D5F5A">
        <w:t>and (3) the weighting adjustments to</w:t>
      </w:r>
      <w:r w:rsidR="003D5F5A">
        <w:rPr>
          <w:spacing w:val="1"/>
        </w:rPr>
        <w:t xml:space="preserve"> </w:t>
      </w:r>
      <w:r w:rsidR="003D5F5A">
        <w:t>account for different</w:t>
      </w:r>
      <w:r w:rsidR="00BB549B">
        <w:t>ial nonresponse and coverage. A</w:t>
      </w:r>
      <w:r w:rsidR="003D5F5A">
        <w:t>ccounting for these aspects, the sample design</w:t>
      </w:r>
      <w:r w:rsidR="003D5F5A">
        <w:rPr>
          <w:spacing w:val="1"/>
        </w:rPr>
        <w:t xml:space="preserve"> </w:t>
      </w:r>
      <w:r w:rsidR="003D5F5A">
        <w:t>and</w:t>
      </w:r>
      <w:r w:rsidR="003D5F5A">
        <w:rPr>
          <w:spacing w:val="-2"/>
        </w:rPr>
        <w:t xml:space="preserve"> </w:t>
      </w:r>
      <w:r w:rsidR="003D5F5A">
        <w:t>weighting adjustments</w:t>
      </w:r>
      <w:r w:rsidR="003D5F5A">
        <w:rPr>
          <w:spacing w:val="-1"/>
        </w:rPr>
        <w:t xml:space="preserve"> </w:t>
      </w:r>
      <w:r w:rsidR="003D5F5A">
        <w:t>are</w:t>
      </w:r>
      <w:r w:rsidR="003D5F5A">
        <w:rPr>
          <w:spacing w:val="-1"/>
        </w:rPr>
        <w:t xml:space="preserve"> </w:t>
      </w:r>
      <w:r w:rsidR="003D5F5A">
        <w:t>expected</w:t>
      </w:r>
      <w:r w:rsidR="003D5F5A">
        <w:rPr>
          <w:spacing w:val="-1"/>
        </w:rPr>
        <w:t xml:space="preserve"> </w:t>
      </w:r>
      <w:r w:rsidR="003D5F5A">
        <w:t>to</w:t>
      </w:r>
      <w:r w:rsidR="003D5F5A">
        <w:rPr>
          <w:spacing w:val="-1"/>
        </w:rPr>
        <w:t xml:space="preserve"> </w:t>
      </w:r>
      <w:r w:rsidR="003D5F5A">
        <w:t>yield</w:t>
      </w:r>
      <w:r w:rsidR="003D5F5A">
        <w:rPr>
          <w:spacing w:val="-1"/>
        </w:rPr>
        <w:t xml:space="preserve"> </w:t>
      </w:r>
      <w:r w:rsidR="003D5F5A">
        <w:t>an</w:t>
      </w:r>
      <w:r w:rsidR="003D5F5A">
        <w:rPr>
          <w:spacing w:val="-1"/>
        </w:rPr>
        <w:t xml:space="preserve"> </w:t>
      </w:r>
      <w:r w:rsidR="003D5F5A">
        <w:t>overall</w:t>
      </w:r>
      <w:r w:rsidR="003D5F5A">
        <w:rPr>
          <w:spacing w:val="-1"/>
        </w:rPr>
        <w:t xml:space="preserve"> </w:t>
      </w:r>
      <w:r w:rsidR="003D5F5A">
        <w:t>design</w:t>
      </w:r>
      <w:r w:rsidR="003D5F5A">
        <w:rPr>
          <w:spacing w:val="-1"/>
        </w:rPr>
        <w:t xml:space="preserve"> </w:t>
      </w:r>
      <w:r w:rsidR="003D5F5A">
        <w:t>effect</w:t>
      </w:r>
      <w:r w:rsidR="003D5F5A">
        <w:rPr>
          <w:spacing w:val="-1"/>
        </w:rPr>
        <w:t xml:space="preserve"> </w:t>
      </w:r>
      <w:r w:rsidR="003D5F5A">
        <w:t>of 1.5.</w:t>
      </w:r>
    </w:p>
    <w:p w:rsidR="005F44AE" w:rsidP="004C4E17" w:rsidRDefault="003D5F5A" w14:paraId="66AF909C" w14:textId="77777777">
      <w:pPr>
        <w:pStyle w:val="Body11ptCalibri-IPR"/>
        <w:rPr>
          <w:i/>
        </w:rPr>
      </w:pPr>
      <w:r w:rsidRPr="00EF57BE">
        <w:rPr>
          <w:b/>
          <w:bCs/>
          <w:i/>
        </w:rPr>
        <w:t>Yield rates</w:t>
      </w:r>
    </w:p>
    <w:p w:rsidR="00013514" w:rsidP="00013514" w:rsidRDefault="003D5F5A" w14:paraId="4B81DC7F" w14:textId="77777777">
      <w:pPr>
        <w:pStyle w:val="Body11ptCalibri-IPR"/>
        <w:spacing w:after="240"/>
      </w:pPr>
      <w:r>
        <w:t>The yield rate is the expected number of respondents achieved from</w:t>
      </w:r>
      <w:r w:rsidR="007D24AD">
        <w:t xml:space="preserve"> a fielded sample divided by the n</w:t>
      </w:r>
      <w:r>
        <w:t>umber of cases in the fielded sample. The yield rate is different from the response rate because it</w:t>
      </w:r>
      <w:r>
        <w:rPr>
          <w:spacing w:val="1"/>
        </w:rPr>
        <w:t xml:space="preserve"> </w:t>
      </w:r>
      <w:r>
        <w:t>includes</w:t>
      </w:r>
      <w:r>
        <w:rPr>
          <w:spacing w:val="-3"/>
        </w:rPr>
        <w:t xml:space="preserve"> </w:t>
      </w:r>
      <w:r>
        <w:t>ineligibles</w:t>
      </w:r>
      <w:r>
        <w:rPr>
          <w:spacing w:val="-4"/>
        </w:rPr>
        <w:t xml:space="preserve"> </w:t>
      </w:r>
      <w:r>
        <w:t>in</w:t>
      </w:r>
      <w:r>
        <w:rPr>
          <w:spacing w:val="-4"/>
        </w:rPr>
        <w:t xml:space="preserve"> </w:t>
      </w:r>
      <w:r>
        <w:t>the</w:t>
      </w:r>
      <w:r>
        <w:rPr>
          <w:spacing w:val="-3"/>
        </w:rPr>
        <w:t xml:space="preserve"> </w:t>
      </w:r>
      <w:r>
        <w:t>denominator.</w:t>
      </w:r>
      <w:r>
        <w:rPr>
          <w:spacing w:val="-4"/>
        </w:rPr>
        <w:t xml:space="preserve"> </w:t>
      </w:r>
      <w:r>
        <w:t>The</w:t>
      </w:r>
      <w:r>
        <w:rPr>
          <w:spacing w:val="-2"/>
        </w:rPr>
        <w:t xml:space="preserve"> </w:t>
      </w:r>
      <w:r>
        <w:t>yield</w:t>
      </w:r>
      <w:r>
        <w:rPr>
          <w:spacing w:val="-2"/>
        </w:rPr>
        <w:t xml:space="preserve"> </w:t>
      </w:r>
      <w:r>
        <w:t>rate</w:t>
      </w:r>
      <w:r>
        <w:rPr>
          <w:spacing w:val="-3"/>
        </w:rPr>
        <w:t xml:space="preserve"> </w:t>
      </w:r>
      <w:r>
        <w:t>provides</w:t>
      </w:r>
      <w:r>
        <w:rPr>
          <w:spacing w:val="-4"/>
        </w:rPr>
        <w:t xml:space="preserve"> </w:t>
      </w:r>
      <w:r>
        <w:t>information</w:t>
      </w:r>
      <w:r>
        <w:rPr>
          <w:spacing w:val="-3"/>
        </w:rPr>
        <w:t xml:space="preserve"> </w:t>
      </w:r>
      <w:r>
        <w:t>on</w:t>
      </w:r>
      <w:r>
        <w:rPr>
          <w:spacing w:val="-4"/>
        </w:rPr>
        <w:t xml:space="preserve"> </w:t>
      </w:r>
      <w:r>
        <w:t>the</w:t>
      </w:r>
      <w:r>
        <w:rPr>
          <w:spacing w:val="-4"/>
        </w:rPr>
        <w:t xml:space="preserve"> </w:t>
      </w:r>
      <w:r>
        <w:t>level</w:t>
      </w:r>
      <w:r>
        <w:rPr>
          <w:spacing w:val="-2"/>
        </w:rPr>
        <w:t xml:space="preserve"> </w:t>
      </w:r>
      <w:r>
        <w:t>of</w:t>
      </w:r>
      <w:r>
        <w:rPr>
          <w:spacing w:val="-4"/>
        </w:rPr>
        <w:t xml:space="preserve"> </w:t>
      </w:r>
      <w:r>
        <w:t>effort</w:t>
      </w:r>
      <w:r>
        <w:rPr>
          <w:spacing w:val="-4"/>
        </w:rPr>
        <w:t xml:space="preserve"> </w:t>
      </w:r>
      <w:r w:rsidR="007D24AD">
        <w:t>and s</w:t>
      </w:r>
      <w:r>
        <w:t>ample sizes required for a study design, while the response rate provides information on the</w:t>
      </w:r>
      <w:r>
        <w:rPr>
          <w:spacing w:val="1"/>
        </w:rPr>
        <w:t xml:space="preserve"> </w:t>
      </w:r>
      <w:r>
        <w:t>representativeness</w:t>
      </w:r>
      <w:r>
        <w:rPr>
          <w:spacing w:val="-1"/>
        </w:rPr>
        <w:t xml:space="preserve"> </w:t>
      </w:r>
      <w:r>
        <w:t>of</w:t>
      </w:r>
      <w:r>
        <w:rPr>
          <w:spacing w:val="-2"/>
        </w:rPr>
        <w:t xml:space="preserve"> </w:t>
      </w:r>
      <w:r>
        <w:t>the</w:t>
      </w:r>
      <w:r>
        <w:rPr>
          <w:spacing w:val="-1"/>
        </w:rPr>
        <w:t xml:space="preserve"> </w:t>
      </w:r>
      <w:r>
        <w:t>survey</w:t>
      </w:r>
      <w:r>
        <w:rPr>
          <w:spacing w:val="-2"/>
        </w:rPr>
        <w:t xml:space="preserve"> </w:t>
      </w:r>
      <w:r>
        <w:t>respondents.</w:t>
      </w:r>
      <w:r>
        <w:rPr>
          <w:spacing w:val="-1"/>
        </w:rPr>
        <w:t xml:space="preserve"> </w:t>
      </w:r>
      <w:r>
        <w:t>Yield</w:t>
      </w:r>
      <w:r>
        <w:rPr>
          <w:spacing w:val="-2"/>
        </w:rPr>
        <w:t xml:space="preserve"> </w:t>
      </w:r>
      <w:r>
        <w:t>rates</w:t>
      </w:r>
      <w:r>
        <w:rPr>
          <w:spacing w:val="-1"/>
        </w:rPr>
        <w:t xml:space="preserve"> </w:t>
      </w:r>
      <w:r>
        <w:t>will</w:t>
      </w:r>
      <w:r>
        <w:rPr>
          <w:spacing w:val="-5"/>
        </w:rPr>
        <w:t xml:space="preserve"> </w:t>
      </w:r>
      <w:r>
        <w:t>vary</w:t>
      </w:r>
      <w:r>
        <w:rPr>
          <w:spacing w:val="-1"/>
        </w:rPr>
        <w:t xml:space="preserve"> </w:t>
      </w:r>
      <w:r>
        <w:t>by</w:t>
      </w:r>
      <w:r>
        <w:rPr>
          <w:spacing w:val="-2"/>
        </w:rPr>
        <w:t xml:space="preserve"> </w:t>
      </w:r>
      <w:r>
        <w:t>sampling</w:t>
      </w:r>
      <w:r>
        <w:rPr>
          <w:spacing w:val="-1"/>
        </w:rPr>
        <w:t xml:space="preserve"> </w:t>
      </w:r>
      <w:r>
        <w:t>frame</w:t>
      </w:r>
      <w:r>
        <w:rPr>
          <w:spacing w:val="-1"/>
        </w:rPr>
        <w:t xml:space="preserve"> </w:t>
      </w:r>
      <w:r>
        <w:t>and</w:t>
      </w:r>
      <w:r>
        <w:rPr>
          <w:spacing w:val="-1"/>
        </w:rPr>
        <w:t xml:space="preserve"> </w:t>
      </w:r>
      <w:r>
        <w:t>mode.</w:t>
      </w:r>
    </w:p>
    <w:p w:rsidR="00013514" w:rsidP="00013514" w:rsidRDefault="00C274DD" w14:paraId="177E5CC5" w14:textId="7F02843F">
      <w:pPr>
        <w:pStyle w:val="Body11ptCalibri-IPR"/>
        <w:spacing w:after="240"/>
      </w:pPr>
      <w:r>
        <w:t xml:space="preserve">The sample size and yield rate for the study are driven by the precision requirements for a potential 2-year follow-up study in addition to the current study. </w:t>
      </w:r>
      <w:r w:rsidR="00C8400D">
        <w:t>Eligibility</w:t>
      </w:r>
      <w:r w:rsidR="00C8400D">
        <w:rPr>
          <w:spacing w:val="-2"/>
        </w:rPr>
        <w:t xml:space="preserve"> </w:t>
      </w:r>
      <w:r w:rsidR="00C8400D">
        <w:t>for</w:t>
      </w:r>
      <w:r w:rsidR="00C8400D">
        <w:rPr>
          <w:spacing w:val="-3"/>
        </w:rPr>
        <w:t xml:space="preserve"> </w:t>
      </w:r>
      <w:r w:rsidR="00EE7100">
        <w:t>the</w:t>
      </w:r>
      <w:r w:rsidR="009B0821">
        <w:rPr>
          <w:spacing w:val="-4"/>
        </w:rPr>
        <w:t xml:space="preserve"> </w:t>
      </w:r>
      <w:r w:rsidR="00FA7DE7">
        <w:t>2</w:t>
      </w:r>
      <w:r w:rsidR="00C8400D">
        <w:t>‐year</w:t>
      </w:r>
      <w:r w:rsidR="00C8400D">
        <w:rPr>
          <w:spacing w:val="-2"/>
        </w:rPr>
        <w:t xml:space="preserve"> </w:t>
      </w:r>
      <w:r w:rsidR="00C8400D">
        <w:t>follow‐up</w:t>
      </w:r>
      <w:r w:rsidR="00C8400D">
        <w:rPr>
          <w:spacing w:val="-3"/>
        </w:rPr>
        <w:t xml:space="preserve"> </w:t>
      </w:r>
      <w:r w:rsidR="00C8400D">
        <w:t>is</w:t>
      </w:r>
      <w:r w:rsidR="00C8400D">
        <w:rPr>
          <w:spacing w:val="-3"/>
        </w:rPr>
        <w:t xml:space="preserve"> </w:t>
      </w:r>
      <w:r w:rsidR="00C8400D">
        <w:t>based</w:t>
      </w:r>
      <w:r w:rsidR="00C8400D">
        <w:rPr>
          <w:spacing w:val="-4"/>
        </w:rPr>
        <w:t xml:space="preserve"> </w:t>
      </w:r>
      <w:r w:rsidR="00C8400D">
        <w:t>on</w:t>
      </w:r>
      <w:r w:rsidR="00C8400D">
        <w:rPr>
          <w:spacing w:val="-3"/>
        </w:rPr>
        <w:t xml:space="preserve"> </w:t>
      </w:r>
      <w:r w:rsidR="00C8400D">
        <w:t>at</w:t>
      </w:r>
      <w:r w:rsidR="00C8400D">
        <w:rPr>
          <w:spacing w:val="-2"/>
        </w:rPr>
        <w:t xml:space="preserve"> </w:t>
      </w:r>
      <w:r w:rsidR="00C8400D">
        <w:t>least</w:t>
      </w:r>
      <w:r w:rsidR="00C8400D">
        <w:rPr>
          <w:spacing w:val="-2"/>
        </w:rPr>
        <w:t xml:space="preserve"> </w:t>
      </w:r>
      <w:r w:rsidR="00C8400D">
        <w:t>one</w:t>
      </w:r>
      <w:r w:rsidR="00C8400D">
        <w:rPr>
          <w:spacing w:val="-4"/>
        </w:rPr>
        <w:t xml:space="preserve"> </w:t>
      </w:r>
      <w:r w:rsidR="00C8400D">
        <w:t>member</w:t>
      </w:r>
      <w:r w:rsidR="00C8400D">
        <w:rPr>
          <w:spacing w:val="-3"/>
        </w:rPr>
        <w:t xml:space="preserve"> </w:t>
      </w:r>
      <w:r w:rsidR="00C8400D">
        <w:t>of</w:t>
      </w:r>
      <w:r w:rsidR="00C8400D">
        <w:rPr>
          <w:spacing w:val="-3"/>
        </w:rPr>
        <w:t xml:space="preserve"> </w:t>
      </w:r>
      <w:r w:rsidR="00C8400D">
        <w:t>the</w:t>
      </w:r>
      <w:r w:rsidR="00C8400D">
        <w:rPr>
          <w:spacing w:val="1"/>
        </w:rPr>
        <w:t xml:space="preserve"> </w:t>
      </w:r>
      <w:r w:rsidR="00C8400D">
        <w:t xml:space="preserve">responding household being alive and living in Puerto Rico. Thus, </w:t>
      </w:r>
      <w:r>
        <w:t>the estimation of</w:t>
      </w:r>
      <w:r w:rsidDel="00C274DD">
        <w:t xml:space="preserve"> </w:t>
      </w:r>
      <w:r w:rsidR="003D5F5A">
        <w:t xml:space="preserve">eligibility rates for the </w:t>
      </w:r>
      <w:r w:rsidR="00FA7DE7">
        <w:t>2</w:t>
      </w:r>
      <w:r w:rsidR="003D5F5A">
        <w:t xml:space="preserve">‐year follow‐up study </w:t>
      </w:r>
      <w:r w:rsidR="00C8400D">
        <w:t>requires consideration of</w:t>
      </w:r>
      <w:r w:rsidR="003D5F5A">
        <w:t xml:space="preserve"> the possibility of a natural</w:t>
      </w:r>
      <w:r w:rsidR="003D5F5A">
        <w:rPr>
          <w:spacing w:val="1"/>
        </w:rPr>
        <w:t xml:space="preserve"> </w:t>
      </w:r>
      <w:r w:rsidR="003D5F5A">
        <w:t>disaster</w:t>
      </w:r>
      <w:r w:rsidR="003D5F5A">
        <w:rPr>
          <w:spacing w:val="-4"/>
        </w:rPr>
        <w:t xml:space="preserve"> </w:t>
      </w:r>
      <w:r w:rsidR="003D5F5A">
        <w:t>in</w:t>
      </w:r>
      <w:r w:rsidR="003D5F5A">
        <w:rPr>
          <w:spacing w:val="-2"/>
        </w:rPr>
        <w:t xml:space="preserve"> </w:t>
      </w:r>
      <w:r w:rsidR="003D5F5A">
        <w:t>that</w:t>
      </w:r>
      <w:r w:rsidR="003D5F5A">
        <w:rPr>
          <w:spacing w:val="-3"/>
        </w:rPr>
        <w:t xml:space="preserve"> </w:t>
      </w:r>
      <w:r w:rsidR="00FA7DE7">
        <w:t>2</w:t>
      </w:r>
      <w:r w:rsidR="003D5F5A">
        <w:t>‐year</w:t>
      </w:r>
      <w:r w:rsidR="003D5F5A">
        <w:rPr>
          <w:spacing w:val="-4"/>
        </w:rPr>
        <w:t xml:space="preserve"> </w:t>
      </w:r>
      <w:r w:rsidR="003D5F5A">
        <w:t>period. Migration patterns following Hurricane</w:t>
      </w:r>
      <w:r w:rsidR="003D5F5A">
        <w:rPr>
          <w:spacing w:val="1"/>
        </w:rPr>
        <w:t xml:space="preserve"> </w:t>
      </w:r>
      <w:r w:rsidR="003D5F5A">
        <w:t xml:space="preserve">Maria can be used to </w:t>
      </w:r>
      <w:r w:rsidR="00C8400D">
        <w:t>inform</w:t>
      </w:r>
      <w:r w:rsidR="003D5F5A">
        <w:t xml:space="preserve"> eligibility rate</w:t>
      </w:r>
      <w:r w:rsidR="00C8400D">
        <w:t xml:space="preserve"> assumption</w:t>
      </w:r>
      <w:r w:rsidR="003D5F5A">
        <w:t>s</w:t>
      </w:r>
      <w:r w:rsidR="00C8400D">
        <w:t xml:space="preserve"> for the </w:t>
      </w:r>
      <w:r w:rsidR="00FA7DE7">
        <w:t>2</w:t>
      </w:r>
      <w:r w:rsidR="00C8400D">
        <w:t>-year follow-up</w:t>
      </w:r>
      <w:r w:rsidR="003D5F5A">
        <w:t xml:space="preserve">, though each natural disaster is unique. </w:t>
      </w:r>
      <w:bookmarkStart w:name="_Hlk78192052" w:id="32"/>
      <w:r w:rsidR="003D5F5A">
        <w:t>Acosta</w:t>
      </w:r>
      <w:r w:rsidR="00FA7DE7">
        <w:t xml:space="preserve"> et al.</w:t>
      </w:r>
      <w:bookmarkEnd w:id="32"/>
      <w:r w:rsidR="00FA7DE7">
        <w:t xml:space="preserve"> </w:t>
      </w:r>
      <w:r w:rsidR="003D5F5A">
        <w:t>estimated outmigration following Hurricane Maria to be between 4 and 17 percent.</w:t>
      </w:r>
      <w:r w:rsidR="00FA7DE7">
        <w:rPr>
          <w:rStyle w:val="FootnoteReference"/>
        </w:rPr>
        <w:footnoteReference w:id="15"/>
      </w:r>
      <w:r w:rsidR="003D5F5A">
        <w:rPr>
          <w:spacing w:val="1"/>
        </w:rPr>
        <w:t xml:space="preserve"> </w:t>
      </w:r>
      <w:r w:rsidR="00FA7DE7">
        <w:t>E</w:t>
      </w:r>
      <w:r w:rsidR="003D5F5A">
        <w:t>ligibility</w:t>
      </w:r>
      <w:r w:rsidR="003D5F5A">
        <w:rPr>
          <w:spacing w:val="-3"/>
        </w:rPr>
        <w:t xml:space="preserve"> </w:t>
      </w:r>
      <w:r w:rsidR="003D5F5A">
        <w:t>for</w:t>
      </w:r>
      <w:r w:rsidR="003D5F5A">
        <w:rPr>
          <w:spacing w:val="-3"/>
        </w:rPr>
        <w:t xml:space="preserve"> </w:t>
      </w:r>
      <w:r w:rsidR="003D5F5A">
        <w:t>the</w:t>
      </w:r>
      <w:r w:rsidR="003D5F5A">
        <w:rPr>
          <w:spacing w:val="-1"/>
        </w:rPr>
        <w:t xml:space="preserve"> </w:t>
      </w:r>
      <w:r w:rsidR="00FA7DE7">
        <w:t>2</w:t>
      </w:r>
      <w:r w:rsidR="003D5F5A">
        <w:t>‐year</w:t>
      </w:r>
      <w:r w:rsidR="003D5F5A">
        <w:rPr>
          <w:spacing w:val="-3"/>
        </w:rPr>
        <w:t xml:space="preserve"> </w:t>
      </w:r>
      <w:r w:rsidR="003D5F5A">
        <w:t>follow‐up</w:t>
      </w:r>
      <w:r w:rsidR="003D5F5A">
        <w:rPr>
          <w:spacing w:val="-2"/>
        </w:rPr>
        <w:t xml:space="preserve"> </w:t>
      </w:r>
      <w:r w:rsidR="003D5F5A">
        <w:t xml:space="preserve">study </w:t>
      </w:r>
      <w:r w:rsidR="00FA7DE7">
        <w:t xml:space="preserve">is not expected </w:t>
      </w:r>
      <w:r w:rsidR="003D5F5A">
        <w:t>to</w:t>
      </w:r>
      <w:r w:rsidR="003D5F5A">
        <w:rPr>
          <w:spacing w:val="-2"/>
        </w:rPr>
        <w:t xml:space="preserve"> </w:t>
      </w:r>
      <w:r w:rsidR="003D5F5A">
        <w:t>vary</w:t>
      </w:r>
      <w:r w:rsidR="003D5F5A">
        <w:rPr>
          <w:spacing w:val="-2"/>
        </w:rPr>
        <w:t xml:space="preserve"> </w:t>
      </w:r>
      <w:r w:rsidR="003D5F5A">
        <w:t>by</w:t>
      </w:r>
      <w:r w:rsidR="003D5F5A">
        <w:rPr>
          <w:spacing w:val="-2"/>
        </w:rPr>
        <w:t xml:space="preserve"> </w:t>
      </w:r>
      <w:r w:rsidR="003D5F5A">
        <w:t>sampling</w:t>
      </w:r>
      <w:r w:rsidR="003D5F5A">
        <w:rPr>
          <w:spacing w:val="-1"/>
        </w:rPr>
        <w:t xml:space="preserve"> </w:t>
      </w:r>
      <w:r w:rsidR="003D5F5A">
        <w:t>frame.</w:t>
      </w:r>
    </w:p>
    <w:p w:rsidR="00013514" w:rsidP="00013514" w:rsidRDefault="00FA7DE7" w14:paraId="17F09552" w14:textId="3B2A2FB0">
      <w:pPr>
        <w:pStyle w:val="Body11ptCalibri-IPR"/>
        <w:spacing w:after="240"/>
      </w:pPr>
      <w:r>
        <w:lastRenderedPageBreak/>
        <w:t xml:space="preserve">The study team </w:t>
      </w:r>
      <w:r w:rsidR="004C4E17">
        <w:t>ha</w:t>
      </w:r>
      <w:r>
        <w:t>s</w:t>
      </w:r>
      <w:r w:rsidR="004C4E17">
        <w:t xml:space="preserve"> conducted a sensitivity analysis to explore the variation in </w:t>
      </w:r>
      <w:r w:rsidR="008830AA">
        <w:t xml:space="preserve">the </w:t>
      </w:r>
      <w:r w:rsidR="004C4E17">
        <w:t xml:space="preserve">yield </w:t>
      </w:r>
      <w:r w:rsidR="008830AA">
        <w:t xml:space="preserve">rate </w:t>
      </w:r>
      <w:r w:rsidR="004C4E17">
        <w:t xml:space="preserve">under a </w:t>
      </w:r>
      <w:r w:rsidR="00DE11DF">
        <w:t>best</w:t>
      </w:r>
      <w:r>
        <w:t xml:space="preserve"> </w:t>
      </w:r>
      <w:r w:rsidR="00DE11DF">
        <w:t>case</w:t>
      </w:r>
      <w:r w:rsidR="004C4E17">
        <w:t xml:space="preserve"> scenario of 95 percent eligible, a </w:t>
      </w:r>
      <w:r w:rsidR="00DE11DF">
        <w:t>worst</w:t>
      </w:r>
      <w:r>
        <w:t xml:space="preserve"> </w:t>
      </w:r>
      <w:r w:rsidR="00DE11DF">
        <w:t>case</w:t>
      </w:r>
      <w:r w:rsidR="004C4E17">
        <w:t xml:space="preserve"> scenario of 80 percent eligible, and a middle scenario of 90 percent</w:t>
      </w:r>
      <w:r w:rsidR="004C4E17">
        <w:rPr>
          <w:spacing w:val="1"/>
        </w:rPr>
        <w:t xml:space="preserve"> </w:t>
      </w:r>
      <w:r w:rsidR="004C4E17">
        <w:t>eligible. These estimates are based on past experiences of similar studies, including studies in Puerto</w:t>
      </w:r>
      <w:r w:rsidR="004C4E17">
        <w:rPr>
          <w:spacing w:val="1"/>
        </w:rPr>
        <w:t xml:space="preserve"> </w:t>
      </w:r>
      <w:r w:rsidR="004C4E17">
        <w:t>Rico.</w:t>
      </w:r>
      <w:r w:rsidR="004C4E17">
        <w:rPr>
          <w:spacing w:val="1"/>
        </w:rPr>
        <w:t xml:space="preserve"> </w:t>
      </w:r>
      <w:r w:rsidR="004C4E17">
        <w:t>Table</w:t>
      </w:r>
      <w:r w:rsidR="004C4E17">
        <w:rPr>
          <w:spacing w:val="1"/>
        </w:rPr>
        <w:t xml:space="preserve"> B.</w:t>
      </w:r>
      <w:r w:rsidR="004C4E17">
        <w:t>2.4</w:t>
      </w:r>
      <w:r w:rsidR="004C4E17">
        <w:rPr>
          <w:spacing w:val="1"/>
        </w:rPr>
        <w:t xml:space="preserve"> </w:t>
      </w:r>
      <w:r w:rsidR="004C4E17">
        <w:t>provides expected response rates</w:t>
      </w:r>
      <w:r w:rsidR="004C4E17">
        <w:rPr>
          <w:spacing w:val="2"/>
        </w:rPr>
        <w:t xml:space="preserve"> </w:t>
      </w:r>
      <w:r w:rsidR="004C4E17">
        <w:t>for</w:t>
      </w:r>
      <w:r w:rsidR="004C4E17">
        <w:rPr>
          <w:spacing w:val="1"/>
        </w:rPr>
        <w:t xml:space="preserve"> </w:t>
      </w:r>
      <w:r w:rsidR="004C4E17">
        <w:t>each</w:t>
      </w:r>
      <w:r w:rsidR="004C4E17">
        <w:rPr>
          <w:spacing w:val="1"/>
        </w:rPr>
        <w:t xml:space="preserve"> </w:t>
      </w:r>
      <w:r w:rsidR="004C4E17">
        <w:t>sampling</w:t>
      </w:r>
      <w:r w:rsidR="004C4E17">
        <w:rPr>
          <w:spacing w:val="1"/>
        </w:rPr>
        <w:t xml:space="preserve"> </w:t>
      </w:r>
      <w:r w:rsidR="004C4E17">
        <w:t>frame</w:t>
      </w:r>
      <w:r w:rsidR="004C4E17">
        <w:rPr>
          <w:spacing w:val="1"/>
        </w:rPr>
        <w:t xml:space="preserve"> </w:t>
      </w:r>
      <w:r w:rsidR="004C4E17">
        <w:t>for</w:t>
      </w:r>
      <w:r w:rsidR="004C4E17">
        <w:rPr>
          <w:spacing w:val="2"/>
        </w:rPr>
        <w:t xml:space="preserve"> </w:t>
      </w:r>
      <w:r w:rsidR="004C4E17">
        <w:t>the</w:t>
      </w:r>
      <w:r w:rsidR="004C4E17">
        <w:rPr>
          <w:spacing w:val="1"/>
        </w:rPr>
        <w:t xml:space="preserve"> </w:t>
      </w:r>
      <w:r w:rsidR="004C4E17">
        <w:t>three scenarios for the baseline study. Table B.2.5 provides the corresponding yield‐rate scenarios</w:t>
      </w:r>
      <w:r w:rsidR="004C4E17">
        <w:rPr>
          <w:spacing w:val="1"/>
        </w:rPr>
        <w:t xml:space="preserve"> </w:t>
      </w:r>
      <w:r w:rsidR="004C4E17">
        <w:t>explored based on the expected response and eligibility rates and the resulting expected number of</w:t>
      </w:r>
      <w:r w:rsidR="004C4E17">
        <w:rPr>
          <w:spacing w:val="1"/>
        </w:rPr>
        <w:t xml:space="preserve"> </w:t>
      </w:r>
      <w:r w:rsidR="004C4E17">
        <w:t>respondents</w:t>
      </w:r>
      <w:r w:rsidR="004C4E17">
        <w:rPr>
          <w:spacing w:val="1"/>
        </w:rPr>
        <w:t xml:space="preserve"> </w:t>
      </w:r>
      <w:r w:rsidR="004C4E17">
        <w:t>for</w:t>
      </w:r>
      <w:r w:rsidR="004C4E17">
        <w:rPr>
          <w:spacing w:val="-1"/>
        </w:rPr>
        <w:t xml:space="preserve"> </w:t>
      </w:r>
      <w:r w:rsidR="004C4E17">
        <w:t>each scenario for the</w:t>
      </w:r>
      <w:r w:rsidR="004C4E17">
        <w:rPr>
          <w:spacing w:val="-1"/>
        </w:rPr>
        <w:t xml:space="preserve"> </w:t>
      </w:r>
      <w:r w:rsidR="004C4E17">
        <w:t>baseline</w:t>
      </w:r>
      <w:r w:rsidR="004C4E17">
        <w:rPr>
          <w:spacing w:val="-1"/>
        </w:rPr>
        <w:t xml:space="preserve"> </w:t>
      </w:r>
      <w:r w:rsidR="004C4E17">
        <w:t>study.</w:t>
      </w:r>
    </w:p>
    <w:p w:rsidR="00DE11DF" w:rsidP="00013514" w:rsidRDefault="004C4E17" w14:paraId="035078A3" w14:textId="70FC7BF1">
      <w:pPr>
        <w:pStyle w:val="Body11ptCalibri-IPR"/>
        <w:spacing w:after="240"/>
      </w:pPr>
      <w:r>
        <w:t xml:space="preserve">For the </w:t>
      </w:r>
      <w:r w:rsidR="00FA7DE7">
        <w:t>2</w:t>
      </w:r>
      <w:r>
        <w:t xml:space="preserve">‐year follow‐up, </w:t>
      </w:r>
      <w:r w:rsidR="00FA7DE7">
        <w:t>the study team</w:t>
      </w:r>
      <w:r w:rsidR="003239ED">
        <w:t xml:space="preserve"> anticipate</w:t>
      </w:r>
      <w:r w:rsidR="00FA7DE7">
        <w:t>s</w:t>
      </w:r>
      <w:r w:rsidR="003239ED">
        <w:t xml:space="preserve"> </w:t>
      </w:r>
      <w:r>
        <w:t xml:space="preserve">the following response rates: a </w:t>
      </w:r>
      <w:r w:rsidR="00DE11DF">
        <w:t>best</w:t>
      </w:r>
      <w:r w:rsidR="00FA7DE7">
        <w:t xml:space="preserve"> </w:t>
      </w:r>
      <w:r w:rsidR="00DE11DF">
        <w:t>case</w:t>
      </w:r>
      <w:r>
        <w:t xml:space="preserve"> scenario of 90</w:t>
      </w:r>
      <w:r>
        <w:rPr>
          <w:spacing w:val="1"/>
        </w:rPr>
        <w:t xml:space="preserve"> </w:t>
      </w:r>
      <w:r>
        <w:t>percent,</w:t>
      </w:r>
      <w:r>
        <w:rPr>
          <w:spacing w:val="-2"/>
        </w:rPr>
        <w:t xml:space="preserve"> </w:t>
      </w:r>
      <w:r>
        <w:t>a</w:t>
      </w:r>
      <w:r>
        <w:rPr>
          <w:spacing w:val="-2"/>
        </w:rPr>
        <w:t xml:space="preserve"> </w:t>
      </w:r>
      <w:r w:rsidR="00DE11DF">
        <w:t>worst</w:t>
      </w:r>
      <w:r w:rsidR="00FA7DE7">
        <w:rPr>
          <w:spacing w:val="-1"/>
        </w:rPr>
        <w:t xml:space="preserve"> </w:t>
      </w:r>
      <w:r w:rsidR="00DE11DF">
        <w:rPr>
          <w:spacing w:val="-1"/>
        </w:rPr>
        <w:t>case</w:t>
      </w:r>
      <w:r>
        <w:rPr>
          <w:spacing w:val="-2"/>
        </w:rPr>
        <w:t xml:space="preserve"> </w:t>
      </w:r>
      <w:r>
        <w:t>scenario</w:t>
      </w:r>
      <w:r>
        <w:rPr>
          <w:spacing w:val="-3"/>
        </w:rPr>
        <w:t xml:space="preserve"> </w:t>
      </w:r>
      <w:r>
        <w:t>of</w:t>
      </w:r>
      <w:r>
        <w:rPr>
          <w:spacing w:val="-2"/>
        </w:rPr>
        <w:t xml:space="preserve"> </w:t>
      </w:r>
      <w:r>
        <w:t>60</w:t>
      </w:r>
      <w:r>
        <w:rPr>
          <w:spacing w:val="-2"/>
        </w:rPr>
        <w:t xml:space="preserve"> </w:t>
      </w:r>
      <w:r>
        <w:t>percent,</w:t>
      </w:r>
      <w:r>
        <w:rPr>
          <w:spacing w:val="-3"/>
        </w:rPr>
        <w:t xml:space="preserve"> </w:t>
      </w:r>
      <w:r>
        <w:t>and</w:t>
      </w:r>
      <w:r w:rsidR="00FA7DE7">
        <w:rPr>
          <w:spacing w:val="-2"/>
        </w:rPr>
        <w:t xml:space="preserve"> </w:t>
      </w:r>
      <w:r>
        <w:t>a</w:t>
      </w:r>
      <w:r>
        <w:rPr>
          <w:spacing w:val="-1"/>
        </w:rPr>
        <w:t xml:space="preserve"> </w:t>
      </w:r>
      <w:r>
        <w:t>middle</w:t>
      </w:r>
      <w:r>
        <w:rPr>
          <w:spacing w:val="-2"/>
        </w:rPr>
        <w:t xml:space="preserve"> </w:t>
      </w:r>
      <w:r>
        <w:t>scenario</w:t>
      </w:r>
      <w:r>
        <w:rPr>
          <w:spacing w:val="-2"/>
        </w:rPr>
        <w:t xml:space="preserve"> </w:t>
      </w:r>
      <w:r>
        <w:t>of</w:t>
      </w:r>
      <w:r>
        <w:rPr>
          <w:spacing w:val="-2"/>
        </w:rPr>
        <w:t xml:space="preserve"> </w:t>
      </w:r>
      <w:r>
        <w:t>80</w:t>
      </w:r>
      <w:r>
        <w:rPr>
          <w:spacing w:val="-1"/>
        </w:rPr>
        <w:t xml:space="preserve"> </w:t>
      </w:r>
      <w:r>
        <w:t>percent.</w:t>
      </w:r>
      <w:r>
        <w:rPr>
          <w:spacing w:val="-2"/>
        </w:rPr>
        <w:t xml:space="preserve"> </w:t>
      </w:r>
      <w:r>
        <w:t>Eligibility</w:t>
      </w:r>
      <w:r>
        <w:rPr>
          <w:spacing w:val="-3"/>
        </w:rPr>
        <w:t xml:space="preserve"> </w:t>
      </w:r>
      <w:r>
        <w:t>rates</w:t>
      </w:r>
      <w:r>
        <w:rPr>
          <w:spacing w:val="-1"/>
        </w:rPr>
        <w:t xml:space="preserve"> </w:t>
      </w:r>
      <w:r w:rsidR="00DE11DF">
        <w:t xml:space="preserve">for </w:t>
      </w:r>
      <w:r w:rsidR="00FA7DE7">
        <w:t>the 2</w:t>
      </w:r>
      <w:r>
        <w:t>‐year follow‐up study should not vary by sampling frame. Assuming the middle response rate for</w:t>
      </w:r>
      <w:r>
        <w:rPr>
          <w:spacing w:val="1"/>
        </w:rPr>
        <w:t xml:space="preserve"> </w:t>
      </w:r>
      <w:r>
        <w:t xml:space="preserve">the baseline study and the eligibility rates discussed previously, </w:t>
      </w:r>
      <w:r w:rsidR="00FA7DE7">
        <w:t>t</w:t>
      </w:r>
      <w:r>
        <w:t>able B.2.6 provides expected yield rates</w:t>
      </w:r>
      <w:r>
        <w:rPr>
          <w:spacing w:val="1"/>
        </w:rPr>
        <w:t xml:space="preserve"> </w:t>
      </w:r>
      <w:r>
        <w:t>for</w:t>
      </w:r>
      <w:r>
        <w:rPr>
          <w:spacing w:val="-1"/>
        </w:rPr>
        <w:t xml:space="preserve"> </w:t>
      </w:r>
      <w:r>
        <w:t xml:space="preserve">the </w:t>
      </w:r>
      <w:r w:rsidR="00FA7DE7">
        <w:t>2</w:t>
      </w:r>
      <w:r>
        <w:t>‐year follow‐up survey.</w:t>
      </w:r>
    </w:p>
    <w:p w:rsidR="00DE11DF" w:rsidP="00DE11DF" w:rsidRDefault="00DE11DF" w14:paraId="61C7458C" w14:textId="69DF6EEE">
      <w:pPr>
        <w:pStyle w:val="TableTitle-IPR"/>
      </w:pPr>
      <w:bookmarkStart w:name="_Toc78365141" w:id="33"/>
      <w:r>
        <w:t>Table</w:t>
      </w:r>
      <w:r>
        <w:rPr>
          <w:spacing w:val="-2"/>
        </w:rPr>
        <w:t xml:space="preserve"> B.</w:t>
      </w:r>
      <w:r>
        <w:t>2.4.</w:t>
      </w:r>
      <w:r>
        <w:rPr>
          <w:spacing w:val="-1"/>
        </w:rPr>
        <w:t xml:space="preserve"> </w:t>
      </w:r>
      <w:r>
        <w:t>Expected</w:t>
      </w:r>
      <w:r>
        <w:rPr>
          <w:spacing w:val="-1"/>
        </w:rPr>
        <w:t xml:space="preserve"> </w:t>
      </w:r>
      <w:r>
        <w:t>Response</w:t>
      </w:r>
      <w:r>
        <w:rPr>
          <w:spacing w:val="-2"/>
        </w:rPr>
        <w:t xml:space="preserve"> </w:t>
      </w:r>
      <w:r>
        <w:t>Rates</w:t>
      </w:r>
      <w:r>
        <w:rPr>
          <w:spacing w:val="-1"/>
        </w:rPr>
        <w:t xml:space="preserve"> </w:t>
      </w:r>
      <w:r>
        <w:t>by</w:t>
      </w:r>
      <w:r>
        <w:rPr>
          <w:spacing w:val="-2"/>
        </w:rPr>
        <w:t xml:space="preserve"> </w:t>
      </w:r>
      <w:r>
        <w:t>Sampling</w:t>
      </w:r>
      <w:r>
        <w:rPr>
          <w:spacing w:val="-1"/>
        </w:rPr>
        <w:t xml:space="preserve"> </w:t>
      </w:r>
      <w:r>
        <w:t>Frame</w:t>
      </w:r>
      <w:r>
        <w:rPr>
          <w:spacing w:val="-2"/>
        </w:rPr>
        <w:t xml:space="preserve"> </w:t>
      </w:r>
      <w:r>
        <w:t>for</w:t>
      </w:r>
      <w:r>
        <w:rPr>
          <w:spacing w:val="-1"/>
        </w:rPr>
        <w:t xml:space="preserve"> </w:t>
      </w:r>
      <w:r>
        <w:t>Baseline</w:t>
      </w:r>
      <w:r>
        <w:rPr>
          <w:spacing w:val="-1"/>
        </w:rPr>
        <w:t xml:space="preserve"> </w:t>
      </w:r>
      <w:r>
        <w:t>Study</w:t>
      </w:r>
      <w:bookmarkEnd w:id="33"/>
    </w:p>
    <w:tbl>
      <w:tblPr>
        <w:tblStyle w:val="InsightTable"/>
        <w:tblW w:w="0" w:type="auto"/>
        <w:tblLook w:val="04A0" w:firstRow="1" w:lastRow="0" w:firstColumn="1" w:lastColumn="0" w:noHBand="0" w:noVBand="1"/>
      </w:tblPr>
      <w:tblGrid>
        <w:gridCol w:w="3243"/>
        <w:gridCol w:w="2013"/>
        <w:gridCol w:w="2025"/>
        <w:gridCol w:w="2021"/>
      </w:tblGrid>
      <w:tr w:rsidR="00DE11DF" w:rsidTr="00013514" w14:paraId="1DFDB2EC"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3362" w:type="dxa"/>
            <w:vMerge w:val="restart"/>
          </w:tcPr>
          <w:p w:rsidR="00DE11DF" w:rsidP="00DE11DF" w:rsidRDefault="00DE11DF" w14:paraId="6BDF0AB0" w14:textId="68D613C9">
            <w:pPr>
              <w:pStyle w:val="TableHeaderRow-IPR"/>
            </w:pPr>
            <w:r>
              <w:t>Sampling Frame</w:t>
            </w:r>
          </w:p>
        </w:tc>
        <w:tc>
          <w:tcPr>
            <w:tcW w:w="6280" w:type="dxa"/>
            <w:gridSpan w:val="3"/>
            <w:tcBorders>
              <w:bottom w:val="dotted" w:color="B12732" w:sz="4" w:space="0"/>
            </w:tcBorders>
          </w:tcPr>
          <w:p w:rsidR="00DE11DF" w:rsidP="00DE11DF" w:rsidRDefault="00DE11DF" w14:paraId="1B3D694F" w14:textId="753EDE86">
            <w:pPr>
              <w:pStyle w:val="TableHeaderRow-IPR"/>
            </w:pPr>
            <w:r>
              <w:t>Response Rate (Percent)</w:t>
            </w:r>
          </w:p>
        </w:tc>
      </w:tr>
      <w:tr w:rsidR="00DE11DF" w:rsidTr="00013514" w14:paraId="0F6B3EFD"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3362" w:type="dxa"/>
            <w:vMerge/>
          </w:tcPr>
          <w:p w:rsidR="00DE11DF" w:rsidP="00DE11DF" w:rsidRDefault="00DE11DF" w14:paraId="28C5DC8E" w14:textId="77777777">
            <w:pPr>
              <w:pStyle w:val="TableHeaderRow-IPR"/>
            </w:pPr>
          </w:p>
        </w:tc>
        <w:tc>
          <w:tcPr>
            <w:tcW w:w="2093" w:type="dxa"/>
            <w:tcBorders>
              <w:top w:val="dotted" w:color="B12732" w:sz="4" w:space="0"/>
            </w:tcBorders>
          </w:tcPr>
          <w:p w:rsidR="00DE11DF" w:rsidP="00DE11DF" w:rsidRDefault="00DE11DF" w14:paraId="49AAFEBD" w14:textId="4081777C">
            <w:pPr>
              <w:pStyle w:val="TableHeaderRow-IPR"/>
            </w:pPr>
            <w:r>
              <w:t>Best</w:t>
            </w:r>
          </w:p>
        </w:tc>
        <w:tc>
          <w:tcPr>
            <w:tcW w:w="2093" w:type="dxa"/>
            <w:tcBorders>
              <w:top w:val="dotted" w:color="B12732" w:sz="4" w:space="0"/>
            </w:tcBorders>
          </w:tcPr>
          <w:p w:rsidR="00DE11DF" w:rsidP="00DE11DF" w:rsidRDefault="00DE11DF" w14:paraId="3FFB799E" w14:textId="547675BC">
            <w:pPr>
              <w:pStyle w:val="TableHeaderRow-IPR"/>
            </w:pPr>
            <w:r>
              <w:t>Middle</w:t>
            </w:r>
          </w:p>
        </w:tc>
        <w:tc>
          <w:tcPr>
            <w:tcW w:w="2094" w:type="dxa"/>
            <w:tcBorders>
              <w:top w:val="dotted" w:color="B12732" w:sz="4" w:space="0"/>
            </w:tcBorders>
          </w:tcPr>
          <w:p w:rsidR="00DE11DF" w:rsidP="00DE11DF" w:rsidRDefault="00DE11DF" w14:paraId="2D757DE3" w14:textId="403DEABF">
            <w:pPr>
              <w:pStyle w:val="TableHeaderRow-IPR"/>
            </w:pPr>
            <w:r>
              <w:t>Worst</w:t>
            </w:r>
          </w:p>
        </w:tc>
      </w:tr>
      <w:tr w:rsidR="00DE11DF" w:rsidTr="00013514" w14:paraId="4CB73D9A" w14:textId="77777777">
        <w:trPr>
          <w:trHeight w:val="288"/>
        </w:trPr>
        <w:tc>
          <w:tcPr>
            <w:tcW w:w="3362" w:type="dxa"/>
          </w:tcPr>
          <w:p w:rsidR="00DE11DF" w:rsidP="00DE11DF" w:rsidRDefault="00DE11DF" w14:paraId="205C3B5D" w14:textId="51E1AEE8">
            <w:pPr>
              <w:pStyle w:val="TableText-IPR"/>
            </w:pPr>
            <w:r w:rsidRPr="00AD04FB">
              <w:t>NAP participant list (mail)</w:t>
            </w:r>
          </w:p>
        </w:tc>
        <w:tc>
          <w:tcPr>
            <w:tcW w:w="2093" w:type="dxa"/>
          </w:tcPr>
          <w:p w:rsidR="00DE11DF" w:rsidP="003F6B3B" w:rsidRDefault="00DE11DF" w14:paraId="0D5E3541" w14:textId="28DC85CB">
            <w:pPr>
              <w:pStyle w:val="TableText-IPR"/>
              <w:jc w:val="right"/>
            </w:pPr>
            <w:r>
              <w:t>40</w:t>
            </w:r>
          </w:p>
        </w:tc>
        <w:tc>
          <w:tcPr>
            <w:tcW w:w="2093" w:type="dxa"/>
          </w:tcPr>
          <w:p w:rsidR="00DE11DF" w:rsidP="003F6B3B" w:rsidRDefault="00DE11DF" w14:paraId="722DC99D" w14:textId="2F058919">
            <w:pPr>
              <w:pStyle w:val="TableText-IPR"/>
              <w:jc w:val="right"/>
            </w:pPr>
            <w:r>
              <w:t>30</w:t>
            </w:r>
          </w:p>
        </w:tc>
        <w:tc>
          <w:tcPr>
            <w:tcW w:w="2094" w:type="dxa"/>
          </w:tcPr>
          <w:p w:rsidR="00DE11DF" w:rsidP="003F6B3B" w:rsidRDefault="00DE11DF" w14:paraId="619C856B" w14:textId="02696172">
            <w:pPr>
              <w:pStyle w:val="TableText-IPR"/>
              <w:jc w:val="right"/>
            </w:pPr>
            <w:r>
              <w:t>20</w:t>
            </w:r>
          </w:p>
        </w:tc>
      </w:tr>
      <w:tr w:rsidR="00DE11DF" w:rsidTr="00013514" w14:paraId="1D5EFC26" w14:textId="77777777">
        <w:trPr>
          <w:trHeight w:val="288"/>
        </w:trPr>
        <w:tc>
          <w:tcPr>
            <w:tcW w:w="3362" w:type="dxa"/>
          </w:tcPr>
          <w:p w:rsidR="00DE11DF" w:rsidP="00DE11DF" w:rsidRDefault="00DE11DF" w14:paraId="2CC30DB8" w14:textId="59FFD0BF">
            <w:pPr>
              <w:pStyle w:val="TableText-IPR"/>
            </w:pPr>
            <w:r w:rsidRPr="00AD04FB">
              <w:t>NAP participant list (phone follow‐up)</w:t>
            </w:r>
          </w:p>
        </w:tc>
        <w:tc>
          <w:tcPr>
            <w:tcW w:w="2093" w:type="dxa"/>
          </w:tcPr>
          <w:p w:rsidR="00DE11DF" w:rsidP="003F6B3B" w:rsidRDefault="00DE11DF" w14:paraId="51F21E57" w14:textId="1FCC1255">
            <w:pPr>
              <w:pStyle w:val="TableText-IPR"/>
              <w:jc w:val="right"/>
            </w:pPr>
            <w:r>
              <w:t>15</w:t>
            </w:r>
          </w:p>
        </w:tc>
        <w:tc>
          <w:tcPr>
            <w:tcW w:w="2093" w:type="dxa"/>
          </w:tcPr>
          <w:p w:rsidR="00DE11DF" w:rsidP="003F6B3B" w:rsidRDefault="00DE11DF" w14:paraId="5082C8EB" w14:textId="72E7F808">
            <w:pPr>
              <w:pStyle w:val="TableText-IPR"/>
              <w:jc w:val="right"/>
            </w:pPr>
            <w:r>
              <w:t>10</w:t>
            </w:r>
          </w:p>
        </w:tc>
        <w:tc>
          <w:tcPr>
            <w:tcW w:w="2094" w:type="dxa"/>
          </w:tcPr>
          <w:p w:rsidR="00DE11DF" w:rsidP="003F6B3B" w:rsidRDefault="00DE11DF" w14:paraId="4462CCFE" w14:textId="482341BE">
            <w:pPr>
              <w:pStyle w:val="TableText-IPR"/>
              <w:jc w:val="right"/>
            </w:pPr>
            <w:r>
              <w:t>5</w:t>
            </w:r>
          </w:p>
        </w:tc>
      </w:tr>
      <w:tr w:rsidR="00DE11DF" w:rsidTr="00013514" w14:paraId="3E67274C" w14:textId="77777777">
        <w:trPr>
          <w:trHeight w:val="288"/>
        </w:trPr>
        <w:tc>
          <w:tcPr>
            <w:tcW w:w="3362" w:type="dxa"/>
          </w:tcPr>
          <w:p w:rsidR="00DE11DF" w:rsidP="00DE11DF" w:rsidRDefault="00DE11DF" w14:paraId="5FFC0968" w14:textId="45F820C1">
            <w:pPr>
              <w:pStyle w:val="TableText-IPR"/>
            </w:pPr>
            <w:r w:rsidRPr="00AD04FB">
              <w:t>Area probability</w:t>
            </w:r>
          </w:p>
        </w:tc>
        <w:tc>
          <w:tcPr>
            <w:tcW w:w="2093" w:type="dxa"/>
          </w:tcPr>
          <w:p w:rsidR="00DE11DF" w:rsidP="003F6B3B" w:rsidRDefault="00DE11DF" w14:paraId="6301BF2F" w14:textId="0B9DF32A">
            <w:pPr>
              <w:pStyle w:val="TableText-IPR"/>
              <w:jc w:val="right"/>
            </w:pPr>
            <w:r>
              <w:t>40</w:t>
            </w:r>
          </w:p>
        </w:tc>
        <w:tc>
          <w:tcPr>
            <w:tcW w:w="2093" w:type="dxa"/>
          </w:tcPr>
          <w:p w:rsidR="00DE11DF" w:rsidP="003F6B3B" w:rsidRDefault="00DE11DF" w14:paraId="55105733" w14:textId="45863D44">
            <w:pPr>
              <w:pStyle w:val="TableText-IPR"/>
              <w:jc w:val="right"/>
            </w:pPr>
            <w:r>
              <w:t>30</w:t>
            </w:r>
          </w:p>
        </w:tc>
        <w:tc>
          <w:tcPr>
            <w:tcW w:w="2094" w:type="dxa"/>
          </w:tcPr>
          <w:p w:rsidR="00DE11DF" w:rsidP="003F6B3B" w:rsidRDefault="00DE11DF" w14:paraId="6EEE134B" w14:textId="49E93D95">
            <w:pPr>
              <w:pStyle w:val="TableText-IPR"/>
              <w:jc w:val="right"/>
            </w:pPr>
            <w:r>
              <w:t>20</w:t>
            </w:r>
          </w:p>
        </w:tc>
      </w:tr>
    </w:tbl>
    <w:p w:rsidR="00DE11DF" w:rsidP="00013514" w:rsidRDefault="00DE11DF" w14:paraId="7A27E68B" w14:textId="7AA1838F">
      <w:pPr>
        <w:pStyle w:val="TableTitle-IPR"/>
        <w:spacing w:before="240"/>
      </w:pPr>
      <w:bookmarkStart w:name="_Toc78365142" w:id="34"/>
      <w:r>
        <w:t>Table B.2.5. Expected Yield Rates and Number of Respondents for Each Sampling Frame for the Baseline Study</w:t>
      </w:r>
      <w:bookmarkEnd w:id="34"/>
    </w:p>
    <w:tbl>
      <w:tblPr>
        <w:tblStyle w:val="InsightTable"/>
        <w:tblW w:w="0" w:type="auto"/>
        <w:tblLook w:val="04A0" w:firstRow="1" w:lastRow="0" w:firstColumn="1" w:lastColumn="0" w:noHBand="0" w:noVBand="1"/>
      </w:tblPr>
      <w:tblGrid>
        <w:gridCol w:w="2552"/>
        <w:gridCol w:w="1125"/>
        <w:gridCol w:w="1125"/>
        <w:gridCol w:w="1125"/>
        <w:gridCol w:w="1125"/>
        <w:gridCol w:w="1125"/>
        <w:gridCol w:w="1125"/>
      </w:tblGrid>
      <w:tr w:rsidR="00DE11DF" w:rsidTr="002A0BC3" w14:paraId="4BB4729F"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2552" w:type="dxa"/>
            <w:vMerge w:val="restart"/>
            <w:tcBorders>
              <w:bottom w:val="dotted" w:color="B12732" w:sz="4" w:space="0"/>
            </w:tcBorders>
          </w:tcPr>
          <w:p w:rsidR="00DE11DF" w:rsidP="00F975D9" w:rsidRDefault="003F6B3B" w14:paraId="79273530" w14:textId="6EDDA138">
            <w:pPr>
              <w:pStyle w:val="TableHeaderRow-IPR"/>
            </w:pPr>
            <w:r>
              <w:t>Sampling Frame</w:t>
            </w:r>
          </w:p>
        </w:tc>
        <w:tc>
          <w:tcPr>
            <w:tcW w:w="3375" w:type="dxa"/>
            <w:gridSpan w:val="3"/>
            <w:tcBorders>
              <w:bottom w:val="dotted" w:color="B12732" w:sz="4" w:space="0"/>
            </w:tcBorders>
          </w:tcPr>
          <w:p w:rsidR="00DE11DF" w:rsidP="00F975D9" w:rsidRDefault="00DE11DF" w14:paraId="703066E0" w14:textId="77777777">
            <w:pPr>
              <w:pStyle w:val="TableHeaderRow-IPR"/>
            </w:pPr>
            <w:r>
              <w:t>Yield Rate (Percent)</w:t>
            </w:r>
          </w:p>
        </w:tc>
        <w:tc>
          <w:tcPr>
            <w:tcW w:w="3375" w:type="dxa"/>
            <w:gridSpan w:val="3"/>
            <w:tcBorders>
              <w:bottom w:val="dotted" w:color="B12732" w:sz="4" w:space="0"/>
            </w:tcBorders>
          </w:tcPr>
          <w:p w:rsidR="00DE11DF" w:rsidP="00F975D9" w:rsidRDefault="00DE11DF" w14:paraId="0BE783B5" w14:textId="77777777">
            <w:pPr>
              <w:pStyle w:val="TableHeaderRow-IPR"/>
            </w:pPr>
            <w:r>
              <w:t>Expected Number of Respondents</w:t>
            </w:r>
          </w:p>
        </w:tc>
      </w:tr>
      <w:tr w:rsidR="00227FB1" w:rsidTr="002A0BC3" w14:paraId="004AE4E4"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2552" w:type="dxa"/>
            <w:vMerge/>
            <w:tcBorders>
              <w:top w:val="dotted" w:color="B12732" w:sz="4" w:space="0"/>
            </w:tcBorders>
          </w:tcPr>
          <w:p w:rsidR="00DE11DF" w:rsidP="00F975D9" w:rsidRDefault="00DE11DF" w14:paraId="649E1C9E" w14:textId="77777777">
            <w:pPr>
              <w:pStyle w:val="TableHeaderRow-IPR"/>
            </w:pPr>
          </w:p>
        </w:tc>
        <w:tc>
          <w:tcPr>
            <w:tcW w:w="1125" w:type="dxa"/>
            <w:tcBorders>
              <w:top w:val="dotted" w:color="B12732" w:sz="4" w:space="0"/>
            </w:tcBorders>
          </w:tcPr>
          <w:p w:rsidR="00DE11DF" w:rsidP="00F975D9" w:rsidRDefault="00DE11DF" w14:paraId="20BCD7F4" w14:textId="77777777">
            <w:pPr>
              <w:pStyle w:val="TableHeaderRow-IPR"/>
            </w:pPr>
            <w:r>
              <w:t>Best</w:t>
            </w:r>
          </w:p>
        </w:tc>
        <w:tc>
          <w:tcPr>
            <w:tcW w:w="1125" w:type="dxa"/>
            <w:tcBorders>
              <w:top w:val="dotted" w:color="B12732" w:sz="4" w:space="0"/>
            </w:tcBorders>
          </w:tcPr>
          <w:p w:rsidR="00DE11DF" w:rsidP="00F975D9" w:rsidRDefault="00DE11DF" w14:paraId="07B57D77" w14:textId="77777777">
            <w:pPr>
              <w:pStyle w:val="TableHeaderRow-IPR"/>
            </w:pPr>
            <w:r>
              <w:t>Middle</w:t>
            </w:r>
          </w:p>
        </w:tc>
        <w:tc>
          <w:tcPr>
            <w:tcW w:w="1125" w:type="dxa"/>
            <w:tcBorders>
              <w:top w:val="dotted" w:color="B12732" w:sz="4" w:space="0"/>
            </w:tcBorders>
          </w:tcPr>
          <w:p w:rsidR="00DE11DF" w:rsidP="00F975D9" w:rsidRDefault="00DE11DF" w14:paraId="589AFF31" w14:textId="77777777">
            <w:pPr>
              <w:pStyle w:val="TableHeaderRow-IPR"/>
            </w:pPr>
            <w:r>
              <w:t>Worst</w:t>
            </w:r>
          </w:p>
        </w:tc>
        <w:tc>
          <w:tcPr>
            <w:tcW w:w="1125" w:type="dxa"/>
            <w:tcBorders>
              <w:top w:val="dotted" w:color="B12732" w:sz="4" w:space="0"/>
            </w:tcBorders>
          </w:tcPr>
          <w:p w:rsidR="00DE11DF" w:rsidP="00F975D9" w:rsidRDefault="00DE11DF" w14:paraId="4D3CE726" w14:textId="77777777">
            <w:pPr>
              <w:pStyle w:val="TableHeaderRow-IPR"/>
            </w:pPr>
            <w:r>
              <w:t>Best</w:t>
            </w:r>
          </w:p>
        </w:tc>
        <w:tc>
          <w:tcPr>
            <w:tcW w:w="1125" w:type="dxa"/>
            <w:tcBorders>
              <w:top w:val="dotted" w:color="B12732" w:sz="4" w:space="0"/>
            </w:tcBorders>
          </w:tcPr>
          <w:p w:rsidR="00DE11DF" w:rsidP="00F975D9" w:rsidRDefault="00DE11DF" w14:paraId="347C694F" w14:textId="77777777">
            <w:pPr>
              <w:pStyle w:val="TableHeaderRow-IPR"/>
            </w:pPr>
            <w:r>
              <w:t xml:space="preserve">Middle </w:t>
            </w:r>
          </w:p>
        </w:tc>
        <w:tc>
          <w:tcPr>
            <w:tcW w:w="1125" w:type="dxa"/>
            <w:tcBorders>
              <w:top w:val="dotted" w:color="B12732" w:sz="4" w:space="0"/>
            </w:tcBorders>
          </w:tcPr>
          <w:p w:rsidR="00DE11DF" w:rsidP="00F975D9" w:rsidRDefault="00DE11DF" w14:paraId="23E0C0A3" w14:textId="77777777">
            <w:pPr>
              <w:pStyle w:val="TableHeaderRow-IPR"/>
            </w:pPr>
            <w:r>
              <w:t>Worst</w:t>
            </w:r>
          </w:p>
        </w:tc>
      </w:tr>
      <w:tr w:rsidR="00227FB1" w:rsidTr="002A0BC3" w14:paraId="54D1B23C" w14:textId="77777777">
        <w:trPr>
          <w:trHeight w:val="288"/>
        </w:trPr>
        <w:tc>
          <w:tcPr>
            <w:tcW w:w="2552" w:type="dxa"/>
          </w:tcPr>
          <w:p w:rsidRPr="00DE11DF" w:rsidR="003F6B3B" w:rsidP="00C45902" w:rsidRDefault="003F6B3B" w14:paraId="543BB0BB" w14:textId="5AC0BA75">
            <w:pPr>
              <w:pStyle w:val="TableText-IPR"/>
            </w:pPr>
            <w:r w:rsidRPr="009532D4">
              <w:t xml:space="preserve">NAP participant list (overall) </w:t>
            </w:r>
          </w:p>
        </w:tc>
        <w:tc>
          <w:tcPr>
            <w:tcW w:w="1125" w:type="dxa"/>
          </w:tcPr>
          <w:p w:rsidRPr="00DE11DF" w:rsidR="003F6B3B" w:rsidP="003F6B3B" w:rsidRDefault="003F6B3B" w14:paraId="10F7CEBA" w14:textId="3579FDB9">
            <w:pPr>
              <w:pStyle w:val="TableText-IPR"/>
              <w:jc w:val="right"/>
            </w:pPr>
            <w:r w:rsidRPr="00BD4ECD">
              <w:t>39</w:t>
            </w:r>
          </w:p>
        </w:tc>
        <w:tc>
          <w:tcPr>
            <w:tcW w:w="1125" w:type="dxa"/>
          </w:tcPr>
          <w:p w:rsidRPr="00DE11DF" w:rsidR="003F6B3B" w:rsidP="003F6B3B" w:rsidRDefault="003F6B3B" w14:paraId="0DC280CD" w14:textId="240776E1">
            <w:pPr>
              <w:pStyle w:val="TableText-IPR"/>
              <w:jc w:val="right"/>
            </w:pPr>
            <w:r w:rsidRPr="00BD4ECD">
              <w:t>29</w:t>
            </w:r>
          </w:p>
        </w:tc>
        <w:tc>
          <w:tcPr>
            <w:tcW w:w="1125" w:type="dxa"/>
          </w:tcPr>
          <w:p w:rsidRPr="00DE11DF" w:rsidR="003F6B3B" w:rsidP="003F6B3B" w:rsidRDefault="003F6B3B" w14:paraId="79D3FA08" w14:textId="4D6852F4">
            <w:pPr>
              <w:pStyle w:val="TableText-IPR"/>
              <w:jc w:val="right"/>
            </w:pPr>
            <w:r w:rsidRPr="00BD4ECD">
              <w:t>19</w:t>
            </w:r>
          </w:p>
        </w:tc>
        <w:tc>
          <w:tcPr>
            <w:tcW w:w="1125" w:type="dxa"/>
          </w:tcPr>
          <w:p w:rsidRPr="00DE11DF" w:rsidR="003F6B3B" w:rsidP="003F6B3B" w:rsidRDefault="003F6B3B" w14:paraId="542C02A3" w14:textId="364343D7">
            <w:pPr>
              <w:pStyle w:val="TableText-IPR"/>
              <w:jc w:val="right"/>
            </w:pPr>
            <w:r w:rsidRPr="00BD4ECD">
              <w:t>1,227</w:t>
            </w:r>
          </w:p>
        </w:tc>
        <w:tc>
          <w:tcPr>
            <w:tcW w:w="1125" w:type="dxa"/>
          </w:tcPr>
          <w:p w:rsidRPr="00DE11DF" w:rsidR="003F6B3B" w:rsidP="003F6B3B" w:rsidRDefault="003F6B3B" w14:paraId="376DF943" w14:textId="4D8E69D8">
            <w:pPr>
              <w:pStyle w:val="TableText-IPR"/>
              <w:jc w:val="right"/>
            </w:pPr>
            <w:r w:rsidRPr="00BD4ECD">
              <w:t>922</w:t>
            </w:r>
          </w:p>
        </w:tc>
        <w:tc>
          <w:tcPr>
            <w:tcW w:w="1125" w:type="dxa"/>
          </w:tcPr>
          <w:p w:rsidRPr="00DE11DF" w:rsidR="003F6B3B" w:rsidP="003F6B3B" w:rsidRDefault="003F6B3B" w14:paraId="11005536" w14:textId="6B7F5C08">
            <w:pPr>
              <w:pStyle w:val="TableText-IPR"/>
              <w:jc w:val="right"/>
            </w:pPr>
            <w:r w:rsidRPr="00BD4ECD">
              <w:t>609</w:t>
            </w:r>
          </w:p>
        </w:tc>
      </w:tr>
      <w:tr w:rsidR="00227FB1" w:rsidTr="002A0BC3" w14:paraId="7D2A87A7" w14:textId="77777777">
        <w:trPr>
          <w:trHeight w:val="288"/>
        </w:trPr>
        <w:tc>
          <w:tcPr>
            <w:tcW w:w="2552" w:type="dxa"/>
          </w:tcPr>
          <w:p w:rsidRPr="00DE11DF" w:rsidR="003F6B3B" w:rsidP="00C45902" w:rsidRDefault="003F6B3B" w14:paraId="467789AE" w14:textId="2EBDF6AB">
            <w:pPr>
              <w:pStyle w:val="TableText-IPR"/>
            </w:pPr>
            <w:r w:rsidRPr="009532D4">
              <w:t>Area probability</w:t>
            </w:r>
          </w:p>
        </w:tc>
        <w:tc>
          <w:tcPr>
            <w:tcW w:w="1125" w:type="dxa"/>
          </w:tcPr>
          <w:p w:rsidRPr="00DE11DF" w:rsidR="003F6B3B" w:rsidP="003F6B3B" w:rsidRDefault="003F6B3B" w14:paraId="72E9A143" w14:textId="0FFA9393">
            <w:pPr>
              <w:pStyle w:val="TableText-IPR"/>
              <w:jc w:val="right"/>
            </w:pPr>
            <w:r w:rsidRPr="00BD4ECD">
              <w:t>40</w:t>
            </w:r>
          </w:p>
        </w:tc>
        <w:tc>
          <w:tcPr>
            <w:tcW w:w="1125" w:type="dxa"/>
          </w:tcPr>
          <w:p w:rsidRPr="00DE11DF" w:rsidR="003F6B3B" w:rsidP="003F6B3B" w:rsidRDefault="003F6B3B" w14:paraId="07DC8B5E" w14:textId="1AFC1AD6">
            <w:pPr>
              <w:pStyle w:val="TableText-IPR"/>
              <w:jc w:val="right"/>
            </w:pPr>
            <w:r w:rsidRPr="00BD4ECD">
              <w:t>30</w:t>
            </w:r>
          </w:p>
        </w:tc>
        <w:tc>
          <w:tcPr>
            <w:tcW w:w="1125" w:type="dxa"/>
          </w:tcPr>
          <w:p w:rsidRPr="00DE11DF" w:rsidR="003F6B3B" w:rsidP="003F6B3B" w:rsidRDefault="003F6B3B" w14:paraId="32DB4AB9" w14:textId="549E5291">
            <w:pPr>
              <w:pStyle w:val="TableText-IPR"/>
              <w:jc w:val="right"/>
            </w:pPr>
            <w:r w:rsidRPr="00BD4ECD">
              <w:t>20</w:t>
            </w:r>
          </w:p>
        </w:tc>
        <w:tc>
          <w:tcPr>
            <w:tcW w:w="1125" w:type="dxa"/>
          </w:tcPr>
          <w:p w:rsidRPr="00DE11DF" w:rsidR="003F6B3B" w:rsidP="003F6B3B" w:rsidRDefault="003F6B3B" w14:paraId="21CE702E" w14:textId="58D261CF">
            <w:pPr>
              <w:pStyle w:val="TableText-IPR"/>
              <w:jc w:val="right"/>
            </w:pPr>
            <w:r w:rsidRPr="00BD4ECD">
              <w:t>3,644</w:t>
            </w:r>
          </w:p>
        </w:tc>
        <w:tc>
          <w:tcPr>
            <w:tcW w:w="1125" w:type="dxa"/>
          </w:tcPr>
          <w:p w:rsidRPr="00DE11DF" w:rsidR="003F6B3B" w:rsidP="003F6B3B" w:rsidRDefault="003F6B3B" w14:paraId="07B24771" w14:textId="19FF39F0">
            <w:pPr>
              <w:pStyle w:val="TableText-IPR"/>
              <w:jc w:val="right"/>
            </w:pPr>
            <w:r w:rsidRPr="00BD4ECD">
              <w:t>2,733</w:t>
            </w:r>
          </w:p>
        </w:tc>
        <w:tc>
          <w:tcPr>
            <w:tcW w:w="1125" w:type="dxa"/>
          </w:tcPr>
          <w:p w:rsidRPr="00DE11DF" w:rsidR="003F6B3B" w:rsidP="003F6B3B" w:rsidRDefault="003F6B3B" w14:paraId="5D6B6C67" w14:textId="6F5E69B3">
            <w:pPr>
              <w:pStyle w:val="TableText-IPR"/>
              <w:jc w:val="right"/>
            </w:pPr>
            <w:r w:rsidRPr="00BD4ECD">
              <w:t>1,822</w:t>
            </w:r>
          </w:p>
        </w:tc>
      </w:tr>
      <w:tr w:rsidR="005B0F4F" w:rsidTr="002A0BC3" w14:paraId="7E64106C" w14:textId="77777777">
        <w:trPr>
          <w:trHeight w:val="288"/>
        </w:trPr>
        <w:tc>
          <w:tcPr>
            <w:tcW w:w="0" w:type="dxa"/>
            <w:gridSpan w:val="4"/>
            <w:vAlign w:val="bottom"/>
          </w:tcPr>
          <w:p w:rsidRPr="00DE11DF" w:rsidR="005B0F4F" w:rsidP="002A0BC3" w:rsidRDefault="005B0F4F" w14:paraId="039CF8D8" w14:textId="17CEB04D">
            <w:pPr>
              <w:pStyle w:val="TableText-IPR"/>
            </w:pPr>
            <w:r>
              <w:t>Total</w:t>
            </w:r>
          </w:p>
        </w:tc>
        <w:tc>
          <w:tcPr>
            <w:tcW w:w="0" w:type="dxa"/>
          </w:tcPr>
          <w:p w:rsidRPr="00DE11DF" w:rsidR="005B0F4F" w:rsidP="003F6B3B" w:rsidRDefault="005B0F4F" w14:paraId="38032526" w14:textId="618839C2">
            <w:pPr>
              <w:pStyle w:val="TableText-IPR"/>
              <w:jc w:val="right"/>
            </w:pPr>
            <w:r w:rsidRPr="00D70110">
              <w:t>4,871</w:t>
            </w:r>
          </w:p>
        </w:tc>
        <w:tc>
          <w:tcPr>
            <w:tcW w:w="0" w:type="dxa"/>
          </w:tcPr>
          <w:p w:rsidRPr="00DE11DF" w:rsidR="005B0F4F" w:rsidP="003F6B3B" w:rsidRDefault="005B0F4F" w14:paraId="6BB502DC" w14:textId="421CB7DF">
            <w:pPr>
              <w:pStyle w:val="TableText-IPR"/>
              <w:jc w:val="right"/>
            </w:pPr>
            <w:r w:rsidRPr="00D70110">
              <w:t>3,655</w:t>
            </w:r>
          </w:p>
        </w:tc>
        <w:tc>
          <w:tcPr>
            <w:tcW w:w="0" w:type="dxa"/>
          </w:tcPr>
          <w:p w:rsidRPr="00DE11DF" w:rsidR="005B0F4F" w:rsidP="003F6B3B" w:rsidRDefault="005B0F4F" w14:paraId="1A3BACE2" w14:textId="62C6AB2B">
            <w:pPr>
              <w:pStyle w:val="TableText-IPR"/>
              <w:jc w:val="right"/>
            </w:pPr>
            <w:r w:rsidRPr="00D70110">
              <w:t>2,431</w:t>
            </w:r>
          </w:p>
        </w:tc>
      </w:tr>
    </w:tbl>
    <w:p w:rsidR="00DE11DF" w:rsidP="00CB6433" w:rsidRDefault="00DE11DF" w14:paraId="09DBE791" w14:textId="59D7A613">
      <w:pPr>
        <w:pStyle w:val="TableTitle-IPR"/>
        <w:spacing w:before="240"/>
      </w:pPr>
      <w:bookmarkStart w:name="_Toc78365143" w:id="35"/>
      <w:r>
        <w:t>Table</w:t>
      </w:r>
      <w:r>
        <w:rPr>
          <w:spacing w:val="-2"/>
        </w:rPr>
        <w:t xml:space="preserve"> B.</w:t>
      </w:r>
      <w:r>
        <w:t>2.6.</w:t>
      </w:r>
      <w:r>
        <w:rPr>
          <w:spacing w:val="-1"/>
        </w:rPr>
        <w:t xml:space="preserve"> </w:t>
      </w:r>
      <w:r>
        <w:t>Expected</w:t>
      </w:r>
      <w:r>
        <w:rPr>
          <w:spacing w:val="-2"/>
        </w:rPr>
        <w:t xml:space="preserve"> </w:t>
      </w:r>
      <w:r>
        <w:t>Yield</w:t>
      </w:r>
      <w:r>
        <w:rPr>
          <w:spacing w:val="1"/>
        </w:rPr>
        <w:t xml:space="preserve"> </w:t>
      </w:r>
      <w:r>
        <w:t>Rates</w:t>
      </w:r>
      <w:r>
        <w:rPr>
          <w:spacing w:val="-3"/>
        </w:rPr>
        <w:t xml:space="preserve"> </w:t>
      </w:r>
      <w:r>
        <w:t>and</w:t>
      </w:r>
      <w:r>
        <w:rPr>
          <w:spacing w:val="-2"/>
        </w:rPr>
        <w:t xml:space="preserve"> </w:t>
      </w:r>
      <w:r>
        <w:t>Number</w:t>
      </w:r>
      <w:r>
        <w:rPr>
          <w:spacing w:val="-1"/>
        </w:rPr>
        <w:t xml:space="preserve"> </w:t>
      </w:r>
      <w:r>
        <w:t>of</w:t>
      </w:r>
      <w:r>
        <w:rPr>
          <w:spacing w:val="-2"/>
        </w:rPr>
        <w:t xml:space="preserve"> </w:t>
      </w:r>
      <w:r>
        <w:t>Respondents</w:t>
      </w:r>
      <w:r>
        <w:rPr>
          <w:spacing w:val="-3"/>
        </w:rPr>
        <w:t xml:space="preserve"> </w:t>
      </w:r>
      <w:r>
        <w:t>for</w:t>
      </w:r>
      <w:r>
        <w:rPr>
          <w:spacing w:val="-2"/>
        </w:rPr>
        <w:t xml:space="preserve"> </w:t>
      </w:r>
      <w:r>
        <w:t>the</w:t>
      </w:r>
      <w:r>
        <w:rPr>
          <w:spacing w:val="-1"/>
        </w:rPr>
        <w:t xml:space="preserve"> </w:t>
      </w:r>
      <w:r>
        <w:t>2‐Year</w:t>
      </w:r>
      <w:r>
        <w:rPr>
          <w:spacing w:val="-2"/>
        </w:rPr>
        <w:t xml:space="preserve"> </w:t>
      </w:r>
      <w:r>
        <w:t>Follow‐Up</w:t>
      </w:r>
      <w:bookmarkEnd w:id="35"/>
    </w:p>
    <w:tbl>
      <w:tblPr>
        <w:tblStyle w:val="InsightTable"/>
        <w:tblW w:w="0" w:type="auto"/>
        <w:tblLook w:val="04A0" w:firstRow="1" w:lastRow="0" w:firstColumn="1" w:lastColumn="0" w:noHBand="0" w:noVBand="1"/>
      </w:tblPr>
      <w:tblGrid>
        <w:gridCol w:w="1886"/>
        <w:gridCol w:w="1226"/>
        <w:gridCol w:w="1243"/>
        <w:gridCol w:w="1237"/>
        <w:gridCol w:w="1230"/>
        <w:gridCol w:w="1243"/>
        <w:gridCol w:w="1237"/>
      </w:tblGrid>
      <w:tr w:rsidR="00DE11DF" w:rsidTr="00013514" w14:paraId="7B333B57"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1964" w:type="dxa"/>
            <w:vMerge w:val="restart"/>
            <w:tcBorders>
              <w:bottom w:val="dotted" w:color="B12732" w:sz="4" w:space="0"/>
            </w:tcBorders>
          </w:tcPr>
          <w:p w:rsidR="00DE11DF" w:rsidP="00DE11DF" w:rsidRDefault="00DE11DF" w14:paraId="591C9FF0" w14:textId="333F7B71">
            <w:pPr>
              <w:pStyle w:val="TableHeaderRow-IPR"/>
            </w:pPr>
            <w:r>
              <w:t>Overall Yield at 2-Year Follow-Up</w:t>
            </w:r>
          </w:p>
        </w:tc>
        <w:tc>
          <w:tcPr>
            <w:tcW w:w="3839" w:type="dxa"/>
            <w:gridSpan w:val="3"/>
            <w:tcBorders>
              <w:bottom w:val="dotted" w:color="B12732" w:sz="4" w:space="0"/>
            </w:tcBorders>
          </w:tcPr>
          <w:p w:rsidR="00DE11DF" w:rsidP="00DE11DF" w:rsidRDefault="00DE11DF" w14:paraId="639C3CFB" w14:textId="7104423E">
            <w:pPr>
              <w:pStyle w:val="TableHeaderRow-IPR"/>
            </w:pPr>
            <w:r>
              <w:t>Yield Rate (Percent)</w:t>
            </w:r>
          </w:p>
        </w:tc>
        <w:tc>
          <w:tcPr>
            <w:tcW w:w="3839" w:type="dxa"/>
            <w:gridSpan w:val="3"/>
            <w:tcBorders>
              <w:bottom w:val="dotted" w:color="B12732" w:sz="4" w:space="0"/>
            </w:tcBorders>
          </w:tcPr>
          <w:p w:rsidR="00DE11DF" w:rsidP="00DE11DF" w:rsidRDefault="00DE11DF" w14:paraId="2ABEF7C0" w14:textId="215AF02C">
            <w:pPr>
              <w:pStyle w:val="TableHeaderRow-IPR"/>
            </w:pPr>
            <w:r>
              <w:t>Expected Number of Respondents</w:t>
            </w:r>
          </w:p>
        </w:tc>
      </w:tr>
      <w:tr w:rsidR="00DE11DF" w:rsidTr="00013514" w14:paraId="196DD6C2"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1964" w:type="dxa"/>
            <w:vMerge/>
            <w:tcBorders>
              <w:top w:val="dotted" w:color="B12732" w:sz="4" w:space="0"/>
            </w:tcBorders>
          </w:tcPr>
          <w:p w:rsidR="00DE11DF" w:rsidP="00DE11DF" w:rsidRDefault="00DE11DF" w14:paraId="77787A74" w14:textId="77777777">
            <w:pPr>
              <w:pStyle w:val="TableHeaderRow-IPR"/>
            </w:pPr>
          </w:p>
        </w:tc>
        <w:tc>
          <w:tcPr>
            <w:tcW w:w="1279" w:type="dxa"/>
            <w:tcBorders>
              <w:top w:val="dotted" w:color="B12732" w:sz="4" w:space="0"/>
            </w:tcBorders>
          </w:tcPr>
          <w:p w:rsidR="00DE11DF" w:rsidP="00DE11DF" w:rsidRDefault="00DE11DF" w14:paraId="63FEAC19" w14:textId="4DE1FAFE">
            <w:pPr>
              <w:pStyle w:val="TableHeaderRow-IPR"/>
            </w:pPr>
            <w:r>
              <w:t>Best</w:t>
            </w:r>
          </w:p>
        </w:tc>
        <w:tc>
          <w:tcPr>
            <w:tcW w:w="1280" w:type="dxa"/>
            <w:tcBorders>
              <w:top w:val="dotted" w:color="B12732" w:sz="4" w:space="0"/>
            </w:tcBorders>
          </w:tcPr>
          <w:p w:rsidR="00DE11DF" w:rsidP="00DE11DF" w:rsidRDefault="00DE11DF" w14:paraId="3C1D33F1" w14:textId="026B8C67">
            <w:pPr>
              <w:pStyle w:val="TableHeaderRow-IPR"/>
            </w:pPr>
            <w:r>
              <w:t>Middle</w:t>
            </w:r>
          </w:p>
        </w:tc>
        <w:tc>
          <w:tcPr>
            <w:tcW w:w="1280" w:type="dxa"/>
            <w:tcBorders>
              <w:top w:val="dotted" w:color="B12732" w:sz="4" w:space="0"/>
            </w:tcBorders>
          </w:tcPr>
          <w:p w:rsidR="00DE11DF" w:rsidP="00DE11DF" w:rsidRDefault="00DE11DF" w14:paraId="475E7DDD" w14:textId="354B63A3">
            <w:pPr>
              <w:pStyle w:val="TableHeaderRow-IPR"/>
            </w:pPr>
            <w:r>
              <w:t>Worst</w:t>
            </w:r>
          </w:p>
        </w:tc>
        <w:tc>
          <w:tcPr>
            <w:tcW w:w="1279" w:type="dxa"/>
            <w:tcBorders>
              <w:top w:val="dotted" w:color="B12732" w:sz="4" w:space="0"/>
            </w:tcBorders>
          </w:tcPr>
          <w:p w:rsidR="00DE11DF" w:rsidP="00DE11DF" w:rsidRDefault="00DE11DF" w14:paraId="0F0F74E9" w14:textId="0BFADCF0">
            <w:pPr>
              <w:pStyle w:val="TableHeaderRow-IPR"/>
            </w:pPr>
            <w:r>
              <w:t>Best</w:t>
            </w:r>
          </w:p>
        </w:tc>
        <w:tc>
          <w:tcPr>
            <w:tcW w:w="1280" w:type="dxa"/>
            <w:tcBorders>
              <w:top w:val="dotted" w:color="B12732" w:sz="4" w:space="0"/>
            </w:tcBorders>
          </w:tcPr>
          <w:p w:rsidR="00DE11DF" w:rsidP="00DE11DF" w:rsidRDefault="00DE11DF" w14:paraId="5F04B827" w14:textId="1F1EC62F">
            <w:pPr>
              <w:pStyle w:val="TableHeaderRow-IPR"/>
            </w:pPr>
            <w:r>
              <w:t xml:space="preserve">Middle </w:t>
            </w:r>
          </w:p>
        </w:tc>
        <w:tc>
          <w:tcPr>
            <w:tcW w:w="1280" w:type="dxa"/>
            <w:tcBorders>
              <w:top w:val="dotted" w:color="B12732" w:sz="4" w:space="0"/>
            </w:tcBorders>
          </w:tcPr>
          <w:p w:rsidR="00DE11DF" w:rsidP="00DE11DF" w:rsidRDefault="00DE11DF" w14:paraId="5319A222" w14:textId="5E2447EA">
            <w:pPr>
              <w:pStyle w:val="TableHeaderRow-IPR"/>
            </w:pPr>
            <w:r>
              <w:t>Worst</w:t>
            </w:r>
          </w:p>
        </w:tc>
      </w:tr>
      <w:tr w:rsidR="00DE11DF" w:rsidTr="00013514" w14:paraId="55DB82A0" w14:textId="77777777">
        <w:trPr>
          <w:trHeight w:val="288"/>
        </w:trPr>
        <w:tc>
          <w:tcPr>
            <w:tcW w:w="1964" w:type="dxa"/>
          </w:tcPr>
          <w:p w:rsidRPr="00DE11DF" w:rsidR="00DE11DF" w:rsidP="00DE11DF" w:rsidRDefault="00DE11DF" w14:paraId="25D4933D" w14:textId="09750149">
            <w:pPr>
              <w:pStyle w:val="TableText-IPR"/>
            </w:pPr>
            <w:r w:rsidRPr="00DE11DF">
              <w:t>Total</w:t>
            </w:r>
          </w:p>
        </w:tc>
        <w:tc>
          <w:tcPr>
            <w:tcW w:w="1279" w:type="dxa"/>
          </w:tcPr>
          <w:p w:rsidRPr="00DE11DF" w:rsidR="00DE11DF" w:rsidP="003F6B3B" w:rsidRDefault="00DE11DF" w14:paraId="67215EEE" w14:textId="20A75593">
            <w:pPr>
              <w:pStyle w:val="TableText-IPR"/>
              <w:jc w:val="right"/>
            </w:pPr>
            <w:r w:rsidRPr="00DE11DF">
              <w:t>86</w:t>
            </w:r>
          </w:p>
        </w:tc>
        <w:tc>
          <w:tcPr>
            <w:tcW w:w="1280" w:type="dxa"/>
          </w:tcPr>
          <w:p w:rsidRPr="00DE11DF" w:rsidR="00DE11DF" w:rsidP="003F6B3B" w:rsidRDefault="00DE11DF" w14:paraId="0643AD27" w14:textId="4E8AB953">
            <w:pPr>
              <w:pStyle w:val="TableText-IPR"/>
              <w:jc w:val="right"/>
            </w:pPr>
            <w:r w:rsidRPr="00DE11DF">
              <w:t>72</w:t>
            </w:r>
          </w:p>
        </w:tc>
        <w:tc>
          <w:tcPr>
            <w:tcW w:w="1280" w:type="dxa"/>
          </w:tcPr>
          <w:p w:rsidRPr="00DE11DF" w:rsidR="00DE11DF" w:rsidP="003F6B3B" w:rsidRDefault="00DE11DF" w14:paraId="6D5658BA" w14:textId="3AF48596">
            <w:pPr>
              <w:pStyle w:val="TableText-IPR"/>
              <w:jc w:val="right"/>
            </w:pPr>
            <w:r w:rsidRPr="00DE11DF">
              <w:t>48</w:t>
            </w:r>
          </w:p>
        </w:tc>
        <w:tc>
          <w:tcPr>
            <w:tcW w:w="1279" w:type="dxa"/>
          </w:tcPr>
          <w:p w:rsidRPr="00DE11DF" w:rsidR="00DE11DF" w:rsidP="003F6B3B" w:rsidRDefault="00DE11DF" w14:paraId="2496D42E" w14:textId="51B59C90">
            <w:pPr>
              <w:pStyle w:val="TableText-IPR"/>
              <w:jc w:val="right"/>
            </w:pPr>
            <w:r w:rsidRPr="00DE11DF">
              <w:t>3,125</w:t>
            </w:r>
          </w:p>
        </w:tc>
        <w:tc>
          <w:tcPr>
            <w:tcW w:w="1280" w:type="dxa"/>
          </w:tcPr>
          <w:p w:rsidRPr="00DE11DF" w:rsidR="00DE11DF" w:rsidP="003F6B3B" w:rsidRDefault="00DE11DF" w14:paraId="49569EE2" w14:textId="3F442EAF">
            <w:pPr>
              <w:pStyle w:val="TableText-IPR"/>
              <w:jc w:val="right"/>
            </w:pPr>
            <w:r w:rsidRPr="00DE11DF">
              <w:t>2,632</w:t>
            </w:r>
          </w:p>
        </w:tc>
        <w:tc>
          <w:tcPr>
            <w:tcW w:w="1280" w:type="dxa"/>
          </w:tcPr>
          <w:p w:rsidRPr="00DE11DF" w:rsidR="00DE11DF" w:rsidP="003F6B3B" w:rsidRDefault="00DE11DF" w14:paraId="1B1A2A75" w14:textId="1D926B7A">
            <w:pPr>
              <w:pStyle w:val="TableText-IPR"/>
              <w:jc w:val="right"/>
            </w:pPr>
            <w:r w:rsidRPr="00DE11DF">
              <w:t>1,755</w:t>
            </w:r>
          </w:p>
        </w:tc>
      </w:tr>
    </w:tbl>
    <w:p w:rsidR="005F44AE" w:rsidP="00960E81" w:rsidRDefault="00E06665" w14:paraId="054712AE" w14:textId="77777777">
      <w:pPr>
        <w:pStyle w:val="Body11ptCalibri-IPR"/>
        <w:keepNext/>
        <w:spacing w:before="240"/>
        <w:rPr>
          <w:i/>
        </w:rPr>
      </w:pPr>
      <w:r w:rsidRPr="00A3222D">
        <w:rPr>
          <w:b/>
          <w:bCs/>
          <w:i/>
        </w:rPr>
        <w:lastRenderedPageBreak/>
        <w:t>Expected levels of precision</w:t>
      </w:r>
    </w:p>
    <w:p w:rsidR="003D5F5A" w:rsidP="005B0F4F" w:rsidRDefault="003D5F5A" w14:paraId="4AA43FD5" w14:textId="0C6DF955">
      <w:pPr>
        <w:pStyle w:val="Body11ptCalibri-IPR"/>
        <w:spacing w:after="240"/>
      </w:pPr>
      <w:r>
        <w:t xml:space="preserve">Based on the estimated design effect and yield rates, table </w:t>
      </w:r>
      <w:r w:rsidR="004930BA">
        <w:t>B.</w:t>
      </w:r>
      <w:r>
        <w:t>2.7 provides the resulting estimates of the</w:t>
      </w:r>
      <w:r>
        <w:rPr>
          <w:spacing w:val="1"/>
        </w:rPr>
        <w:t xml:space="preserve"> </w:t>
      </w:r>
      <w:r>
        <w:t xml:space="preserve">margin of error for the baseline study when estimating a binary </w:t>
      </w:r>
      <w:r w:rsidR="004930BA">
        <w:t>characteristic</w:t>
      </w:r>
      <w:r>
        <w:t xml:space="preserve"> with 50 percent </w:t>
      </w:r>
      <w:r w:rsidR="004930BA">
        <w:t>having the characteristic</w:t>
      </w:r>
      <w:r>
        <w:t>. Even in the worst</w:t>
      </w:r>
      <w:r w:rsidR="00FA7DE7">
        <w:t xml:space="preserve"> </w:t>
      </w:r>
      <w:r>
        <w:t>case scenario, there are enough respo</w:t>
      </w:r>
      <w:r w:rsidR="004930BA">
        <w:t>ndents to the survey to meet the p</w:t>
      </w:r>
      <w:r>
        <w:t>recision</w:t>
      </w:r>
      <w:r>
        <w:rPr>
          <w:spacing w:val="-2"/>
        </w:rPr>
        <w:t xml:space="preserve"> </w:t>
      </w:r>
      <w:r>
        <w:t>requirements</w:t>
      </w:r>
      <w:r>
        <w:rPr>
          <w:spacing w:val="-1"/>
        </w:rPr>
        <w:t xml:space="preserve"> </w:t>
      </w:r>
      <w:r>
        <w:t>for the</w:t>
      </w:r>
      <w:r>
        <w:rPr>
          <w:spacing w:val="4"/>
        </w:rPr>
        <w:t xml:space="preserve"> </w:t>
      </w:r>
      <w:r w:rsidR="004930BA">
        <w:t xml:space="preserve">household </w:t>
      </w:r>
      <w:r>
        <w:t>subgroups.</w:t>
      </w:r>
    </w:p>
    <w:p w:rsidR="00E06665" w:rsidP="00EF57BE" w:rsidRDefault="00E06665" w14:paraId="00975907" w14:textId="32E45B6B">
      <w:pPr>
        <w:pStyle w:val="TableTitle-IPR"/>
        <w:rPr>
          <w:spacing w:val="-2"/>
        </w:rPr>
      </w:pPr>
      <w:bookmarkStart w:name="_Toc78365144" w:id="36"/>
      <w:r>
        <w:t>Table</w:t>
      </w:r>
      <w:r>
        <w:rPr>
          <w:spacing w:val="-3"/>
        </w:rPr>
        <w:t xml:space="preserve"> </w:t>
      </w:r>
      <w:r w:rsidR="004930BA">
        <w:rPr>
          <w:spacing w:val="-3"/>
        </w:rPr>
        <w:t>B.</w:t>
      </w:r>
      <w:r>
        <w:t>2.7.</w:t>
      </w:r>
      <w:r>
        <w:rPr>
          <w:spacing w:val="-2"/>
        </w:rPr>
        <w:t xml:space="preserve"> </w:t>
      </w:r>
      <w:r>
        <w:t>Expected</w:t>
      </w:r>
      <w:r>
        <w:rPr>
          <w:spacing w:val="-2"/>
        </w:rPr>
        <w:t xml:space="preserve"> </w:t>
      </w:r>
      <w:r>
        <w:t>Margin</w:t>
      </w:r>
      <w:r>
        <w:rPr>
          <w:spacing w:val="-1"/>
        </w:rPr>
        <w:t xml:space="preserve"> </w:t>
      </w:r>
      <w:r>
        <w:t>of</w:t>
      </w:r>
      <w:r>
        <w:rPr>
          <w:spacing w:val="-3"/>
        </w:rPr>
        <w:t xml:space="preserve"> </w:t>
      </w:r>
      <w:r>
        <w:t>Error</w:t>
      </w:r>
      <w:r>
        <w:rPr>
          <w:spacing w:val="-2"/>
        </w:rPr>
        <w:t xml:space="preserve"> </w:t>
      </w:r>
      <w:r>
        <w:t>for</w:t>
      </w:r>
      <w:r>
        <w:rPr>
          <w:spacing w:val="-1"/>
        </w:rPr>
        <w:t xml:space="preserve"> </w:t>
      </w:r>
      <w:r>
        <w:t>Best,</w:t>
      </w:r>
      <w:r>
        <w:rPr>
          <w:spacing w:val="-2"/>
        </w:rPr>
        <w:t xml:space="preserve"> </w:t>
      </w:r>
      <w:r>
        <w:t>Worst,</w:t>
      </w:r>
      <w:r>
        <w:rPr>
          <w:spacing w:val="-2"/>
        </w:rPr>
        <w:t xml:space="preserve"> </w:t>
      </w:r>
      <w:r>
        <w:t>and</w:t>
      </w:r>
      <w:r>
        <w:rPr>
          <w:spacing w:val="-2"/>
        </w:rPr>
        <w:t xml:space="preserve"> </w:t>
      </w:r>
      <w:r>
        <w:t>Middle</w:t>
      </w:r>
      <w:r>
        <w:rPr>
          <w:spacing w:val="-3"/>
        </w:rPr>
        <w:t xml:space="preserve"> </w:t>
      </w:r>
      <w:r>
        <w:t>Yield‐Rate</w:t>
      </w:r>
      <w:r>
        <w:rPr>
          <w:spacing w:val="-2"/>
        </w:rPr>
        <w:t xml:space="preserve"> </w:t>
      </w:r>
      <w:r>
        <w:t>Scenarios</w:t>
      </w:r>
      <w:r>
        <w:rPr>
          <w:spacing w:val="-3"/>
        </w:rPr>
        <w:t xml:space="preserve"> </w:t>
      </w:r>
      <w:r>
        <w:t>for</w:t>
      </w:r>
      <w:r>
        <w:rPr>
          <w:spacing w:val="-2"/>
        </w:rPr>
        <w:t xml:space="preserve"> </w:t>
      </w:r>
      <w:r>
        <w:t>Estimates</w:t>
      </w:r>
      <w:r>
        <w:rPr>
          <w:spacing w:val="-3"/>
        </w:rPr>
        <w:t xml:space="preserve"> </w:t>
      </w:r>
      <w:r>
        <w:t>of</w:t>
      </w:r>
      <w:r>
        <w:rPr>
          <w:spacing w:val="-2"/>
        </w:rPr>
        <w:t xml:space="preserve"> </w:t>
      </w:r>
      <w:r w:rsidR="004930BA">
        <w:rPr>
          <w:spacing w:val="-2"/>
        </w:rPr>
        <w:t>a 50-Percent Characteristic: Baseline Study</w:t>
      </w:r>
      <w:bookmarkEnd w:id="36"/>
    </w:p>
    <w:tbl>
      <w:tblPr>
        <w:tblStyle w:val="InsightTable"/>
        <w:tblW w:w="0" w:type="auto"/>
        <w:tblLook w:val="04A0" w:firstRow="1" w:lastRow="0" w:firstColumn="1" w:lastColumn="0" w:noHBand="0" w:noVBand="1"/>
      </w:tblPr>
      <w:tblGrid>
        <w:gridCol w:w="4790"/>
        <w:gridCol w:w="1497"/>
        <w:gridCol w:w="1509"/>
        <w:gridCol w:w="1506"/>
      </w:tblGrid>
      <w:tr w:rsidR="00C45902" w:rsidTr="00013514" w14:paraId="6AE474FD"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4982" w:type="dxa"/>
            <w:vMerge w:val="restart"/>
            <w:tcBorders>
              <w:bottom w:val="dotted" w:color="B12732" w:sz="4" w:space="0"/>
            </w:tcBorders>
          </w:tcPr>
          <w:p w:rsidR="00C45902" w:rsidP="00C45902" w:rsidRDefault="00C45902" w14:paraId="1EE0E135" w14:textId="2587A4D5">
            <w:pPr>
              <w:pStyle w:val="TableHeaderRow-IPR"/>
            </w:pPr>
            <w:r>
              <w:t>Subgroup</w:t>
            </w:r>
          </w:p>
        </w:tc>
        <w:tc>
          <w:tcPr>
            <w:tcW w:w="4660" w:type="dxa"/>
            <w:gridSpan w:val="3"/>
            <w:tcBorders>
              <w:bottom w:val="dotted" w:color="B12732" w:sz="4" w:space="0"/>
            </w:tcBorders>
          </w:tcPr>
          <w:p w:rsidR="00C45902" w:rsidP="00C45902" w:rsidRDefault="00C45902" w14:paraId="2FE7CE5C" w14:textId="59E903F8">
            <w:pPr>
              <w:pStyle w:val="TableHeaderRow-IPR"/>
            </w:pPr>
            <w:r>
              <w:t>Expected Margin of Error by Scenario (Percent)</w:t>
            </w:r>
          </w:p>
        </w:tc>
      </w:tr>
      <w:tr w:rsidR="00C45902" w:rsidTr="00013514" w14:paraId="6EFED691"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4982" w:type="dxa"/>
            <w:vMerge/>
            <w:tcBorders>
              <w:top w:val="dotted" w:color="B12732" w:sz="4" w:space="0"/>
            </w:tcBorders>
          </w:tcPr>
          <w:p w:rsidR="00C45902" w:rsidP="00C45902" w:rsidRDefault="00C45902" w14:paraId="5968F862" w14:textId="77777777">
            <w:pPr>
              <w:pStyle w:val="TableHeaderRow-IPR"/>
            </w:pPr>
          </w:p>
        </w:tc>
        <w:tc>
          <w:tcPr>
            <w:tcW w:w="1553" w:type="dxa"/>
            <w:tcBorders>
              <w:top w:val="dotted" w:color="B12732" w:sz="4" w:space="0"/>
            </w:tcBorders>
          </w:tcPr>
          <w:p w:rsidR="00C45902" w:rsidP="00C45902" w:rsidRDefault="00C45902" w14:paraId="2B0DA5CA" w14:textId="63ED7AF1">
            <w:pPr>
              <w:pStyle w:val="TableHeaderRow-IPR"/>
            </w:pPr>
            <w:r>
              <w:t>Best</w:t>
            </w:r>
          </w:p>
        </w:tc>
        <w:tc>
          <w:tcPr>
            <w:tcW w:w="1553" w:type="dxa"/>
            <w:tcBorders>
              <w:top w:val="dotted" w:color="B12732" w:sz="4" w:space="0"/>
            </w:tcBorders>
          </w:tcPr>
          <w:p w:rsidR="00C45902" w:rsidP="00C45902" w:rsidRDefault="00C45902" w14:paraId="459DF639" w14:textId="49D7736E">
            <w:pPr>
              <w:pStyle w:val="TableHeaderRow-IPR"/>
            </w:pPr>
            <w:r>
              <w:t>Middle</w:t>
            </w:r>
          </w:p>
        </w:tc>
        <w:tc>
          <w:tcPr>
            <w:tcW w:w="1554" w:type="dxa"/>
            <w:tcBorders>
              <w:top w:val="dotted" w:color="B12732" w:sz="4" w:space="0"/>
            </w:tcBorders>
          </w:tcPr>
          <w:p w:rsidR="00C45902" w:rsidP="00C45902" w:rsidRDefault="00C45902" w14:paraId="57FBB941" w14:textId="44743754">
            <w:pPr>
              <w:pStyle w:val="TableHeaderRow-IPR"/>
            </w:pPr>
            <w:r>
              <w:t>Worst</w:t>
            </w:r>
          </w:p>
        </w:tc>
      </w:tr>
      <w:tr w:rsidR="00C45902" w:rsidTr="00013514" w14:paraId="597604F7" w14:textId="77777777">
        <w:trPr>
          <w:trHeight w:val="288"/>
        </w:trPr>
        <w:tc>
          <w:tcPr>
            <w:tcW w:w="4982" w:type="dxa"/>
          </w:tcPr>
          <w:p w:rsidR="00C45902" w:rsidP="00C45902" w:rsidRDefault="00C45902" w14:paraId="417A5E5B" w14:textId="05EC937A">
            <w:pPr>
              <w:pStyle w:val="TableText-IPR"/>
            </w:pPr>
            <w:r w:rsidRPr="00737E25">
              <w:t>NAP participants</w:t>
            </w:r>
          </w:p>
        </w:tc>
        <w:tc>
          <w:tcPr>
            <w:tcW w:w="1553" w:type="dxa"/>
          </w:tcPr>
          <w:p w:rsidR="00C45902" w:rsidP="00C45902" w:rsidRDefault="00C45902" w14:paraId="0E828F45" w14:textId="45847BFC">
            <w:pPr>
              <w:pStyle w:val="TableText-IPR"/>
            </w:pPr>
            <w:r w:rsidRPr="00F62098">
              <w:t>2.25</w:t>
            </w:r>
          </w:p>
        </w:tc>
        <w:tc>
          <w:tcPr>
            <w:tcW w:w="1553" w:type="dxa"/>
          </w:tcPr>
          <w:p w:rsidR="00C45902" w:rsidP="00C45902" w:rsidRDefault="00C45902" w14:paraId="41BF051C" w14:textId="069539A8">
            <w:pPr>
              <w:pStyle w:val="TableText-IPR"/>
            </w:pPr>
            <w:r w:rsidRPr="00F62098">
              <w:t>2.59</w:t>
            </w:r>
          </w:p>
        </w:tc>
        <w:tc>
          <w:tcPr>
            <w:tcW w:w="1554" w:type="dxa"/>
          </w:tcPr>
          <w:p w:rsidR="00C45902" w:rsidP="00C45902" w:rsidRDefault="00C45902" w14:paraId="5833E21B" w14:textId="25D1A3F8">
            <w:pPr>
              <w:pStyle w:val="TableText-IPR"/>
            </w:pPr>
            <w:r w:rsidRPr="00F62098">
              <w:t>3.18</w:t>
            </w:r>
          </w:p>
        </w:tc>
      </w:tr>
      <w:tr w:rsidR="00C45902" w:rsidTr="00013514" w14:paraId="5488180A" w14:textId="77777777">
        <w:trPr>
          <w:trHeight w:val="288"/>
        </w:trPr>
        <w:tc>
          <w:tcPr>
            <w:tcW w:w="4982" w:type="dxa"/>
          </w:tcPr>
          <w:p w:rsidR="00C45902" w:rsidP="00C45902" w:rsidRDefault="00C45902" w14:paraId="1FA96BCC" w14:textId="5FE253CF">
            <w:pPr>
              <w:pStyle w:val="TableText-IPR"/>
            </w:pPr>
            <w:r w:rsidRPr="00737E25">
              <w:t>NAP nonparticipants</w:t>
            </w:r>
          </w:p>
        </w:tc>
        <w:tc>
          <w:tcPr>
            <w:tcW w:w="1553" w:type="dxa"/>
          </w:tcPr>
          <w:p w:rsidR="00C45902" w:rsidP="00C45902" w:rsidRDefault="00C45902" w14:paraId="41993272" w14:textId="768C34EF">
            <w:pPr>
              <w:pStyle w:val="TableText-IPR"/>
            </w:pPr>
            <w:r w:rsidRPr="00F62098">
              <w:t>2.62</w:t>
            </w:r>
          </w:p>
        </w:tc>
        <w:tc>
          <w:tcPr>
            <w:tcW w:w="1553" w:type="dxa"/>
          </w:tcPr>
          <w:p w:rsidR="00C45902" w:rsidP="00C45902" w:rsidRDefault="00C45902" w14:paraId="2D31283D" w14:textId="7BD7BED7">
            <w:pPr>
              <w:pStyle w:val="TableText-IPR"/>
            </w:pPr>
            <w:r w:rsidRPr="00F62098">
              <w:t>3.09</w:t>
            </w:r>
          </w:p>
        </w:tc>
        <w:tc>
          <w:tcPr>
            <w:tcW w:w="1554" w:type="dxa"/>
          </w:tcPr>
          <w:p w:rsidR="00C45902" w:rsidP="00C45902" w:rsidRDefault="00C45902" w14:paraId="51E18A6B" w14:textId="1EC12E6D">
            <w:pPr>
              <w:pStyle w:val="TableText-IPR"/>
            </w:pPr>
            <w:r w:rsidRPr="00F62098">
              <w:t>3.78</w:t>
            </w:r>
          </w:p>
        </w:tc>
      </w:tr>
      <w:tr w:rsidR="00C45902" w:rsidTr="00013514" w14:paraId="6381676E" w14:textId="77777777">
        <w:trPr>
          <w:trHeight w:val="288"/>
        </w:trPr>
        <w:tc>
          <w:tcPr>
            <w:tcW w:w="4982" w:type="dxa"/>
          </w:tcPr>
          <w:p w:rsidR="00C45902" w:rsidP="00C45902" w:rsidRDefault="00C45902" w14:paraId="040F2A6D" w14:textId="08B617A6">
            <w:pPr>
              <w:pStyle w:val="TableText-IPR"/>
            </w:pPr>
            <w:r w:rsidRPr="00737E25">
              <w:t>Households with children</w:t>
            </w:r>
          </w:p>
        </w:tc>
        <w:tc>
          <w:tcPr>
            <w:tcW w:w="1553" w:type="dxa"/>
          </w:tcPr>
          <w:p w:rsidR="00C45902" w:rsidP="00C45902" w:rsidRDefault="00C45902" w14:paraId="54DB5590" w14:textId="741EC9DC">
            <w:pPr>
              <w:pStyle w:val="TableText-IPR"/>
            </w:pPr>
            <w:r w:rsidRPr="00F62098">
              <w:t>3.18</w:t>
            </w:r>
          </w:p>
        </w:tc>
        <w:tc>
          <w:tcPr>
            <w:tcW w:w="1553" w:type="dxa"/>
          </w:tcPr>
          <w:p w:rsidR="00C45902" w:rsidP="00C45902" w:rsidRDefault="00C45902" w14:paraId="7D6E5777" w14:textId="5C32FAF3">
            <w:pPr>
              <w:pStyle w:val="TableText-IPR"/>
            </w:pPr>
            <w:r w:rsidRPr="00F62098">
              <w:t>3.67</w:t>
            </w:r>
          </w:p>
        </w:tc>
        <w:tc>
          <w:tcPr>
            <w:tcW w:w="1554" w:type="dxa"/>
          </w:tcPr>
          <w:p w:rsidR="00C45902" w:rsidP="00C45902" w:rsidRDefault="00C45902" w14:paraId="0D1E6E7D" w14:textId="2AD22A33">
            <w:pPr>
              <w:pStyle w:val="TableText-IPR"/>
            </w:pPr>
            <w:r w:rsidRPr="00F62098">
              <w:t>4.51</w:t>
            </w:r>
          </w:p>
        </w:tc>
      </w:tr>
      <w:tr w:rsidR="00C45902" w:rsidTr="00013514" w14:paraId="43625BDE" w14:textId="77777777">
        <w:trPr>
          <w:trHeight w:val="288"/>
        </w:trPr>
        <w:tc>
          <w:tcPr>
            <w:tcW w:w="4982" w:type="dxa"/>
          </w:tcPr>
          <w:p w:rsidR="00C45902" w:rsidP="00C45902" w:rsidRDefault="00C45902" w14:paraId="7669E5BD" w14:textId="4CB600EA">
            <w:pPr>
              <w:pStyle w:val="TableText-IPR"/>
            </w:pPr>
            <w:r w:rsidRPr="00737E25">
              <w:t>Households with at least one older person (60 and older)</w:t>
            </w:r>
          </w:p>
        </w:tc>
        <w:tc>
          <w:tcPr>
            <w:tcW w:w="1553" w:type="dxa"/>
          </w:tcPr>
          <w:p w:rsidR="00C45902" w:rsidP="00C45902" w:rsidRDefault="00C45902" w14:paraId="579F6A63" w14:textId="5BA9ABE9">
            <w:pPr>
              <w:pStyle w:val="TableText-IPR"/>
            </w:pPr>
            <w:r w:rsidRPr="00F62098">
              <w:t>2.49</w:t>
            </w:r>
          </w:p>
        </w:tc>
        <w:tc>
          <w:tcPr>
            <w:tcW w:w="1553" w:type="dxa"/>
          </w:tcPr>
          <w:p w:rsidR="00C45902" w:rsidP="00C45902" w:rsidRDefault="00C45902" w14:paraId="19C13301" w14:textId="1734EB21">
            <w:pPr>
              <w:pStyle w:val="TableText-IPR"/>
            </w:pPr>
            <w:r w:rsidRPr="00F62098">
              <w:t>2.87</w:t>
            </w:r>
          </w:p>
        </w:tc>
        <w:tc>
          <w:tcPr>
            <w:tcW w:w="1554" w:type="dxa"/>
          </w:tcPr>
          <w:p w:rsidR="00C45902" w:rsidP="00C45902" w:rsidRDefault="00C45902" w14:paraId="23CE7B71" w14:textId="642D1087">
            <w:pPr>
              <w:pStyle w:val="TableText-IPR"/>
            </w:pPr>
            <w:r w:rsidRPr="00F62098">
              <w:t>3.52</w:t>
            </w:r>
          </w:p>
        </w:tc>
      </w:tr>
      <w:tr w:rsidR="00C45902" w:rsidTr="00013514" w14:paraId="60A88642" w14:textId="77777777">
        <w:trPr>
          <w:trHeight w:val="288"/>
        </w:trPr>
        <w:tc>
          <w:tcPr>
            <w:tcW w:w="4982" w:type="dxa"/>
            <w:vAlign w:val="top"/>
          </w:tcPr>
          <w:p w:rsidRPr="00737E25" w:rsidR="00C45902" w:rsidP="00C45902" w:rsidRDefault="00C45902" w14:paraId="342A78CD" w14:textId="1B08607B">
            <w:pPr>
              <w:pStyle w:val="TableText-IPR"/>
            </w:pPr>
            <w:r w:rsidRPr="00125600">
              <w:t>Households with at least one person with a disability</w:t>
            </w:r>
          </w:p>
        </w:tc>
        <w:tc>
          <w:tcPr>
            <w:tcW w:w="1553" w:type="dxa"/>
            <w:vAlign w:val="top"/>
          </w:tcPr>
          <w:p w:rsidRPr="00F62098" w:rsidR="00C45902" w:rsidP="00C45902" w:rsidRDefault="00C45902" w14:paraId="5C692CEF" w14:textId="2B6A168B">
            <w:pPr>
              <w:pStyle w:val="TableText-IPR"/>
            </w:pPr>
            <w:r w:rsidRPr="00125600">
              <w:t>2.70</w:t>
            </w:r>
          </w:p>
        </w:tc>
        <w:tc>
          <w:tcPr>
            <w:tcW w:w="1553" w:type="dxa"/>
            <w:vAlign w:val="top"/>
          </w:tcPr>
          <w:p w:rsidRPr="00F62098" w:rsidR="00C45902" w:rsidP="00C45902" w:rsidRDefault="00C45902" w14:paraId="49EDAC35" w14:textId="1FEF8D64">
            <w:pPr>
              <w:pStyle w:val="TableText-IPR"/>
            </w:pPr>
            <w:r w:rsidRPr="00125600">
              <w:t>3.12</w:t>
            </w:r>
          </w:p>
        </w:tc>
        <w:tc>
          <w:tcPr>
            <w:tcW w:w="1554" w:type="dxa"/>
            <w:vAlign w:val="top"/>
          </w:tcPr>
          <w:p w:rsidRPr="00F62098" w:rsidR="00C45902" w:rsidP="00C45902" w:rsidRDefault="00C45902" w14:paraId="3DF44FDC" w14:textId="44100653">
            <w:pPr>
              <w:pStyle w:val="TableText-IPR"/>
            </w:pPr>
            <w:r w:rsidRPr="00125600">
              <w:t>3.83</w:t>
            </w:r>
          </w:p>
        </w:tc>
      </w:tr>
    </w:tbl>
    <w:p w:rsidRPr="00C45902" w:rsidR="00E06665" w:rsidP="00960E81" w:rsidRDefault="00E06665" w14:paraId="53A8BDA8" w14:textId="40CB997D">
      <w:pPr>
        <w:pStyle w:val="Body11ptCalibri-IPR"/>
        <w:spacing w:after="360"/>
      </w:pPr>
      <w:r>
        <w:t>Considering the middle response</w:t>
      </w:r>
      <w:r w:rsidR="00393BDF">
        <w:t xml:space="preserve"> </w:t>
      </w:r>
      <w:r>
        <w:t xml:space="preserve">rate scenario and a design effect of 1.5, table </w:t>
      </w:r>
      <w:r w:rsidR="004930BA">
        <w:t>B.</w:t>
      </w:r>
      <w:r>
        <w:t>2.8 provides the</w:t>
      </w:r>
      <w:r>
        <w:rPr>
          <w:spacing w:val="1"/>
        </w:rPr>
        <w:t xml:space="preserve"> </w:t>
      </w:r>
      <w:r>
        <w:t>resulting</w:t>
      </w:r>
      <w:r>
        <w:rPr>
          <w:spacing w:val="-2"/>
        </w:rPr>
        <w:t xml:space="preserve"> </w:t>
      </w:r>
      <w:r>
        <w:t>estimates</w:t>
      </w:r>
      <w:r>
        <w:rPr>
          <w:spacing w:val="-2"/>
        </w:rPr>
        <w:t xml:space="preserve"> </w:t>
      </w:r>
      <w:r>
        <w:t>of</w:t>
      </w:r>
      <w:r>
        <w:rPr>
          <w:spacing w:val="-3"/>
        </w:rPr>
        <w:t xml:space="preserve"> </w:t>
      </w:r>
      <w:r>
        <w:t>the</w:t>
      </w:r>
      <w:r>
        <w:rPr>
          <w:spacing w:val="-1"/>
        </w:rPr>
        <w:t xml:space="preserve"> </w:t>
      </w:r>
      <w:r>
        <w:t>margin</w:t>
      </w:r>
      <w:r>
        <w:rPr>
          <w:spacing w:val="-2"/>
        </w:rPr>
        <w:t xml:space="preserve"> </w:t>
      </w:r>
      <w:r>
        <w:t>of</w:t>
      </w:r>
      <w:r>
        <w:rPr>
          <w:spacing w:val="-2"/>
        </w:rPr>
        <w:t xml:space="preserve"> </w:t>
      </w:r>
      <w:r>
        <w:t>error</w:t>
      </w:r>
      <w:r>
        <w:rPr>
          <w:spacing w:val="-1"/>
        </w:rPr>
        <w:t xml:space="preserve"> </w:t>
      </w:r>
      <w:r>
        <w:t>when</w:t>
      </w:r>
      <w:r>
        <w:rPr>
          <w:spacing w:val="-2"/>
        </w:rPr>
        <w:t xml:space="preserve"> </w:t>
      </w:r>
      <w:r>
        <w:t>estimating</w:t>
      </w:r>
      <w:r>
        <w:rPr>
          <w:spacing w:val="-2"/>
        </w:rPr>
        <w:t xml:space="preserve"> </w:t>
      </w:r>
      <w:r>
        <w:t>a</w:t>
      </w:r>
      <w:r>
        <w:rPr>
          <w:spacing w:val="-1"/>
        </w:rPr>
        <w:t xml:space="preserve"> </w:t>
      </w:r>
      <w:r>
        <w:t>binary</w:t>
      </w:r>
      <w:r>
        <w:rPr>
          <w:spacing w:val="-2"/>
        </w:rPr>
        <w:t xml:space="preserve"> </w:t>
      </w:r>
      <w:r w:rsidR="004930BA">
        <w:t>characteristic</w:t>
      </w:r>
      <w:r>
        <w:rPr>
          <w:spacing w:val="-2"/>
        </w:rPr>
        <w:t xml:space="preserve"> </w:t>
      </w:r>
      <w:r>
        <w:t>with</w:t>
      </w:r>
      <w:r>
        <w:rPr>
          <w:spacing w:val="-1"/>
        </w:rPr>
        <w:t xml:space="preserve"> </w:t>
      </w:r>
      <w:r>
        <w:t>20,</w:t>
      </w:r>
      <w:r>
        <w:rPr>
          <w:spacing w:val="-2"/>
        </w:rPr>
        <w:t xml:space="preserve"> </w:t>
      </w:r>
      <w:r>
        <w:t>30,</w:t>
      </w:r>
      <w:r>
        <w:rPr>
          <w:spacing w:val="-2"/>
        </w:rPr>
        <w:t xml:space="preserve"> </w:t>
      </w:r>
      <w:r w:rsidR="004930BA">
        <w:t xml:space="preserve">and </w:t>
      </w:r>
      <w:r>
        <w:t>40</w:t>
      </w:r>
      <w:r>
        <w:rPr>
          <w:spacing w:val="-1"/>
        </w:rPr>
        <w:t xml:space="preserve"> </w:t>
      </w:r>
      <w:r>
        <w:t xml:space="preserve">percent </w:t>
      </w:r>
      <w:r w:rsidR="004930BA">
        <w:t>having the characteristic</w:t>
      </w:r>
      <w:r>
        <w:t>.</w:t>
      </w:r>
    </w:p>
    <w:p w:rsidR="00E06665" w:rsidP="00EF57BE" w:rsidRDefault="00E06665" w14:paraId="0B80B891" w14:textId="668E16CE">
      <w:pPr>
        <w:pStyle w:val="TableTitle-IPR"/>
      </w:pPr>
      <w:bookmarkStart w:name="_Toc78365145" w:id="37"/>
      <w:r>
        <w:t xml:space="preserve">Table </w:t>
      </w:r>
      <w:r w:rsidR="004930BA">
        <w:t>B.</w:t>
      </w:r>
      <w:r>
        <w:t xml:space="preserve">2.8. Expected Margin of Error for Middle Yield‐Rate Scenario </w:t>
      </w:r>
      <w:r w:rsidR="004930BA">
        <w:t>for Estimates of 20, 30, and 40 Percent Characteristics: Baseline Study</w:t>
      </w:r>
      <w:bookmarkEnd w:id="37"/>
    </w:p>
    <w:tbl>
      <w:tblPr>
        <w:tblStyle w:val="InsightTable"/>
        <w:tblW w:w="0" w:type="auto"/>
        <w:tblLook w:val="04A0" w:firstRow="1" w:lastRow="0" w:firstColumn="1" w:lastColumn="0" w:noHBand="0" w:noVBand="1"/>
      </w:tblPr>
      <w:tblGrid>
        <w:gridCol w:w="4774"/>
        <w:gridCol w:w="1509"/>
        <w:gridCol w:w="1509"/>
        <w:gridCol w:w="1510"/>
      </w:tblGrid>
      <w:tr w:rsidR="00C45902" w:rsidTr="00013514" w14:paraId="339FEF1E"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4982" w:type="dxa"/>
            <w:vMerge w:val="restart"/>
            <w:tcBorders>
              <w:bottom w:val="dotted" w:color="B12732" w:sz="4" w:space="0"/>
            </w:tcBorders>
          </w:tcPr>
          <w:p w:rsidR="00C45902" w:rsidP="00013514" w:rsidRDefault="00C45902" w14:paraId="5061B746" w14:textId="77777777">
            <w:pPr>
              <w:pStyle w:val="TableHeaderRow-IPR"/>
            </w:pPr>
            <w:r>
              <w:t>Subgroup</w:t>
            </w:r>
          </w:p>
        </w:tc>
        <w:tc>
          <w:tcPr>
            <w:tcW w:w="4660" w:type="dxa"/>
            <w:gridSpan w:val="3"/>
            <w:tcBorders>
              <w:bottom w:val="dotted" w:color="B12732" w:sz="4" w:space="0"/>
            </w:tcBorders>
          </w:tcPr>
          <w:p w:rsidR="00C45902" w:rsidP="00013514" w:rsidRDefault="00C45902" w14:paraId="4FC0D45E" w14:textId="48756795">
            <w:pPr>
              <w:pStyle w:val="TableHeaderRow-IPR"/>
            </w:pPr>
            <w:r>
              <w:t>Expected Margin of Error (Percent)</w:t>
            </w:r>
          </w:p>
        </w:tc>
      </w:tr>
      <w:tr w:rsidR="00C45902" w:rsidTr="00013514" w14:paraId="50A08541"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4982" w:type="dxa"/>
            <w:vMerge/>
            <w:tcBorders>
              <w:top w:val="dotted" w:color="B12732" w:sz="4" w:space="0"/>
            </w:tcBorders>
          </w:tcPr>
          <w:p w:rsidR="00C45902" w:rsidP="00013514" w:rsidRDefault="00C45902" w14:paraId="19A52AFE" w14:textId="77777777">
            <w:pPr>
              <w:pStyle w:val="TableHeaderRow-IPR"/>
            </w:pPr>
          </w:p>
        </w:tc>
        <w:tc>
          <w:tcPr>
            <w:tcW w:w="1553" w:type="dxa"/>
            <w:tcBorders>
              <w:top w:val="dotted" w:color="B12732" w:sz="4" w:space="0"/>
            </w:tcBorders>
          </w:tcPr>
          <w:p w:rsidR="00C45902" w:rsidP="00013514" w:rsidRDefault="00C45902" w14:paraId="706F049F" w14:textId="43C22EDA">
            <w:pPr>
              <w:pStyle w:val="TableHeaderRow-IPR"/>
            </w:pPr>
            <w:r w:rsidRPr="00D31EC9">
              <w:rPr>
                <w:i/>
                <w:iCs/>
              </w:rPr>
              <w:t>P</w:t>
            </w:r>
            <w:r w:rsidRPr="007E7ADD">
              <w:t xml:space="preserve"> = 20 Percent</w:t>
            </w:r>
          </w:p>
        </w:tc>
        <w:tc>
          <w:tcPr>
            <w:tcW w:w="1553" w:type="dxa"/>
            <w:tcBorders>
              <w:top w:val="dotted" w:color="B12732" w:sz="4" w:space="0"/>
            </w:tcBorders>
          </w:tcPr>
          <w:p w:rsidR="00C45902" w:rsidP="00013514" w:rsidRDefault="00C45902" w14:paraId="6E114A5C" w14:textId="7DD4A7EC">
            <w:pPr>
              <w:pStyle w:val="TableHeaderRow-IPR"/>
              <w:tabs>
                <w:tab w:val="center" w:pos="718"/>
              </w:tabs>
            </w:pPr>
            <w:r w:rsidRPr="00D31EC9">
              <w:rPr>
                <w:i/>
                <w:iCs/>
              </w:rPr>
              <w:t>P</w:t>
            </w:r>
            <w:r w:rsidRPr="007E7ADD">
              <w:t xml:space="preserve"> = 30 Percent</w:t>
            </w:r>
          </w:p>
        </w:tc>
        <w:tc>
          <w:tcPr>
            <w:tcW w:w="1554" w:type="dxa"/>
            <w:tcBorders>
              <w:top w:val="dotted" w:color="B12732" w:sz="4" w:space="0"/>
            </w:tcBorders>
          </w:tcPr>
          <w:p w:rsidR="00C45902" w:rsidP="00013514" w:rsidRDefault="00C45902" w14:paraId="285E9C57" w14:textId="6D5D0F2E">
            <w:pPr>
              <w:pStyle w:val="TableHeaderRow-IPR"/>
            </w:pPr>
            <w:r w:rsidRPr="00D31EC9">
              <w:rPr>
                <w:i/>
                <w:iCs/>
              </w:rPr>
              <w:t>P</w:t>
            </w:r>
            <w:r w:rsidRPr="007E7ADD">
              <w:t xml:space="preserve"> = 40 Percent</w:t>
            </w:r>
          </w:p>
        </w:tc>
      </w:tr>
      <w:tr w:rsidR="00DC07C3" w:rsidTr="00013514" w14:paraId="6680EE44" w14:textId="77777777">
        <w:trPr>
          <w:trHeight w:val="288"/>
        </w:trPr>
        <w:tc>
          <w:tcPr>
            <w:tcW w:w="4982" w:type="dxa"/>
          </w:tcPr>
          <w:p w:rsidR="00DC07C3" w:rsidP="00DC07C3" w:rsidRDefault="00DC07C3" w14:paraId="3924EBAD" w14:textId="77777777">
            <w:pPr>
              <w:pStyle w:val="TableText-IPR"/>
            </w:pPr>
            <w:r w:rsidRPr="00737E25">
              <w:t>NAP participants</w:t>
            </w:r>
          </w:p>
        </w:tc>
        <w:tc>
          <w:tcPr>
            <w:tcW w:w="1553" w:type="dxa"/>
            <w:vAlign w:val="top"/>
          </w:tcPr>
          <w:p w:rsidR="00DC07C3" w:rsidP="00DC07C3" w:rsidRDefault="00DC07C3" w14:paraId="58721640" w14:textId="3B38CEEA">
            <w:pPr>
              <w:pStyle w:val="TableText-IPR"/>
            </w:pPr>
            <w:r w:rsidRPr="00534F78">
              <w:t>2.07</w:t>
            </w:r>
          </w:p>
        </w:tc>
        <w:tc>
          <w:tcPr>
            <w:tcW w:w="1553" w:type="dxa"/>
            <w:vAlign w:val="top"/>
          </w:tcPr>
          <w:p w:rsidR="00DC07C3" w:rsidP="00DC07C3" w:rsidRDefault="00DC07C3" w14:paraId="2BCC7D41" w14:textId="38B9653F">
            <w:pPr>
              <w:pStyle w:val="TableText-IPR"/>
            </w:pPr>
            <w:r w:rsidRPr="00534F78">
              <w:t>2.38</w:t>
            </w:r>
          </w:p>
        </w:tc>
        <w:tc>
          <w:tcPr>
            <w:tcW w:w="1554" w:type="dxa"/>
            <w:vAlign w:val="top"/>
          </w:tcPr>
          <w:p w:rsidR="00DC07C3" w:rsidP="00DC07C3" w:rsidRDefault="00DC07C3" w14:paraId="5EEDDE95" w14:textId="06B7D0BA">
            <w:pPr>
              <w:pStyle w:val="TableText-IPR"/>
            </w:pPr>
            <w:r w:rsidRPr="00534F78">
              <w:t>2.54</w:t>
            </w:r>
          </w:p>
        </w:tc>
      </w:tr>
      <w:tr w:rsidR="00DC07C3" w:rsidTr="00013514" w14:paraId="2D100DC3" w14:textId="77777777">
        <w:trPr>
          <w:trHeight w:val="288"/>
        </w:trPr>
        <w:tc>
          <w:tcPr>
            <w:tcW w:w="4982" w:type="dxa"/>
          </w:tcPr>
          <w:p w:rsidR="00DC07C3" w:rsidP="00DC07C3" w:rsidRDefault="00DC07C3" w14:paraId="7B41955E" w14:textId="77777777">
            <w:pPr>
              <w:pStyle w:val="TableText-IPR"/>
            </w:pPr>
            <w:r w:rsidRPr="00737E25">
              <w:t>NAP nonparticipants</w:t>
            </w:r>
          </w:p>
        </w:tc>
        <w:tc>
          <w:tcPr>
            <w:tcW w:w="1553" w:type="dxa"/>
            <w:vAlign w:val="top"/>
          </w:tcPr>
          <w:p w:rsidR="00DC07C3" w:rsidP="00DC07C3" w:rsidRDefault="00DC07C3" w14:paraId="1E0C4238" w14:textId="2A100E91">
            <w:pPr>
              <w:pStyle w:val="TableText-IPR"/>
            </w:pPr>
            <w:r w:rsidRPr="00534F78">
              <w:t>2.47</w:t>
            </w:r>
          </w:p>
        </w:tc>
        <w:tc>
          <w:tcPr>
            <w:tcW w:w="1553" w:type="dxa"/>
            <w:vAlign w:val="top"/>
          </w:tcPr>
          <w:p w:rsidR="00DC07C3" w:rsidP="00DC07C3" w:rsidRDefault="00DC07C3" w14:paraId="5755169D" w14:textId="6965F4F8">
            <w:pPr>
              <w:pStyle w:val="TableText-IPR"/>
            </w:pPr>
            <w:r w:rsidRPr="00534F78">
              <w:t>2.83</w:t>
            </w:r>
          </w:p>
        </w:tc>
        <w:tc>
          <w:tcPr>
            <w:tcW w:w="1554" w:type="dxa"/>
            <w:vAlign w:val="top"/>
          </w:tcPr>
          <w:p w:rsidR="00DC07C3" w:rsidP="00DC07C3" w:rsidRDefault="00DC07C3" w14:paraId="76516EAE" w14:textId="00FD4871">
            <w:pPr>
              <w:pStyle w:val="TableText-IPR"/>
            </w:pPr>
            <w:r w:rsidRPr="00534F78">
              <w:t>3.02</w:t>
            </w:r>
          </w:p>
        </w:tc>
      </w:tr>
      <w:tr w:rsidR="00DC07C3" w:rsidTr="00013514" w14:paraId="19F68415" w14:textId="77777777">
        <w:trPr>
          <w:trHeight w:val="288"/>
        </w:trPr>
        <w:tc>
          <w:tcPr>
            <w:tcW w:w="4982" w:type="dxa"/>
          </w:tcPr>
          <w:p w:rsidR="00DC07C3" w:rsidP="00DC07C3" w:rsidRDefault="00DC07C3" w14:paraId="5BECB1C1" w14:textId="77777777">
            <w:pPr>
              <w:pStyle w:val="TableText-IPR"/>
            </w:pPr>
            <w:r w:rsidRPr="00737E25">
              <w:t>Households with children</w:t>
            </w:r>
          </w:p>
        </w:tc>
        <w:tc>
          <w:tcPr>
            <w:tcW w:w="1553" w:type="dxa"/>
            <w:vAlign w:val="top"/>
          </w:tcPr>
          <w:p w:rsidR="00DC07C3" w:rsidP="00DC07C3" w:rsidRDefault="00DC07C3" w14:paraId="226C10A2" w14:textId="55CE878C">
            <w:pPr>
              <w:pStyle w:val="TableText-IPR"/>
            </w:pPr>
            <w:r w:rsidRPr="00534F78">
              <w:t>2.94</w:t>
            </w:r>
          </w:p>
        </w:tc>
        <w:tc>
          <w:tcPr>
            <w:tcW w:w="1553" w:type="dxa"/>
            <w:vAlign w:val="top"/>
          </w:tcPr>
          <w:p w:rsidR="00DC07C3" w:rsidP="00DC07C3" w:rsidRDefault="00DC07C3" w14:paraId="26C6D053" w14:textId="0D3CBD7F">
            <w:pPr>
              <w:pStyle w:val="TableText-IPR"/>
            </w:pPr>
            <w:r w:rsidRPr="00534F78">
              <w:t>3.37</w:t>
            </w:r>
          </w:p>
        </w:tc>
        <w:tc>
          <w:tcPr>
            <w:tcW w:w="1554" w:type="dxa"/>
            <w:vAlign w:val="top"/>
          </w:tcPr>
          <w:p w:rsidR="00DC07C3" w:rsidP="00DC07C3" w:rsidRDefault="00DC07C3" w14:paraId="3432BFD8" w14:textId="69D7B604">
            <w:pPr>
              <w:pStyle w:val="TableText-IPR"/>
            </w:pPr>
            <w:r w:rsidRPr="00534F78">
              <w:t>3.60</w:t>
            </w:r>
          </w:p>
        </w:tc>
      </w:tr>
      <w:tr w:rsidR="00DC07C3" w:rsidTr="00013514" w14:paraId="7394BC24" w14:textId="77777777">
        <w:trPr>
          <w:trHeight w:val="288"/>
        </w:trPr>
        <w:tc>
          <w:tcPr>
            <w:tcW w:w="4982" w:type="dxa"/>
          </w:tcPr>
          <w:p w:rsidR="00DC07C3" w:rsidP="00DC07C3" w:rsidRDefault="00DC07C3" w14:paraId="2135DF77" w14:textId="77777777">
            <w:pPr>
              <w:pStyle w:val="TableText-IPR"/>
            </w:pPr>
            <w:r w:rsidRPr="00737E25">
              <w:t>Households with at least one older person (60 and older)</w:t>
            </w:r>
          </w:p>
        </w:tc>
        <w:tc>
          <w:tcPr>
            <w:tcW w:w="1553" w:type="dxa"/>
            <w:vAlign w:val="top"/>
          </w:tcPr>
          <w:p w:rsidR="00DC07C3" w:rsidP="00DC07C3" w:rsidRDefault="00DC07C3" w14:paraId="2ACA96CC" w14:textId="17F60BD0">
            <w:pPr>
              <w:pStyle w:val="TableText-IPR"/>
            </w:pPr>
            <w:r w:rsidRPr="00534F78">
              <w:t>2.30</w:t>
            </w:r>
          </w:p>
        </w:tc>
        <w:tc>
          <w:tcPr>
            <w:tcW w:w="1553" w:type="dxa"/>
            <w:vAlign w:val="top"/>
          </w:tcPr>
          <w:p w:rsidR="00DC07C3" w:rsidP="00DC07C3" w:rsidRDefault="00DC07C3" w14:paraId="3907DD49" w14:textId="288E357F">
            <w:pPr>
              <w:pStyle w:val="TableText-IPR"/>
            </w:pPr>
            <w:r w:rsidRPr="00534F78">
              <w:t>2.63</w:t>
            </w:r>
          </w:p>
        </w:tc>
        <w:tc>
          <w:tcPr>
            <w:tcW w:w="1554" w:type="dxa"/>
            <w:vAlign w:val="top"/>
          </w:tcPr>
          <w:p w:rsidR="00DC07C3" w:rsidP="00DC07C3" w:rsidRDefault="00DC07C3" w14:paraId="7DC116CD" w14:textId="0DFEC4A3">
            <w:pPr>
              <w:pStyle w:val="TableText-IPR"/>
            </w:pPr>
            <w:r w:rsidRPr="00534F78">
              <w:t>2.82</w:t>
            </w:r>
          </w:p>
        </w:tc>
      </w:tr>
      <w:tr w:rsidR="00DC07C3" w:rsidTr="00013514" w14:paraId="53414347" w14:textId="77777777">
        <w:trPr>
          <w:trHeight w:val="288"/>
        </w:trPr>
        <w:tc>
          <w:tcPr>
            <w:tcW w:w="4982" w:type="dxa"/>
            <w:vAlign w:val="top"/>
          </w:tcPr>
          <w:p w:rsidRPr="00737E25" w:rsidR="00DC07C3" w:rsidP="00DC07C3" w:rsidRDefault="00DC07C3" w14:paraId="2C02B315" w14:textId="77777777">
            <w:pPr>
              <w:pStyle w:val="TableText-IPR"/>
            </w:pPr>
            <w:r w:rsidRPr="00125600">
              <w:t>Households with at least one person with a disability</w:t>
            </w:r>
          </w:p>
        </w:tc>
        <w:tc>
          <w:tcPr>
            <w:tcW w:w="1553" w:type="dxa"/>
            <w:vAlign w:val="top"/>
          </w:tcPr>
          <w:p w:rsidRPr="00F62098" w:rsidR="00DC07C3" w:rsidP="00DC07C3" w:rsidRDefault="00DC07C3" w14:paraId="7E9CE5CC" w14:textId="4C2544B2">
            <w:pPr>
              <w:pStyle w:val="TableText-IPR"/>
            </w:pPr>
            <w:r w:rsidRPr="00534F78">
              <w:t>2.50</w:t>
            </w:r>
          </w:p>
        </w:tc>
        <w:tc>
          <w:tcPr>
            <w:tcW w:w="1553" w:type="dxa"/>
            <w:vAlign w:val="top"/>
          </w:tcPr>
          <w:p w:rsidRPr="00F62098" w:rsidR="00DC07C3" w:rsidP="00DC07C3" w:rsidRDefault="00DC07C3" w14:paraId="6428B3A6" w14:textId="5CD6A68F">
            <w:pPr>
              <w:pStyle w:val="TableText-IPR"/>
            </w:pPr>
            <w:r w:rsidRPr="00534F78">
              <w:t>2.86</w:t>
            </w:r>
          </w:p>
        </w:tc>
        <w:tc>
          <w:tcPr>
            <w:tcW w:w="1554" w:type="dxa"/>
            <w:vAlign w:val="top"/>
          </w:tcPr>
          <w:p w:rsidRPr="00F62098" w:rsidR="00DC07C3" w:rsidP="00DC07C3" w:rsidRDefault="00DC07C3" w14:paraId="0880E0EB" w14:textId="43846076">
            <w:pPr>
              <w:pStyle w:val="TableText-IPR"/>
            </w:pPr>
            <w:r w:rsidRPr="00534F78">
              <w:t>3.06</w:t>
            </w:r>
          </w:p>
        </w:tc>
      </w:tr>
    </w:tbl>
    <w:p w:rsidRPr="002A0BC3" w:rsidR="00E06665" w:rsidP="00960E81" w:rsidRDefault="00DC07C3" w14:paraId="6F9D0DFB" w14:textId="00B26910">
      <w:pPr>
        <w:pStyle w:val="FtnteBodyText-IPR"/>
        <w:spacing w:before="60"/>
      </w:pPr>
      <w:r w:rsidRPr="002A0BC3">
        <w:t xml:space="preserve">Note: </w:t>
      </w:r>
      <w:r w:rsidRPr="002A0BC3">
        <w:rPr>
          <w:i/>
          <w:iCs/>
        </w:rPr>
        <w:t>P</w:t>
      </w:r>
      <w:r w:rsidRPr="002A0BC3">
        <w:t xml:space="preserve"> is the population prevalence of the characteristic of interest.</w:t>
      </w:r>
    </w:p>
    <w:p w:rsidR="00DC07C3" w:rsidP="00960E81" w:rsidRDefault="00E06665" w14:paraId="060DD821" w14:textId="002BFCA1">
      <w:pPr>
        <w:pStyle w:val="Body11ptCalibri-IPR"/>
        <w:spacing w:before="240" w:after="240"/>
        <w:rPr>
          <w:sz w:val="19"/>
        </w:rPr>
      </w:pPr>
      <w:r>
        <w:t xml:space="preserve">Based on the estimated design effect and yield rates, table </w:t>
      </w:r>
      <w:r w:rsidR="004930BA">
        <w:t>B.</w:t>
      </w:r>
      <w:r>
        <w:t>2.9 provides the resulting estimates of the</w:t>
      </w:r>
      <w:r>
        <w:rPr>
          <w:spacing w:val="1"/>
        </w:rPr>
        <w:t xml:space="preserve"> </w:t>
      </w:r>
      <w:r>
        <w:t xml:space="preserve">margin of error for the </w:t>
      </w:r>
      <w:r w:rsidR="00FA7DE7">
        <w:t>2</w:t>
      </w:r>
      <w:r>
        <w:t xml:space="preserve">‐year follow‐up study when estimating a binary item with 50 percent </w:t>
      </w:r>
      <w:r w:rsidR="004930BA">
        <w:t>having the characteristic</w:t>
      </w:r>
      <w:r>
        <w:t xml:space="preserve">. </w:t>
      </w:r>
      <w:r w:rsidR="00FA7DE7">
        <w:t>T</w:t>
      </w:r>
      <w:r>
        <w:t xml:space="preserve">he sample </w:t>
      </w:r>
      <w:r w:rsidR="00FA7DE7">
        <w:t xml:space="preserve">was designed </w:t>
      </w:r>
      <w:r>
        <w:t>to meet the 5</w:t>
      </w:r>
      <w:r w:rsidR="000C3205">
        <w:t xml:space="preserve"> </w:t>
      </w:r>
      <w:r>
        <w:t>percent precision requirement</w:t>
      </w:r>
      <w:r>
        <w:rPr>
          <w:spacing w:val="1"/>
        </w:rPr>
        <w:t xml:space="preserve"> </w:t>
      </w:r>
      <w:r>
        <w:t xml:space="preserve">for the least prevalent household subgroup for the middle yield‐rate scenario at the </w:t>
      </w:r>
      <w:r w:rsidR="00FA7DE7">
        <w:t>2</w:t>
      </w:r>
      <w:r>
        <w:t>‐year follow‐up.</w:t>
      </w:r>
      <w:r>
        <w:rPr>
          <w:spacing w:val="1"/>
        </w:rPr>
        <w:t xml:space="preserve"> </w:t>
      </w:r>
      <w:r>
        <w:t>Thus,</w:t>
      </w:r>
      <w:r>
        <w:rPr>
          <w:spacing w:val="-4"/>
        </w:rPr>
        <w:t xml:space="preserve"> </w:t>
      </w:r>
      <w:r>
        <w:t>the</w:t>
      </w:r>
      <w:r>
        <w:rPr>
          <w:spacing w:val="-2"/>
        </w:rPr>
        <w:t xml:space="preserve"> </w:t>
      </w:r>
      <w:r>
        <w:lastRenderedPageBreak/>
        <w:t>expected</w:t>
      </w:r>
      <w:r>
        <w:rPr>
          <w:spacing w:val="-3"/>
        </w:rPr>
        <w:t xml:space="preserve"> </w:t>
      </w:r>
      <w:r>
        <w:t>margin</w:t>
      </w:r>
      <w:r>
        <w:rPr>
          <w:spacing w:val="-2"/>
        </w:rPr>
        <w:t xml:space="preserve"> </w:t>
      </w:r>
      <w:r>
        <w:t>of</w:t>
      </w:r>
      <w:r>
        <w:rPr>
          <w:spacing w:val="-3"/>
        </w:rPr>
        <w:t xml:space="preserve"> </w:t>
      </w:r>
      <w:r>
        <w:t>error</w:t>
      </w:r>
      <w:r>
        <w:rPr>
          <w:spacing w:val="-2"/>
        </w:rPr>
        <w:t xml:space="preserve"> </w:t>
      </w:r>
      <w:r>
        <w:t>for</w:t>
      </w:r>
      <w:r>
        <w:rPr>
          <w:spacing w:val="-3"/>
        </w:rPr>
        <w:t xml:space="preserve"> </w:t>
      </w:r>
      <w:r>
        <w:t>the</w:t>
      </w:r>
      <w:r>
        <w:rPr>
          <w:spacing w:val="-2"/>
        </w:rPr>
        <w:t xml:space="preserve"> </w:t>
      </w:r>
      <w:r>
        <w:t>households</w:t>
      </w:r>
      <w:r>
        <w:rPr>
          <w:spacing w:val="-2"/>
        </w:rPr>
        <w:t xml:space="preserve"> </w:t>
      </w:r>
      <w:r>
        <w:t>with</w:t>
      </w:r>
      <w:r>
        <w:rPr>
          <w:spacing w:val="-2"/>
        </w:rPr>
        <w:t xml:space="preserve"> </w:t>
      </w:r>
      <w:r>
        <w:t>children</w:t>
      </w:r>
      <w:r>
        <w:rPr>
          <w:spacing w:val="-4"/>
        </w:rPr>
        <w:t xml:space="preserve"> </w:t>
      </w:r>
      <w:r>
        <w:t>subgroup</w:t>
      </w:r>
      <w:r>
        <w:rPr>
          <w:spacing w:val="-3"/>
        </w:rPr>
        <w:t xml:space="preserve"> </w:t>
      </w:r>
      <w:r>
        <w:t>for</w:t>
      </w:r>
      <w:r>
        <w:rPr>
          <w:spacing w:val="-2"/>
        </w:rPr>
        <w:t xml:space="preserve"> </w:t>
      </w:r>
      <w:r>
        <w:t>the</w:t>
      </w:r>
      <w:r>
        <w:rPr>
          <w:spacing w:val="-3"/>
        </w:rPr>
        <w:t xml:space="preserve"> </w:t>
      </w:r>
      <w:r>
        <w:t>middle</w:t>
      </w:r>
      <w:r>
        <w:rPr>
          <w:spacing w:val="-2"/>
        </w:rPr>
        <w:t xml:space="preserve"> </w:t>
      </w:r>
      <w:r>
        <w:t>scenario</w:t>
      </w:r>
      <w:r>
        <w:rPr>
          <w:spacing w:val="-3"/>
        </w:rPr>
        <w:t xml:space="preserve"> </w:t>
      </w:r>
      <w:r w:rsidR="004930BA">
        <w:t>is 5</w:t>
      </w:r>
      <w:r>
        <w:t xml:space="preserve"> percent. If the yield rates are low (as in the worst‐case scenario), the study will be unable to meet the</w:t>
      </w:r>
      <w:r>
        <w:rPr>
          <w:spacing w:val="1"/>
        </w:rPr>
        <w:t xml:space="preserve"> </w:t>
      </w:r>
      <w:r>
        <w:t>precision requirements for most of the subgroups of interest at the 2‐year follow‐up; however, the</w:t>
      </w:r>
      <w:r>
        <w:rPr>
          <w:spacing w:val="1"/>
        </w:rPr>
        <w:t xml:space="preserve"> </w:t>
      </w:r>
      <w:r>
        <w:t>margins</w:t>
      </w:r>
      <w:r>
        <w:rPr>
          <w:spacing w:val="-2"/>
        </w:rPr>
        <w:t xml:space="preserve"> </w:t>
      </w:r>
      <w:r>
        <w:t>of</w:t>
      </w:r>
      <w:r>
        <w:rPr>
          <w:spacing w:val="-2"/>
        </w:rPr>
        <w:t xml:space="preserve"> </w:t>
      </w:r>
      <w:r>
        <w:t>error</w:t>
      </w:r>
      <w:r>
        <w:rPr>
          <w:spacing w:val="-2"/>
        </w:rPr>
        <w:t xml:space="preserve"> </w:t>
      </w:r>
      <w:r w:rsidR="00FA7DE7">
        <w:rPr>
          <w:spacing w:val="-2"/>
        </w:rPr>
        <w:t xml:space="preserve">are still expected </w:t>
      </w:r>
      <w:r>
        <w:t>to</w:t>
      </w:r>
      <w:r>
        <w:rPr>
          <w:spacing w:val="-2"/>
        </w:rPr>
        <w:t xml:space="preserve"> </w:t>
      </w:r>
      <w:r>
        <w:t>be</w:t>
      </w:r>
      <w:r>
        <w:rPr>
          <w:spacing w:val="-2"/>
        </w:rPr>
        <w:t xml:space="preserve"> </w:t>
      </w:r>
      <w:r>
        <w:t>under 10</w:t>
      </w:r>
      <w:r>
        <w:rPr>
          <w:spacing w:val="-2"/>
        </w:rPr>
        <w:t xml:space="preserve"> </w:t>
      </w:r>
      <w:r>
        <w:t>percent for</w:t>
      </w:r>
      <w:r>
        <w:rPr>
          <w:spacing w:val="-1"/>
        </w:rPr>
        <w:t xml:space="preserve"> </w:t>
      </w:r>
      <w:r>
        <w:t>these subgroups</w:t>
      </w:r>
      <w:r w:rsidR="004930BA">
        <w:t xml:space="preserve"> under the worst</w:t>
      </w:r>
      <w:r w:rsidR="00FA7DE7">
        <w:t xml:space="preserve"> </w:t>
      </w:r>
      <w:r w:rsidR="004930BA">
        <w:t>case scenario</w:t>
      </w:r>
      <w:r>
        <w:t>.</w:t>
      </w:r>
    </w:p>
    <w:p w:rsidR="00E06665" w:rsidP="00DC07C3" w:rsidRDefault="00E06665" w14:paraId="52B74F71" w14:textId="74AD02F8">
      <w:pPr>
        <w:pStyle w:val="TableTitle-IPR"/>
      </w:pPr>
      <w:bookmarkStart w:name="_Toc78365146" w:id="38"/>
      <w:r>
        <w:t>Table</w:t>
      </w:r>
      <w:r>
        <w:rPr>
          <w:spacing w:val="-3"/>
        </w:rPr>
        <w:t xml:space="preserve"> </w:t>
      </w:r>
      <w:r w:rsidR="004930BA">
        <w:rPr>
          <w:spacing w:val="-3"/>
        </w:rPr>
        <w:t>B.</w:t>
      </w:r>
      <w:r>
        <w:t>2.9.</w:t>
      </w:r>
      <w:r>
        <w:rPr>
          <w:spacing w:val="-2"/>
        </w:rPr>
        <w:t xml:space="preserve"> </w:t>
      </w:r>
      <w:r>
        <w:t>Expected</w:t>
      </w:r>
      <w:r>
        <w:rPr>
          <w:spacing w:val="-2"/>
        </w:rPr>
        <w:t xml:space="preserve"> </w:t>
      </w:r>
      <w:r>
        <w:t>Margin</w:t>
      </w:r>
      <w:r>
        <w:rPr>
          <w:spacing w:val="-1"/>
        </w:rPr>
        <w:t xml:space="preserve"> </w:t>
      </w:r>
      <w:r>
        <w:t>of</w:t>
      </w:r>
      <w:r>
        <w:rPr>
          <w:spacing w:val="-3"/>
        </w:rPr>
        <w:t xml:space="preserve"> </w:t>
      </w:r>
      <w:r>
        <w:t>Error</w:t>
      </w:r>
      <w:r>
        <w:rPr>
          <w:spacing w:val="-2"/>
        </w:rPr>
        <w:t xml:space="preserve"> </w:t>
      </w:r>
      <w:r>
        <w:t>for</w:t>
      </w:r>
      <w:r>
        <w:rPr>
          <w:spacing w:val="-1"/>
        </w:rPr>
        <w:t xml:space="preserve"> </w:t>
      </w:r>
      <w:r>
        <w:t>Best,</w:t>
      </w:r>
      <w:r>
        <w:rPr>
          <w:spacing w:val="-2"/>
        </w:rPr>
        <w:t xml:space="preserve"> </w:t>
      </w:r>
      <w:r>
        <w:t>Worst,</w:t>
      </w:r>
      <w:r>
        <w:rPr>
          <w:spacing w:val="-2"/>
        </w:rPr>
        <w:t xml:space="preserve"> </w:t>
      </w:r>
      <w:r>
        <w:t>and</w:t>
      </w:r>
      <w:r>
        <w:rPr>
          <w:spacing w:val="-2"/>
        </w:rPr>
        <w:t xml:space="preserve"> </w:t>
      </w:r>
      <w:r>
        <w:t>Middle</w:t>
      </w:r>
      <w:r>
        <w:rPr>
          <w:spacing w:val="-3"/>
        </w:rPr>
        <w:t xml:space="preserve"> </w:t>
      </w:r>
      <w:r>
        <w:t>Yield‐Rate</w:t>
      </w:r>
      <w:r>
        <w:rPr>
          <w:spacing w:val="-2"/>
        </w:rPr>
        <w:t xml:space="preserve"> </w:t>
      </w:r>
      <w:r>
        <w:t>Scenarios</w:t>
      </w:r>
      <w:r>
        <w:rPr>
          <w:spacing w:val="-3"/>
        </w:rPr>
        <w:t xml:space="preserve"> </w:t>
      </w:r>
      <w:r>
        <w:t>for</w:t>
      </w:r>
      <w:r>
        <w:rPr>
          <w:spacing w:val="-2"/>
        </w:rPr>
        <w:t xml:space="preserve"> </w:t>
      </w:r>
      <w:r>
        <w:t>Estimates</w:t>
      </w:r>
      <w:r>
        <w:rPr>
          <w:spacing w:val="-3"/>
        </w:rPr>
        <w:t xml:space="preserve"> </w:t>
      </w:r>
      <w:r>
        <w:t>of</w:t>
      </w:r>
      <w:r w:rsidR="004930BA">
        <w:t xml:space="preserve"> a 50-Percent Characteristic: 2-Year Follow-up Study</w:t>
      </w:r>
      <w:bookmarkEnd w:id="38"/>
    </w:p>
    <w:tbl>
      <w:tblPr>
        <w:tblStyle w:val="InsightTable"/>
        <w:tblW w:w="0" w:type="auto"/>
        <w:tblLook w:val="04A0" w:firstRow="1" w:lastRow="0" w:firstColumn="1" w:lastColumn="0" w:noHBand="0" w:noVBand="1"/>
      </w:tblPr>
      <w:tblGrid>
        <w:gridCol w:w="4790"/>
        <w:gridCol w:w="1497"/>
        <w:gridCol w:w="1509"/>
        <w:gridCol w:w="1506"/>
      </w:tblGrid>
      <w:tr w:rsidR="00DC07C3" w:rsidTr="009942CC" w14:paraId="7B18FA47"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4982" w:type="dxa"/>
            <w:vMerge w:val="restart"/>
            <w:tcBorders>
              <w:bottom w:val="dotted" w:color="B12732" w:sz="4" w:space="0"/>
            </w:tcBorders>
          </w:tcPr>
          <w:p w:rsidR="00DC07C3" w:rsidP="00F975D9" w:rsidRDefault="00DC07C3" w14:paraId="1CFB9290" w14:textId="77777777">
            <w:pPr>
              <w:pStyle w:val="TableHeaderRow-IPR"/>
            </w:pPr>
            <w:r>
              <w:t>Subgroup</w:t>
            </w:r>
          </w:p>
        </w:tc>
        <w:tc>
          <w:tcPr>
            <w:tcW w:w="4660" w:type="dxa"/>
            <w:gridSpan w:val="3"/>
            <w:tcBorders>
              <w:bottom w:val="dotted" w:color="B12732" w:sz="4" w:space="0"/>
            </w:tcBorders>
          </w:tcPr>
          <w:p w:rsidR="00DC07C3" w:rsidP="00F975D9" w:rsidRDefault="00DC07C3" w14:paraId="7A3269FD" w14:textId="77777777">
            <w:pPr>
              <w:pStyle w:val="TableHeaderRow-IPR"/>
            </w:pPr>
            <w:r>
              <w:t>Expected Margin of Error by Scenario (Percent)</w:t>
            </w:r>
          </w:p>
        </w:tc>
      </w:tr>
      <w:tr w:rsidR="00DC07C3" w:rsidTr="009942CC" w14:paraId="483EBE82"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4982" w:type="dxa"/>
            <w:vMerge/>
            <w:tcBorders>
              <w:top w:val="dotted" w:color="B12732" w:sz="4" w:space="0"/>
            </w:tcBorders>
          </w:tcPr>
          <w:p w:rsidR="00DC07C3" w:rsidP="00F975D9" w:rsidRDefault="00DC07C3" w14:paraId="0846813D" w14:textId="77777777">
            <w:pPr>
              <w:pStyle w:val="TableHeaderRow-IPR"/>
            </w:pPr>
          </w:p>
        </w:tc>
        <w:tc>
          <w:tcPr>
            <w:tcW w:w="1553" w:type="dxa"/>
            <w:tcBorders>
              <w:top w:val="dotted" w:color="B12732" w:sz="4" w:space="0"/>
            </w:tcBorders>
          </w:tcPr>
          <w:p w:rsidR="00DC07C3" w:rsidP="00F975D9" w:rsidRDefault="00DC07C3" w14:paraId="13D8B5FD" w14:textId="77777777">
            <w:pPr>
              <w:pStyle w:val="TableHeaderRow-IPR"/>
            </w:pPr>
            <w:r>
              <w:t>Best</w:t>
            </w:r>
          </w:p>
        </w:tc>
        <w:tc>
          <w:tcPr>
            <w:tcW w:w="1553" w:type="dxa"/>
            <w:tcBorders>
              <w:top w:val="dotted" w:color="B12732" w:sz="4" w:space="0"/>
            </w:tcBorders>
          </w:tcPr>
          <w:p w:rsidR="00DC07C3" w:rsidP="00F975D9" w:rsidRDefault="00DC07C3" w14:paraId="7BCA608E" w14:textId="77777777">
            <w:pPr>
              <w:pStyle w:val="TableHeaderRow-IPR"/>
            </w:pPr>
            <w:r>
              <w:t>Middle</w:t>
            </w:r>
          </w:p>
        </w:tc>
        <w:tc>
          <w:tcPr>
            <w:tcW w:w="1554" w:type="dxa"/>
            <w:tcBorders>
              <w:top w:val="dotted" w:color="B12732" w:sz="4" w:space="0"/>
            </w:tcBorders>
          </w:tcPr>
          <w:p w:rsidR="00DC07C3" w:rsidP="00F975D9" w:rsidRDefault="00DC07C3" w14:paraId="1DE729E3" w14:textId="77777777">
            <w:pPr>
              <w:pStyle w:val="TableHeaderRow-IPR"/>
            </w:pPr>
            <w:r>
              <w:t>Worst</w:t>
            </w:r>
          </w:p>
        </w:tc>
      </w:tr>
      <w:tr w:rsidR="00DC07C3" w:rsidTr="009942CC" w14:paraId="4A575234" w14:textId="77777777">
        <w:trPr>
          <w:trHeight w:val="288"/>
        </w:trPr>
        <w:tc>
          <w:tcPr>
            <w:tcW w:w="4982" w:type="dxa"/>
          </w:tcPr>
          <w:p w:rsidR="00DC07C3" w:rsidP="00DC07C3" w:rsidRDefault="00DC07C3" w14:paraId="2A1F6149" w14:textId="77777777">
            <w:pPr>
              <w:pStyle w:val="TableText-IPR"/>
            </w:pPr>
            <w:r w:rsidRPr="00737E25">
              <w:t>NAP participants</w:t>
            </w:r>
          </w:p>
        </w:tc>
        <w:tc>
          <w:tcPr>
            <w:tcW w:w="1553" w:type="dxa"/>
            <w:vAlign w:val="top"/>
          </w:tcPr>
          <w:p w:rsidR="00DC07C3" w:rsidP="00DC07C3" w:rsidRDefault="00DC07C3" w14:paraId="10E4021E" w14:textId="66E71ECD">
            <w:pPr>
              <w:pStyle w:val="TableText-IPR"/>
            </w:pPr>
            <w:r>
              <w:t>2.81</w:t>
            </w:r>
          </w:p>
        </w:tc>
        <w:tc>
          <w:tcPr>
            <w:tcW w:w="1553" w:type="dxa"/>
            <w:vAlign w:val="top"/>
          </w:tcPr>
          <w:p w:rsidR="00DC07C3" w:rsidP="00DC07C3" w:rsidRDefault="00DC07C3" w14:paraId="1631EF26" w14:textId="41A5562E">
            <w:pPr>
              <w:pStyle w:val="TableText-IPR"/>
            </w:pPr>
            <w:r>
              <w:t>3.53</w:t>
            </w:r>
          </w:p>
        </w:tc>
        <w:tc>
          <w:tcPr>
            <w:tcW w:w="1554" w:type="dxa"/>
            <w:vAlign w:val="top"/>
          </w:tcPr>
          <w:p w:rsidR="00DC07C3" w:rsidP="00DC07C3" w:rsidRDefault="00DC07C3" w14:paraId="14B04BC4" w14:textId="262F2F1E">
            <w:pPr>
              <w:pStyle w:val="TableText-IPR"/>
            </w:pPr>
            <w:r>
              <w:t>5.30</w:t>
            </w:r>
          </w:p>
        </w:tc>
      </w:tr>
      <w:tr w:rsidR="00DC07C3" w:rsidTr="009942CC" w14:paraId="7D3E2F6F" w14:textId="77777777">
        <w:trPr>
          <w:trHeight w:val="288"/>
        </w:trPr>
        <w:tc>
          <w:tcPr>
            <w:tcW w:w="4982" w:type="dxa"/>
          </w:tcPr>
          <w:p w:rsidR="00DC07C3" w:rsidP="00DC07C3" w:rsidRDefault="00DC07C3" w14:paraId="12F970FB" w14:textId="77777777">
            <w:pPr>
              <w:pStyle w:val="TableText-IPR"/>
            </w:pPr>
            <w:r w:rsidRPr="00737E25">
              <w:t>NAP nonparticipants</w:t>
            </w:r>
          </w:p>
        </w:tc>
        <w:tc>
          <w:tcPr>
            <w:tcW w:w="1553" w:type="dxa"/>
            <w:vAlign w:val="top"/>
          </w:tcPr>
          <w:p w:rsidR="00DC07C3" w:rsidP="00DC07C3" w:rsidRDefault="00DC07C3" w14:paraId="067009BB" w14:textId="64988B17">
            <w:pPr>
              <w:pStyle w:val="TableText-IPR"/>
            </w:pPr>
            <w:r>
              <w:t>3.27</w:t>
            </w:r>
          </w:p>
        </w:tc>
        <w:tc>
          <w:tcPr>
            <w:tcW w:w="1553" w:type="dxa"/>
            <w:vAlign w:val="top"/>
          </w:tcPr>
          <w:p w:rsidR="00DC07C3" w:rsidP="00DC07C3" w:rsidRDefault="00DC07C3" w14:paraId="1331F56C" w14:textId="2D2FF1DE">
            <w:pPr>
              <w:pStyle w:val="TableText-IPR"/>
            </w:pPr>
            <w:r>
              <w:t>4.20</w:t>
            </w:r>
          </w:p>
        </w:tc>
        <w:tc>
          <w:tcPr>
            <w:tcW w:w="1554" w:type="dxa"/>
            <w:vAlign w:val="top"/>
          </w:tcPr>
          <w:p w:rsidR="00DC07C3" w:rsidP="00DC07C3" w:rsidRDefault="00DC07C3" w14:paraId="7EA0E355" w14:textId="01787100">
            <w:pPr>
              <w:pStyle w:val="TableText-IPR"/>
            </w:pPr>
            <w:r>
              <w:t>6.30</w:t>
            </w:r>
          </w:p>
        </w:tc>
      </w:tr>
      <w:tr w:rsidR="00DC07C3" w:rsidTr="009942CC" w14:paraId="3AA08BE5" w14:textId="77777777">
        <w:trPr>
          <w:trHeight w:val="288"/>
        </w:trPr>
        <w:tc>
          <w:tcPr>
            <w:tcW w:w="4982" w:type="dxa"/>
          </w:tcPr>
          <w:p w:rsidR="00DC07C3" w:rsidP="00DC07C3" w:rsidRDefault="00DC07C3" w14:paraId="55AEA365" w14:textId="77777777">
            <w:pPr>
              <w:pStyle w:val="TableText-IPR"/>
            </w:pPr>
            <w:r w:rsidRPr="00737E25">
              <w:t>Households with children</w:t>
            </w:r>
          </w:p>
        </w:tc>
        <w:tc>
          <w:tcPr>
            <w:tcW w:w="1553" w:type="dxa"/>
            <w:vAlign w:val="top"/>
          </w:tcPr>
          <w:p w:rsidR="00DC07C3" w:rsidP="00DC07C3" w:rsidRDefault="00DC07C3" w14:paraId="27BF2D17" w14:textId="33B35557">
            <w:pPr>
              <w:pStyle w:val="TableText-IPR"/>
            </w:pPr>
            <w:r>
              <w:t>3.97</w:t>
            </w:r>
          </w:p>
        </w:tc>
        <w:tc>
          <w:tcPr>
            <w:tcW w:w="1553" w:type="dxa"/>
            <w:vAlign w:val="top"/>
          </w:tcPr>
          <w:p w:rsidR="00DC07C3" w:rsidP="00DC07C3" w:rsidRDefault="00DC07C3" w14:paraId="6C318533" w14:textId="3071A36D">
            <w:pPr>
              <w:pStyle w:val="TableText-IPR"/>
            </w:pPr>
            <w:r>
              <w:t>5.00</w:t>
            </w:r>
          </w:p>
        </w:tc>
        <w:tc>
          <w:tcPr>
            <w:tcW w:w="1554" w:type="dxa"/>
            <w:vAlign w:val="top"/>
          </w:tcPr>
          <w:p w:rsidR="00DC07C3" w:rsidP="00DC07C3" w:rsidRDefault="00DC07C3" w14:paraId="42CFD80F" w14:textId="542C5BD7">
            <w:pPr>
              <w:pStyle w:val="TableText-IPR"/>
            </w:pPr>
            <w:r>
              <w:t>7.51</w:t>
            </w:r>
          </w:p>
        </w:tc>
      </w:tr>
      <w:tr w:rsidR="00DC07C3" w:rsidTr="009942CC" w14:paraId="3C3DFD40" w14:textId="77777777">
        <w:trPr>
          <w:trHeight w:val="288"/>
        </w:trPr>
        <w:tc>
          <w:tcPr>
            <w:tcW w:w="4982" w:type="dxa"/>
          </w:tcPr>
          <w:p w:rsidR="00DC07C3" w:rsidP="00DC07C3" w:rsidRDefault="00DC07C3" w14:paraId="3C239EDE" w14:textId="77777777">
            <w:pPr>
              <w:pStyle w:val="TableText-IPR"/>
            </w:pPr>
            <w:r w:rsidRPr="00737E25">
              <w:t>Households with at least one older person (60 and older)</w:t>
            </w:r>
          </w:p>
        </w:tc>
        <w:tc>
          <w:tcPr>
            <w:tcW w:w="1553" w:type="dxa"/>
            <w:vAlign w:val="top"/>
          </w:tcPr>
          <w:p w:rsidR="00DC07C3" w:rsidP="00DC07C3" w:rsidRDefault="00DC07C3" w14:paraId="3D9279D9" w14:textId="69A67C9D">
            <w:pPr>
              <w:pStyle w:val="TableText-IPR"/>
            </w:pPr>
            <w:r>
              <w:t>3.11</w:t>
            </w:r>
          </w:p>
        </w:tc>
        <w:tc>
          <w:tcPr>
            <w:tcW w:w="1553" w:type="dxa"/>
            <w:vAlign w:val="top"/>
          </w:tcPr>
          <w:p w:rsidR="00DC07C3" w:rsidP="00DC07C3" w:rsidRDefault="00DC07C3" w14:paraId="37595372" w14:textId="4412E38F">
            <w:pPr>
              <w:pStyle w:val="TableText-IPR"/>
            </w:pPr>
            <w:r>
              <w:t>3.91</w:t>
            </w:r>
          </w:p>
        </w:tc>
        <w:tc>
          <w:tcPr>
            <w:tcW w:w="1554" w:type="dxa"/>
            <w:vAlign w:val="top"/>
          </w:tcPr>
          <w:p w:rsidR="00DC07C3" w:rsidP="00DC07C3" w:rsidRDefault="00DC07C3" w14:paraId="78E31F8B" w14:textId="4C21793F">
            <w:pPr>
              <w:pStyle w:val="TableText-IPR"/>
            </w:pPr>
            <w:r>
              <w:t>5.87</w:t>
            </w:r>
          </w:p>
        </w:tc>
      </w:tr>
      <w:tr w:rsidR="00DC07C3" w:rsidTr="009942CC" w14:paraId="0328C67D" w14:textId="77777777">
        <w:trPr>
          <w:trHeight w:val="288"/>
        </w:trPr>
        <w:tc>
          <w:tcPr>
            <w:tcW w:w="4982" w:type="dxa"/>
            <w:vAlign w:val="top"/>
          </w:tcPr>
          <w:p w:rsidRPr="00737E25" w:rsidR="00DC07C3" w:rsidP="00DC07C3" w:rsidRDefault="00DC07C3" w14:paraId="31294D81" w14:textId="77777777">
            <w:pPr>
              <w:pStyle w:val="TableText-IPR"/>
            </w:pPr>
            <w:r w:rsidRPr="00125600">
              <w:t>Households with at least one person with a disability</w:t>
            </w:r>
          </w:p>
        </w:tc>
        <w:tc>
          <w:tcPr>
            <w:tcW w:w="1553" w:type="dxa"/>
            <w:vAlign w:val="top"/>
          </w:tcPr>
          <w:p w:rsidRPr="00F62098" w:rsidR="00DC07C3" w:rsidP="00DC07C3" w:rsidRDefault="00DC07C3" w14:paraId="188F0BC2" w14:textId="07307959">
            <w:pPr>
              <w:pStyle w:val="TableText-IPR"/>
            </w:pPr>
            <w:r>
              <w:t>3.37</w:t>
            </w:r>
          </w:p>
        </w:tc>
        <w:tc>
          <w:tcPr>
            <w:tcW w:w="1553" w:type="dxa"/>
            <w:vAlign w:val="top"/>
          </w:tcPr>
          <w:p w:rsidRPr="00F62098" w:rsidR="00DC07C3" w:rsidP="00DC07C3" w:rsidRDefault="00DC07C3" w14:paraId="42C2C64D" w14:textId="044FF46A">
            <w:pPr>
              <w:pStyle w:val="TableText-IPR"/>
            </w:pPr>
            <w:r>
              <w:t>4.24</w:t>
            </w:r>
          </w:p>
        </w:tc>
        <w:tc>
          <w:tcPr>
            <w:tcW w:w="1554" w:type="dxa"/>
            <w:vAlign w:val="top"/>
          </w:tcPr>
          <w:p w:rsidRPr="00F62098" w:rsidR="00DC07C3" w:rsidP="00DC07C3" w:rsidRDefault="00DC07C3" w14:paraId="453E53FC" w14:textId="25F6E8BE">
            <w:pPr>
              <w:pStyle w:val="TableText-IPR"/>
            </w:pPr>
            <w:r>
              <w:t>6.38</w:t>
            </w:r>
          </w:p>
        </w:tc>
      </w:tr>
    </w:tbl>
    <w:p w:rsidRPr="00B62368" w:rsidR="00694A49" w:rsidP="00694A49" w:rsidRDefault="00694A49" w14:paraId="7713DF27" w14:textId="12A44AB2">
      <w:pPr>
        <w:pStyle w:val="Heading4NoLetter-IPR"/>
        <w:spacing w:before="240" w:after="120"/>
      </w:pPr>
      <w:r>
        <w:t>B.2.4</w:t>
      </w:r>
      <w:r w:rsidR="005F44AE">
        <w:t>.</w:t>
      </w:r>
      <w:r>
        <w:tab/>
        <w:t>Unusual Problems Requiring Specialized Sampling Procedures</w:t>
      </w:r>
    </w:p>
    <w:p w:rsidR="00694A49" w:rsidP="00694A49" w:rsidRDefault="00694A49" w14:paraId="5064C75D" w14:textId="5DDA5E8F">
      <w:pPr>
        <w:pStyle w:val="Body11ptCalibri-IPR"/>
      </w:pPr>
      <w:r>
        <w:t>T</w:t>
      </w:r>
      <w:r w:rsidRPr="005E0EB7">
        <w:t>here are no unusual problems that require specialized sampling procedures.</w:t>
      </w:r>
    </w:p>
    <w:p w:rsidRPr="00B62368" w:rsidR="00694A49" w:rsidP="00960E81" w:rsidRDefault="00694A49" w14:paraId="45411FB7" w14:textId="43D24BF5">
      <w:pPr>
        <w:pStyle w:val="Heading4NoLetter-IPR"/>
        <w:spacing w:before="360" w:after="120"/>
      </w:pPr>
      <w:r>
        <w:t>B.2.5</w:t>
      </w:r>
      <w:r w:rsidR="005F44AE">
        <w:t>.</w:t>
      </w:r>
      <w:r>
        <w:tab/>
        <w:t>Any Use of Periodic (Less Frequent than Annual) Data Collection Cycles to Reduce Burden</w:t>
      </w:r>
    </w:p>
    <w:p w:rsidR="009937F6" w:rsidP="009942CC" w:rsidRDefault="00E60D08" w14:paraId="61C5FD86" w14:textId="74C21F58">
      <w:pPr>
        <w:pStyle w:val="Body11ptCalibri-IPR"/>
        <w:spacing w:after="240"/>
      </w:pPr>
      <w:bookmarkStart w:name="_Hlk77342316" w:id="39"/>
      <w:r>
        <w:t>This is a one-time study</w:t>
      </w:r>
      <w:r w:rsidR="006553C9">
        <w:t xml:space="preserve">. </w:t>
      </w:r>
      <w:bookmarkEnd w:id="39"/>
      <w:r>
        <w:t>C</w:t>
      </w:r>
      <w:r w:rsidRPr="00E60D08">
        <w:t xml:space="preserve">oncern </w:t>
      </w:r>
      <w:r>
        <w:t>about</w:t>
      </w:r>
      <w:r w:rsidRPr="00E60D08">
        <w:t xml:space="preserve"> the periodicity of data collection cycles is not applicable.</w:t>
      </w:r>
    </w:p>
    <w:p w:rsidRPr="00B62368" w:rsidR="00694A49" w:rsidP="00960E81" w:rsidRDefault="00694A49" w14:paraId="420A902D" w14:textId="77777777">
      <w:pPr>
        <w:pStyle w:val="Hdng3-IPR"/>
        <w:spacing w:before="360"/>
      </w:pPr>
      <w:bookmarkStart w:name="_Toc514142003" w:id="40"/>
      <w:bookmarkStart w:name="_Toc14464750" w:id="41"/>
      <w:r w:rsidRPr="00B62368">
        <w:t>Methods to Maximize Response Rates and the Issue of Nonresponse</w:t>
      </w:r>
      <w:bookmarkEnd w:id="40"/>
      <w:bookmarkEnd w:id="41"/>
    </w:p>
    <w:p w:rsidR="00694A49" w:rsidP="009942CC" w:rsidRDefault="00694A49" w14:paraId="0D96F5A6" w14:textId="08FDDA8A">
      <w:pPr>
        <w:pStyle w:val="Hdng4Calibri-IPR"/>
        <w:rPr>
          <w:rFonts w:ascii="Candara" w:hAnsi="Candara"/>
          <w:sz w:val="22"/>
        </w:rPr>
      </w:pPr>
      <w:r w:rsidRPr="00B62368">
        <w:rPr>
          <w:rFonts w:ascii="Candara" w:hAnsi="Candara"/>
          <w:sz w:val="22"/>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9B1E75" w:rsidR="00694A49" w:rsidP="00960E81" w:rsidRDefault="00694A49" w14:paraId="7A2D99CC" w14:textId="77777777">
      <w:pPr>
        <w:pStyle w:val="Heading4NoLetter-IPR"/>
        <w:spacing w:before="360" w:after="120"/>
      </w:pPr>
      <w:bookmarkStart w:name="_Toc511721621" w:id="42"/>
      <w:r>
        <w:t>B.3.1</w:t>
      </w:r>
      <w:r>
        <w:tab/>
        <w:t>Methods to Maximize Response Rates</w:t>
      </w:r>
    </w:p>
    <w:p w:rsidR="00F86A26" w:rsidP="00F86A26" w:rsidRDefault="00F86A26" w14:paraId="18D6D566" w14:textId="77777777">
      <w:pPr>
        <w:pStyle w:val="BodyText-IPR"/>
        <w:spacing w:after="120" w:line="480" w:lineRule="exact"/>
        <w:rPr>
          <w:i/>
          <w:iCs/>
        </w:rPr>
      </w:pPr>
      <w:r w:rsidRPr="00D31EC9">
        <w:rPr>
          <w:b/>
          <w:bCs/>
          <w:i/>
          <w:iCs/>
        </w:rPr>
        <w:t>Household survey</w:t>
      </w:r>
    </w:p>
    <w:p w:rsidR="00F86A26" w:rsidP="00960E81" w:rsidRDefault="00F86A26" w14:paraId="04C56062" w14:textId="4291E649">
      <w:pPr>
        <w:pStyle w:val="Body11ptCalibri-IPR"/>
        <w:spacing w:before="120" w:after="240"/>
      </w:pPr>
      <w:r>
        <w:t xml:space="preserve">The data collection plan for the household survey includes multiple strategies intended to maximize response rates and address issues of nonresponse. </w:t>
      </w:r>
      <w:r w:rsidR="00B760AB">
        <w:t xml:space="preserve">All sampled households will receive a $5 prepaid cash incentive to encourage participation. </w:t>
      </w:r>
      <w:r w:rsidRPr="00B36BEB" w:rsidR="00B760AB">
        <w:rPr>
          <w:szCs w:val="22"/>
        </w:rPr>
        <w:t xml:space="preserve">Previous studies, including the Farmers’ Market Client Survey </w:t>
      </w:r>
      <w:r w:rsidRPr="00B36BEB" w:rsidR="00B760AB">
        <w:rPr>
          <w:szCs w:val="22"/>
        </w:rPr>
        <w:lastRenderedPageBreak/>
        <w:t>incentive experiment, have shown that a small noncontingent incentive has a positive effect on response rates</w:t>
      </w:r>
      <w:r w:rsidR="00B760AB">
        <w:rPr>
          <w:rStyle w:val="FootnoteReference"/>
          <w:szCs w:val="22"/>
        </w:rPr>
        <w:footnoteReference w:id="16"/>
      </w:r>
      <w:r w:rsidR="00B760AB">
        <w:rPr>
          <w:szCs w:val="22"/>
          <w:vertAlign w:val="superscript"/>
        </w:rPr>
        <w:t xml:space="preserve">, </w:t>
      </w:r>
      <w:r w:rsidR="00B760AB">
        <w:rPr>
          <w:rStyle w:val="FootnoteReference"/>
          <w:szCs w:val="22"/>
        </w:rPr>
        <w:footnoteReference w:id="17"/>
      </w:r>
      <w:r w:rsidRPr="00B36BEB" w:rsidR="00B760AB">
        <w:rPr>
          <w:szCs w:val="22"/>
        </w:rPr>
        <w:t xml:space="preserve"> </w:t>
      </w:r>
      <w:r w:rsidR="00B760AB">
        <w:t>(</w:t>
      </w:r>
      <w:r w:rsidRPr="00184F91" w:rsidR="00B760AB">
        <w:t xml:space="preserve">see </w:t>
      </w:r>
      <w:r w:rsidR="00B760AB">
        <w:t>A</w:t>
      </w:r>
      <w:r w:rsidRPr="00040E67" w:rsidR="00B760AB">
        <w:t xml:space="preserve">ppendix </w:t>
      </w:r>
      <w:r w:rsidR="002A0E0D">
        <w:t>H</w:t>
      </w:r>
      <w:r w:rsidR="00B760AB">
        <w:t>)</w:t>
      </w:r>
      <w:r w:rsidRPr="00B36BEB" w:rsidR="00B760AB">
        <w:rPr>
          <w:szCs w:val="22"/>
        </w:rPr>
        <w:t xml:space="preserve">. </w:t>
      </w:r>
      <w:r w:rsidR="00B760AB">
        <w:t xml:space="preserve"> All responding households will </w:t>
      </w:r>
      <w:r w:rsidR="00417730">
        <w:t xml:space="preserve">also </w:t>
      </w:r>
      <w:r w:rsidR="00B760AB">
        <w:t xml:space="preserve">receive </w:t>
      </w:r>
      <w:r w:rsidR="00B760AB">
        <w:rPr>
          <w:szCs w:val="22"/>
        </w:rPr>
        <w:t xml:space="preserve">a </w:t>
      </w:r>
      <w:r w:rsidRPr="00B36BEB" w:rsidR="00B760AB">
        <w:rPr>
          <w:szCs w:val="22"/>
        </w:rPr>
        <w:t>$</w:t>
      </w:r>
      <w:r w:rsidR="00B760AB">
        <w:rPr>
          <w:szCs w:val="22"/>
        </w:rPr>
        <w:t xml:space="preserve">40 </w:t>
      </w:r>
      <w:r w:rsidR="00A8431B">
        <w:rPr>
          <w:szCs w:val="22"/>
        </w:rPr>
        <w:t xml:space="preserve">postparticipation </w:t>
      </w:r>
      <w:r w:rsidR="00B760AB">
        <w:rPr>
          <w:szCs w:val="22"/>
        </w:rPr>
        <w:t>incentive (</w:t>
      </w:r>
      <w:r w:rsidR="006963F1">
        <w:rPr>
          <w:szCs w:val="22"/>
        </w:rPr>
        <w:t>paid by</w:t>
      </w:r>
      <w:r w:rsidR="00B760AB">
        <w:rPr>
          <w:szCs w:val="22"/>
        </w:rPr>
        <w:t xml:space="preserve"> </w:t>
      </w:r>
      <w:r w:rsidRPr="00B36BEB" w:rsidR="00B760AB">
        <w:rPr>
          <w:szCs w:val="22"/>
        </w:rPr>
        <w:t>gift card</w:t>
      </w:r>
      <w:r w:rsidR="00B760AB">
        <w:rPr>
          <w:rStyle w:val="FootnoteReference"/>
          <w:szCs w:val="22"/>
        </w:rPr>
        <w:footnoteReference w:id="18"/>
      </w:r>
      <w:r w:rsidR="00B760AB">
        <w:rPr>
          <w:szCs w:val="22"/>
        </w:rPr>
        <w:t>)</w:t>
      </w:r>
      <w:r w:rsidRPr="00B36BEB" w:rsidR="00B760AB">
        <w:rPr>
          <w:szCs w:val="22"/>
        </w:rPr>
        <w:t xml:space="preserve"> for completing the survey</w:t>
      </w:r>
      <w:r w:rsidR="00B760AB">
        <w:rPr>
          <w:szCs w:val="22"/>
        </w:rPr>
        <w:t>.</w:t>
      </w:r>
      <w:r w:rsidR="00417730">
        <w:rPr>
          <w:szCs w:val="22"/>
        </w:rPr>
        <w:t xml:space="preserve"> Households will have the option of completing the survey by </w:t>
      </w:r>
      <w:r w:rsidRPr="007A0261">
        <w:t xml:space="preserve">web, </w:t>
      </w:r>
      <w:r w:rsidR="00417730">
        <w:t xml:space="preserve">mail, or </w:t>
      </w:r>
      <w:r w:rsidRPr="007A0261">
        <w:t>telephone)</w:t>
      </w:r>
      <w:r w:rsidR="00417730">
        <w:t>. Using this approach effectively addresses the preferences and needs of different respondents that are part of the household sample.</w:t>
      </w:r>
    </w:p>
    <w:p w:rsidR="001B7ADD" w:rsidP="00F86A26" w:rsidRDefault="00417730" w14:paraId="408ABB30" w14:textId="5639568C">
      <w:pPr>
        <w:pStyle w:val="BodyText-IPR"/>
        <w:spacing w:line="480" w:lineRule="exact"/>
      </w:pPr>
      <w:r>
        <w:t>T</w:t>
      </w:r>
      <w:r w:rsidR="00F86A26">
        <w:t>he study team</w:t>
      </w:r>
      <w:r w:rsidRPr="007A0261" w:rsidR="00F86A26">
        <w:t xml:space="preserve"> will </w:t>
      </w:r>
      <w:r>
        <w:t xml:space="preserve">make several attempts to reach </w:t>
      </w:r>
      <w:r w:rsidR="001B7ADD">
        <w:t>households sampled</w:t>
      </w:r>
      <w:r w:rsidRPr="007A0261" w:rsidR="001B7ADD">
        <w:t xml:space="preserve"> from </w:t>
      </w:r>
      <w:r w:rsidR="001B7ADD">
        <w:t xml:space="preserve">the </w:t>
      </w:r>
      <w:r w:rsidRPr="007A0261" w:rsidR="001B7ADD">
        <w:t>NAP participant list</w:t>
      </w:r>
      <w:r w:rsidR="001B7ADD">
        <w:t xml:space="preserve">. Specifically, these households will receive an initial invitation letter with a $5 prepaid </w:t>
      </w:r>
      <w:r w:rsidR="00A8431B">
        <w:t xml:space="preserve">cash </w:t>
      </w:r>
      <w:r w:rsidR="001B7ADD">
        <w:t xml:space="preserve">incentive, a reminder postcard, and up to two mail surveys. </w:t>
      </w:r>
      <w:r w:rsidR="00F86A26">
        <w:t>Among nonrespondents with available telephone numbers, a one-third subsample will be randomly selected and contact</w:t>
      </w:r>
      <w:r w:rsidR="001B7ADD">
        <w:t xml:space="preserve">ed by </w:t>
      </w:r>
      <w:r w:rsidRPr="002B452F" w:rsidR="001B7ADD">
        <w:t>certified telephone data collector</w:t>
      </w:r>
      <w:r w:rsidR="001B7ADD">
        <w:t xml:space="preserve">s </w:t>
      </w:r>
      <w:r w:rsidRPr="002B452F" w:rsidR="00F86A26">
        <w:t xml:space="preserve">to complete a </w:t>
      </w:r>
      <w:r w:rsidR="00F86A26">
        <w:t>c</w:t>
      </w:r>
      <w:r w:rsidRPr="002B452F" w:rsidR="00F86A26">
        <w:t>omputer</w:t>
      </w:r>
      <w:r w:rsidR="00F86A26">
        <w:t>-a</w:t>
      </w:r>
      <w:r w:rsidRPr="002B452F" w:rsidR="00F86A26">
        <w:t xml:space="preserve">ssisted </w:t>
      </w:r>
      <w:r w:rsidR="00F86A26">
        <w:t>t</w:t>
      </w:r>
      <w:r w:rsidRPr="002B452F" w:rsidR="00F86A26">
        <w:t xml:space="preserve">elephone </w:t>
      </w:r>
      <w:r w:rsidR="00F86A26">
        <w:t>i</w:t>
      </w:r>
      <w:r w:rsidRPr="002B452F" w:rsidR="00F86A26">
        <w:t>nterview (CATI)</w:t>
      </w:r>
      <w:r w:rsidR="00F86A26">
        <w:t xml:space="preserve">. </w:t>
      </w:r>
    </w:p>
    <w:p w:rsidR="001B7ADD" w:rsidP="001B7ADD" w:rsidRDefault="001B7ADD" w14:paraId="625AB1A7" w14:textId="70BA2222">
      <w:pPr>
        <w:pStyle w:val="Body11ptCalibri-IPR"/>
        <w:spacing w:after="240"/>
        <w:rPr>
          <w:szCs w:val="22"/>
        </w:rPr>
      </w:pPr>
      <w:r>
        <w:t xml:space="preserve">To encourage participation among </w:t>
      </w:r>
      <w:r w:rsidR="00F86A26">
        <w:t>eligible households selected from the area probability frame, field data collectors</w:t>
      </w:r>
      <w:r w:rsidR="00974B84">
        <w:t xml:space="preserve"> will</w:t>
      </w:r>
      <w:r w:rsidR="00F86A26">
        <w:t xml:space="preserve"> </w:t>
      </w:r>
      <w:r>
        <w:t xml:space="preserve">hand deliver </w:t>
      </w:r>
      <w:r>
        <w:rPr>
          <w:szCs w:val="22"/>
        </w:rPr>
        <w:t xml:space="preserve">a survey packet including a $5 prepaid </w:t>
      </w:r>
      <w:r w:rsidR="00A8431B">
        <w:rPr>
          <w:szCs w:val="22"/>
        </w:rPr>
        <w:t xml:space="preserve">cash </w:t>
      </w:r>
      <w:r>
        <w:rPr>
          <w:szCs w:val="22"/>
        </w:rPr>
        <w:t>incentive</w:t>
      </w:r>
      <w:r w:rsidR="00E24C33">
        <w:rPr>
          <w:szCs w:val="22"/>
        </w:rPr>
        <w:t xml:space="preserve">, </w:t>
      </w:r>
      <w:r>
        <w:rPr>
          <w:szCs w:val="22"/>
        </w:rPr>
        <w:t xml:space="preserve">a hardcopy version of the survey </w:t>
      </w:r>
      <w:r>
        <w:t>and</w:t>
      </w:r>
      <w:r>
        <w:rPr>
          <w:spacing w:val="-5"/>
        </w:rPr>
        <w:t xml:space="preserve"> </w:t>
      </w:r>
      <w:r>
        <w:t>a</w:t>
      </w:r>
      <w:r>
        <w:rPr>
          <w:spacing w:val="-4"/>
        </w:rPr>
        <w:t xml:space="preserve"> </w:t>
      </w:r>
      <w:r>
        <w:t>postage‐paid</w:t>
      </w:r>
      <w:r>
        <w:rPr>
          <w:spacing w:val="-2"/>
        </w:rPr>
        <w:t xml:space="preserve"> </w:t>
      </w:r>
      <w:r>
        <w:t>return</w:t>
      </w:r>
      <w:r>
        <w:rPr>
          <w:spacing w:val="-1"/>
        </w:rPr>
        <w:t xml:space="preserve"> </w:t>
      </w:r>
      <w:r>
        <w:t>envelope</w:t>
      </w:r>
      <w:r>
        <w:rPr>
          <w:szCs w:val="22"/>
        </w:rPr>
        <w:t xml:space="preserve">. </w:t>
      </w:r>
      <w:r w:rsidR="00E24C33">
        <w:rPr>
          <w:szCs w:val="22"/>
        </w:rPr>
        <w:t>When speaking with an adult household member, f</w:t>
      </w:r>
      <w:r>
        <w:rPr>
          <w:szCs w:val="22"/>
        </w:rPr>
        <w:t xml:space="preserve">ield data collectors will </w:t>
      </w:r>
      <w:r w:rsidR="00E24C33">
        <w:rPr>
          <w:szCs w:val="22"/>
        </w:rPr>
        <w:t>offer several</w:t>
      </w:r>
      <w:r>
        <w:rPr>
          <w:szCs w:val="22"/>
        </w:rPr>
        <w:t xml:space="preserve"> options </w:t>
      </w:r>
      <w:r w:rsidR="00E24C33">
        <w:rPr>
          <w:szCs w:val="22"/>
        </w:rPr>
        <w:t xml:space="preserve">for </w:t>
      </w:r>
      <w:r>
        <w:rPr>
          <w:szCs w:val="22"/>
        </w:rPr>
        <w:t>complet</w:t>
      </w:r>
      <w:r w:rsidR="00E24C33">
        <w:rPr>
          <w:szCs w:val="22"/>
        </w:rPr>
        <w:t>ing</w:t>
      </w:r>
      <w:r>
        <w:rPr>
          <w:szCs w:val="22"/>
        </w:rPr>
        <w:t xml:space="preserve"> the survey</w:t>
      </w:r>
      <w:r w:rsidR="00E24C33">
        <w:rPr>
          <w:szCs w:val="22"/>
        </w:rPr>
        <w:t>, such as</w:t>
      </w:r>
      <w:r>
        <w:rPr>
          <w:szCs w:val="22"/>
        </w:rPr>
        <w:t xml:space="preserve"> v</w:t>
      </w:r>
      <w:r w:rsidRPr="006B3226">
        <w:rPr>
          <w:szCs w:val="22"/>
        </w:rPr>
        <w:t>isit</w:t>
      </w:r>
      <w:r w:rsidR="00E24C33">
        <w:rPr>
          <w:szCs w:val="22"/>
        </w:rPr>
        <w:t>ing</w:t>
      </w:r>
      <w:r w:rsidRPr="006B3226">
        <w:rPr>
          <w:szCs w:val="22"/>
        </w:rPr>
        <w:t xml:space="preserve"> the study website and comple</w:t>
      </w:r>
      <w:r w:rsidR="00E24C33">
        <w:rPr>
          <w:szCs w:val="22"/>
        </w:rPr>
        <w:t>ting</w:t>
      </w:r>
      <w:r w:rsidRPr="006B3226">
        <w:rPr>
          <w:szCs w:val="22"/>
        </w:rPr>
        <w:t xml:space="preserve"> the web survey</w:t>
      </w:r>
      <w:r>
        <w:rPr>
          <w:szCs w:val="22"/>
        </w:rPr>
        <w:t>,</w:t>
      </w:r>
      <w:r w:rsidRPr="006B3226">
        <w:rPr>
          <w:szCs w:val="22"/>
        </w:rPr>
        <w:t xml:space="preserve"> </w:t>
      </w:r>
      <w:r>
        <w:rPr>
          <w:szCs w:val="22"/>
        </w:rPr>
        <w:t>m</w:t>
      </w:r>
      <w:r w:rsidRPr="006B3226">
        <w:rPr>
          <w:szCs w:val="22"/>
        </w:rPr>
        <w:t>ail</w:t>
      </w:r>
      <w:r w:rsidR="00E24C33">
        <w:rPr>
          <w:szCs w:val="22"/>
        </w:rPr>
        <w:t>ing</w:t>
      </w:r>
      <w:r w:rsidRPr="006B3226">
        <w:rPr>
          <w:szCs w:val="22"/>
        </w:rPr>
        <w:t xml:space="preserve"> the completed </w:t>
      </w:r>
      <w:r w:rsidR="00E24C33">
        <w:rPr>
          <w:szCs w:val="22"/>
        </w:rPr>
        <w:t xml:space="preserve">paper </w:t>
      </w:r>
      <w:r w:rsidRPr="006B3226">
        <w:rPr>
          <w:szCs w:val="22"/>
        </w:rPr>
        <w:t>survey t</w:t>
      </w:r>
      <w:r>
        <w:rPr>
          <w:szCs w:val="22"/>
        </w:rPr>
        <w:t>o the study team’s home office, s</w:t>
      </w:r>
      <w:r w:rsidRPr="006B3226">
        <w:rPr>
          <w:szCs w:val="22"/>
        </w:rPr>
        <w:t>chedul</w:t>
      </w:r>
      <w:r w:rsidR="00E24C33">
        <w:rPr>
          <w:szCs w:val="22"/>
        </w:rPr>
        <w:t>ing</w:t>
      </w:r>
      <w:r w:rsidRPr="006B3226">
        <w:rPr>
          <w:szCs w:val="22"/>
        </w:rPr>
        <w:t xml:space="preserve"> a time for the data collector to return and pick up the survey</w:t>
      </w:r>
      <w:r>
        <w:rPr>
          <w:szCs w:val="22"/>
        </w:rPr>
        <w:t>,</w:t>
      </w:r>
      <w:r w:rsidRPr="006B3226">
        <w:rPr>
          <w:szCs w:val="22"/>
        </w:rPr>
        <w:t xml:space="preserve"> </w:t>
      </w:r>
      <w:r w:rsidR="00974B84">
        <w:rPr>
          <w:szCs w:val="22"/>
        </w:rPr>
        <w:t xml:space="preserve">or </w:t>
      </w:r>
      <w:r>
        <w:rPr>
          <w:szCs w:val="22"/>
        </w:rPr>
        <w:t>s</w:t>
      </w:r>
      <w:r w:rsidRPr="006B3226">
        <w:rPr>
          <w:szCs w:val="22"/>
        </w:rPr>
        <w:t>chedul</w:t>
      </w:r>
      <w:r w:rsidR="00E24C33">
        <w:rPr>
          <w:szCs w:val="22"/>
        </w:rPr>
        <w:t>ing</w:t>
      </w:r>
      <w:r w:rsidRPr="006B3226">
        <w:rPr>
          <w:szCs w:val="22"/>
        </w:rPr>
        <w:t xml:space="preserve"> a time to complete the </w:t>
      </w:r>
      <w:r>
        <w:rPr>
          <w:szCs w:val="22"/>
        </w:rPr>
        <w:t>survey</w:t>
      </w:r>
      <w:r w:rsidRPr="006B3226">
        <w:rPr>
          <w:szCs w:val="22"/>
        </w:rPr>
        <w:t xml:space="preserve"> by phone</w:t>
      </w:r>
      <w:r>
        <w:rPr>
          <w:szCs w:val="22"/>
        </w:rPr>
        <w:t>.</w:t>
      </w:r>
    </w:p>
    <w:p w:rsidR="00E24C33" w:rsidP="00E24C33" w:rsidRDefault="00E24C33" w14:paraId="447E0D2D" w14:textId="080F7373">
      <w:pPr>
        <w:pStyle w:val="Body11ptCalibri-IPR"/>
        <w:spacing w:after="240"/>
        <w:rPr>
          <w:szCs w:val="22"/>
        </w:rPr>
      </w:pPr>
      <w:r>
        <w:rPr>
          <w:szCs w:val="22"/>
        </w:rPr>
        <w:t xml:space="preserve">To </w:t>
      </w:r>
      <w:r w:rsidRPr="006F668B">
        <w:rPr>
          <w:szCs w:val="22"/>
        </w:rPr>
        <w:t xml:space="preserve">ensure participants view the study as legitimate, </w:t>
      </w:r>
      <w:r>
        <w:rPr>
          <w:szCs w:val="22"/>
        </w:rPr>
        <w:t>the study team</w:t>
      </w:r>
      <w:r w:rsidRPr="006F668B">
        <w:rPr>
          <w:szCs w:val="22"/>
        </w:rPr>
        <w:t xml:space="preserve"> will develop and host a study website</w:t>
      </w:r>
      <w:r>
        <w:rPr>
          <w:szCs w:val="22"/>
        </w:rPr>
        <w:t xml:space="preserve"> (see Appendix </w:t>
      </w:r>
      <w:r w:rsidR="002A0E0D">
        <w:rPr>
          <w:szCs w:val="22"/>
        </w:rPr>
        <w:t>G</w:t>
      </w:r>
      <w:r>
        <w:rPr>
          <w:szCs w:val="22"/>
        </w:rPr>
        <w:t>.</w:t>
      </w:r>
      <w:r w:rsidR="00EE34D0">
        <w:rPr>
          <w:szCs w:val="22"/>
        </w:rPr>
        <w:t>9</w:t>
      </w:r>
      <w:r w:rsidR="002A0E0D">
        <w:rPr>
          <w:szCs w:val="22"/>
        </w:rPr>
        <w:t>, G</w:t>
      </w:r>
      <w:r>
        <w:rPr>
          <w:szCs w:val="22"/>
        </w:rPr>
        <w:t>.</w:t>
      </w:r>
      <w:r w:rsidR="00EE34D0">
        <w:rPr>
          <w:szCs w:val="22"/>
        </w:rPr>
        <w:t>10</w:t>
      </w:r>
      <w:r w:rsidR="002A0E0D">
        <w:rPr>
          <w:szCs w:val="22"/>
        </w:rPr>
        <w:t>, G.2</w:t>
      </w:r>
      <w:r w:rsidR="00EE34D0">
        <w:rPr>
          <w:szCs w:val="22"/>
        </w:rPr>
        <w:t>0</w:t>
      </w:r>
      <w:r w:rsidR="002A0E0D">
        <w:rPr>
          <w:szCs w:val="22"/>
        </w:rPr>
        <w:t>, and G.</w:t>
      </w:r>
      <w:r w:rsidR="00EE34D0">
        <w:rPr>
          <w:szCs w:val="22"/>
        </w:rPr>
        <w:t>21</w:t>
      </w:r>
      <w:r w:rsidR="002A0E0D">
        <w:rPr>
          <w:szCs w:val="22"/>
        </w:rPr>
        <w:t xml:space="preserve"> for website text</w:t>
      </w:r>
      <w:r>
        <w:rPr>
          <w:szCs w:val="22"/>
        </w:rPr>
        <w:t>)</w:t>
      </w:r>
      <w:r w:rsidRPr="006F668B">
        <w:rPr>
          <w:szCs w:val="22"/>
        </w:rPr>
        <w:t xml:space="preserve">. The website will provide an overview </w:t>
      </w:r>
      <w:r w:rsidRPr="006F668B">
        <w:rPr>
          <w:szCs w:val="22"/>
        </w:rPr>
        <w:lastRenderedPageBreak/>
        <w:t xml:space="preserve">of the study, responses to </w:t>
      </w:r>
      <w:r>
        <w:rPr>
          <w:szCs w:val="22"/>
        </w:rPr>
        <w:t>frequently asked questions</w:t>
      </w:r>
      <w:r w:rsidRPr="006F668B">
        <w:rPr>
          <w:szCs w:val="22"/>
        </w:rPr>
        <w:t xml:space="preserve">, and contact information for the study team (USDA FNS, Insight, Westat, and Estudios Técnicos). </w:t>
      </w:r>
    </w:p>
    <w:p w:rsidR="00F86A26" w:rsidP="00F86A26" w:rsidRDefault="00F86A26" w14:paraId="19C41C81" w14:textId="723C513D">
      <w:pPr>
        <w:pStyle w:val="Body11ptCalibri-IPR"/>
        <w:spacing w:after="240"/>
        <w:rPr>
          <w:szCs w:val="22"/>
        </w:rPr>
      </w:pPr>
      <w:bookmarkStart w:name="_Hlk94708838" w:id="43"/>
      <w:r w:rsidRPr="007A0261">
        <w:rPr>
          <w:szCs w:val="22"/>
        </w:rPr>
        <w:t>Based on the expected response rate</w:t>
      </w:r>
      <w:r w:rsidR="00E24C33">
        <w:rPr>
          <w:szCs w:val="22"/>
        </w:rPr>
        <w:t xml:space="preserve"> of 3</w:t>
      </w:r>
      <w:r w:rsidR="00D03F76">
        <w:rPr>
          <w:szCs w:val="22"/>
        </w:rPr>
        <w:t>3</w:t>
      </w:r>
      <w:r w:rsidR="00E24C33">
        <w:rPr>
          <w:szCs w:val="22"/>
        </w:rPr>
        <w:t xml:space="preserve"> percent</w:t>
      </w:r>
      <w:bookmarkEnd w:id="43"/>
      <w:r w:rsidR="00E24C33">
        <w:rPr>
          <w:szCs w:val="22"/>
        </w:rPr>
        <w:t xml:space="preserve">, </w:t>
      </w:r>
      <w:r>
        <w:rPr>
          <w:szCs w:val="22"/>
        </w:rPr>
        <w:t>it is</w:t>
      </w:r>
      <w:r w:rsidRPr="007A0261">
        <w:rPr>
          <w:szCs w:val="22"/>
        </w:rPr>
        <w:t xml:space="preserve"> anticipate</w:t>
      </w:r>
      <w:r>
        <w:rPr>
          <w:szCs w:val="22"/>
        </w:rPr>
        <w:t>d</w:t>
      </w:r>
      <w:r w:rsidRPr="007A0261">
        <w:rPr>
          <w:szCs w:val="22"/>
        </w:rPr>
        <w:t xml:space="preserve"> that among the </w:t>
      </w:r>
      <w:r w:rsidRPr="00252973">
        <w:rPr>
          <w:szCs w:val="22"/>
        </w:rPr>
        <w:t xml:space="preserve">922 completed surveys from </w:t>
      </w:r>
      <w:r>
        <w:rPr>
          <w:szCs w:val="22"/>
        </w:rPr>
        <w:t xml:space="preserve">households sampled from the </w:t>
      </w:r>
      <w:r w:rsidRPr="00252973">
        <w:rPr>
          <w:szCs w:val="22"/>
        </w:rPr>
        <w:t xml:space="preserve">NAP </w:t>
      </w:r>
      <w:r>
        <w:rPr>
          <w:szCs w:val="22"/>
        </w:rPr>
        <w:t>list</w:t>
      </w:r>
      <w:r w:rsidRPr="00252973">
        <w:rPr>
          <w:szCs w:val="22"/>
        </w:rPr>
        <w:t xml:space="preserve">, approximately </w:t>
      </w:r>
      <w:r w:rsidR="00E24C33">
        <w:rPr>
          <w:szCs w:val="22"/>
        </w:rPr>
        <w:t xml:space="preserve">871 households </w:t>
      </w:r>
      <w:r w:rsidRPr="00252973">
        <w:rPr>
          <w:szCs w:val="22"/>
        </w:rPr>
        <w:t xml:space="preserve">will complete by web or mail prior to </w:t>
      </w:r>
      <w:r>
        <w:rPr>
          <w:szCs w:val="22"/>
        </w:rPr>
        <w:t xml:space="preserve">phone </w:t>
      </w:r>
      <w:r w:rsidRPr="00252973">
        <w:rPr>
          <w:szCs w:val="22"/>
        </w:rPr>
        <w:t>follow</w:t>
      </w:r>
      <w:r>
        <w:rPr>
          <w:szCs w:val="22"/>
        </w:rPr>
        <w:t>-</w:t>
      </w:r>
      <w:r w:rsidRPr="00252973">
        <w:rPr>
          <w:szCs w:val="22"/>
        </w:rPr>
        <w:t xml:space="preserve">up of nonrespondents and </w:t>
      </w:r>
      <w:r w:rsidR="00E24C33">
        <w:rPr>
          <w:szCs w:val="22"/>
        </w:rPr>
        <w:t>51</w:t>
      </w:r>
      <w:r w:rsidRPr="00252973">
        <w:rPr>
          <w:szCs w:val="22"/>
        </w:rPr>
        <w:t xml:space="preserve"> will complete by </w:t>
      </w:r>
      <w:r w:rsidR="005B0F4F">
        <w:rPr>
          <w:szCs w:val="22"/>
        </w:rPr>
        <w:t>CATI</w:t>
      </w:r>
      <w:r w:rsidRPr="00252973">
        <w:rPr>
          <w:szCs w:val="22"/>
        </w:rPr>
        <w:t xml:space="preserve"> after follow</w:t>
      </w:r>
      <w:r>
        <w:rPr>
          <w:szCs w:val="22"/>
        </w:rPr>
        <w:t>-</w:t>
      </w:r>
      <w:r w:rsidRPr="00252973">
        <w:rPr>
          <w:szCs w:val="22"/>
        </w:rPr>
        <w:t xml:space="preserve">up. </w:t>
      </w:r>
      <w:r>
        <w:rPr>
          <w:szCs w:val="22"/>
        </w:rPr>
        <w:t>The team</w:t>
      </w:r>
      <w:r w:rsidRPr="00252973">
        <w:rPr>
          <w:szCs w:val="22"/>
        </w:rPr>
        <w:t xml:space="preserve"> anticipate</w:t>
      </w:r>
      <w:r>
        <w:rPr>
          <w:szCs w:val="22"/>
        </w:rPr>
        <w:t>s</w:t>
      </w:r>
      <w:r w:rsidRPr="00252973">
        <w:rPr>
          <w:szCs w:val="22"/>
        </w:rPr>
        <w:t xml:space="preserve"> having 2,733 completed surveys from eligible households from the area</w:t>
      </w:r>
      <w:r>
        <w:rPr>
          <w:szCs w:val="22"/>
        </w:rPr>
        <w:t xml:space="preserve"> </w:t>
      </w:r>
      <w:r w:rsidRPr="00252973">
        <w:rPr>
          <w:szCs w:val="22"/>
        </w:rPr>
        <w:t>probability frame, with approximately 91 households completing the survey by phone and the remaining 2,642</w:t>
      </w:r>
      <w:r>
        <w:rPr>
          <w:szCs w:val="22"/>
        </w:rPr>
        <w:t xml:space="preserve"> households completing the survey by web, mail, or data collector pickup. Each</w:t>
      </w:r>
      <w:r w:rsidRPr="007A0261">
        <w:rPr>
          <w:szCs w:val="22"/>
        </w:rPr>
        <w:t xml:space="preserve"> sample member </w:t>
      </w:r>
      <w:r>
        <w:rPr>
          <w:szCs w:val="22"/>
        </w:rPr>
        <w:t xml:space="preserve">will be assigned a unique study identifier </w:t>
      </w:r>
      <w:r w:rsidRPr="007A0261">
        <w:rPr>
          <w:szCs w:val="22"/>
        </w:rPr>
        <w:t>to track them across survey modes to ensure respondents complete the survey only once.</w:t>
      </w:r>
    </w:p>
    <w:p w:rsidR="009942CC" w:rsidP="009942CC" w:rsidRDefault="00ED66A2" w14:paraId="77C8A3E5" w14:textId="521AFB8A">
      <w:pPr>
        <w:pStyle w:val="BodyText-IPR"/>
        <w:spacing w:after="120" w:line="480" w:lineRule="exact"/>
        <w:rPr>
          <w:i/>
          <w:iCs/>
        </w:rPr>
      </w:pPr>
      <w:r w:rsidRPr="00D31EC9">
        <w:rPr>
          <w:b/>
          <w:bCs/>
          <w:i/>
          <w:iCs/>
        </w:rPr>
        <w:t>In-depth interviews</w:t>
      </w:r>
    </w:p>
    <w:p w:rsidR="009942CC" w:rsidP="009942CC" w:rsidRDefault="00940F21" w14:paraId="2A4BD3EB" w14:textId="4FBA8FBD">
      <w:pPr>
        <w:pStyle w:val="BodyText-IPR"/>
        <w:spacing w:line="480" w:lineRule="exact"/>
        <w:rPr>
          <w:i/>
          <w:iCs/>
        </w:rPr>
      </w:pPr>
      <w:r>
        <w:t>T</w:t>
      </w:r>
      <w:r w:rsidR="00122F77">
        <w:t xml:space="preserve">he last page of the </w:t>
      </w:r>
      <w:r w:rsidR="00F47642">
        <w:t xml:space="preserve">household </w:t>
      </w:r>
      <w:r w:rsidR="00122F77">
        <w:t xml:space="preserve">survey will invite respondents to provide their name </w:t>
      </w:r>
      <w:r w:rsidR="00FA7DE7">
        <w:t>and</w:t>
      </w:r>
      <w:r w:rsidR="00E82840">
        <w:t xml:space="preserve"> </w:t>
      </w:r>
      <w:r w:rsidR="006217FB">
        <w:t xml:space="preserve">a primary and secondary telephone number </w:t>
      </w:r>
      <w:r w:rsidR="00122F77">
        <w:t xml:space="preserve">if they are interested in participating in a one-on-one interview. </w:t>
      </w:r>
      <w:r>
        <w:t xml:space="preserve">The data collection plan for the in-depth interviews includes several strategies intended to maximize participation, starting with </w:t>
      </w:r>
      <w:r w:rsidR="00DB2221">
        <w:t>offering an incentive. If approved, t</w:t>
      </w:r>
      <w:r w:rsidR="00122F77">
        <w:t xml:space="preserve">he survey will inform respondents that </w:t>
      </w:r>
      <w:r w:rsidR="003D1289">
        <w:t xml:space="preserve">in-depth </w:t>
      </w:r>
      <w:r w:rsidR="00122F77">
        <w:t>interview</w:t>
      </w:r>
      <w:r w:rsidR="003D1289">
        <w:t xml:space="preserve"> participants</w:t>
      </w:r>
      <w:r w:rsidR="00122F77">
        <w:t xml:space="preserve"> will receive $50 </w:t>
      </w:r>
      <w:r w:rsidR="00A8431B">
        <w:t>postparticipation incentive</w:t>
      </w:r>
      <w:r w:rsidR="00CB4436">
        <w:t xml:space="preserve"> (by gift card or cash app)</w:t>
      </w:r>
      <w:r w:rsidR="00A8431B">
        <w:t xml:space="preserve"> </w:t>
      </w:r>
      <w:r w:rsidR="00122F77">
        <w:t xml:space="preserve">as a </w:t>
      </w:r>
      <w:r w:rsidR="003D1289">
        <w:t>t</w:t>
      </w:r>
      <w:r w:rsidR="00DB2221">
        <w:t>hank you for their time</w:t>
      </w:r>
      <w:r w:rsidR="00122F77">
        <w:t>.</w:t>
      </w:r>
      <w:r w:rsidR="006217FB">
        <w:t xml:space="preserve"> </w:t>
      </w:r>
      <w:r w:rsidR="00DB2221">
        <w:t>The incentive will be distributed via cash app or gift card. T</w:t>
      </w:r>
      <w:r w:rsidR="00EB1239">
        <w:t>o</w:t>
      </w:r>
      <w:r w:rsidR="006217FB">
        <w:t xml:space="preserve"> minimiz</w:t>
      </w:r>
      <w:r w:rsidR="00EB1239">
        <w:t>e</w:t>
      </w:r>
      <w:r w:rsidR="006217FB">
        <w:t xml:space="preserve"> delays between survey completion and interviewer follow-up</w:t>
      </w:r>
      <w:r w:rsidR="00DB2221">
        <w:t>, the field manager will assign cases to interviewers on a rolling basis</w:t>
      </w:r>
      <w:r w:rsidR="006217FB">
        <w:t>. All interviewers will be local Puerto Rico residents</w:t>
      </w:r>
      <w:r w:rsidR="00FA7DE7">
        <w:t>,</w:t>
      </w:r>
      <w:r w:rsidR="006217FB">
        <w:t xml:space="preserve"> and they will contact respondents using a local phone number. </w:t>
      </w:r>
      <w:r w:rsidR="0082582A">
        <w:t>When trying to schedule an interview, they</w:t>
      </w:r>
      <w:r w:rsidR="00DB2221">
        <w:t xml:space="preserve"> will </w:t>
      </w:r>
      <w:r w:rsidR="0082582A">
        <w:t xml:space="preserve">ask potential participants to suggest a convenient time and location. </w:t>
      </w:r>
      <w:r w:rsidR="00E82840">
        <w:t xml:space="preserve">If recruitment from the survey respondent sample does not yield 144 completed interviews, </w:t>
      </w:r>
      <w:r w:rsidR="00FA7DE7">
        <w:t xml:space="preserve">the study team </w:t>
      </w:r>
      <w:r w:rsidR="00E82840">
        <w:t xml:space="preserve">will implement a </w:t>
      </w:r>
      <w:r w:rsidR="006217FB">
        <w:t xml:space="preserve">backup </w:t>
      </w:r>
      <w:r w:rsidR="00E82840">
        <w:t xml:space="preserve">recruitment </w:t>
      </w:r>
      <w:r w:rsidR="006217FB">
        <w:t>plan</w:t>
      </w:r>
      <w:r w:rsidR="00E82840">
        <w:t xml:space="preserve">. Specifically, </w:t>
      </w:r>
      <w:r w:rsidR="00FA7DE7">
        <w:t xml:space="preserve">the team </w:t>
      </w:r>
      <w:r w:rsidR="006217FB">
        <w:t xml:space="preserve">will develop a study announcement </w:t>
      </w:r>
      <w:r w:rsidR="00E82840">
        <w:t xml:space="preserve">for dissemination by </w:t>
      </w:r>
      <w:r w:rsidR="00FA7DE7">
        <w:t xml:space="preserve">the team’s </w:t>
      </w:r>
      <w:r w:rsidR="00E82840">
        <w:t>data collection partner in Puerto Rico or by trusted local community partners that serve the target population</w:t>
      </w:r>
      <w:r w:rsidR="00C274DD">
        <w:t xml:space="preserve"> (see Appendix </w:t>
      </w:r>
      <w:r w:rsidR="002A0E0D">
        <w:t>I</w:t>
      </w:r>
      <w:r w:rsidR="00C274DD">
        <w:t>.</w:t>
      </w:r>
      <w:r w:rsidR="00EE34D0">
        <w:t>3</w:t>
      </w:r>
      <w:r w:rsidR="002A0E0D">
        <w:t xml:space="preserve"> and I.</w:t>
      </w:r>
      <w:r w:rsidR="00EE34D0">
        <w:t>6</w:t>
      </w:r>
      <w:r w:rsidR="00C274DD">
        <w:t>)</w:t>
      </w:r>
      <w:r w:rsidR="00E82840">
        <w:t xml:space="preserve">. </w:t>
      </w:r>
      <w:r w:rsidR="006217FB">
        <w:t xml:space="preserve">The announcement will provide general information about the interview </w:t>
      </w:r>
      <w:r w:rsidR="006217FB">
        <w:lastRenderedPageBreak/>
        <w:t xml:space="preserve">topics and the participants </w:t>
      </w:r>
      <w:r w:rsidR="00FA7DE7">
        <w:t>the study is</w:t>
      </w:r>
      <w:r w:rsidR="006217FB">
        <w:t xml:space="preserve"> seeking, plus a toll-free number individuals can call if they are interested in participating. Interviewers will answer calls to the toll-free number and use a screening script to determine whether a caller belongs to one of the subgroups </w:t>
      </w:r>
      <w:r w:rsidR="00FA7DE7">
        <w:t>being</w:t>
      </w:r>
      <w:r w:rsidR="006217FB">
        <w:t xml:space="preserve"> recruit</w:t>
      </w:r>
      <w:r w:rsidR="00FA7DE7">
        <w:t>ed</w:t>
      </w:r>
      <w:r>
        <w:t xml:space="preserve"> (see Appendix </w:t>
      </w:r>
      <w:r w:rsidR="002A0E0D">
        <w:t>I</w:t>
      </w:r>
      <w:r>
        <w:t>.</w:t>
      </w:r>
      <w:r w:rsidR="00EE34D0">
        <w:t>2</w:t>
      </w:r>
      <w:r w:rsidR="002A0E0D">
        <w:t xml:space="preserve"> and I.</w:t>
      </w:r>
      <w:r w:rsidR="00EE34D0">
        <w:t>5</w:t>
      </w:r>
      <w:r>
        <w:t>)</w:t>
      </w:r>
      <w:r w:rsidR="006217FB">
        <w:t xml:space="preserve">. </w:t>
      </w:r>
    </w:p>
    <w:p w:rsidR="009942CC" w:rsidP="00960E81" w:rsidRDefault="00ED66A2" w14:paraId="35EBB29A" w14:textId="77777777">
      <w:pPr>
        <w:pStyle w:val="BodyText-IPR"/>
        <w:keepNext/>
        <w:spacing w:after="120" w:line="480" w:lineRule="exact"/>
        <w:rPr>
          <w:i/>
          <w:iCs/>
        </w:rPr>
      </w:pPr>
      <w:r w:rsidRPr="00D31EC9">
        <w:rPr>
          <w:b/>
          <w:bCs/>
          <w:i/>
          <w:iCs/>
        </w:rPr>
        <w:t>Concept</w:t>
      </w:r>
      <w:r w:rsidRPr="00D31EC9" w:rsidR="00286321">
        <w:rPr>
          <w:b/>
          <w:bCs/>
          <w:i/>
          <w:iCs/>
        </w:rPr>
        <w:t>-</w:t>
      </w:r>
      <w:r w:rsidRPr="00D31EC9">
        <w:rPr>
          <w:b/>
          <w:bCs/>
          <w:i/>
          <w:iCs/>
        </w:rPr>
        <w:t>mapping task</w:t>
      </w:r>
    </w:p>
    <w:p w:rsidR="009942CC" w:rsidP="00960E81" w:rsidRDefault="00FA7DE7" w14:paraId="330C5C5D" w14:textId="11769176">
      <w:pPr>
        <w:pStyle w:val="BodyText-IPR"/>
        <w:spacing w:after="360" w:line="480" w:lineRule="exact"/>
        <w:rPr>
          <w:i/>
          <w:iCs/>
        </w:rPr>
      </w:pPr>
      <w:r>
        <w:t>The study team does</w:t>
      </w:r>
      <w:r w:rsidR="00E82840">
        <w:t xml:space="preserve"> not anticipate any challenges related to recruiting stakeholders for the concept</w:t>
      </w:r>
      <w:r>
        <w:t>-</w:t>
      </w:r>
      <w:r w:rsidR="00E82840">
        <w:t xml:space="preserve">mapping </w:t>
      </w:r>
      <w:r w:rsidR="00B258BC">
        <w:t>task</w:t>
      </w:r>
      <w:r>
        <w:t xml:space="preserve"> because the team</w:t>
      </w:r>
      <w:r w:rsidR="00B258BC">
        <w:t xml:space="preserve"> plan</w:t>
      </w:r>
      <w:r>
        <w:t>s</w:t>
      </w:r>
      <w:r w:rsidR="00B258BC">
        <w:t xml:space="preserve"> to invite participants who are invested in the issues and have been </w:t>
      </w:r>
      <w:r w:rsidRPr="00C146F6" w:rsidR="00B258BC">
        <w:t xml:space="preserve">recommended by </w:t>
      </w:r>
      <w:r w:rsidR="00974B84">
        <w:t xml:space="preserve">FNS or </w:t>
      </w:r>
      <w:r w:rsidRPr="00C146F6" w:rsidR="00B258BC">
        <w:t xml:space="preserve">members of the </w:t>
      </w:r>
      <w:r w:rsidRPr="00C146F6" w:rsidR="00ED66A2">
        <w:t>TWG</w:t>
      </w:r>
      <w:r w:rsidRPr="00C146F6" w:rsidR="00B258BC">
        <w:t>.</w:t>
      </w:r>
      <w:r w:rsidRPr="00C146F6" w:rsidR="00B8382B">
        <w:t xml:space="preserve"> A $50 honorarium</w:t>
      </w:r>
      <w:r w:rsidR="006963F1">
        <w:t xml:space="preserve"> (paid by check)</w:t>
      </w:r>
      <w:r w:rsidRPr="00C146F6" w:rsidR="00B8382B">
        <w:t xml:space="preserve"> per meeting will be offered to concept</w:t>
      </w:r>
      <w:r w:rsidR="00286321">
        <w:t>-</w:t>
      </w:r>
      <w:r w:rsidRPr="00C146F6" w:rsidR="00B8382B">
        <w:t>mapping participants</w:t>
      </w:r>
      <w:r w:rsidR="00974B84">
        <w:t>.</w:t>
      </w:r>
      <w:r w:rsidR="003A1F81">
        <w:t xml:space="preserve"> </w:t>
      </w:r>
      <w:r w:rsidR="00B8382B">
        <w:t xml:space="preserve"> </w:t>
      </w:r>
    </w:p>
    <w:p w:rsidRPr="00145F19" w:rsidR="00694A49" w:rsidP="008B3A10" w:rsidRDefault="00694A49" w14:paraId="62E01FF1" w14:textId="7FCD13D5">
      <w:pPr>
        <w:pStyle w:val="Heading4NoLetter-IPR"/>
      </w:pPr>
      <w:r>
        <w:t>B.3.2</w:t>
      </w:r>
      <w:r w:rsidR="005F44AE">
        <w:t>.</w:t>
      </w:r>
      <w:r>
        <w:tab/>
        <w:t>Nonresponse Bias Analysis</w:t>
      </w:r>
    </w:p>
    <w:p w:rsidRPr="009D77E0" w:rsidR="00694A49" w:rsidP="00694A49" w:rsidRDefault="00083D7F" w14:paraId="4B365C42" w14:textId="207FC6E7">
      <w:pPr>
        <w:pStyle w:val="Body11ptCalibri-IPR"/>
        <w:spacing w:after="240"/>
        <w:rPr>
          <w:szCs w:val="22"/>
        </w:rPr>
      </w:pPr>
      <w:r>
        <w:rPr>
          <w:szCs w:val="22"/>
        </w:rPr>
        <w:t xml:space="preserve">The study team </w:t>
      </w:r>
      <w:r w:rsidRPr="009D77E0" w:rsidR="00694A49">
        <w:rPr>
          <w:szCs w:val="22"/>
        </w:rPr>
        <w:t>will conduct a nonresponse</w:t>
      </w:r>
      <w:r w:rsidR="00694A49">
        <w:rPr>
          <w:szCs w:val="22"/>
        </w:rPr>
        <w:t xml:space="preserve"> </w:t>
      </w:r>
      <w:r w:rsidRPr="009D77E0" w:rsidR="00694A49">
        <w:rPr>
          <w:szCs w:val="22"/>
        </w:rPr>
        <w:t xml:space="preserve">bias analysis to evaluate the potential impact of nonresponse on the survey estimates and the effectiveness of the weight adjustments in </w:t>
      </w:r>
      <w:r w:rsidR="00ED0309">
        <w:rPr>
          <w:szCs w:val="22"/>
        </w:rPr>
        <w:t>reducing</w:t>
      </w:r>
      <w:r w:rsidRPr="009D77E0" w:rsidR="00ED0309">
        <w:rPr>
          <w:szCs w:val="22"/>
        </w:rPr>
        <w:t xml:space="preserve"> </w:t>
      </w:r>
      <w:r w:rsidRPr="009D77E0" w:rsidR="00694A49">
        <w:rPr>
          <w:szCs w:val="22"/>
        </w:rPr>
        <w:t xml:space="preserve">potential nonresponse biases. </w:t>
      </w:r>
    </w:p>
    <w:p w:rsidRPr="009D77E0" w:rsidR="00694A49" w:rsidP="00694A49" w:rsidRDefault="00083D7F" w14:paraId="7F7E258B" w14:textId="555C5BA5">
      <w:pPr>
        <w:pStyle w:val="Body11ptCalibri-IPR"/>
        <w:spacing w:after="240"/>
        <w:rPr>
          <w:szCs w:val="22"/>
        </w:rPr>
      </w:pPr>
      <w:r>
        <w:rPr>
          <w:szCs w:val="22"/>
        </w:rPr>
        <w:t xml:space="preserve">The team </w:t>
      </w:r>
      <w:r w:rsidRPr="009D77E0" w:rsidR="00694A49">
        <w:rPr>
          <w:szCs w:val="22"/>
        </w:rPr>
        <w:t xml:space="preserve">will benchmark the survey estimates to external totals </w:t>
      </w:r>
      <w:r w:rsidR="00694A49">
        <w:rPr>
          <w:szCs w:val="22"/>
        </w:rPr>
        <w:t xml:space="preserve">for demographics </w:t>
      </w:r>
      <w:r w:rsidRPr="009D77E0" w:rsidR="00694A49">
        <w:rPr>
          <w:szCs w:val="22"/>
        </w:rPr>
        <w:t>and other key variables of interest, such as measures of poverty</w:t>
      </w:r>
      <w:r w:rsidR="00694A49">
        <w:rPr>
          <w:szCs w:val="22"/>
        </w:rPr>
        <w:t xml:space="preserve">. </w:t>
      </w:r>
      <w:r>
        <w:rPr>
          <w:szCs w:val="22"/>
        </w:rPr>
        <w:t>T</w:t>
      </w:r>
      <w:r w:rsidRPr="009D77E0" w:rsidR="00694A49">
        <w:rPr>
          <w:szCs w:val="22"/>
        </w:rPr>
        <w:t xml:space="preserve">he most recent ACS 5-year </w:t>
      </w:r>
      <w:r w:rsidR="00694A49">
        <w:rPr>
          <w:szCs w:val="22"/>
        </w:rPr>
        <w:t xml:space="preserve">estimates </w:t>
      </w:r>
      <w:r>
        <w:rPr>
          <w:szCs w:val="22"/>
        </w:rPr>
        <w:t xml:space="preserve">will be used </w:t>
      </w:r>
      <w:r w:rsidR="00694A49">
        <w:rPr>
          <w:szCs w:val="22"/>
        </w:rPr>
        <w:t>as the external source</w:t>
      </w:r>
      <w:r w:rsidRPr="009D77E0" w:rsidR="00694A49">
        <w:rPr>
          <w:szCs w:val="22"/>
        </w:rPr>
        <w:t xml:space="preserve">. </w:t>
      </w:r>
      <w:r>
        <w:rPr>
          <w:szCs w:val="22"/>
        </w:rPr>
        <w:t>The study team</w:t>
      </w:r>
      <w:r w:rsidR="00694A49">
        <w:rPr>
          <w:szCs w:val="22"/>
        </w:rPr>
        <w:t xml:space="preserve"> will compare w</w:t>
      </w:r>
      <w:r w:rsidRPr="009D77E0" w:rsidR="00694A49">
        <w:rPr>
          <w:szCs w:val="22"/>
        </w:rPr>
        <w:t>eighted survey estimates</w:t>
      </w:r>
      <w:r w:rsidR="00694A49">
        <w:rPr>
          <w:szCs w:val="22"/>
        </w:rPr>
        <w:t xml:space="preserve"> (based on the final raked weights)</w:t>
      </w:r>
      <w:r w:rsidRPr="009D77E0" w:rsidR="00694A49">
        <w:rPr>
          <w:szCs w:val="22"/>
        </w:rPr>
        <w:t xml:space="preserve"> with estimates from the ACS</w:t>
      </w:r>
      <w:r w:rsidR="00694A49">
        <w:rPr>
          <w:szCs w:val="22"/>
        </w:rPr>
        <w:t xml:space="preserve">. </w:t>
      </w:r>
      <w:r w:rsidRPr="009D77E0" w:rsidR="00694A49">
        <w:rPr>
          <w:szCs w:val="22"/>
        </w:rPr>
        <w:t xml:space="preserve">For characteristics used in raking, </w:t>
      </w:r>
      <w:r>
        <w:rPr>
          <w:szCs w:val="22"/>
        </w:rPr>
        <w:t xml:space="preserve">the team </w:t>
      </w:r>
      <w:r w:rsidR="00694A49">
        <w:rPr>
          <w:szCs w:val="22"/>
        </w:rPr>
        <w:t xml:space="preserve">will use </w:t>
      </w:r>
      <w:r w:rsidRPr="009D77E0" w:rsidR="00694A49">
        <w:rPr>
          <w:szCs w:val="22"/>
        </w:rPr>
        <w:t xml:space="preserve">the adjusted weights without the raking adjustment in this comparison. For </w:t>
      </w:r>
      <w:r w:rsidR="00694A49">
        <w:rPr>
          <w:szCs w:val="22"/>
        </w:rPr>
        <w:t>this benchmarking analysis</w:t>
      </w:r>
      <w:r w:rsidRPr="009D77E0" w:rsidR="00694A49">
        <w:rPr>
          <w:szCs w:val="22"/>
        </w:rPr>
        <w:t xml:space="preserve">, </w:t>
      </w:r>
      <w:r>
        <w:rPr>
          <w:szCs w:val="22"/>
        </w:rPr>
        <w:t>the team</w:t>
      </w:r>
      <w:r w:rsidRPr="009D77E0" w:rsidR="00694A49">
        <w:rPr>
          <w:szCs w:val="22"/>
        </w:rPr>
        <w:t xml:space="preserve"> will produce tables that include the weighted estimates, standard errors, 95</w:t>
      </w:r>
      <w:r>
        <w:rPr>
          <w:szCs w:val="22"/>
        </w:rPr>
        <w:t xml:space="preserve"> </w:t>
      </w:r>
      <w:r w:rsidRPr="009D77E0" w:rsidR="00694A49">
        <w:rPr>
          <w:szCs w:val="22"/>
        </w:rPr>
        <w:t>percent confidence intervals, and the estimates from the ACS.</w:t>
      </w:r>
    </w:p>
    <w:p w:rsidRPr="009D77E0" w:rsidR="00694A49" w:rsidP="00694A49" w:rsidRDefault="00694A49" w14:paraId="25732FF9" w14:textId="3221E300">
      <w:pPr>
        <w:pStyle w:val="Body11ptCalibri-IPR"/>
        <w:spacing w:after="240"/>
        <w:rPr>
          <w:szCs w:val="22"/>
        </w:rPr>
      </w:pPr>
      <w:r w:rsidRPr="009D77E0">
        <w:rPr>
          <w:szCs w:val="22"/>
        </w:rPr>
        <w:t xml:space="preserve">Next, </w:t>
      </w:r>
      <w:r w:rsidR="00083D7F">
        <w:rPr>
          <w:szCs w:val="22"/>
        </w:rPr>
        <w:t>the study team</w:t>
      </w:r>
      <w:r w:rsidRPr="009D77E0">
        <w:rPr>
          <w:szCs w:val="22"/>
        </w:rPr>
        <w:t xml:space="preserve"> will evaluate differences found in comparisons between weighted estimates (using the final survey weight) of responding NAP participants (from both samples, combined) and totals from the full NAP participant list for frame characteristics of interest, chosen in consultation with FNS (e.g., presence of </w:t>
      </w:r>
      <w:r w:rsidR="00083D7F">
        <w:rPr>
          <w:szCs w:val="22"/>
        </w:rPr>
        <w:t>an older</w:t>
      </w:r>
      <w:r w:rsidRPr="009D77E0">
        <w:rPr>
          <w:szCs w:val="22"/>
        </w:rPr>
        <w:t xml:space="preserve"> person in household, highest educational attainment in household, whether </w:t>
      </w:r>
      <w:r w:rsidRPr="009D77E0">
        <w:rPr>
          <w:szCs w:val="22"/>
        </w:rPr>
        <w:lastRenderedPageBreak/>
        <w:t>anyone in househol</w:t>
      </w:r>
      <w:r>
        <w:rPr>
          <w:szCs w:val="22"/>
        </w:rPr>
        <w:t>d is employed, household income),</w:t>
      </w:r>
      <w:r w:rsidRPr="009D77E0">
        <w:rPr>
          <w:szCs w:val="22"/>
        </w:rPr>
        <w:t xml:space="preserve"> depending on the availability of such characterist</w:t>
      </w:r>
      <w:r>
        <w:rPr>
          <w:szCs w:val="22"/>
        </w:rPr>
        <w:t>ics on the NAP participant list</w:t>
      </w:r>
      <w:r w:rsidRPr="009D77E0">
        <w:rPr>
          <w:szCs w:val="22"/>
        </w:rPr>
        <w:t xml:space="preserve">. For each comparison, </w:t>
      </w:r>
      <w:r w:rsidR="00083D7F">
        <w:rPr>
          <w:szCs w:val="22"/>
        </w:rPr>
        <w:t>the study team</w:t>
      </w:r>
      <w:r w:rsidRPr="009D77E0">
        <w:rPr>
          <w:szCs w:val="22"/>
        </w:rPr>
        <w:t xml:space="preserve"> will produce </w:t>
      </w:r>
      <w:r w:rsidRPr="00040E67">
        <w:rPr>
          <w:i/>
          <w:iCs/>
          <w:szCs w:val="22"/>
        </w:rPr>
        <w:t>t</w:t>
      </w:r>
      <w:r w:rsidRPr="009D77E0">
        <w:rPr>
          <w:szCs w:val="22"/>
        </w:rPr>
        <w:t xml:space="preserve">-tests and resulting </w:t>
      </w:r>
      <w:r w:rsidRPr="00040E67">
        <w:rPr>
          <w:i/>
          <w:iCs/>
          <w:szCs w:val="22"/>
        </w:rPr>
        <w:t>p</w:t>
      </w:r>
      <w:r w:rsidRPr="009D77E0">
        <w:rPr>
          <w:szCs w:val="22"/>
        </w:rPr>
        <w:t>-values.</w:t>
      </w:r>
    </w:p>
    <w:p w:rsidR="00694A49" w:rsidP="00694A49" w:rsidRDefault="00694A49" w14:paraId="4F041B47" w14:textId="6ABE40A5">
      <w:pPr>
        <w:pStyle w:val="Body11ptCalibri-IPR"/>
        <w:spacing w:after="240"/>
        <w:rPr>
          <w:szCs w:val="22"/>
        </w:rPr>
      </w:pPr>
      <w:r w:rsidRPr="009D77E0">
        <w:rPr>
          <w:szCs w:val="22"/>
        </w:rPr>
        <w:t xml:space="preserve">Last, </w:t>
      </w:r>
      <w:r w:rsidR="00083D7F">
        <w:rPr>
          <w:szCs w:val="22"/>
        </w:rPr>
        <w:t>the team will</w:t>
      </w:r>
      <w:r w:rsidRPr="009D77E0">
        <w:rPr>
          <w:szCs w:val="22"/>
        </w:rPr>
        <w:t xml:space="preserve"> compare estimates of survey outcomes of respondents (e.g., food insecurity) using the base weight with the compositing adjustment </w:t>
      </w:r>
      <w:r w:rsidR="00393BDF">
        <w:rPr>
          <w:szCs w:val="22"/>
        </w:rPr>
        <w:t>and</w:t>
      </w:r>
      <w:r w:rsidRPr="009D77E0" w:rsidR="00393BDF">
        <w:rPr>
          <w:szCs w:val="22"/>
        </w:rPr>
        <w:t xml:space="preserve"> </w:t>
      </w:r>
      <w:r w:rsidRPr="009D77E0">
        <w:rPr>
          <w:szCs w:val="22"/>
        </w:rPr>
        <w:t xml:space="preserve">fully weighted estimates of those same survey outcomes. This </w:t>
      </w:r>
      <w:r w:rsidR="00083D7F">
        <w:rPr>
          <w:szCs w:val="22"/>
        </w:rPr>
        <w:t xml:space="preserve">process </w:t>
      </w:r>
      <w:r w:rsidRPr="009D77E0">
        <w:rPr>
          <w:szCs w:val="22"/>
        </w:rPr>
        <w:t xml:space="preserve">provides an alternative way of assessing how nonresponse may have affected the distribution of the respondent sample and, therefore, may potentially affect the sample-based estimates. </w:t>
      </w:r>
      <w:r w:rsidR="00083D7F">
        <w:rPr>
          <w:szCs w:val="22"/>
        </w:rPr>
        <w:t xml:space="preserve">The team </w:t>
      </w:r>
      <w:r w:rsidRPr="009D77E0">
        <w:rPr>
          <w:szCs w:val="22"/>
        </w:rPr>
        <w:t xml:space="preserve">will produce </w:t>
      </w:r>
      <w:r w:rsidRPr="008B3A10">
        <w:rPr>
          <w:i/>
          <w:iCs/>
          <w:szCs w:val="22"/>
        </w:rPr>
        <w:t>t</w:t>
      </w:r>
      <w:r w:rsidRPr="009D77E0">
        <w:rPr>
          <w:szCs w:val="22"/>
        </w:rPr>
        <w:t xml:space="preserve">-test statistics and associated </w:t>
      </w:r>
      <w:r w:rsidRPr="008B3A10">
        <w:rPr>
          <w:i/>
          <w:iCs/>
          <w:szCs w:val="22"/>
        </w:rPr>
        <w:t>p</w:t>
      </w:r>
      <w:r w:rsidRPr="009D77E0">
        <w:rPr>
          <w:szCs w:val="22"/>
        </w:rPr>
        <w:t xml:space="preserve">-values for differences in estimates before and after weighting adjustments. </w:t>
      </w:r>
    </w:p>
    <w:p w:rsidR="00714F7A" w:rsidP="00694A49" w:rsidRDefault="00694A49" w14:paraId="3E471FF7" w14:textId="663D3F6C">
      <w:pPr>
        <w:pStyle w:val="Body11ptCalibri-IPR"/>
        <w:spacing w:after="240"/>
        <w:rPr>
          <w:szCs w:val="22"/>
        </w:rPr>
      </w:pPr>
      <w:r>
        <w:rPr>
          <w:szCs w:val="22"/>
        </w:rPr>
        <w:t>In addition to nonresponse bias analysis,</w:t>
      </w:r>
      <w:r w:rsidR="00083D7F">
        <w:rPr>
          <w:szCs w:val="22"/>
        </w:rPr>
        <w:t xml:space="preserve"> the study team</w:t>
      </w:r>
      <w:r w:rsidRPr="006F668B">
        <w:rPr>
          <w:szCs w:val="22"/>
        </w:rPr>
        <w:t xml:space="preserve"> will </w:t>
      </w:r>
      <w:r>
        <w:rPr>
          <w:szCs w:val="22"/>
        </w:rPr>
        <w:t>consider using imputation techniques</w:t>
      </w:r>
      <w:r w:rsidRPr="006F668B">
        <w:rPr>
          <w:szCs w:val="22"/>
        </w:rPr>
        <w:t xml:space="preserve"> to</w:t>
      </w:r>
      <w:r>
        <w:rPr>
          <w:szCs w:val="22"/>
        </w:rPr>
        <w:t xml:space="preserve"> possibly reduce nonresponse bias by</w:t>
      </w:r>
      <w:r w:rsidRPr="006F668B">
        <w:rPr>
          <w:szCs w:val="22"/>
        </w:rPr>
        <w:t xml:space="preserve"> fill</w:t>
      </w:r>
      <w:r>
        <w:rPr>
          <w:szCs w:val="22"/>
        </w:rPr>
        <w:t>ing</w:t>
      </w:r>
      <w:r w:rsidRPr="006F668B">
        <w:rPr>
          <w:szCs w:val="22"/>
        </w:rPr>
        <w:t xml:space="preserve"> in missing data</w:t>
      </w:r>
      <w:r>
        <w:rPr>
          <w:szCs w:val="22"/>
        </w:rPr>
        <w:t xml:space="preserve"> </w:t>
      </w:r>
      <w:r w:rsidRPr="006F668B">
        <w:rPr>
          <w:szCs w:val="22"/>
        </w:rPr>
        <w:t>for secondary variables</w:t>
      </w:r>
      <w:r>
        <w:rPr>
          <w:szCs w:val="22"/>
        </w:rPr>
        <w:t xml:space="preserve">. </w:t>
      </w:r>
      <w:r w:rsidR="00083D7F">
        <w:rPr>
          <w:szCs w:val="22"/>
        </w:rPr>
        <w:t>M</w:t>
      </w:r>
      <w:r w:rsidRPr="006F668B">
        <w:rPr>
          <w:szCs w:val="22"/>
        </w:rPr>
        <w:t>issing data on outcome variables</w:t>
      </w:r>
      <w:r>
        <w:rPr>
          <w:szCs w:val="22"/>
        </w:rPr>
        <w:t xml:space="preserve"> and key variables of interest</w:t>
      </w:r>
      <w:r w:rsidR="00083D7F">
        <w:rPr>
          <w:szCs w:val="22"/>
        </w:rPr>
        <w:t xml:space="preserve"> will not be imputed</w:t>
      </w:r>
      <w:r>
        <w:rPr>
          <w:szCs w:val="22"/>
        </w:rPr>
        <w:t>.</w:t>
      </w:r>
      <w:r w:rsidRPr="006F668B">
        <w:rPr>
          <w:szCs w:val="22"/>
        </w:rPr>
        <w:t xml:space="preserve"> Imputation is widely used to fill in item nonresponse in survey datasets because it makes analysis more consistent, avoids large biases in estimates of totals, and can reduce nonresponse bias in other types of estimates in some circumstances. Eliminating missing data by imputation also </w:t>
      </w:r>
      <w:r w:rsidR="00083D7F">
        <w:rPr>
          <w:szCs w:val="22"/>
        </w:rPr>
        <w:t>enables</w:t>
      </w:r>
      <w:r w:rsidRPr="006F668B" w:rsidR="00083D7F">
        <w:rPr>
          <w:szCs w:val="22"/>
        </w:rPr>
        <w:t xml:space="preserve"> </w:t>
      </w:r>
      <w:r w:rsidRPr="006F668B">
        <w:rPr>
          <w:szCs w:val="22"/>
        </w:rPr>
        <w:t>analysts to include all cases when conducting multivariate analyses.</w:t>
      </w:r>
      <w:r>
        <w:rPr>
          <w:szCs w:val="22"/>
        </w:rPr>
        <w:t xml:space="preserve"> </w:t>
      </w:r>
      <w:r w:rsidRPr="006F668B">
        <w:rPr>
          <w:szCs w:val="22"/>
        </w:rPr>
        <w:t xml:space="preserve">The general approach involved in imputation is to use the information available for a record to assign values for the record’s missing items. </w:t>
      </w:r>
    </w:p>
    <w:p w:rsidRPr="00B62368" w:rsidR="00694A49" w:rsidP="00960E81" w:rsidRDefault="00694A49" w14:paraId="199CD315" w14:textId="77777777">
      <w:pPr>
        <w:pStyle w:val="Hdng3-IPR"/>
        <w:spacing w:before="360"/>
      </w:pPr>
      <w:bookmarkStart w:name="_Toc514142004" w:id="44"/>
      <w:bookmarkStart w:name="_Toc14464751" w:id="45"/>
      <w:bookmarkEnd w:id="42"/>
      <w:r w:rsidRPr="00B62368">
        <w:t>Tests of Procedures</w:t>
      </w:r>
      <w:bookmarkEnd w:id="44"/>
      <w:bookmarkEnd w:id="45"/>
    </w:p>
    <w:p w:rsidRPr="00B62368" w:rsidR="00694A49" w:rsidP="00694A49" w:rsidRDefault="00694A49" w14:paraId="305A880C" w14:textId="77777777">
      <w:pPr>
        <w:pStyle w:val="Hdng4Calibri-IPR"/>
        <w:spacing w:after="120"/>
        <w:rPr>
          <w:rFonts w:ascii="Candara" w:hAnsi="Candara"/>
          <w:sz w:val="22"/>
        </w:rPr>
      </w:pPr>
      <w:r w:rsidRPr="00B62368">
        <w:rPr>
          <w:rFonts w:ascii="Candara" w:hAnsi="Candara"/>
          <w:sz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E24C33" w:rsidP="00694A49" w:rsidRDefault="00DA49F9" w14:paraId="3F54DD4A" w14:textId="36364C13">
      <w:pPr>
        <w:pStyle w:val="Body11ptCalibri-IPR"/>
        <w:spacing w:after="240"/>
      </w:pPr>
      <w:bookmarkStart w:name="_Toc430003427" w:id="46"/>
      <w:r>
        <w:t>The household survey</w:t>
      </w:r>
      <w:r w:rsidR="00166B83">
        <w:t xml:space="preserve"> was </w:t>
      </w:r>
      <w:r w:rsidRPr="00166B83" w:rsidR="00166B83">
        <w:t xml:space="preserve">pretested with 8 </w:t>
      </w:r>
      <w:r w:rsidR="00166B83">
        <w:t xml:space="preserve">low-income </w:t>
      </w:r>
      <w:r w:rsidR="00166B83">
        <w:t>respondents</w:t>
      </w:r>
      <w:r w:rsidR="00166B83">
        <w:t xml:space="preserve"> in Puerto Rico</w:t>
      </w:r>
      <w:r w:rsidRPr="00166B83" w:rsidR="00166B83">
        <w:t xml:space="preserve"> </w:t>
      </w:r>
      <w:r w:rsidRPr="00166B83" w:rsidR="00166B83">
        <w:t xml:space="preserve">(Appendix O, </w:t>
      </w:r>
      <w:r w:rsidR="00166B83">
        <w:t>T</w:t>
      </w:r>
      <w:r w:rsidRPr="00166B83" w:rsidR="00166B83">
        <w:t>able 2)</w:t>
      </w:r>
      <w:r w:rsidR="00166B83">
        <w:t xml:space="preserve">, and the </w:t>
      </w:r>
      <w:r w:rsidRPr="00166B83" w:rsidR="00166B83">
        <w:t>interview guide</w:t>
      </w:r>
      <w:r w:rsidR="00166B83">
        <w:t>,</w:t>
      </w:r>
      <w:r w:rsidRPr="00166B83" w:rsidR="00166B83">
        <w:t xml:space="preserve"> using completely different questions</w:t>
      </w:r>
      <w:r w:rsidR="00166B83">
        <w:t>,</w:t>
      </w:r>
      <w:r w:rsidRPr="00166B83" w:rsidR="00166B83">
        <w:t xml:space="preserve"> </w:t>
      </w:r>
      <w:r w:rsidR="00166B83">
        <w:t xml:space="preserve">was </w:t>
      </w:r>
      <w:r w:rsidRPr="00166B83" w:rsidR="00166B83">
        <w:t>pretested</w:t>
      </w:r>
      <w:r w:rsidR="00166B83">
        <w:t xml:space="preserve"> with</w:t>
      </w:r>
      <w:r w:rsidRPr="00166B83" w:rsidR="00166B83">
        <w:t xml:space="preserve"> 9 </w:t>
      </w:r>
      <w:r w:rsidR="00166B83">
        <w:t>respondents</w:t>
      </w:r>
      <w:r w:rsidRPr="00166B83" w:rsidR="00166B83">
        <w:t xml:space="preserve"> (Appendix O, </w:t>
      </w:r>
      <w:r w:rsidR="00166B83">
        <w:t>T</w:t>
      </w:r>
      <w:r w:rsidRPr="00166B83" w:rsidR="00166B83">
        <w:t xml:space="preserve">able 3). This is consistent with OIRA guidance on this topic. </w:t>
      </w:r>
      <w:r w:rsidR="00E24C33">
        <w:t xml:space="preserve">The overarching objective of the pretest was </w:t>
      </w:r>
      <w:r w:rsidRPr="00B62368" w:rsidR="00694A49">
        <w:t>to</w:t>
      </w:r>
      <w:r w:rsidR="00E24C33">
        <w:t xml:space="preserve"> ensure</w:t>
      </w:r>
      <w:r w:rsidRPr="00B62368" w:rsidR="00694A49">
        <w:t xml:space="preserve"> </w:t>
      </w:r>
      <w:r w:rsidR="00E24C33">
        <w:t xml:space="preserve">the instruments were clear and understandable to respondents. Specific </w:t>
      </w:r>
      <w:r w:rsidR="00E24C33">
        <w:lastRenderedPageBreak/>
        <w:t>pretest objectives for both instruments were to (1) identify problems related to communicating the intent or meaning of questions; (2) ensure the Spanish translation conveys the intended meaning; (3) determine whether respondents can accurately provide the information requested; and (4) evaluate the flow, question order, and respondent burden in terms of the number of questions and recall of difficult events such as natural disasters. The survey pretest also sought to assess the response options for relevance and adequate range of response options; identify problems with introductions, instructions, or explanations; and assess the cultural relevance of the questions.</w:t>
      </w:r>
    </w:p>
    <w:p w:rsidRPr="00140DA6" w:rsidR="00694A49" w:rsidP="002A0BC3" w:rsidRDefault="00DC1EEB" w14:paraId="33E1099F" w14:textId="19B89F78">
      <w:pPr>
        <w:pStyle w:val="Body11ptCalibri-IPR"/>
        <w:spacing w:after="240"/>
      </w:pPr>
      <w:bookmarkStart w:name="_Hlk59621240" w:id="47"/>
      <w:r w:rsidRPr="00585F68">
        <w:t>As a result of the</w:t>
      </w:r>
      <w:r>
        <w:t xml:space="preserve"> survey</w:t>
      </w:r>
      <w:r w:rsidRPr="00585F68">
        <w:t xml:space="preserve"> pretest, </w:t>
      </w:r>
      <w:r>
        <w:t xml:space="preserve">the team made several revisions to the </w:t>
      </w:r>
      <w:r w:rsidR="00FB1529">
        <w:t xml:space="preserve">survey including </w:t>
      </w:r>
      <w:r w:rsidR="00140DA6">
        <w:t xml:space="preserve">adjusting examples and clarifying skip patterns or instructions. </w:t>
      </w:r>
      <w:r w:rsidRPr="00585F68" w:rsidR="00000B9B">
        <w:t xml:space="preserve">The </w:t>
      </w:r>
      <w:r w:rsidR="00000B9B">
        <w:t xml:space="preserve">survey </w:t>
      </w:r>
      <w:r w:rsidRPr="00585F68" w:rsidR="00000B9B">
        <w:t xml:space="preserve">pretest confirmed that </w:t>
      </w:r>
      <w:r w:rsidR="00000B9B">
        <w:t>initial</w:t>
      </w:r>
      <w:r w:rsidRPr="00585F68" w:rsidR="00000B9B">
        <w:t xml:space="preserve"> burden estimates for the </w:t>
      </w:r>
      <w:r w:rsidR="00000B9B">
        <w:t>survey</w:t>
      </w:r>
      <w:r w:rsidRPr="00585F68" w:rsidR="00000B9B">
        <w:t xml:space="preserve"> </w:t>
      </w:r>
      <w:r w:rsidR="00000B9B">
        <w:t>were</w:t>
      </w:r>
      <w:r w:rsidRPr="00585F68" w:rsidR="00000B9B">
        <w:t xml:space="preserve"> accurate.</w:t>
      </w:r>
      <w:r w:rsidR="00000B9B">
        <w:t xml:space="preserve"> </w:t>
      </w:r>
      <w:r w:rsidR="00140DA6">
        <w:t xml:space="preserve">As a result of the in-depth interview pretest, the team made minor revisions to the protocol and identified a few items to address in the data collector training. </w:t>
      </w:r>
      <w:bookmarkEnd w:id="47"/>
      <w:r w:rsidRPr="00585F68" w:rsidR="00767E69">
        <w:t xml:space="preserve">The </w:t>
      </w:r>
      <w:r w:rsidR="00767E69">
        <w:t xml:space="preserve">in-depth interview protocol </w:t>
      </w:r>
      <w:r w:rsidRPr="00585F68" w:rsidR="00767E69">
        <w:t xml:space="preserve">pretest confirmed that </w:t>
      </w:r>
      <w:r w:rsidR="00767E69">
        <w:t>initial</w:t>
      </w:r>
      <w:r w:rsidRPr="00585F68" w:rsidR="00767E69">
        <w:t xml:space="preserve"> burden estimates </w:t>
      </w:r>
      <w:r w:rsidR="00767E69">
        <w:t>were</w:t>
      </w:r>
      <w:r w:rsidRPr="00585F68" w:rsidR="00767E69">
        <w:t xml:space="preserve"> accurate.</w:t>
      </w:r>
      <w:r w:rsidR="00767E69">
        <w:t xml:space="preserve"> </w:t>
      </w:r>
      <w:r w:rsidRPr="00140DA6" w:rsidR="00140DA6">
        <w:rPr>
          <w:rFonts w:asciiTheme="minorHAnsi" w:hAnsiTheme="minorHAnsi" w:cstheme="minorHAnsi"/>
        </w:rPr>
        <w:t>Appendix O details the pretest methods and findings.</w:t>
      </w:r>
      <w:r w:rsidRPr="00140DA6" w:rsidR="002D3C5E">
        <w:t xml:space="preserve"> </w:t>
      </w:r>
    </w:p>
    <w:p w:rsidRPr="00B62368" w:rsidR="00694A49" w:rsidP="00694A49" w:rsidRDefault="00694A49" w14:paraId="38EE1AC1" w14:textId="77777777">
      <w:pPr>
        <w:pStyle w:val="Hdng3-IPR"/>
        <w:spacing w:before="240"/>
      </w:pPr>
      <w:bookmarkStart w:name="_Toc514142005" w:id="48"/>
      <w:bookmarkStart w:name="_Toc14464752" w:id="49"/>
      <w:r w:rsidRPr="00B62368">
        <w:t>Consultants</w:t>
      </w:r>
      <w:bookmarkEnd w:id="46"/>
      <w:bookmarkEnd w:id="48"/>
      <w:bookmarkEnd w:id="49"/>
    </w:p>
    <w:p w:rsidRPr="00B62368" w:rsidR="00694A49" w:rsidP="00694A49" w:rsidRDefault="00694A49" w14:paraId="21853E06" w14:textId="77777777">
      <w:pPr>
        <w:pStyle w:val="Hdng4Calibri-IPR"/>
        <w:spacing w:after="120"/>
        <w:rPr>
          <w:rFonts w:ascii="Candara" w:hAnsi="Candara"/>
          <w:sz w:val="22"/>
        </w:rPr>
      </w:pPr>
      <w:r w:rsidRPr="00B62368">
        <w:rPr>
          <w:rFonts w:ascii="Candara" w:hAnsi="Candara"/>
          <w:sz w:val="22"/>
        </w:rPr>
        <w:t>Provide the name and telephone number of individuals consulted on statistical aspects of the design and the name of the agency unit, contractor(s), grantee(s), or other person(s) who will actually collect and/or analyze the information for the agency.</w:t>
      </w:r>
    </w:p>
    <w:p w:rsidRPr="00694A49" w:rsidR="0078157F" w:rsidP="002A0BC3" w:rsidRDefault="00694A49" w14:paraId="3F1A7457" w14:textId="263CF29A">
      <w:pPr>
        <w:pStyle w:val="Body11ptCalibrDBi-IPR"/>
        <w:spacing w:after="240"/>
      </w:pPr>
      <w:r w:rsidRPr="00683BA4">
        <w:t>FNS consulted with</w:t>
      </w:r>
      <w:r w:rsidR="00466276">
        <w:t xml:space="preserve"> a mathematical statistician</w:t>
      </w:r>
      <w:r w:rsidRPr="00683BA4">
        <w:t xml:space="preserve"> </w:t>
      </w:r>
      <w:r w:rsidR="00466276">
        <w:t xml:space="preserve">from USDA’s National Agricultural Statistics Service (NASS), who reviewed the study methodology and procedures </w:t>
      </w:r>
      <w:r w:rsidRPr="00683BA4">
        <w:t>(see table B.5.1).</w:t>
      </w:r>
      <w:r w:rsidRPr="00B62368" w:rsidDel="00E701C8">
        <w:t xml:space="preserve"> </w:t>
      </w:r>
      <w:r w:rsidRPr="00DE0301" w:rsidR="00DE0301">
        <w:t xml:space="preserve">The review from NASS and </w:t>
      </w:r>
      <w:r w:rsidR="00083D7F">
        <w:t>the study team’s</w:t>
      </w:r>
      <w:r w:rsidRPr="00DE0301" w:rsidR="00083D7F">
        <w:t xml:space="preserve"> </w:t>
      </w:r>
      <w:r w:rsidRPr="00DE0301" w:rsidR="00DE0301">
        <w:t xml:space="preserve">response to NASS’s comments appear </w:t>
      </w:r>
      <w:r w:rsidRPr="00D6240E" w:rsidR="00DE0301">
        <w:t xml:space="preserve">in </w:t>
      </w:r>
      <w:r w:rsidR="002A0E0D">
        <w:t>Appendix N</w:t>
      </w:r>
      <w:r w:rsidR="00767E69">
        <w:t>.</w:t>
      </w:r>
      <w:r w:rsidRPr="00DE0301" w:rsidR="00DE0301">
        <w:t xml:space="preserve"> </w:t>
      </w:r>
      <w:r w:rsidRPr="00B62368" w:rsidR="00DE0301">
        <w:t xml:space="preserve">FNS has contracted with Insight Policy Research to </w:t>
      </w:r>
      <w:r w:rsidR="00DE0301">
        <w:t xml:space="preserve">assist in </w:t>
      </w:r>
      <w:r w:rsidRPr="00B62368" w:rsidR="00DE0301">
        <w:t>conduct</w:t>
      </w:r>
      <w:r w:rsidR="00DE0301">
        <w:t>ing</w:t>
      </w:r>
      <w:r w:rsidRPr="00B62368" w:rsidR="00DE0301">
        <w:t xml:space="preserve"> this study.</w:t>
      </w:r>
      <w:r w:rsidRPr="00DE0301" w:rsidR="00DE0301">
        <w:t xml:space="preserve"> </w:t>
      </w:r>
      <w:r w:rsidRPr="003E5356" w:rsidR="00DE0301">
        <w:t xml:space="preserve">Table B.5.1 lists </w:t>
      </w:r>
      <w:r w:rsidR="004C7A36">
        <w:t xml:space="preserve">the names and contact information of individuals consulted on statistical aspects of the design and </w:t>
      </w:r>
      <w:r w:rsidR="00DE0301">
        <w:t xml:space="preserve">the Insight </w:t>
      </w:r>
      <w:r w:rsidR="004C7A36">
        <w:t>team</w:t>
      </w:r>
      <w:r w:rsidRPr="003E5356" w:rsidR="00DE0301">
        <w:t xml:space="preserve"> members responsible for the collection and analysis of the study data.</w:t>
      </w:r>
      <w:r w:rsidRPr="0078157F" w:rsidR="0078157F">
        <w:t xml:space="preserve"> </w:t>
      </w:r>
      <w:r w:rsidRPr="00B62368" w:rsidR="0078157F">
        <w:t xml:space="preserve">The Project Officer for the contract providing funding for the evaluation, </w:t>
      </w:r>
      <w:r w:rsidR="0078157F">
        <w:t>Dr</w:t>
      </w:r>
      <w:r w:rsidRPr="00B62368" w:rsidR="0078157F">
        <w:t xml:space="preserve">. </w:t>
      </w:r>
      <w:r w:rsidR="0078157F">
        <w:t>Kristen</w:t>
      </w:r>
      <w:r w:rsidRPr="00B62368" w:rsidR="0078157F">
        <w:t xml:space="preserve"> </w:t>
      </w:r>
      <w:r w:rsidR="0078157F">
        <w:t>Corey</w:t>
      </w:r>
      <w:r w:rsidRPr="00B62368" w:rsidR="0078157F">
        <w:t>, will be responsible for receiving and approving all contract deliverables.</w:t>
      </w:r>
    </w:p>
    <w:p w:rsidR="00694A49" w:rsidP="00694A49" w:rsidRDefault="00694A49" w14:paraId="69102098" w14:textId="00BA027E">
      <w:pPr>
        <w:pStyle w:val="TableTitle-IPR"/>
      </w:pPr>
      <w:bookmarkStart w:name="_Toc78365150" w:id="50"/>
      <w:r>
        <w:lastRenderedPageBreak/>
        <w:t>Table B.5.1</w:t>
      </w:r>
      <w:r w:rsidR="005F44AE">
        <w:t>.</w:t>
      </w:r>
      <w:r>
        <w:t xml:space="preserve"> </w:t>
      </w:r>
      <w:r w:rsidR="009E014F">
        <w:t>Consultants</w:t>
      </w:r>
      <w:bookmarkEnd w:id="50"/>
    </w:p>
    <w:tbl>
      <w:tblPr>
        <w:tblStyle w:val="InsightTable"/>
        <w:tblW w:w="4933" w:type="pct"/>
        <w:tblLook w:val="04A0" w:firstRow="1" w:lastRow="0" w:firstColumn="1" w:lastColumn="0" w:noHBand="0" w:noVBand="1"/>
      </w:tblPr>
      <w:tblGrid>
        <w:gridCol w:w="1337"/>
        <w:gridCol w:w="2835"/>
        <w:gridCol w:w="2015"/>
        <w:gridCol w:w="3048"/>
      </w:tblGrid>
      <w:tr w:rsidR="00694A49" w:rsidTr="00960E81" w14:paraId="0417C732"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724" w:type="pct"/>
            <w:hideMark/>
          </w:tcPr>
          <w:p w:rsidRPr="004847F3" w:rsidR="00694A49" w:rsidP="00F975D9" w:rsidRDefault="00694A49" w14:paraId="2ABF53CB" w14:textId="77777777">
            <w:pPr>
              <w:rPr>
                <w:rFonts w:ascii="Lucida Sans" w:hAnsi="Lucida Sans" w:cs="Calibri" w:eastAsiaTheme="minorHAnsi"/>
                <w:b/>
                <w:bCs/>
                <w:sz w:val="18"/>
                <w:szCs w:val="20"/>
              </w:rPr>
            </w:pPr>
            <w:r w:rsidRPr="004847F3">
              <w:rPr>
                <w:rFonts w:ascii="Lucida Sans" w:hAnsi="Lucida Sans"/>
                <w:b/>
                <w:bCs/>
                <w:sz w:val="18"/>
                <w:szCs w:val="20"/>
              </w:rPr>
              <w:t>Name</w:t>
            </w:r>
          </w:p>
        </w:tc>
        <w:tc>
          <w:tcPr>
            <w:tcW w:w="1535" w:type="pct"/>
            <w:hideMark/>
          </w:tcPr>
          <w:p w:rsidRPr="004847F3" w:rsidR="00694A49" w:rsidP="00F975D9" w:rsidRDefault="00694A49" w14:paraId="08FE4DCB" w14:textId="77777777">
            <w:pPr>
              <w:rPr>
                <w:rFonts w:ascii="Lucida Sans" w:hAnsi="Lucida Sans" w:cs="Calibri" w:eastAsiaTheme="minorHAnsi"/>
                <w:b/>
                <w:bCs/>
                <w:sz w:val="18"/>
                <w:szCs w:val="20"/>
              </w:rPr>
            </w:pPr>
            <w:r w:rsidRPr="004847F3">
              <w:rPr>
                <w:rFonts w:ascii="Lucida Sans" w:hAnsi="Lucida Sans"/>
                <w:b/>
                <w:bCs/>
                <w:sz w:val="18"/>
                <w:szCs w:val="20"/>
              </w:rPr>
              <w:t xml:space="preserve">Title </w:t>
            </w:r>
          </w:p>
        </w:tc>
        <w:tc>
          <w:tcPr>
            <w:tcW w:w="1091" w:type="pct"/>
            <w:hideMark/>
          </w:tcPr>
          <w:p w:rsidRPr="004847F3" w:rsidR="00694A49" w:rsidP="00F975D9" w:rsidRDefault="00694A49" w14:paraId="1EFB1D52" w14:textId="77777777">
            <w:pPr>
              <w:rPr>
                <w:rFonts w:ascii="Lucida Sans" w:hAnsi="Lucida Sans" w:cs="Calibri" w:eastAsiaTheme="minorHAnsi"/>
                <w:b/>
                <w:bCs/>
                <w:sz w:val="18"/>
                <w:szCs w:val="20"/>
              </w:rPr>
            </w:pPr>
            <w:r w:rsidRPr="004847F3">
              <w:rPr>
                <w:rFonts w:ascii="Lucida Sans" w:hAnsi="Lucida Sans"/>
                <w:b/>
                <w:bCs/>
                <w:sz w:val="18"/>
                <w:szCs w:val="20"/>
              </w:rPr>
              <w:t>Organizational Affiliation</w:t>
            </w:r>
          </w:p>
        </w:tc>
        <w:tc>
          <w:tcPr>
            <w:tcW w:w="1650" w:type="pct"/>
            <w:hideMark/>
          </w:tcPr>
          <w:p w:rsidRPr="004847F3" w:rsidR="00694A49" w:rsidP="00F975D9" w:rsidRDefault="00694A49" w14:paraId="22A08B96" w14:textId="77777777">
            <w:pPr>
              <w:rPr>
                <w:rFonts w:ascii="Lucida Sans" w:hAnsi="Lucida Sans" w:cs="Calibri" w:eastAsiaTheme="minorHAnsi"/>
                <w:b/>
                <w:bCs/>
                <w:sz w:val="18"/>
                <w:szCs w:val="20"/>
              </w:rPr>
            </w:pPr>
            <w:r w:rsidRPr="0072296C">
              <w:rPr>
                <w:rFonts w:ascii="Lucida Sans" w:hAnsi="Lucida Sans"/>
                <w:b/>
                <w:bCs/>
                <w:sz w:val="18"/>
                <w:szCs w:val="20"/>
              </w:rPr>
              <w:t>Contact Information</w:t>
            </w:r>
            <w:r>
              <w:rPr>
                <w:rStyle w:val="CommentReference"/>
                <w:sz w:val="18"/>
                <w:szCs w:val="20"/>
              </w:rPr>
              <w:t xml:space="preserve"> </w:t>
            </w:r>
          </w:p>
        </w:tc>
      </w:tr>
      <w:tr w:rsidR="00694A49" w:rsidTr="00960E81" w14:paraId="0EACAFDB" w14:textId="77777777">
        <w:trPr>
          <w:trHeight w:val="288"/>
        </w:trPr>
        <w:tc>
          <w:tcPr>
            <w:tcW w:w="724" w:type="pct"/>
            <w:hideMark/>
          </w:tcPr>
          <w:p w:rsidR="00694A49" w:rsidP="00F975D9" w:rsidRDefault="00BA70A3" w14:paraId="1F418A81" w14:textId="24EF755F">
            <w:pPr>
              <w:pStyle w:val="TableText-IPR"/>
            </w:pPr>
            <w:r w:rsidRPr="00BA70A3">
              <w:t>Brent Farley</w:t>
            </w:r>
          </w:p>
        </w:tc>
        <w:tc>
          <w:tcPr>
            <w:tcW w:w="1535" w:type="pct"/>
            <w:hideMark/>
          </w:tcPr>
          <w:p w:rsidRPr="0044434E" w:rsidR="00694A49" w:rsidP="00F975D9" w:rsidRDefault="00466276" w14:paraId="306B3953" w14:textId="3D52BD57">
            <w:pPr>
              <w:pStyle w:val="TableText-IPR"/>
            </w:pPr>
            <w:r w:rsidRPr="0044434E">
              <w:t>Mathematical Statistician</w:t>
            </w:r>
          </w:p>
        </w:tc>
        <w:tc>
          <w:tcPr>
            <w:tcW w:w="1091" w:type="pct"/>
            <w:hideMark/>
          </w:tcPr>
          <w:p w:rsidRPr="0044434E" w:rsidR="00694A49" w:rsidP="00F975D9" w:rsidRDefault="00466276" w14:paraId="1C83036A" w14:textId="363CC63E">
            <w:pPr>
              <w:pStyle w:val="TableText-IPR"/>
            </w:pPr>
            <w:r w:rsidRPr="0044434E">
              <w:t>National Agricultural Statistics Service</w:t>
            </w:r>
          </w:p>
        </w:tc>
        <w:tc>
          <w:tcPr>
            <w:tcW w:w="1650" w:type="pct"/>
            <w:hideMark/>
          </w:tcPr>
          <w:p w:rsidRPr="0044434E" w:rsidR="00694A49" w:rsidP="00F975D9" w:rsidRDefault="00BA70A3" w14:paraId="6926C050" w14:textId="117671F7">
            <w:pPr>
              <w:pStyle w:val="TableText-IPR"/>
            </w:pPr>
            <w:r w:rsidRPr="00BA70A3">
              <w:t>Brent.farley@usda.gov</w:t>
            </w:r>
          </w:p>
        </w:tc>
      </w:tr>
      <w:tr w:rsidR="00AD737A" w:rsidTr="00960E81" w14:paraId="79958655" w14:textId="77777777">
        <w:trPr>
          <w:trHeight w:val="288"/>
        </w:trPr>
        <w:tc>
          <w:tcPr>
            <w:tcW w:w="724" w:type="pct"/>
          </w:tcPr>
          <w:p w:rsidRPr="00040E67" w:rsidR="00AD737A" w:rsidP="00F975D9" w:rsidRDefault="00AD737A" w14:paraId="6C46D2E3" w14:textId="6CE4CB3A">
            <w:pPr>
              <w:pStyle w:val="TableText-IPR"/>
            </w:pPr>
            <w:r w:rsidRPr="00040E67">
              <w:t>Kristen Corey</w:t>
            </w:r>
          </w:p>
        </w:tc>
        <w:tc>
          <w:tcPr>
            <w:tcW w:w="1535" w:type="pct"/>
          </w:tcPr>
          <w:p w:rsidRPr="0044434E" w:rsidR="00AD737A" w:rsidP="00F975D9" w:rsidRDefault="006553C9" w14:paraId="741542AD" w14:textId="4E47A299">
            <w:pPr>
              <w:pStyle w:val="TableText-IPR"/>
            </w:pPr>
            <w:r>
              <w:t>Social Science Research Analyst</w:t>
            </w:r>
          </w:p>
        </w:tc>
        <w:tc>
          <w:tcPr>
            <w:tcW w:w="1091" w:type="pct"/>
          </w:tcPr>
          <w:p w:rsidRPr="0044434E" w:rsidR="00AD737A" w:rsidP="00F975D9" w:rsidRDefault="00C146F6" w14:paraId="6EABDC8F" w14:textId="3232431B">
            <w:pPr>
              <w:pStyle w:val="TableText-IPR"/>
            </w:pPr>
            <w:r>
              <w:t>USDA FNS</w:t>
            </w:r>
          </w:p>
        </w:tc>
        <w:tc>
          <w:tcPr>
            <w:tcW w:w="1650" w:type="pct"/>
          </w:tcPr>
          <w:p w:rsidRPr="00466276" w:rsidR="00AD737A" w:rsidP="00F975D9" w:rsidRDefault="001F6B1A" w14:paraId="52394193" w14:textId="02107EF1">
            <w:pPr>
              <w:pStyle w:val="TableText-IPR"/>
              <w:rPr>
                <w:highlight w:val="yellow"/>
              </w:rPr>
            </w:pPr>
            <w:r w:rsidRPr="001F6B1A">
              <w:t>Kristen.Corey@usda.gov</w:t>
            </w:r>
          </w:p>
        </w:tc>
      </w:tr>
      <w:tr w:rsidR="00466276" w:rsidTr="00960E81" w14:paraId="377D1FA9" w14:textId="77777777">
        <w:trPr>
          <w:trHeight w:val="288"/>
        </w:trPr>
        <w:tc>
          <w:tcPr>
            <w:tcW w:w="724" w:type="pct"/>
          </w:tcPr>
          <w:p w:rsidR="00466276" w:rsidP="00F975D9" w:rsidRDefault="00555CFD" w14:paraId="0415965A" w14:textId="0B70EB2E">
            <w:pPr>
              <w:pStyle w:val="TableText-IPR"/>
            </w:pPr>
            <w:r>
              <w:t>Claire Wilson</w:t>
            </w:r>
          </w:p>
        </w:tc>
        <w:tc>
          <w:tcPr>
            <w:tcW w:w="1535" w:type="pct"/>
          </w:tcPr>
          <w:p w:rsidRPr="0044434E" w:rsidR="00466276" w:rsidP="00F975D9" w:rsidRDefault="001F6B1A" w14:paraId="4B35B8F6" w14:textId="207D0660">
            <w:pPr>
              <w:pStyle w:val="TableText-IPR"/>
            </w:pPr>
            <w:r>
              <w:t>Director, Human Services</w:t>
            </w:r>
          </w:p>
        </w:tc>
        <w:tc>
          <w:tcPr>
            <w:tcW w:w="1091" w:type="pct"/>
          </w:tcPr>
          <w:p w:rsidRPr="0044434E" w:rsidR="00466276" w:rsidP="00F975D9" w:rsidRDefault="001F6B1A" w14:paraId="67058D08" w14:textId="5259FB9A">
            <w:pPr>
              <w:pStyle w:val="TableText-IPR"/>
            </w:pPr>
            <w:r>
              <w:t>Insight Policy Research</w:t>
            </w:r>
          </w:p>
        </w:tc>
        <w:tc>
          <w:tcPr>
            <w:tcW w:w="1650" w:type="pct"/>
          </w:tcPr>
          <w:p w:rsidRPr="0044434E" w:rsidR="00466276" w:rsidP="00F975D9" w:rsidRDefault="001F6B1A" w14:paraId="5B0059AD" w14:textId="4B985916">
            <w:pPr>
              <w:pStyle w:val="TableText-IPR"/>
            </w:pPr>
            <w:r>
              <w:t>Cwilson@insightpolicyresearch.com</w:t>
            </w:r>
          </w:p>
        </w:tc>
      </w:tr>
      <w:tr w:rsidR="00466276" w:rsidTr="00960E81" w14:paraId="2302FF04" w14:textId="77777777">
        <w:trPr>
          <w:trHeight w:val="288"/>
        </w:trPr>
        <w:tc>
          <w:tcPr>
            <w:tcW w:w="724" w:type="pct"/>
          </w:tcPr>
          <w:p w:rsidR="00466276" w:rsidP="00F975D9" w:rsidRDefault="00AD737A" w14:paraId="1B4FB0FC" w14:textId="2349CABF">
            <w:pPr>
              <w:pStyle w:val="TableText-IPR"/>
            </w:pPr>
            <w:r>
              <w:t>Tracy Vericker</w:t>
            </w:r>
          </w:p>
        </w:tc>
        <w:tc>
          <w:tcPr>
            <w:tcW w:w="1535" w:type="pct"/>
          </w:tcPr>
          <w:p w:rsidRPr="0044434E" w:rsidR="00466276" w:rsidP="00F975D9" w:rsidRDefault="001F6B1A" w14:paraId="5B4584B1" w14:textId="6E47076C">
            <w:pPr>
              <w:pStyle w:val="TableText-IPR"/>
            </w:pPr>
            <w:r w:rsidRPr="001F6B1A">
              <w:t>Associate Director</w:t>
            </w:r>
            <w:r>
              <w:t xml:space="preserve">, </w:t>
            </w:r>
            <w:r w:rsidRPr="001F6B1A">
              <w:t>Social Policy and Economics Research</w:t>
            </w:r>
          </w:p>
        </w:tc>
        <w:tc>
          <w:tcPr>
            <w:tcW w:w="1091" w:type="pct"/>
          </w:tcPr>
          <w:p w:rsidRPr="0044434E" w:rsidR="00466276" w:rsidP="00F975D9" w:rsidRDefault="001F6B1A" w14:paraId="15006FA4" w14:textId="62F0D5E5">
            <w:pPr>
              <w:pStyle w:val="TableText-IPR"/>
            </w:pPr>
            <w:r>
              <w:t>Westat</w:t>
            </w:r>
          </w:p>
        </w:tc>
        <w:tc>
          <w:tcPr>
            <w:tcW w:w="1650" w:type="pct"/>
          </w:tcPr>
          <w:p w:rsidRPr="0044434E" w:rsidR="00466276" w:rsidP="00F975D9" w:rsidRDefault="00C146F6" w14:paraId="4CC7AB49" w14:textId="0B38F215">
            <w:pPr>
              <w:pStyle w:val="TableText-IPR"/>
            </w:pPr>
            <w:r w:rsidRPr="00040E67">
              <w:t>TracyVericker@westat.com</w:t>
            </w:r>
          </w:p>
        </w:tc>
      </w:tr>
      <w:tr w:rsidR="00466276" w:rsidTr="00960E81" w14:paraId="04319BDE" w14:textId="77777777">
        <w:trPr>
          <w:trHeight w:val="288"/>
        </w:trPr>
        <w:tc>
          <w:tcPr>
            <w:tcW w:w="724" w:type="pct"/>
          </w:tcPr>
          <w:p w:rsidR="00466276" w:rsidP="00F975D9" w:rsidRDefault="001F6B1A" w14:paraId="1E671724" w14:textId="3F4864F6">
            <w:pPr>
              <w:pStyle w:val="TableText-IPR"/>
            </w:pPr>
            <w:r>
              <w:t>Jill DeMatteis</w:t>
            </w:r>
          </w:p>
        </w:tc>
        <w:tc>
          <w:tcPr>
            <w:tcW w:w="1535" w:type="pct"/>
          </w:tcPr>
          <w:p w:rsidRPr="0044434E" w:rsidR="00466276" w:rsidP="00F975D9" w:rsidRDefault="001F6B1A" w14:paraId="73EF7EDD" w14:textId="55D95946">
            <w:pPr>
              <w:pStyle w:val="TableText-IPR"/>
            </w:pPr>
            <w:r>
              <w:t>Vice President</w:t>
            </w:r>
          </w:p>
        </w:tc>
        <w:tc>
          <w:tcPr>
            <w:tcW w:w="1091" w:type="pct"/>
          </w:tcPr>
          <w:p w:rsidRPr="0044434E" w:rsidR="00466276" w:rsidP="00F975D9" w:rsidRDefault="001F6B1A" w14:paraId="45E2ECBB" w14:textId="1B967330">
            <w:pPr>
              <w:pStyle w:val="TableText-IPR"/>
            </w:pPr>
            <w:r>
              <w:t>Westat</w:t>
            </w:r>
          </w:p>
        </w:tc>
        <w:tc>
          <w:tcPr>
            <w:tcW w:w="1650" w:type="pct"/>
          </w:tcPr>
          <w:p w:rsidRPr="0044434E" w:rsidR="00466276" w:rsidP="00F975D9" w:rsidRDefault="001F6B1A" w14:paraId="2DA092EF" w14:textId="352F7FF9">
            <w:pPr>
              <w:pStyle w:val="TableText-IPR"/>
            </w:pPr>
            <w:r w:rsidRPr="001F6B1A">
              <w:t>JillDematteis@</w:t>
            </w:r>
            <w:r>
              <w:t>w</w:t>
            </w:r>
            <w:r w:rsidRPr="001F6B1A">
              <w:t>estat.com</w:t>
            </w:r>
          </w:p>
        </w:tc>
      </w:tr>
      <w:tr w:rsidR="00AD737A" w:rsidTr="00960E81" w14:paraId="15378F68" w14:textId="77777777">
        <w:trPr>
          <w:trHeight w:val="288"/>
        </w:trPr>
        <w:tc>
          <w:tcPr>
            <w:tcW w:w="724" w:type="pct"/>
          </w:tcPr>
          <w:p w:rsidR="00AD737A" w:rsidP="00F975D9" w:rsidRDefault="001F6B1A" w14:paraId="5E9F1CE7" w14:textId="54B9AA04">
            <w:pPr>
              <w:pStyle w:val="TableText-IPR"/>
            </w:pPr>
            <w:r>
              <w:t>Jennifer Kali</w:t>
            </w:r>
          </w:p>
        </w:tc>
        <w:tc>
          <w:tcPr>
            <w:tcW w:w="1535" w:type="pct"/>
          </w:tcPr>
          <w:p w:rsidRPr="0044434E" w:rsidR="00AD737A" w:rsidP="00F975D9" w:rsidRDefault="001F6B1A" w14:paraId="1924A422" w14:textId="7F904616">
            <w:pPr>
              <w:pStyle w:val="TableText-IPR"/>
            </w:pPr>
            <w:r>
              <w:t>Statistician</w:t>
            </w:r>
          </w:p>
        </w:tc>
        <w:tc>
          <w:tcPr>
            <w:tcW w:w="1091" w:type="pct"/>
          </w:tcPr>
          <w:p w:rsidRPr="0044434E" w:rsidR="00AD737A" w:rsidP="00F975D9" w:rsidRDefault="001F6B1A" w14:paraId="2DB97A81" w14:textId="0367A002">
            <w:pPr>
              <w:pStyle w:val="TableText-IPR"/>
            </w:pPr>
            <w:r>
              <w:t>Westat</w:t>
            </w:r>
          </w:p>
        </w:tc>
        <w:tc>
          <w:tcPr>
            <w:tcW w:w="1650" w:type="pct"/>
          </w:tcPr>
          <w:p w:rsidRPr="0044434E" w:rsidR="00AD737A" w:rsidP="00F975D9" w:rsidRDefault="001F6B1A" w14:paraId="3F9D6BA6" w14:textId="1D5DA4E0">
            <w:pPr>
              <w:pStyle w:val="TableText-IPR"/>
            </w:pPr>
            <w:r>
              <w:t>JenniferKali@westat.com</w:t>
            </w:r>
          </w:p>
        </w:tc>
      </w:tr>
      <w:tr w:rsidR="00AD737A" w:rsidTr="00960E81" w14:paraId="660B37CA" w14:textId="77777777">
        <w:trPr>
          <w:trHeight w:val="288"/>
        </w:trPr>
        <w:tc>
          <w:tcPr>
            <w:tcW w:w="724" w:type="pct"/>
          </w:tcPr>
          <w:p w:rsidR="00AD737A" w:rsidP="00F975D9" w:rsidRDefault="001E66FB" w14:paraId="06B338A0" w14:textId="653232FA">
            <w:pPr>
              <w:pStyle w:val="TableText-IPR"/>
            </w:pPr>
            <w:r>
              <w:t>Anitza Cox</w:t>
            </w:r>
          </w:p>
        </w:tc>
        <w:tc>
          <w:tcPr>
            <w:tcW w:w="1535" w:type="pct"/>
          </w:tcPr>
          <w:p w:rsidRPr="0044434E" w:rsidR="00AD737A" w:rsidP="00F975D9" w:rsidRDefault="001E66FB" w14:paraId="248FFFC2" w14:textId="29E5BB57">
            <w:pPr>
              <w:pStyle w:val="TableText-IPR"/>
            </w:pPr>
            <w:r>
              <w:t>Director, Analysis and Social Policy</w:t>
            </w:r>
          </w:p>
        </w:tc>
        <w:tc>
          <w:tcPr>
            <w:tcW w:w="1091" w:type="pct"/>
          </w:tcPr>
          <w:p w:rsidRPr="0044434E" w:rsidR="00AD737A" w:rsidP="00F975D9" w:rsidRDefault="001E66FB" w14:paraId="435380B4" w14:textId="0DA409CB">
            <w:pPr>
              <w:pStyle w:val="TableText-IPR"/>
            </w:pPr>
            <w:r>
              <w:t>Estudios T</w:t>
            </w:r>
            <w:r w:rsidRPr="002B452F" w:rsidR="0092428C">
              <w:rPr>
                <w:szCs w:val="22"/>
              </w:rPr>
              <w:t>é</w:t>
            </w:r>
            <w:r>
              <w:t>cnicos</w:t>
            </w:r>
          </w:p>
        </w:tc>
        <w:tc>
          <w:tcPr>
            <w:tcW w:w="1650" w:type="pct"/>
          </w:tcPr>
          <w:p w:rsidRPr="0044434E" w:rsidR="00AD737A" w:rsidP="00F975D9" w:rsidRDefault="001E66FB" w14:paraId="757D6150" w14:textId="78C51E87">
            <w:pPr>
              <w:pStyle w:val="TableText-IPR"/>
            </w:pPr>
            <w:r w:rsidRPr="001E66FB">
              <w:t>acox@estudiostecnicos.com</w:t>
            </w:r>
          </w:p>
        </w:tc>
      </w:tr>
    </w:tbl>
    <w:p w:rsidR="00694A49" w:rsidP="0078157F" w:rsidRDefault="00694A49" w14:paraId="11E32287" w14:textId="4485CD62">
      <w:pPr>
        <w:pStyle w:val="Body11ptCalibri-IPR"/>
        <w:spacing w:after="240"/>
      </w:pPr>
    </w:p>
    <w:p w:rsidRPr="00694A49" w:rsidR="0078157F" w:rsidP="0078157F" w:rsidRDefault="0078157F" w14:paraId="11DED7E1" w14:textId="77777777">
      <w:pPr>
        <w:pStyle w:val="Body11ptCalibri-IPR"/>
        <w:spacing w:after="240"/>
      </w:pPr>
    </w:p>
    <w:sectPr w:rsidRPr="00694A49" w:rsidR="0078157F" w:rsidSect="00960E81">
      <w:headerReference w:type="default" r:id="rId12"/>
      <w:footerReference w:type="default" r:id="rId13"/>
      <w:pgSz w:w="12240" w:h="15840" w:code="1"/>
      <w:pgMar w:top="1440" w:right="1440" w:bottom="1440" w:left="1440" w:header="0" w:footer="89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645A" w14:textId="77777777" w:rsidR="00AE3AA1" w:rsidRDefault="00AE3AA1" w:rsidP="00CF5E31">
      <w:r>
        <w:separator/>
      </w:r>
    </w:p>
    <w:p w14:paraId="5461A5F6" w14:textId="77777777" w:rsidR="00AE3AA1" w:rsidRDefault="00AE3AA1"/>
    <w:p w14:paraId="4128C355" w14:textId="77777777" w:rsidR="00AE3AA1" w:rsidRDefault="00AE3AA1"/>
    <w:p w14:paraId="53DA5C1C" w14:textId="77777777" w:rsidR="00AE3AA1" w:rsidRDefault="00AE3AA1"/>
    <w:p w14:paraId="7B0C7BE7" w14:textId="77777777" w:rsidR="00AE3AA1" w:rsidRDefault="00AE3AA1"/>
  </w:endnote>
  <w:endnote w:type="continuationSeparator" w:id="0">
    <w:p w14:paraId="26C380B2" w14:textId="77777777" w:rsidR="00AE3AA1" w:rsidRDefault="00AE3AA1" w:rsidP="00CF5E31">
      <w:r>
        <w:continuationSeparator/>
      </w:r>
    </w:p>
    <w:p w14:paraId="352CF5F2" w14:textId="77777777" w:rsidR="00AE3AA1" w:rsidRDefault="00AE3AA1"/>
    <w:p w14:paraId="18E4111E" w14:textId="77777777" w:rsidR="00AE3AA1" w:rsidRDefault="00AE3AA1"/>
    <w:p w14:paraId="00717B54" w14:textId="77777777" w:rsidR="00AE3AA1" w:rsidRDefault="00AE3AA1"/>
    <w:p w14:paraId="1C94E750" w14:textId="77777777" w:rsidR="00AE3AA1" w:rsidRDefault="00AE3AA1"/>
  </w:endnote>
  <w:endnote w:type="continuationNotice" w:id="1">
    <w:p w14:paraId="5537FF9C" w14:textId="77777777" w:rsidR="00AE3AA1" w:rsidRDefault="00AE3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40502020204"/>
    <w:charset w:val="00"/>
    <w:family w:val="swiss"/>
    <w:pitch w:val="variable"/>
    <w:sig w:usb0="8100AAF7" w:usb1="0000807B" w:usb2="00000008" w:usb3="00000000" w:csb0="000100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DC48" w14:textId="77777777" w:rsidR="00AE3AA1" w:rsidRPr="00FF2359" w:rsidRDefault="00AE3AA1" w:rsidP="00960E8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56671190"/>
      <w:docPartObj>
        <w:docPartGallery w:val="Page Numbers (Bottom of Page)"/>
        <w:docPartUnique/>
      </w:docPartObj>
    </w:sdtPr>
    <w:sdtEndPr>
      <w:rPr>
        <w:noProof/>
      </w:rPr>
    </w:sdtEndPr>
    <w:sdtContent>
      <w:bookmarkStart w:id="15" w:name="_Hlk71889229" w:displacedByCustomXml="prev"/>
      <w:p w14:paraId="25A7D6C1" w14:textId="77777777" w:rsidR="00AE3AA1" w:rsidRPr="00951ACB" w:rsidRDefault="00AB5681" w:rsidP="00AE3AA1">
        <w:pPr>
          <w:pBdr>
            <w:top w:val="single" w:sz="8" w:space="1" w:color="B12732"/>
          </w:pBdr>
          <w:tabs>
            <w:tab w:val="right" w:pos="9360"/>
          </w:tabs>
          <w:rPr>
            <w:sz w:val="20"/>
            <w:szCs w:val="20"/>
          </w:rPr>
        </w:pPr>
        <w:sdt>
          <w:sdtPr>
            <w:rPr>
              <w:rStyle w:val="FooterTitle-IPRChar"/>
              <w:rFonts w:eastAsiaTheme="minorHAnsi"/>
              <w:szCs w:val="20"/>
            </w:rPr>
            <w:id w:val="-529493131"/>
            <w:docPartObj>
              <w:docPartGallery w:val="Page Numbers (Bottom of Page)"/>
              <w:docPartUnique/>
            </w:docPartObj>
          </w:sdtPr>
          <w:sdtEndPr>
            <w:rPr>
              <w:rStyle w:val="FooterTitle-IPRChar"/>
            </w:rPr>
          </w:sdtEndPr>
          <w:sdtContent>
            <w:r w:rsidR="00AE3AA1" w:rsidRPr="001340A1">
              <w:rPr>
                <w:rStyle w:val="FooterTitle-IPRChar"/>
                <w:rFonts w:eastAsiaTheme="minorHAnsi"/>
                <w:szCs w:val="20"/>
              </w:rPr>
              <w:t>Food Security Status and Well-Being of NAP Participants in Puerto Rico</w:t>
            </w:r>
            <w:bookmarkEnd w:id="15"/>
            <w:r w:rsidR="00AE3AA1">
              <w:rPr>
                <w:rStyle w:val="FooterTitle-IPRChar"/>
                <w:rFonts w:eastAsiaTheme="minorHAnsi"/>
                <w:szCs w:val="20"/>
              </w:rPr>
              <w:t>, Supporting Statement Part A</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311168"/>
      <w:docPartObj>
        <w:docPartGallery w:val="Page Numbers (Bottom of Page)"/>
        <w:docPartUnique/>
      </w:docPartObj>
    </w:sdtPr>
    <w:sdtEndPr>
      <w:rPr>
        <w:noProof/>
      </w:rPr>
    </w:sdtEndPr>
    <w:sdtContent>
      <w:p w14:paraId="3A511DE2" w14:textId="763DECC2" w:rsidR="00AE3AA1" w:rsidRPr="00267BFC" w:rsidRDefault="00AB5681" w:rsidP="00267BFC">
        <w:pPr>
          <w:pBdr>
            <w:top w:val="single" w:sz="8" w:space="1" w:color="B12732"/>
          </w:pBdr>
          <w:tabs>
            <w:tab w:val="right" w:pos="9360"/>
          </w:tabs>
        </w:pPr>
        <w:sdt>
          <w:sdtPr>
            <w:rPr>
              <w:rStyle w:val="FooterTitle-IPRChar"/>
              <w:rFonts w:eastAsiaTheme="minorHAnsi"/>
            </w:rPr>
            <w:id w:val="96065462"/>
            <w:docPartObj>
              <w:docPartGallery w:val="Page Numbers (Bottom of Page)"/>
              <w:docPartUnique/>
            </w:docPartObj>
          </w:sdtPr>
          <w:sdtEndPr>
            <w:rPr>
              <w:rStyle w:val="FooterTitle-IPRChar"/>
            </w:rPr>
          </w:sdtEndPr>
          <w:sdtContent>
            <w:r w:rsidR="00AE3AA1" w:rsidRPr="003A33E8">
              <w:rPr>
                <w:rStyle w:val="FooterTitle-IPRChar"/>
                <w:rFonts w:eastAsiaTheme="minorHAnsi"/>
              </w:rPr>
              <w:t>Food Security Status and Well-Being of NA</w:t>
            </w:r>
            <w:r w:rsidR="00AE3AA1">
              <w:rPr>
                <w:rStyle w:val="FooterTitle-IPRChar"/>
                <w:rFonts w:eastAsiaTheme="minorHAnsi"/>
              </w:rPr>
              <w:t>P</w:t>
            </w:r>
            <w:r w:rsidR="00AE3AA1" w:rsidRPr="003A33E8">
              <w:rPr>
                <w:rStyle w:val="FooterTitle-IPRChar"/>
                <w:rFonts w:eastAsiaTheme="minorHAnsi"/>
              </w:rPr>
              <w:t xml:space="preserve"> Participants in Puerto Rico</w:t>
            </w:r>
            <w:r w:rsidR="00AE3AA1">
              <w:rPr>
                <w:rStyle w:val="FooterTitle-IPRChar"/>
                <w:rFonts w:eastAsiaTheme="minorHAnsi"/>
              </w:rPr>
              <w:t>, Supporting Statement Part B</w:t>
            </w:r>
            <w:r w:rsidR="00AE3AA1" w:rsidRPr="00B65CD4" w:rsidDel="00751F29">
              <w:rPr>
                <w:rStyle w:val="FooterTitle-IPRChar"/>
                <w:rFonts w:eastAsiaTheme="minorHAnsi"/>
              </w:rPr>
              <w:t xml:space="preserve"> </w:t>
            </w:r>
            <w:r w:rsidR="00AE3AA1" w:rsidRPr="00EA44E0">
              <w:rPr>
                <w:rStyle w:val="FooterTitle-IPRChar"/>
                <w:rFonts w:eastAsiaTheme="minorHAnsi"/>
              </w:rPr>
              <w:tab/>
            </w:r>
            <w:r w:rsidR="00AE3AA1" w:rsidRPr="00EA44E0">
              <w:rPr>
                <w:rStyle w:val="FooterTitle-IPRChar"/>
                <w:rFonts w:eastAsiaTheme="minorHAnsi"/>
              </w:rPr>
              <w:fldChar w:fldCharType="begin"/>
            </w:r>
            <w:r w:rsidR="00AE3AA1" w:rsidRPr="00EA44E0">
              <w:rPr>
                <w:rStyle w:val="FooterTitle-IPRChar"/>
                <w:rFonts w:eastAsiaTheme="minorHAnsi"/>
              </w:rPr>
              <w:instrText xml:space="preserve"> PAGE   \* MERGEFORMAT </w:instrText>
            </w:r>
            <w:r w:rsidR="00AE3AA1" w:rsidRPr="00EA44E0">
              <w:rPr>
                <w:rStyle w:val="FooterTitle-IPRChar"/>
                <w:rFonts w:eastAsiaTheme="minorHAnsi"/>
              </w:rPr>
              <w:fldChar w:fldCharType="separate"/>
            </w:r>
            <w:r w:rsidR="00AE3AA1">
              <w:rPr>
                <w:rStyle w:val="FooterTitle-IPRChar"/>
                <w:rFonts w:eastAsiaTheme="minorHAnsi"/>
                <w:noProof/>
              </w:rPr>
              <w:t>29</w:t>
            </w:r>
            <w:r w:rsidR="00AE3AA1"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7B0F" w14:textId="77777777" w:rsidR="00AE3AA1" w:rsidRDefault="00AE3AA1" w:rsidP="00942AE2">
      <w:pPr>
        <w:pStyle w:val="FtnteBodyText-IPR"/>
      </w:pPr>
      <w:r>
        <w:separator/>
      </w:r>
    </w:p>
  </w:footnote>
  <w:footnote w:type="continuationSeparator" w:id="0">
    <w:p w14:paraId="0E14C9A2" w14:textId="77777777" w:rsidR="00AE3AA1" w:rsidRDefault="00AE3AA1" w:rsidP="00942AE2">
      <w:pPr>
        <w:pStyle w:val="FtnteBodyText-IPR"/>
      </w:pPr>
      <w:r>
        <w:continuationSeparator/>
      </w:r>
    </w:p>
  </w:footnote>
  <w:footnote w:type="continuationNotice" w:id="1">
    <w:p w14:paraId="505E4214" w14:textId="77777777" w:rsidR="00AE3AA1" w:rsidRDefault="00AE3AA1" w:rsidP="00942AE2">
      <w:pPr>
        <w:pStyle w:val="FtnteBodyText-IPR"/>
      </w:pPr>
    </w:p>
  </w:footnote>
  <w:footnote w:id="2">
    <w:p w14:paraId="389C61BE" w14:textId="019A422C" w:rsidR="00AE3AA1" w:rsidRDefault="00AE3AA1" w:rsidP="00503F46">
      <w:pPr>
        <w:pStyle w:val="FtnteBodyText-IPR"/>
      </w:pPr>
      <w:r>
        <w:rPr>
          <w:rStyle w:val="FootnoteReference"/>
        </w:rPr>
        <w:footnoteRef/>
      </w:r>
      <w:r>
        <w:t xml:space="preserve"> </w:t>
      </w:r>
      <w:r w:rsidRPr="0092428C">
        <w:t xml:space="preserve">Lohr, S. L. (2009). Multiple-frame surveys. </w:t>
      </w:r>
      <w:r w:rsidRPr="008B3A10">
        <w:rPr>
          <w:i/>
          <w:iCs/>
        </w:rPr>
        <w:t xml:space="preserve">Handbook of Statistics, 29, </w:t>
      </w:r>
      <w:r w:rsidRPr="0092428C">
        <w:t>71–88. Elsevier.</w:t>
      </w:r>
    </w:p>
  </w:footnote>
  <w:footnote w:id="3">
    <w:p w14:paraId="15B18AF1" w14:textId="67EBC4A9" w:rsidR="00AE3AA1" w:rsidRDefault="00AE3AA1" w:rsidP="00503F46">
      <w:pPr>
        <w:pStyle w:val="FtnteBodyText-IPR"/>
      </w:pPr>
      <w:r>
        <w:rPr>
          <w:rStyle w:val="FootnoteReference"/>
        </w:rPr>
        <w:footnoteRef/>
      </w:r>
      <w:r>
        <w:t xml:space="preserve"> It is not possible to identify overlap prior to selection because the addresses in the area probability sample will be determined as interviewers are in the field collecting data.</w:t>
      </w:r>
    </w:p>
  </w:footnote>
  <w:footnote w:id="4">
    <w:p w14:paraId="2C39BCD0" w14:textId="51E95E57" w:rsidR="00AE3AA1" w:rsidRDefault="00AE3AA1" w:rsidP="00503F46">
      <w:pPr>
        <w:pStyle w:val="FtnteBodyText-IPR"/>
      </w:pPr>
      <w:r>
        <w:rPr>
          <w:rStyle w:val="FootnoteReference"/>
        </w:rPr>
        <w:footnoteRef/>
      </w:r>
      <w:r>
        <w:t xml:space="preserve"> </w:t>
      </w:r>
      <w:r w:rsidRPr="00E3373B">
        <w:t xml:space="preserve">Hansen, M. H., &amp; Hauser, P. M. (1945). Area sampling—some principles of sample design. </w:t>
      </w:r>
      <w:r w:rsidRPr="008B3A10">
        <w:rPr>
          <w:i/>
          <w:iCs/>
        </w:rPr>
        <w:t>Public Opinion Quarterly, 9</w:t>
      </w:r>
      <w:r w:rsidRPr="00E3373B">
        <w:t>, 183–193</w:t>
      </w:r>
      <w:r>
        <w:t>.</w:t>
      </w:r>
    </w:p>
  </w:footnote>
  <w:footnote w:id="5">
    <w:p w14:paraId="075E586C" w14:textId="77777777" w:rsidR="00AE3AA1" w:rsidRPr="00FB18B5" w:rsidRDefault="00AE3AA1" w:rsidP="00417730">
      <w:pPr>
        <w:pStyle w:val="FootnoteText"/>
        <w:rPr>
          <w:rFonts w:ascii="Calibri" w:hAnsi="Calibri" w:cs="Calibri"/>
        </w:rPr>
      </w:pPr>
      <w:r w:rsidRPr="00FB18B5">
        <w:rPr>
          <w:rStyle w:val="FootnoteReference"/>
          <w:rFonts w:ascii="Calibri" w:hAnsi="Calibri" w:cs="Calibri"/>
        </w:rPr>
        <w:footnoteRef/>
      </w:r>
      <w:r w:rsidRPr="00FB18B5">
        <w:rPr>
          <w:rFonts w:ascii="Calibri" w:hAnsi="Calibri" w:cs="Calibri"/>
        </w:rPr>
        <w:t xml:space="preserve"> A longer field period is required for the area</w:t>
      </w:r>
      <w:r>
        <w:rPr>
          <w:rFonts w:ascii="Calibri" w:hAnsi="Calibri" w:cs="Calibri"/>
        </w:rPr>
        <w:t xml:space="preserve"> </w:t>
      </w:r>
      <w:r w:rsidRPr="00FB18B5">
        <w:rPr>
          <w:rFonts w:ascii="Calibri" w:hAnsi="Calibri" w:cs="Calibri"/>
        </w:rPr>
        <w:t>probability frame to balance sample size with the number of required data collectors.</w:t>
      </w:r>
    </w:p>
  </w:footnote>
  <w:footnote w:id="6">
    <w:p w14:paraId="3E1BB8DF" w14:textId="6EC77141" w:rsidR="00AE3AA1" w:rsidRDefault="00AE3AA1" w:rsidP="00013514">
      <w:pPr>
        <w:pStyle w:val="FtnteBodyText-IPR"/>
      </w:pPr>
      <w:r>
        <w:rPr>
          <w:rStyle w:val="FootnoteReference"/>
        </w:rPr>
        <w:footnoteRef/>
      </w:r>
      <w:r>
        <w:t xml:space="preserve"> </w:t>
      </w:r>
      <w:r w:rsidRPr="00FB3E1E">
        <w:t>Kalton, G.</w:t>
      </w:r>
      <w:r>
        <w:t>,</w:t>
      </w:r>
      <w:r w:rsidRPr="00FB3E1E">
        <w:t xml:space="preserve"> </w:t>
      </w:r>
      <w:r>
        <w:t>&amp;</w:t>
      </w:r>
      <w:r w:rsidRPr="00FB3E1E">
        <w:t xml:space="preserve"> Flores-Cervantes, I. (2003) Weighting </w:t>
      </w:r>
      <w:r>
        <w:t>m</w:t>
      </w:r>
      <w:r w:rsidRPr="00FB3E1E">
        <w:t>ethods.</w:t>
      </w:r>
      <w:r w:rsidRPr="008B3A10">
        <w:rPr>
          <w:i/>
          <w:iCs/>
        </w:rPr>
        <w:t xml:space="preserve"> Journal of Official Statistics, 19,</w:t>
      </w:r>
      <w:r w:rsidRPr="00FB3E1E">
        <w:t xml:space="preserve"> 81</w:t>
      </w:r>
      <w:r>
        <w:t>–</w:t>
      </w:r>
      <w:r w:rsidRPr="00FB3E1E">
        <w:t>97.</w:t>
      </w:r>
    </w:p>
  </w:footnote>
  <w:footnote w:id="7">
    <w:p w14:paraId="018AD355" w14:textId="720F0535" w:rsidR="00AE3AA1" w:rsidRDefault="00AE3AA1" w:rsidP="00013514">
      <w:pPr>
        <w:pStyle w:val="FtnteBodyText-IPR"/>
      </w:pPr>
      <w:r>
        <w:rPr>
          <w:rStyle w:val="FootnoteReference"/>
        </w:rPr>
        <w:footnoteRef/>
      </w:r>
      <w:r>
        <w:t xml:space="preserve"> </w:t>
      </w:r>
      <w:r w:rsidRPr="00FB3E1E">
        <w:t>Kalton, G.</w:t>
      </w:r>
      <w:r>
        <w:t>,</w:t>
      </w:r>
      <w:r w:rsidRPr="00FB3E1E">
        <w:t xml:space="preserve"> </w:t>
      </w:r>
      <w:r>
        <w:t>&amp;</w:t>
      </w:r>
      <w:r w:rsidRPr="00FB3E1E">
        <w:t xml:space="preserve"> Flores-Cervantes, I. (2003) Weighting </w:t>
      </w:r>
      <w:r>
        <w:t>m</w:t>
      </w:r>
      <w:r w:rsidRPr="00FB3E1E">
        <w:t>ethods.</w:t>
      </w:r>
      <w:r w:rsidRPr="00474259">
        <w:rPr>
          <w:i/>
          <w:iCs/>
        </w:rPr>
        <w:t xml:space="preserve"> Journal of Official Statistics, 19,</w:t>
      </w:r>
      <w:r w:rsidRPr="00FB3E1E">
        <w:t xml:space="preserve"> 81</w:t>
      </w:r>
      <w:r>
        <w:t>–</w:t>
      </w:r>
      <w:r w:rsidRPr="00FB3E1E">
        <w:t>97.</w:t>
      </w:r>
    </w:p>
  </w:footnote>
  <w:footnote w:id="8">
    <w:p w14:paraId="4A2CF24F" w14:textId="70E7FFB0" w:rsidR="00AE3AA1" w:rsidRDefault="00AE3AA1" w:rsidP="00013514">
      <w:pPr>
        <w:pStyle w:val="FtnteBodyText-IPR"/>
      </w:pPr>
      <w:r>
        <w:rPr>
          <w:rStyle w:val="FootnoteReference"/>
        </w:rPr>
        <w:footnoteRef/>
      </w:r>
      <w:r>
        <w:t xml:space="preserve"> </w:t>
      </w:r>
      <w:r w:rsidRPr="0092428C">
        <w:t xml:space="preserve">Lohr, S. (2014). When should a multiple frame survey be used? </w:t>
      </w:r>
      <w:r w:rsidRPr="008B3A10">
        <w:rPr>
          <w:i/>
          <w:iCs/>
        </w:rPr>
        <w:t xml:space="preserve">The Survey Statistician, 69, </w:t>
      </w:r>
      <w:r w:rsidRPr="0092428C">
        <w:t>17–21.</w:t>
      </w:r>
    </w:p>
  </w:footnote>
  <w:footnote w:id="9">
    <w:p w14:paraId="78CA4E13" w14:textId="61A08145" w:rsidR="00AE3AA1" w:rsidRDefault="00AE3AA1" w:rsidP="00013514">
      <w:pPr>
        <w:pStyle w:val="FtnteBodyText-IPR"/>
      </w:pPr>
      <w:r>
        <w:rPr>
          <w:rStyle w:val="FootnoteReference"/>
        </w:rPr>
        <w:footnoteRef/>
      </w:r>
      <w:r>
        <w:t xml:space="preserve"> Deming, W. E., &amp; Stephan, F. F. (1940). On a least squares adjustment of a sampled frequency table when the expected marginal tables are known. </w:t>
      </w:r>
      <w:r w:rsidRPr="008B3A10">
        <w:rPr>
          <w:i/>
          <w:iCs/>
        </w:rPr>
        <w:t>Annals</w:t>
      </w:r>
      <w:r>
        <w:rPr>
          <w:i/>
          <w:iCs/>
        </w:rPr>
        <w:t xml:space="preserve"> of</w:t>
      </w:r>
      <w:r w:rsidRPr="008B3A10">
        <w:rPr>
          <w:i/>
          <w:iCs/>
        </w:rPr>
        <w:t xml:space="preserve"> Math</w:t>
      </w:r>
      <w:r>
        <w:rPr>
          <w:i/>
          <w:iCs/>
        </w:rPr>
        <w:t>ematical</w:t>
      </w:r>
      <w:r w:rsidRPr="008B3A10">
        <w:rPr>
          <w:i/>
          <w:iCs/>
        </w:rPr>
        <w:t xml:space="preserve"> Stat</w:t>
      </w:r>
      <w:r>
        <w:rPr>
          <w:i/>
          <w:iCs/>
        </w:rPr>
        <w:t>istics</w:t>
      </w:r>
      <w:r w:rsidRPr="008B3A10">
        <w:rPr>
          <w:i/>
          <w:iCs/>
        </w:rPr>
        <w:t>.,</w:t>
      </w:r>
      <w:r>
        <w:rPr>
          <w:i/>
          <w:iCs/>
        </w:rPr>
        <w:t xml:space="preserve"> II</w:t>
      </w:r>
      <w:r>
        <w:t>, 427–444.</w:t>
      </w:r>
    </w:p>
  </w:footnote>
  <w:footnote w:id="10">
    <w:p w14:paraId="1C6C44CE" w14:textId="58CB4FF6" w:rsidR="00AE3AA1" w:rsidRDefault="00AE3AA1" w:rsidP="00013514">
      <w:pPr>
        <w:pStyle w:val="FtnteBodyText-IPR"/>
      </w:pPr>
      <w:r>
        <w:rPr>
          <w:rStyle w:val="FootnoteReference"/>
        </w:rPr>
        <w:footnoteRef/>
      </w:r>
      <w:r>
        <w:t xml:space="preserve"> Potter, F., &amp; Zheng, Y. (2015). Methods and issues in trimming extreme weights in sample surveys. </w:t>
      </w:r>
      <w:r w:rsidRPr="008B3A10">
        <w:rPr>
          <w:i/>
          <w:iCs/>
        </w:rPr>
        <w:t>Proceedings of the Joint Statistical Meetings.</w:t>
      </w:r>
      <w:r>
        <w:t xml:space="preserve"> http://www.asasrms.org/Proceedings/y2015/files/234115.pdf</w:t>
      </w:r>
    </w:p>
  </w:footnote>
  <w:footnote w:id="11">
    <w:p w14:paraId="2936358A" w14:textId="4FF97EBF" w:rsidR="00AE3AA1" w:rsidRDefault="00AE3AA1" w:rsidP="00013514">
      <w:pPr>
        <w:pStyle w:val="FtnteBodyText-IPR"/>
      </w:pPr>
      <w:r>
        <w:rPr>
          <w:rStyle w:val="FootnoteReference"/>
        </w:rPr>
        <w:footnoteRef/>
      </w:r>
      <w:r>
        <w:t xml:space="preserve"> </w:t>
      </w:r>
      <w:r w:rsidRPr="0092428C">
        <w:t xml:space="preserve">Wolter, K. (2007). </w:t>
      </w:r>
      <w:r w:rsidRPr="00013514">
        <w:rPr>
          <w:i/>
          <w:iCs/>
        </w:rPr>
        <w:t>Introduction to variance estimation</w:t>
      </w:r>
      <w:r w:rsidRPr="008B3A10">
        <w:t>.</w:t>
      </w:r>
      <w:r w:rsidRPr="0092428C">
        <w:t xml:space="preserve"> Springer.</w:t>
      </w:r>
    </w:p>
  </w:footnote>
  <w:footnote w:id="12">
    <w:p w14:paraId="607A8D95" w14:textId="0F139AEB" w:rsidR="00AE3AA1" w:rsidRDefault="00AE3AA1" w:rsidP="00013514">
      <w:pPr>
        <w:pStyle w:val="FtnteBodyText-IPR"/>
      </w:pPr>
      <w:r>
        <w:rPr>
          <w:rStyle w:val="FootnoteReference"/>
        </w:rPr>
        <w:footnoteRef/>
      </w:r>
      <w:r>
        <w:t xml:space="preserve"> </w:t>
      </w:r>
      <w:r w:rsidRPr="0092428C">
        <w:t xml:space="preserve">Brick, J. M., Valliant, R., &amp; Morganstein, D. (2000). </w:t>
      </w:r>
      <w:r w:rsidRPr="008B3A10">
        <w:rPr>
          <w:i/>
          <w:iCs/>
        </w:rPr>
        <w:t>Analysis of complex sample data using replication.</w:t>
      </w:r>
      <w:r w:rsidRPr="0092428C">
        <w:t xml:space="preserve"> https://www.researchgate.net/profile/David_Morganstein/publication/252297575_Analysis_of_Complex_Sample_Data_Using_Replication/links/55562a2e08ae6fd2d8235fbf/Analysis-of-Complex-Sample-Data-Using-Replication.pdf</w:t>
      </w:r>
    </w:p>
  </w:footnote>
  <w:footnote w:id="13">
    <w:p w14:paraId="3627FD81" w14:textId="45284427" w:rsidR="00AE3AA1" w:rsidRDefault="00AE3AA1" w:rsidP="00013514">
      <w:pPr>
        <w:pStyle w:val="FtnteBodyText-IPR"/>
      </w:pPr>
      <w:r>
        <w:rPr>
          <w:rStyle w:val="FootnoteReference"/>
        </w:rPr>
        <w:footnoteRef/>
      </w:r>
      <w:r>
        <w:t xml:space="preserve"> FNS. (2020).</w:t>
      </w:r>
      <w:r w:rsidRPr="006109E2">
        <w:rPr>
          <w:i/>
          <w:iCs/>
        </w:rPr>
        <w:t xml:space="preserve"> SNAP web tables: Puerto Rico Nutrition Assistance Program</w:t>
      </w:r>
      <w:r>
        <w:t xml:space="preserve">. </w:t>
      </w:r>
      <w:r w:rsidRPr="006109E2">
        <w:t>https://fns-prod.azureedge.net/sites/default/files/resource-files/PR%24Ben%23Part-7.pdf</w:t>
      </w:r>
    </w:p>
  </w:footnote>
  <w:footnote w:id="14">
    <w:p w14:paraId="0E45F94B" w14:textId="0AC7101A" w:rsidR="00AE3AA1" w:rsidRDefault="00AE3AA1" w:rsidP="00013514">
      <w:pPr>
        <w:pStyle w:val="FtnteBodyText-IPR"/>
      </w:pPr>
      <w:r>
        <w:rPr>
          <w:rStyle w:val="FootnoteReference"/>
        </w:rPr>
        <w:footnoteRef/>
      </w:r>
      <w:r>
        <w:t xml:space="preserve"> Although the 2015–2019 ACS PUMS data are available as of the time of submission of this supporting statement, the 2014–2018 PUMS data were the most recent available at the time the sample design was finalized.</w:t>
      </w:r>
    </w:p>
  </w:footnote>
  <w:footnote w:id="15">
    <w:p w14:paraId="0229569E" w14:textId="29A70FCC" w:rsidR="00AE3AA1" w:rsidRDefault="00AE3AA1" w:rsidP="00CB6433">
      <w:pPr>
        <w:pStyle w:val="FtnteBodyText-IPR"/>
      </w:pPr>
      <w:r>
        <w:rPr>
          <w:rStyle w:val="FootnoteReference"/>
        </w:rPr>
        <w:footnoteRef/>
      </w:r>
      <w:r>
        <w:t xml:space="preserve"> </w:t>
      </w:r>
      <w:r w:rsidRPr="0092428C">
        <w:t xml:space="preserve">Acosta, R. J., Kishore, N., Irizarry, R. A., &amp; Buckee, C. O. (2020). Quantifying the dynamics of migration after Hurricane Maria in Puerto Rico. </w:t>
      </w:r>
      <w:r w:rsidRPr="008B3A10">
        <w:rPr>
          <w:i/>
          <w:iCs/>
        </w:rPr>
        <w:t>Proceedings of the National Academy of Sciences of the United States of America, 117</w:t>
      </w:r>
      <w:r w:rsidRPr="0092428C">
        <w:t>(51), 32772–32778.</w:t>
      </w:r>
    </w:p>
  </w:footnote>
  <w:footnote w:id="16">
    <w:p w14:paraId="5D3FAF08" w14:textId="77777777" w:rsidR="00AE3AA1" w:rsidRPr="009942CC" w:rsidRDefault="00AE3AA1" w:rsidP="00B760AB">
      <w:pPr>
        <w:pStyle w:val="FootnoteText"/>
        <w:rPr>
          <w:rFonts w:ascii="Calibri" w:hAnsi="Calibri" w:cs="Calibri"/>
        </w:rPr>
      </w:pPr>
      <w:r w:rsidRPr="009942CC">
        <w:rPr>
          <w:rStyle w:val="FootnoteReference"/>
          <w:rFonts w:ascii="Calibri" w:hAnsi="Calibri" w:cs="Calibri"/>
        </w:rPr>
        <w:footnoteRef/>
      </w:r>
      <w:r w:rsidRPr="009942CC">
        <w:rPr>
          <w:rFonts w:ascii="Calibri" w:hAnsi="Calibri" w:cs="Calibri"/>
        </w:rPr>
        <w:t xml:space="preserve"> Karakus, M., MacAllum, K., Milfort, R., &amp; Hao, H. (2014). </w:t>
      </w:r>
      <w:r w:rsidRPr="009942CC">
        <w:rPr>
          <w:rFonts w:ascii="Calibri" w:hAnsi="Calibri" w:cs="Calibri"/>
          <w:i/>
          <w:iCs/>
        </w:rPr>
        <w:t>Nutrition assistance in farmers markets: Understanding the shopping patterns of SNAP participants.</w:t>
      </w:r>
      <w:r w:rsidRPr="009942CC">
        <w:rPr>
          <w:rFonts w:ascii="Calibri" w:hAnsi="Calibri" w:cs="Calibri"/>
        </w:rPr>
        <w:t xml:space="preserve"> Westat. </w:t>
      </w:r>
      <w:hyperlink r:id="rId1" w:history="1">
        <w:r w:rsidRPr="009942CC">
          <w:rPr>
            <w:rStyle w:val="Hyperlink"/>
            <w:rFonts w:ascii="Calibri" w:hAnsi="Calibri" w:cs="Calibri"/>
            <w:color w:val="auto"/>
            <w:u w:val="none"/>
          </w:rPr>
          <w:t>https://www.fns.usda.gov/sites/default/files/FarmersMarkets-Shopping-Patterns.pdf</w:t>
        </w:r>
      </w:hyperlink>
    </w:p>
  </w:footnote>
  <w:footnote w:id="17">
    <w:p w14:paraId="6F2AA4B0" w14:textId="77777777" w:rsidR="00AE3AA1" w:rsidRPr="00FB18B5" w:rsidRDefault="00AE3AA1" w:rsidP="00B760AB">
      <w:pPr>
        <w:pStyle w:val="FootnoteText"/>
        <w:rPr>
          <w:rFonts w:ascii="Calibri" w:hAnsi="Calibri" w:cs="Calibri"/>
        </w:rPr>
      </w:pPr>
      <w:r w:rsidRPr="00FB18B5">
        <w:rPr>
          <w:rStyle w:val="FootnoteReference"/>
          <w:rFonts w:ascii="Calibri" w:hAnsi="Calibri" w:cs="Calibri"/>
        </w:rPr>
        <w:footnoteRef/>
      </w:r>
      <w:r w:rsidRPr="00A279B3">
        <w:rPr>
          <w:rFonts w:ascii="Calibri" w:hAnsi="Calibri" w:cs="Calibri"/>
          <w:lang w:val="es-PR"/>
        </w:rPr>
        <w:t xml:space="preserve"> Mercer, A., Caporaso, A., Cantor, D., &amp; Townsend R. (2015). </w:t>
      </w:r>
      <w:r w:rsidRPr="00FB18B5">
        <w:rPr>
          <w:rFonts w:ascii="Calibri" w:hAnsi="Calibri" w:cs="Calibri"/>
        </w:rPr>
        <w:t xml:space="preserve">How much gets you how much? Monetary incentives and response rates in household surveys. </w:t>
      </w:r>
      <w:r w:rsidRPr="00FB18B5">
        <w:rPr>
          <w:rFonts w:ascii="Calibri" w:hAnsi="Calibri" w:cs="Calibri"/>
          <w:i/>
        </w:rPr>
        <w:t xml:space="preserve">Public Opinion Quarterly, </w:t>
      </w:r>
      <w:r w:rsidRPr="008B3A10">
        <w:rPr>
          <w:rFonts w:ascii="Calibri" w:hAnsi="Calibri" w:cs="Calibri"/>
          <w:i/>
          <w:iCs/>
        </w:rPr>
        <w:t>79</w:t>
      </w:r>
      <w:r>
        <w:rPr>
          <w:rFonts w:ascii="Calibri" w:hAnsi="Calibri" w:cs="Calibri"/>
        </w:rPr>
        <w:t>(</w:t>
      </w:r>
      <w:r w:rsidRPr="00FB18B5">
        <w:rPr>
          <w:rFonts w:ascii="Calibri" w:hAnsi="Calibri" w:cs="Calibri"/>
        </w:rPr>
        <w:t>1</w:t>
      </w:r>
      <w:r>
        <w:rPr>
          <w:rFonts w:ascii="Calibri" w:hAnsi="Calibri" w:cs="Calibri"/>
        </w:rPr>
        <w:t>),</w:t>
      </w:r>
      <w:r w:rsidRPr="00FB18B5">
        <w:rPr>
          <w:rFonts w:ascii="Calibri" w:hAnsi="Calibri" w:cs="Calibri"/>
        </w:rPr>
        <w:t xml:space="preserve"> 102</w:t>
      </w:r>
      <w:r>
        <w:rPr>
          <w:rFonts w:ascii="Calibri" w:hAnsi="Calibri" w:cs="Calibri"/>
        </w:rPr>
        <w:t>–</w:t>
      </w:r>
      <w:r w:rsidRPr="00FB18B5">
        <w:rPr>
          <w:rFonts w:ascii="Calibri" w:hAnsi="Calibri" w:cs="Calibri"/>
        </w:rPr>
        <w:t>129.</w:t>
      </w:r>
    </w:p>
  </w:footnote>
  <w:footnote w:id="18">
    <w:p w14:paraId="527BB567" w14:textId="77777777" w:rsidR="00AE3AA1" w:rsidRDefault="00AE3AA1" w:rsidP="00B760AB">
      <w:pPr>
        <w:pStyle w:val="FtnteBodyText-IPR"/>
      </w:pPr>
      <w:r>
        <w:rPr>
          <w:rStyle w:val="FootnoteReference"/>
        </w:rPr>
        <w:footnoteRef/>
      </w:r>
      <w:r>
        <w:t xml:space="preserve"> </w:t>
      </w:r>
      <w:r w:rsidRPr="00890037">
        <w:t xml:space="preserve">The study team has not predetermined what type of gift card will be used. As has been approved for previous FNS studies, the team typically asks a local </w:t>
      </w:r>
      <w:r>
        <w:t>contact</w:t>
      </w:r>
      <w:r w:rsidRPr="00890037">
        <w:t xml:space="preserve"> (e.g., Estudios Técnicos</w:t>
      </w:r>
      <w:r>
        <w:t>)</w:t>
      </w:r>
      <w:r w:rsidRPr="00890037">
        <w:t xml:space="preserve"> during the planning phase </w:t>
      </w:r>
      <w:r>
        <w:t xml:space="preserve">about </w:t>
      </w:r>
      <w:r w:rsidRPr="00890037">
        <w:t>the most useful type of gift card for respondents in that particular community. For example, in some communities</w:t>
      </w:r>
      <w:r>
        <w:t>,</w:t>
      </w:r>
      <w:r w:rsidRPr="00890037">
        <w:t xml:space="preserve"> it might be a local grocery store, whereas in other communit</w:t>
      </w:r>
      <w:r>
        <w:t>ies,</w:t>
      </w:r>
      <w:r w:rsidRPr="00890037">
        <w:t xml:space="preserve"> it might be a national chain store. Generic credit card gift cards, such as Visa and MasterCard, include an activation fee above and beyond the value of the card, which means participants would not receive the full benefit of the token of appreciation.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63D0" w14:textId="21A985B7" w:rsidR="00AE3AA1" w:rsidRDefault="00AE3AA1" w:rsidP="003D5F5A">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2B7D" w14:textId="77777777" w:rsidR="00AE3AA1" w:rsidRPr="0075442C" w:rsidRDefault="00AE3AA1" w:rsidP="008348FA">
    <w:pPr>
      <w:pStyle w:val="BlankHeaderFooter-I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2E9" w14:textId="7497B572" w:rsidR="00AE3AA1" w:rsidRPr="0075442C" w:rsidRDefault="00AE3AA1" w:rsidP="008348FA">
    <w:pPr>
      <w:pStyle w:val="BlankHeaderFooter-I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66F"/>
    <w:multiLevelType w:val="hybridMultilevel"/>
    <w:tmpl w:val="5E7C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18167BF"/>
    <w:multiLevelType w:val="multilevel"/>
    <w:tmpl w:val="C51AF388"/>
    <w:numStyleLink w:val="Numbers12ptCalibriList"/>
  </w:abstractNum>
  <w:abstractNum w:abstractNumId="3" w15:restartNumberingAfterBreak="0">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4"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5" w15:restartNumberingAfterBreak="0">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0" w15:restartNumberingAfterBreak="0">
    <w:nsid w:val="14036FA4"/>
    <w:multiLevelType w:val="hybridMultilevel"/>
    <w:tmpl w:val="2834BFEC"/>
    <w:lvl w:ilvl="0" w:tplc="1024793E">
      <w:start w:val="1"/>
      <w:numFmt w:val="decimal"/>
      <w:pStyle w:val="Hdng3-IPR"/>
      <w:lvlText w:val="B.%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40C8B"/>
    <w:multiLevelType w:val="multilevel"/>
    <w:tmpl w:val="FEDA94D8"/>
    <w:numStyleLink w:val="Bullets12ptCalibriList"/>
  </w:abstractNum>
  <w:abstractNum w:abstractNumId="12" w15:restartNumberingAfterBreak="0">
    <w:nsid w:val="15115E88"/>
    <w:multiLevelType w:val="multilevel"/>
    <w:tmpl w:val="D778BBDE"/>
    <w:numStyleLink w:val="TableBlackBulletsList-IPR"/>
  </w:abstractNum>
  <w:abstractNum w:abstractNumId="13" w15:restartNumberingAfterBreak="0">
    <w:nsid w:val="15520F3F"/>
    <w:multiLevelType w:val="multilevel"/>
    <w:tmpl w:val="808E5508"/>
    <w:numStyleLink w:val="Bullets11ptCalibriList"/>
  </w:abstractNum>
  <w:abstractNum w:abstractNumId="14"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1DE87F10"/>
    <w:multiLevelType w:val="multilevel"/>
    <w:tmpl w:val="B71660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17" w15:restartNumberingAfterBreak="0">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34D58"/>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5FF6889"/>
    <w:multiLevelType w:val="singleLevel"/>
    <w:tmpl w:val="0C3EF25E"/>
    <w:lvl w:ilvl="0">
      <w:start w:val="1"/>
      <w:numFmt w:val="bullet"/>
      <w:pStyle w:val="BulletsRed-IPR"/>
      <w:lvlText w:val="}"/>
      <w:lvlJc w:val="left"/>
      <w:pPr>
        <w:ind w:left="720" w:hanging="360"/>
      </w:pPr>
      <w:rPr>
        <w:rFonts w:ascii="Wingdings 3" w:hAnsi="Wingdings 3" w:hint="default"/>
        <w:color w:val="C0504D"/>
      </w:rPr>
    </w:lvl>
  </w:abstractNum>
  <w:abstractNum w:abstractNumId="21"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23"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4" w15:restartNumberingAfterBreak="0">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5" w15:restartNumberingAfterBreak="0">
    <w:nsid w:val="37D512D0"/>
    <w:multiLevelType w:val="hybridMultilevel"/>
    <w:tmpl w:val="CE9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27" w15:restartNumberingAfterBreak="0">
    <w:nsid w:val="3B4E5F13"/>
    <w:multiLevelType w:val="hybridMultilevel"/>
    <w:tmpl w:val="B0EE1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9" w15:restartNumberingAfterBreak="0">
    <w:nsid w:val="510D1D2B"/>
    <w:multiLevelType w:val="hybridMultilevel"/>
    <w:tmpl w:val="8836F004"/>
    <w:lvl w:ilvl="0" w:tplc="57664AD8">
      <w:numFmt w:val="bullet"/>
      <w:lvlText w:val=""/>
      <w:lvlJc w:val="left"/>
      <w:pPr>
        <w:ind w:left="880" w:hanging="361"/>
      </w:pPr>
      <w:rPr>
        <w:rFonts w:ascii="Wingdings 3" w:eastAsia="Wingdings 3" w:hAnsi="Wingdings 3" w:cs="Wingdings 3" w:hint="default"/>
        <w:b w:val="0"/>
        <w:bCs w:val="0"/>
        <w:i w:val="0"/>
        <w:iCs w:val="0"/>
        <w:color w:val="B12732"/>
        <w:w w:val="99"/>
        <w:sz w:val="22"/>
        <w:szCs w:val="22"/>
      </w:rPr>
    </w:lvl>
    <w:lvl w:ilvl="1" w:tplc="BDA4EE48">
      <w:numFmt w:val="bullet"/>
      <w:lvlText w:val="•"/>
      <w:lvlJc w:val="left"/>
      <w:pPr>
        <w:ind w:left="1762" w:hanging="361"/>
      </w:pPr>
      <w:rPr>
        <w:rFonts w:hint="default"/>
      </w:rPr>
    </w:lvl>
    <w:lvl w:ilvl="2" w:tplc="C8F29772">
      <w:numFmt w:val="bullet"/>
      <w:lvlText w:val="•"/>
      <w:lvlJc w:val="left"/>
      <w:pPr>
        <w:ind w:left="2644" w:hanging="361"/>
      </w:pPr>
      <w:rPr>
        <w:rFonts w:hint="default"/>
      </w:rPr>
    </w:lvl>
    <w:lvl w:ilvl="3" w:tplc="92D0CADE">
      <w:numFmt w:val="bullet"/>
      <w:lvlText w:val="•"/>
      <w:lvlJc w:val="left"/>
      <w:pPr>
        <w:ind w:left="3526" w:hanging="361"/>
      </w:pPr>
      <w:rPr>
        <w:rFonts w:hint="default"/>
      </w:rPr>
    </w:lvl>
    <w:lvl w:ilvl="4" w:tplc="1DE40A0A">
      <w:numFmt w:val="bullet"/>
      <w:lvlText w:val="•"/>
      <w:lvlJc w:val="left"/>
      <w:pPr>
        <w:ind w:left="4408" w:hanging="361"/>
      </w:pPr>
      <w:rPr>
        <w:rFonts w:hint="default"/>
      </w:rPr>
    </w:lvl>
    <w:lvl w:ilvl="5" w:tplc="77B021D6">
      <w:numFmt w:val="bullet"/>
      <w:lvlText w:val="•"/>
      <w:lvlJc w:val="left"/>
      <w:pPr>
        <w:ind w:left="5290" w:hanging="361"/>
      </w:pPr>
      <w:rPr>
        <w:rFonts w:hint="default"/>
      </w:rPr>
    </w:lvl>
    <w:lvl w:ilvl="6" w:tplc="992E0D90">
      <w:numFmt w:val="bullet"/>
      <w:lvlText w:val="•"/>
      <w:lvlJc w:val="left"/>
      <w:pPr>
        <w:ind w:left="6172" w:hanging="361"/>
      </w:pPr>
      <w:rPr>
        <w:rFonts w:hint="default"/>
      </w:rPr>
    </w:lvl>
    <w:lvl w:ilvl="7" w:tplc="BDACE770">
      <w:numFmt w:val="bullet"/>
      <w:lvlText w:val="•"/>
      <w:lvlJc w:val="left"/>
      <w:pPr>
        <w:ind w:left="7054" w:hanging="361"/>
      </w:pPr>
      <w:rPr>
        <w:rFonts w:hint="default"/>
      </w:rPr>
    </w:lvl>
    <w:lvl w:ilvl="8" w:tplc="5D946D94">
      <w:numFmt w:val="bullet"/>
      <w:lvlText w:val="•"/>
      <w:lvlJc w:val="left"/>
      <w:pPr>
        <w:ind w:left="7936" w:hanging="361"/>
      </w:pPr>
      <w:rPr>
        <w:rFonts w:hint="default"/>
      </w:rPr>
    </w:lvl>
  </w:abstractNum>
  <w:abstractNum w:abstractNumId="30" w15:restartNumberingAfterBreak="0">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31" w15:restartNumberingAfterBreak="0">
    <w:nsid w:val="54BC6EB8"/>
    <w:multiLevelType w:val="multilevel"/>
    <w:tmpl w:val="B84CE8A6"/>
    <w:numStyleLink w:val="TableRedNumbersList-IPR"/>
  </w:abstractNum>
  <w:abstractNum w:abstractNumId="32" w15:restartNumberingAfterBreak="0">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33561"/>
    <w:multiLevelType w:val="multilevel"/>
    <w:tmpl w:val="0F64D042"/>
    <w:numStyleLink w:val="Numbers11ptCalibriList"/>
  </w:abstractNum>
  <w:abstractNum w:abstractNumId="34" w15:restartNumberingAfterBreak="0">
    <w:nsid w:val="679A4D49"/>
    <w:multiLevelType w:val="multilevel"/>
    <w:tmpl w:val="E0FE1110"/>
    <w:numStyleLink w:val="TableRedBulletsList-IPR"/>
  </w:abstractNum>
  <w:abstractNum w:abstractNumId="35" w15:restartNumberingAfterBreak="0">
    <w:nsid w:val="6DB92FF7"/>
    <w:multiLevelType w:val="hybridMultilevel"/>
    <w:tmpl w:val="87EA8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6"/>
  </w:num>
  <w:num w:numId="4">
    <w:abstractNumId w:val="4"/>
  </w:num>
  <w:num w:numId="5">
    <w:abstractNumId w:val="14"/>
  </w:num>
  <w:num w:numId="6">
    <w:abstractNumId w:val="24"/>
  </w:num>
  <w:num w:numId="7">
    <w:abstractNumId w:val="3"/>
  </w:num>
  <w:num w:numId="8">
    <w:abstractNumId w:val="9"/>
  </w:num>
  <w:num w:numId="9">
    <w:abstractNumId w:val="31"/>
  </w:num>
  <w:num w:numId="10">
    <w:abstractNumId w:val="17"/>
  </w:num>
  <w:num w:numId="11">
    <w:abstractNumId w:val="30"/>
  </w:num>
  <w:num w:numId="12">
    <w:abstractNumId w:val="1"/>
  </w:num>
  <w:num w:numId="13">
    <w:abstractNumId w:val="22"/>
  </w:num>
  <w:num w:numId="14">
    <w:abstractNumId w:val="23"/>
  </w:num>
  <w:num w:numId="15">
    <w:abstractNumId w:val="28"/>
  </w:num>
  <w:num w:numId="16">
    <w:abstractNumId w:val="33"/>
  </w:num>
  <w:num w:numId="17">
    <w:abstractNumId w:val="2"/>
  </w:num>
  <w:num w:numId="18">
    <w:abstractNumId w:val="34"/>
  </w:num>
  <w:num w:numId="19">
    <w:abstractNumId w:val="26"/>
  </w:num>
  <w:num w:numId="20">
    <w:abstractNumId w:val="12"/>
  </w:num>
  <w:num w:numId="21">
    <w:abstractNumId w:val="11"/>
  </w:num>
  <w:num w:numId="22">
    <w:abstractNumId w:val="13"/>
  </w:num>
  <w:num w:numId="23">
    <w:abstractNumId w:val="20"/>
  </w:num>
  <w:num w:numId="24">
    <w:abstractNumId w:val="5"/>
  </w:num>
  <w:num w:numId="25">
    <w:abstractNumId w:val="19"/>
    <w:lvlOverride w:ilvl="0">
      <w:lvl w:ilvl="0">
        <w:start w:val="1"/>
        <w:numFmt w:val="bullet"/>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26">
    <w:abstractNumId w:val="6"/>
  </w:num>
  <w:num w:numId="27">
    <w:abstractNumId w:val="7"/>
    <w:lvlOverride w:ilvl="0">
      <w:lvl w:ilvl="0">
        <w:start w:val="1"/>
        <w:numFmt w:val="decimal"/>
        <w:pStyle w:val="NumbersRed-IPR"/>
        <w:lvlText w:val="%1."/>
        <w:lvlJc w:val="left"/>
        <w:pPr>
          <w:ind w:left="720" w:hanging="360"/>
        </w:pPr>
        <w:rPr>
          <w:rFonts w:hint="default"/>
          <w:b w:val="0"/>
          <w:color w:val="B12732"/>
          <w:sz w:val="24"/>
          <w:szCs w:val="24"/>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B12732"/>
        </w:rPr>
      </w:lvl>
    </w:lvlOverride>
  </w:num>
  <w:num w:numId="28">
    <w:abstractNumId w:val="18"/>
  </w:num>
  <w:num w:numId="29">
    <w:abstractNumId w:val="15"/>
  </w:num>
  <w:num w:numId="30">
    <w:abstractNumId w:val="7"/>
  </w:num>
  <w:num w:numId="31">
    <w:abstractNumId w:val="29"/>
  </w:num>
  <w:num w:numId="32">
    <w:abstractNumId w:val="27"/>
  </w:num>
  <w:num w:numId="33">
    <w:abstractNumId w:val="0"/>
  </w:num>
  <w:num w:numId="34">
    <w:abstractNumId w:val="25"/>
  </w:num>
  <w:num w:numId="35">
    <w:abstractNumId w:val="35"/>
  </w:num>
  <w:num w:numId="36">
    <w:abstractNumId w:val="8"/>
  </w:num>
  <w:num w:numId="3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s-PR" w:vendorID="64" w:dllVersion="6" w:nlCheck="1" w:checkStyle="1"/>
  <w:activeWritingStyle w:appName="MSWord" w:lang="en-US" w:vendorID="64" w:dllVersion="0" w:nlCheck="1" w:checkStyle="0"/>
  <w:activeWritingStyle w:appName="MSWord" w:lang="es-AR" w:vendorID="64" w:dllVersion="6" w:nlCheck="1" w:checkStyle="1"/>
  <w:activeWritingStyle w:appName="MSWord" w:lang="es-AR" w:vendorID="64" w:dllVersion="0" w:nlCheck="1" w:checkStyle="0"/>
  <w:activeWritingStyle w:appName="MSWord" w:lang="es-PR" w:vendorID="64" w:dllVersion="0"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90113"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77"/>
    <w:rsid w:val="00000381"/>
    <w:rsid w:val="000008D7"/>
    <w:rsid w:val="00000B9B"/>
    <w:rsid w:val="00000D72"/>
    <w:rsid w:val="0000164D"/>
    <w:rsid w:val="0000167D"/>
    <w:rsid w:val="000020D7"/>
    <w:rsid w:val="000028B3"/>
    <w:rsid w:val="00002FEA"/>
    <w:rsid w:val="000035E7"/>
    <w:rsid w:val="00003715"/>
    <w:rsid w:val="00003C72"/>
    <w:rsid w:val="00004316"/>
    <w:rsid w:val="00004C72"/>
    <w:rsid w:val="00004DA9"/>
    <w:rsid w:val="00004FA1"/>
    <w:rsid w:val="00005A75"/>
    <w:rsid w:val="00006749"/>
    <w:rsid w:val="000105FD"/>
    <w:rsid w:val="00010818"/>
    <w:rsid w:val="000109B3"/>
    <w:rsid w:val="00010FBC"/>
    <w:rsid w:val="00011199"/>
    <w:rsid w:val="00011367"/>
    <w:rsid w:val="000117EE"/>
    <w:rsid w:val="00011FA0"/>
    <w:rsid w:val="00012663"/>
    <w:rsid w:val="00012994"/>
    <w:rsid w:val="00013040"/>
    <w:rsid w:val="0001308A"/>
    <w:rsid w:val="00013514"/>
    <w:rsid w:val="00013DE2"/>
    <w:rsid w:val="00014015"/>
    <w:rsid w:val="00014294"/>
    <w:rsid w:val="00014451"/>
    <w:rsid w:val="00015D8D"/>
    <w:rsid w:val="000162E6"/>
    <w:rsid w:val="00016367"/>
    <w:rsid w:val="000164D5"/>
    <w:rsid w:val="0001673E"/>
    <w:rsid w:val="00016B98"/>
    <w:rsid w:val="00016C61"/>
    <w:rsid w:val="00017136"/>
    <w:rsid w:val="00017CEE"/>
    <w:rsid w:val="000208D1"/>
    <w:rsid w:val="00021CFC"/>
    <w:rsid w:val="000225DE"/>
    <w:rsid w:val="0002359A"/>
    <w:rsid w:val="0002385E"/>
    <w:rsid w:val="0002495F"/>
    <w:rsid w:val="0002497B"/>
    <w:rsid w:val="00024A86"/>
    <w:rsid w:val="00025B1C"/>
    <w:rsid w:val="00025C27"/>
    <w:rsid w:val="0002600B"/>
    <w:rsid w:val="00026813"/>
    <w:rsid w:val="00026ADE"/>
    <w:rsid w:val="00027680"/>
    <w:rsid w:val="000277F2"/>
    <w:rsid w:val="00027C26"/>
    <w:rsid w:val="00027C57"/>
    <w:rsid w:val="00027FC3"/>
    <w:rsid w:val="00032BB8"/>
    <w:rsid w:val="000333BF"/>
    <w:rsid w:val="00033F7E"/>
    <w:rsid w:val="00034184"/>
    <w:rsid w:val="00034442"/>
    <w:rsid w:val="00035110"/>
    <w:rsid w:val="00035825"/>
    <w:rsid w:val="000364BC"/>
    <w:rsid w:val="0003654E"/>
    <w:rsid w:val="0003701E"/>
    <w:rsid w:val="000371C3"/>
    <w:rsid w:val="000373FB"/>
    <w:rsid w:val="00037DD9"/>
    <w:rsid w:val="00040B87"/>
    <w:rsid w:val="00040E67"/>
    <w:rsid w:val="000418DB"/>
    <w:rsid w:val="00041AA2"/>
    <w:rsid w:val="00041AAD"/>
    <w:rsid w:val="00042240"/>
    <w:rsid w:val="00043375"/>
    <w:rsid w:val="0004375B"/>
    <w:rsid w:val="00043ECE"/>
    <w:rsid w:val="00044635"/>
    <w:rsid w:val="00044F90"/>
    <w:rsid w:val="000451CB"/>
    <w:rsid w:val="00045355"/>
    <w:rsid w:val="00045F22"/>
    <w:rsid w:val="00046A23"/>
    <w:rsid w:val="00047ECD"/>
    <w:rsid w:val="00050050"/>
    <w:rsid w:val="00050760"/>
    <w:rsid w:val="000510B6"/>
    <w:rsid w:val="00051C42"/>
    <w:rsid w:val="00051E16"/>
    <w:rsid w:val="00052584"/>
    <w:rsid w:val="000529E1"/>
    <w:rsid w:val="000537C6"/>
    <w:rsid w:val="00053EED"/>
    <w:rsid w:val="00054805"/>
    <w:rsid w:val="00054E2A"/>
    <w:rsid w:val="000550B6"/>
    <w:rsid w:val="00057F37"/>
    <w:rsid w:val="000608D2"/>
    <w:rsid w:val="00061425"/>
    <w:rsid w:val="00061518"/>
    <w:rsid w:val="000615D5"/>
    <w:rsid w:val="00061B2E"/>
    <w:rsid w:val="00062078"/>
    <w:rsid w:val="00062547"/>
    <w:rsid w:val="00062FBA"/>
    <w:rsid w:val="000644D1"/>
    <w:rsid w:val="00064E28"/>
    <w:rsid w:val="00066010"/>
    <w:rsid w:val="0006706F"/>
    <w:rsid w:val="00067757"/>
    <w:rsid w:val="0006788E"/>
    <w:rsid w:val="00067D28"/>
    <w:rsid w:val="00067E89"/>
    <w:rsid w:val="00067EB6"/>
    <w:rsid w:val="00067F19"/>
    <w:rsid w:val="000706EA"/>
    <w:rsid w:val="00070880"/>
    <w:rsid w:val="00070EB9"/>
    <w:rsid w:val="00071425"/>
    <w:rsid w:val="0007162B"/>
    <w:rsid w:val="000726F1"/>
    <w:rsid w:val="000730E7"/>
    <w:rsid w:val="00073D29"/>
    <w:rsid w:val="00074A0C"/>
    <w:rsid w:val="000752C5"/>
    <w:rsid w:val="0007730B"/>
    <w:rsid w:val="000778F2"/>
    <w:rsid w:val="00077DD8"/>
    <w:rsid w:val="00077F51"/>
    <w:rsid w:val="00077F8D"/>
    <w:rsid w:val="00080DC1"/>
    <w:rsid w:val="000812CC"/>
    <w:rsid w:val="00081793"/>
    <w:rsid w:val="00082314"/>
    <w:rsid w:val="00082618"/>
    <w:rsid w:val="00082902"/>
    <w:rsid w:val="00083D7F"/>
    <w:rsid w:val="00083F26"/>
    <w:rsid w:val="00084255"/>
    <w:rsid w:val="000853C8"/>
    <w:rsid w:val="000858AB"/>
    <w:rsid w:val="00086137"/>
    <w:rsid w:val="00086441"/>
    <w:rsid w:val="00087F61"/>
    <w:rsid w:val="000901B1"/>
    <w:rsid w:val="00090F03"/>
    <w:rsid w:val="00090F27"/>
    <w:rsid w:val="00091321"/>
    <w:rsid w:val="0009218A"/>
    <w:rsid w:val="00092AC7"/>
    <w:rsid w:val="0009352C"/>
    <w:rsid w:val="00093614"/>
    <w:rsid w:val="00093878"/>
    <w:rsid w:val="00093F41"/>
    <w:rsid w:val="00094A94"/>
    <w:rsid w:val="00094B9B"/>
    <w:rsid w:val="0009551A"/>
    <w:rsid w:val="00095899"/>
    <w:rsid w:val="00095A30"/>
    <w:rsid w:val="0009702F"/>
    <w:rsid w:val="0009743C"/>
    <w:rsid w:val="000A10B2"/>
    <w:rsid w:val="000A134A"/>
    <w:rsid w:val="000A1E3B"/>
    <w:rsid w:val="000A2606"/>
    <w:rsid w:val="000A2880"/>
    <w:rsid w:val="000A35B4"/>
    <w:rsid w:val="000A4461"/>
    <w:rsid w:val="000A4844"/>
    <w:rsid w:val="000A4B3F"/>
    <w:rsid w:val="000A6774"/>
    <w:rsid w:val="000A6AF8"/>
    <w:rsid w:val="000B09A1"/>
    <w:rsid w:val="000B0A72"/>
    <w:rsid w:val="000B0C79"/>
    <w:rsid w:val="000B1B77"/>
    <w:rsid w:val="000B1EDC"/>
    <w:rsid w:val="000B2D5D"/>
    <w:rsid w:val="000B3462"/>
    <w:rsid w:val="000B3575"/>
    <w:rsid w:val="000B3AE7"/>
    <w:rsid w:val="000B3BDC"/>
    <w:rsid w:val="000B4DAD"/>
    <w:rsid w:val="000B50B3"/>
    <w:rsid w:val="000B50C4"/>
    <w:rsid w:val="000B5407"/>
    <w:rsid w:val="000B6214"/>
    <w:rsid w:val="000B72CA"/>
    <w:rsid w:val="000B7407"/>
    <w:rsid w:val="000C11E5"/>
    <w:rsid w:val="000C1572"/>
    <w:rsid w:val="000C2197"/>
    <w:rsid w:val="000C2294"/>
    <w:rsid w:val="000C2702"/>
    <w:rsid w:val="000C2B57"/>
    <w:rsid w:val="000C2C63"/>
    <w:rsid w:val="000C3205"/>
    <w:rsid w:val="000C3A2D"/>
    <w:rsid w:val="000C3A59"/>
    <w:rsid w:val="000C3BD3"/>
    <w:rsid w:val="000C44B7"/>
    <w:rsid w:val="000C4B5D"/>
    <w:rsid w:val="000C5DD4"/>
    <w:rsid w:val="000C62A4"/>
    <w:rsid w:val="000C688D"/>
    <w:rsid w:val="000C692F"/>
    <w:rsid w:val="000C6A5B"/>
    <w:rsid w:val="000C6B41"/>
    <w:rsid w:val="000C7FC6"/>
    <w:rsid w:val="000C7FF1"/>
    <w:rsid w:val="000D10A0"/>
    <w:rsid w:val="000D11C2"/>
    <w:rsid w:val="000D1542"/>
    <w:rsid w:val="000D2BDC"/>
    <w:rsid w:val="000D31CD"/>
    <w:rsid w:val="000D3407"/>
    <w:rsid w:val="000D400A"/>
    <w:rsid w:val="000D5FBB"/>
    <w:rsid w:val="000D610B"/>
    <w:rsid w:val="000D62CD"/>
    <w:rsid w:val="000D64A5"/>
    <w:rsid w:val="000D7756"/>
    <w:rsid w:val="000D7E6F"/>
    <w:rsid w:val="000E0279"/>
    <w:rsid w:val="000E02F0"/>
    <w:rsid w:val="000E0A3E"/>
    <w:rsid w:val="000E1621"/>
    <w:rsid w:val="000E25B3"/>
    <w:rsid w:val="000E2693"/>
    <w:rsid w:val="000E38E4"/>
    <w:rsid w:val="000E3C70"/>
    <w:rsid w:val="000E3CDA"/>
    <w:rsid w:val="000E4AA4"/>
    <w:rsid w:val="000E523D"/>
    <w:rsid w:val="000E5AD4"/>
    <w:rsid w:val="000E62A9"/>
    <w:rsid w:val="000E668C"/>
    <w:rsid w:val="000E6934"/>
    <w:rsid w:val="000E6E72"/>
    <w:rsid w:val="000E7677"/>
    <w:rsid w:val="000E7CC2"/>
    <w:rsid w:val="000F1D52"/>
    <w:rsid w:val="000F1F29"/>
    <w:rsid w:val="000F2986"/>
    <w:rsid w:val="000F31F3"/>
    <w:rsid w:val="000F377E"/>
    <w:rsid w:val="000F3885"/>
    <w:rsid w:val="000F3ABA"/>
    <w:rsid w:val="000F43A9"/>
    <w:rsid w:val="000F49AE"/>
    <w:rsid w:val="000F4AC3"/>
    <w:rsid w:val="000F4C86"/>
    <w:rsid w:val="000F6037"/>
    <w:rsid w:val="000F6303"/>
    <w:rsid w:val="000F6A34"/>
    <w:rsid w:val="000F7769"/>
    <w:rsid w:val="000F779B"/>
    <w:rsid w:val="000F78A7"/>
    <w:rsid w:val="0010069D"/>
    <w:rsid w:val="001011EE"/>
    <w:rsid w:val="00101E56"/>
    <w:rsid w:val="00101EDF"/>
    <w:rsid w:val="001024D3"/>
    <w:rsid w:val="0010302A"/>
    <w:rsid w:val="0010396B"/>
    <w:rsid w:val="00103F11"/>
    <w:rsid w:val="0010578D"/>
    <w:rsid w:val="00106273"/>
    <w:rsid w:val="00106710"/>
    <w:rsid w:val="0010716A"/>
    <w:rsid w:val="001071A4"/>
    <w:rsid w:val="00107F80"/>
    <w:rsid w:val="00110119"/>
    <w:rsid w:val="001106D1"/>
    <w:rsid w:val="00110E72"/>
    <w:rsid w:val="001112E5"/>
    <w:rsid w:val="001118A2"/>
    <w:rsid w:val="0011259F"/>
    <w:rsid w:val="00112C47"/>
    <w:rsid w:val="00112D8E"/>
    <w:rsid w:val="001132F4"/>
    <w:rsid w:val="001141D4"/>
    <w:rsid w:val="00115302"/>
    <w:rsid w:val="00115339"/>
    <w:rsid w:val="001158AC"/>
    <w:rsid w:val="00115B01"/>
    <w:rsid w:val="00116422"/>
    <w:rsid w:val="00116ACD"/>
    <w:rsid w:val="001171BC"/>
    <w:rsid w:val="001171DE"/>
    <w:rsid w:val="00117F30"/>
    <w:rsid w:val="001200A5"/>
    <w:rsid w:val="00120268"/>
    <w:rsid w:val="001202DE"/>
    <w:rsid w:val="00120931"/>
    <w:rsid w:val="00121135"/>
    <w:rsid w:val="0012128D"/>
    <w:rsid w:val="00121C76"/>
    <w:rsid w:val="00121D09"/>
    <w:rsid w:val="00122326"/>
    <w:rsid w:val="00122C14"/>
    <w:rsid w:val="00122F77"/>
    <w:rsid w:val="001230FE"/>
    <w:rsid w:val="00123454"/>
    <w:rsid w:val="001234B5"/>
    <w:rsid w:val="001239F4"/>
    <w:rsid w:val="00124043"/>
    <w:rsid w:val="00124128"/>
    <w:rsid w:val="00124459"/>
    <w:rsid w:val="00124BB3"/>
    <w:rsid w:val="00124FDA"/>
    <w:rsid w:val="001253B5"/>
    <w:rsid w:val="001257B8"/>
    <w:rsid w:val="00125EF7"/>
    <w:rsid w:val="00126C04"/>
    <w:rsid w:val="001278EB"/>
    <w:rsid w:val="00127ADC"/>
    <w:rsid w:val="00127B6B"/>
    <w:rsid w:val="00130755"/>
    <w:rsid w:val="0013148E"/>
    <w:rsid w:val="001315E2"/>
    <w:rsid w:val="00132CDF"/>
    <w:rsid w:val="00132EB8"/>
    <w:rsid w:val="001335FC"/>
    <w:rsid w:val="00133C2C"/>
    <w:rsid w:val="00133CE8"/>
    <w:rsid w:val="001342DD"/>
    <w:rsid w:val="00134FD1"/>
    <w:rsid w:val="0013500C"/>
    <w:rsid w:val="0013567F"/>
    <w:rsid w:val="00136438"/>
    <w:rsid w:val="00136A4D"/>
    <w:rsid w:val="00136EBE"/>
    <w:rsid w:val="001378ED"/>
    <w:rsid w:val="00137AAA"/>
    <w:rsid w:val="00137D01"/>
    <w:rsid w:val="00137D83"/>
    <w:rsid w:val="00140CC1"/>
    <w:rsid w:val="00140DA6"/>
    <w:rsid w:val="00141B1D"/>
    <w:rsid w:val="001421A5"/>
    <w:rsid w:val="001434FA"/>
    <w:rsid w:val="00144062"/>
    <w:rsid w:val="001441BB"/>
    <w:rsid w:val="00144379"/>
    <w:rsid w:val="00144711"/>
    <w:rsid w:val="00144E21"/>
    <w:rsid w:val="00145E55"/>
    <w:rsid w:val="00145F19"/>
    <w:rsid w:val="00146AE9"/>
    <w:rsid w:val="00147500"/>
    <w:rsid w:val="001475C1"/>
    <w:rsid w:val="001500C9"/>
    <w:rsid w:val="00150DE8"/>
    <w:rsid w:val="00150E92"/>
    <w:rsid w:val="00150EFE"/>
    <w:rsid w:val="001520AE"/>
    <w:rsid w:val="0015212B"/>
    <w:rsid w:val="00152160"/>
    <w:rsid w:val="00152990"/>
    <w:rsid w:val="001529F2"/>
    <w:rsid w:val="00153708"/>
    <w:rsid w:val="001540AB"/>
    <w:rsid w:val="0015448A"/>
    <w:rsid w:val="0015484D"/>
    <w:rsid w:val="0015558D"/>
    <w:rsid w:val="0015608C"/>
    <w:rsid w:val="00157054"/>
    <w:rsid w:val="00157154"/>
    <w:rsid w:val="00157B91"/>
    <w:rsid w:val="001604B3"/>
    <w:rsid w:val="00160BE5"/>
    <w:rsid w:val="0016150D"/>
    <w:rsid w:val="0016159F"/>
    <w:rsid w:val="00161BA3"/>
    <w:rsid w:val="00161FD9"/>
    <w:rsid w:val="00162309"/>
    <w:rsid w:val="001625A2"/>
    <w:rsid w:val="00162710"/>
    <w:rsid w:val="001630C4"/>
    <w:rsid w:val="001631FB"/>
    <w:rsid w:val="0016394D"/>
    <w:rsid w:val="00163F73"/>
    <w:rsid w:val="00165021"/>
    <w:rsid w:val="00165090"/>
    <w:rsid w:val="00165521"/>
    <w:rsid w:val="00165B87"/>
    <w:rsid w:val="00165E5C"/>
    <w:rsid w:val="00166B83"/>
    <w:rsid w:val="00167287"/>
    <w:rsid w:val="00167483"/>
    <w:rsid w:val="00167E92"/>
    <w:rsid w:val="0017199F"/>
    <w:rsid w:val="00171F6B"/>
    <w:rsid w:val="00172CA6"/>
    <w:rsid w:val="00172CCD"/>
    <w:rsid w:val="00172E98"/>
    <w:rsid w:val="00172F9C"/>
    <w:rsid w:val="001730C0"/>
    <w:rsid w:val="001730FD"/>
    <w:rsid w:val="001731A7"/>
    <w:rsid w:val="0017356D"/>
    <w:rsid w:val="0017418D"/>
    <w:rsid w:val="001743EA"/>
    <w:rsid w:val="00175091"/>
    <w:rsid w:val="0017567B"/>
    <w:rsid w:val="00175E2D"/>
    <w:rsid w:val="001768E4"/>
    <w:rsid w:val="00176ABC"/>
    <w:rsid w:val="00176F4F"/>
    <w:rsid w:val="001776C5"/>
    <w:rsid w:val="00177CFB"/>
    <w:rsid w:val="00180941"/>
    <w:rsid w:val="0018094C"/>
    <w:rsid w:val="0018143D"/>
    <w:rsid w:val="001815CB"/>
    <w:rsid w:val="001816F3"/>
    <w:rsid w:val="00181932"/>
    <w:rsid w:val="00181DC7"/>
    <w:rsid w:val="00182600"/>
    <w:rsid w:val="00182776"/>
    <w:rsid w:val="0018280E"/>
    <w:rsid w:val="00182C37"/>
    <w:rsid w:val="00183B3B"/>
    <w:rsid w:val="0018411B"/>
    <w:rsid w:val="00184F91"/>
    <w:rsid w:val="001853E0"/>
    <w:rsid w:val="0018553A"/>
    <w:rsid w:val="0018558F"/>
    <w:rsid w:val="001856D5"/>
    <w:rsid w:val="00185CA1"/>
    <w:rsid w:val="00187EDD"/>
    <w:rsid w:val="0019110E"/>
    <w:rsid w:val="001924A3"/>
    <w:rsid w:val="00192684"/>
    <w:rsid w:val="00193847"/>
    <w:rsid w:val="0019436B"/>
    <w:rsid w:val="001949D4"/>
    <w:rsid w:val="001956CF"/>
    <w:rsid w:val="00195B28"/>
    <w:rsid w:val="00195C3D"/>
    <w:rsid w:val="00195C95"/>
    <w:rsid w:val="001973C7"/>
    <w:rsid w:val="00197B07"/>
    <w:rsid w:val="001A01E6"/>
    <w:rsid w:val="001A06F6"/>
    <w:rsid w:val="001A0D04"/>
    <w:rsid w:val="001A0FAC"/>
    <w:rsid w:val="001A1CB1"/>
    <w:rsid w:val="001A1F55"/>
    <w:rsid w:val="001A22B7"/>
    <w:rsid w:val="001A23D3"/>
    <w:rsid w:val="001A2C75"/>
    <w:rsid w:val="001A335E"/>
    <w:rsid w:val="001A347B"/>
    <w:rsid w:val="001A3CF4"/>
    <w:rsid w:val="001A41B2"/>
    <w:rsid w:val="001A4A21"/>
    <w:rsid w:val="001A6203"/>
    <w:rsid w:val="001A681A"/>
    <w:rsid w:val="001A74E4"/>
    <w:rsid w:val="001A7550"/>
    <w:rsid w:val="001B0070"/>
    <w:rsid w:val="001B0EAF"/>
    <w:rsid w:val="001B1237"/>
    <w:rsid w:val="001B18C7"/>
    <w:rsid w:val="001B2979"/>
    <w:rsid w:val="001B33A1"/>
    <w:rsid w:val="001B3595"/>
    <w:rsid w:val="001B4732"/>
    <w:rsid w:val="001B487D"/>
    <w:rsid w:val="001B4998"/>
    <w:rsid w:val="001B551C"/>
    <w:rsid w:val="001B5932"/>
    <w:rsid w:val="001B5D8E"/>
    <w:rsid w:val="001B6727"/>
    <w:rsid w:val="001B6730"/>
    <w:rsid w:val="001B70D7"/>
    <w:rsid w:val="001B78B8"/>
    <w:rsid w:val="001B7ADD"/>
    <w:rsid w:val="001C113F"/>
    <w:rsid w:val="001C191A"/>
    <w:rsid w:val="001C2A25"/>
    <w:rsid w:val="001C2C1A"/>
    <w:rsid w:val="001C3208"/>
    <w:rsid w:val="001C34FF"/>
    <w:rsid w:val="001C4272"/>
    <w:rsid w:val="001C4306"/>
    <w:rsid w:val="001C47B1"/>
    <w:rsid w:val="001C4C96"/>
    <w:rsid w:val="001C7131"/>
    <w:rsid w:val="001C7539"/>
    <w:rsid w:val="001C77AD"/>
    <w:rsid w:val="001C7CF0"/>
    <w:rsid w:val="001D03CB"/>
    <w:rsid w:val="001D03FD"/>
    <w:rsid w:val="001D0A6E"/>
    <w:rsid w:val="001D112D"/>
    <w:rsid w:val="001D12C0"/>
    <w:rsid w:val="001D190D"/>
    <w:rsid w:val="001D1C2C"/>
    <w:rsid w:val="001D2BA6"/>
    <w:rsid w:val="001D2E5B"/>
    <w:rsid w:val="001D3D2D"/>
    <w:rsid w:val="001D429F"/>
    <w:rsid w:val="001D4A26"/>
    <w:rsid w:val="001D4D2B"/>
    <w:rsid w:val="001D515E"/>
    <w:rsid w:val="001D54C8"/>
    <w:rsid w:val="001D62CE"/>
    <w:rsid w:val="001D637C"/>
    <w:rsid w:val="001D66BF"/>
    <w:rsid w:val="001D6B84"/>
    <w:rsid w:val="001D6F3D"/>
    <w:rsid w:val="001D6F71"/>
    <w:rsid w:val="001D7414"/>
    <w:rsid w:val="001D78E4"/>
    <w:rsid w:val="001E0262"/>
    <w:rsid w:val="001E1125"/>
    <w:rsid w:val="001E1294"/>
    <w:rsid w:val="001E1CBC"/>
    <w:rsid w:val="001E1E38"/>
    <w:rsid w:val="001E22E7"/>
    <w:rsid w:val="001E2605"/>
    <w:rsid w:val="001E2896"/>
    <w:rsid w:val="001E2C44"/>
    <w:rsid w:val="001E3311"/>
    <w:rsid w:val="001E3E9D"/>
    <w:rsid w:val="001E545F"/>
    <w:rsid w:val="001E61F4"/>
    <w:rsid w:val="001E62C5"/>
    <w:rsid w:val="001E66FB"/>
    <w:rsid w:val="001E68E9"/>
    <w:rsid w:val="001E77A5"/>
    <w:rsid w:val="001F0F49"/>
    <w:rsid w:val="001F10F3"/>
    <w:rsid w:val="001F12E9"/>
    <w:rsid w:val="001F1853"/>
    <w:rsid w:val="001F1CE5"/>
    <w:rsid w:val="001F1DD5"/>
    <w:rsid w:val="001F1F38"/>
    <w:rsid w:val="001F23DE"/>
    <w:rsid w:val="001F2693"/>
    <w:rsid w:val="001F2E63"/>
    <w:rsid w:val="001F3D81"/>
    <w:rsid w:val="001F40D1"/>
    <w:rsid w:val="001F413B"/>
    <w:rsid w:val="001F4C37"/>
    <w:rsid w:val="001F4FC2"/>
    <w:rsid w:val="001F5255"/>
    <w:rsid w:val="001F5E01"/>
    <w:rsid w:val="001F5E88"/>
    <w:rsid w:val="001F5EDE"/>
    <w:rsid w:val="001F6B1A"/>
    <w:rsid w:val="001F6C25"/>
    <w:rsid w:val="001F6CEF"/>
    <w:rsid w:val="001F73AD"/>
    <w:rsid w:val="001F7DC4"/>
    <w:rsid w:val="001F7EA0"/>
    <w:rsid w:val="002002B8"/>
    <w:rsid w:val="0020088E"/>
    <w:rsid w:val="00200BB9"/>
    <w:rsid w:val="00201036"/>
    <w:rsid w:val="002012E6"/>
    <w:rsid w:val="00201BE0"/>
    <w:rsid w:val="002020C4"/>
    <w:rsid w:val="00203AD9"/>
    <w:rsid w:val="002052FA"/>
    <w:rsid w:val="0020530B"/>
    <w:rsid w:val="002054DF"/>
    <w:rsid w:val="00205541"/>
    <w:rsid w:val="00206163"/>
    <w:rsid w:val="00206172"/>
    <w:rsid w:val="00206267"/>
    <w:rsid w:val="00206BA5"/>
    <w:rsid w:val="0020757D"/>
    <w:rsid w:val="002077B1"/>
    <w:rsid w:val="002077FC"/>
    <w:rsid w:val="00207FB2"/>
    <w:rsid w:val="0021062A"/>
    <w:rsid w:val="00210DD9"/>
    <w:rsid w:val="00211B23"/>
    <w:rsid w:val="00211C97"/>
    <w:rsid w:val="00211EA5"/>
    <w:rsid w:val="00212609"/>
    <w:rsid w:val="00213790"/>
    <w:rsid w:val="00213F7D"/>
    <w:rsid w:val="00214536"/>
    <w:rsid w:val="00214CC0"/>
    <w:rsid w:val="00214DDB"/>
    <w:rsid w:val="00214F41"/>
    <w:rsid w:val="0021657E"/>
    <w:rsid w:val="00217029"/>
    <w:rsid w:val="0021707D"/>
    <w:rsid w:val="00220070"/>
    <w:rsid w:val="0022020C"/>
    <w:rsid w:val="002218F2"/>
    <w:rsid w:val="00222D66"/>
    <w:rsid w:val="00223267"/>
    <w:rsid w:val="00223F4F"/>
    <w:rsid w:val="0022497C"/>
    <w:rsid w:val="00224ADF"/>
    <w:rsid w:val="00224FBB"/>
    <w:rsid w:val="00225968"/>
    <w:rsid w:val="00225E7E"/>
    <w:rsid w:val="00226631"/>
    <w:rsid w:val="0022664D"/>
    <w:rsid w:val="00226DAB"/>
    <w:rsid w:val="00227663"/>
    <w:rsid w:val="00227FB1"/>
    <w:rsid w:val="0023102C"/>
    <w:rsid w:val="0023152F"/>
    <w:rsid w:val="00231ED2"/>
    <w:rsid w:val="0023243B"/>
    <w:rsid w:val="002325B4"/>
    <w:rsid w:val="002329B7"/>
    <w:rsid w:val="00232BB0"/>
    <w:rsid w:val="0023324C"/>
    <w:rsid w:val="00233DE3"/>
    <w:rsid w:val="00234E97"/>
    <w:rsid w:val="00234F2E"/>
    <w:rsid w:val="002355D5"/>
    <w:rsid w:val="00235A05"/>
    <w:rsid w:val="0023642D"/>
    <w:rsid w:val="002372E8"/>
    <w:rsid w:val="002373E3"/>
    <w:rsid w:val="00237C18"/>
    <w:rsid w:val="00240484"/>
    <w:rsid w:val="00241031"/>
    <w:rsid w:val="002410D2"/>
    <w:rsid w:val="00241668"/>
    <w:rsid w:val="0024173C"/>
    <w:rsid w:val="002429E0"/>
    <w:rsid w:val="002449B9"/>
    <w:rsid w:val="00244B86"/>
    <w:rsid w:val="00244CF7"/>
    <w:rsid w:val="00245075"/>
    <w:rsid w:val="002452FC"/>
    <w:rsid w:val="002455B1"/>
    <w:rsid w:val="00245896"/>
    <w:rsid w:val="00245EDE"/>
    <w:rsid w:val="002475C7"/>
    <w:rsid w:val="002477A0"/>
    <w:rsid w:val="002511C3"/>
    <w:rsid w:val="00251E53"/>
    <w:rsid w:val="00252314"/>
    <w:rsid w:val="00252973"/>
    <w:rsid w:val="00252D12"/>
    <w:rsid w:val="0025344D"/>
    <w:rsid w:val="00253B7C"/>
    <w:rsid w:val="00254713"/>
    <w:rsid w:val="00255464"/>
    <w:rsid w:val="00256206"/>
    <w:rsid w:val="00256D23"/>
    <w:rsid w:val="00257732"/>
    <w:rsid w:val="0026025E"/>
    <w:rsid w:val="002624FF"/>
    <w:rsid w:val="00262BA7"/>
    <w:rsid w:val="002636BF"/>
    <w:rsid w:val="00263988"/>
    <w:rsid w:val="00263FAA"/>
    <w:rsid w:val="00266A71"/>
    <w:rsid w:val="00267BFC"/>
    <w:rsid w:val="00267E26"/>
    <w:rsid w:val="0027096A"/>
    <w:rsid w:val="0027211E"/>
    <w:rsid w:val="002721E1"/>
    <w:rsid w:val="0027221C"/>
    <w:rsid w:val="002728FC"/>
    <w:rsid w:val="00272C74"/>
    <w:rsid w:val="002746B4"/>
    <w:rsid w:val="0027487D"/>
    <w:rsid w:val="00274BC6"/>
    <w:rsid w:val="00274ECD"/>
    <w:rsid w:val="00274F47"/>
    <w:rsid w:val="0027515E"/>
    <w:rsid w:val="002757C0"/>
    <w:rsid w:val="00276DA0"/>
    <w:rsid w:val="00277EC6"/>
    <w:rsid w:val="00277EFB"/>
    <w:rsid w:val="0028027F"/>
    <w:rsid w:val="00280A14"/>
    <w:rsid w:val="0028109D"/>
    <w:rsid w:val="00282139"/>
    <w:rsid w:val="00282F65"/>
    <w:rsid w:val="0028492D"/>
    <w:rsid w:val="00284BA9"/>
    <w:rsid w:val="002850A6"/>
    <w:rsid w:val="00286321"/>
    <w:rsid w:val="0028663C"/>
    <w:rsid w:val="00286AA9"/>
    <w:rsid w:val="00286DBB"/>
    <w:rsid w:val="0028705B"/>
    <w:rsid w:val="00287490"/>
    <w:rsid w:val="00287561"/>
    <w:rsid w:val="002875E5"/>
    <w:rsid w:val="0028761D"/>
    <w:rsid w:val="00287A2B"/>
    <w:rsid w:val="00287D14"/>
    <w:rsid w:val="002902B4"/>
    <w:rsid w:val="0029061A"/>
    <w:rsid w:val="00290952"/>
    <w:rsid w:val="00290E4A"/>
    <w:rsid w:val="00290EBB"/>
    <w:rsid w:val="00291311"/>
    <w:rsid w:val="00291362"/>
    <w:rsid w:val="002914D0"/>
    <w:rsid w:val="00293245"/>
    <w:rsid w:val="00293E60"/>
    <w:rsid w:val="00294029"/>
    <w:rsid w:val="0029427C"/>
    <w:rsid w:val="00294339"/>
    <w:rsid w:val="0029461A"/>
    <w:rsid w:val="00294935"/>
    <w:rsid w:val="00294C4A"/>
    <w:rsid w:val="00295397"/>
    <w:rsid w:val="002957FF"/>
    <w:rsid w:val="002965CB"/>
    <w:rsid w:val="00296F6D"/>
    <w:rsid w:val="00297377"/>
    <w:rsid w:val="002976DF"/>
    <w:rsid w:val="002978FA"/>
    <w:rsid w:val="00297F75"/>
    <w:rsid w:val="002A0BC3"/>
    <w:rsid w:val="002A0E0D"/>
    <w:rsid w:val="002A1151"/>
    <w:rsid w:val="002A162D"/>
    <w:rsid w:val="002A1737"/>
    <w:rsid w:val="002A19AA"/>
    <w:rsid w:val="002A1B19"/>
    <w:rsid w:val="002A26CA"/>
    <w:rsid w:val="002A2A95"/>
    <w:rsid w:val="002A3109"/>
    <w:rsid w:val="002A32D7"/>
    <w:rsid w:val="002A3763"/>
    <w:rsid w:val="002A4714"/>
    <w:rsid w:val="002A5734"/>
    <w:rsid w:val="002A5EAA"/>
    <w:rsid w:val="002A630E"/>
    <w:rsid w:val="002A7F99"/>
    <w:rsid w:val="002B0510"/>
    <w:rsid w:val="002B07A3"/>
    <w:rsid w:val="002B0C69"/>
    <w:rsid w:val="002B1B42"/>
    <w:rsid w:val="002B1E26"/>
    <w:rsid w:val="002B22F5"/>
    <w:rsid w:val="002B29CA"/>
    <w:rsid w:val="002B3E8C"/>
    <w:rsid w:val="002B452F"/>
    <w:rsid w:val="002B45D3"/>
    <w:rsid w:val="002B466D"/>
    <w:rsid w:val="002B5104"/>
    <w:rsid w:val="002B5C0A"/>
    <w:rsid w:val="002C0FFB"/>
    <w:rsid w:val="002C175A"/>
    <w:rsid w:val="002C2062"/>
    <w:rsid w:val="002C3EE6"/>
    <w:rsid w:val="002C4120"/>
    <w:rsid w:val="002C43FA"/>
    <w:rsid w:val="002C4AA7"/>
    <w:rsid w:val="002C515E"/>
    <w:rsid w:val="002C68E9"/>
    <w:rsid w:val="002C7B9B"/>
    <w:rsid w:val="002D0017"/>
    <w:rsid w:val="002D0559"/>
    <w:rsid w:val="002D09DA"/>
    <w:rsid w:val="002D0F0C"/>
    <w:rsid w:val="002D0FBC"/>
    <w:rsid w:val="002D1123"/>
    <w:rsid w:val="002D3C5E"/>
    <w:rsid w:val="002D3FEF"/>
    <w:rsid w:val="002D41F1"/>
    <w:rsid w:val="002D4735"/>
    <w:rsid w:val="002D481E"/>
    <w:rsid w:val="002D5C3B"/>
    <w:rsid w:val="002D64BC"/>
    <w:rsid w:val="002D6DF6"/>
    <w:rsid w:val="002D71AA"/>
    <w:rsid w:val="002D72C0"/>
    <w:rsid w:val="002D7740"/>
    <w:rsid w:val="002E022D"/>
    <w:rsid w:val="002E26FE"/>
    <w:rsid w:val="002E2AF9"/>
    <w:rsid w:val="002E3629"/>
    <w:rsid w:val="002E3B8C"/>
    <w:rsid w:val="002E44E8"/>
    <w:rsid w:val="002E4576"/>
    <w:rsid w:val="002E54DB"/>
    <w:rsid w:val="002E5812"/>
    <w:rsid w:val="002E611B"/>
    <w:rsid w:val="002E665D"/>
    <w:rsid w:val="002E7DAC"/>
    <w:rsid w:val="002F0CA4"/>
    <w:rsid w:val="002F0ECF"/>
    <w:rsid w:val="002F189C"/>
    <w:rsid w:val="002F1D3A"/>
    <w:rsid w:val="002F251A"/>
    <w:rsid w:val="002F2551"/>
    <w:rsid w:val="002F295D"/>
    <w:rsid w:val="002F320B"/>
    <w:rsid w:val="002F3DD3"/>
    <w:rsid w:val="002F43F7"/>
    <w:rsid w:val="002F4561"/>
    <w:rsid w:val="002F482B"/>
    <w:rsid w:val="002F48C8"/>
    <w:rsid w:val="002F5466"/>
    <w:rsid w:val="002F5AB3"/>
    <w:rsid w:val="002F5DF2"/>
    <w:rsid w:val="002F65B9"/>
    <w:rsid w:val="002F66AD"/>
    <w:rsid w:val="002F685F"/>
    <w:rsid w:val="002F6E33"/>
    <w:rsid w:val="002F73AE"/>
    <w:rsid w:val="002F7DC3"/>
    <w:rsid w:val="003004A1"/>
    <w:rsid w:val="0030231D"/>
    <w:rsid w:val="003027A3"/>
    <w:rsid w:val="00302820"/>
    <w:rsid w:val="003045CC"/>
    <w:rsid w:val="00304859"/>
    <w:rsid w:val="003049C8"/>
    <w:rsid w:val="00304A09"/>
    <w:rsid w:val="00304E90"/>
    <w:rsid w:val="00304EC8"/>
    <w:rsid w:val="003053F4"/>
    <w:rsid w:val="00305BEB"/>
    <w:rsid w:val="0031042E"/>
    <w:rsid w:val="003107E9"/>
    <w:rsid w:val="00311A37"/>
    <w:rsid w:val="00311DAA"/>
    <w:rsid w:val="00312BF9"/>
    <w:rsid w:val="003130B6"/>
    <w:rsid w:val="00313316"/>
    <w:rsid w:val="00313A22"/>
    <w:rsid w:val="003168F9"/>
    <w:rsid w:val="00316951"/>
    <w:rsid w:val="00317DD1"/>
    <w:rsid w:val="00320A95"/>
    <w:rsid w:val="00321026"/>
    <w:rsid w:val="00321A1B"/>
    <w:rsid w:val="003224D5"/>
    <w:rsid w:val="0032262F"/>
    <w:rsid w:val="00322660"/>
    <w:rsid w:val="00322C60"/>
    <w:rsid w:val="003238E5"/>
    <w:rsid w:val="003239ED"/>
    <w:rsid w:val="00323BE2"/>
    <w:rsid w:val="00324408"/>
    <w:rsid w:val="00325927"/>
    <w:rsid w:val="003264EB"/>
    <w:rsid w:val="00326C01"/>
    <w:rsid w:val="00326D1A"/>
    <w:rsid w:val="00326E01"/>
    <w:rsid w:val="00326F1D"/>
    <w:rsid w:val="00327FD3"/>
    <w:rsid w:val="00330132"/>
    <w:rsid w:val="00330660"/>
    <w:rsid w:val="00330F22"/>
    <w:rsid w:val="0033172C"/>
    <w:rsid w:val="00332029"/>
    <w:rsid w:val="003321BF"/>
    <w:rsid w:val="00333457"/>
    <w:rsid w:val="00333CCB"/>
    <w:rsid w:val="00333DB0"/>
    <w:rsid w:val="00333E41"/>
    <w:rsid w:val="00334228"/>
    <w:rsid w:val="00334CAA"/>
    <w:rsid w:val="00335043"/>
    <w:rsid w:val="0033544F"/>
    <w:rsid w:val="00335D22"/>
    <w:rsid w:val="00336385"/>
    <w:rsid w:val="00336722"/>
    <w:rsid w:val="00336CC7"/>
    <w:rsid w:val="00336FA8"/>
    <w:rsid w:val="0033707F"/>
    <w:rsid w:val="003416E0"/>
    <w:rsid w:val="003420D6"/>
    <w:rsid w:val="00342309"/>
    <w:rsid w:val="00342DE0"/>
    <w:rsid w:val="00343694"/>
    <w:rsid w:val="0034394D"/>
    <w:rsid w:val="00343B6E"/>
    <w:rsid w:val="003440CE"/>
    <w:rsid w:val="00344448"/>
    <w:rsid w:val="00345B69"/>
    <w:rsid w:val="003463D5"/>
    <w:rsid w:val="00347708"/>
    <w:rsid w:val="003478C6"/>
    <w:rsid w:val="00347F51"/>
    <w:rsid w:val="003507F8"/>
    <w:rsid w:val="0035108F"/>
    <w:rsid w:val="00351BFA"/>
    <w:rsid w:val="00351C25"/>
    <w:rsid w:val="00351E03"/>
    <w:rsid w:val="0035229C"/>
    <w:rsid w:val="00352938"/>
    <w:rsid w:val="00352E29"/>
    <w:rsid w:val="00354705"/>
    <w:rsid w:val="00354AF4"/>
    <w:rsid w:val="00354B9E"/>
    <w:rsid w:val="003550B6"/>
    <w:rsid w:val="00355186"/>
    <w:rsid w:val="00355537"/>
    <w:rsid w:val="003560C0"/>
    <w:rsid w:val="003561DC"/>
    <w:rsid w:val="003564B9"/>
    <w:rsid w:val="00356B90"/>
    <w:rsid w:val="00356C43"/>
    <w:rsid w:val="0036012F"/>
    <w:rsid w:val="003604E8"/>
    <w:rsid w:val="0036233F"/>
    <w:rsid w:val="003632B4"/>
    <w:rsid w:val="00363B4A"/>
    <w:rsid w:val="00364C61"/>
    <w:rsid w:val="00366996"/>
    <w:rsid w:val="00367439"/>
    <w:rsid w:val="00367A3A"/>
    <w:rsid w:val="00370473"/>
    <w:rsid w:val="0037203A"/>
    <w:rsid w:val="00372833"/>
    <w:rsid w:val="00372A03"/>
    <w:rsid w:val="00372C71"/>
    <w:rsid w:val="00372D5A"/>
    <w:rsid w:val="00372F9D"/>
    <w:rsid w:val="00373822"/>
    <w:rsid w:val="00373C7D"/>
    <w:rsid w:val="0037427A"/>
    <w:rsid w:val="00375107"/>
    <w:rsid w:val="00375321"/>
    <w:rsid w:val="00375870"/>
    <w:rsid w:val="003758E4"/>
    <w:rsid w:val="003759F4"/>
    <w:rsid w:val="00375C70"/>
    <w:rsid w:val="003762AC"/>
    <w:rsid w:val="003763C5"/>
    <w:rsid w:val="003765F9"/>
    <w:rsid w:val="00376946"/>
    <w:rsid w:val="003774C7"/>
    <w:rsid w:val="0037771A"/>
    <w:rsid w:val="00377B71"/>
    <w:rsid w:val="00377D54"/>
    <w:rsid w:val="00377DD4"/>
    <w:rsid w:val="00380276"/>
    <w:rsid w:val="00380A00"/>
    <w:rsid w:val="00380E2D"/>
    <w:rsid w:val="00381476"/>
    <w:rsid w:val="00381766"/>
    <w:rsid w:val="0038188B"/>
    <w:rsid w:val="00382849"/>
    <w:rsid w:val="00383EF2"/>
    <w:rsid w:val="00386048"/>
    <w:rsid w:val="00391B1A"/>
    <w:rsid w:val="003920F7"/>
    <w:rsid w:val="00392B8C"/>
    <w:rsid w:val="00392FE7"/>
    <w:rsid w:val="00393BDF"/>
    <w:rsid w:val="00393C1E"/>
    <w:rsid w:val="003958E5"/>
    <w:rsid w:val="00395E9C"/>
    <w:rsid w:val="003963A0"/>
    <w:rsid w:val="003967B7"/>
    <w:rsid w:val="0039704D"/>
    <w:rsid w:val="003977A2"/>
    <w:rsid w:val="003978C3"/>
    <w:rsid w:val="003A01C7"/>
    <w:rsid w:val="003A03E8"/>
    <w:rsid w:val="003A06D4"/>
    <w:rsid w:val="003A07CE"/>
    <w:rsid w:val="003A0A6A"/>
    <w:rsid w:val="003A0C21"/>
    <w:rsid w:val="003A1426"/>
    <w:rsid w:val="003A145B"/>
    <w:rsid w:val="003A18C7"/>
    <w:rsid w:val="003A1D4E"/>
    <w:rsid w:val="003A1F81"/>
    <w:rsid w:val="003A33E8"/>
    <w:rsid w:val="003A344D"/>
    <w:rsid w:val="003A3623"/>
    <w:rsid w:val="003A382E"/>
    <w:rsid w:val="003A3A45"/>
    <w:rsid w:val="003A3AFB"/>
    <w:rsid w:val="003A4ACE"/>
    <w:rsid w:val="003A4BEE"/>
    <w:rsid w:val="003A4EBF"/>
    <w:rsid w:val="003A5A51"/>
    <w:rsid w:val="003A6611"/>
    <w:rsid w:val="003A6EF0"/>
    <w:rsid w:val="003B0447"/>
    <w:rsid w:val="003B08C2"/>
    <w:rsid w:val="003B0C3F"/>
    <w:rsid w:val="003B117A"/>
    <w:rsid w:val="003B13A3"/>
    <w:rsid w:val="003B189B"/>
    <w:rsid w:val="003B1F14"/>
    <w:rsid w:val="003B2399"/>
    <w:rsid w:val="003B24EF"/>
    <w:rsid w:val="003B3030"/>
    <w:rsid w:val="003B41C3"/>
    <w:rsid w:val="003B4B2C"/>
    <w:rsid w:val="003B5EDB"/>
    <w:rsid w:val="003B67DA"/>
    <w:rsid w:val="003B6C3B"/>
    <w:rsid w:val="003C2FC7"/>
    <w:rsid w:val="003C425F"/>
    <w:rsid w:val="003C49AF"/>
    <w:rsid w:val="003C4A4A"/>
    <w:rsid w:val="003C4DBD"/>
    <w:rsid w:val="003C4F45"/>
    <w:rsid w:val="003C6F80"/>
    <w:rsid w:val="003C756E"/>
    <w:rsid w:val="003D0A36"/>
    <w:rsid w:val="003D0CE5"/>
    <w:rsid w:val="003D1289"/>
    <w:rsid w:val="003D19FF"/>
    <w:rsid w:val="003D2375"/>
    <w:rsid w:val="003D243C"/>
    <w:rsid w:val="003D2D13"/>
    <w:rsid w:val="003D3714"/>
    <w:rsid w:val="003D3AB5"/>
    <w:rsid w:val="003D3BCB"/>
    <w:rsid w:val="003D4385"/>
    <w:rsid w:val="003D5BA9"/>
    <w:rsid w:val="003D5F5A"/>
    <w:rsid w:val="003D6B4C"/>
    <w:rsid w:val="003D7D5E"/>
    <w:rsid w:val="003E1110"/>
    <w:rsid w:val="003E20D2"/>
    <w:rsid w:val="003E223D"/>
    <w:rsid w:val="003E23D0"/>
    <w:rsid w:val="003E2A98"/>
    <w:rsid w:val="003E3A3D"/>
    <w:rsid w:val="003E3B28"/>
    <w:rsid w:val="003E3C1B"/>
    <w:rsid w:val="003E44E3"/>
    <w:rsid w:val="003E4D98"/>
    <w:rsid w:val="003E5356"/>
    <w:rsid w:val="003E5A61"/>
    <w:rsid w:val="003E612F"/>
    <w:rsid w:val="003E6618"/>
    <w:rsid w:val="003E69CB"/>
    <w:rsid w:val="003E7087"/>
    <w:rsid w:val="003E71E5"/>
    <w:rsid w:val="003E76FF"/>
    <w:rsid w:val="003E7B35"/>
    <w:rsid w:val="003F1ABA"/>
    <w:rsid w:val="003F1DA6"/>
    <w:rsid w:val="003F23E6"/>
    <w:rsid w:val="003F2DE5"/>
    <w:rsid w:val="003F3A03"/>
    <w:rsid w:val="003F3C56"/>
    <w:rsid w:val="003F3D44"/>
    <w:rsid w:val="003F400F"/>
    <w:rsid w:val="003F41E3"/>
    <w:rsid w:val="003F46E3"/>
    <w:rsid w:val="003F4B9E"/>
    <w:rsid w:val="003F5C92"/>
    <w:rsid w:val="003F5F2B"/>
    <w:rsid w:val="003F5FED"/>
    <w:rsid w:val="003F6125"/>
    <w:rsid w:val="003F6B3B"/>
    <w:rsid w:val="003F768C"/>
    <w:rsid w:val="0040088A"/>
    <w:rsid w:val="00400A33"/>
    <w:rsid w:val="00401E69"/>
    <w:rsid w:val="00402195"/>
    <w:rsid w:val="00403785"/>
    <w:rsid w:val="00404247"/>
    <w:rsid w:val="00404F7C"/>
    <w:rsid w:val="00405606"/>
    <w:rsid w:val="00405F70"/>
    <w:rsid w:val="00406796"/>
    <w:rsid w:val="004106EE"/>
    <w:rsid w:val="00410CFC"/>
    <w:rsid w:val="00411142"/>
    <w:rsid w:val="00411150"/>
    <w:rsid w:val="004118FF"/>
    <w:rsid w:val="004131AB"/>
    <w:rsid w:val="004131F9"/>
    <w:rsid w:val="00413B66"/>
    <w:rsid w:val="004140B8"/>
    <w:rsid w:val="004142A3"/>
    <w:rsid w:val="004147A9"/>
    <w:rsid w:val="004147F2"/>
    <w:rsid w:val="0041552A"/>
    <w:rsid w:val="00415639"/>
    <w:rsid w:val="00415F49"/>
    <w:rsid w:val="00417405"/>
    <w:rsid w:val="00417730"/>
    <w:rsid w:val="004215EB"/>
    <w:rsid w:val="004218AE"/>
    <w:rsid w:val="004227E9"/>
    <w:rsid w:val="00423485"/>
    <w:rsid w:val="004236E1"/>
    <w:rsid w:val="004238E3"/>
    <w:rsid w:val="00423B63"/>
    <w:rsid w:val="00423C5E"/>
    <w:rsid w:val="004241CF"/>
    <w:rsid w:val="004251DE"/>
    <w:rsid w:val="004252D6"/>
    <w:rsid w:val="00425488"/>
    <w:rsid w:val="004303CB"/>
    <w:rsid w:val="004304E5"/>
    <w:rsid w:val="00430A6F"/>
    <w:rsid w:val="00431284"/>
    <w:rsid w:val="004331CA"/>
    <w:rsid w:val="00433A0B"/>
    <w:rsid w:val="00436393"/>
    <w:rsid w:val="004365AA"/>
    <w:rsid w:val="00437A43"/>
    <w:rsid w:val="00437C77"/>
    <w:rsid w:val="00440170"/>
    <w:rsid w:val="00440259"/>
    <w:rsid w:val="00440882"/>
    <w:rsid w:val="00440B72"/>
    <w:rsid w:val="00441937"/>
    <w:rsid w:val="00441A06"/>
    <w:rsid w:val="00441ACF"/>
    <w:rsid w:val="00441E14"/>
    <w:rsid w:val="004421E2"/>
    <w:rsid w:val="004427AB"/>
    <w:rsid w:val="0044300B"/>
    <w:rsid w:val="00443F1A"/>
    <w:rsid w:val="00443F7D"/>
    <w:rsid w:val="004441E0"/>
    <w:rsid w:val="0044434E"/>
    <w:rsid w:val="004444B0"/>
    <w:rsid w:val="00445367"/>
    <w:rsid w:val="00446219"/>
    <w:rsid w:val="004469B2"/>
    <w:rsid w:val="00446D4E"/>
    <w:rsid w:val="00446EB6"/>
    <w:rsid w:val="0044785A"/>
    <w:rsid w:val="00447DCC"/>
    <w:rsid w:val="004514CE"/>
    <w:rsid w:val="0045152F"/>
    <w:rsid w:val="004518F9"/>
    <w:rsid w:val="00451D9E"/>
    <w:rsid w:val="00451E92"/>
    <w:rsid w:val="00453955"/>
    <w:rsid w:val="00454A5F"/>
    <w:rsid w:val="00454AFA"/>
    <w:rsid w:val="00455399"/>
    <w:rsid w:val="00455584"/>
    <w:rsid w:val="004558A3"/>
    <w:rsid w:val="00455CAE"/>
    <w:rsid w:val="00455CE2"/>
    <w:rsid w:val="00456733"/>
    <w:rsid w:val="0045673F"/>
    <w:rsid w:val="00456B47"/>
    <w:rsid w:val="00456E4A"/>
    <w:rsid w:val="0045715A"/>
    <w:rsid w:val="004573D4"/>
    <w:rsid w:val="00457BD1"/>
    <w:rsid w:val="00460876"/>
    <w:rsid w:val="00460EE2"/>
    <w:rsid w:val="00462002"/>
    <w:rsid w:val="00462500"/>
    <w:rsid w:val="00463B72"/>
    <w:rsid w:val="004659E2"/>
    <w:rsid w:val="00465E92"/>
    <w:rsid w:val="00466276"/>
    <w:rsid w:val="00466FD8"/>
    <w:rsid w:val="004704CA"/>
    <w:rsid w:val="00471153"/>
    <w:rsid w:val="004711E6"/>
    <w:rsid w:val="004718AD"/>
    <w:rsid w:val="0047225A"/>
    <w:rsid w:val="004728C7"/>
    <w:rsid w:val="00473636"/>
    <w:rsid w:val="0047365C"/>
    <w:rsid w:val="00473718"/>
    <w:rsid w:val="00474204"/>
    <w:rsid w:val="00474830"/>
    <w:rsid w:val="00475029"/>
    <w:rsid w:val="0047544F"/>
    <w:rsid w:val="00475E7E"/>
    <w:rsid w:val="00476B80"/>
    <w:rsid w:val="00476EC6"/>
    <w:rsid w:val="00476EFF"/>
    <w:rsid w:val="00477A39"/>
    <w:rsid w:val="00477F24"/>
    <w:rsid w:val="00480420"/>
    <w:rsid w:val="004816F1"/>
    <w:rsid w:val="00481999"/>
    <w:rsid w:val="00481F1B"/>
    <w:rsid w:val="00482562"/>
    <w:rsid w:val="0048300B"/>
    <w:rsid w:val="00483119"/>
    <w:rsid w:val="00483303"/>
    <w:rsid w:val="00483E83"/>
    <w:rsid w:val="004843E4"/>
    <w:rsid w:val="0048456A"/>
    <w:rsid w:val="00484662"/>
    <w:rsid w:val="004854A7"/>
    <w:rsid w:val="00485D29"/>
    <w:rsid w:val="00485D40"/>
    <w:rsid w:val="0048698B"/>
    <w:rsid w:val="00486DF7"/>
    <w:rsid w:val="004875FB"/>
    <w:rsid w:val="00487663"/>
    <w:rsid w:val="00487CB4"/>
    <w:rsid w:val="00487D04"/>
    <w:rsid w:val="00487E08"/>
    <w:rsid w:val="0049029C"/>
    <w:rsid w:val="00490414"/>
    <w:rsid w:val="00490659"/>
    <w:rsid w:val="00491292"/>
    <w:rsid w:val="00491B79"/>
    <w:rsid w:val="00492570"/>
    <w:rsid w:val="0049281A"/>
    <w:rsid w:val="0049282D"/>
    <w:rsid w:val="004930BA"/>
    <w:rsid w:val="00494014"/>
    <w:rsid w:val="00494457"/>
    <w:rsid w:val="0049446A"/>
    <w:rsid w:val="00494477"/>
    <w:rsid w:val="004949FC"/>
    <w:rsid w:val="00494B4B"/>
    <w:rsid w:val="00495FAF"/>
    <w:rsid w:val="00496935"/>
    <w:rsid w:val="004971C8"/>
    <w:rsid w:val="0049750C"/>
    <w:rsid w:val="00497546"/>
    <w:rsid w:val="0049763C"/>
    <w:rsid w:val="00497731"/>
    <w:rsid w:val="00497AE8"/>
    <w:rsid w:val="00497AF6"/>
    <w:rsid w:val="004A0559"/>
    <w:rsid w:val="004A07FE"/>
    <w:rsid w:val="004A096C"/>
    <w:rsid w:val="004A0BAA"/>
    <w:rsid w:val="004A177A"/>
    <w:rsid w:val="004A18B4"/>
    <w:rsid w:val="004A1C3C"/>
    <w:rsid w:val="004A206D"/>
    <w:rsid w:val="004A2097"/>
    <w:rsid w:val="004A21A5"/>
    <w:rsid w:val="004A2DE7"/>
    <w:rsid w:val="004A309C"/>
    <w:rsid w:val="004A3764"/>
    <w:rsid w:val="004A396E"/>
    <w:rsid w:val="004A4809"/>
    <w:rsid w:val="004A5256"/>
    <w:rsid w:val="004A5DB4"/>
    <w:rsid w:val="004A7EA1"/>
    <w:rsid w:val="004B241A"/>
    <w:rsid w:val="004B2665"/>
    <w:rsid w:val="004B329E"/>
    <w:rsid w:val="004B37B7"/>
    <w:rsid w:val="004B3E47"/>
    <w:rsid w:val="004B4147"/>
    <w:rsid w:val="004B57C0"/>
    <w:rsid w:val="004B5969"/>
    <w:rsid w:val="004B5F9A"/>
    <w:rsid w:val="004B6761"/>
    <w:rsid w:val="004B72A4"/>
    <w:rsid w:val="004B7B1C"/>
    <w:rsid w:val="004C05BF"/>
    <w:rsid w:val="004C093A"/>
    <w:rsid w:val="004C0F66"/>
    <w:rsid w:val="004C12B0"/>
    <w:rsid w:val="004C1319"/>
    <w:rsid w:val="004C28CE"/>
    <w:rsid w:val="004C2BA8"/>
    <w:rsid w:val="004C41DB"/>
    <w:rsid w:val="004C4549"/>
    <w:rsid w:val="004C4B3E"/>
    <w:rsid w:val="004C4E17"/>
    <w:rsid w:val="004C4E7B"/>
    <w:rsid w:val="004C51A8"/>
    <w:rsid w:val="004C543F"/>
    <w:rsid w:val="004C59B4"/>
    <w:rsid w:val="004C5AD1"/>
    <w:rsid w:val="004C653E"/>
    <w:rsid w:val="004C7A36"/>
    <w:rsid w:val="004D16F1"/>
    <w:rsid w:val="004D172C"/>
    <w:rsid w:val="004D1FD0"/>
    <w:rsid w:val="004D2D05"/>
    <w:rsid w:val="004D57CE"/>
    <w:rsid w:val="004D6774"/>
    <w:rsid w:val="004D6E1B"/>
    <w:rsid w:val="004D70A2"/>
    <w:rsid w:val="004D77DC"/>
    <w:rsid w:val="004D7815"/>
    <w:rsid w:val="004D7A81"/>
    <w:rsid w:val="004E0408"/>
    <w:rsid w:val="004E1006"/>
    <w:rsid w:val="004E1075"/>
    <w:rsid w:val="004E1BA5"/>
    <w:rsid w:val="004E320E"/>
    <w:rsid w:val="004E3578"/>
    <w:rsid w:val="004E3985"/>
    <w:rsid w:val="004E3A9A"/>
    <w:rsid w:val="004E3FC2"/>
    <w:rsid w:val="004E4426"/>
    <w:rsid w:val="004E4EA4"/>
    <w:rsid w:val="004E54FA"/>
    <w:rsid w:val="004E5827"/>
    <w:rsid w:val="004E7256"/>
    <w:rsid w:val="004F01A2"/>
    <w:rsid w:val="004F022B"/>
    <w:rsid w:val="004F137A"/>
    <w:rsid w:val="004F1C8B"/>
    <w:rsid w:val="004F2FCF"/>
    <w:rsid w:val="004F4300"/>
    <w:rsid w:val="004F4A50"/>
    <w:rsid w:val="004F4F01"/>
    <w:rsid w:val="004F5E34"/>
    <w:rsid w:val="004F7BB7"/>
    <w:rsid w:val="004F7E9C"/>
    <w:rsid w:val="0050076D"/>
    <w:rsid w:val="00500B54"/>
    <w:rsid w:val="00500C20"/>
    <w:rsid w:val="005017EE"/>
    <w:rsid w:val="005018C1"/>
    <w:rsid w:val="00502982"/>
    <w:rsid w:val="00502E2C"/>
    <w:rsid w:val="00502F1C"/>
    <w:rsid w:val="0050362B"/>
    <w:rsid w:val="00503979"/>
    <w:rsid w:val="00503B44"/>
    <w:rsid w:val="00503F46"/>
    <w:rsid w:val="00504001"/>
    <w:rsid w:val="00504C03"/>
    <w:rsid w:val="00504FA2"/>
    <w:rsid w:val="005053A5"/>
    <w:rsid w:val="005053D5"/>
    <w:rsid w:val="00505925"/>
    <w:rsid w:val="00506E0F"/>
    <w:rsid w:val="0050771A"/>
    <w:rsid w:val="00507F9E"/>
    <w:rsid w:val="005103D3"/>
    <w:rsid w:val="00511660"/>
    <w:rsid w:val="00511DE9"/>
    <w:rsid w:val="0051216F"/>
    <w:rsid w:val="005132E7"/>
    <w:rsid w:val="005141A6"/>
    <w:rsid w:val="0051453C"/>
    <w:rsid w:val="0051515D"/>
    <w:rsid w:val="005156C4"/>
    <w:rsid w:val="00515EC4"/>
    <w:rsid w:val="00516FDB"/>
    <w:rsid w:val="00517949"/>
    <w:rsid w:val="00517C59"/>
    <w:rsid w:val="00520359"/>
    <w:rsid w:val="0052058C"/>
    <w:rsid w:val="00520A3D"/>
    <w:rsid w:val="005210C7"/>
    <w:rsid w:val="005214A1"/>
    <w:rsid w:val="00522D58"/>
    <w:rsid w:val="0052312D"/>
    <w:rsid w:val="005237A6"/>
    <w:rsid w:val="00523D6A"/>
    <w:rsid w:val="00523F6F"/>
    <w:rsid w:val="00523FC8"/>
    <w:rsid w:val="00525AAC"/>
    <w:rsid w:val="005267AC"/>
    <w:rsid w:val="00526D69"/>
    <w:rsid w:val="005271E4"/>
    <w:rsid w:val="00527A6E"/>
    <w:rsid w:val="005305FA"/>
    <w:rsid w:val="0053096F"/>
    <w:rsid w:val="00531513"/>
    <w:rsid w:val="00531D8C"/>
    <w:rsid w:val="00534F98"/>
    <w:rsid w:val="005359E7"/>
    <w:rsid w:val="005367EE"/>
    <w:rsid w:val="00537E0B"/>
    <w:rsid w:val="00540F3B"/>
    <w:rsid w:val="005411E4"/>
    <w:rsid w:val="00541370"/>
    <w:rsid w:val="0054190A"/>
    <w:rsid w:val="00542208"/>
    <w:rsid w:val="00542A9A"/>
    <w:rsid w:val="00543242"/>
    <w:rsid w:val="0054385D"/>
    <w:rsid w:val="00543BB4"/>
    <w:rsid w:val="00544382"/>
    <w:rsid w:val="00544786"/>
    <w:rsid w:val="00544D7B"/>
    <w:rsid w:val="00544E19"/>
    <w:rsid w:val="005469CC"/>
    <w:rsid w:val="00546DBF"/>
    <w:rsid w:val="00547097"/>
    <w:rsid w:val="00547119"/>
    <w:rsid w:val="00550157"/>
    <w:rsid w:val="0055074C"/>
    <w:rsid w:val="005513AC"/>
    <w:rsid w:val="00552167"/>
    <w:rsid w:val="005524A4"/>
    <w:rsid w:val="00552563"/>
    <w:rsid w:val="00552AA3"/>
    <w:rsid w:val="0055326E"/>
    <w:rsid w:val="005538C2"/>
    <w:rsid w:val="00554464"/>
    <w:rsid w:val="005556BE"/>
    <w:rsid w:val="00555B7F"/>
    <w:rsid w:val="00555CFD"/>
    <w:rsid w:val="00556B2A"/>
    <w:rsid w:val="00556CFF"/>
    <w:rsid w:val="00560E77"/>
    <w:rsid w:val="005623CA"/>
    <w:rsid w:val="0056247E"/>
    <w:rsid w:val="005633DA"/>
    <w:rsid w:val="00563AAA"/>
    <w:rsid w:val="00563EB7"/>
    <w:rsid w:val="005646B1"/>
    <w:rsid w:val="00565B6C"/>
    <w:rsid w:val="00565B92"/>
    <w:rsid w:val="00566287"/>
    <w:rsid w:val="0056635B"/>
    <w:rsid w:val="00567303"/>
    <w:rsid w:val="00567445"/>
    <w:rsid w:val="00567E10"/>
    <w:rsid w:val="005700A6"/>
    <w:rsid w:val="00570255"/>
    <w:rsid w:val="005707D3"/>
    <w:rsid w:val="00571013"/>
    <w:rsid w:val="005710CC"/>
    <w:rsid w:val="00571838"/>
    <w:rsid w:val="00571C6A"/>
    <w:rsid w:val="00572373"/>
    <w:rsid w:val="005726B6"/>
    <w:rsid w:val="00573E33"/>
    <w:rsid w:val="00573FAA"/>
    <w:rsid w:val="005749C6"/>
    <w:rsid w:val="00574E9D"/>
    <w:rsid w:val="00575734"/>
    <w:rsid w:val="00575CCA"/>
    <w:rsid w:val="00576359"/>
    <w:rsid w:val="00577258"/>
    <w:rsid w:val="0057736E"/>
    <w:rsid w:val="00577D8C"/>
    <w:rsid w:val="0058060E"/>
    <w:rsid w:val="0058064C"/>
    <w:rsid w:val="005807E2"/>
    <w:rsid w:val="005816F9"/>
    <w:rsid w:val="00581DB9"/>
    <w:rsid w:val="005827BA"/>
    <w:rsid w:val="00583B3E"/>
    <w:rsid w:val="005842F2"/>
    <w:rsid w:val="005855BB"/>
    <w:rsid w:val="00585F26"/>
    <w:rsid w:val="0058652D"/>
    <w:rsid w:val="0058666E"/>
    <w:rsid w:val="00586CF0"/>
    <w:rsid w:val="00587402"/>
    <w:rsid w:val="0058796C"/>
    <w:rsid w:val="00587AED"/>
    <w:rsid w:val="00590773"/>
    <w:rsid w:val="00590D55"/>
    <w:rsid w:val="00590DCC"/>
    <w:rsid w:val="00590E9F"/>
    <w:rsid w:val="00591043"/>
    <w:rsid w:val="005911CB"/>
    <w:rsid w:val="00591AE5"/>
    <w:rsid w:val="00594407"/>
    <w:rsid w:val="00594617"/>
    <w:rsid w:val="00594B9E"/>
    <w:rsid w:val="00594BEF"/>
    <w:rsid w:val="005979C9"/>
    <w:rsid w:val="005A0795"/>
    <w:rsid w:val="005A0F39"/>
    <w:rsid w:val="005A2002"/>
    <w:rsid w:val="005A241B"/>
    <w:rsid w:val="005A30F0"/>
    <w:rsid w:val="005A320F"/>
    <w:rsid w:val="005A37CF"/>
    <w:rsid w:val="005A3EC1"/>
    <w:rsid w:val="005A42F9"/>
    <w:rsid w:val="005A52F5"/>
    <w:rsid w:val="005A571B"/>
    <w:rsid w:val="005A6261"/>
    <w:rsid w:val="005A64F3"/>
    <w:rsid w:val="005A669F"/>
    <w:rsid w:val="005A7340"/>
    <w:rsid w:val="005A74F3"/>
    <w:rsid w:val="005A7F70"/>
    <w:rsid w:val="005B0D6B"/>
    <w:rsid w:val="005B0F4F"/>
    <w:rsid w:val="005B102C"/>
    <w:rsid w:val="005B1833"/>
    <w:rsid w:val="005B21B1"/>
    <w:rsid w:val="005B2213"/>
    <w:rsid w:val="005B225F"/>
    <w:rsid w:val="005B230E"/>
    <w:rsid w:val="005B30DD"/>
    <w:rsid w:val="005B3509"/>
    <w:rsid w:val="005B4BD3"/>
    <w:rsid w:val="005B59D8"/>
    <w:rsid w:val="005B5A4A"/>
    <w:rsid w:val="005B60E9"/>
    <w:rsid w:val="005B659E"/>
    <w:rsid w:val="005B69CF"/>
    <w:rsid w:val="005B6A26"/>
    <w:rsid w:val="005B6C2B"/>
    <w:rsid w:val="005B6CBA"/>
    <w:rsid w:val="005C0A37"/>
    <w:rsid w:val="005C0ED0"/>
    <w:rsid w:val="005C12C5"/>
    <w:rsid w:val="005C1704"/>
    <w:rsid w:val="005C1BD3"/>
    <w:rsid w:val="005C1BD9"/>
    <w:rsid w:val="005C1D98"/>
    <w:rsid w:val="005C1E36"/>
    <w:rsid w:val="005C2A1E"/>
    <w:rsid w:val="005C2D7D"/>
    <w:rsid w:val="005C2F3D"/>
    <w:rsid w:val="005C30E0"/>
    <w:rsid w:val="005C31F2"/>
    <w:rsid w:val="005C3696"/>
    <w:rsid w:val="005C401C"/>
    <w:rsid w:val="005C50E2"/>
    <w:rsid w:val="005C5900"/>
    <w:rsid w:val="005C5EA5"/>
    <w:rsid w:val="005C66B0"/>
    <w:rsid w:val="005C6A02"/>
    <w:rsid w:val="005C6B1F"/>
    <w:rsid w:val="005D1888"/>
    <w:rsid w:val="005D1BF4"/>
    <w:rsid w:val="005D233E"/>
    <w:rsid w:val="005D3145"/>
    <w:rsid w:val="005D3510"/>
    <w:rsid w:val="005D3D4E"/>
    <w:rsid w:val="005D3F4F"/>
    <w:rsid w:val="005D3FB9"/>
    <w:rsid w:val="005D4CBD"/>
    <w:rsid w:val="005D51A2"/>
    <w:rsid w:val="005D52B9"/>
    <w:rsid w:val="005D6387"/>
    <w:rsid w:val="005D67C5"/>
    <w:rsid w:val="005D69FD"/>
    <w:rsid w:val="005D7692"/>
    <w:rsid w:val="005D7ACF"/>
    <w:rsid w:val="005D7DD5"/>
    <w:rsid w:val="005E056B"/>
    <w:rsid w:val="005E073D"/>
    <w:rsid w:val="005E07E8"/>
    <w:rsid w:val="005E0E88"/>
    <w:rsid w:val="005E118E"/>
    <w:rsid w:val="005E1746"/>
    <w:rsid w:val="005E70BD"/>
    <w:rsid w:val="005E732A"/>
    <w:rsid w:val="005E7954"/>
    <w:rsid w:val="005E7E49"/>
    <w:rsid w:val="005F0040"/>
    <w:rsid w:val="005F120B"/>
    <w:rsid w:val="005F3690"/>
    <w:rsid w:val="005F39A0"/>
    <w:rsid w:val="005F3D79"/>
    <w:rsid w:val="005F4341"/>
    <w:rsid w:val="005F44AE"/>
    <w:rsid w:val="005F603B"/>
    <w:rsid w:val="005F66C9"/>
    <w:rsid w:val="0060243F"/>
    <w:rsid w:val="00602C6D"/>
    <w:rsid w:val="0060507B"/>
    <w:rsid w:val="00605602"/>
    <w:rsid w:val="006065A9"/>
    <w:rsid w:val="00606C4A"/>
    <w:rsid w:val="00606FAF"/>
    <w:rsid w:val="00607529"/>
    <w:rsid w:val="006076AB"/>
    <w:rsid w:val="00607B2E"/>
    <w:rsid w:val="00607FCF"/>
    <w:rsid w:val="006100B6"/>
    <w:rsid w:val="00610315"/>
    <w:rsid w:val="00610837"/>
    <w:rsid w:val="00610958"/>
    <w:rsid w:val="006109E2"/>
    <w:rsid w:val="00610C7C"/>
    <w:rsid w:val="00610E2E"/>
    <w:rsid w:val="0061182D"/>
    <w:rsid w:val="00611A0A"/>
    <w:rsid w:val="00612008"/>
    <w:rsid w:val="0061219B"/>
    <w:rsid w:val="00612635"/>
    <w:rsid w:val="00612B4A"/>
    <w:rsid w:val="00613450"/>
    <w:rsid w:val="006137EC"/>
    <w:rsid w:val="00613D53"/>
    <w:rsid w:val="00614280"/>
    <w:rsid w:val="00614308"/>
    <w:rsid w:val="00614CAE"/>
    <w:rsid w:val="00614FCF"/>
    <w:rsid w:val="0061569E"/>
    <w:rsid w:val="00615915"/>
    <w:rsid w:val="00615990"/>
    <w:rsid w:val="00615C44"/>
    <w:rsid w:val="00615CF5"/>
    <w:rsid w:val="00615EF9"/>
    <w:rsid w:val="00616163"/>
    <w:rsid w:val="00616486"/>
    <w:rsid w:val="00616488"/>
    <w:rsid w:val="00616607"/>
    <w:rsid w:val="00617004"/>
    <w:rsid w:val="0061751C"/>
    <w:rsid w:val="0062027B"/>
    <w:rsid w:val="0062133C"/>
    <w:rsid w:val="0062149E"/>
    <w:rsid w:val="006216F6"/>
    <w:rsid w:val="006217FB"/>
    <w:rsid w:val="006218EF"/>
    <w:rsid w:val="0062257D"/>
    <w:rsid w:val="00623F88"/>
    <w:rsid w:val="00624317"/>
    <w:rsid w:val="00624433"/>
    <w:rsid w:val="006246DA"/>
    <w:rsid w:val="00625DE0"/>
    <w:rsid w:val="00625EFB"/>
    <w:rsid w:val="00627932"/>
    <w:rsid w:val="00627E47"/>
    <w:rsid w:val="00627EDE"/>
    <w:rsid w:val="006316B5"/>
    <w:rsid w:val="00631D4B"/>
    <w:rsid w:val="00632637"/>
    <w:rsid w:val="00632704"/>
    <w:rsid w:val="0063357A"/>
    <w:rsid w:val="00634020"/>
    <w:rsid w:val="00634394"/>
    <w:rsid w:val="006345C1"/>
    <w:rsid w:val="00634C75"/>
    <w:rsid w:val="0063529D"/>
    <w:rsid w:val="00636623"/>
    <w:rsid w:val="006378C1"/>
    <w:rsid w:val="00640D3C"/>
    <w:rsid w:val="006413CE"/>
    <w:rsid w:val="00641821"/>
    <w:rsid w:val="00641AA8"/>
    <w:rsid w:val="00641B3F"/>
    <w:rsid w:val="00641B88"/>
    <w:rsid w:val="00642719"/>
    <w:rsid w:val="00642B83"/>
    <w:rsid w:val="006430DA"/>
    <w:rsid w:val="00643875"/>
    <w:rsid w:val="00644253"/>
    <w:rsid w:val="0064468A"/>
    <w:rsid w:val="0064496D"/>
    <w:rsid w:val="006449D8"/>
    <w:rsid w:val="006451FC"/>
    <w:rsid w:val="00645C90"/>
    <w:rsid w:val="006465EF"/>
    <w:rsid w:val="0064751B"/>
    <w:rsid w:val="006476E3"/>
    <w:rsid w:val="00653293"/>
    <w:rsid w:val="00653FB1"/>
    <w:rsid w:val="00654868"/>
    <w:rsid w:val="00655288"/>
    <w:rsid w:val="006553A4"/>
    <w:rsid w:val="006553C9"/>
    <w:rsid w:val="006557D6"/>
    <w:rsid w:val="00655C7A"/>
    <w:rsid w:val="00656631"/>
    <w:rsid w:val="0065702B"/>
    <w:rsid w:val="00657A6C"/>
    <w:rsid w:val="00657C80"/>
    <w:rsid w:val="00657E41"/>
    <w:rsid w:val="00657EB9"/>
    <w:rsid w:val="00660210"/>
    <w:rsid w:val="00660303"/>
    <w:rsid w:val="006612C7"/>
    <w:rsid w:val="0066147B"/>
    <w:rsid w:val="00661552"/>
    <w:rsid w:val="00661CC4"/>
    <w:rsid w:val="0066206F"/>
    <w:rsid w:val="006620C9"/>
    <w:rsid w:val="006627B7"/>
    <w:rsid w:val="00662E5E"/>
    <w:rsid w:val="006631B5"/>
    <w:rsid w:val="00665253"/>
    <w:rsid w:val="00665BF8"/>
    <w:rsid w:val="0066727F"/>
    <w:rsid w:val="00667F44"/>
    <w:rsid w:val="006707E0"/>
    <w:rsid w:val="00670A88"/>
    <w:rsid w:val="006722CF"/>
    <w:rsid w:val="006722D2"/>
    <w:rsid w:val="00672604"/>
    <w:rsid w:val="00672658"/>
    <w:rsid w:val="00672CF2"/>
    <w:rsid w:val="00672E7D"/>
    <w:rsid w:val="00674756"/>
    <w:rsid w:val="00676296"/>
    <w:rsid w:val="00676A5B"/>
    <w:rsid w:val="00676EE8"/>
    <w:rsid w:val="00677E33"/>
    <w:rsid w:val="0068007B"/>
    <w:rsid w:val="0068011C"/>
    <w:rsid w:val="00680A9D"/>
    <w:rsid w:val="00680BEF"/>
    <w:rsid w:val="00680E5B"/>
    <w:rsid w:val="006814E7"/>
    <w:rsid w:val="006815C7"/>
    <w:rsid w:val="006817C3"/>
    <w:rsid w:val="0068264C"/>
    <w:rsid w:val="006834E2"/>
    <w:rsid w:val="00683AFE"/>
    <w:rsid w:val="00683BA4"/>
    <w:rsid w:val="00683BB3"/>
    <w:rsid w:val="00683BC4"/>
    <w:rsid w:val="00683BF2"/>
    <w:rsid w:val="00684230"/>
    <w:rsid w:val="006863D9"/>
    <w:rsid w:val="006864E6"/>
    <w:rsid w:val="006868DC"/>
    <w:rsid w:val="00686E9F"/>
    <w:rsid w:val="0068784B"/>
    <w:rsid w:val="00687ABE"/>
    <w:rsid w:val="00687C26"/>
    <w:rsid w:val="00687D6A"/>
    <w:rsid w:val="00690D03"/>
    <w:rsid w:val="006913A5"/>
    <w:rsid w:val="006918E1"/>
    <w:rsid w:val="006921B7"/>
    <w:rsid w:val="006921F3"/>
    <w:rsid w:val="0069296A"/>
    <w:rsid w:val="00692A48"/>
    <w:rsid w:val="00692F7C"/>
    <w:rsid w:val="006932AA"/>
    <w:rsid w:val="00693387"/>
    <w:rsid w:val="0069366E"/>
    <w:rsid w:val="00693CEF"/>
    <w:rsid w:val="00694352"/>
    <w:rsid w:val="006948B2"/>
    <w:rsid w:val="00694A49"/>
    <w:rsid w:val="00695193"/>
    <w:rsid w:val="006951D2"/>
    <w:rsid w:val="0069566B"/>
    <w:rsid w:val="00696183"/>
    <w:rsid w:val="0069637C"/>
    <w:rsid w:val="006963F1"/>
    <w:rsid w:val="0069773E"/>
    <w:rsid w:val="006A03A3"/>
    <w:rsid w:val="006A043E"/>
    <w:rsid w:val="006A15F4"/>
    <w:rsid w:val="006A2F84"/>
    <w:rsid w:val="006A37FF"/>
    <w:rsid w:val="006A46AB"/>
    <w:rsid w:val="006A4823"/>
    <w:rsid w:val="006A4EF7"/>
    <w:rsid w:val="006A5A87"/>
    <w:rsid w:val="006A5B49"/>
    <w:rsid w:val="006A6367"/>
    <w:rsid w:val="006A6BE4"/>
    <w:rsid w:val="006A7398"/>
    <w:rsid w:val="006A73B6"/>
    <w:rsid w:val="006A74D2"/>
    <w:rsid w:val="006B088C"/>
    <w:rsid w:val="006B0C4C"/>
    <w:rsid w:val="006B1266"/>
    <w:rsid w:val="006B16D4"/>
    <w:rsid w:val="006B24AB"/>
    <w:rsid w:val="006B2905"/>
    <w:rsid w:val="006B2F89"/>
    <w:rsid w:val="006B3226"/>
    <w:rsid w:val="006B36DC"/>
    <w:rsid w:val="006B426B"/>
    <w:rsid w:val="006B5421"/>
    <w:rsid w:val="006B670C"/>
    <w:rsid w:val="006C1569"/>
    <w:rsid w:val="006C2956"/>
    <w:rsid w:val="006C2AC7"/>
    <w:rsid w:val="006C37FB"/>
    <w:rsid w:val="006C49B7"/>
    <w:rsid w:val="006C4E3C"/>
    <w:rsid w:val="006C4E4D"/>
    <w:rsid w:val="006C535D"/>
    <w:rsid w:val="006C53A0"/>
    <w:rsid w:val="006C5E5E"/>
    <w:rsid w:val="006C6336"/>
    <w:rsid w:val="006C63AF"/>
    <w:rsid w:val="006C6C66"/>
    <w:rsid w:val="006C712C"/>
    <w:rsid w:val="006C75E4"/>
    <w:rsid w:val="006D09EB"/>
    <w:rsid w:val="006D11AF"/>
    <w:rsid w:val="006D3696"/>
    <w:rsid w:val="006D4920"/>
    <w:rsid w:val="006D4933"/>
    <w:rsid w:val="006D4BCA"/>
    <w:rsid w:val="006D4D25"/>
    <w:rsid w:val="006D5EE2"/>
    <w:rsid w:val="006D6F9B"/>
    <w:rsid w:val="006D749E"/>
    <w:rsid w:val="006D785F"/>
    <w:rsid w:val="006D7E89"/>
    <w:rsid w:val="006E0374"/>
    <w:rsid w:val="006E04B2"/>
    <w:rsid w:val="006E09A4"/>
    <w:rsid w:val="006E1131"/>
    <w:rsid w:val="006E14EB"/>
    <w:rsid w:val="006E210E"/>
    <w:rsid w:val="006E34C5"/>
    <w:rsid w:val="006E3B2F"/>
    <w:rsid w:val="006E4A84"/>
    <w:rsid w:val="006E4CC4"/>
    <w:rsid w:val="006E55C9"/>
    <w:rsid w:val="006E70F8"/>
    <w:rsid w:val="006E7555"/>
    <w:rsid w:val="006F1229"/>
    <w:rsid w:val="006F151B"/>
    <w:rsid w:val="006F2C8A"/>
    <w:rsid w:val="006F3620"/>
    <w:rsid w:val="006F36D4"/>
    <w:rsid w:val="006F3B05"/>
    <w:rsid w:val="006F3C9A"/>
    <w:rsid w:val="006F4261"/>
    <w:rsid w:val="006F4449"/>
    <w:rsid w:val="006F4F7D"/>
    <w:rsid w:val="006F56BF"/>
    <w:rsid w:val="006F5B4D"/>
    <w:rsid w:val="006F5B6C"/>
    <w:rsid w:val="006F661D"/>
    <w:rsid w:val="006F668B"/>
    <w:rsid w:val="00700B66"/>
    <w:rsid w:val="007010A7"/>
    <w:rsid w:val="007029CE"/>
    <w:rsid w:val="00702B24"/>
    <w:rsid w:val="0070340B"/>
    <w:rsid w:val="007039C8"/>
    <w:rsid w:val="00706A08"/>
    <w:rsid w:val="0070781F"/>
    <w:rsid w:val="00710543"/>
    <w:rsid w:val="007108E3"/>
    <w:rsid w:val="00710DE6"/>
    <w:rsid w:val="00711145"/>
    <w:rsid w:val="0071238B"/>
    <w:rsid w:val="007123B4"/>
    <w:rsid w:val="007131F3"/>
    <w:rsid w:val="00713453"/>
    <w:rsid w:val="0071375F"/>
    <w:rsid w:val="00714930"/>
    <w:rsid w:val="00714F7A"/>
    <w:rsid w:val="007155E1"/>
    <w:rsid w:val="00716156"/>
    <w:rsid w:val="0071621D"/>
    <w:rsid w:val="0071635E"/>
    <w:rsid w:val="0071645F"/>
    <w:rsid w:val="00716A21"/>
    <w:rsid w:val="00717A75"/>
    <w:rsid w:val="00717BD6"/>
    <w:rsid w:val="00717CA7"/>
    <w:rsid w:val="00720BBD"/>
    <w:rsid w:val="007215CF"/>
    <w:rsid w:val="00721D4B"/>
    <w:rsid w:val="0072281C"/>
    <w:rsid w:val="00722BD6"/>
    <w:rsid w:val="00723855"/>
    <w:rsid w:val="00723B6C"/>
    <w:rsid w:val="0072491B"/>
    <w:rsid w:val="00725A35"/>
    <w:rsid w:val="007267EE"/>
    <w:rsid w:val="007274DB"/>
    <w:rsid w:val="00727D48"/>
    <w:rsid w:val="0073027C"/>
    <w:rsid w:val="00730E12"/>
    <w:rsid w:val="00731A25"/>
    <w:rsid w:val="00732055"/>
    <w:rsid w:val="00732206"/>
    <w:rsid w:val="0073261E"/>
    <w:rsid w:val="00732826"/>
    <w:rsid w:val="007331DA"/>
    <w:rsid w:val="0073410B"/>
    <w:rsid w:val="00734E6F"/>
    <w:rsid w:val="0073562B"/>
    <w:rsid w:val="00735845"/>
    <w:rsid w:val="007364C2"/>
    <w:rsid w:val="00737241"/>
    <w:rsid w:val="007408AE"/>
    <w:rsid w:val="00740D89"/>
    <w:rsid w:val="00740E7C"/>
    <w:rsid w:val="007413CC"/>
    <w:rsid w:val="00741F06"/>
    <w:rsid w:val="007423DA"/>
    <w:rsid w:val="00742BA3"/>
    <w:rsid w:val="00742F80"/>
    <w:rsid w:val="0074328C"/>
    <w:rsid w:val="00743359"/>
    <w:rsid w:val="007433EF"/>
    <w:rsid w:val="0074388A"/>
    <w:rsid w:val="007442BB"/>
    <w:rsid w:val="00744ADC"/>
    <w:rsid w:val="00745148"/>
    <w:rsid w:val="007469C6"/>
    <w:rsid w:val="00746F37"/>
    <w:rsid w:val="007474A4"/>
    <w:rsid w:val="00750E41"/>
    <w:rsid w:val="00751F29"/>
    <w:rsid w:val="0075244C"/>
    <w:rsid w:val="007527A4"/>
    <w:rsid w:val="00752810"/>
    <w:rsid w:val="007528F4"/>
    <w:rsid w:val="00752CBB"/>
    <w:rsid w:val="00753D22"/>
    <w:rsid w:val="00754990"/>
    <w:rsid w:val="007552E4"/>
    <w:rsid w:val="007554E3"/>
    <w:rsid w:val="00755B8B"/>
    <w:rsid w:val="00755F14"/>
    <w:rsid w:val="00755FB9"/>
    <w:rsid w:val="00756943"/>
    <w:rsid w:val="00756ABA"/>
    <w:rsid w:val="00757A2A"/>
    <w:rsid w:val="00760053"/>
    <w:rsid w:val="0076015B"/>
    <w:rsid w:val="007604D5"/>
    <w:rsid w:val="00761090"/>
    <w:rsid w:val="0076151A"/>
    <w:rsid w:val="00762D60"/>
    <w:rsid w:val="00763420"/>
    <w:rsid w:val="00763F04"/>
    <w:rsid w:val="00763FCE"/>
    <w:rsid w:val="00764046"/>
    <w:rsid w:val="00764F47"/>
    <w:rsid w:val="0076627A"/>
    <w:rsid w:val="007664FB"/>
    <w:rsid w:val="00767622"/>
    <w:rsid w:val="00767E69"/>
    <w:rsid w:val="007714F3"/>
    <w:rsid w:val="00771C05"/>
    <w:rsid w:val="00771C40"/>
    <w:rsid w:val="007727E6"/>
    <w:rsid w:val="00774058"/>
    <w:rsid w:val="007748BA"/>
    <w:rsid w:val="00777207"/>
    <w:rsid w:val="00780207"/>
    <w:rsid w:val="00780A89"/>
    <w:rsid w:val="0078148A"/>
    <w:rsid w:val="0078157F"/>
    <w:rsid w:val="0078229B"/>
    <w:rsid w:val="0078233F"/>
    <w:rsid w:val="00782BD3"/>
    <w:rsid w:val="00782BD5"/>
    <w:rsid w:val="00782C39"/>
    <w:rsid w:val="00783263"/>
    <w:rsid w:val="007836C2"/>
    <w:rsid w:val="00783EA2"/>
    <w:rsid w:val="00783FA7"/>
    <w:rsid w:val="0078421A"/>
    <w:rsid w:val="00784800"/>
    <w:rsid w:val="00784EAB"/>
    <w:rsid w:val="00784F82"/>
    <w:rsid w:val="00785803"/>
    <w:rsid w:val="00785AF0"/>
    <w:rsid w:val="00785FEC"/>
    <w:rsid w:val="00786241"/>
    <w:rsid w:val="0078689E"/>
    <w:rsid w:val="007868F9"/>
    <w:rsid w:val="00786A13"/>
    <w:rsid w:val="007878F9"/>
    <w:rsid w:val="00787F36"/>
    <w:rsid w:val="00790142"/>
    <w:rsid w:val="007907C4"/>
    <w:rsid w:val="0079121F"/>
    <w:rsid w:val="00791635"/>
    <w:rsid w:val="007916B8"/>
    <w:rsid w:val="007919B3"/>
    <w:rsid w:val="00791C18"/>
    <w:rsid w:val="00791DEA"/>
    <w:rsid w:val="007923C1"/>
    <w:rsid w:val="0079333D"/>
    <w:rsid w:val="00793B5D"/>
    <w:rsid w:val="00794498"/>
    <w:rsid w:val="00794F12"/>
    <w:rsid w:val="00795065"/>
    <w:rsid w:val="0079574D"/>
    <w:rsid w:val="00795870"/>
    <w:rsid w:val="00795C2E"/>
    <w:rsid w:val="00795E3E"/>
    <w:rsid w:val="00795EE6"/>
    <w:rsid w:val="007960BF"/>
    <w:rsid w:val="0079689B"/>
    <w:rsid w:val="007A0261"/>
    <w:rsid w:val="007A12E6"/>
    <w:rsid w:val="007A1954"/>
    <w:rsid w:val="007A2A20"/>
    <w:rsid w:val="007A4670"/>
    <w:rsid w:val="007A4EF7"/>
    <w:rsid w:val="007A51BB"/>
    <w:rsid w:val="007A6A78"/>
    <w:rsid w:val="007A7541"/>
    <w:rsid w:val="007A7949"/>
    <w:rsid w:val="007A7BC8"/>
    <w:rsid w:val="007B002B"/>
    <w:rsid w:val="007B1199"/>
    <w:rsid w:val="007B1508"/>
    <w:rsid w:val="007B17D9"/>
    <w:rsid w:val="007B2EF6"/>
    <w:rsid w:val="007B31D4"/>
    <w:rsid w:val="007B3836"/>
    <w:rsid w:val="007B406D"/>
    <w:rsid w:val="007B4B3E"/>
    <w:rsid w:val="007B5641"/>
    <w:rsid w:val="007B5892"/>
    <w:rsid w:val="007B59B5"/>
    <w:rsid w:val="007B6189"/>
    <w:rsid w:val="007B6F08"/>
    <w:rsid w:val="007B7623"/>
    <w:rsid w:val="007B7A02"/>
    <w:rsid w:val="007B7DAF"/>
    <w:rsid w:val="007C0E38"/>
    <w:rsid w:val="007C18F7"/>
    <w:rsid w:val="007C1BDF"/>
    <w:rsid w:val="007C393C"/>
    <w:rsid w:val="007C3E1E"/>
    <w:rsid w:val="007C4F29"/>
    <w:rsid w:val="007C531B"/>
    <w:rsid w:val="007C560F"/>
    <w:rsid w:val="007C5DC3"/>
    <w:rsid w:val="007C63A5"/>
    <w:rsid w:val="007C6647"/>
    <w:rsid w:val="007C6A88"/>
    <w:rsid w:val="007C6D6B"/>
    <w:rsid w:val="007C793B"/>
    <w:rsid w:val="007D062A"/>
    <w:rsid w:val="007D0C2F"/>
    <w:rsid w:val="007D19D0"/>
    <w:rsid w:val="007D2382"/>
    <w:rsid w:val="007D24AD"/>
    <w:rsid w:val="007D2959"/>
    <w:rsid w:val="007D3205"/>
    <w:rsid w:val="007D3477"/>
    <w:rsid w:val="007D3D41"/>
    <w:rsid w:val="007D3E6D"/>
    <w:rsid w:val="007D4F6E"/>
    <w:rsid w:val="007D6A29"/>
    <w:rsid w:val="007D7BC1"/>
    <w:rsid w:val="007E0A22"/>
    <w:rsid w:val="007E0AD2"/>
    <w:rsid w:val="007E0D89"/>
    <w:rsid w:val="007E11DB"/>
    <w:rsid w:val="007E14F2"/>
    <w:rsid w:val="007E2581"/>
    <w:rsid w:val="007E38D2"/>
    <w:rsid w:val="007E4F67"/>
    <w:rsid w:val="007E6E09"/>
    <w:rsid w:val="007F0B92"/>
    <w:rsid w:val="007F1D9C"/>
    <w:rsid w:val="007F2276"/>
    <w:rsid w:val="007F29FE"/>
    <w:rsid w:val="007F3614"/>
    <w:rsid w:val="007F3C6D"/>
    <w:rsid w:val="007F3FAB"/>
    <w:rsid w:val="007F4174"/>
    <w:rsid w:val="007F4B96"/>
    <w:rsid w:val="007F4D99"/>
    <w:rsid w:val="007F5CDE"/>
    <w:rsid w:val="007F70FC"/>
    <w:rsid w:val="007F776A"/>
    <w:rsid w:val="008000D3"/>
    <w:rsid w:val="008015DA"/>
    <w:rsid w:val="00801CDA"/>
    <w:rsid w:val="0080217B"/>
    <w:rsid w:val="00803002"/>
    <w:rsid w:val="008036B9"/>
    <w:rsid w:val="00803AD8"/>
    <w:rsid w:val="0080409C"/>
    <w:rsid w:val="00804127"/>
    <w:rsid w:val="00804475"/>
    <w:rsid w:val="0080495D"/>
    <w:rsid w:val="008049DB"/>
    <w:rsid w:val="008069A2"/>
    <w:rsid w:val="00807698"/>
    <w:rsid w:val="008077CF"/>
    <w:rsid w:val="0080788D"/>
    <w:rsid w:val="00807FCC"/>
    <w:rsid w:val="00810702"/>
    <w:rsid w:val="008133A3"/>
    <w:rsid w:val="00813E02"/>
    <w:rsid w:val="00814E8C"/>
    <w:rsid w:val="00815C20"/>
    <w:rsid w:val="00815DEF"/>
    <w:rsid w:val="0081655D"/>
    <w:rsid w:val="008204B7"/>
    <w:rsid w:val="00821069"/>
    <w:rsid w:val="0082184B"/>
    <w:rsid w:val="00821AB2"/>
    <w:rsid w:val="00822374"/>
    <w:rsid w:val="00822B2A"/>
    <w:rsid w:val="00822C3D"/>
    <w:rsid w:val="00822F36"/>
    <w:rsid w:val="008235C0"/>
    <w:rsid w:val="00823CBB"/>
    <w:rsid w:val="0082427E"/>
    <w:rsid w:val="008243D5"/>
    <w:rsid w:val="008244B8"/>
    <w:rsid w:val="00824B7D"/>
    <w:rsid w:val="00824CDF"/>
    <w:rsid w:val="00824DC8"/>
    <w:rsid w:val="00824DD8"/>
    <w:rsid w:val="00825443"/>
    <w:rsid w:val="0082582A"/>
    <w:rsid w:val="00825BC8"/>
    <w:rsid w:val="00825C85"/>
    <w:rsid w:val="00826474"/>
    <w:rsid w:val="0082653C"/>
    <w:rsid w:val="00826A3E"/>
    <w:rsid w:val="00827144"/>
    <w:rsid w:val="00827A8F"/>
    <w:rsid w:val="00827B98"/>
    <w:rsid w:val="00831DA2"/>
    <w:rsid w:val="008324B7"/>
    <w:rsid w:val="00832DAF"/>
    <w:rsid w:val="0083397F"/>
    <w:rsid w:val="0083399D"/>
    <w:rsid w:val="008347D1"/>
    <w:rsid w:val="008348FA"/>
    <w:rsid w:val="008355B2"/>
    <w:rsid w:val="00835A85"/>
    <w:rsid w:val="00837A41"/>
    <w:rsid w:val="00840712"/>
    <w:rsid w:val="00840E21"/>
    <w:rsid w:val="00841DF1"/>
    <w:rsid w:val="008439B9"/>
    <w:rsid w:val="00843F38"/>
    <w:rsid w:val="00844250"/>
    <w:rsid w:val="008444A2"/>
    <w:rsid w:val="00845B98"/>
    <w:rsid w:val="00846124"/>
    <w:rsid w:val="00847A1C"/>
    <w:rsid w:val="008500A6"/>
    <w:rsid w:val="00850206"/>
    <w:rsid w:val="00850576"/>
    <w:rsid w:val="0085219C"/>
    <w:rsid w:val="00853720"/>
    <w:rsid w:val="00853CDF"/>
    <w:rsid w:val="00854400"/>
    <w:rsid w:val="00855048"/>
    <w:rsid w:val="0085548E"/>
    <w:rsid w:val="0085606D"/>
    <w:rsid w:val="0085631E"/>
    <w:rsid w:val="008567BA"/>
    <w:rsid w:val="0085734B"/>
    <w:rsid w:val="00857B1D"/>
    <w:rsid w:val="008606FE"/>
    <w:rsid w:val="00860840"/>
    <w:rsid w:val="00861183"/>
    <w:rsid w:val="00862855"/>
    <w:rsid w:val="00862CE1"/>
    <w:rsid w:val="00863033"/>
    <w:rsid w:val="008635DB"/>
    <w:rsid w:val="0086397C"/>
    <w:rsid w:val="00864AB2"/>
    <w:rsid w:val="0086540B"/>
    <w:rsid w:val="008666B1"/>
    <w:rsid w:val="008675E4"/>
    <w:rsid w:val="00867672"/>
    <w:rsid w:val="00867FFD"/>
    <w:rsid w:val="00870786"/>
    <w:rsid w:val="00870A7E"/>
    <w:rsid w:val="00870E3C"/>
    <w:rsid w:val="008715BA"/>
    <w:rsid w:val="008720D8"/>
    <w:rsid w:val="00872D0F"/>
    <w:rsid w:val="00872D70"/>
    <w:rsid w:val="00872F0B"/>
    <w:rsid w:val="008733F4"/>
    <w:rsid w:val="008741EE"/>
    <w:rsid w:val="00874638"/>
    <w:rsid w:val="00875009"/>
    <w:rsid w:val="00875783"/>
    <w:rsid w:val="00875B6C"/>
    <w:rsid w:val="00876F9B"/>
    <w:rsid w:val="0088025D"/>
    <w:rsid w:val="008805F3"/>
    <w:rsid w:val="00881763"/>
    <w:rsid w:val="00881AAF"/>
    <w:rsid w:val="00881E9A"/>
    <w:rsid w:val="008830AA"/>
    <w:rsid w:val="008853E6"/>
    <w:rsid w:val="00885804"/>
    <w:rsid w:val="00885F95"/>
    <w:rsid w:val="0088639F"/>
    <w:rsid w:val="0088668E"/>
    <w:rsid w:val="00887724"/>
    <w:rsid w:val="00887833"/>
    <w:rsid w:val="00890C26"/>
    <w:rsid w:val="00890CE7"/>
    <w:rsid w:val="00891239"/>
    <w:rsid w:val="00892326"/>
    <w:rsid w:val="0089232E"/>
    <w:rsid w:val="008923EE"/>
    <w:rsid w:val="00893185"/>
    <w:rsid w:val="00893E05"/>
    <w:rsid w:val="00893F66"/>
    <w:rsid w:val="008946C4"/>
    <w:rsid w:val="00894C83"/>
    <w:rsid w:val="00895BE2"/>
    <w:rsid w:val="008973C4"/>
    <w:rsid w:val="0089775E"/>
    <w:rsid w:val="008A0381"/>
    <w:rsid w:val="008A0A2C"/>
    <w:rsid w:val="008A1E1B"/>
    <w:rsid w:val="008A27BE"/>
    <w:rsid w:val="008A5137"/>
    <w:rsid w:val="008A571F"/>
    <w:rsid w:val="008A65EC"/>
    <w:rsid w:val="008A6F5A"/>
    <w:rsid w:val="008A6FCF"/>
    <w:rsid w:val="008A730F"/>
    <w:rsid w:val="008B0F6E"/>
    <w:rsid w:val="008B20D5"/>
    <w:rsid w:val="008B3318"/>
    <w:rsid w:val="008B3813"/>
    <w:rsid w:val="008B3A10"/>
    <w:rsid w:val="008B3FA6"/>
    <w:rsid w:val="008B4033"/>
    <w:rsid w:val="008B40CB"/>
    <w:rsid w:val="008B4B1D"/>
    <w:rsid w:val="008B50F0"/>
    <w:rsid w:val="008B5A7B"/>
    <w:rsid w:val="008B5C4E"/>
    <w:rsid w:val="008B5D14"/>
    <w:rsid w:val="008B6C0E"/>
    <w:rsid w:val="008B6EA6"/>
    <w:rsid w:val="008B7717"/>
    <w:rsid w:val="008B7B54"/>
    <w:rsid w:val="008C0F8F"/>
    <w:rsid w:val="008C1189"/>
    <w:rsid w:val="008C13CD"/>
    <w:rsid w:val="008C20C0"/>
    <w:rsid w:val="008C2618"/>
    <w:rsid w:val="008C2D18"/>
    <w:rsid w:val="008C3135"/>
    <w:rsid w:val="008C3168"/>
    <w:rsid w:val="008C4B69"/>
    <w:rsid w:val="008C5B24"/>
    <w:rsid w:val="008C5BA7"/>
    <w:rsid w:val="008C6457"/>
    <w:rsid w:val="008C6BB1"/>
    <w:rsid w:val="008C7ECF"/>
    <w:rsid w:val="008D11CB"/>
    <w:rsid w:val="008D17AD"/>
    <w:rsid w:val="008D215D"/>
    <w:rsid w:val="008D215F"/>
    <w:rsid w:val="008D290B"/>
    <w:rsid w:val="008D2DEF"/>
    <w:rsid w:val="008D305E"/>
    <w:rsid w:val="008D3FD9"/>
    <w:rsid w:val="008D4AD5"/>
    <w:rsid w:val="008D526C"/>
    <w:rsid w:val="008D54A7"/>
    <w:rsid w:val="008D67F8"/>
    <w:rsid w:val="008D6A18"/>
    <w:rsid w:val="008D7253"/>
    <w:rsid w:val="008D7C3D"/>
    <w:rsid w:val="008D7DD8"/>
    <w:rsid w:val="008E0756"/>
    <w:rsid w:val="008E093A"/>
    <w:rsid w:val="008E0BB4"/>
    <w:rsid w:val="008E0EF1"/>
    <w:rsid w:val="008E0F89"/>
    <w:rsid w:val="008E16D1"/>
    <w:rsid w:val="008E212E"/>
    <w:rsid w:val="008E26AA"/>
    <w:rsid w:val="008E3599"/>
    <w:rsid w:val="008E37C2"/>
    <w:rsid w:val="008E48B9"/>
    <w:rsid w:val="008E48E7"/>
    <w:rsid w:val="008E4F37"/>
    <w:rsid w:val="008E4FC5"/>
    <w:rsid w:val="008E5446"/>
    <w:rsid w:val="008E734B"/>
    <w:rsid w:val="008E73B6"/>
    <w:rsid w:val="008E7A05"/>
    <w:rsid w:val="008F00DA"/>
    <w:rsid w:val="008F03F0"/>
    <w:rsid w:val="008F0ABD"/>
    <w:rsid w:val="008F12C8"/>
    <w:rsid w:val="008F2663"/>
    <w:rsid w:val="008F2B5D"/>
    <w:rsid w:val="008F30BC"/>
    <w:rsid w:val="008F3E74"/>
    <w:rsid w:val="008F41ED"/>
    <w:rsid w:val="008F5335"/>
    <w:rsid w:val="008F5D13"/>
    <w:rsid w:val="008F69D7"/>
    <w:rsid w:val="008F72D0"/>
    <w:rsid w:val="008F74D6"/>
    <w:rsid w:val="008F78A7"/>
    <w:rsid w:val="008F7CEE"/>
    <w:rsid w:val="00900743"/>
    <w:rsid w:val="009008AF"/>
    <w:rsid w:val="00900B09"/>
    <w:rsid w:val="009017E7"/>
    <w:rsid w:val="00901A0B"/>
    <w:rsid w:val="00901B2D"/>
    <w:rsid w:val="0090259A"/>
    <w:rsid w:val="00902A35"/>
    <w:rsid w:val="00902BAE"/>
    <w:rsid w:val="0090333E"/>
    <w:rsid w:val="00904063"/>
    <w:rsid w:val="00904B4D"/>
    <w:rsid w:val="00904B93"/>
    <w:rsid w:val="00904EC6"/>
    <w:rsid w:val="00905D6D"/>
    <w:rsid w:val="00907179"/>
    <w:rsid w:val="009101DD"/>
    <w:rsid w:val="00911F76"/>
    <w:rsid w:val="0091240B"/>
    <w:rsid w:val="009125CC"/>
    <w:rsid w:val="009136B0"/>
    <w:rsid w:val="00913F8C"/>
    <w:rsid w:val="009146E8"/>
    <w:rsid w:val="00914786"/>
    <w:rsid w:val="00914D7E"/>
    <w:rsid w:val="00915369"/>
    <w:rsid w:val="00915C5C"/>
    <w:rsid w:val="0091657A"/>
    <w:rsid w:val="00916AC3"/>
    <w:rsid w:val="00916E17"/>
    <w:rsid w:val="00917BB5"/>
    <w:rsid w:val="0092020A"/>
    <w:rsid w:val="00920315"/>
    <w:rsid w:val="009216DA"/>
    <w:rsid w:val="00922106"/>
    <w:rsid w:val="009229C8"/>
    <w:rsid w:val="00922F1C"/>
    <w:rsid w:val="00923633"/>
    <w:rsid w:val="00923964"/>
    <w:rsid w:val="0092428C"/>
    <w:rsid w:val="00925063"/>
    <w:rsid w:val="00926060"/>
    <w:rsid w:val="009269F6"/>
    <w:rsid w:val="00926C98"/>
    <w:rsid w:val="00926E60"/>
    <w:rsid w:val="00926FE6"/>
    <w:rsid w:val="0092703D"/>
    <w:rsid w:val="00927794"/>
    <w:rsid w:val="00927957"/>
    <w:rsid w:val="00930184"/>
    <w:rsid w:val="00930362"/>
    <w:rsid w:val="0093050D"/>
    <w:rsid w:val="00930FE9"/>
    <w:rsid w:val="00932457"/>
    <w:rsid w:val="009334F7"/>
    <w:rsid w:val="00933D73"/>
    <w:rsid w:val="00934002"/>
    <w:rsid w:val="00935B81"/>
    <w:rsid w:val="009360C8"/>
    <w:rsid w:val="009371AE"/>
    <w:rsid w:val="009377AF"/>
    <w:rsid w:val="00940126"/>
    <w:rsid w:val="009404A5"/>
    <w:rsid w:val="00940F21"/>
    <w:rsid w:val="0094222B"/>
    <w:rsid w:val="00942AE2"/>
    <w:rsid w:val="00942F74"/>
    <w:rsid w:val="009436A1"/>
    <w:rsid w:val="009442B9"/>
    <w:rsid w:val="00944976"/>
    <w:rsid w:val="009455B8"/>
    <w:rsid w:val="009456C5"/>
    <w:rsid w:val="009467ED"/>
    <w:rsid w:val="00946E6E"/>
    <w:rsid w:val="00947440"/>
    <w:rsid w:val="0095044F"/>
    <w:rsid w:val="00950D4D"/>
    <w:rsid w:val="0095101E"/>
    <w:rsid w:val="00951431"/>
    <w:rsid w:val="009517D1"/>
    <w:rsid w:val="00951888"/>
    <w:rsid w:val="00952264"/>
    <w:rsid w:val="0095293C"/>
    <w:rsid w:val="00952944"/>
    <w:rsid w:val="00953285"/>
    <w:rsid w:val="009533CE"/>
    <w:rsid w:val="00955399"/>
    <w:rsid w:val="00956034"/>
    <w:rsid w:val="0095641B"/>
    <w:rsid w:val="00956B00"/>
    <w:rsid w:val="009607AC"/>
    <w:rsid w:val="00960E81"/>
    <w:rsid w:val="00961863"/>
    <w:rsid w:val="00961E9F"/>
    <w:rsid w:val="009638BD"/>
    <w:rsid w:val="009646A6"/>
    <w:rsid w:val="00964DE0"/>
    <w:rsid w:val="009652A8"/>
    <w:rsid w:val="00965D52"/>
    <w:rsid w:val="00965E46"/>
    <w:rsid w:val="00966E2E"/>
    <w:rsid w:val="00971929"/>
    <w:rsid w:val="00971ABA"/>
    <w:rsid w:val="009723B2"/>
    <w:rsid w:val="0097244F"/>
    <w:rsid w:val="009730DD"/>
    <w:rsid w:val="00973202"/>
    <w:rsid w:val="00973B9E"/>
    <w:rsid w:val="00974B84"/>
    <w:rsid w:val="00974CB5"/>
    <w:rsid w:val="009754AB"/>
    <w:rsid w:val="0097561E"/>
    <w:rsid w:val="0097613B"/>
    <w:rsid w:val="0097613C"/>
    <w:rsid w:val="009762B0"/>
    <w:rsid w:val="0097643F"/>
    <w:rsid w:val="0097740E"/>
    <w:rsid w:val="0098016B"/>
    <w:rsid w:val="00980F0A"/>
    <w:rsid w:val="00981C1D"/>
    <w:rsid w:val="00984490"/>
    <w:rsid w:val="00984A9C"/>
    <w:rsid w:val="009854D8"/>
    <w:rsid w:val="00986107"/>
    <w:rsid w:val="009861CA"/>
    <w:rsid w:val="00987054"/>
    <w:rsid w:val="0099001B"/>
    <w:rsid w:val="00990282"/>
    <w:rsid w:val="009906DF"/>
    <w:rsid w:val="00993448"/>
    <w:rsid w:val="009937F6"/>
    <w:rsid w:val="00993A49"/>
    <w:rsid w:val="009942CC"/>
    <w:rsid w:val="00994303"/>
    <w:rsid w:val="009943DD"/>
    <w:rsid w:val="00994A01"/>
    <w:rsid w:val="00994D23"/>
    <w:rsid w:val="00995294"/>
    <w:rsid w:val="0099534B"/>
    <w:rsid w:val="009957A8"/>
    <w:rsid w:val="0099682D"/>
    <w:rsid w:val="009A0250"/>
    <w:rsid w:val="009A1C2D"/>
    <w:rsid w:val="009A283B"/>
    <w:rsid w:val="009A3071"/>
    <w:rsid w:val="009A41F0"/>
    <w:rsid w:val="009A56BD"/>
    <w:rsid w:val="009A6B5F"/>
    <w:rsid w:val="009A6C85"/>
    <w:rsid w:val="009A7089"/>
    <w:rsid w:val="009B03D8"/>
    <w:rsid w:val="009B0821"/>
    <w:rsid w:val="009B0C78"/>
    <w:rsid w:val="009B0C8A"/>
    <w:rsid w:val="009B0FF7"/>
    <w:rsid w:val="009B11CF"/>
    <w:rsid w:val="009B124E"/>
    <w:rsid w:val="009B151F"/>
    <w:rsid w:val="009B1BDD"/>
    <w:rsid w:val="009B1CE3"/>
    <w:rsid w:val="009B1E75"/>
    <w:rsid w:val="009B20E5"/>
    <w:rsid w:val="009B31E7"/>
    <w:rsid w:val="009B400F"/>
    <w:rsid w:val="009B5CB0"/>
    <w:rsid w:val="009B5D30"/>
    <w:rsid w:val="009B69CE"/>
    <w:rsid w:val="009B74CD"/>
    <w:rsid w:val="009B7EF6"/>
    <w:rsid w:val="009C0878"/>
    <w:rsid w:val="009C11A6"/>
    <w:rsid w:val="009C13F8"/>
    <w:rsid w:val="009C1F57"/>
    <w:rsid w:val="009C4783"/>
    <w:rsid w:val="009C4C26"/>
    <w:rsid w:val="009C4DCF"/>
    <w:rsid w:val="009C504D"/>
    <w:rsid w:val="009C50B3"/>
    <w:rsid w:val="009C5DC7"/>
    <w:rsid w:val="009C5FEF"/>
    <w:rsid w:val="009C677B"/>
    <w:rsid w:val="009C685A"/>
    <w:rsid w:val="009C76E7"/>
    <w:rsid w:val="009D0141"/>
    <w:rsid w:val="009D0E95"/>
    <w:rsid w:val="009D2E96"/>
    <w:rsid w:val="009D30CB"/>
    <w:rsid w:val="009D34EC"/>
    <w:rsid w:val="009D37B0"/>
    <w:rsid w:val="009D38A3"/>
    <w:rsid w:val="009D4589"/>
    <w:rsid w:val="009D4FB5"/>
    <w:rsid w:val="009D50E7"/>
    <w:rsid w:val="009D54D4"/>
    <w:rsid w:val="009D5650"/>
    <w:rsid w:val="009D61BB"/>
    <w:rsid w:val="009D64F3"/>
    <w:rsid w:val="009D6699"/>
    <w:rsid w:val="009D6D78"/>
    <w:rsid w:val="009D73A5"/>
    <w:rsid w:val="009D73B8"/>
    <w:rsid w:val="009D77E0"/>
    <w:rsid w:val="009D7BC1"/>
    <w:rsid w:val="009E014F"/>
    <w:rsid w:val="009E0B57"/>
    <w:rsid w:val="009E0FCB"/>
    <w:rsid w:val="009E1677"/>
    <w:rsid w:val="009E1A09"/>
    <w:rsid w:val="009E1AD6"/>
    <w:rsid w:val="009E1F3B"/>
    <w:rsid w:val="009E30F5"/>
    <w:rsid w:val="009E3CDF"/>
    <w:rsid w:val="009E3FA4"/>
    <w:rsid w:val="009E4145"/>
    <w:rsid w:val="009E430B"/>
    <w:rsid w:val="009E4E32"/>
    <w:rsid w:val="009E5209"/>
    <w:rsid w:val="009E5889"/>
    <w:rsid w:val="009E5B9D"/>
    <w:rsid w:val="009F023B"/>
    <w:rsid w:val="009F0582"/>
    <w:rsid w:val="009F06B3"/>
    <w:rsid w:val="009F0874"/>
    <w:rsid w:val="009F1B5F"/>
    <w:rsid w:val="009F1D05"/>
    <w:rsid w:val="009F1F3B"/>
    <w:rsid w:val="009F20D3"/>
    <w:rsid w:val="009F5121"/>
    <w:rsid w:val="009F6446"/>
    <w:rsid w:val="009F68A4"/>
    <w:rsid w:val="009F7047"/>
    <w:rsid w:val="009F70EF"/>
    <w:rsid w:val="00A000CB"/>
    <w:rsid w:val="00A002A4"/>
    <w:rsid w:val="00A00327"/>
    <w:rsid w:val="00A007E8"/>
    <w:rsid w:val="00A00C13"/>
    <w:rsid w:val="00A013A9"/>
    <w:rsid w:val="00A014B2"/>
    <w:rsid w:val="00A01FB5"/>
    <w:rsid w:val="00A0255C"/>
    <w:rsid w:val="00A03929"/>
    <w:rsid w:val="00A0407A"/>
    <w:rsid w:val="00A04134"/>
    <w:rsid w:val="00A048A0"/>
    <w:rsid w:val="00A05D0A"/>
    <w:rsid w:val="00A06291"/>
    <w:rsid w:val="00A06B9A"/>
    <w:rsid w:val="00A06DA9"/>
    <w:rsid w:val="00A073A7"/>
    <w:rsid w:val="00A07C83"/>
    <w:rsid w:val="00A10310"/>
    <w:rsid w:val="00A103F4"/>
    <w:rsid w:val="00A10431"/>
    <w:rsid w:val="00A105A1"/>
    <w:rsid w:val="00A10676"/>
    <w:rsid w:val="00A109A1"/>
    <w:rsid w:val="00A10CF1"/>
    <w:rsid w:val="00A10D6E"/>
    <w:rsid w:val="00A1153A"/>
    <w:rsid w:val="00A11654"/>
    <w:rsid w:val="00A12C40"/>
    <w:rsid w:val="00A12E5E"/>
    <w:rsid w:val="00A13469"/>
    <w:rsid w:val="00A13783"/>
    <w:rsid w:val="00A13C73"/>
    <w:rsid w:val="00A13EE4"/>
    <w:rsid w:val="00A15237"/>
    <w:rsid w:val="00A15403"/>
    <w:rsid w:val="00A1691C"/>
    <w:rsid w:val="00A16D17"/>
    <w:rsid w:val="00A174C2"/>
    <w:rsid w:val="00A17645"/>
    <w:rsid w:val="00A176A2"/>
    <w:rsid w:val="00A2028C"/>
    <w:rsid w:val="00A20990"/>
    <w:rsid w:val="00A211BF"/>
    <w:rsid w:val="00A216CF"/>
    <w:rsid w:val="00A222E3"/>
    <w:rsid w:val="00A22AC8"/>
    <w:rsid w:val="00A22ED7"/>
    <w:rsid w:val="00A23354"/>
    <w:rsid w:val="00A24083"/>
    <w:rsid w:val="00A24669"/>
    <w:rsid w:val="00A256E0"/>
    <w:rsid w:val="00A25730"/>
    <w:rsid w:val="00A259C0"/>
    <w:rsid w:val="00A25DEC"/>
    <w:rsid w:val="00A2649E"/>
    <w:rsid w:val="00A26CC4"/>
    <w:rsid w:val="00A27180"/>
    <w:rsid w:val="00A27DAC"/>
    <w:rsid w:val="00A27EC1"/>
    <w:rsid w:val="00A303D7"/>
    <w:rsid w:val="00A30511"/>
    <w:rsid w:val="00A30B37"/>
    <w:rsid w:val="00A3108D"/>
    <w:rsid w:val="00A310BD"/>
    <w:rsid w:val="00A3222D"/>
    <w:rsid w:val="00A3287E"/>
    <w:rsid w:val="00A33804"/>
    <w:rsid w:val="00A338C6"/>
    <w:rsid w:val="00A3499C"/>
    <w:rsid w:val="00A34F35"/>
    <w:rsid w:val="00A357CA"/>
    <w:rsid w:val="00A35C48"/>
    <w:rsid w:val="00A3644A"/>
    <w:rsid w:val="00A37284"/>
    <w:rsid w:val="00A40C8D"/>
    <w:rsid w:val="00A40CB8"/>
    <w:rsid w:val="00A4122D"/>
    <w:rsid w:val="00A41F3B"/>
    <w:rsid w:val="00A42B27"/>
    <w:rsid w:val="00A4347B"/>
    <w:rsid w:val="00A44350"/>
    <w:rsid w:val="00A449C1"/>
    <w:rsid w:val="00A4515E"/>
    <w:rsid w:val="00A4567C"/>
    <w:rsid w:val="00A46333"/>
    <w:rsid w:val="00A50640"/>
    <w:rsid w:val="00A5095C"/>
    <w:rsid w:val="00A51EE2"/>
    <w:rsid w:val="00A52C6A"/>
    <w:rsid w:val="00A53734"/>
    <w:rsid w:val="00A53A1B"/>
    <w:rsid w:val="00A54020"/>
    <w:rsid w:val="00A546CB"/>
    <w:rsid w:val="00A54A3D"/>
    <w:rsid w:val="00A551B2"/>
    <w:rsid w:val="00A554E4"/>
    <w:rsid w:val="00A55640"/>
    <w:rsid w:val="00A56417"/>
    <w:rsid w:val="00A5752F"/>
    <w:rsid w:val="00A5785C"/>
    <w:rsid w:val="00A57E50"/>
    <w:rsid w:val="00A57FA6"/>
    <w:rsid w:val="00A61059"/>
    <w:rsid w:val="00A611A0"/>
    <w:rsid w:val="00A612F9"/>
    <w:rsid w:val="00A61D64"/>
    <w:rsid w:val="00A62077"/>
    <w:rsid w:val="00A6330C"/>
    <w:rsid w:val="00A63418"/>
    <w:rsid w:val="00A6367E"/>
    <w:rsid w:val="00A636D8"/>
    <w:rsid w:val="00A64D10"/>
    <w:rsid w:val="00A659CC"/>
    <w:rsid w:val="00A65A92"/>
    <w:rsid w:val="00A65D53"/>
    <w:rsid w:val="00A661EB"/>
    <w:rsid w:val="00A66D96"/>
    <w:rsid w:val="00A6755F"/>
    <w:rsid w:val="00A6761C"/>
    <w:rsid w:val="00A701A2"/>
    <w:rsid w:val="00A714A3"/>
    <w:rsid w:val="00A71AC7"/>
    <w:rsid w:val="00A721E4"/>
    <w:rsid w:val="00A7253A"/>
    <w:rsid w:val="00A727FD"/>
    <w:rsid w:val="00A729F9"/>
    <w:rsid w:val="00A7421E"/>
    <w:rsid w:val="00A748AE"/>
    <w:rsid w:val="00A748B2"/>
    <w:rsid w:val="00A7587B"/>
    <w:rsid w:val="00A758C2"/>
    <w:rsid w:val="00A759A8"/>
    <w:rsid w:val="00A75B36"/>
    <w:rsid w:val="00A76EC0"/>
    <w:rsid w:val="00A7749A"/>
    <w:rsid w:val="00A77A82"/>
    <w:rsid w:val="00A80CD6"/>
    <w:rsid w:val="00A81946"/>
    <w:rsid w:val="00A8307D"/>
    <w:rsid w:val="00A835CB"/>
    <w:rsid w:val="00A83732"/>
    <w:rsid w:val="00A8375E"/>
    <w:rsid w:val="00A83B42"/>
    <w:rsid w:val="00A8431B"/>
    <w:rsid w:val="00A84E00"/>
    <w:rsid w:val="00A85A79"/>
    <w:rsid w:val="00A860C6"/>
    <w:rsid w:val="00A861DD"/>
    <w:rsid w:val="00A8692E"/>
    <w:rsid w:val="00A86CD5"/>
    <w:rsid w:val="00A87001"/>
    <w:rsid w:val="00A87216"/>
    <w:rsid w:val="00A90684"/>
    <w:rsid w:val="00A90883"/>
    <w:rsid w:val="00A92C2F"/>
    <w:rsid w:val="00A941C8"/>
    <w:rsid w:val="00A94670"/>
    <w:rsid w:val="00A94680"/>
    <w:rsid w:val="00A95128"/>
    <w:rsid w:val="00A95C03"/>
    <w:rsid w:val="00A96342"/>
    <w:rsid w:val="00A96B75"/>
    <w:rsid w:val="00A96E21"/>
    <w:rsid w:val="00A96F3D"/>
    <w:rsid w:val="00A978C8"/>
    <w:rsid w:val="00A97D16"/>
    <w:rsid w:val="00AA1B1A"/>
    <w:rsid w:val="00AA3972"/>
    <w:rsid w:val="00AA3BDB"/>
    <w:rsid w:val="00AA49F6"/>
    <w:rsid w:val="00AA4CE5"/>
    <w:rsid w:val="00AA5E1F"/>
    <w:rsid w:val="00AA61C2"/>
    <w:rsid w:val="00AA6C13"/>
    <w:rsid w:val="00AA7180"/>
    <w:rsid w:val="00AA765A"/>
    <w:rsid w:val="00AB048F"/>
    <w:rsid w:val="00AB0809"/>
    <w:rsid w:val="00AB147C"/>
    <w:rsid w:val="00AB18B9"/>
    <w:rsid w:val="00AB1BF9"/>
    <w:rsid w:val="00AB2DA7"/>
    <w:rsid w:val="00AB400A"/>
    <w:rsid w:val="00AB5579"/>
    <w:rsid w:val="00AB55AA"/>
    <w:rsid w:val="00AB5681"/>
    <w:rsid w:val="00AB71F5"/>
    <w:rsid w:val="00AB75DF"/>
    <w:rsid w:val="00AC009A"/>
    <w:rsid w:val="00AC01ED"/>
    <w:rsid w:val="00AC0241"/>
    <w:rsid w:val="00AC0330"/>
    <w:rsid w:val="00AC05B3"/>
    <w:rsid w:val="00AC0A3D"/>
    <w:rsid w:val="00AC0BAC"/>
    <w:rsid w:val="00AC10B7"/>
    <w:rsid w:val="00AC11BB"/>
    <w:rsid w:val="00AC1E95"/>
    <w:rsid w:val="00AC440B"/>
    <w:rsid w:val="00AC4423"/>
    <w:rsid w:val="00AC44D8"/>
    <w:rsid w:val="00AC4ECA"/>
    <w:rsid w:val="00AC5D9F"/>
    <w:rsid w:val="00AC60F1"/>
    <w:rsid w:val="00AC755E"/>
    <w:rsid w:val="00AC76CA"/>
    <w:rsid w:val="00AC7A6F"/>
    <w:rsid w:val="00AC7D85"/>
    <w:rsid w:val="00AC7FE2"/>
    <w:rsid w:val="00AD05E0"/>
    <w:rsid w:val="00AD0EF0"/>
    <w:rsid w:val="00AD37DD"/>
    <w:rsid w:val="00AD3998"/>
    <w:rsid w:val="00AD42A7"/>
    <w:rsid w:val="00AD485E"/>
    <w:rsid w:val="00AD48EA"/>
    <w:rsid w:val="00AD5BF4"/>
    <w:rsid w:val="00AD6206"/>
    <w:rsid w:val="00AD660F"/>
    <w:rsid w:val="00AD6A5A"/>
    <w:rsid w:val="00AD6B90"/>
    <w:rsid w:val="00AD7081"/>
    <w:rsid w:val="00AD737A"/>
    <w:rsid w:val="00AD757A"/>
    <w:rsid w:val="00AD7686"/>
    <w:rsid w:val="00AD7CC2"/>
    <w:rsid w:val="00AE04A7"/>
    <w:rsid w:val="00AE0524"/>
    <w:rsid w:val="00AE09ED"/>
    <w:rsid w:val="00AE0FCD"/>
    <w:rsid w:val="00AE1096"/>
    <w:rsid w:val="00AE1601"/>
    <w:rsid w:val="00AE1BFD"/>
    <w:rsid w:val="00AE1D9F"/>
    <w:rsid w:val="00AE20C3"/>
    <w:rsid w:val="00AE2356"/>
    <w:rsid w:val="00AE2F04"/>
    <w:rsid w:val="00AE39CE"/>
    <w:rsid w:val="00AE3AA1"/>
    <w:rsid w:val="00AE417A"/>
    <w:rsid w:val="00AE49BE"/>
    <w:rsid w:val="00AE516E"/>
    <w:rsid w:val="00AE624F"/>
    <w:rsid w:val="00AE6C84"/>
    <w:rsid w:val="00AF130E"/>
    <w:rsid w:val="00AF1EE4"/>
    <w:rsid w:val="00AF2144"/>
    <w:rsid w:val="00AF27E4"/>
    <w:rsid w:val="00AF4A81"/>
    <w:rsid w:val="00AF4DD6"/>
    <w:rsid w:val="00AF5050"/>
    <w:rsid w:val="00AF51B3"/>
    <w:rsid w:val="00AF5962"/>
    <w:rsid w:val="00AF5C58"/>
    <w:rsid w:val="00AF5F78"/>
    <w:rsid w:val="00AF6720"/>
    <w:rsid w:val="00AF677D"/>
    <w:rsid w:val="00B00098"/>
    <w:rsid w:val="00B00F29"/>
    <w:rsid w:val="00B00FCC"/>
    <w:rsid w:val="00B01330"/>
    <w:rsid w:val="00B01509"/>
    <w:rsid w:val="00B019AA"/>
    <w:rsid w:val="00B0253C"/>
    <w:rsid w:val="00B025CC"/>
    <w:rsid w:val="00B02FA0"/>
    <w:rsid w:val="00B03072"/>
    <w:rsid w:val="00B03676"/>
    <w:rsid w:val="00B03863"/>
    <w:rsid w:val="00B05064"/>
    <w:rsid w:val="00B052FE"/>
    <w:rsid w:val="00B05454"/>
    <w:rsid w:val="00B058E5"/>
    <w:rsid w:val="00B06870"/>
    <w:rsid w:val="00B06912"/>
    <w:rsid w:val="00B06960"/>
    <w:rsid w:val="00B0702F"/>
    <w:rsid w:val="00B10131"/>
    <w:rsid w:val="00B113FF"/>
    <w:rsid w:val="00B12824"/>
    <w:rsid w:val="00B12A38"/>
    <w:rsid w:val="00B13C20"/>
    <w:rsid w:val="00B1443F"/>
    <w:rsid w:val="00B15153"/>
    <w:rsid w:val="00B16A20"/>
    <w:rsid w:val="00B17834"/>
    <w:rsid w:val="00B17C7F"/>
    <w:rsid w:val="00B213A1"/>
    <w:rsid w:val="00B21F85"/>
    <w:rsid w:val="00B22F26"/>
    <w:rsid w:val="00B23D32"/>
    <w:rsid w:val="00B240AC"/>
    <w:rsid w:val="00B245D6"/>
    <w:rsid w:val="00B24845"/>
    <w:rsid w:val="00B25003"/>
    <w:rsid w:val="00B258BC"/>
    <w:rsid w:val="00B26792"/>
    <w:rsid w:val="00B27430"/>
    <w:rsid w:val="00B2760D"/>
    <w:rsid w:val="00B2777D"/>
    <w:rsid w:val="00B279E3"/>
    <w:rsid w:val="00B27AFC"/>
    <w:rsid w:val="00B27C95"/>
    <w:rsid w:val="00B301E1"/>
    <w:rsid w:val="00B30212"/>
    <w:rsid w:val="00B302A2"/>
    <w:rsid w:val="00B30C17"/>
    <w:rsid w:val="00B31719"/>
    <w:rsid w:val="00B31C1A"/>
    <w:rsid w:val="00B32434"/>
    <w:rsid w:val="00B327C4"/>
    <w:rsid w:val="00B3370C"/>
    <w:rsid w:val="00B346C5"/>
    <w:rsid w:val="00B34A5A"/>
    <w:rsid w:val="00B34C26"/>
    <w:rsid w:val="00B34DBB"/>
    <w:rsid w:val="00B34E24"/>
    <w:rsid w:val="00B36174"/>
    <w:rsid w:val="00B36BEB"/>
    <w:rsid w:val="00B3783D"/>
    <w:rsid w:val="00B37F70"/>
    <w:rsid w:val="00B40555"/>
    <w:rsid w:val="00B40B47"/>
    <w:rsid w:val="00B42FEA"/>
    <w:rsid w:val="00B435C9"/>
    <w:rsid w:val="00B43676"/>
    <w:rsid w:val="00B438BC"/>
    <w:rsid w:val="00B441A6"/>
    <w:rsid w:val="00B44BE5"/>
    <w:rsid w:val="00B450AC"/>
    <w:rsid w:val="00B456A3"/>
    <w:rsid w:val="00B467E9"/>
    <w:rsid w:val="00B46A84"/>
    <w:rsid w:val="00B50E03"/>
    <w:rsid w:val="00B51E1B"/>
    <w:rsid w:val="00B51E48"/>
    <w:rsid w:val="00B52487"/>
    <w:rsid w:val="00B52655"/>
    <w:rsid w:val="00B53329"/>
    <w:rsid w:val="00B539AC"/>
    <w:rsid w:val="00B53A12"/>
    <w:rsid w:val="00B53DB1"/>
    <w:rsid w:val="00B53EF1"/>
    <w:rsid w:val="00B54C4A"/>
    <w:rsid w:val="00B55462"/>
    <w:rsid w:val="00B55C4E"/>
    <w:rsid w:val="00B56812"/>
    <w:rsid w:val="00B57793"/>
    <w:rsid w:val="00B579B3"/>
    <w:rsid w:val="00B603A6"/>
    <w:rsid w:val="00B60536"/>
    <w:rsid w:val="00B615F4"/>
    <w:rsid w:val="00B61AAA"/>
    <w:rsid w:val="00B62368"/>
    <w:rsid w:val="00B633DA"/>
    <w:rsid w:val="00B649E3"/>
    <w:rsid w:val="00B64CF6"/>
    <w:rsid w:val="00B65143"/>
    <w:rsid w:val="00B6530A"/>
    <w:rsid w:val="00B65CD4"/>
    <w:rsid w:val="00B67FD9"/>
    <w:rsid w:val="00B70B66"/>
    <w:rsid w:val="00B72882"/>
    <w:rsid w:val="00B72D01"/>
    <w:rsid w:val="00B7365B"/>
    <w:rsid w:val="00B73AF4"/>
    <w:rsid w:val="00B75763"/>
    <w:rsid w:val="00B759B6"/>
    <w:rsid w:val="00B75B96"/>
    <w:rsid w:val="00B7608E"/>
    <w:rsid w:val="00B760AB"/>
    <w:rsid w:val="00B76852"/>
    <w:rsid w:val="00B76A94"/>
    <w:rsid w:val="00B76D51"/>
    <w:rsid w:val="00B76E46"/>
    <w:rsid w:val="00B77258"/>
    <w:rsid w:val="00B776F6"/>
    <w:rsid w:val="00B77881"/>
    <w:rsid w:val="00B8046F"/>
    <w:rsid w:val="00B80A31"/>
    <w:rsid w:val="00B80B2D"/>
    <w:rsid w:val="00B80DD7"/>
    <w:rsid w:val="00B814B5"/>
    <w:rsid w:val="00B829E2"/>
    <w:rsid w:val="00B82B14"/>
    <w:rsid w:val="00B83463"/>
    <w:rsid w:val="00B8382B"/>
    <w:rsid w:val="00B83CCA"/>
    <w:rsid w:val="00B84455"/>
    <w:rsid w:val="00B84CA0"/>
    <w:rsid w:val="00B852B7"/>
    <w:rsid w:val="00B8574C"/>
    <w:rsid w:val="00B85A21"/>
    <w:rsid w:val="00B85B92"/>
    <w:rsid w:val="00B85E4A"/>
    <w:rsid w:val="00B86178"/>
    <w:rsid w:val="00B861BC"/>
    <w:rsid w:val="00B86644"/>
    <w:rsid w:val="00B86D2D"/>
    <w:rsid w:val="00B86DE9"/>
    <w:rsid w:val="00B875B8"/>
    <w:rsid w:val="00B903EC"/>
    <w:rsid w:val="00B916FC"/>
    <w:rsid w:val="00B91A3F"/>
    <w:rsid w:val="00B91CEA"/>
    <w:rsid w:val="00B92C48"/>
    <w:rsid w:val="00B93CA4"/>
    <w:rsid w:val="00B94502"/>
    <w:rsid w:val="00B945FF"/>
    <w:rsid w:val="00B94E27"/>
    <w:rsid w:val="00B95B56"/>
    <w:rsid w:val="00B95C66"/>
    <w:rsid w:val="00B95CBE"/>
    <w:rsid w:val="00B96425"/>
    <w:rsid w:val="00B96AAC"/>
    <w:rsid w:val="00B96AD9"/>
    <w:rsid w:val="00B96D79"/>
    <w:rsid w:val="00B9785F"/>
    <w:rsid w:val="00B97916"/>
    <w:rsid w:val="00B97925"/>
    <w:rsid w:val="00B9792A"/>
    <w:rsid w:val="00B97FAD"/>
    <w:rsid w:val="00BA000F"/>
    <w:rsid w:val="00BA0D54"/>
    <w:rsid w:val="00BA0DAC"/>
    <w:rsid w:val="00BA115A"/>
    <w:rsid w:val="00BA1C56"/>
    <w:rsid w:val="00BA2352"/>
    <w:rsid w:val="00BA26AD"/>
    <w:rsid w:val="00BA2FE3"/>
    <w:rsid w:val="00BA38D6"/>
    <w:rsid w:val="00BA49DD"/>
    <w:rsid w:val="00BA4CF3"/>
    <w:rsid w:val="00BA5ABE"/>
    <w:rsid w:val="00BA66D1"/>
    <w:rsid w:val="00BA6804"/>
    <w:rsid w:val="00BA697D"/>
    <w:rsid w:val="00BA70A3"/>
    <w:rsid w:val="00BA7478"/>
    <w:rsid w:val="00BB0045"/>
    <w:rsid w:val="00BB00C3"/>
    <w:rsid w:val="00BB0E1E"/>
    <w:rsid w:val="00BB111A"/>
    <w:rsid w:val="00BB1D4E"/>
    <w:rsid w:val="00BB221D"/>
    <w:rsid w:val="00BB259F"/>
    <w:rsid w:val="00BB2B0D"/>
    <w:rsid w:val="00BB2B4E"/>
    <w:rsid w:val="00BB325F"/>
    <w:rsid w:val="00BB3997"/>
    <w:rsid w:val="00BB39AC"/>
    <w:rsid w:val="00BB3BCA"/>
    <w:rsid w:val="00BB4322"/>
    <w:rsid w:val="00BB432A"/>
    <w:rsid w:val="00BB4565"/>
    <w:rsid w:val="00BB4774"/>
    <w:rsid w:val="00BB4D89"/>
    <w:rsid w:val="00BB549B"/>
    <w:rsid w:val="00BB56A2"/>
    <w:rsid w:val="00BB5ECA"/>
    <w:rsid w:val="00BB62B0"/>
    <w:rsid w:val="00BB63B2"/>
    <w:rsid w:val="00BB68EC"/>
    <w:rsid w:val="00BB6FC5"/>
    <w:rsid w:val="00BB7F21"/>
    <w:rsid w:val="00BC03FB"/>
    <w:rsid w:val="00BC0EA4"/>
    <w:rsid w:val="00BC15FF"/>
    <w:rsid w:val="00BC219A"/>
    <w:rsid w:val="00BC321C"/>
    <w:rsid w:val="00BC41DD"/>
    <w:rsid w:val="00BC48E6"/>
    <w:rsid w:val="00BC4F7F"/>
    <w:rsid w:val="00BC54EC"/>
    <w:rsid w:val="00BC6674"/>
    <w:rsid w:val="00BC74EE"/>
    <w:rsid w:val="00BC7C93"/>
    <w:rsid w:val="00BC7FDC"/>
    <w:rsid w:val="00BD0408"/>
    <w:rsid w:val="00BD0E86"/>
    <w:rsid w:val="00BD11C0"/>
    <w:rsid w:val="00BD167C"/>
    <w:rsid w:val="00BD27A2"/>
    <w:rsid w:val="00BD36B1"/>
    <w:rsid w:val="00BD560D"/>
    <w:rsid w:val="00BD5CC2"/>
    <w:rsid w:val="00BD640A"/>
    <w:rsid w:val="00BD642E"/>
    <w:rsid w:val="00BD66F5"/>
    <w:rsid w:val="00BD76F1"/>
    <w:rsid w:val="00BE07E2"/>
    <w:rsid w:val="00BE0887"/>
    <w:rsid w:val="00BE09E4"/>
    <w:rsid w:val="00BE44DF"/>
    <w:rsid w:val="00BE505D"/>
    <w:rsid w:val="00BE51D7"/>
    <w:rsid w:val="00BE5C65"/>
    <w:rsid w:val="00BE5F3A"/>
    <w:rsid w:val="00BE5FFB"/>
    <w:rsid w:val="00BE626C"/>
    <w:rsid w:val="00BE649C"/>
    <w:rsid w:val="00BE6A76"/>
    <w:rsid w:val="00BE6B0F"/>
    <w:rsid w:val="00BF10CB"/>
    <w:rsid w:val="00BF1573"/>
    <w:rsid w:val="00BF170D"/>
    <w:rsid w:val="00BF184D"/>
    <w:rsid w:val="00BF1BFD"/>
    <w:rsid w:val="00BF1CD5"/>
    <w:rsid w:val="00BF372D"/>
    <w:rsid w:val="00BF4C93"/>
    <w:rsid w:val="00BF537C"/>
    <w:rsid w:val="00BF5E9E"/>
    <w:rsid w:val="00C0090C"/>
    <w:rsid w:val="00C01D1E"/>
    <w:rsid w:val="00C02179"/>
    <w:rsid w:val="00C02316"/>
    <w:rsid w:val="00C0315F"/>
    <w:rsid w:val="00C0320E"/>
    <w:rsid w:val="00C03230"/>
    <w:rsid w:val="00C0370B"/>
    <w:rsid w:val="00C03CF3"/>
    <w:rsid w:val="00C04D4D"/>
    <w:rsid w:val="00C04ED4"/>
    <w:rsid w:val="00C054C3"/>
    <w:rsid w:val="00C05912"/>
    <w:rsid w:val="00C05EA3"/>
    <w:rsid w:val="00C060C5"/>
    <w:rsid w:val="00C06753"/>
    <w:rsid w:val="00C06B2C"/>
    <w:rsid w:val="00C073BE"/>
    <w:rsid w:val="00C079C5"/>
    <w:rsid w:val="00C07F16"/>
    <w:rsid w:val="00C10045"/>
    <w:rsid w:val="00C10368"/>
    <w:rsid w:val="00C111F0"/>
    <w:rsid w:val="00C11C4B"/>
    <w:rsid w:val="00C11D77"/>
    <w:rsid w:val="00C12320"/>
    <w:rsid w:val="00C1251B"/>
    <w:rsid w:val="00C12CE9"/>
    <w:rsid w:val="00C12DE4"/>
    <w:rsid w:val="00C13206"/>
    <w:rsid w:val="00C146F6"/>
    <w:rsid w:val="00C14952"/>
    <w:rsid w:val="00C15CCE"/>
    <w:rsid w:val="00C16CD9"/>
    <w:rsid w:val="00C175BE"/>
    <w:rsid w:val="00C17617"/>
    <w:rsid w:val="00C17A64"/>
    <w:rsid w:val="00C17D97"/>
    <w:rsid w:val="00C17FE6"/>
    <w:rsid w:val="00C20CDB"/>
    <w:rsid w:val="00C2166E"/>
    <w:rsid w:val="00C22418"/>
    <w:rsid w:val="00C22F78"/>
    <w:rsid w:val="00C22FFB"/>
    <w:rsid w:val="00C2386C"/>
    <w:rsid w:val="00C23B59"/>
    <w:rsid w:val="00C244EA"/>
    <w:rsid w:val="00C259FA"/>
    <w:rsid w:val="00C25DC5"/>
    <w:rsid w:val="00C26426"/>
    <w:rsid w:val="00C267D8"/>
    <w:rsid w:val="00C27235"/>
    <w:rsid w:val="00C273FA"/>
    <w:rsid w:val="00C27451"/>
    <w:rsid w:val="00C274DD"/>
    <w:rsid w:val="00C27E8E"/>
    <w:rsid w:val="00C30708"/>
    <w:rsid w:val="00C30E42"/>
    <w:rsid w:val="00C317BA"/>
    <w:rsid w:val="00C31F87"/>
    <w:rsid w:val="00C31FE7"/>
    <w:rsid w:val="00C326E3"/>
    <w:rsid w:val="00C34283"/>
    <w:rsid w:val="00C356A9"/>
    <w:rsid w:val="00C35797"/>
    <w:rsid w:val="00C35912"/>
    <w:rsid w:val="00C360EC"/>
    <w:rsid w:val="00C362EE"/>
    <w:rsid w:val="00C3675D"/>
    <w:rsid w:val="00C3682F"/>
    <w:rsid w:val="00C36C35"/>
    <w:rsid w:val="00C374B4"/>
    <w:rsid w:val="00C405E1"/>
    <w:rsid w:val="00C40E25"/>
    <w:rsid w:val="00C42FA3"/>
    <w:rsid w:val="00C43326"/>
    <w:rsid w:val="00C438F1"/>
    <w:rsid w:val="00C43B10"/>
    <w:rsid w:val="00C43B76"/>
    <w:rsid w:val="00C441C5"/>
    <w:rsid w:val="00C44771"/>
    <w:rsid w:val="00C45902"/>
    <w:rsid w:val="00C45CD2"/>
    <w:rsid w:val="00C476C6"/>
    <w:rsid w:val="00C50091"/>
    <w:rsid w:val="00C512A6"/>
    <w:rsid w:val="00C5148A"/>
    <w:rsid w:val="00C5149F"/>
    <w:rsid w:val="00C51750"/>
    <w:rsid w:val="00C521B1"/>
    <w:rsid w:val="00C52572"/>
    <w:rsid w:val="00C527F4"/>
    <w:rsid w:val="00C53233"/>
    <w:rsid w:val="00C5333E"/>
    <w:rsid w:val="00C548DC"/>
    <w:rsid w:val="00C55600"/>
    <w:rsid w:val="00C5649D"/>
    <w:rsid w:val="00C60622"/>
    <w:rsid w:val="00C60A15"/>
    <w:rsid w:val="00C62379"/>
    <w:rsid w:val="00C623FA"/>
    <w:rsid w:val="00C625A3"/>
    <w:rsid w:val="00C630CD"/>
    <w:rsid w:val="00C63176"/>
    <w:rsid w:val="00C645C3"/>
    <w:rsid w:val="00C65692"/>
    <w:rsid w:val="00C6626A"/>
    <w:rsid w:val="00C669E6"/>
    <w:rsid w:val="00C67730"/>
    <w:rsid w:val="00C67CD7"/>
    <w:rsid w:val="00C70398"/>
    <w:rsid w:val="00C70406"/>
    <w:rsid w:val="00C70867"/>
    <w:rsid w:val="00C709E3"/>
    <w:rsid w:val="00C70ACA"/>
    <w:rsid w:val="00C711C0"/>
    <w:rsid w:val="00C71BDA"/>
    <w:rsid w:val="00C72704"/>
    <w:rsid w:val="00C73B2E"/>
    <w:rsid w:val="00C7403B"/>
    <w:rsid w:val="00C742BE"/>
    <w:rsid w:val="00C745DE"/>
    <w:rsid w:val="00C74A7A"/>
    <w:rsid w:val="00C754CA"/>
    <w:rsid w:val="00C75A86"/>
    <w:rsid w:val="00C763C9"/>
    <w:rsid w:val="00C76DF9"/>
    <w:rsid w:val="00C76F29"/>
    <w:rsid w:val="00C77325"/>
    <w:rsid w:val="00C775E5"/>
    <w:rsid w:val="00C8007D"/>
    <w:rsid w:val="00C80BD5"/>
    <w:rsid w:val="00C80FE6"/>
    <w:rsid w:val="00C822A9"/>
    <w:rsid w:val="00C825D9"/>
    <w:rsid w:val="00C83CBA"/>
    <w:rsid w:val="00C83E8B"/>
    <w:rsid w:val="00C8400D"/>
    <w:rsid w:val="00C8422A"/>
    <w:rsid w:val="00C8468A"/>
    <w:rsid w:val="00C8636F"/>
    <w:rsid w:val="00C86799"/>
    <w:rsid w:val="00C869FA"/>
    <w:rsid w:val="00C87A21"/>
    <w:rsid w:val="00C87D69"/>
    <w:rsid w:val="00C87FA9"/>
    <w:rsid w:val="00C90490"/>
    <w:rsid w:val="00C90D71"/>
    <w:rsid w:val="00C91C7F"/>
    <w:rsid w:val="00C92592"/>
    <w:rsid w:val="00C9372A"/>
    <w:rsid w:val="00C94888"/>
    <w:rsid w:val="00C94CD3"/>
    <w:rsid w:val="00C952AD"/>
    <w:rsid w:val="00C962A7"/>
    <w:rsid w:val="00C97931"/>
    <w:rsid w:val="00C97BD4"/>
    <w:rsid w:val="00CA00FC"/>
    <w:rsid w:val="00CA0916"/>
    <w:rsid w:val="00CA0B21"/>
    <w:rsid w:val="00CA0CEF"/>
    <w:rsid w:val="00CA10BD"/>
    <w:rsid w:val="00CA15AF"/>
    <w:rsid w:val="00CA1678"/>
    <w:rsid w:val="00CA2057"/>
    <w:rsid w:val="00CA2944"/>
    <w:rsid w:val="00CA2976"/>
    <w:rsid w:val="00CA3717"/>
    <w:rsid w:val="00CA38BD"/>
    <w:rsid w:val="00CA5162"/>
    <w:rsid w:val="00CA5284"/>
    <w:rsid w:val="00CA5C28"/>
    <w:rsid w:val="00CA5E31"/>
    <w:rsid w:val="00CA5EB1"/>
    <w:rsid w:val="00CA6CCD"/>
    <w:rsid w:val="00CA6D9B"/>
    <w:rsid w:val="00CA6E92"/>
    <w:rsid w:val="00CA7C72"/>
    <w:rsid w:val="00CA7D47"/>
    <w:rsid w:val="00CB01E8"/>
    <w:rsid w:val="00CB085A"/>
    <w:rsid w:val="00CB0F1D"/>
    <w:rsid w:val="00CB1BD7"/>
    <w:rsid w:val="00CB20CB"/>
    <w:rsid w:val="00CB2A5B"/>
    <w:rsid w:val="00CB3284"/>
    <w:rsid w:val="00CB351B"/>
    <w:rsid w:val="00CB366C"/>
    <w:rsid w:val="00CB4436"/>
    <w:rsid w:val="00CB5291"/>
    <w:rsid w:val="00CB52B5"/>
    <w:rsid w:val="00CB6011"/>
    <w:rsid w:val="00CB6433"/>
    <w:rsid w:val="00CB66DA"/>
    <w:rsid w:val="00CB67D0"/>
    <w:rsid w:val="00CB6A0B"/>
    <w:rsid w:val="00CC066A"/>
    <w:rsid w:val="00CC0715"/>
    <w:rsid w:val="00CC1C66"/>
    <w:rsid w:val="00CC21CB"/>
    <w:rsid w:val="00CC2211"/>
    <w:rsid w:val="00CC2DD3"/>
    <w:rsid w:val="00CC45AE"/>
    <w:rsid w:val="00CC4BAB"/>
    <w:rsid w:val="00CC52AF"/>
    <w:rsid w:val="00CC5479"/>
    <w:rsid w:val="00CC5E63"/>
    <w:rsid w:val="00CC67B2"/>
    <w:rsid w:val="00CC68C2"/>
    <w:rsid w:val="00CC7BDD"/>
    <w:rsid w:val="00CD0350"/>
    <w:rsid w:val="00CD0A60"/>
    <w:rsid w:val="00CD0C0B"/>
    <w:rsid w:val="00CD12B7"/>
    <w:rsid w:val="00CD20A5"/>
    <w:rsid w:val="00CD20F5"/>
    <w:rsid w:val="00CD214E"/>
    <w:rsid w:val="00CD252A"/>
    <w:rsid w:val="00CD3853"/>
    <w:rsid w:val="00CD3A2E"/>
    <w:rsid w:val="00CD3F9E"/>
    <w:rsid w:val="00CD417B"/>
    <w:rsid w:val="00CD59C4"/>
    <w:rsid w:val="00CD6DA2"/>
    <w:rsid w:val="00CD7D23"/>
    <w:rsid w:val="00CE0475"/>
    <w:rsid w:val="00CE13F9"/>
    <w:rsid w:val="00CE153F"/>
    <w:rsid w:val="00CE1596"/>
    <w:rsid w:val="00CE2794"/>
    <w:rsid w:val="00CE2C8F"/>
    <w:rsid w:val="00CE2D66"/>
    <w:rsid w:val="00CE2EBA"/>
    <w:rsid w:val="00CE3B48"/>
    <w:rsid w:val="00CE475C"/>
    <w:rsid w:val="00CE53BD"/>
    <w:rsid w:val="00CE5E02"/>
    <w:rsid w:val="00CE6159"/>
    <w:rsid w:val="00CE6160"/>
    <w:rsid w:val="00CE6FD2"/>
    <w:rsid w:val="00CE7B0C"/>
    <w:rsid w:val="00CF00BA"/>
    <w:rsid w:val="00CF04BC"/>
    <w:rsid w:val="00CF14AA"/>
    <w:rsid w:val="00CF19A5"/>
    <w:rsid w:val="00CF1CBB"/>
    <w:rsid w:val="00CF1E32"/>
    <w:rsid w:val="00CF28C7"/>
    <w:rsid w:val="00CF37C3"/>
    <w:rsid w:val="00CF3A71"/>
    <w:rsid w:val="00CF4378"/>
    <w:rsid w:val="00CF49AA"/>
    <w:rsid w:val="00CF5DC1"/>
    <w:rsid w:val="00CF5E31"/>
    <w:rsid w:val="00CF616E"/>
    <w:rsid w:val="00CF6B00"/>
    <w:rsid w:val="00CF6EBD"/>
    <w:rsid w:val="00CF780B"/>
    <w:rsid w:val="00D00603"/>
    <w:rsid w:val="00D00F92"/>
    <w:rsid w:val="00D01013"/>
    <w:rsid w:val="00D01A49"/>
    <w:rsid w:val="00D01B07"/>
    <w:rsid w:val="00D01ED3"/>
    <w:rsid w:val="00D02237"/>
    <w:rsid w:val="00D02686"/>
    <w:rsid w:val="00D02E17"/>
    <w:rsid w:val="00D03099"/>
    <w:rsid w:val="00D034C6"/>
    <w:rsid w:val="00D03968"/>
    <w:rsid w:val="00D03F76"/>
    <w:rsid w:val="00D043BC"/>
    <w:rsid w:val="00D046A8"/>
    <w:rsid w:val="00D04F14"/>
    <w:rsid w:val="00D04FBF"/>
    <w:rsid w:val="00D050A2"/>
    <w:rsid w:val="00D054FB"/>
    <w:rsid w:val="00D05C5C"/>
    <w:rsid w:val="00D0659C"/>
    <w:rsid w:val="00D06954"/>
    <w:rsid w:val="00D06D4F"/>
    <w:rsid w:val="00D078E3"/>
    <w:rsid w:val="00D1257B"/>
    <w:rsid w:val="00D1293D"/>
    <w:rsid w:val="00D12E51"/>
    <w:rsid w:val="00D130B2"/>
    <w:rsid w:val="00D1408F"/>
    <w:rsid w:val="00D1477B"/>
    <w:rsid w:val="00D1551D"/>
    <w:rsid w:val="00D15B9A"/>
    <w:rsid w:val="00D15C18"/>
    <w:rsid w:val="00D15EE0"/>
    <w:rsid w:val="00D171FE"/>
    <w:rsid w:val="00D17443"/>
    <w:rsid w:val="00D175DA"/>
    <w:rsid w:val="00D20C62"/>
    <w:rsid w:val="00D20EB1"/>
    <w:rsid w:val="00D21A38"/>
    <w:rsid w:val="00D229EA"/>
    <w:rsid w:val="00D22AC3"/>
    <w:rsid w:val="00D22AC9"/>
    <w:rsid w:val="00D22F6D"/>
    <w:rsid w:val="00D2301F"/>
    <w:rsid w:val="00D2332B"/>
    <w:rsid w:val="00D24587"/>
    <w:rsid w:val="00D2473A"/>
    <w:rsid w:val="00D24948"/>
    <w:rsid w:val="00D24D0E"/>
    <w:rsid w:val="00D24D98"/>
    <w:rsid w:val="00D264B8"/>
    <w:rsid w:val="00D26573"/>
    <w:rsid w:val="00D27050"/>
    <w:rsid w:val="00D279D0"/>
    <w:rsid w:val="00D310A4"/>
    <w:rsid w:val="00D311C1"/>
    <w:rsid w:val="00D3146D"/>
    <w:rsid w:val="00D31A89"/>
    <w:rsid w:val="00D31EC9"/>
    <w:rsid w:val="00D31F29"/>
    <w:rsid w:val="00D33533"/>
    <w:rsid w:val="00D34469"/>
    <w:rsid w:val="00D34AA3"/>
    <w:rsid w:val="00D35817"/>
    <w:rsid w:val="00D36039"/>
    <w:rsid w:val="00D36044"/>
    <w:rsid w:val="00D36823"/>
    <w:rsid w:val="00D371EC"/>
    <w:rsid w:val="00D373DF"/>
    <w:rsid w:val="00D3770A"/>
    <w:rsid w:val="00D37C28"/>
    <w:rsid w:val="00D37DC9"/>
    <w:rsid w:val="00D4054B"/>
    <w:rsid w:val="00D40C28"/>
    <w:rsid w:val="00D414E6"/>
    <w:rsid w:val="00D41A29"/>
    <w:rsid w:val="00D4251B"/>
    <w:rsid w:val="00D4293D"/>
    <w:rsid w:val="00D4295F"/>
    <w:rsid w:val="00D43B86"/>
    <w:rsid w:val="00D43F7E"/>
    <w:rsid w:val="00D4431E"/>
    <w:rsid w:val="00D44882"/>
    <w:rsid w:val="00D458AB"/>
    <w:rsid w:val="00D45DAC"/>
    <w:rsid w:val="00D46368"/>
    <w:rsid w:val="00D46636"/>
    <w:rsid w:val="00D46650"/>
    <w:rsid w:val="00D46BA4"/>
    <w:rsid w:val="00D47200"/>
    <w:rsid w:val="00D47709"/>
    <w:rsid w:val="00D50405"/>
    <w:rsid w:val="00D51510"/>
    <w:rsid w:val="00D52500"/>
    <w:rsid w:val="00D52516"/>
    <w:rsid w:val="00D5341B"/>
    <w:rsid w:val="00D536FB"/>
    <w:rsid w:val="00D53BEE"/>
    <w:rsid w:val="00D53DD1"/>
    <w:rsid w:val="00D548C2"/>
    <w:rsid w:val="00D559B2"/>
    <w:rsid w:val="00D55D5C"/>
    <w:rsid w:val="00D561D3"/>
    <w:rsid w:val="00D56A67"/>
    <w:rsid w:val="00D5717E"/>
    <w:rsid w:val="00D57D2C"/>
    <w:rsid w:val="00D57D67"/>
    <w:rsid w:val="00D60000"/>
    <w:rsid w:val="00D6240E"/>
    <w:rsid w:val="00D62589"/>
    <w:rsid w:val="00D6341A"/>
    <w:rsid w:val="00D6378E"/>
    <w:rsid w:val="00D64E0C"/>
    <w:rsid w:val="00D64E86"/>
    <w:rsid w:val="00D652C1"/>
    <w:rsid w:val="00D653E9"/>
    <w:rsid w:val="00D654CD"/>
    <w:rsid w:val="00D65AAC"/>
    <w:rsid w:val="00D65C58"/>
    <w:rsid w:val="00D66339"/>
    <w:rsid w:val="00D66B72"/>
    <w:rsid w:val="00D66E95"/>
    <w:rsid w:val="00D671AB"/>
    <w:rsid w:val="00D672F3"/>
    <w:rsid w:val="00D6798F"/>
    <w:rsid w:val="00D67CDF"/>
    <w:rsid w:val="00D67E9F"/>
    <w:rsid w:val="00D701DA"/>
    <w:rsid w:val="00D704AD"/>
    <w:rsid w:val="00D707B0"/>
    <w:rsid w:val="00D715C5"/>
    <w:rsid w:val="00D71969"/>
    <w:rsid w:val="00D71C41"/>
    <w:rsid w:val="00D722AD"/>
    <w:rsid w:val="00D72366"/>
    <w:rsid w:val="00D7257B"/>
    <w:rsid w:val="00D72B2C"/>
    <w:rsid w:val="00D74571"/>
    <w:rsid w:val="00D74873"/>
    <w:rsid w:val="00D7513C"/>
    <w:rsid w:val="00D757B1"/>
    <w:rsid w:val="00D76C2F"/>
    <w:rsid w:val="00D76E81"/>
    <w:rsid w:val="00D77662"/>
    <w:rsid w:val="00D77670"/>
    <w:rsid w:val="00D817BF"/>
    <w:rsid w:val="00D81A00"/>
    <w:rsid w:val="00D81B50"/>
    <w:rsid w:val="00D81E51"/>
    <w:rsid w:val="00D828D1"/>
    <w:rsid w:val="00D82D4A"/>
    <w:rsid w:val="00D83D95"/>
    <w:rsid w:val="00D84C6F"/>
    <w:rsid w:val="00D8569B"/>
    <w:rsid w:val="00D8639F"/>
    <w:rsid w:val="00D870B4"/>
    <w:rsid w:val="00D8726A"/>
    <w:rsid w:val="00D87A5D"/>
    <w:rsid w:val="00D87E4E"/>
    <w:rsid w:val="00D87F88"/>
    <w:rsid w:val="00D87FC4"/>
    <w:rsid w:val="00D9050E"/>
    <w:rsid w:val="00D90757"/>
    <w:rsid w:val="00D90CB9"/>
    <w:rsid w:val="00D90FCC"/>
    <w:rsid w:val="00D912CF"/>
    <w:rsid w:val="00D91A1C"/>
    <w:rsid w:val="00D91BF8"/>
    <w:rsid w:val="00D92DAF"/>
    <w:rsid w:val="00D93115"/>
    <w:rsid w:val="00D93C19"/>
    <w:rsid w:val="00D94961"/>
    <w:rsid w:val="00D94B37"/>
    <w:rsid w:val="00D94C83"/>
    <w:rsid w:val="00D94C9F"/>
    <w:rsid w:val="00D97DA7"/>
    <w:rsid w:val="00DA0AAF"/>
    <w:rsid w:val="00DA0DE9"/>
    <w:rsid w:val="00DA1034"/>
    <w:rsid w:val="00DA1341"/>
    <w:rsid w:val="00DA1BFA"/>
    <w:rsid w:val="00DA1D8B"/>
    <w:rsid w:val="00DA2078"/>
    <w:rsid w:val="00DA2A59"/>
    <w:rsid w:val="00DA2B3C"/>
    <w:rsid w:val="00DA3226"/>
    <w:rsid w:val="00DA3AA5"/>
    <w:rsid w:val="00DA49F9"/>
    <w:rsid w:val="00DA4FBA"/>
    <w:rsid w:val="00DA510C"/>
    <w:rsid w:val="00DA58FB"/>
    <w:rsid w:val="00DA5E70"/>
    <w:rsid w:val="00DA6058"/>
    <w:rsid w:val="00DA6164"/>
    <w:rsid w:val="00DA7620"/>
    <w:rsid w:val="00DA7C06"/>
    <w:rsid w:val="00DA7FD0"/>
    <w:rsid w:val="00DB0219"/>
    <w:rsid w:val="00DB04B2"/>
    <w:rsid w:val="00DB0DFD"/>
    <w:rsid w:val="00DB0FEB"/>
    <w:rsid w:val="00DB13AD"/>
    <w:rsid w:val="00DB17E3"/>
    <w:rsid w:val="00DB1DC2"/>
    <w:rsid w:val="00DB2221"/>
    <w:rsid w:val="00DB398E"/>
    <w:rsid w:val="00DB41B0"/>
    <w:rsid w:val="00DB43BA"/>
    <w:rsid w:val="00DB677E"/>
    <w:rsid w:val="00DB68ED"/>
    <w:rsid w:val="00DB76DA"/>
    <w:rsid w:val="00DB7AE9"/>
    <w:rsid w:val="00DB7F58"/>
    <w:rsid w:val="00DC07C3"/>
    <w:rsid w:val="00DC0BD7"/>
    <w:rsid w:val="00DC0E52"/>
    <w:rsid w:val="00DC1EEB"/>
    <w:rsid w:val="00DC23B9"/>
    <w:rsid w:val="00DC2641"/>
    <w:rsid w:val="00DC2F2B"/>
    <w:rsid w:val="00DC3029"/>
    <w:rsid w:val="00DC394E"/>
    <w:rsid w:val="00DC3FEE"/>
    <w:rsid w:val="00DC4798"/>
    <w:rsid w:val="00DC4F39"/>
    <w:rsid w:val="00DC5849"/>
    <w:rsid w:val="00DC5C84"/>
    <w:rsid w:val="00DC5DFE"/>
    <w:rsid w:val="00DC664E"/>
    <w:rsid w:val="00DC67D8"/>
    <w:rsid w:val="00DC6D42"/>
    <w:rsid w:val="00DC6FEB"/>
    <w:rsid w:val="00DC7069"/>
    <w:rsid w:val="00DC7586"/>
    <w:rsid w:val="00DC7729"/>
    <w:rsid w:val="00DC7F34"/>
    <w:rsid w:val="00DD03DE"/>
    <w:rsid w:val="00DD0626"/>
    <w:rsid w:val="00DD23BC"/>
    <w:rsid w:val="00DD2419"/>
    <w:rsid w:val="00DD291F"/>
    <w:rsid w:val="00DD2F2A"/>
    <w:rsid w:val="00DD30F0"/>
    <w:rsid w:val="00DD32F1"/>
    <w:rsid w:val="00DD41F9"/>
    <w:rsid w:val="00DD4491"/>
    <w:rsid w:val="00DD4D20"/>
    <w:rsid w:val="00DD5E42"/>
    <w:rsid w:val="00DD6498"/>
    <w:rsid w:val="00DD78C2"/>
    <w:rsid w:val="00DE0301"/>
    <w:rsid w:val="00DE0611"/>
    <w:rsid w:val="00DE0707"/>
    <w:rsid w:val="00DE11DF"/>
    <w:rsid w:val="00DE1CEE"/>
    <w:rsid w:val="00DE3AF9"/>
    <w:rsid w:val="00DE3B01"/>
    <w:rsid w:val="00DE3C1D"/>
    <w:rsid w:val="00DE4D8B"/>
    <w:rsid w:val="00DE5F43"/>
    <w:rsid w:val="00DE6975"/>
    <w:rsid w:val="00DE76D6"/>
    <w:rsid w:val="00DF0624"/>
    <w:rsid w:val="00DF0876"/>
    <w:rsid w:val="00DF0DDD"/>
    <w:rsid w:val="00DF17C6"/>
    <w:rsid w:val="00DF192B"/>
    <w:rsid w:val="00DF1A69"/>
    <w:rsid w:val="00DF20A6"/>
    <w:rsid w:val="00DF3143"/>
    <w:rsid w:val="00DF35CE"/>
    <w:rsid w:val="00DF3926"/>
    <w:rsid w:val="00DF3A67"/>
    <w:rsid w:val="00DF4378"/>
    <w:rsid w:val="00DF51AC"/>
    <w:rsid w:val="00DF575B"/>
    <w:rsid w:val="00DF58CA"/>
    <w:rsid w:val="00DF58D8"/>
    <w:rsid w:val="00DF5E9A"/>
    <w:rsid w:val="00DF699D"/>
    <w:rsid w:val="00DF731C"/>
    <w:rsid w:val="00DF7809"/>
    <w:rsid w:val="00DF797E"/>
    <w:rsid w:val="00DF7DA4"/>
    <w:rsid w:val="00E00257"/>
    <w:rsid w:val="00E00EE9"/>
    <w:rsid w:val="00E02563"/>
    <w:rsid w:val="00E03297"/>
    <w:rsid w:val="00E04E60"/>
    <w:rsid w:val="00E05B76"/>
    <w:rsid w:val="00E05EF6"/>
    <w:rsid w:val="00E05F63"/>
    <w:rsid w:val="00E06111"/>
    <w:rsid w:val="00E06665"/>
    <w:rsid w:val="00E06741"/>
    <w:rsid w:val="00E06BBB"/>
    <w:rsid w:val="00E06F14"/>
    <w:rsid w:val="00E10520"/>
    <w:rsid w:val="00E111BF"/>
    <w:rsid w:val="00E1124E"/>
    <w:rsid w:val="00E11319"/>
    <w:rsid w:val="00E11632"/>
    <w:rsid w:val="00E119B1"/>
    <w:rsid w:val="00E11D18"/>
    <w:rsid w:val="00E12A7D"/>
    <w:rsid w:val="00E12E55"/>
    <w:rsid w:val="00E14A8E"/>
    <w:rsid w:val="00E14B5E"/>
    <w:rsid w:val="00E14C8E"/>
    <w:rsid w:val="00E1695F"/>
    <w:rsid w:val="00E16BCA"/>
    <w:rsid w:val="00E16E70"/>
    <w:rsid w:val="00E16F45"/>
    <w:rsid w:val="00E17347"/>
    <w:rsid w:val="00E17C6F"/>
    <w:rsid w:val="00E17FBF"/>
    <w:rsid w:val="00E208B5"/>
    <w:rsid w:val="00E20CE9"/>
    <w:rsid w:val="00E215E4"/>
    <w:rsid w:val="00E22D18"/>
    <w:rsid w:val="00E23457"/>
    <w:rsid w:val="00E24C33"/>
    <w:rsid w:val="00E251FA"/>
    <w:rsid w:val="00E2658A"/>
    <w:rsid w:val="00E268EE"/>
    <w:rsid w:val="00E27773"/>
    <w:rsid w:val="00E27862"/>
    <w:rsid w:val="00E278A4"/>
    <w:rsid w:val="00E27D69"/>
    <w:rsid w:val="00E317D2"/>
    <w:rsid w:val="00E318CD"/>
    <w:rsid w:val="00E319D6"/>
    <w:rsid w:val="00E319EE"/>
    <w:rsid w:val="00E31FA9"/>
    <w:rsid w:val="00E32422"/>
    <w:rsid w:val="00E324C2"/>
    <w:rsid w:val="00E3373B"/>
    <w:rsid w:val="00E33A30"/>
    <w:rsid w:val="00E345D0"/>
    <w:rsid w:val="00E347DB"/>
    <w:rsid w:val="00E351F2"/>
    <w:rsid w:val="00E35888"/>
    <w:rsid w:val="00E36265"/>
    <w:rsid w:val="00E404E4"/>
    <w:rsid w:val="00E4099C"/>
    <w:rsid w:val="00E40FCD"/>
    <w:rsid w:val="00E4100B"/>
    <w:rsid w:val="00E41C04"/>
    <w:rsid w:val="00E43652"/>
    <w:rsid w:val="00E43963"/>
    <w:rsid w:val="00E442CE"/>
    <w:rsid w:val="00E454C8"/>
    <w:rsid w:val="00E4559D"/>
    <w:rsid w:val="00E469B6"/>
    <w:rsid w:val="00E47C90"/>
    <w:rsid w:val="00E47F8E"/>
    <w:rsid w:val="00E50329"/>
    <w:rsid w:val="00E50864"/>
    <w:rsid w:val="00E50EA7"/>
    <w:rsid w:val="00E50FEA"/>
    <w:rsid w:val="00E51135"/>
    <w:rsid w:val="00E51F2E"/>
    <w:rsid w:val="00E52BDE"/>
    <w:rsid w:val="00E52E58"/>
    <w:rsid w:val="00E53307"/>
    <w:rsid w:val="00E54226"/>
    <w:rsid w:val="00E548D0"/>
    <w:rsid w:val="00E54CCE"/>
    <w:rsid w:val="00E55071"/>
    <w:rsid w:val="00E550AA"/>
    <w:rsid w:val="00E5538E"/>
    <w:rsid w:val="00E55536"/>
    <w:rsid w:val="00E55EFE"/>
    <w:rsid w:val="00E56444"/>
    <w:rsid w:val="00E56AF6"/>
    <w:rsid w:val="00E57566"/>
    <w:rsid w:val="00E57A2F"/>
    <w:rsid w:val="00E6000E"/>
    <w:rsid w:val="00E60D08"/>
    <w:rsid w:val="00E610C1"/>
    <w:rsid w:val="00E61579"/>
    <w:rsid w:val="00E61A74"/>
    <w:rsid w:val="00E61C69"/>
    <w:rsid w:val="00E62A5E"/>
    <w:rsid w:val="00E62E76"/>
    <w:rsid w:val="00E62EBB"/>
    <w:rsid w:val="00E6585C"/>
    <w:rsid w:val="00E65CB9"/>
    <w:rsid w:val="00E65E7A"/>
    <w:rsid w:val="00E67614"/>
    <w:rsid w:val="00E67C94"/>
    <w:rsid w:val="00E701C8"/>
    <w:rsid w:val="00E7036E"/>
    <w:rsid w:val="00E71009"/>
    <w:rsid w:val="00E72586"/>
    <w:rsid w:val="00E72E77"/>
    <w:rsid w:val="00E72F1E"/>
    <w:rsid w:val="00E73281"/>
    <w:rsid w:val="00E736F2"/>
    <w:rsid w:val="00E73CC5"/>
    <w:rsid w:val="00E746DE"/>
    <w:rsid w:val="00E74B69"/>
    <w:rsid w:val="00E74BBB"/>
    <w:rsid w:val="00E75BAB"/>
    <w:rsid w:val="00E75E48"/>
    <w:rsid w:val="00E76CA6"/>
    <w:rsid w:val="00E80171"/>
    <w:rsid w:val="00E8139E"/>
    <w:rsid w:val="00E81EBB"/>
    <w:rsid w:val="00E82840"/>
    <w:rsid w:val="00E8284E"/>
    <w:rsid w:val="00E841F4"/>
    <w:rsid w:val="00E846E6"/>
    <w:rsid w:val="00E84832"/>
    <w:rsid w:val="00E84BD3"/>
    <w:rsid w:val="00E85004"/>
    <w:rsid w:val="00E85FE0"/>
    <w:rsid w:val="00E874A8"/>
    <w:rsid w:val="00E874D2"/>
    <w:rsid w:val="00E874D3"/>
    <w:rsid w:val="00E876AD"/>
    <w:rsid w:val="00E87AF2"/>
    <w:rsid w:val="00E901BB"/>
    <w:rsid w:val="00E908EB"/>
    <w:rsid w:val="00E90B83"/>
    <w:rsid w:val="00E90F39"/>
    <w:rsid w:val="00E91B33"/>
    <w:rsid w:val="00E91DE1"/>
    <w:rsid w:val="00E920F7"/>
    <w:rsid w:val="00E9223F"/>
    <w:rsid w:val="00E92DD2"/>
    <w:rsid w:val="00E92EEF"/>
    <w:rsid w:val="00E93012"/>
    <w:rsid w:val="00E9432C"/>
    <w:rsid w:val="00E945E7"/>
    <w:rsid w:val="00E94F3C"/>
    <w:rsid w:val="00E952FE"/>
    <w:rsid w:val="00E95981"/>
    <w:rsid w:val="00E95C42"/>
    <w:rsid w:val="00E963FD"/>
    <w:rsid w:val="00EA068A"/>
    <w:rsid w:val="00EA0C7D"/>
    <w:rsid w:val="00EA1BA5"/>
    <w:rsid w:val="00EA1D6C"/>
    <w:rsid w:val="00EA59CD"/>
    <w:rsid w:val="00EA5AA4"/>
    <w:rsid w:val="00EA60D6"/>
    <w:rsid w:val="00EA6130"/>
    <w:rsid w:val="00EA64ED"/>
    <w:rsid w:val="00EA6C2A"/>
    <w:rsid w:val="00EA6DBF"/>
    <w:rsid w:val="00EA785F"/>
    <w:rsid w:val="00EA7CEF"/>
    <w:rsid w:val="00EB0056"/>
    <w:rsid w:val="00EB036A"/>
    <w:rsid w:val="00EB04C1"/>
    <w:rsid w:val="00EB05D7"/>
    <w:rsid w:val="00EB0AE9"/>
    <w:rsid w:val="00EB0CF6"/>
    <w:rsid w:val="00EB107E"/>
    <w:rsid w:val="00EB1239"/>
    <w:rsid w:val="00EB1590"/>
    <w:rsid w:val="00EB2223"/>
    <w:rsid w:val="00EB3755"/>
    <w:rsid w:val="00EB41EC"/>
    <w:rsid w:val="00EB4E6B"/>
    <w:rsid w:val="00EB51B9"/>
    <w:rsid w:val="00EB590D"/>
    <w:rsid w:val="00EB5CCB"/>
    <w:rsid w:val="00EB6407"/>
    <w:rsid w:val="00EB6D6D"/>
    <w:rsid w:val="00EB6EB0"/>
    <w:rsid w:val="00EB75DC"/>
    <w:rsid w:val="00EB770A"/>
    <w:rsid w:val="00EB7A2B"/>
    <w:rsid w:val="00EC0CAB"/>
    <w:rsid w:val="00EC1FA4"/>
    <w:rsid w:val="00EC209D"/>
    <w:rsid w:val="00EC2A42"/>
    <w:rsid w:val="00EC2D8D"/>
    <w:rsid w:val="00EC2EA9"/>
    <w:rsid w:val="00EC300D"/>
    <w:rsid w:val="00EC3304"/>
    <w:rsid w:val="00EC3460"/>
    <w:rsid w:val="00EC421F"/>
    <w:rsid w:val="00EC4488"/>
    <w:rsid w:val="00EC533F"/>
    <w:rsid w:val="00EC5697"/>
    <w:rsid w:val="00EC5B7C"/>
    <w:rsid w:val="00EC5E4B"/>
    <w:rsid w:val="00EC63B1"/>
    <w:rsid w:val="00EC67BA"/>
    <w:rsid w:val="00EC7034"/>
    <w:rsid w:val="00EC7592"/>
    <w:rsid w:val="00ED003D"/>
    <w:rsid w:val="00ED0309"/>
    <w:rsid w:val="00ED03CC"/>
    <w:rsid w:val="00ED0E5F"/>
    <w:rsid w:val="00ED1654"/>
    <w:rsid w:val="00ED20D1"/>
    <w:rsid w:val="00ED22D6"/>
    <w:rsid w:val="00ED22E1"/>
    <w:rsid w:val="00ED2599"/>
    <w:rsid w:val="00ED288B"/>
    <w:rsid w:val="00ED2981"/>
    <w:rsid w:val="00ED2CA0"/>
    <w:rsid w:val="00ED3126"/>
    <w:rsid w:val="00ED3153"/>
    <w:rsid w:val="00ED3BC2"/>
    <w:rsid w:val="00ED43CE"/>
    <w:rsid w:val="00ED43EA"/>
    <w:rsid w:val="00ED5643"/>
    <w:rsid w:val="00ED5AA3"/>
    <w:rsid w:val="00ED668C"/>
    <w:rsid w:val="00ED66A2"/>
    <w:rsid w:val="00ED6FF0"/>
    <w:rsid w:val="00ED73C0"/>
    <w:rsid w:val="00ED7952"/>
    <w:rsid w:val="00EE023E"/>
    <w:rsid w:val="00EE06CB"/>
    <w:rsid w:val="00EE124F"/>
    <w:rsid w:val="00EE1BDE"/>
    <w:rsid w:val="00EE1BEB"/>
    <w:rsid w:val="00EE3335"/>
    <w:rsid w:val="00EE34D0"/>
    <w:rsid w:val="00EE3F18"/>
    <w:rsid w:val="00EE4957"/>
    <w:rsid w:val="00EE55BB"/>
    <w:rsid w:val="00EE573D"/>
    <w:rsid w:val="00EE5D98"/>
    <w:rsid w:val="00EE5FEF"/>
    <w:rsid w:val="00EE631E"/>
    <w:rsid w:val="00EE7100"/>
    <w:rsid w:val="00EF035B"/>
    <w:rsid w:val="00EF0968"/>
    <w:rsid w:val="00EF15C8"/>
    <w:rsid w:val="00EF2301"/>
    <w:rsid w:val="00EF2362"/>
    <w:rsid w:val="00EF2E52"/>
    <w:rsid w:val="00EF2F32"/>
    <w:rsid w:val="00EF35A8"/>
    <w:rsid w:val="00EF4D8F"/>
    <w:rsid w:val="00EF4DDC"/>
    <w:rsid w:val="00EF56E4"/>
    <w:rsid w:val="00EF57BE"/>
    <w:rsid w:val="00EF5A8F"/>
    <w:rsid w:val="00EF7A8C"/>
    <w:rsid w:val="00EF7D74"/>
    <w:rsid w:val="00F001EA"/>
    <w:rsid w:val="00F00318"/>
    <w:rsid w:val="00F00D8F"/>
    <w:rsid w:val="00F0145C"/>
    <w:rsid w:val="00F0186C"/>
    <w:rsid w:val="00F018EA"/>
    <w:rsid w:val="00F01DB2"/>
    <w:rsid w:val="00F0383D"/>
    <w:rsid w:val="00F03C35"/>
    <w:rsid w:val="00F042BF"/>
    <w:rsid w:val="00F04AB0"/>
    <w:rsid w:val="00F04CA6"/>
    <w:rsid w:val="00F0610B"/>
    <w:rsid w:val="00F064FC"/>
    <w:rsid w:val="00F071ED"/>
    <w:rsid w:val="00F10C6D"/>
    <w:rsid w:val="00F1108B"/>
    <w:rsid w:val="00F114D5"/>
    <w:rsid w:val="00F11739"/>
    <w:rsid w:val="00F11E27"/>
    <w:rsid w:val="00F11F31"/>
    <w:rsid w:val="00F12BA5"/>
    <w:rsid w:val="00F13042"/>
    <w:rsid w:val="00F13792"/>
    <w:rsid w:val="00F13C8A"/>
    <w:rsid w:val="00F13F89"/>
    <w:rsid w:val="00F14293"/>
    <w:rsid w:val="00F14840"/>
    <w:rsid w:val="00F149ED"/>
    <w:rsid w:val="00F16AFD"/>
    <w:rsid w:val="00F172B5"/>
    <w:rsid w:val="00F177C6"/>
    <w:rsid w:val="00F20070"/>
    <w:rsid w:val="00F20F33"/>
    <w:rsid w:val="00F21428"/>
    <w:rsid w:val="00F218D5"/>
    <w:rsid w:val="00F21A80"/>
    <w:rsid w:val="00F22781"/>
    <w:rsid w:val="00F239F3"/>
    <w:rsid w:val="00F244CC"/>
    <w:rsid w:val="00F258C8"/>
    <w:rsid w:val="00F26680"/>
    <w:rsid w:val="00F26955"/>
    <w:rsid w:val="00F2762C"/>
    <w:rsid w:val="00F27FBF"/>
    <w:rsid w:val="00F30216"/>
    <w:rsid w:val="00F318B9"/>
    <w:rsid w:val="00F3272B"/>
    <w:rsid w:val="00F33710"/>
    <w:rsid w:val="00F34129"/>
    <w:rsid w:val="00F3423C"/>
    <w:rsid w:val="00F34675"/>
    <w:rsid w:val="00F357FC"/>
    <w:rsid w:val="00F3629E"/>
    <w:rsid w:val="00F37268"/>
    <w:rsid w:val="00F374C8"/>
    <w:rsid w:val="00F37A36"/>
    <w:rsid w:val="00F37FB0"/>
    <w:rsid w:val="00F40A74"/>
    <w:rsid w:val="00F41FB8"/>
    <w:rsid w:val="00F42683"/>
    <w:rsid w:val="00F42E58"/>
    <w:rsid w:val="00F43205"/>
    <w:rsid w:val="00F44374"/>
    <w:rsid w:val="00F447E6"/>
    <w:rsid w:val="00F45173"/>
    <w:rsid w:val="00F46415"/>
    <w:rsid w:val="00F4739B"/>
    <w:rsid w:val="00F47642"/>
    <w:rsid w:val="00F47BB0"/>
    <w:rsid w:val="00F5092D"/>
    <w:rsid w:val="00F50D31"/>
    <w:rsid w:val="00F51112"/>
    <w:rsid w:val="00F51954"/>
    <w:rsid w:val="00F5200B"/>
    <w:rsid w:val="00F529B1"/>
    <w:rsid w:val="00F52C58"/>
    <w:rsid w:val="00F52FCB"/>
    <w:rsid w:val="00F54E69"/>
    <w:rsid w:val="00F550E0"/>
    <w:rsid w:val="00F55E67"/>
    <w:rsid w:val="00F56341"/>
    <w:rsid w:val="00F57239"/>
    <w:rsid w:val="00F574D3"/>
    <w:rsid w:val="00F57D57"/>
    <w:rsid w:val="00F57E51"/>
    <w:rsid w:val="00F57F60"/>
    <w:rsid w:val="00F601D8"/>
    <w:rsid w:val="00F609E0"/>
    <w:rsid w:val="00F610C1"/>
    <w:rsid w:val="00F616C5"/>
    <w:rsid w:val="00F616C9"/>
    <w:rsid w:val="00F62474"/>
    <w:rsid w:val="00F62DC5"/>
    <w:rsid w:val="00F62E81"/>
    <w:rsid w:val="00F63592"/>
    <w:rsid w:val="00F63C1D"/>
    <w:rsid w:val="00F63D28"/>
    <w:rsid w:val="00F641D4"/>
    <w:rsid w:val="00F6444B"/>
    <w:rsid w:val="00F64691"/>
    <w:rsid w:val="00F65B74"/>
    <w:rsid w:val="00F6645F"/>
    <w:rsid w:val="00F665D1"/>
    <w:rsid w:val="00F66E98"/>
    <w:rsid w:val="00F67443"/>
    <w:rsid w:val="00F702EF"/>
    <w:rsid w:val="00F71A45"/>
    <w:rsid w:val="00F71DF7"/>
    <w:rsid w:val="00F71F16"/>
    <w:rsid w:val="00F72068"/>
    <w:rsid w:val="00F72399"/>
    <w:rsid w:val="00F72516"/>
    <w:rsid w:val="00F73ADE"/>
    <w:rsid w:val="00F751B7"/>
    <w:rsid w:val="00F7520D"/>
    <w:rsid w:val="00F75C9F"/>
    <w:rsid w:val="00F75E25"/>
    <w:rsid w:val="00F76A02"/>
    <w:rsid w:val="00F76B48"/>
    <w:rsid w:val="00F770D6"/>
    <w:rsid w:val="00F7726B"/>
    <w:rsid w:val="00F7781F"/>
    <w:rsid w:val="00F77B6F"/>
    <w:rsid w:val="00F80FF8"/>
    <w:rsid w:val="00F810C4"/>
    <w:rsid w:val="00F81157"/>
    <w:rsid w:val="00F8133D"/>
    <w:rsid w:val="00F817A2"/>
    <w:rsid w:val="00F81AC1"/>
    <w:rsid w:val="00F83387"/>
    <w:rsid w:val="00F834D5"/>
    <w:rsid w:val="00F8354B"/>
    <w:rsid w:val="00F8428A"/>
    <w:rsid w:val="00F84D26"/>
    <w:rsid w:val="00F858C1"/>
    <w:rsid w:val="00F8604F"/>
    <w:rsid w:val="00F86A26"/>
    <w:rsid w:val="00F86DDF"/>
    <w:rsid w:val="00F86E6E"/>
    <w:rsid w:val="00F8768F"/>
    <w:rsid w:val="00F9064B"/>
    <w:rsid w:val="00F90C01"/>
    <w:rsid w:val="00F918CC"/>
    <w:rsid w:val="00F91C9A"/>
    <w:rsid w:val="00F91D67"/>
    <w:rsid w:val="00F921D2"/>
    <w:rsid w:val="00F9236D"/>
    <w:rsid w:val="00F93506"/>
    <w:rsid w:val="00F94583"/>
    <w:rsid w:val="00F94C4F"/>
    <w:rsid w:val="00F94EF3"/>
    <w:rsid w:val="00F9516C"/>
    <w:rsid w:val="00F95239"/>
    <w:rsid w:val="00F95376"/>
    <w:rsid w:val="00F95B04"/>
    <w:rsid w:val="00F95BEC"/>
    <w:rsid w:val="00F9684F"/>
    <w:rsid w:val="00F975D9"/>
    <w:rsid w:val="00F97A3D"/>
    <w:rsid w:val="00FA016B"/>
    <w:rsid w:val="00FA01CB"/>
    <w:rsid w:val="00FA08BE"/>
    <w:rsid w:val="00FA1CD1"/>
    <w:rsid w:val="00FA1F9B"/>
    <w:rsid w:val="00FA25F9"/>
    <w:rsid w:val="00FA28A2"/>
    <w:rsid w:val="00FA36E5"/>
    <w:rsid w:val="00FA46DB"/>
    <w:rsid w:val="00FA4E20"/>
    <w:rsid w:val="00FA4E23"/>
    <w:rsid w:val="00FA4FB4"/>
    <w:rsid w:val="00FA5885"/>
    <w:rsid w:val="00FA5DA4"/>
    <w:rsid w:val="00FA75C5"/>
    <w:rsid w:val="00FA76CB"/>
    <w:rsid w:val="00FA7DE7"/>
    <w:rsid w:val="00FB1529"/>
    <w:rsid w:val="00FB18B5"/>
    <w:rsid w:val="00FB1949"/>
    <w:rsid w:val="00FB2120"/>
    <w:rsid w:val="00FB213F"/>
    <w:rsid w:val="00FB27B2"/>
    <w:rsid w:val="00FB3E1E"/>
    <w:rsid w:val="00FB40BB"/>
    <w:rsid w:val="00FB4193"/>
    <w:rsid w:val="00FB4515"/>
    <w:rsid w:val="00FB5FB3"/>
    <w:rsid w:val="00FB64D3"/>
    <w:rsid w:val="00FB65CF"/>
    <w:rsid w:val="00FB6D68"/>
    <w:rsid w:val="00FB79D2"/>
    <w:rsid w:val="00FC0766"/>
    <w:rsid w:val="00FC0FFD"/>
    <w:rsid w:val="00FC23F0"/>
    <w:rsid w:val="00FC282F"/>
    <w:rsid w:val="00FC28B8"/>
    <w:rsid w:val="00FC3147"/>
    <w:rsid w:val="00FC3665"/>
    <w:rsid w:val="00FC49DD"/>
    <w:rsid w:val="00FC4A0D"/>
    <w:rsid w:val="00FC4B8F"/>
    <w:rsid w:val="00FC5595"/>
    <w:rsid w:val="00FC5FC2"/>
    <w:rsid w:val="00FC653D"/>
    <w:rsid w:val="00FC698B"/>
    <w:rsid w:val="00FC69C8"/>
    <w:rsid w:val="00FC737A"/>
    <w:rsid w:val="00FC7667"/>
    <w:rsid w:val="00FC7868"/>
    <w:rsid w:val="00FD0BB5"/>
    <w:rsid w:val="00FD12DF"/>
    <w:rsid w:val="00FD1E39"/>
    <w:rsid w:val="00FD2186"/>
    <w:rsid w:val="00FD2479"/>
    <w:rsid w:val="00FD3DD5"/>
    <w:rsid w:val="00FD46E7"/>
    <w:rsid w:val="00FD4C2C"/>
    <w:rsid w:val="00FD6C12"/>
    <w:rsid w:val="00FD75DE"/>
    <w:rsid w:val="00FD7730"/>
    <w:rsid w:val="00FD7B21"/>
    <w:rsid w:val="00FE0371"/>
    <w:rsid w:val="00FE05B2"/>
    <w:rsid w:val="00FE08BE"/>
    <w:rsid w:val="00FE2606"/>
    <w:rsid w:val="00FE3CC1"/>
    <w:rsid w:val="00FE42CF"/>
    <w:rsid w:val="00FE4346"/>
    <w:rsid w:val="00FE48F1"/>
    <w:rsid w:val="00FE4D16"/>
    <w:rsid w:val="00FE50E3"/>
    <w:rsid w:val="00FE57D5"/>
    <w:rsid w:val="00FE5A32"/>
    <w:rsid w:val="00FE5F13"/>
    <w:rsid w:val="00FE65E5"/>
    <w:rsid w:val="00FE6EFA"/>
    <w:rsid w:val="00FE7729"/>
    <w:rsid w:val="00FF0218"/>
    <w:rsid w:val="00FF04E7"/>
    <w:rsid w:val="00FF0A7B"/>
    <w:rsid w:val="00FF0BFE"/>
    <w:rsid w:val="00FF1451"/>
    <w:rsid w:val="00FF224A"/>
    <w:rsid w:val="00FF2359"/>
    <w:rsid w:val="00FF2E08"/>
    <w:rsid w:val="00FF335F"/>
    <w:rsid w:val="00FF360B"/>
    <w:rsid w:val="00FF3A04"/>
    <w:rsid w:val="00FF3B90"/>
    <w:rsid w:val="00FF475D"/>
    <w:rsid w:val="00FF47BC"/>
    <w:rsid w:val="00FF4B90"/>
    <w:rsid w:val="00FF5C4B"/>
    <w:rsid w:val="00FF63B3"/>
    <w:rsid w:val="00FF6492"/>
    <w:rsid w:val="00FF67A4"/>
    <w:rsid w:val="00FF7021"/>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03599B18"/>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E"/>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9"/>
      </w:numPr>
    </w:pPr>
  </w:style>
  <w:style w:type="paragraph" w:styleId="ListParagraph">
    <w:name w:val="List Paragraph"/>
    <w:link w:val="ListParagraphChar"/>
    <w:uiPriority w:val="1"/>
    <w:qFormat/>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500B54"/>
    <w:rPr>
      <w:rFonts w:ascii="Calibri" w:eastAsia="Times New Roman" w:hAnsi="Calibri"/>
      <w:bCs/>
      <w:sz w:val="24"/>
      <w:szCs w:val="20"/>
    </w:rPr>
  </w:style>
  <w:style w:type="character" w:styleId="FootnoteReference">
    <w:name w:val="footnote reference"/>
    <w:basedOn w:val="DefaultParagraphFont"/>
    <w:uiPriority w:val="99"/>
    <w:qForma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unhideWhenUsed/>
    <w:qFormat/>
    <w:rsid w:val="00C11C4B"/>
    <w:pPr>
      <w:spacing w:after="120"/>
    </w:pPr>
  </w:style>
  <w:style w:type="character" w:customStyle="1" w:styleId="TOC2Char">
    <w:name w:val="TOC 2 Char"/>
    <w:basedOn w:val="DefaultParagraphFont"/>
    <w:link w:val="TOC2"/>
    <w:uiPriority w:val="39"/>
    <w:rsid w:val="00500B54"/>
    <w:rPr>
      <w:rFonts w:ascii="Calibri" w:eastAsia="Times New Roman" w:hAnsi="Calibri"/>
      <w:sz w:val="24"/>
      <w:szCs w:val="20"/>
    </w:rPr>
  </w:style>
  <w:style w:type="character" w:customStyle="1" w:styleId="BodyTextChar">
    <w:name w:val="Body Text Char"/>
    <w:basedOn w:val="DefaultParagraphFont"/>
    <w:link w:val="BodyText"/>
    <w:uiPriority w:val="99"/>
    <w:rsid w:val="00C11C4B"/>
    <w:rPr>
      <w:rFonts w:eastAsia="Times New Roman"/>
      <w:sz w:val="24"/>
      <w:szCs w:val="24"/>
    </w:rPr>
  </w:style>
  <w:style w:type="paragraph" w:styleId="TOC1">
    <w:name w:val="toc 1"/>
    <w:next w:val="Normal"/>
    <w:link w:val="TOC1Char"/>
    <w:uiPriority w:val="39"/>
    <w:unhideWhenUsed/>
    <w:rsid w:val="00500B54"/>
    <w:pPr>
      <w:spacing w:before="120" w:after="120"/>
      <w:ind w:left="360" w:hanging="360"/>
    </w:pPr>
    <w:rPr>
      <w:rFonts w:ascii="Calibri" w:eastAsia="Times New Roman" w:hAnsi="Calibri"/>
      <w:bCs/>
      <w:sz w:val="24"/>
      <w:szCs w:val="20"/>
    </w:rPr>
  </w:style>
  <w:style w:type="paragraph" w:styleId="TOC2">
    <w:name w:val="toc 2"/>
    <w:next w:val="Normal"/>
    <w:link w:val="TOC2Char"/>
    <w:uiPriority w:val="39"/>
    <w:rsid w:val="00500B54"/>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805F3"/>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500B54"/>
    <w:pPr>
      <w:ind w:left="1080" w:hanging="360"/>
    </w:pPr>
    <w:rPr>
      <w:rFonts w:ascii="Calibri" w:eastAsia="Times New Roman" w:hAnsi="Calibri"/>
      <w:iCs/>
      <w:sz w:val="24"/>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2ptCalibri-IPR">
    <w:name w:val="Body12ptCalibri-IPR"/>
    <w:link w:val="Body12ptCalibri-IPRChar"/>
    <w:rsid w:val="00742BA3"/>
    <w:pPr>
      <w:spacing w:after="240"/>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qFormat/>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2ptCalibri-IPRChar">
    <w:name w:val="Body12ptCalibri-IPR Char"/>
    <w:basedOn w:val="DefaultParagraphFont"/>
    <w:link w:val="Body12ptCalibri-IPR"/>
    <w:rsid w:val="00742BA3"/>
    <w:rPr>
      <w:rFonts w:ascii="Calibri" w:eastAsia="Times New Roman" w:hAnsi="Calibri"/>
      <w:szCs w:val="24"/>
    </w:rPr>
  </w:style>
  <w:style w:type="character" w:customStyle="1" w:styleId="TableTitle-IPRChar">
    <w:name w:val="TableTitle-IPR Char"/>
    <w:basedOn w:val="DefaultParagraphFont"/>
    <w:link w:val="TableTitle-IPR"/>
    <w:rsid w:val="008805F3"/>
    <w:rPr>
      <w:rFonts w:ascii="Calibri" w:eastAsia="Times New Roman" w:hAnsi="Calibri" w:cs="Calibri"/>
      <w:b/>
      <w:bCs/>
      <w:i/>
      <w:szCs w:val="24"/>
    </w:rPr>
  </w:style>
  <w:style w:type="paragraph" w:customStyle="1" w:styleId="Hdng3-IPR">
    <w:name w:val="Hdng3-IPR"/>
    <w:link w:val="Hdng3-IPRChar"/>
    <w:qFormat/>
    <w:rsid w:val="006C712C"/>
    <w:pPr>
      <w:keepNext/>
      <w:numPr>
        <w:numId w:val="1"/>
      </w:numPr>
      <w:spacing w:after="240"/>
      <w:ind w:left="720"/>
      <w:outlineLvl w:val="2"/>
    </w:pPr>
    <w:rPr>
      <w:rFonts w:ascii="Candara" w:eastAsia="Times New Roman" w:hAnsi="Candara" w:cs="Arial"/>
      <w:b/>
      <w:color w:val="B32732"/>
      <w:sz w:val="24"/>
      <w:szCs w:val="24"/>
    </w:rPr>
  </w:style>
  <w:style w:type="paragraph" w:customStyle="1" w:styleId="FooterReport-IPR">
    <w:name w:val="FooterReport-IPR"/>
    <w:link w:val="FooterReport-IPRChar"/>
    <w:qFormat/>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6C712C"/>
    <w:rPr>
      <w:rFonts w:ascii="Candara" w:eastAsia="Times New Roman" w:hAnsi="Candara" w:cs="Arial"/>
      <w:b/>
      <w:color w:val="B32732"/>
      <w:sz w:val="24"/>
      <w:szCs w:val="24"/>
    </w:rPr>
  </w:style>
  <w:style w:type="paragraph" w:customStyle="1" w:styleId="Hdng1Report-IPR">
    <w:name w:val="Hdng1Report-IPR"/>
    <w:link w:val="Hdng1Report-IPRChar"/>
    <w:qFormat/>
    <w:rsid w:val="004D6774"/>
    <w:pPr>
      <w:keepNext/>
      <w:numPr>
        <w:numId w:val="10"/>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qFormat/>
    <w:rsid w:val="004D6774"/>
    <w:pPr>
      <w:keepNext/>
      <w:numPr>
        <w:numId w:val="2"/>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qFormat/>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qFormat/>
    <w:rsid w:val="00641B88"/>
    <w:pPr>
      <w:spacing w:after="120" w:line="480" w:lineRule="exact"/>
    </w:pPr>
    <w:rPr>
      <w:rFonts w:ascii="Calibri" w:eastAsia="Times New Roman" w:hAnsi="Calibri"/>
      <w:szCs w:val="24"/>
    </w:rPr>
  </w:style>
  <w:style w:type="character" w:customStyle="1" w:styleId="Body11ptCalibri-IPRChar">
    <w:name w:val="Body11ptCalibri-IPR Char"/>
    <w:basedOn w:val="DefaultParagraphFont"/>
    <w:link w:val="Body11ptCalibri-IPR"/>
    <w:rsid w:val="00641B88"/>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3"/>
      </w:numPr>
    </w:pPr>
  </w:style>
  <w:style w:type="paragraph" w:customStyle="1" w:styleId="TableRedNumbers-IPR">
    <w:name w:val="TableRedNumbers-IPR"/>
    <w:link w:val="TableRedNumbers-IPRChar"/>
    <w:qFormat/>
    <w:rsid w:val="00E17C6F"/>
    <w:pPr>
      <w:numPr>
        <w:numId w:val="9"/>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8"/>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4"/>
      </w:numPr>
    </w:pPr>
  </w:style>
  <w:style w:type="numbering" w:customStyle="1" w:styleId="TableRedBulletsList-IPR">
    <w:name w:val="TableRedBulletsList-IPR"/>
    <w:uiPriority w:val="99"/>
    <w:rsid w:val="00187EDD"/>
    <w:pPr>
      <w:numPr>
        <w:numId w:val="5"/>
      </w:numPr>
    </w:pPr>
  </w:style>
  <w:style w:type="numbering" w:customStyle="1" w:styleId="TableBlackBulletsList-IPR">
    <w:name w:val="TableBlackBulletsList-IPR"/>
    <w:uiPriority w:val="99"/>
    <w:rsid w:val="00CB366C"/>
    <w:pPr>
      <w:numPr>
        <w:numId w:val="6"/>
      </w:numPr>
    </w:pPr>
  </w:style>
  <w:style w:type="numbering" w:customStyle="1" w:styleId="Bullets11ptTNRList">
    <w:name w:val="Bullets11ptTNRList"/>
    <w:uiPriority w:val="99"/>
    <w:rsid w:val="001731A7"/>
    <w:pPr>
      <w:numPr>
        <w:numId w:val="7"/>
      </w:numPr>
    </w:pPr>
  </w:style>
  <w:style w:type="numbering" w:customStyle="1" w:styleId="TableBlackNumbersList-IPR">
    <w:name w:val="TableBlackNumbersList-IPR"/>
    <w:uiPriority w:val="99"/>
    <w:rsid w:val="00411150"/>
    <w:pPr>
      <w:numPr>
        <w:numId w:val="8"/>
      </w:numPr>
    </w:pPr>
  </w:style>
  <w:style w:type="paragraph" w:customStyle="1" w:styleId="Refs12ptCalibri-IPR">
    <w:name w:val="Refs12ptCalibri-IPR"/>
    <w:link w:val="Refs12ptCalibri-IPRChar"/>
    <w:qFormat/>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iPriority w:val="99"/>
    <w:unhideWhenUsed/>
    <w:rsid w:val="00752810"/>
    <w:rPr>
      <w:sz w:val="16"/>
      <w:szCs w:val="16"/>
    </w:rPr>
  </w:style>
  <w:style w:type="paragraph" w:styleId="FootnoteText">
    <w:name w:val="footnote text"/>
    <w:link w:val="FootnoteTextChar"/>
    <w:uiPriority w:val="99"/>
    <w:unhideWhenUsed/>
    <w:rsid w:val="00753D22"/>
    <w:rPr>
      <w:rFonts w:eastAsia="Times New Roman"/>
      <w:sz w:val="16"/>
      <w:szCs w:val="20"/>
    </w:rPr>
  </w:style>
  <w:style w:type="character" w:customStyle="1" w:styleId="FootnoteTextChar">
    <w:name w:val="Footnote Text Char"/>
    <w:basedOn w:val="DefaultParagraphFont"/>
    <w:link w:val="FootnoteText"/>
    <w:uiPriority w:val="99"/>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20"/>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8"/>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qFormat/>
    <w:rsid w:val="00E4559D"/>
    <w:pPr>
      <w:numPr>
        <w:numId w:val="16"/>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1"/>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qFormat/>
    <w:rsid w:val="00E4559D"/>
    <w:pPr>
      <w:numPr>
        <w:numId w:val="17"/>
      </w:numPr>
      <w:spacing w:after="120"/>
    </w:pPr>
    <w:rPr>
      <w:rFonts w:ascii="Calibri" w:hAnsi="Calibri" w:cstheme="minorBidi"/>
      <w:sz w:val="24"/>
    </w:rPr>
  </w:style>
  <w:style w:type="numbering" w:customStyle="1" w:styleId="Numbers12ptCalibriList">
    <w:name w:val="Numbers12ptCalibriList"/>
    <w:uiPriority w:val="99"/>
    <w:rsid w:val="008E0756"/>
    <w:pPr>
      <w:numPr>
        <w:numId w:val="12"/>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2"/>
      </w:numPr>
      <w:spacing w:after="120"/>
    </w:pPr>
    <w:rPr>
      <w:rFonts w:ascii="Calibri" w:hAnsi="Calibri" w:cstheme="minorBidi"/>
    </w:rPr>
  </w:style>
  <w:style w:type="numbering" w:customStyle="1" w:styleId="Bullets11ptCalibriList">
    <w:name w:val="Bullets11ptCalibriList"/>
    <w:uiPriority w:val="99"/>
    <w:rsid w:val="008E0756"/>
    <w:pPr>
      <w:numPr>
        <w:numId w:val="13"/>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1"/>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4"/>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5"/>
      </w:numPr>
    </w:pPr>
  </w:style>
  <w:style w:type="character" w:customStyle="1" w:styleId="TableofFiguresChar">
    <w:name w:val="Table of Figures Char"/>
    <w:basedOn w:val="DefaultParagraphFont"/>
    <w:link w:val="TableofFigures"/>
    <w:uiPriority w:val="99"/>
    <w:rsid w:val="00500B54"/>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500B54"/>
    <w:rPr>
      <w:rFonts w:ascii="Calibri" w:eastAsia="Times New Roman" w:hAnsi="Calibri"/>
      <w:iCs/>
      <w:sz w:val="24"/>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500B54"/>
    <w:pPr>
      <w:ind w:left="480" w:hanging="480"/>
    </w:pPr>
    <w:rPr>
      <w:rFonts w:ascii="Calibri" w:eastAsia="Times New Roman" w:hAnsi="Calibri"/>
      <w:sz w:val="24"/>
      <w:szCs w:val="20"/>
    </w:rPr>
  </w:style>
  <w:style w:type="paragraph" w:customStyle="1" w:styleId="BlankHeaderFooter-IPR">
    <w:name w:val="BlankHeaderFooter-IPR"/>
    <w:link w:val="BlankHeaderFooter-IPRChar"/>
    <w:qFormat/>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qFormat/>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qFormat/>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qFormat/>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paragraph" w:customStyle="1" w:styleId="CalibriText-noindent">
    <w:name w:val="CalibriText-no indent"/>
    <w:rsid w:val="00500C20"/>
    <w:pPr>
      <w:keepNext/>
      <w:keepLines/>
      <w:spacing w:after="240"/>
    </w:pPr>
    <w:rPr>
      <w:rFonts w:ascii="Calibri" w:eastAsia="Times New Roman" w:hAnsi="Calibri" w:cs="Calibri"/>
      <w:sz w:val="24"/>
      <w:szCs w:val="24"/>
    </w:rPr>
  </w:style>
  <w:style w:type="paragraph" w:customStyle="1" w:styleId="BulletsRed-IPR">
    <w:name w:val="BulletsRed-IPR"/>
    <w:link w:val="BulletsRed-IPRChar"/>
    <w:qFormat/>
    <w:rsid w:val="00641B88"/>
    <w:pPr>
      <w:numPr>
        <w:numId w:val="23"/>
      </w:numPr>
      <w:spacing w:line="480" w:lineRule="exact"/>
    </w:pPr>
    <w:rPr>
      <w:rFonts w:ascii="Calibri" w:hAnsi="Calibri"/>
      <w:szCs w:val="24"/>
    </w:rPr>
  </w:style>
  <w:style w:type="character" w:customStyle="1" w:styleId="BulletsRed-IPRChar">
    <w:name w:val="BulletsRed-IPR Char"/>
    <w:basedOn w:val="DefaultParagraphFont"/>
    <w:link w:val="BulletsRed-IPR"/>
    <w:rsid w:val="00641B88"/>
    <w:rPr>
      <w:rFonts w:ascii="Calibri" w:hAnsi="Calibri"/>
      <w:szCs w:val="24"/>
    </w:rPr>
  </w:style>
  <w:style w:type="paragraph" w:customStyle="1" w:styleId="Instructions">
    <w:name w:val="Instructions"/>
    <w:basedOn w:val="Hdng4Calibri-IPR"/>
    <w:link w:val="InstructionsChar"/>
    <w:qFormat/>
    <w:rsid w:val="00742BA3"/>
    <w:pPr>
      <w:spacing w:line="480" w:lineRule="auto"/>
    </w:pPr>
    <w:rPr>
      <w:rFonts w:ascii="Candara" w:hAnsi="Candara"/>
      <w:sz w:val="22"/>
    </w:rPr>
  </w:style>
  <w:style w:type="paragraph" w:customStyle="1" w:styleId="NewHeading1">
    <w:name w:val="New Heading 1"/>
    <w:basedOn w:val="Hdng2-IPR"/>
    <w:link w:val="NewHeading1Char"/>
    <w:qFormat/>
    <w:rsid w:val="00742BA3"/>
    <w:pPr>
      <w:numPr>
        <w:numId w:val="0"/>
      </w:numPr>
      <w:spacing w:line="480" w:lineRule="auto"/>
      <w:ind w:left="720" w:hanging="720"/>
    </w:pPr>
    <w:rPr>
      <w:rFonts w:ascii="Candara" w:hAnsi="Candara"/>
      <w:caps w:val="0"/>
      <w:color w:val="B32732"/>
      <w:sz w:val="28"/>
    </w:rPr>
  </w:style>
  <w:style w:type="character" w:customStyle="1" w:styleId="InstructionsChar">
    <w:name w:val="Instructions Char"/>
    <w:basedOn w:val="Hdng4Calibri-IPRChar"/>
    <w:link w:val="Instructions"/>
    <w:rsid w:val="00742BA3"/>
    <w:rPr>
      <w:rFonts w:ascii="Candara" w:eastAsia="Times New Roman" w:hAnsi="Candara"/>
      <w:b/>
      <w:sz w:val="24"/>
      <w:szCs w:val="24"/>
    </w:rPr>
  </w:style>
  <w:style w:type="paragraph" w:customStyle="1" w:styleId="NewHeading2">
    <w:name w:val="New Heading 2"/>
    <w:basedOn w:val="Hdng3-IPR"/>
    <w:link w:val="NewHeading2Char"/>
    <w:qFormat/>
    <w:rsid w:val="00D672F3"/>
    <w:pPr>
      <w:spacing w:line="480" w:lineRule="auto"/>
    </w:pPr>
    <w:rPr>
      <w:color w:val="B12732"/>
      <w:sz w:val="28"/>
    </w:rPr>
  </w:style>
  <w:style w:type="character" w:customStyle="1" w:styleId="NewHeading1Char">
    <w:name w:val="New Heading 1 Char"/>
    <w:basedOn w:val="Hdng2-IPRChar"/>
    <w:link w:val="NewHeading1"/>
    <w:rsid w:val="00742BA3"/>
    <w:rPr>
      <w:rFonts w:ascii="Candara" w:eastAsia="Calibri" w:hAnsi="Candara" w:cs="Arial"/>
      <w:b/>
      <w:caps w:val="0"/>
      <w:color w:val="B32732"/>
      <w:sz w:val="28"/>
      <w:szCs w:val="24"/>
    </w:rPr>
  </w:style>
  <w:style w:type="character" w:customStyle="1" w:styleId="NewHeading2Char">
    <w:name w:val="New Heading 2 Char"/>
    <w:basedOn w:val="Hdng3-IPRChar"/>
    <w:link w:val="NewHeading2"/>
    <w:rsid w:val="00D672F3"/>
    <w:rPr>
      <w:rFonts w:ascii="Candara" w:eastAsia="Times New Roman" w:hAnsi="Candara" w:cs="Arial"/>
      <w:b/>
      <w:color w:val="B12732"/>
      <w:sz w:val="28"/>
      <w:szCs w:val="24"/>
    </w:rPr>
  </w:style>
  <w:style w:type="character" w:customStyle="1" w:styleId="NewHeading1Char0">
    <w:name w:val="NewHeading1 Char"/>
    <w:basedOn w:val="DefaultParagraphFont"/>
    <w:link w:val="NewHeading10"/>
    <w:locked/>
    <w:rsid w:val="00D672F3"/>
    <w:rPr>
      <w:rFonts w:ascii="Candara" w:eastAsiaTheme="majorEastAsia" w:hAnsi="Candara" w:cstheme="majorBidi"/>
      <w:b/>
      <w:bCs/>
      <w:color w:val="B12732"/>
      <w:sz w:val="36"/>
      <w:szCs w:val="36"/>
    </w:rPr>
  </w:style>
  <w:style w:type="paragraph" w:customStyle="1" w:styleId="NewHeading10">
    <w:name w:val="NewHeading1"/>
    <w:basedOn w:val="Normal"/>
    <w:link w:val="NewHeading1Char0"/>
    <w:qFormat/>
    <w:rsid w:val="00D672F3"/>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paragraph" w:customStyle="1" w:styleId="Newheading3">
    <w:name w:val="New heading3"/>
    <w:basedOn w:val="Body12ptCalibri-IPR"/>
    <w:link w:val="Newheading3Char"/>
    <w:qFormat/>
    <w:rsid w:val="00D672F3"/>
    <w:pPr>
      <w:spacing w:line="480" w:lineRule="auto"/>
    </w:pPr>
    <w:rPr>
      <w:rFonts w:ascii="Candara" w:hAnsi="Candara"/>
      <w:b/>
      <w:color w:val="B12732"/>
      <w:sz w:val="24"/>
    </w:rPr>
  </w:style>
  <w:style w:type="character" w:customStyle="1" w:styleId="Newheading3Char">
    <w:name w:val="New heading3 Char"/>
    <w:basedOn w:val="Body12ptCalibri-IPRChar"/>
    <w:link w:val="Newheading3"/>
    <w:rsid w:val="00D672F3"/>
    <w:rPr>
      <w:rFonts w:ascii="Candara" w:eastAsia="Times New Roman" w:hAnsi="Candara"/>
      <w:b/>
      <w:color w:val="B12732"/>
      <w:sz w:val="24"/>
      <w:szCs w:val="24"/>
    </w:rPr>
  </w:style>
  <w:style w:type="character" w:styleId="LineNumber">
    <w:name w:val="line number"/>
    <w:basedOn w:val="DefaultParagraphFont"/>
    <w:uiPriority w:val="99"/>
    <w:semiHidden/>
    <w:unhideWhenUsed/>
    <w:rsid w:val="00B27AFC"/>
  </w:style>
  <w:style w:type="paragraph" w:customStyle="1" w:styleId="Heading4NoLetter-IPR">
    <w:name w:val="Heading4NoLetter-IPR"/>
    <w:link w:val="Heading4NoLetter-IPRChar"/>
    <w:qFormat/>
    <w:rsid w:val="007433EF"/>
    <w:pPr>
      <w:keepNext/>
      <w:spacing w:after="240"/>
    </w:pPr>
    <w:rPr>
      <w:rFonts w:ascii="Candara" w:hAnsi="Candara" w:cstheme="minorBidi"/>
      <w:b/>
      <w:i/>
      <w:color w:val="B12732"/>
      <w:sz w:val="24"/>
    </w:rPr>
  </w:style>
  <w:style w:type="numbering" w:customStyle="1" w:styleId="BulletListStyleRed-IPR">
    <w:name w:val="BulletListStyleRed-IPR"/>
    <w:uiPriority w:val="99"/>
    <w:rsid w:val="00C35912"/>
    <w:pPr>
      <w:numPr>
        <w:numId w:val="24"/>
      </w:numPr>
    </w:pPr>
  </w:style>
  <w:style w:type="character" w:customStyle="1" w:styleId="Heading4NoLetter-IPRChar">
    <w:name w:val="Heading4NoLetter-IPR Char"/>
    <w:basedOn w:val="DefaultParagraphFont"/>
    <w:link w:val="Heading4NoLetter-IPR"/>
    <w:rsid w:val="007433EF"/>
    <w:rPr>
      <w:rFonts w:ascii="Candara" w:hAnsi="Candara" w:cstheme="minorBidi"/>
      <w:b/>
      <w:i/>
      <w:color w:val="B12732"/>
      <w:sz w:val="24"/>
    </w:rPr>
  </w:style>
  <w:style w:type="paragraph" w:customStyle="1" w:styleId="SubbulletRedLevelTwo">
    <w:name w:val="SubbulletRedLevelTwo"/>
    <w:basedOn w:val="BulletsRed-IPR"/>
    <w:qFormat/>
    <w:rsid w:val="00C35912"/>
    <w:pPr>
      <w:numPr>
        <w:numId w:val="0"/>
      </w:numPr>
      <w:tabs>
        <w:tab w:val="num" w:pos="360"/>
      </w:tabs>
      <w:spacing w:line="240" w:lineRule="auto"/>
      <w:ind w:left="1080" w:hanging="360"/>
    </w:pPr>
  </w:style>
  <w:style w:type="paragraph" w:customStyle="1" w:styleId="SubbulletRedLevelThree">
    <w:name w:val="SubbulletRedLevelThree"/>
    <w:basedOn w:val="SubbulletRedLevelTwo"/>
    <w:qFormat/>
    <w:rsid w:val="00C35912"/>
    <w:pPr>
      <w:ind w:left="1440"/>
    </w:pPr>
  </w:style>
  <w:style w:type="numbering" w:customStyle="1" w:styleId="NumbersListStyleRed-IPR">
    <w:name w:val="NumbersListStyleRed-IPR"/>
    <w:uiPriority w:val="99"/>
    <w:rsid w:val="00EC5697"/>
    <w:pPr>
      <w:numPr>
        <w:numId w:val="26"/>
      </w:numPr>
    </w:pPr>
  </w:style>
  <w:style w:type="paragraph" w:customStyle="1" w:styleId="NumbersRed-IPR">
    <w:name w:val="NumbersRed-IPR"/>
    <w:link w:val="NumbersRed-IPRChar"/>
    <w:qFormat/>
    <w:rsid w:val="00641B88"/>
    <w:pPr>
      <w:numPr>
        <w:numId w:val="27"/>
      </w:numPr>
      <w:spacing w:line="480" w:lineRule="exact"/>
    </w:pPr>
    <w:rPr>
      <w:rFonts w:ascii="Calibri" w:hAnsi="Calibri" w:cstheme="minorBidi"/>
    </w:rPr>
  </w:style>
  <w:style w:type="character" w:customStyle="1" w:styleId="NumbersRed-IPRChar">
    <w:name w:val="NumbersRed-IPR Char"/>
    <w:basedOn w:val="DefaultParagraphFont"/>
    <w:link w:val="NumbersRed-IPR"/>
    <w:rsid w:val="00641B88"/>
    <w:rPr>
      <w:rFonts w:ascii="Calibri" w:hAnsi="Calibri" w:cstheme="minorBidi"/>
    </w:rPr>
  </w:style>
  <w:style w:type="paragraph" w:customStyle="1" w:styleId="BodyText-IPR">
    <w:name w:val="BodyText-IPR"/>
    <w:link w:val="BodyText-IPRChar"/>
    <w:qFormat/>
    <w:rsid w:val="00EC5697"/>
    <w:pPr>
      <w:spacing w:after="240"/>
    </w:pPr>
    <w:rPr>
      <w:rFonts w:ascii="Calibri" w:hAnsi="Calibri" w:cstheme="minorBidi"/>
    </w:rPr>
  </w:style>
  <w:style w:type="character" w:customStyle="1" w:styleId="BodyText-IPRChar">
    <w:name w:val="BodyText-IPR Char"/>
    <w:basedOn w:val="DefaultParagraphFont"/>
    <w:link w:val="BodyText-IPR"/>
    <w:rsid w:val="00EC5697"/>
    <w:rPr>
      <w:rFonts w:ascii="Calibri" w:hAnsi="Calibri" w:cstheme="minorBidi"/>
    </w:rPr>
  </w:style>
  <w:style w:type="paragraph" w:customStyle="1" w:styleId="Heading2-IPR">
    <w:name w:val="Heading2-IPR"/>
    <w:link w:val="Heading2-IPRChar"/>
    <w:qFormat/>
    <w:rsid w:val="007433EF"/>
    <w:pPr>
      <w:keepNext/>
      <w:numPr>
        <w:numId w:val="28"/>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7433EF"/>
    <w:rPr>
      <w:rFonts w:ascii="Candara" w:eastAsiaTheme="majorEastAsia" w:hAnsi="Candara" w:cstheme="majorBidi"/>
      <w:b/>
      <w:bCs/>
      <w:caps w:val="0"/>
      <w:color w:val="B12732"/>
      <w:sz w:val="28"/>
      <w:szCs w:val="26"/>
    </w:rPr>
  </w:style>
  <w:style w:type="table" w:customStyle="1" w:styleId="InsightTable">
    <w:name w:val="Insight Table"/>
    <w:basedOn w:val="TableNormal"/>
    <w:uiPriority w:val="99"/>
    <w:rsid w:val="00AC44D8"/>
    <w:rPr>
      <w:rFonts w:ascii="Calibri" w:hAnsi="Calibri"/>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FooterRedInsight-IPR">
    <w:name w:val="FooterRedInsight-IPR"/>
    <w:link w:val="FooterRedInsight-IPRChar"/>
    <w:qFormat/>
    <w:rsid w:val="00267BFC"/>
    <w:pPr>
      <w:pBdr>
        <w:top w:val="single" w:sz="8" w:space="1" w:color="B12732"/>
      </w:pBdr>
    </w:pPr>
    <w:rPr>
      <w:rFonts w:ascii="Calibri" w:hAnsi="Calibri" w:cstheme="minorBidi"/>
      <w:i/>
      <w:color w:val="B12732"/>
      <w:sz w:val="20"/>
    </w:rPr>
  </w:style>
  <w:style w:type="character" w:customStyle="1" w:styleId="FooterRedInsight-IPRChar">
    <w:name w:val="FooterRedInsight-IPR Char"/>
    <w:basedOn w:val="DefaultParagraphFont"/>
    <w:link w:val="FooterRedInsight-IPR"/>
    <w:rsid w:val="00267BFC"/>
    <w:rPr>
      <w:rFonts w:ascii="Calibri" w:hAnsi="Calibri" w:cstheme="minorBidi"/>
      <w:i/>
      <w:color w:val="B12732"/>
      <w:sz w:val="20"/>
    </w:rPr>
  </w:style>
  <w:style w:type="paragraph" w:customStyle="1" w:styleId="FooterTitle-IPR">
    <w:name w:val="FooterTitle-IPR"/>
    <w:link w:val="FooterTitle-IPRChar"/>
    <w:qFormat/>
    <w:rsid w:val="00267BFC"/>
    <w:pPr>
      <w:pBdr>
        <w:top w:val="single" w:sz="8" w:space="1" w:color="B12732"/>
      </w:pBdr>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267BFC"/>
    <w:rPr>
      <w:rFonts w:ascii="Calibri" w:eastAsia="Times New Roman" w:hAnsi="Calibri" w:cs="Arial"/>
      <w:i/>
      <w:sz w:val="20"/>
      <w:szCs w:val="18"/>
    </w:rPr>
  </w:style>
  <w:style w:type="paragraph" w:customStyle="1" w:styleId="Qyestion">
    <w:name w:val="Qyestion"/>
    <w:link w:val="QyestionChar"/>
    <w:qFormat/>
    <w:rsid w:val="00641B88"/>
    <w:rPr>
      <w:rFonts w:ascii="Candara" w:eastAsia="Times New Roman" w:hAnsi="Candara"/>
      <w:b/>
      <w:szCs w:val="24"/>
    </w:rPr>
  </w:style>
  <w:style w:type="paragraph" w:customStyle="1" w:styleId="TOCHeading2">
    <w:name w:val="TOCHeading2"/>
    <w:basedOn w:val="TOCChapterPage-IPR"/>
    <w:link w:val="TOCHeading2Char"/>
    <w:qFormat/>
    <w:rsid w:val="00641B88"/>
    <w:pPr>
      <w:pBdr>
        <w:bottom w:val="dotted" w:sz="4" w:space="1" w:color="auto"/>
      </w:pBdr>
      <w:tabs>
        <w:tab w:val="left" w:pos="720"/>
      </w:tabs>
      <w:spacing w:before="360" w:after="120"/>
    </w:pPr>
    <w:rPr>
      <w:rFonts w:ascii="Candara" w:hAnsi="Candara"/>
      <w:caps w:val="0"/>
      <w:color w:val="B12732"/>
      <w:sz w:val="28"/>
      <w:szCs w:val="28"/>
    </w:rPr>
  </w:style>
  <w:style w:type="character" w:customStyle="1" w:styleId="QyestionChar">
    <w:name w:val="Qyestion Char"/>
    <w:basedOn w:val="DefaultParagraphFont"/>
    <w:link w:val="Qyestion"/>
    <w:rsid w:val="00641B88"/>
    <w:rPr>
      <w:rFonts w:ascii="Candara" w:eastAsia="Times New Roman" w:hAnsi="Candara"/>
      <w:b/>
      <w:szCs w:val="24"/>
    </w:rPr>
  </w:style>
  <w:style w:type="character" w:customStyle="1" w:styleId="TOCHeading2Char">
    <w:name w:val="TOCHeading2 Char"/>
    <w:basedOn w:val="TOCChapterPage-IPRChar"/>
    <w:link w:val="TOCHeading2"/>
    <w:rsid w:val="00641B88"/>
    <w:rPr>
      <w:rFonts w:ascii="Candara" w:eastAsia="Times New Roman" w:hAnsi="Candara" w:cs="Arial"/>
      <w:b/>
      <w:caps w:val="0"/>
      <w:color w:val="B12732"/>
      <w:sz w:val="28"/>
      <w:szCs w:val="28"/>
    </w:rPr>
  </w:style>
  <w:style w:type="paragraph" w:customStyle="1" w:styleId="BodyTextMemo">
    <w:name w:val="Body Text Memo"/>
    <w:link w:val="BodyTextMemoChar"/>
    <w:qFormat/>
    <w:rsid w:val="00CA2057"/>
    <w:pPr>
      <w:spacing w:line="480" w:lineRule="auto"/>
      <w:jc w:val="both"/>
    </w:pPr>
    <w:rPr>
      <w:rFonts w:eastAsia="Calibri"/>
    </w:rPr>
  </w:style>
  <w:style w:type="character" w:customStyle="1" w:styleId="BodyTextMemoChar">
    <w:name w:val="Body Text Memo Char"/>
    <w:link w:val="BodyTextMemo"/>
    <w:rsid w:val="00CA2057"/>
    <w:rPr>
      <w:rFonts w:eastAsia="Calibri"/>
    </w:rPr>
  </w:style>
  <w:style w:type="paragraph" w:customStyle="1" w:styleId="TableParagraph">
    <w:name w:val="Table Paragraph"/>
    <w:basedOn w:val="Normal"/>
    <w:uiPriority w:val="1"/>
    <w:qFormat/>
    <w:rsid w:val="003D5F5A"/>
    <w:pPr>
      <w:widowControl w:val="0"/>
      <w:autoSpaceDE w:val="0"/>
      <w:autoSpaceDN w:val="0"/>
    </w:pPr>
    <w:rPr>
      <w:rFonts w:ascii="Calibri" w:eastAsia="Calibri" w:hAnsi="Calibri" w:cs="Calibri"/>
      <w:sz w:val="22"/>
      <w:szCs w:val="22"/>
    </w:rPr>
  </w:style>
  <w:style w:type="paragraph" w:customStyle="1" w:styleId="TableHeaderRow-IPR">
    <w:name w:val="TableHeaderRow-IPR"/>
    <w:link w:val="TableHeaderRow-IPRChar"/>
    <w:qFormat/>
    <w:rsid w:val="002B1B42"/>
    <w:pPr>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2B1B42"/>
    <w:rPr>
      <w:rFonts w:ascii="Lucida Sans" w:eastAsia="Times New Roman" w:hAnsi="Lucida Sans" w:cs="Lucida Sans Unicode"/>
      <w:b/>
      <w:sz w:val="18"/>
      <w:szCs w:val="24"/>
    </w:rPr>
  </w:style>
  <w:style w:type="paragraph" w:customStyle="1" w:styleId="FtnteTable-IPR">
    <w:name w:val="FtnteTable-IPR"/>
    <w:link w:val="FtnteTable-IPRChar"/>
    <w:qFormat/>
    <w:rsid w:val="002B1B42"/>
    <w:pPr>
      <w:spacing w:before="60" w:after="240"/>
      <w:contextualSpacing/>
    </w:pPr>
    <w:rPr>
      <w:rFonts w:ascii="Calibri" w:eastAsia="Calibri" w:hAnsi="Calibri" w:cs="Calibri"/>
      <w:sz w:val="18"/>
      <w:szCs w:val="20"/>
    </w:rPr>
  </w:style>
  <w:style w:type="character" w:customStyle="1" w:styleId="FtnteTable-IPRChar">
    <w:name w:val="FtnteTable-IPR Char"/>
    <w:basedOn w:val="DefaultParagraphFont"/>
    <w:link w:val="FtnteTable-IPR"/>
    <w:rsid w:val="002B1B42"/>
    <w:rPr>
      <w:rFonts w:ascii="Calibri" w:eastAsia="Calibri" w:hAnsi="Calibri" w:cs="Calibri"/>
      <w:sz w:val="18"/>
      <w:szCs w:val="20"/>
    </w:rPr>
  </w:style>
  <w:style w:type="character" w:customStyle="1" w:styleId="Body11ptCalibrDBi-IPRChar">
    <w:name w:val="Body11ptCalibrDBi-IPR Char"/>
    <w:basedOn w:val="DefaultParagraphFont"/>
    <w:link w:val="Body11ptCalibrDBi-IPR"/>
    <w:locked/>
    <w:rsid w:val="00760053"/>
    <w:rPr>
      <w:rFonts w:ascii="Calibri" w:eastAsia="Times New Roman" w:hAnsi="Calibri" w:cs="Calibri"/>
      <w:szCs w:val="24"/>
    </w:rPr>
  </w:style>
  <w:style w:type="paragraph" w:customStyle="1" w:styleId="Body11ptCalibrDBi-IPR">
    <w:name w:val="Body11ptCalibrDBi-IPR"/>
    <w:link w:val="Body11ptCalibrDBi-IPRChar"/>
    <w:qFormat/>
    <w:rsid w:val="00760053"/>
    <w:pPr>
      <w:spacing w:after="120" w:line="480" w:lineRule="exact"/>
    </w:pPr>
    <w:rPr>
      <w:rFonts w:ascii="Calibri" w:eastAsia="Times New Roman" w:hAnsi="Calibri" w:cs="Calibri"/>
      <w:szCs w:val="24"/>
    </w:rPr>
  </w:style>
  <w:style w:type="paragraph" w:styleId="NoSpacing">
    <w:name w:val="No Spacing"/>
    <w:uiPriority w:val="1"/>
    <w:qFormat/>
    <w:rsid w:val="00A77A82"/>
    <w:rPr>
      <w:rFonts w:asciiTheme="minorHAnsi" w:hAnsiTheme="minorHAnsi" w:cstheme="minorBidi"/>
    </w:rPr>
  </w:style>
  <w:style w:type="table" w:styleId="PlainTable1">
    <w:name w:val="Plain Table 1"/>
    <w:basedOn w:val="TableNormal"/>
    <w:uiPriority w:val="99"/>
    <w:rsid w:val="002D3C5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nsightTable1">
    <w:name w:val="Insight Table1"/>
    <w:basedOn w:val="TableNormal"/>
    <w:uiPriority w:val="99"/>
    <w:rsid w:val="00EC63B1"/>
    <w:rPr>
      <w:rFonts w:ascii="Calibri" w:hAnsi="Calibri"/>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58" w:type="dxa"/>
        <w:right w:w="58" w:type="dxa"/>
      </w:tblCellMar>
    </w:tblPr>
    <w:tcPr>
      <w:tcMar>
        <w:left w:w="58" w:type="dxa"/>
        <w:right w:w="58" w:type="dxa"/>
      </w:tcMar>
      <w:vAlign w:val="center"/>
    </w:tcPr>
    <w:tblStylePr w:type="firstRow">
      <w:pPr>
        <w:jc w:val="center"/>
      </w:pPr>
      <w:rPr>
        <w:rFonts w:ascii="Century Gothic" w:hAnsi="Century Gothic"/>
        <w:sz w:val="20"/>
      </w:rPr>
      <w:tblPr/>
      <w:tcPr>
        <w:tcBorders>
          <w:top w:val="single" w:sz="8" w:space="0" w:color="B12732"/>
          <w:left w:val="nil"/>
          <w:bottom w:val="single" w:sz="8" w:space="0" w:color="B12732"/>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1F6B1A"/>
    <w:rPr>
      <w:color w:val="605E5C"/>
      <w:shd w:val="clear" w:color="auto" w:fill="E1DFDD"/>
    </w:rPr>
  </w:style>
  <w:style w:type="paragraph" w:customStyle="1" w:styleId="TableTextLeft">
    <w:name w:val="Table Text Left"/>
    <w:qFormat/>
    <w:rsid w:val="002B0C69"/>
    <w:pPr>
      <w:spacing w:before="40" w:after="20" w:line="264" w:lineRule="auto"/>
    </w:pPr>
    <w:rPr>
      <w:rFonts w:asciiTheme="majorHAnsi" w:hAnsiTheme="majorHAnsi" w:cstheme="minorBidi"/>
      <w:color w:val="000000" w:themeColor="text1"/>
      <w:sz w:val="18"/>
    </w:rPr>
  </w:style>
  <w:style w:type="paragraph" w:customStyle="1" w:styleId="ParagraphContinued">
    <w:name w:val="Paragraph Continued"/>
    <w:basedOn w:val="Normal"/>
    <w:next w:val="Normal"/>
    <w:qFormat/>
    <w:rsid w:val="002B0C69"/>
    <w:pPr>
      <w:spacing w:before="160" w:after="160" w:line="264" w:lineRule="auto"/>
    </w:pPr>
    <w:rPr>
      <w:rFonts w:asciiTheme="minorHAnsi" w:eastAsiaTheme="minorHAnsi" w:hAnsiTheme="minorHAnsi" w:cstheme="minorBidi"/>
      <w:sz w:val="22"/>
      <w:szCs w:val="22"/>
    </w:rPr>
  </w:style>
  <w:style w:type="paragraph" w:styleId="List">
    <w:name w:val="List"/>
    <w:basedOn w:val="Normal"/>
    <w:uiPriority w:val="99"/>
    <w:rsid w:val="002B0C69"/>
    <w:pPr>
      <w:numPr>
        <w:numId w:val="37"/>
      </w:numPr>
      <w:spacing w:after="80" w:line="264" w:lineRule="auto"/>
    </w:pPr>
    <w:rPr>
      <w:rFonts w:asciiTheme="minorHAnsi" w:eastAsiaTheme="minorHAnsi" w:hAnsiTheme="minorHAnsi" w:cstheme="minorBidi"/>
      <w:sz w:val="22"/>
      <w:szCs w:val="22"/>
    </w:rPr>
  </w:style>
  <w:style w:type="paragraph" w:customStyle="1" w:styleId="TableTitle">
    <w:name w:val="Table Title"/>
    <w:basedOn w:val="Normal"/>
    <w:uiPriority w:val="1"/>
    <w:qFormat/>
    <w:rsid w:val="002B0C69"/>
    <w:pPr>
      <w:keepNext/>
      <w:keepLines/>
      <w:spacing w:before="40" w:after="40" w:line="264" w:lineRule="auto"/>
    </w:pPr>
    <w:rPr>
      <w:rFonts w:asciiTheme="majorHAnsi" w:eastAsiaTheme="minorHAnsi" w:hAnsiTheme="majorHAnsi" w:cstheme="minorBidi"/>
      <w:b/>
      <w:color w:val="000000" w:themeColor="text1"/>
      <w:sz w:val="20"/>
      <w:szCs w:val="22"/>
    </w:rPr>
  </w:style>
  <w:style w:type="paragraph" w:styleId="List2">
    <w:name w:val="List 2"/>
    <w:basedOn w:val="Normal"/>
    <w:uiPriority w:val="99"/>
    <w:rsid w:val="002B0C69"/>
    <w:pPr>
      <w:numPr>
        <w:ilvl w:val="1"/>
        <w:numId w:val="37"/>
      </w:numPr>
      <w:spacing w:after="160" w:line="264" w:lineRule="auto"/>
      <w:contextualSpacing/>
    </w:pPr>
    <w:rPr>
      <w:rFonts w:asciiTheme="minorHAnsi" w:eastAsiaTheme="minorHAnsi" w:hAnsiTheme="minorHAnsi" w:cstheme="minorBidi"/>
      <w:sz w:val="22"/>
      <w:szCs w:val="22"/>
    </w:rPr>
  </w:style>
  <w:style w:type="paragraph" w:styleId="List3">
    <w:name w:val="List 3"/>
    <w:basedOn w:val="Normal"/>
    <w:uiPriority w:val="99"/>
    <w:rsid w:val="002B0C69"/>
    <w:pPr>
      <w:numPr>
        <w:ilvl w:val="2"/>
        <w:numId w:val="37"/>
      </w:numPr>
      <w:spacing w:after="160" w:line="264" w:lineRule="auto"/>
      <w:contextualSpacing/>
    </w:pPr>
    <w:rPr>
      <w:rFonts w:asciiTheme="minorHAnsi" w:eastAsiaTheme="minorHAnsi" w:hAnsiTheme="minorHAnsi" w:cstheme="minorBidi"/>
      <w:sz w:val="22"/>
      <w:szCs w:val="22"/>
    </w:rPr>
  </w:style>
  <w:style w:type="paragraph" w:customStyle="1" w:styleId="ListAlpha3">
    <w:name w:val="List Alpha 3"/>
    <w:basedOn w:val="List3"/>
    <w:uiPriority w:val="1"/>
    <w:qFormat/>
    <w:rsid w:val="002B0C69"/>
    <w:pPr>
      <w:numPr>
        <w:ilvl w:val="0"/>
        <w:numId w:val="36"/>
      </w:numPr>
      <w:spacing w:after="80"/>
      <w:contextualSpacing w:val="0"/>
    </w:pPr>
  </w:style>
  <w:style w:type="paragraph" w:styleId="List4">
    <w:name w:val="List 4"/>
    <w:basedOn w:val="Normal"/>
    <w:uiPriority w:val="99"/>
    <w:rsid w:val="002B0C69"/>
    <w:pPr>
      <w:numPr>
        <w:ilvl w:val="3"/>
        <w:numId w:val="37"/>
      </w:numPr>
      <w:spacing w:after="160" w:line="264" w:lineRule="auto"/>
      <w:contextualSpacing/>
    </w:pPr>
    <w:rPr>
      <w:rFonts w:asciiTheme="minorHAnsi" w:eastAsiaTheme="minorHAnsi" w:hAnsiTheme="minorHAnsi" w:cstheme="minorBidi"/>
      <w:sz w:val="22"/>
      <w:szCs w:val="22"/>
    </w:rPr>
  </w:style>
  <w:style w:type="paragraph" w:styleId="List5">
    <w:name w:val="List 5"/>
    <w:basedOn w:val="Normal"/>
    <w:uiPriority w:val="99"/>
    <w:rsid w:val="002B0C69"/>
    <w:pPr>
      <w:numPr>
        <w:ilvl w:val="4"/>
        <w:numId w:val="37"/>
      </w:numPr>
      <w:spacing w:after="160" w:line="264"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6577">
      <w:bodyDiv w:val="1"/>
      <w:marLeft w:val="0"/>
      <w:marRight w:val="0"/>
      <w:marTop w:val="0"/>
      <w:marBottom w:val="0"/>
      <w:divBdr>
        <w:top w:val="none" w:sz="0" w:space="0" w:color="auto"/>
        <w:left w:val="none" w:sz="0" w:space="0" w:color="auto"/>
        <w:bottom w:val="none" w:sz="0" w:space="0" w:color="auto"/>
        <w:right w:val="none" w:sz="0" w:space="0" w:color="auto"/>
      </w:divBdr>
    </w:div>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175310503">
      <w:bodyDiv w:val="1"/>
      <w:marLeft w:val="0"/>
      <w:marRight w:val="0"/>
      <w:marTop w:val="0"/>
      <w:marBottom w:val="0"/>
      <w:divBdr>
        <w:top w:val="none" w:sz="0" w:space="0" w:color="auto"/>
        <w:left w:val="none" w:sz="0" w:space="0" w:color="auto"/>
        <w:bottom w:val="none" w:sz="0" w:space="0" w:color="auto"/>
        <w:right w:val="none" w:sz="0" w:space="0" w:color="auto"/>
      </w:divBdr>
    </w:div>
    <w:div w:id="376589725">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506988080">
      <w:bodyDiv w:val="1"/>
      <w:marLeft w:val="0"/>
      <w:marRight w:val="0"/>
      <w:marTop w:val="0"/>
      <w:marBottom w:val="0"/>
      <w:divBdr>
        <w:top w:val="none" w:sz="0" w:space="0" w:color="auto"/>
        <w:left w:val="none" w:sz="0" w:space="0" w:color="auto"/>
        <w:bottom w:val="none" w:sz="0" w:space="0" w:color="auto"/>
        <w:right w:val="none" w:sz="0" w:space="0" w:color="auto"/>
      </w:divBdr>
    </w:div>
    <w:div w:id="543953767">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702899197">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1022441913">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303467654">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18352797">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81340137">
      <w:bodyDiv w:val="1"/>
      <w:marLeft w:val="0"/>
      <w:marRight w:val="0"/>
      <w:marTop w:val="0"/>
      <w:marBottom w:val="0"/>
      <w:divBdr>
        <w:top w:val="none" w:sz="0" w:space="0" w:color="auto"/>
        <w:left w:val="none" w:sz="0" w:space="0" w:color="auto"/>
        <w:bottom w:val="none" w:sz="0" w:space="0" w:color="auto"/>
        <w:right w:val="none" w:sz="0" w:space="0" w:color="auto"/>
      </w:divBdr>
    </w:div>
    <w:div w:id="1811360469">
      <w:bodyDiv w:val="1"/>
      <w:marLeft w:val="0"/>
      <w:marRight w:val="0"/>
      <w:marTop w:val="0"/>
      <w:marBottom w:val="0"/>
      <w:divBdr>
        <w:top w:val="none" w:sz="0" w:space="0" w:color="auto"/>
        <w:left w:val="none" w:sz="0" w:space="0" w:color="auto"/>
        <w:bottom w:val="none" w:sz="0" w:space="0" w:color="auto"/>
        <w:right w:val="none" w:sz="0" w:space="0" w:color="auto"/>
      </w:divBdr>
    </w:div>
    <w:div w:id="1875188437">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ns.usda.gov/sites/default/files/FarmersMarkets-Shopping-Patter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AA28-9343-4BD2-8781-E892E0C9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9439</Words>
  <Characters>53805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Ayo</dc:creator>
  <cp:lastModifiedBy>Corey, Kristen - FNS</cp:lastModifiedBy>
  <cp:revision>3</cp:revision>
  <cp:lastPrinted>2021-07-27T12:26:00Z</cp:lastPrinted>
  <dcterms:created xsi:type="dcterms:W3CDTF">2022-05-04T18:35:00Z</dcterms:created>
  <dcterms:modified xsi:type="dcterms:W3CDTF">2022-05-04T18:35:00Z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