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3FBA" w:rsidRPr="009E61D7" w:rsidP="008B3FBA" w14:paraId="64D04353" w14:textId="77777777">
      <w:pPr>
        <w:pStyle w:val="Heading1"/>
        <w:keepNext w:val="0"/>
        <w:keepLines w:val="0"/>
        <w:spacing w:before="0" w:after="0" w:line="240" w:lineRule="auto"/>
        <w:jc w:val="center"/>
        <w:rPr>
          <w:rFonts w:ascii="Times New Roman" w:hAnsi="Times New Roman" w:cs="Times New Roman"/>
          <w:b/>
          <w:sz w:val="24"/>
          <w:szCs w:val="24"/>
        </w:rPr>
      </w:pPr>
      <w:bookmarkStart w:id="0" w:name="_heading=h.gjdgxs" w:colFirst="0" w:colLast="0"/>
      <w:bookmarkStart w:id="1" w:name="_jb492r6ik0nj" w:colFirst="0" w:colLast="0"/>
      <w:bookmarkEnd w:id="0"/>
      <w:bookmarkEnd w:id="1"/>
      <w:r w:rsidRPr="00342723">
        <w:rPr>
          <w:rFonts w:ascii="Times New Roman" w:hAnsi="Times New Roman" w:cs="Times New Roman"/>
          <w:b/>
          <w:sz w:val="24"/>
          <w:szCs w:val="24"/>
        </w:rPr>
        <w:t>SUPPORTING STATEMENT</w:t>
      </w:r>
    </w:p>
    <w:p w:rsidR="008B3FBA" w:rsidRPr="00342723" w:rsidP="008B3FBA" w14:paraId="24B3B9B9" w14:textId="77777777">
      <w:pPr>
        <w:spacing w:line="240" w:lineRule="auto"/>
        <w:ind w:firstLine="20"/>
        <w:jc w:val="center"/>
        <w:rPr>
          <w:rFonts w:ascii="Times New Roman" w:hAnsi="Times New Roman" w:cs="Times New Roman"/>
          <w:b/>
          <w:sz w:val="24"/>
          <w:szCs w:val="24"/>
        </w:rPr>
      </w:pPr>
      <w:r w:rsidRPr="00342723">
        <w:rPr>
          <w:rFonts w:ascii="Times New Roman" w:hAnsi="Times New Roman" w:cs="Times New Roman"/>
          <w:b/>
          <w:sz w:val="24"/>
          <w:szCs w:val="24"/>
        </w:rPr>
        <w:t>U.S. Department of Commerce</w:t>
      </w:r>
    </w:p>
    <w:p w:rsidR="008B3FBA" w:rsidRPr="00342723" w:rsidP="008B3FBA" w14:paraId="1DE8A2BC" w14:textId="77777777">
      <w:pPr>
        <w:spacing w:line="240" w:lineRule="auto"/>
        <w:ind w:firstLine="20"/>
        <w:jc w:val="center"/>
        <w:rPr>
          <w:rFonts w:ascii="Times New Roman" w:hAnsi="Times New Roman" w:cs="Times New Roman"/>
          <w:b/>
          <w:sz w:val="24"/>
          <w:szCs w:val="24"/>
        </w:rPr>
      </w:pPr>
      <w:r w:rsidRPr="00342723">
        <w:rPr>
          <w:rFonts w:ascii="Times New Roman" w:hAnsi="Times New Roman" w:cs="Times New Roman"/>
          <w:b/>
          <w:sz w:val="24"/>
          <w:szCs w:val="24"/>
        </w:rPr>
        <w:t>National Oceanic and Atmospheric Administration</w:t>
      </w:r>
    </w:p>
    <w:p w:rsidR="008B3FBA" w:rsidRPr="00342723" w:rsidP="008B3FBA" w14:paraId="00B7C671" w14:textId="77777777">
      <w:pPr>
        <w:spacing w:line="240" w:lineRule="auto"/>
        <w:jc w:val="center"/>
        <w:rPr>
          <w:rFonts w:ascii="Times New Roman" w:hAnsi="Times New Roman" w:cs="Times New Roman"/>
          <w:b/>
          <w:sz w:val="24"/>
          <w:szCs w:val="24"/>
        </w:rPr>
      </w:pPr>
      <w:r w:rsidRPr="00342723">
        <w:rPr>
          <w:rFonts w:ascii="Times New Roman" w:hAnsi="Times New Roman" w:cs="Times New Roman"/>
          <w:b/>
          <w:color w:val="000000"/>
          <w:sz w:val="24"/>
          <w:szCs w:val="24"/>
          <w:shd w:val="clear" w:color="auto" w:fill="FFFFFF"/>
        </w:rPr>
        <w:t>Gear-Marking Requirement for Atlantic Large Whale Take Reduction Plan</w:t>
      </w:r>
    </w:p>
    <w:p w:rsidR="008B3FBA" w:rsidRPr="00CB583F" w:rsidP="008B3FBA" w14:paraId="25447CBF" w14:textId="77777777">
      <w:pPr>
        <w:spacing w:line="240" w:lineRule="auto"/>
        <w:jc w:val="center"/>
        <w:rPr>
          <w:rFonts w:ascii="Times New Roman" w:hAnsi="Times New Roman" w:cs="Times New Roman"/>
          <w:b/>
          <w:sz w:val="24"/>
          <w:szCs w:val="24"/>
        </w:rPr>
      </w:pPr>
      <w:r w:rsidRPr="00342723">
        <w:rPr>
          <w:rFonts w:ascii="Times New Roman" w:hAnsi="Times New Roman" w:cs="Times New Roman"/>
          <w:b/>
          <w:sz w:val="24"/>
          <w:szCs w:val="24"/>
        </w:rPr>
        <w:t>OMB Control No. 0648-0364</w:t>
      </w:r>
    </w:p>
    <w:p w:rsidR="00447C1F" w:rsidP="008B3FBA" w14:paraId="66384090" w14:textId="77777777">
      <w:pPr>
        <w:spacing w:line="240" w:lineRule="auto"/>
        <w:rPr>
          <w:rFonts w:ascii="Times New Roman" w:eastAsia="Times New Roman" w:hAnsi="Times New Roman" w:cs="Times New Roman"/>
          <w:b/>
          <w:color w:val="1F497D"/>
        </w:rPr>
      </w:pPr>
    </w:p>
    <w:p w:rsidR="00447C1F" w14:paraId="1711B9D8" w14:textId="77777777">
      <w:pPr>
        <w:spacing w:line="240" w:lineRule="auto"/>
        <w:rPr>
          <w:rFonts w:ascii="Times New Roman" w:eastAsia="Times New Roman" w:hAnsi="Times New Roman" w:cs="Times New Roman"/>
          <w:b/>
          <w:color w:val="1F497D"/>
        </w:rPr>
      </w:pPr>
    </w:p>
    <w:p w:rsidR="00447C1F" w:rsidRPr="008B3FBA" w14:paraId="1E134BAB" w14:textId="77777777">
      <w:pPr>
        <w:spacing w:line="240" w:lineRule="auto"/>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Abstract</w:t>
      </w:r>
    </w:p>
    <w:p w:rsidR="00447C1F" w:rsidRPr="008B3FBA" w14:paraId="654A9B70" w14:textId="77777777">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 xml:space="preserve"> </w:t>
      </w:r>
    </w:p>
    <w:p w:rsidR="00447C1F" w14:paraId="58F7B205" w14:textId="708575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request is for extension of a currently approved information collection. </w:t>
      </w:r>
      <w:r w:rsidRPr="008B3FBA" w:rsidR="003365D0">
        <w:rPr>
          <w:rFonts w:ascii="Times New Roman" w:eastAsia="Times New Roman" w:hAnsi="Times New Roman" w:cs="Times New Roman"/>
          <w:sz w:val="24"/>
          <w:szCs w:val="24"/>
        </w:rPr>
        <w:t>In 1996, pursuant to section 118 of the MMPA, the National Marine Fisheries Service (NMFS) established and convened an Atlantic Large Whale Take Reduction Team (Team) to assist in the development of the Atlantic Large Whale Take Reduction Plan (Plan).  Throughout this process, the Team has provided NMFS with recommended measures designed to reduce serious injury and mortality to North Atlantic right (</w:t>
      </w:r>
      <w:r w:rsidRPr="008B3FBA" w:rsidR="003365D0">
        <w:rPr>
          <w:rFonts w:ascii="Times New Roman" w:eastAsia="Times New Roman" w:hAnsi="Times New Roman" w:cs="Times New Roman"/>
          <w:i/>
          <w:sz w:val="24"/>
          <w:szCs w:val="24"/>
        </w:rPr>
        <w:t>Eubalaena</w:t>
      </w:r>
      <w:r w:rsidRPr="008B3FBA" w:rsidR="003365D0">
        <w:rPr>
          <w:rFonts w:ascii="Times New Roman" w:eastAsia="Times New Roman" w:hAnsi="Times New Roman" w:cs="Times New Roman"/>
          <w:i/>
          <w:sz w:val="24"/>
          <w:szCs w:val="24"/>
        </w:rPr>
        <w:t xml:space="preserve"> </w:t>
      </w:r>
      <w:r w:rsidRPr="008B3FBA" w:rsidR="003365D0">
        <w:rPr>
          <w:rFonts w:ascii="Times New Roman" w:eastAsia="Times New Roman" w:hAnsi="Times New Roman" w:cs="Times New Roman"/>
          <w:i/>
          <w:sz w:val="24"/>
          <w:szCs w:val="24"/>
        </w:rPr>
        <w:t>glacialis</w:t>
      </w:r>
      <w:r w:rsidRPr="008B3FBA" w:rsidR="003365D0">
        <w:rPr>
          <w:rFonts w:ascii="Times New Roman" w:eastAsia="Times New Roman" w:hAnsi="Times New Roman" w:cs="Times New Roman"/>
          <w:sz w:val="24"/>
          <w:szCs w:val="24"/>
        </w:rPr>
        <w:t xml:space="preserve">), humpback </w:t>
      </w:r>
      <w:r w:rsidRPr="008B3FBA" w:rsidR="003365D0">
        <w:rPr>
          <w:rFonts w:ascii="Times New Roman" w:eastAsia="Times New Roman" w:hAnsi="Times New Roman" w:cs="Times New Roman"/>
          <w:i/>
          <w:sz w:val="24"/>
          <w:szCs w:val="24"/>
        </w:rPr>
        <w:t>(</w:t>
      </w:r>
      <w:r w:rsidRPr="008B3FBA" w:rsidR="003365D0">
        <w:rPr>
          <w:rFonts w:ascii="Times New Roman" w:eastAsia="Times New Roman" w:hAnsi="Times New Roman" w:cs="Times New Roman"/>
          <w:i/>
          <w:sz w:val="24"/>
          <w:szCs w:val="24"/>
        </w:rPr>
        <w:t>Megaptera</w:t>
      </w:r>
      <w:r w:rsidRPr="008B3FBA" w:rsidR="003365D0">
        <w:rPr>
          <w:rFonts w:ascii="Times New Roman" w:eastAsia="Times New Roman" w:hAnsi="Times New Roman" w:cs="Times New Roman"/>
          <w:i/>
          <w:sz w:val="24"/>
          <w:szCs w:val="24"/>
        </w:rPr>
        <w:t xml:space="preserve"> </w:t>
      </w:r>
      <w:r w:rsidRPr="008B3FBA" w:rsidR="003365D0">
        <w:rPr>
          <w:rFonts w:ascii="Times New Roman" w:eastAsia="Times New Roman" w:hAnsi="Times New Roman" w:cs="Times New Roman"/>
          <w:i/>
          <w:sz w:val="24"/>
          <w:szCs w:val="24"/>
        </w:rPr>
        <w:t>novaeangliae</w:t>
      </w:r>
      <w:r w:rsidRPr="008B3FBA" w:rsidR="003365D0">
        <w:rPr>
          <w:rFonts w:ascii="Times New Roman" w:eastAsia="Times New Roman" w:hAnsi="Times New Roman" w:cs="Times New Roman"/>
          <w:sz w:val="24"/>
          <w:szCs w:val="24"/>
        </w:rPr>
        <w:t xml:space="preserve">), </w:t>
      </w:r>
      <w:r w:rsidRPr="008B3FBA" w:rsidR="003365D0">
        <w:rPr>
          <w:rFonts w:ascii="Times New Roman" w:eastAsia="Times New Roman" w:hAnsi="Times New Roman" w:cs="Times New Roman"/>
          <w:sz w:val="24"/>
          <w:szCs w:val="24"/>
        </w:rPr>
        <w:t>minke</w:t>
      </w:r>
      <w:r w:rsidRPr="008B3FBA" w:rsidR="003365D0">
        <w:rPr>
          <w:rFonts w:ascii="Times New Roman" w:eastAsia="Times New Roman" w:hAnsi="Times New Roman" w:cs="Times New Roman"/>
          <w:sz w:val="24"/>
          <w:szCs w:val="24"/>
        </w:rPr>
        <w:t xml:space="preserve"> (</w:t>
      </w:r>
      <w:r w:rsidRPr="008B3FBA" w:rsidR="003365D0">
        <w:rPr>
          <w:rFonts w:ascii="Times New Roman" w:eastAsia="Times New Roman" w:hAnsi="Times New Roman" w:cs="Times New Roman"/>
          <w:i/>
          <w:sz w:val="24"/>
          <w:szCs w:val="24"/>
        </w:rPr>
        <w:t>Balaenoptera</w:t>
      </w:r>
      <w:r w:rsidRPr="008B3FBA" w:rsidR="003365D0">
        <w:rPr>
          <w:rFonts w:ascii="Times New Roman" w:eastAsia="Times New Roman" w:hAnsi="Times New Roman" w:cs="Times New Roman"/>
          <w:i/>
          <w:sz w:val="24"/>
          <w:szCs w:val="24"/>
        </w:rPr>
        <w:t xml:space="preserve"> </w:t>
      </w:r>
      <w:r w:rsidRPr="008B3FBA" w:rsidR="003365D0">
        <w:rPr>
          <w:rFonts w:ascii="Times New Roman" w:eastAsia="Times New Roman" w:hAnsi="Times New Roman" w:cs="Times New Roman"/>
          <w:i/>
          <w:sz w:val="24"/>
          <w:szCs w:val="24"/>
        </w:rPr>
        <w:t>acutorostrata</w:t>
      </w:r>
      <w:r w:rsidRPr="008B3FBA" w:rsidR="003365D0">
        <w:rPr>
          <w:rFonts w:ascii="Times New Roman" w:eastAsia="Times New Roman" w:hAnsi="Times New Roman" w:cs="Times New Roman"/>
          <w:sz w:val="24"/>
          <w:szCs w:val="24"/>
        </w:rPr>
        <w:t>), and fin (</w:t>
      </w:r>
      <w:r w:rsidRPr="008B3FBA" w:rsidR="003365D0">
        <w:rPr>
          <w:rFonts w:ascii="Times New Roman" w:eastAsia="Times New Roman" w:hAnsi="Times New Roman" w:cs="Times New Roman"/>
          <w:i/>
          <w:sz w:val="24"/>
          <w:szCs w:val="24"/>
        </w:rPr>
        <w:t>Balaenoptera</w:t>
      </w:r>
      <w:r w:rsidRPr="008B3FBA" w:rsidR="003365D0">
        <w:rPr>
          <w:rFonts w:ascii="Times New Roman" w:eastAsia="Times New Roman" w:hAnsi="Times New Roman" w:cs="Times New Roman"/>
          <w:i/>
          <w:sz w:val="24"/>
          <w:szCs w:val="24"/>
        </w:rPr>
        <w:t xml:space="preserve"> </w:t>
      </w:r>
      <w:r w:rsidRPr="008B3FBA" w:rsidR="003365D0">
        <w:rPr>
          <w:rFonts w:ascii="Times New Roman" w:eastAsia="Times New Roman" w:hAnsi="Times New Roman" w:cs="Times New Roman"/>
          <w:i/>
          <w:sz w:val="24"/>
          <w:szCs w:val="24"/>
        </w:rPr>
        <w:t>physalus</w:t>
      </w:r>
      <w:r w:rsidRPr="008B3FBA" w:rsidR="003365D0">
        <w:rPr>
          <w:rFonts w:ascii="Times New Roman" w:eastAsia="Times New Roman" w:hAnsi="Times New Roman" w:cs="Times New Roman"/>
          <w:sz w:val="24"/>
          <w:szCs w:val="24"/>
        </w:rPr>
        <w:t xml:space="preserve">) whales from incidental interactions with commercial fishing gear.  To gather information on entanglements, the Team developed gear marking requirements.  As a result, any person setting trap/pot or gillnet gear to fish commercially in some areas of the Atlantic Ocean are required to paint or otherwise mark their gear with specific color codes, designating the type of gear and area where it is set, as well as buoy marking requirements. </w:t>
      </w:r>
    </w:p>
    <w:p w:rsidR="00BF7A07" w14:paraId="4B0861DA" w14:textId="2334C47D">
      <w:pPr>
        <w:spacing w:line="240" w:lineRule="auto"/>
        <w:rPr>
          <w:rFonts w:ascii="Times New Roman" w:eastAsia="Times New Roman" w:hAnsi="Times New Roman" w:cs="Times New Roman"/>
          <w:sz w:val="24"/>
          <w:szCs w:val="24"/>
        </w:rPr>
      </w:pPr>
    </w:p>
    <w:p w:rsidR="00BF7A07" w:rsidRPr="00BF7A07" w:rsidP="00BF7A07" w14:paraId="6398C315" w14:textId="77777777">
      <w:pPr>
        <w:spacing w:line="240" w:lineRule="auto"/>
        <w:rPr>
          <w:rFonts w:ascii="Times New Roman" w:hAnsi="Times New Roman" w:cs="Times New Roman"/>
          <w:sz w:val="24"/>
          <w:szCs w:val="24"/>
        </w:rPr>
      </w:pPr>
      <w:bookmarkStart w:id="2" w:name="_GoBack"/>
      <w:bookmarkEnd w:id="2"/>
      <w:r w:rsidRPr="00BF7A07">
        <w:rPr>
          <w:rFonts w:ascii="Times New Roman" w:hAnsi="Times New Roman" w:cs="Times New Roman"/>
          <w:sz w:val="24"/>
          <w:szCs w:val="24"/>
        </w:rPr>
        <w:t xml:space="preserve">NMFS is continuing the gear marking regulations amended in the 2021 rule for the Northeast Region Trap/Pot Management Area (northeast region) commercial trap/pot fisheries because increased gear marking continues to be necessary to improve our understanding of where entanglement incidents occur (RIN 648-BJ09). The gear modifications required by the rule became effective May 1, 2022, which is at the start of the American lobster/Jonah crab fishing year. </w:t>
      </w:r>
    </w:p>
    <w:p w:rsidR="00BF7A07" w:rsidRPr="008B3FBA" w14:paraId="3A62BCA9" w14:textId="77777777">
      <w:pPr>
        <w:spacing w:line="240" w:lineRule="auto"/>
        <w:rPr>
          <w:rFonts w:ascii="Times New Roman" w:eastAsia="Times New Roman" w:hAnsi="Times New Roman" w:cs="Times New Roman"/>
          <w:sz w:val="24"/>
          <w:szCs w:val="24"/>
        </w:rPr>
      </w:pPr>
    </w:p>
    <w:p w:rsidR="00447C1F" w:rsidRPr="008B3FBA" w14:paraId="31754980" w14:textId="77777777">
      <w:pPr>
        <w:spacing w:line="240" w:lineRule="auto"/>
        <w:rPr>
          <w:rFonts w:ascii="Times New Roman" w:eastAsia="Times New Roman" w:hAnsi="Times New Roman" w:cs="Times New Roman"/>
          <w:sz w:val="24"/>
          <w:szCs w:val="24"/>
        </w:rPr>
      </w:pPr>
    </w:p>
    <w:p w:rsidR="00447C1F" w:rsidRPr="008B3FBA" w14:paraId="7B918B9D" w14:textId="77777777">
      <w:pPr>
        <w:spacing w:line="240" w:lineRule="auto"/>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Justification</w:t>
      </w:r>
    </w:p>
    <w:p w:rsidR="00447C1F" w:rsidRPr="008B3FBA" w14:paraId="19A5F741" w14:textId="77777777">
      <w:pPr>
        <w:spacing w:line="240" w:lineRule="auto"/>
        <w:rPr>
          <w:rFonts w:ascii="Times New Roman" w:eastAsia="Times New Roman" w:hAnsi="Times New Roman" w:cs="Times New Roman"/>
          <w:b/>
          <w:sz w:val="24"/>
          <w:szCs w:val="24"/>
        </w:rPr>
      </w:pPr>
    </w:p>
    <w:p w:rsidR="00447C1F" w:rsidRPr="008B3FBA" w14:paraId="0F0B3DC7" w14:textId="77777777">
      <w:pPr>
        <w:spacing w:line="240" w:lineRule="auto"/>
        <w:rPr>
          <w:rFonts w:ascii="Times New Roman" w:eastAsia="Times New Roman" w:hAnsi="Times New Roman" w:cs="Times New Roman"/>
          <w:b/>
          <w:color w:val="2F5496"/>
          <w:sz w:val="24"/>
          <w:szCs w:val="24"/>
          <w:u w:val="single"/>
        </w:rPr>
      </w:pPr>
      <w:r w:rsidRPr="008B3FBA">
        <w:rPr>
          <w:rFonts w:ascii="Times New Roman" w:eastAsia="Times New Roman" w:hAnsi="Times New Roman" w:cs="Times New Roman"/>
          <w:b/>
          <w:sz w:val="24"/>
          <w:szCs w:val="24"/>
        </w:rPr>
        <w:t>1.</w:t>
      </w:r>
      <w:r w:rsidRPr="008B3FBA">
        <w:rPr>
          <w:rFonts w:ascii="Times New Roman" w:eastAsia="Times New Roman" w:hAnsi="Times New Roman" w:cs="Times New Roman"/>
          <w:sz w:val="24"/>
          <w:szCs w:val="24"/>
        </w:rPr>
        <w:tab/>
      </w:r>
      <w:r w:rsidRPr="008B3FBA">
        <w:rPr>
          <w:rFonts w:ascii="Times New Roman" w:eastAsia="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47C1F" w:rsidRPr="008B3FBA" w14:paraId="3D4DA182" w14:textId="77777777">
      <w:pPr>
        <w:spacing w:line="240" w:lineRule="auto"/>
        <w:rPr>
          <w:rFonts w:ascii="Times New Roman" w:eastAsia="Times New Roman" w:hAnsi="Times New Roman" w:cs="Times New Roman"/>
          <w:sz w:val="24"/>
          <w:szCs w:val="24"/>
        </w:rPr>
      </w:pPr>
    </w:p>
    <w:p w:rsidR="00447C1F" w:rsidRPr="008B3FBA" w14:paraId="6639C420" w14:textId="77777777">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As noted above, in 1996, pursuant to section 118 of the MMPA, NMFS established and convened the Team to assist in the development of the Take Reduction Plan.  During this process, the Team provided NMFS with recommended measures designed to reduce serious injury and mortality to North Atlantic right (</w:t>
      </w:r>
      <w:r w:rsidRPr="008B3FBA">
        <w:rPr>
          <w:rFonts w:ascii="Times New Roman" w:eastAsia="Times New Roman" w:hAnsi="Times New Roman" w:cs="Times New Roman"/>
          <w:i/>
          <w:sz w:val="24"/>
          <w:szCs w:val="24"/>
        </w:rPr>
        <w:t>Eubalaena</w:t>
      </w:r>
      <w:r w:rsidRPr="008B3FBA">
        <w:rPr>
          <w:rFonts w:ascii="Times New Roman" w:eastAsia="Times New Roman" w:hAnsi="Times New Roman" w:cs="Times New Roman"/>
          <w:i/>
          <w:sz w:val="24"/>
          <w:szCs w:val="24"/>
        </w:rPr>
        <w:t xml:space="preserve"> </w:t>
      </w:r>
      <w:r w:rsidRPr="008B3FBA">
        <w:rPr>
          <w:rFonts w:ascii="Times New Roman" w:eastAsia="Times New Roman" w:hAnsi="Times New Roman" w:cs="Times New Roman"/>
          <w:i/>
          <w:sz w:val="24"/>
          <w:szCs w:val="24"/>
        </w:rPr>
        <w:t>glacialis</w:t>
      </w:r>
      <w:r w:rsidRPr="008B3FBA">
        <w:rPr>
          <w:rFonts w:ascii="Times New Roman" w:eastAsia="Times New Roman" w:hAnsi="Times New Roman" w:cs="Times New Roman"/>
          <w:sz w:val="24"/>
          <w:szCs w:val="24"/>
        </w:rPr>
        <w:t>), humpback (</w:t>
      </w:r>
      <w:r w:rsidRPr="008B3FBA">
        <w:rPr>
          <w:rFonts w:ascii="Times New Roman" w:eastAsia="Times New Roman" w:hAnsi="Times New Roman" w:cs="Times New Roman"/>
          <w:i/>
          <w:sz w:val="24"/>
          <w:szCs w:val="24"/>
        </w:rPr>
        <w:t>Megaptera</w:t>
      </w:r>
      <w:r w:rsidRPr="008B3FBA">
        <w:rPr>
          <w:rFonts w:ascii="Times New Roman" w:eastAsia="Times New Roman" w:hAnsi="Times New Roman" w:cs="Times New Roman"/>
          <w:i/>
          <w:sz w:val="24"/>
          <w:szCs w:val="24"/>
        </w:rPr>
        <w:t xml:space="preserve"> </w:t>
      </w:r>
      <w:r w:rsidRPr="008B3FBA">
        <w:rPr>
          <w:rFonts w:ascii="Times New Roman" w:eastAsia="Times New Roman" w:hAnsi="Times New Roman" w:cs="Times New Roman"/>
          <w:i/>
          <w:sz w:val="24"/>
          <w:szCs w:val="24"/>
        </w:rPr>
        <w:t>novaeangliae</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sz w:val="24"/>
          <w:szCs w:val="24"/>
        </w:rPr>
        <w:t>minke</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i/>
          <w:sz w:val="24"/>
          <w:szCs w:val="24"/>
        </w:rPr>
        <w:t>Balaenoptera</w:t>
      </w:r>
      <w:r w:rsidRPr="008B3FBA">
        <w:rPr>
          <w:rFonts w:ascii="Times New Roman" w:eastAsia="Times New Roman" w:hAnsi="Times New Roman" w:cs="Times New Roman"/>
          <w:i/>
          <w:sz w:val="24"/>
          <w:szCs w:val="24"/>
        </w:rPr>
        <w:t xml:space="preserve"> </w:t>
      </w:r>
      <w:r w:rsidRPr="008B3FBA">
        <w:rPr>
          <w:rFonts w:ascii="Times New Roman" w:eastAsia="Times New Roman" w:hAnsi="Times New Roman" w:cs="Times New Roman"/>
          <w:i/>
          <w:sz w:val="24"/>
          <w:szCs w:val="24"/>
        </w:rPr>
        <w:t>acutorostrata</w:t>
      </w:r>
      <w:r w:rsidRPr="008B3FBA">
        <w:rPr>
          <w:rFonts w:ascii="Times New Roman" w:eastAsia="Times New Roman" w:hAnsi="Times New Roman" w:cs="Times New Roman"/>
          <w:sz w:val="24"/>
          <w:szCs w:val="24"/>
        </w:rPr>
        <w:t>), and fin (</w:t>
      </w:r>
      <w:r w:rsidRPr="008B3FBA">
        <w:rPr>
          <w:rFonts w:ascii="Times New Roman" w:eastAsia="Times New Roman" w:hAnsi="Times New Roman" w:cs="Times New Roman"/>
          <w:i/>
          <w:sz w:val="24"/>
          <w:szCs w:val="24"/>
        </w:rPr>
        <w:t>Balaenoptera</w:t>
      </w:r>
      <w:r w:rsidRPr="008B3FBA">
        <w:rPr>
          <w:rFonts w:ascii="Times New Roman" w:eastAsia="Times New Roman" w:hAnsi="Times New Roman" w:cs="Times New Roman"/>
          <w:i/>
          <w:sz w:val="24"/>
          <w:szCs w:val="24"/>
        </w:rPr>
        <w:t xml:space="preserve"> </w:t>
      </w:r>
      <w:r w:rsidRPr="008B3FBA">
        <w:rPr>
          <w:rFonts w:ascii="Times New Roman" w:eastAsia="Times New Roman" w:hAnsi="Times New Roman" w:cs="Times New Roman"/>
          <w:i/>
          <w:sz w:val="24"/>
          <w:szCs w:val="24"/>
        </w:rPr>
        <w:t>physalus</w:t>
      </w:r>
      <w:r w:rsidRPr="008B3FBA">
        <w:rPr>
          <w:rFonts w:ascii="Times New Roman" w:eastAsia="Times New Roman" w:hAnsi="Times New Roman" w:cs="Times New Roman"/>
          <w:sz w:val="24"/>
          <w:szCs w:val="24"/>
        </w:rPr>
        <w:t xml:space="preserve">) whales from incidental interactions with commercial fishing gear.  To address the continued entanglement of large whales in commercial fishing gear, NMFS reconvened the Team several times and modified the Plan to include additional measures to gain information on the source of entanglements and to reduce serious injury and mortality from entanglement, including amendments in 2007 (72 FR 57104 which amended 50 CFR 229, 50 CFR 635 and 50 CFR 648) </w:t>
      </w:r>
      <w:r w:rsidRPr="008B3FBA">
        <w:rPr>
          <w:rFonts w:ascii="Times New Roman" w:eastAsia="Times New Roman" w:hAnsi="Times New Roman" w:cs="Times New Roman"/>
          <w:sz w:val="24"/>
          <w:szCs w:val="24"/>
        </w:rPr>
        <w:t>and in 2014 (79 FR 38586 modification to 50 CFR 229).  Modifications included requirements to mark fishing gear to collect important information on the type of gear involved in the incidental mortality and serious injury of entangled whales.  Specifically, fishers are required to mark surface buoys to identify the vessel registration number, vessel documentation number, Federal permit number, or whatever positive identification marking is required by the vessel’s homeport state.  The rope in vertical buoy lines must also be marked; generally requiring three one-foot (30.5 cm) marks within the top, middle, and bottom of the rope.  Large areas have been exempted from the buoy line marking requirements, primarily in state waters.</w:t>
      </w:r>
    </w:p>
    <w:p w:rsidR="00447C1F" w:rsidRPr="008B3FBA" w14:paraId="5125FFE7" w14:textId="77777777">
      <w:pPr>
        <w:spacing w:line="240" w:lineRule="auto"/>
        <w:rPr>
          <w:rFonts w:ascii="Times New Roman" w:eastAsia="Times New Roman" w:hAnsi="Times New Roman" w:cs="Times New Roman"/>
          <w:sz w:val="24"/>
          <w:szCs w:val="24"/>
        </w:rPr>
      </w:pPr>
    </w:p>
    <w:p w:rsidR="00447C1F" w:rsidRPr="008B3FBA" w14:paraId="39D7198F" w14:textId="77777777">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NMFS amend</w:t>
      </w:r>
      <w:r w:rsidRPr="008B3FBA" w:rsidR="00622A68">
        <w:rPr>
          <w:rFonts w:ascii="Times New Roman" w:eastAsia="Times New Roman" w:hAnsi="Times New Roman" w:cs="Times New Roman"/>
          <w:sz w:val="24"/>
          <w:szCs w:val="24"/>
        </w:rPr>
        <w:t>ed</w:t>
      </w:r>
      <w:r w:rsidRPr="008B3FBA">
        <w:rPr>
          <w:rFonts w:ascii="Times New Roman" w:eastAsia="Times New Roman" w:hAnsi="Times New Roman" w:cs="Times New Roman"/>
          <w:sz w:val="24"/>
          <w:szCs w:val="24"/>
        </w:rPr>
        <w:t xml:space="preserve"> the regulations to reduce the incidental mortality and serious injury to large whales in Northeast Region Trap/Pot Management Area commercial trap/pot fisheries to meet the goals of the Marine Mammal Protection Act (MMPA) and the Endangered Species Act (ESA).  The changes involve</w:t>
      </w:r>
      <w:r w:rsidRPr="008B3FBA" w:rsidR="00622A68">
        <w:rPr>
          <w:rFonts w:ascii="Times New Roman" w:eastAsia="Times New Roman" w:hAnsi="Times New Roman" w:cs="Times New Roman"/>
          <w:sz w:val="24"/>
          <w:szCs w:val="24"/>
        </w:rPr>
        <w:t>d</w:t>
      </w:r>
      <w:r w:rsidRPr="008B3FBA">
        <w:rPr>
          <w:rFonts w:ascii="Times New Roman" w:eastAsia="Times New Roman" w:hAnsi="Times New Roman" w:cs="Times New Roman"/>
          <w:sz w:val="24"/>
          <w:szCs w:val="24"/>
        </w:rPr>
        <w:t xml:space="preserve"> a combination of fishing gear modifications and seasonal area buoy line closures aimed at reducing the risk that large whales will be killed or seriously injured as a result of entanglement in U.S. commercial fishing gear.  Increas</w:t>
      </w:r>
      <w:r w:rsidRPr="008B3FBA" w:rsidR="00622A68">
        <w:rPr>
          <w:rFonts w:ascii="Times New Roman" w:eastAsia="Times New Roman" w:hAnsi="Times New Roman" w:cs="Times New Roman"/>
          <w:sz w:val="24"/>
          <w:szCs w:val="24"/>
        </w:rPr>
        <w:t>ed</w:t>
      </w:r>
      <w:r w:rsidRPr="008B3FBA">
        <w:rPr>
          <w:rFonts w:ascii="Times New Roman" w:eastAsia="Times New Roman" w:hAnsi="Times New Roman" w:cs="Times New Roman"/>
          <w:sz w:val="24"/>
          <w:szCs w:val="24"/>
        </w:rPr>
        <w:t xml:space="preserve"> gear marking to improve our understanding of where entanglement incidents occur is also necessary.  When entangling gear is present on a whale, it is not always retrieved, and when gear is retrieved, it cannot always be identified to fishery or location.  The Team discussed measures to increase visibility of marks from vessels and airplanes as well as requiring marks in all waters including those currently exempt.  State-specific gear marking which would provide more resolution than current gear marking was also discussed.  Although the Team did not recommend a specific gear marking amplification scheme there was strong support efforts to expand gear marking to further improve efforts to determine entanglement location.</w:t>
      </w:r>
    </w:p>
    <w:p w:rsidR="00447C1F" w:rsidRPr="008B3FBA" w14:paraId="0BFC5839" w14:textId="77777777">
      <w:pPr>
        <w:spacing w:line="240" w:lineRule="auto"/>
        <w:rPr>
          <w:rFonts w:ascii="Times New Roman" w:eastAsia="Times New Roman" w:hAnsi="Times New Roman" w:cs="Times New Roman"/>
          <w:sz w:val="24"/>
          <w:szCs w:val="24"/>
        </w:rPr>
      </w:pPr>
    </w:p>
    <w:p w:rsidR="00A4490D" w:rsidRPr="008B3FBA" w:rsidP="00A4490D" w14:paraId="41D5018D" w14:textId="651347E6">
      <w:pPr>
        <w:pStyle w:val="NormalWeb"/>
        <w:spacing w:before="0" w:beforeAutospacing="0" w:after="0" w:afterAutospacing="0"/>
      </w:pPr>
      <w:r w:rsidRPr="008B3FBA">
        <w:t>The gear marking modifications include the entire Northeast Region Trap/Pot Management Area (Northeast Region) from the coast through the EEZ, including waters currently exempted from gear marking requirements and add</w:t>
      </w:r>
      <w:r w:rsidRPr="008B3FBA" w:rsidR="007026FF">
        <w:t>ed</w:t>
      </w:r>
      <w:r w:rsidRPr="008B3FBA">
        <w:t xml:space="preserve"> state-specific color markings to lobster and crab trap/pot fisheries in the Northeast Region.  A large three-foot (91 cm) mark </w:t>
      </w:r>
      <w:r w:rsidRPr="008B3FBA" w:rsidR="007026FF">
        <w:t>is</w:t>
      </w:r>
      <w:r w:rsidRPr="008B3FBA">
        <w:t xml:space="preserve"> required in the surface system within the top two fathoms (60.96 cm) of the buoy in state and federal waters.  At least two additional 12-inch marks </w:t>
      </w:r>
      <w:r w:rsidRPr="008B3FBA" w:rsidR="007026FF">
        <w:t>are</w:t>
      </w:r>
      <w:r w:rsidRPr="008B3FBA">
        <w:t xml:space="preserve"> required in state waters (top and bottom) and at least three 12-inch marks at the top, middle and bottom of the buoy line in federal waters.  Gear set in lobster management area 3 (LMA3) continue</w:t>
      </w:r>
      <w:r w:rsidRPr="008B3FBA" w:rsidR="007026FF">
        <w:t>s</w:t>
      </w:r>
      <w:r w:rsidRPr="008B3FBA">
        <w:t xml:space="preserve"> to use black gear marks as their primary area mark.  Vessels permitted by and with a principal port designated as Maine use purple, New Hampshire’s color is yellow, Massachusetts is red, and Rhode Island is gray/silver.  Additionally, to designate Federal waters of the Northeast Region, a one-foot (30.5 cm) green mark is required within six inches (15.25 cm) of each state or LMA3 specific mark (at least four in total).  </w:t>
      </w:r>
      <w:r w:rsidRPr="008B3FBA" w:rsidR="00430029">
        <w:t xml:space="preserve">  Additionally, the 2021 final rule allows for </w:t>
      </w:r>
      <w:r w:rsidRPr="008B3FBA" w:rsidR="00430029">
        <w:t>ropeless</w:t>
      </w:r>
      <w:r w:rsidRPr="008B3FBA" w:rsidR="00430029">
        <w:t xml:space="preserve"> gear sets to be fished in areas seasonally closed to traditional gear. </w:t>
      </w:r>
      <w:r w:rsidRPr="008B3FBA" w:rsidR="00430029">
        <w:t>Ropeless</w:t>
      </w:r>
      <w:r w:rsidRPr="008B3FBA" w:rsidR="00430029">
        <w:t xml:space="preserve"> gear sets will follow similar marking requirements as traditional fishing gear, as described in the table below.  </w:t>
      </w:r>
      <w:r w:rsidRPr="008B3FBA">
        <w:t xml:space="preserve">Each color code must be permanently affixed on or along the line, and each color code must be clearly visible when the gear is hauled or removed from the water.  A solid mark applied by dye, paint, or tape will be required for the surface system marks, and colored ties and twine can be used within the main buoy lines and are the most common gear marking methods used.  Vessels permitted to land lobster in Maine are already required to mark their ropes using a similar gear marking scheme (Maine Division of Marine Resources, Chapter 75.02).  </w:t>
      </w:r>
      <w:r w:rsidRPr="008B3FBA">
        <w:rPr>
          <w:color w:val="000000"/>
        </w:rPr>
        <w:t> </w:t>
      </w:r>
      <w:r w:rsidRPr="008B3FBA">
        <w:t xml:space="preserve">Because their gear marking was done in anticipation of Federal rulemaking, and because Federal rules will regulate all but Maine exempted waters, </w:t>
      </w:r>
      <w:r w:rsidRPr="008B3FBA">
        <w:t>these vessels were included in the cost analysis which is a change from when the rule was first proposed on December 31, 2021 and Maine markings were not considered in the cost estimates.</w:t>
      </w:r>
    </w:p>
    <w:p w:rsidR="00447C1F" w:rsidRPr="008B3FBA" w14:paraId="75694E24" w14:textId="47206BD1">
      <w:pPr>
        <w:spacing w:line="240" w:lineRule="auto"/>
        <w:rPr>
          <w:rFonts w:ascii="Times New Roman" w:eastAsia="Times New Roman" w:hAnsi="Times New Roman" w:cs="Times New Roman"/>
          <w:sz w:val="24"/>
          <w:szCs w:val="24"/>
        </w:rPr>
      </w:pPr>
    </w:p>
    <w:p w:rsidR="00447C1F" w:rsidRPr="008B3FBA" w14:paraId="63E7BF2D" w14:textId="1C5C955F">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In 2021, c</w:t>
      </w:r>
      <w:r w:rsidRPr="008B3FBA" w:rsidR="003365D0">
        <w:rPr>
          <w:rFonts w:ascii="Times New Roman" w:eastAsia="Times New Roman" w:hAnsi="Times New Roman" w:cs="Times New Roman"/>
          <w:sz w:val="24"/>
          <w:szCs w:val="24"/>
        </w:rPr>
        <w:t xml:space="preserve">omments were </w:t>
      </w:r>
      <w:r w:rsidRPr="008B3FBA" w:rsidR="004D26A5">
        <w:rPr>
          <w:rFonts w:ascii="Times New Roman" w:eastAsia="Times New Roman" w:hAnsi="Times New Roman" w:cs="Times New Roman"/>
          <w:sz w:val="24"/>
          <w:szCs w:val="24"/>
        </w:rPr>
        <w:t>solicited</w:t>
      </w:r>
      <w:r w:rsidRPr="008B3FBA" w:rsidR="003365D0">
        <w:rPr>
          <w:rFonts w:ascii="Times New Roman" w:eastAsia="Times New Roman" w:hAnsi="Times New Roman" w:cs="Times New Roman"/>
          <w:sz w:val="24"/>
          <w:szCs w:val="24"/>
        </w:rPr>
        <w:t xml:space="preserve"> during a 60-day public comment window on the Draft Environmental Impact Statement for the associated rule, Modification of the Atlantic Large Whale Take Reduction Plan, on Regulations.gov</w:t>
      </w:r>
      <w:r w:rsidRPr="008B3FBA" w:rsidR="00B72BB8">
        <w:rPr>
          <w:rFonts w:ascii="Times New Roman" w:eastAsia="Times New Roman" w:hAnsi="Times New Roman" w:cs="Times New Roman"/>
          <w:sz w:val="24"/>
          <w:szCs w:val="24"/>
        </w:rPr>
        <w:t xml:space="preserve"> (December 31, 2020, 85 FR 86</w:t>
      </w:r>
      <w:r w:rsidRPr="008B3FBA" w:rsidR="008B620A">
        <w:rPr>
          <w:rFonts w:ascii="Times New Roman" w:eastAsia="Times New Roman" w:hAnsi="Times New Roman" w:cs="Times New Roman"/>
          <w:sz w:val="24"/>
          <w:szCs w:val="24"/>
        </w:rPr>
        <w:t>919</w:t>
      </w:r>
      <w:r w:rsidRPr="008B3FBA" w:rsidR="00B72BB8">
        <w:rPr>
          <w:rFonts w:ascii="Times New Roman" w:eastAsia="Times New Roman" w:hAnsi="Times New Roman" w:cs="Times New Roman"/>
          <w:sz w:val="24"/>
          <w:szCs w:val="24"/>
        </w:rPr>
        <w:t>)</w:t>
      </w:r>
      <w:r w:rsidRPr="008B3FBA" w:rsidR="003365D0">
        <w:rPr>
          <w:rFonts w:ascii="Times New Roman" w:eastAsia="Times New Roman" w:hAnsi="Times New Roman" w:cs="Times New Roman"/>
          <w:sz w:val="24"/>
          <w:szCs w:val="24"/>
        </w:rPr>
        <w:t xml:space="preserve">. Over 100,000 total comments were received on the DEIS, with 118 of 1067 unique commenters weighing in regarding the gear marking requirements.  One non-profit advocacy group also included gear marking in their template response.  Comments ranged from those supporting more detailed or more frequent markings including concerns related to the amount of time and cost of implementing a new marking scheme.  Massachusetts fishery managers also relayed concerns that the proposed marking schemes did not sufficiently distinguish between </w:t>
      </w:r>
      <w:r w:rsidRPr="008B3FBA" w:rsidR="003365D0">
        <w:rPr>
          <w:rFonts w:ascii="Times New Roman" w:eastAsia="Times New Roman" w:hAnsi="Times New Roman" w:cs="Times New Roman"/>
          <w:sz w:val="24"/>
          <w:szCs w:val="24"/>
        </w:rPr>
        <w:t>gear</w:t>
      </w:r>
      <w:r w:rsidRPr="008B3FBA" w:rsidR="003365D0">
        <w:rPr>
          <w:rFonts w:ascii="Times New Roman" w:eastAsia="Times New Roman" w:hAnsi="Times New Roman" w:cs="Times New Roman"/>
          <w:sz w:val="24"/>
          <w:szCs w:val="24"/>
        </w:rPr>
        <w:t xml:space="preserve"> fished in state waters from gear fished in federal waters.  Details on all the comments received can be found in the preamble to the Final rule and in Appendix 1.1 of the </w:t>
      </w:r>
      <w:r w:rsidRPr="008B3FBA" w:rsidR="00EB0BAC">
        <w:rPr>
          <w:rFonts w:ascii="Times New Roman" w:eastAsia="Times New Roman" w:hAnsi="Times New Roman" w:cs="Times New Roman"/>
          <w:sz w:val="24"/>
          <w:szCs w:val="24"/>
        </w:rPr>
        <w:t>FEIS</w:t>
      </w:r>
      <w:r w:rsidRPr="008B3FBA" w:rsidR="003365D0">
        <w:rPr>
          <w:rFonts w:ascii="Times New Roman" w:eastAsia="Times New Roman" w:hAnsi="Times New Roman" w:cs="Times New Roman"/>
          <w:sz w:val="24"/>
          <w:szCs w:val="24"/>
        </w:rPr>
        <w:t xml:space="preserve">. After reviewing these comments, the gear marking scheme </w:t>
      </w:r>
      <w:r w:rsidRPr="008B3FBA" w:rsidR="00915BD4">
        <w:rPr>
          <w:rFonts w:ascii="Times New Roman" w:eastAsia="Times New Roman" w:hAnsi="Times New Roman" w:cs="Times New Roman"/>
          <w:sz w:val="24"/>
          <w:szCs w:val="24"/>
        </w:rPr>
        <w:t xml:space="preserve">was </w:t>
      </w:r>
      <w:r w:rsidRPr="008B3FBA" w:rsidR="003365D0">
        <w:rPr>
          <w:rFonts w:ascii="Times New Roman" w:eastAsia="Times New Roman" w:hAnsi="Times New Roman" w:cs="Times New Roman"/>
          <w:sz w:val="24"/>
          <w:szCs w:val="24"/>
        </w:rPr>
        <w:t>revised and is outlined in the table below.</w:t>
      </w:r>
      <w:r w:rsidRPr="008B3FBA" w:rsidR="0019059F">
        <w:rPr>
          <w:rFonts w:ascii="Times New Roman" w:eastAsia="Times New Roman" w:hAnsi="Times New Roman" w:cs="Times New Roman"/>
          <w:sz w:val="24"/>
          <w:szCs w:val="24"/>
        </w:rPr>
        <w:t xml:space="preserve"> In 2023, no comments were received during the 60-day public comment window of the extension of this information collection.</w:t>
      </w:r>
    </w:p>
    <w:p w:rsidR="00447C1F" w:rsidRPr="008B3FBA" w14:paraId="56C3A52A" w14:textId="77777777">
      <w:pPr>
        <w:widowControl w:val="0"/>
        <w:spacing w:line="240" w:lineRule="auto"/>
        <w:rPr>
          <w:rFonts w:ascii="Times New Roman" w:eastAsia="Times New Roman" w:hAnsi="Times New Roman" w:cs="Times New Roman"/>
          <w:sz w:val="24"/>
          <w:szCs w:val="24"/>
        </w:rPr>
      </w:pPr>
    </w:p>
    <w:p w:rsidR="00447C1F" w:rsidRPr="008B3FBA" w:rsidP="00A4490D" w14:paraId="7501A277" w14:textId="593417B6">
      <w:pPr>
        <w:widowControl w:val="0"/>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 xml:space="preserve">There is urgency to respond to the rapid decline in the North Atlantic right whale population, and the fishery source and/or country of serious injury and mortality to right whales cannot be determined in a significant number of documented </w:t>
      </w:r>
      <w:r w:rsidRPr="008B3FBA" w:rsidR="00237EB9">
        <w:rPr>
          <w:rFonts w:ascii="Times New Roman" w:eastAsia="Times New Roman" w:hAnsi="Times New Roman" w:cs="Times New Roman"/>
          <w:sz w:val="24"/>
          <w:szCs w:val="24"/>
        </w:rPr>
        <w:t xml:space="preserve">entanglement </w:t>
      </w:r>
      <w:r w:rsidRPr="008B3FBA">
        <w:rPr>
          <w:rFonts w:ascii="Times New Roman" w:eastAsia="Times New Roman" w:hAnsi="Times New Roman" w:cs="Times New Roman"/>
          <w:sz w:val="24"/>
          <w:szCs w:val="24"/>
        </w:rPr>
        <w:t xml:space="preserve">cases.  As such, NMFS is focusing the scope of initial modifications to the Plan on Northeast Region lobster and Jonah crab trap/pot fisheries, which represent approximately 94 percent of the risk posed by buoy lines fished where right whales occur according version 4.1.0 of the Large Whale Decision Support Tool developed by the Northeast </w:t>
      </w:r>
      <w:r w:rsidRPr="008B3FBA" w:rsidR="00237EB9">
        <w:rPr>
          <w:rFonts w:ascii="Times New Roman" w:eastAsia="Times New Roman" w:hAnsi="Times New Roman" w:cs="Times New Roman"/>
          <w:sz w:val="24"/>
          <w:szCs w:val="24"/>
        </w:rPr>
        <w:t>F</w:t>
      </w:r>
      <w:r w:rsidRPr="008B3FBA">
        <w:rPr>
          <w:rFonts w:ascii="Times New Roman" w:eastAsia="Times New Roman" w:hAnsi="Times New Roman" w:cs="Times New Roman"/>
          <w:sz w:val="24"/>
          <w:szCs w:val="24"/>
        </w:rPr>
        <w:t xml:space="preserve">isheries Science Center.  Determining the magnitude of reduction in serious injury and mortality that is needed is a challenge due to the uncertainty regarding the type of gear that entangles whales and the location and country of origin where the entanglement </w:t>
      </w:r>
      <w:r w:rsidRPr="008B3FBA">
        <w:rPr>
          <w:rFonts w:ascii="Times New Roman" w:eastAsia="Times New Roman" w:hAnsi="Times New Roman" w:cs="Times New Roman"/>
          <w:sz w:val="24"/>
          <w:szCs w:val="24"/>
        </w:rPr>
        <w:t>occurred.</w:t>
      </w:r>
      <w:r w:rsidRPr="008B3FBA">
        <w:rPr>
          <w:rFonts w:ascii="Times New Roman" w:eastAsia="Times New Roman" w:hAnsi="Times New Roman" w:cs="Times New Roman"/>
          <w:sz w:val="24"/>
          <w:szCs w:val="24"/>
        </w:rPr>
        <w:t>  Many large whale entanglements are never seen, there is often no gear present on whales showing scars, and gear cannot always be recovered from those whales that are seen entangled.  Further, even when gear is recovered, it can rarely be identified to a source fishery and even more rarely, to a precise fishing location.</w:t>
      </w:r>
    </w:p>
    <w:p w:rsidR="00A4490D" w:rsidRPr="008B3FBA" w14:paraId="4C3E5D31" w14:textId="77777777">
      <w:pPr>
        <w:tabs>
          <w:tab w:val="left" w:pos="720"/>
          <w:tab w:val="left" w:pos="9270"/>
        </w:tabs>
        <w:spacing w:line="240" w:lineRule="auto"/>
        <w:rPr>
          <w:rFonts w:ascii="Times New Roman" w:eastAsia="Times New Roman" w:hAnsi="Times New Roman" w:cs="Times New Roman"/>
          <w:sz w:val="24"/>
          <w:szCs w:val="24"/>
        </w:rPr>
      </w:pPr>
    </w:p>
    <w:p w:rsidR="00447C1F" w:rsidRPr="008B3FBA" w14:paraId="7891F559" w14:textId="49C156C2">
      <w:pPr>
        <w:widowControl w:val="0"/>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Table 1: Description of gear marking scheme by state. Gear marking in the state of Maine (shaded) was already implemented in anticipation of NOAA’s upcoming rules. At Maine’s request, exempt waters will not be regulated by federal rules so costs for gear marking in Maine exempt waters are not incl</w:t>
      </w:r>
      <w:r w:rsidRPr="008B3FBA" w:rsidR="0041418F">
        <w:rPr>
          <w:rFonts w:ascii="Times New Roman" w:eastAsia="Times New Roman" w:hAnsi="Times New Roman" w:cs="Times New Roman"/>
          <w:sz w:val="24"/>
          <w:szCs w:val="24"/>
        </w:rPr>
        <w:t>uded.  However once NOAA’s rule became</w:t>
      </w:r>
      <w:r w:rsidRPr="008B3FBA">
        <w:rPr>
          <w:rFonts w:ascii="Times New Roman" w:eastAsia="Times New Roman" w:hAnsi="Times New Roman" w:cs="Times New Roman"/>
          <w:sz w:val="24"/>
          <w:szCs w:val="24"/>
        </w:rPr>
        <w:t xml:space="preserve"> effective, we assume</w:t>
      </w:r>
      <w:r w:rsidRPr="008B3FBA" w:rsidR="0041418F">
        <w:rPr>
          <w:rFonts w:ascii="Times New Roman" w:eastAsia="Times New Roman" w:hAnsi="Times New Roman" w:cs="Times New Roman"/>
          <w:sz w:val="24"/>
          <w:szCs w:val="24"/>
        </w:rPr>
        <w:t>d</w:t>
      </w:r>
      <w:r w:rsidRPr="008B3FBA">
        <w:rPr>
          <w:rFonts w:ascii="Times New Roman" w:eastAsia="Times New Roman" w:hAnsi="Times New Roman" w:cs="Times New Roman"/>
          <w:sz w:val="24"/>
          <w:szCs w:val="24"/>
        </w:rPr>
        <w:t xml:space="preserve"> the responsibility of costs associated with the marking in non-exempt waters.</w:t>
      </w:r>
    </w:p>
    <w:p w:rsidR="002F5FD6" w:rsidRPr="008B3FBA" w14:paraId="192A2F1D" w14:textId="77777777">
      <w:pPr>
        <w:widowControl w:val="0"/>
        <w:spacing w:line="240" w:lineRule="auto"/>
        <w:rPr>
          <w:rFonts w:ascii="Times New Roman" w:eastAsia="Times New Roman" w:hAnsi="Times New Roman" w:cs="Times New Roman"/>
          <w:sz w:val="24"/>
          <w:szCs w:val="24"/>
        </w:rPr>
      </w:pPr>
    </w:p>
    <w:tbl>
      <w:tblPr>
        <w:tblStyle w:val="af4"/>
        <w:tblW w:w="8865" w:type="dxa"/>
        <w:tblBorders>
          <w:top w:val="nil"/>
          <w:left w:val="nil"/>
          <w:bottom w:val="nil"/>
          <w:right w:val="nil"/>
          <w:insideH w:val="nil"/>
          <w:insideV w:val="nil"/>
        </w:tblBorders>
        <w:tblLayout w:type="fixed"/>
        <w:tblLook w:val="0600"/>
      </w:tblPr>
      <w:tblGrid>
        <w:gridCol w:w="2145"/>
        <w:gridCol w:w="6720"/>
      </w:tblGrid>
      <w:tr w14:paraId="3B838F1A" w14:textId="77777777">
        <w:tblPrEx>
          <w:tblW w:w="8865" w:type="dxa"/>
          <w:tblBorders>
            <w:top w:val="nil"/>
            <w:left w:val="nil"/>
            <w:bottom w:val="nil"/>
            <w:right w:val="nil"/>
            <w:insideH w:val="nil"/>
            <w:insideV w:val="nil"/>
          </w:tblBorders>
          <w:tblLayout w:type="fixed"/>
          <w:tblLook w:val="0600"/>
        </w:tblPrEx>
        <w:trPr>
          <w:trHeight w:val="348"/>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47C1F" w:rsidRPr="008B3FBA" w14:paraId="127E542A" w14:textId="77777777">
            <w:pPr>
              <w:widowControl w:val="0"/>
              <w:spacing w:line="240" w:lineRule="auto"/>
              <w:jc w:val="center"/>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Area</w:t>
            </w:r>
          </w:p>
        </w:tc>
        <w:tc>
          <w:tcPr>
            <w:tcW w:w="67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47C1F" w:rsidRPr="008B3FBA" w14:paraId="136F9A6A" w14:textId="098A0F8A">
            <w:pPr>
              <w:widowControl w:val="0"/>
              <w:spacing w:line="240" w:lineRule="auto"/>
              <w:jc w:val="center"/>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Gear Marking Scheme</w:t>
            </w:r>
          </w:p>
        </w:tc>
      </w:tr>
      <w:tr w14:paraId="600186C8" w14:textId="77777777">
        <w:tblPrEx>
          <w:tblW w:w="8865" w:type="dxa"/>
          <w:tblLayout w:type="fixed"/>
          <w:tblLook w:val="0600"/>
        </w:tblPrEx>
        <w:trPr>
          <w:trHeight w:val="1604"/>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47C1F" w:rsidRPr="008B3FBA" w14:paraId="4115B3EF" w14:textId="77777777">
            <w:pPr>
              <w:widowControl w:val="0"/>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Entire Northeast Region</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rsidR="00447C1F" w:rsidRPr="008B3FBA" w14:paraId="78A4A958" w14:textId="77777777">
            <w:pPr>
              <w:widowControl w:val="0"/>
              <w:spacing w:line="240" w:lineRule="auto"/>
              <w:jc w:val="both"/>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One three-foot (91.4 cm) long state-specific (see color below) mark within two fathoms (60.96 cm) of the buoy.  In Federal waters, an additional one foot (30.5 cm) green mark within six-inches (15.25 cm) of each state specific mark (at least four in total).  This mark must be solid; therefore, colored ties are not an allowed gear marking method.</w:t>
            </w:r>
          </w:p>
        </w:tc>
      </w:tr>
      <w:tr w14:paraId="6B0DC86B" w14:textId="77777777">
        <w:tblPrEx>
          <w:tblW w:w="8865" w:type="dxa"/>
          <w:tblLayout w:type="fixed"/>
          <w:tblLook w:val="0600"/>
        </w:tblPrEx>
        <w:trPr>
          <w:trHeight w:val="710"/>
        </w:trPr>
        <w:tc>
          <w:tcPr>
            <w:tcW w:w="214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47C1F" w:rsidRPr="008B3FBA" w14:paraId="359CA390" w14:textId="77777777">
            <w:pPr>
              <w:widowControl w:val="0"/>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Maine Non-Exempt</w:t>
            </w:r>
          </w:p>
        </w:tc>
        <w:tc>
          <w:tcPr>
            <w:tcW w:w="672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447C1F" w:rsidRPr="008B3FBA" w14:paraId="553B9D48" w14:textId="77777777">
            <w:pPr>
              <w:widowControl w:val="0"/>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Purple.  At least two one-foot marks (by depth) on top and bottom half of buoy line below the surface system, through state regulation only.  In Federal waters, at least three one-foot state colored marks in the buoy line below the surface system: at top, middle and bottom of line.  At least four additional one foot (30.5 cm) green marks within six inches (15.2 cm) of each state-specific mark.</w:t>
            </w:r>
          </w:p>
        </w:tc>
      </w:tr>
      <w:tr w14:paraId="5DE07ECB" w14:textId="77777777">
        <w:tblPrEx>
          <w:tblW w:w="8865" w:type="dxa"/>
          <w:tblLayout w:type="fixed"/>
          <w:tblLook w:val="0600"/>
        </w:tblPrEx>
        <w:trPr>
          <w:trHeight w:val="1290"/>
        </w:trPr>
        <w:tc>
          <w:tcPr>
            <w:tcW w:w="214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47C1F" w:rsidRPr="008B3FBA" w14:paraId="0ACE94FB" w14:textId="77777777">
            <w:pPr>
              <w:widowControl w:val="0"/>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Maine exempt</w:t>
            </w:r>
          </w:p>
        </w:tc>
        <w:tc>
          <w:tcPr>
            <w:tcW w:w="672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447C1F" w:rsidRPr="008B3FBA" w14:paraId="32360813" w14:textId="77777777">
            <w:pPr>
              <w:widowControl w:val="0"/>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Purple.  One three-foot (91.4 cm) mark within two fathoms (60.96 cm) of the buoy.  For buoy lines less than 100 feet (30.5 m) in length one additional mark one-foot (30.5 cm) long would be required about half way down the line.  Longer buoy lines in the exemption area are required to have the three-foot mark and two additional one-foot marks, one midway along the buoy line and one at the bottom of the buoy line.</w:t>
            </w:r>
          </w:p>
        </w:tc>
      </w:tr>
      <w:tr w14:paraId="48DDD5AE" w14:textId="77777777">
        <w:tblPrEx>
          <w:tblW w:w="8865" w:type="dxa"/>
          <w:tblLayout w:type="fixed"/>
          <w:tblLook w:val="0600"/>
        </w:tblPrEx>
        <w:trPr>
          <w:trHeight w:val="1232"/>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47C1F" w:rsidRPr="008B3FBA" w14:paraId="086D0CF0" w14:textId="77777777">
            <w:pPr>
              <w:widowControl w:val="0"/>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New Hampshire</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rsidR="00447C1F" w:rsidRPr="008B3FBA" w14:paraId="5A9608D6"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Yellow.  In state waters: at least two additional one-foot (30.5 cm) marks in the buoy line below the surface system: on top half and bottom half of buoy line.  In Federal waters, at least three one-foot state colored marks in the buoy line below the surface system: at top, middle and bottom of line and at least four additional one foot (30.5 cm) green marks within six inches (15.2 cm) of each state-specific mark.</w:t>
            </w:r>
          </w:p>
        </w:tc>
      </w:tr>
      <w:tr w14:paraId="4BF68B30" w14:textId="77777777">
        <w:tblPrEx>
          <w:tblW w:w="8865" w:type="dxa"/>
          <w:tblLayout w:type="fixed"/>
          <w:tblLook w:val="0600"/>
        </w:tblPrEx>
        <w:trPr>
          <w:trHeight w:val="1160"/>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47C1F" w:rsidRPr="008B3FBA" w14:paraId="015B492F" w14:textId="77777777">
            <w:pPr>
              <w:widowControl w:val="0"/>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Massachusetts</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rsidR="00447C1F" w:rsidRPr="008B3FBA" w14:paraId="261342CD"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Red.  In state waters: at least two one-foot (30.5 cm) marks in the buoy line below the surface system: on top half and bottom half of buoy line.  In Federal waters, at least three one-foot (30.5 cm) state colored marks in the buoy line below the surface system: at top, middle and bottom of line and at least four additional one foot (30.5 cm) green marks within six inches (15.2 cm) of each state-specific mark.</w:t>
            </w:r>
          </w:p>
        </w:tc>
      </w:tr>
      <w:tr w14:paraId="434DB446" w14:textId="77777777">
        <w:tblPrEx>
          <w:tblW w:w="8865" w:type="dxa"/>
          <w:tblLayout w:type="fixed"/>
          <w:tblLook w:val="0600"/>
        </w:tblPrEx>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47C1F" w:rsidRPr="008B3FBA" w14:paraId="4C46982D" w14:textId="77777777">
            <w:pPr>
              <w:widowControl w:val="0"/>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Rhode Island</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rsidR="00447C1F" w:rsidRPr="008B3FBA" w14:paraId="4B48CF83"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Silvery/Gray.  In state waters: at least two one-foot (30.5 cm) marks in the buoy line below the surface system: on top half and bottom half of buoy line.  In Federal waters, at least three one-foot (30.5 cm) state colored marks in the buoy line below the surface system: at top, middle and bottom of line and at least four additional one foot (30.5 cm) green marks within six inches (15.2 cm) of each state-specific mark.</w:t>
            </w:r>
          </w:p>
        </w:tc>
      </w:tr>
      <w:tr w14:paraId="44E20390" w14:textId="77777777">
        <w:tblPrEx>
          <w:tblW w:w="8865" w:type="dxa"/>
          <w:tblLayout w:type="fixed"/>
          <w:tblLook w:val="0600"/>
        </w:tblPrEx>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47C1F" w:rsidRPr="008B3FBA" w14:paraId="1709B98C" w14:textId="77777777">
            <w:pPr>
              <w:widowControl w:val="0"/>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LMA 3</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rsidR="00447C1F" w:rsidRPr="008B3FBA" w14:paraId="6B1FFAB6"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 xml:space="preserve">Black.  One three-foot </w:t>
            </w:r>
            <w:r w:rsidRPr="008B3FBA">
              <w:rPr>
                <w:rFonts w:ascii="Times New Roman" w:eastAsia="Times New Roman" w:hAnsi="Times New Roman" w:cs="Times New Roman"/>
                <w:sz w:val="24"/>
                <w:szCs w:val="24"/>
              </w:rPr>
              <w:t>long  (</w:t>
            </w:r>
            <w:r w:rsidRPr="008B3FBA">
              <w:rPr>
                <w:rFonts w:ascii="Times New Roman" w:eastAsia="Times New Roman" w:hAnsi="Times New Roman" w:cs="Times New Roman"/>
                <w:sz w:val="24"/>
                <w:szCs w:val="24"/>
              </w:rPr>
              <w:t>91.4 cm) mark within two fathoms (60.96 cm) of the buoy in the surface system.  Add at least four additional one foot (30.5 cm) green marks within six inches (15.2 cm) of each LMA 3 specific black mark.</w:t>
            </w:r>
          </w:p>
        </w:tc>
      </w:tr>
      <w:tr w14:paraId="0027D0D2" w14:textId="77777777">
        <w:tblPrEx>
          <w:tblW w:w="8865" w:type="dxa"/>
          <w:tblLayout w:type="fixed"/>
          <w:tblLook w:val="0600"/>
        </w:tblPrEx>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47C1F" w:rsidRPr="008B3FBA" w14:paraId="2DAF976F" w14:textId="77777777">
            <w:pPr>
              <w:widowControl w:val="0"/>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Ropeless</w:t>
            </w:r>
            <w:r w:rsidRPr="008B3FBA">
              <w:rPr>
                <w:rFonts w:ascii="Times New Roman" w:eastAsia="Times New Roman" w:hAnsi="Times New Roman" w:cs="Times New Roman"/>
                <w:sz w:val="24"/>
                <w:szCs w:val="24"/>
              </w:rPr>
              <w:t xml:space="preserve"> gear fished in any area</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rsidR="00447C1F" w:rsidRPr="008B3FBA" w14:paraId="44515B49"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 xml:space="preserve">Black and yellow.  In state waters: two one-foot (30.5 cm) marks in top half and bottom half of buoy line.  Beyond state waters, one three foot (91.4 cm) mark and three one-foot (30.5 cm) marks: at </w:t>
            </w:r>
            <w:r w:rsidRPr="008B3FBA">
              <w:rPr>
                <w:rFonts w:ascii="Times New Roman" w:eastAsia="Times New Roman" w:hAnsi="Times New Roman" w:cs="Times New Roman"/>
                <w:sz w:val="24"/>
                <w:szCs w:val="24"/>
              </w:rPr>
              <w:t xml:space="preserve">top, middle and bottom of line.  Each mark should be equally half black and half yellow.  </w:t>
            </w:r>
          </w:p>
        </w:tc>
      </w:tr>
    </w:tbl>
    <w:p w:rsidR="00447C1F" w:rsidRPr="008B3FBA" w14:paraId="1282BED7" w14:textId="77777777">
      <w:pPr>
        <w:spacing w:line="240" w:lineRule="auto"/>
        <w:rPr>
          <w:rFonts w:ascii="Times New Roman" w:eastAsia="Times New Roman" w:hAnsi="Times New Roman" w:cs="Times New Roman"/>
          <w:b/>
          <w:color w:val="2F5496"/>
          <w:sz w:val="24"/>
          <w:szCs w:val="24"/>
          <w:u w:val="single"/>
        </w:rPr>
      </w:pPr>
    </w:p>
    <w:p w:rsidR="00447C1F" w:rsidRPr="008B3FBA" w14:paraId="3CDFFA93" w14:textId="77777777">
      <w:pPr>
        <w:spacing w:line="240" w:lineRule="auto"/>
        <w:rPr>
          <w:rFonts w:ascii="Times New Roman" w:eastAsia="Times New Roman" w:hAnsi="Times New Roman" w:cs="Times New Roman"/>
          <w:b/>
          <w:color w:val="2F5496"/>
          <w:sz w:val="24"/>
          <w:szCs w:val="24"/>
          <w:u w:val="single"/>
        </w:rPr>
      </w:pPr>
    </w:p>
    <w:p w:rsidR="00447C1F" w:rsidRPr="008B3FBA" w14:paraId="779CB1A5" w14:textId="77777777">
      <w:pPr>
        <w:pStyle w:val="Heading1"/>
        <w:keepNext w:val="0"/>
        <w:keepLines w:val="0"/>
        <w:spacing w:before="0" w:after="0" w:line="240" w:lineRule="auto"/>
        <w:rPr>
          <w:rFonts w:ascii="Times New Roman" w:eastAsia="Times New Roman" w:hAnsi="Times New Roman" w:cs="Times New Roman"/>
          <w:b/>
          <w:sz w:val="24"/>
          <w:szCs w:val="24"/>
        </w:rPr>
      </w:pPr>
      <w:bookmarkStart w:id="3" w:name="_heading=h.30j0zll" w:colFirst="0" w:colLast="0"/>
      <w:bookmarkEnd w:id="3"/>
      <w:r w:rsidRPr="008B3FBA">
        <w:rPr>
          <w:rFonts w:ascii="Times New Roman" w:eastAsia="Times New Roman" w:hAnsi="Times New Roman" w:cs="Times New Roman"/>
          <w:b/>
          <w:sz w:val="24"/>
          <w:szCs w:val="24"/>
        </w:rPr>
        <w:t>2.</w:t>
      </w:r>
      <w:r w:rsidRPr="008B3FBA">
        <w:rPr>
          <w:rFonts w:ascii="Times New Roman" w:eastAsia="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00447C1F" w:rsidRPr="008B3FBA" w14:paraId="51580DF6" w14:textId="77777777">
      <w:pPr>
        <w:spacing w:line="240" w:lineRule="auto"/>
        <w:rPr>
          <w:rFonts w:ascii="Times New Roman" w:eastAsia="Times New Roman" w:hAnsi="Times New Roman" w:cs="Times New Roman"/>
          <w:sz w:val="24"/>
          <w:szCs w:val="24"/>
        </w:rPr>
      </w:pPr>
    </w:p>
    <w:p w:rsidR="00447C1F" w:rsidRPr="008B3FBA" w14:paraId="3A1C7C7F" w14:textId="77777777">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 xml:space="preserve">Gear-marking requirements assist NMFS in obtaining detailed information about which fisheries or specific parts of fishing gear are responsible for the incidental mortality and serious injury of North Atlantic right, humpback, </w:t>
      </w:r>
      <w:r w:rsidRPr="008B3FBA">
        <w:rPr>
          <w:rFonts w:ascii="Times New Roman" w:eastAsia="Times New Roman" w:hAnsi="Times New Roman" w:cs="Times New Roman"/>
          <w:sz w:val="24"/>
          <w:szCs w:val="24"/>
        </w:rPr>
        <w:t>minke</w:t>
      </w:r>
      <w:r w:rsidRPr="008B3FBA">
        <w:rPr>
          <w:rFonts w:ascii="Times New Roman" w:eastAsia="Times New Roman" w:hAnsi="Times New Roman" w:cs="Times New Roman"/>
          <w:sz w:val="24"/>
          <w:szCs w:val="24"/>
        </w:rPr>
        <w:t xml:space="preserve">, and fin whales.  Generally, when gear is retrieved from an entangled whale, it cannot always be identified to a fishery or location.  Therefore, requiring fishermen to mark surface buoys and the buoy line provides NMFS with an additional source of information, which could then be used to determine the gear responsible for and the location of the entanglement event.  Furthermore, information tracing incidental mortality and serious injury of marine mammals back to specific gear types, gear parts, or fishing locations assist NMFS and the Team in focusing future management measures on specific problem areas and issues, which may avoid unnecessarily regulating fisheries with overly broad measures.  </w:t>
      </w:r>
    </w:p>
    <w:p w:rsidR="00447C1F" w:rsidRPr="008B3FBA" w14:paraId="71E0DDB7" w14:textId="77777777">
      <w:pPr>
        <w:spacing w:line="240" w:lineRule="auto"/>
        <w:rPr>
          <w:rFonts w:ascii="Times New Roman" w:eastAsia="Times New Roman" w:hAnsi="Times New Roman" w:cs="Times New Roman"/>
          <w:sz w:val="24"/>
          <w:szCs w:val="24"/>
        </w:rPr>
      </w:pPr>
    </w:p>
    <w:p w:rsidR="00447C1F" w:rsidRPr="008B3FBA" w14:paraId="5AA69D8E" w14:textId="258F2BE9">
      <w:pPr>
        <w:widowControl w:val="0"/>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Gear marking will not reduce bycatch in and of itself, but it is expected to facilitate monitoring of entanglement rates and assist in designing future bycatch reduction measures in targeted areas deemed important by the Team.  The frequency of information used is primarily correlated with the occurrence of entangled whales and/or the recovery of entangled gear.</w:t>
      </w:r>
    </w:p>
    <w:p w:rsidR="00447C1F" w:rsidRPr="008B3FBA" w14:paraId="44F735F7" w14:textId="77777777">
      <w:pPr>
        <w:widowControl w:val="0"/>
        <w:spacing w:line="240" w:lineRule="auto"/>
        <w:rPr>
          <w:rFonts w:ascii="Times New Roman" w:eastAsia="Times New Roman" w:hAnsi="Times New Roman" w:cs="Times New Roman"/>
          <w:sz w:val="24"/>
          <w:szCs w:val="24"/>
        </w:rPr>
      </w:pPr>
    </w:p>
    <w:p w:rsidR="00447C1F" w:rsidRPr="008B3FBA" w14:paraId="5ADE155A" w14:textId="7B8B4AD2">
      <w:pPr>
        <w:tabs>
          <w:tab w:val="left" w:pos="720"/>
          <w:tab w:val="left" w:pos="9270"/>
        </w:tabs>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In developing serious injury and mortality estimates for use in Stock Assessment Reports and by the Team, NMFS attributes a definitive source of serious injuries and mortalities only when gear is present and identified to a fishery source.  Therefore, the</w:t>
      </w:r>
      <w:r w:rsidRPr="008B3FBA" w:rsidR="00090FBF">
        <w:rPr>
          <w:rFonts w:ascii="Times New Roman" w:eastAsia="Times New Roman" w:hAnsi="Times New Roman" w:cs="Times New Roman"/>
          <w:sz w:val="24"/>
          <w:szCs w:val="24"/>
        </w:rPr>
        <w:t>se</w:t>
      </w:r>
      <w:r w:rsidRPr="008B3FBA">
        <w:rPr>
          <w:rFonts w:ascii="Times New Roman" w:eastAsia="Times New Roman" w:hAnsi="Times New Roman" w:cs="Times New Roman"/>
          <w:sz w:val="24"/>
          <w:szCs w:val="24"/>
        </w:rPr>
        <w:t xml:space="preserve"> </w:t>
      </w:r>
      <w:r w:rsidRPr="008B3FBA" w:rsidR="00090FBF">
        <w:rPr>
          <w:rFonts w:ascii="Times New Roman" w:eastAsia="Times New Roman" w:hAnsi="Times New Roman" w:cs="Times New Roman"/>
          <w:sz w:val="24"/>
          <w:szCs w:val="24"/>
        </w:rPr>
        <w:t xml:space="preserve">gear marking </w:t>
      </w:r>
      <w:r w:rsidRPr="008B3FBA">
        <w:rPr>
          <w:rFonts w:ascii="Times New Roman" w:eastAsia="Times New Roman" w:hAnsi="Times New Roman" w:cs="Times New Roman"/>
          <w:sz w:val="24"/>
          <w:szCs w:val="24"/>
        </w:rPr>
        <w:t>regulations</w:t>
      </w:r>
      <w:r w:rsidRPr="008B3FBA" w:rsidR="00212706">
        <w:rPr>
          <w:rFonts w:ascii="Times New Roman" w:eastAsia="Times New Roman" w:hAnsi="Times New Roman" w:cs="Times New Roman"/>
          <w:sz w:val="24"/>
          <w:szCs w:val="24"/>
        </w:rPr>
        <w:t xml:space="preserve"> </w:t>
      </w:r>
      <w:r w:rsidRPr="008B3FBA">
        <w:rPr>
          <w:rFonts w:ascii="Times New Roman" w:eastAsia="Times New Roman" w:hAnsi="Times New Roman" w:cs="Times New Roman"/>
          <w:sz w:val="24"/>
          <w:szCs w:val="24"/>
        </w:rPr>
        <w:t xml:space="preserve">improve the quantity and quality of data available for future rulemaking and investigate some of the uncertainties discussed above regarding gear type and the country where the entanglement occurred. </w:t>
      </w:r>
      <w:r w:rsidRPr="008B3FBA" w:rsidR="003365D0">
        <w:rPr>
          <w:rFonts w:ascii="Times New Roman" w:eastAsia="Times New Roman" w:hAnsi="Times New Roman" w:cs="Times New Roman"/>
          <w:sz w:val="24"/>
          <w:szCs w:val="24"/>
        </w:rPr>
        <w:t xml:space="preserve"> </w:t>
      </w:r>
    </w:p>
    <w:p w:rsidR="00447C1F" w:rsidRPr="008B3FBA" w14:paraId="14E6089F" w14:textId="77777777">
      <w:pPr>
        <w:tabs>
          <w:tab w:val="left" w:pos="720"/>
          <w:tab w:val="left" w:pos="9270"/>
        </w:tabs>
        <w:spacing w:line="240" w:lineRule="auto"/>
        <w:rPr>
          <w:rFonts w:ascii="Times New Roman" w:eastAsia="Times New Roman" w:hAnsi="Times New Roman" w:cs="Times New Roman"/>
          <w:sz w:val="24"/>
          <w:szCs w:val="24"/>
        </w:rPr>
      </w:pPr>
    </w:p>
    <w:p w:rsidR="00447C1F" w:rsidRPr="008B3FBA" w14:paraId="57E576F4" w14:textId="77777777">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 xml:space="preserve">NMFS has implemented previous gear-marking requirements in as simple a manner as possible and to be as compatible with other state or federal fishery management plans and take reduction plans.  NMFS developed the first gear-marking requirements (72 FR 57104) with the assistance of its fishing industry liaisons, feedback from Team members, and public comments received on a proposed rule in 2005 (70 FR 35894).  These gear marking requirements were subsequently changed over time, including in June 2014 (79 FR 36586) to increase the size and frequency of the marks along the buoy line.  The </w:t>
      </w:r>
      <w:r w:rsidRPr="008B3FBA" w:rsidR="00915BD4">
        <w:rPr>
          <w:rFonts w:ascii="Times New Roman" w:eastAsia="Times New Roman" w:hAnsi="Times New Roman" w:cs="Times New Roman"/>
          <w:sz w:val="24"/>
          <w:szCs w:val="24"/>
        </w:rPr>
        <w:t>most recent</w:t>
      </w:r>
      <w:r w:rsidRPr="008B3FBA">
        <w:rPr>
          <w:rFonts w:ascii="Times New Roman" w:eastAsia="Times New Roman" w:hAnsi="Times New Roman" w:cs="Times New Roman"/>
          <w:sz w:val="24"/>
          <w:szCs w:val="24"/>
        </w:rPr>
        <w:t xml:space="preserve"> revisions to these gear marking requirements continue to refine the level of information gained from these marks.  Because fishery-related mortality has been difficult to determine and assess, gear-marking requirements may not only assist in obtaining valuable gear interaction information from future entanglement events, but may also be a useful tool for measuring compliance; therefore, the gear marking scheme is ever evolving. </w:t>
      </w:r>
    </w:p>
    <w:p w:rsidR="00447C1F" w:rsidRPr="008B3FBA" w14:paraId="19115B84" w14:textId="77777777">
      <w:pPr>
        <w:spacing w:line="240" w:lineRule="auto"/>
        <w:rPr>
          <w:rFonts w:ascii="Times New Roman" w:eastAsia="Times New Roman" w:hAnsi="Times New Roman" w:cs="Times New Roman"/>
          <w:sz w:val="24"/>
          <w:szCs w:val="24"/>
        </w:rPr>
      </w:pPr>
    </w:p>
    <w:p w:rsidR="00447C1F" w:rsidRPr="008B3FBA" w14:paraId="49F08782" w14:textId="77777777">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The information collected is disseminated to the public or used to support publicly disseminated information online and at Team meetings.  N</w:t>
      </w:r>
      <w:r w:rsidRPr="008B3FBA">
        <w:rPr>
          <w:rFonts w:ascii="Times New Roman" w:eastAsia="Times New Roman" w:hAnsi="Times New Roman" w:cs="Times New Roman"/>
          <w:color w:val="222222"/>
          <w:sz w:val="24"/>
          <w:szCs w:val="24"/>
          <w:highlight w:val="white"/>
        </w:rPr>
        <w:t xml:space="preserve">MFS maintains this website </w:t>
      </w:r>
      <w:r w:rsidRPr="008B3FBA">
        <w:rPr>
          <w:rFonts w:ascii="Times New Roman" w:eastAsia="Times New Roman" w:hAnsi="Times New Roman" w:cs="Times New Roman"/>
          <w:color w:val="222222"/>
          <w:sz w:val="24"/>
          <w:szCs w:val="24"/>
          <w:highlight w:val="white"/>
        </w:rPr>
        <w:t>(</w:t>
      </w:r>
      <w:hyperlink r:id="rId5">
        <w:r w:rsidRPr="008B3FBA">
          <w:rPr>
            <w:rFonts w:ascii="Times New Roman" w:eastAsia="Times New Roman" w:hAnsi="Times New Roman" w:cs="Times New Roman"/>
            <w:color w:val="0000FF"/>
            <w:sz w:val="24"/>
            <w:szCs w:val="24"/>
            <w:u w:val="single"/>
          </w:rPr>
          <w:t>https://www.fisheries.noaa.gov/new-england-mid-atlantic/marine-mammal-protection/atlantic-large-whale-take-reduction-plan</w:t>
        </w:r>
      </w:hyperlink>
      <w:r w:rsidRPr="008B3FBA">
        <w:rPr>
          <w:rFonts w:ascii="Times New Roman" w:eastAsia="Times New Roman" w:hAnsi="Times New Roman" w:cs="Times New Roman"/>
          <w:color w:val="222222"/>
          <w:sz w:val="24"/>
          <w:szCs w:val="24"/>
        </w:rPr>
        <w:t xml:space="preserve">) </w:t>
      </w:r>
      <w:r w:rsidRPr="008B3FBA">
        <w:rPr>
          <w:rFonts w:ascii="Times New Roman" w:eastAsia="Times New Roman" w:hAnsi="Times New Roman" w:cs="Times New Roman"/>
          <w:color w:val="222222"/>
          <w:sz w:val="24"/>
          <w:szCs w:val="24"/>
          <w:highlight w:val="white"/>
        </w:rPr>
        <w:t>to disseminate information</w:t>
      </w:r>
      <w:r w:rsidRPr="008B3FBA">
        <w:rPr>
          <w:rFonts w:ascii="Times New Roman" w:eastAsia="Times New Roman" w:hAnsi="Times New Roman" w:cs="Times New Roman"/>
          <w:sz w:val="24"/>
          <w:szCs w:val="24"/>
        </w:rPr>
        <w:t xml:space="preserve"> including annual gear analysis information in entanglement reports, which can be found at the following site: </w:t>
      </w:r>
      <w:hyperlink r:id="rId6">
        <w:r w:rsidRPr="008B3FBA">
          <w:rPr>
            <w:rFonts w:ascii="Times New Roman" w:eastAsia="Times New Roman" w:hAnsi="Times New Roman" w:cs="Times New Roman"/>
            <w:color w:val="0000FF"/>
            <w:sz w:val="24"/>
            <w:szCs w:val="24"/>
            <w:u w:val="single"/>
          </w:rPr>
          <w:t>https://www.greateratlantic.fisheries.noaa.gov/policyseries/index.php/GARPS/article/view/21/16</w:t>
        </w:r>
      </w:hyperlink>
      <w:r w:rsidRPr="008B3FBA">
        <w:rPr>
          <w:rFonts w:ascii="Times New Roman" w:eastAsia="Times New Roman" w:hAnsi="Times New Roman" w:cs="Times New Roman"/>
          <w:sz w:val="24"/>
          <w:szCs w:val="24"/>
        </w:rPr>
        <w:t>.</w:t>
      </w:r>
    </w:p>
    <w:p w:rsidR="00447C1F" w:rsidRPr="008B3FBA" w14:paraId="2B8B54AE" w14:textId="77777777">
      <w:pPr>
        <w:tabs>
          <w:tab w:val="left" w:pos="3580"/>
        </w:tabs>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ab/>
      </w:r>
    </w:p>
    <w:p w:rsidR="00447C1F" w:rsidRPr="008B3FBA" w14:paraId="1B3C5182" w14:textId="19DCEC43">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 xml:space="preserve">NMFS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7" w:history="1">
        <w:r w:rsidRPr="008B3FBA">
          <w:rPr>
            <w:rStyle w:val="Hyperlink"/>
            <w:rFonts w:ascii="Times New Roman" w:eastAsia="Times New Roman" w:hAnsi="Times New Roman" w:cs="Times New Roman"/>
            <w:sz w:val="24"/>
            <w:szCs w:val="24"/>
          </w:rPr>
          <w:t>Section 515 of Public Law 106-554.</w:t>
        </w:r>
      </w:hyperlink>
    </w:p>
    <w:p w:rsidR="00447C1F" w:rsidRPr="008B3FBA" w14:paraId="740FA7D6" w14:textId="77777777">
      <w:pPr>
        <w:spacing w:line="240" w:lineRule="auto"/>
        <w:rPr>
          <w:rFonts w:ascii="Times New Roman" w:eastAsia="Times New Roman" w:hAnsi="Times New Roman" w:cs="Times New Roman"/>
          <w:sz w:val="24"/>
          <w:szCs w:val="24"/>
        </w:rPr>
      </w:pPr>
    </w:p>
    <w:p w:rsidR="00447C1F" w:rsidRPr="008B3FBA" w14:paraId="17A6C51D" w14:textId="77777777">
      <w:pPr>
        <w:spacing w:line="240" w:lineRule="auto"/>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3.</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7C1F" w:rsidRPr="008B3FBA" w14:paraId="73E4B37D" w14:textId="77777777">
      <w:pPr>
        <w:spacing w:line="240" w:lineRule="auto"/>
        <w:rPr>
          <w:rFonts w:ascii="Times New Roman" w:eastAsia="Times New Roman" w:hAnsi="Times New Roman" w:cs="Times New Roman"/>
          <w:sz w:val="24"/>
          <w:szCs w:val="24"/>
        </w:rPr>
      </w:pPr>
    </w:p>
    <w:p w:rsidR="00447C1F" w:rsidRPr="008B3FBA" w14:paraId="27C6A6F7" w14:textId="77777777">
      <w:pPr>
        <w:spacing w:line="240" w:lineRule="auto"/>
        <w:rPr>
          <w:rFonts w:ascii="Times New Roman" w:eastAsia="Times New Roman" w:hAnsi="Times New Roman" w:cs="Times New Roman"/>
          <w:b/>
          <w:color w:val="2F5496"/>
          <w:sz w:val="24"/>
          <w:szCs w:val="24"/>
        </w:rPr>
      </w:pPr>
      <w:r w:rsidRPr="008B3FBA">
        <w:rPr>
          <w:rFonts w:ascii="Times New Roman" w:eastAsia="Times New Roman" w:hAnsi="Times New Roman" w:cs="Times New Roman"/>
          <w:sz w:val="24"/>
          <w:szCs w:val="24"/>
        </w:rPr>
        <w:t>There is no use of automated, electronic, or other technological techniques associated with the gear-marking scheme.</w:t>
      </w:r>
    </w:p>
    <w:p w:rsidR="00447C1F" w:rsidRPr="008B3FBA" w14:paraId="0B002295" w14:textId="77777777">
      <w:pPr>
        <w:spacing w:line="240" w:lineRule="auto"/>
        <w:rPr>
          <w:rFonts w:ascii="Times New Roman" w:eastAsia="Times New Roman" w:hAnsi="Times New Roman" w:cs="Times New Roman"/>
          <w:b/>
          <w:color w:val="2F5496"/>
          <w:sz w:val="24"/>
          <w:szCs w:val="24"/>
        </w:rPr>
      </w:pPr>
    </w:p>
    <w:p w:rsidR="00447C1F" w:rsidRPr="008B3FBA" w14:paraId="1F3B613B" w14:textId="77777777">
      <w:pPr>
        <w:spacing w:line="240" w:lineRule="auto"/>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4.</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Question 2</w:t>
      </w:r>
    </w:p>
    <w:p w:rsidR="00447C1F" w:rsidRPr="008B3FBA" w14:paraId="440DE9A1" w14:textId="77777777">
      <w:pPr>
        <w:spacing w:line="240" w:lineRule="auto"/>
        <w:rPr>
          <w:rFonts w:ascii="Times New Roman" w:eastAsia="Times New Roman" w:hAnsi="Times New Roman" w:cs="Times New Roman"/>
          <w:sz w:val="24"/>
          <w:szCs w:val="24"/>
        </w:rPr>
      </w:pPr>
    </w:p>
    <w:p w:rsidR="00447C1F" w:rsidRPr="008B3FBA" w14:paraId="64C88D1E" w14:textId="77777777">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 xml:space="preserve">Presently, marking for trap/pot and gillnet fisheries and their associated surface gear, is required under several Federal and state fishery management plans.  NMFS’s requirements complement existing Federal and state fishery management plans and take reduction plans.  Although similar colors may be used in other fisheries, color combinations prevent exact duplication.  Current gear marking requirements are described in depth at: </w:t>
      </w:r>
      <w:hyperlink r:id="rId5" w:anchor="outreach">
        <w:r w:rsidRPr="008B3FBA">
          <w:rPr>
            <w:rFonts w:ascii="Times New Roman" w:eastAsia="Times New Roman" w:hAnsi="Times New Roman" w:cs="Times New Roman"/>
            <w:color w:val="1155CC"/>
            <w:sz w:val="24"/>
            <w:szCs w:val="24"/>
            <w:u w:val="single"/>
          </w:rPr>
          <w:t>https://www.fisheries.noaa.gov/new-england-mid-atlantic/marine-mammal-protection/atlantic-large-whale-take-reduction-plan#outreach</w:t>
        </w:r>
      </w:hyperlink>
      <w:r w:rsidRPr="008B3FBA">
        <w:rPr>
          <w:rFonts w:ascii="Times New Roman" w:eastAsia="Times New Roman" w:hAnsi="Times New Roman" w:cs="Times New Roman"/>
          <w:sz w:val="24"/>
          <w:szCs w:val="24"/>
        </w:rPr>
        <w:t xml:space="preserve">. </w:t>
      </w:r>
    </w:p>
    <w:p w:rsidR="00447C1F" w:rsidRPr="008B3FBA" w14:paraId="7CDAAA9C" w14:textId="77777777">
      <w:pPr>
        <w:spacing w:line="240" w:lineRule="auto"/>
        <w:rPr>
          <w:rFonts w:ascii="Times New Roman" w:eastAsia="Times New Roman" w:hAnsi="Times New Roman" w:cs="Times New Roman"/>
          <w:sz w:val="24"/>
          <w:szCs w:val="24"/>
          <w:u w:val="single"/>
        </w:rPr>
      </w:pPr>
    </w:p>
    <w:p w:rsidR="00447C1F" w:rsidRPr="008B3FBA" w14:paraId="6BD02665" w14:textId="7DE1157F">
      <w:pPr>
        <w:spacing w:line="240" w:lineRule="auto"/>
        <w:rPr>
          <w:rFonts w:ascii="Times New Roman" w:eastAsia="Times New Roman" w:hAnsi="Times New Roman" w:cs="Times New Roman"/>
          <w:sz w:val="24"/>
          <w:szCs w:val="24"/>
          <w:u w:val="single"/>
        </w:rPr>
      </w:pPr>
      <w:r w:rsidRPr="008B3FBA">
        <w:rPr>
          <w:rFonts w:ascii="Times New Roman" w:eastAsia="Times New Roman" w:hAnsi="Times New Roman" w:cs="Times New Roman"/>
          <w:sz w:val="24"/>
          <w:szCs w:val="24"/>
          <w:u w:val="single"/>
        </w:rPr>
        <w:t>Current NMFS Trap/Pot Gear Marking Requirements for all ALWTRP fisheries, except the Northeast lobster and Jonah crab trap/pot fishery</w:t>
      </w:r>
      <w:r w:rsidRPr="008B3FBA" w:rsidR="003365D0">
        <w:rPr>
          <w:rFonts w:ascii="Times New Roman" w:eastAsia="Times New Roman" w:hAnsi="Times New Roman" w:cs="Times New Roman"/>
          <w:sz w:val="24"/>
          <w:szCs w:val="24"/>
        </w:rPr>
        <w:t>:</w:t>
      </w:r>
    </w:p>
    <w:p w:rsidR="00447C1F" w:rsidRPr="008B3FBA" w14:paraId="2B5DD71F" w14:textId="77777777">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Vertical buoy lines are to be marked with three 12-inch (30.5 cm) colored marks: one at the top of the buoy line, one midway along the buoy line, and one at the bottom of the buoy line.  If the mark consists of two colors, each color mark may be 6 inches (15.25 cm), for a total mark of 12 inches (30.5 cm).  Each color code must be permanently affixed on or along the line, and each color code must be clearly visible when the gear is hauled or removed from the water.</w:t>
      </w:r>
    </w:p>
    <w:p w:rsidR="00447C1F" w:rsidRPr="008B3FBA" w14:paraId="4A127F6D" w14:textId="77777777">
      <w:pPr>
        <w:spacing w:line="240" w:lineRule="auto"/>
        <w:rPr>
          <w:rFonts w:ascii="Times New Roman" w:eastAsia="Times New Roman" w:hAnsi="Times New Roman" w:cs="Times New Roman"/>
          <w:sz w:val="24"/>
          <w:szCs w:val="24"/>
        </w:rPr>
      </w:pPr>
    </w:p>
    <w:p w:rsidR="00447C1F" w:rsidRPr="008B3FBA" w14:paraId="42AF5728" w14:textId="3BF638AD">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 xml:space="preserve">Table 2: </w:t>
      </w:r>
      <w:r w:rsidRPr="008B3FBA" w:rsidR="0041418F">
        <w:rPr>
          <w:rFonts w:ascii="Times New Roman" w:eastAsia="Times New Roman" w:hAnsi="Times New Roman" w:cs="Times New Roman"/>
          <w:sz w:val="24"/>
          <w:szCs w:val="24"/>
        </w:rPr>
        <w:t> Description of current NMFS trap/pot gear marking requirements, except for the Northeast lobster and Jonah crab fishery:</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970"/>
        <w:gridCol w:w="6390"/>
      </w:tblGrid>
      <w:tr w14:paraId="1E191490"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970" w:type="dxa"/>
            <w:shd w:val="clear" w:color="auto" w:fill="auto"/>
            <w:tcMar>
              <w:top w:w="100" w:type="dxa"/>
              <w:left w:w="100" w:type="dxa"/>
              <w:bottom w:w="100" w:type="dxa"/>
              <w:right w:w="100" w:type="dxa"/>
            </w:tcMar>
          </w:tcPr>
          <w:p w:rsidR="00447C1F" w14:paraId="5BAF7C36" w14:textId="7777777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Gear Marking Color</w:t>
            </w:r>
          </w:p>
        </w:tc>
        <w:tc>
          <w:tcPr>
            <w:tcW w:w="6390" w:type="dxa"/>
            <w:shd w:val="clear" w:color="auto" w:fill="auto"/>
            <w:tcMar>
              <w:top w:w="100" w:type="dxa"/>
              <w:left w:w="100" w:type="dxa"/>
              <w:bottom w:w="100" w:type="dxa"/>
              <w:right w:w="100" w:type="dxa"/>
            </w:tcMar>
          </w:tcPr>
          <w:p w:rsidR="00447C1F" w14:paraId="763D05EC" w14:textId="7777777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Applicable Trap/Pot Management Area </w:t>
            </w:r>
          </w:p>
        </w:tc>
      </w:tr>
      <w:tr w14:paraId="483F7D73" w14:textId="77777777">
        <w:tblPrEx>
          <w:tblW w:w="9360" w:type="dxa"/>
          <w:tblLayout w:type="fixed"/>
          <w:tblLook w:val="0600"/>
        </w:tblPrEx>
        <w:tc>
          <w:tcPr>
            <w:tcW w:w="2970" w:type="dxa"/>
            <w:shd w:val="clear" w:color="auto" w:fill="auto"/>
            <w:tcMar>
              <w:top w:w="100" w:type="dxa"/>
              <w:left w:w="100" w:type="dxa"/>
              <w:bottom w:w="100" w:type="dxa"/>
              <w:right w:w="100" w:type="dxa"/>
            </w:tcMar>
          </w:tcPr>
          <w:p w:rsidR="00447C1F" w14:paraId="4336AC75"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w:t>
            </w:r>
          </w:p>
        </w:tc>
        <w:tc>
          <w:tcPr>
            <w:tcW w:w="6390" w:type="dxa"/>
            <w:shd w:val="clear" w:color="auto" w:fill="auto"/>
            <w:tcMar>
              <w:top w:w="100" w:type="dxa"/>
              <w:left w:w="100" w:type="dxa"/>
              <w:bottom w:w="100" w:type="dxa"/>
              <w:right w:w="100" w:type="dxa"/>
            </w:tcMar>
          </w:tcPr>
          <w:p w:rsidR="00447C1F" w14:paraId="2382DDAC"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Massachusetts Restricted Area</w:t>
            </w:r>
          </w:p>
          <w:p w:rsidR="00447C1F" w14:paraId="6E7EC8CD"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Northern Nearshore Trap/Pot Waters</w:t>
            </w:r>
          </w:p>
          <w:p w:rsidR="00447C1F" w14:paraId="10EA5EF4"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Northern Inshore State Trap/Pot Waters</w:t>
            </w:r>
          </w:p>
          <w:p w:rsidR="00447C1F" w14:paraId="0A49817F"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Stellwagen</w:t>
            </w:r>
            <w:r>
              <w:rPr>
                <w:rFonts w:ascii="Times New Roman" w:eastAsia="Times New Roman" w:hAnsi="Times New Roman" w:cs="Times New Roman"/>
                <w:sz w:val="24"/>
                <w:szCs w:val="24"/>
              </w:rPr>
              <w:t xml:space="preserve"> Bank </w:t>
            </w:r>
            <w:r>
              <w:rPr>
                <w:rFonts w:ascii="Times New Roman" w:eastAsia="Times New Roman" w:hAnsi="Times New Roman" w:cs="Times New Roman"/>
                <w:sz w:val="24"/>
                <w:szCs w:val="24"/>
              </w:rPr>
              <w:t>Jeffreys</w:t>
            </w:r>
            <w:r>
              <w:rPr>
                <w:rFonts w:ascii="Times New Roman" w:eastAsia="Times New Roman" w:hAnsi="Times New Roman" w:cs="Times New Roman"/>
                <w:sz w:val="24"/>
                <w:szCs w:val="24"/>
              </w:rPr>
              <w:t xml:space="preserve"> Ledge Restricted Area</w:t>
            </w:r>
          </w:p>
          <w:p w:rsidR="00447C1F" w14:paraId="40F9AA39"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Great South Channel Restricted Area overlapping Lobster</w:t>
            </w:r>
          </w:p>
          <w:p w:rsidR="00447C1F" w14:paraId="45041251"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Area (LMA) 2 and/or the Outer Cape LMA</w:t>
            </w:r>
          </w:p>
        </w:tc>
      </w:tr>
      <w:tr w14:paraId="5E16F55D" w14:textId="77777777">
        <w:tblPrEx>
          <w:tblW w:w="9360" w:type="dxa"/>
          <w:tblLayout w:type="fixed"/>
          <w:tblLook w:val="0600"/>
        </w:tblPrEx>
        <w:tc>
          <w:tcPr>
            <w:tcW w:w="2970" w:type="dxa"/>
            <w:shd w:val="clear" w:color="auto" w:fill="auto"/>
            <w:tcMar>
              <w:top w:w="100" w:type="dxa"/>
              <w:left w:w="100" w:type="dxa"/>
              <w:bottom w:w="100" w:type="dxa"/>
              <w:right w:w="100" w:type="dxa"/>
            </w:tcMar>
          </w:tcPr>
          <w:p w:rsidR="00447C1F" w14:paraId="46BC7E51"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 &amp; Blue</w:t>
            </w:r>
          </w:p>
        </w:tc>
        <w:tc>
          <w:tcPr>
            <w:tcW w:w="6390" w:type="dxa"/>
            <w:shd w:val="clear" w:color="auto" w:fill="auto"/>
            <w:tcMar>
              <w:top w:w="100" w:type="dxa"/>
              <w:left w:w="100" w:type="dxa"/>
              <w:bottom w:w="100" w:type="dxa"/>
              <w:right w:w="100" w:type="dxa"/>
            </w:tcMar>
          </w:tcPr>
          <w:p w:rsidR="00447C1F" w14:paraId="4846C596"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Exempt RI state waters</w:t>
            </w:r>
          </w:p>
        </w:tc>
      </w:tr>
      <w:tr w14:paraId="52A429A7" w14:textId="77777777">
        <w:tblPrEx>
          <w:tblW w:w="9360" w:type="dxa"/>
          <w:tblLayout w:type="fixed"/>
          <w:tblLook w:val="0600"/>
        </w:tblPrEx>
        <w:tc>
          <w:tcPr>
            <w:tcW w:w="2970" w:type="dxa"/>
            <w:shd w:val="clear" w:color="auto" w:fill="auto"/>
            <w:tcMar>
              <w:top w:w="100" w:type="dxa"/>
              <w:left w:w="100" w:type="dxa"/>
              <w:bottom w:w="100" w:type="dxa"/>
              <w:right w:w="100" w:type="dxa"/>
            </w:tcMar>
          </w:tcPr>
          <w:p w:rsidR="00447C1F" w14:paraId="31CFE3E0"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 &amp; White</w:t>
            </w:r>
          </w:p>
        </w:tc>
        <w:tc>
          <w:tcPr>
            <w:tcW w:w="6390" w:type="dxa"/>
            <w:shd w:val="clear" w:color="auto" w:fill="auto"/>
            <w:tcMar>
              <w:top w:w="100" w:type="dxa"/>
              <w:left w:w="100" w:type="dxa"/>
              <w:bottom w:w="100" w:type="dxa"/>
              <w:right w:w="100" w:type="dxa"/>
            </w:tcMar>
          </w:tcPr>
          <w:p w:rsidR="00447C1F" w14:paraId="0F65E238"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Exempt MA state waters in LMA 1</w:t>
            </w:r>
          </w:p>
        </w:tc>
      </w:tr>
      <w:tr w14:paraId="3AE61E9A" w14:textId="77777777">
        <w:tblPrEx>
          <w:tblW w:w="9360" w:type="dxa"/>
          <w:tblLayout w:type="fixed"/>
          <w:tblLook w:val="0600"/>
        </w:tblPrEx>
        <w:tc>
          <w:tcPr>
            <w:tcW w:w="2970" w:type="dxa"/>
            <w:shd w:val="clear" w:color="auto" w:fill="auto"/>
            <w:tcMar>
              <w:top w:w="100" w:type="dxa"/>
              <w:left w:w="100" w:type="dxa"/>
              <w:bottom w:w="100" w:type="dxa"/>
              <w:right w:w="100" w:type="dxa"/>
            </w:tcMar>
          </w:tcPr>
          <w:p w:rsidR="00447C1F" w14:paraId="7EDEC50E"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 &amp; Black </w:t>
            </w:r>
          </w:p>
        </w:tc>
        <w:tc>
          <w:tcPr>
            <w:tcW w:w="6390" w:type="dxa"/>
            <w:shd w:val="clear" w:color="auto" w:fill="auto"/>
            <w:tcMar>
              <w:top w:w="100" w:type="dxa"/>
              <w:left w:w="100" w:type="dxa"/>
              <w:bottom w:w="100" w:type="dxa"/>
              <w:right w:w="100" w:type="dxa"/>
            </w:tcMar>
          </w:tcPr>
          <w:p w:rsidR="00447C1F" w14:paraId="433A9EAD"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Exempt MA state waters in LMA 2</w:t>
            </w:r>
          </w:p>
        </w:tc>
      </w:tr>
      <w:tr w14:paraId="789AB4EA" w14:textId="77777777">
        <w:tblPrEx>
          <w:tblW w:w="9360" w:type="dxa"/>
          <w:tblLayout w:type="fixed"/>
          <w:tblLook w:val="0600"/>
        </w:tblPrEx>
        <w:tc>
          <w:tcPr>
            <w:tcW w:w="2970" w:type="dxa"/>
            <w:shd w:val="clear" w:color="auto" w:fill="auto"/>
            <w:tcMar>
              <w:top w:w="100" w:type="dxa"/>
              <w:left w:w="100" w:type="dxa"/>
              <w:bottom w:w="100" w:type="dxa"/>
              <w:right w:w="100" w:type="dxa"/>
            </w:tcMar>
          </w:tcPr>
          <w:p w:rsidR="00447C1F" w14:paraId="2930C5ED"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 &amp; Yellow</w:t>
            </w:r>
          </w:p>
        </w:tc>
        <w:tc>
          <w:tcPr>
            <w:tcW w:w="6390" w:type="dxa"/>
            <w:shd w:val="clear" w:color="auto" w:fill="auto"/>
            <w:tcMar>
              <w:top w:w="100" w:type="dxa"/>
              <w:left w:w="100" w:type="dxa"/>
              <w:bottom w:w="100" w:type="dxa"/>
              <w:right w:w="100" w:type="dxa"/>
            </w:tcMar>
          </w:tcPr>
          <w:p w:rsidR="00447C1F" w14:paraId="4F25CF9E"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Exempt MA state waters Outer Cape</w:t>
            </w:r>
          </w:p>
        </w:tc>
      </w:tr>
      <w:tr w14:paraId="04D22845" w14:textId="77777777">
        <w:tblPrEx>
          <w:tblW w:w="9360" w:type="dxa"/>
          <w:tblLayout w:type="fixed"/>
          <w:tblLook w:val="0600"/>
        </w:tblPrEx>
        <w:tc>
          <w:tcPr>
            <w:tcW w:w="2970" w:type="dxa"/>
            <w:shd w:val="clear" w:color="auto" w:fill="auto"/>
            <w:tcMar>
              <w:top w:w="100" w:type="dxa"/>
              <w:left w:w="100" w:type="dxa"/>
              <w:bottom w:w="100" w:type="dxa"/>
              <w:right w:w="100" w:type="dxa"/>
            </w:tcMar>
          </w:tcPr>
          <w:p w:rsidR="00447C1F" w14:paraId="621B7103"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 &amp; Orange</w:t>
            </w:r>
          </w:p>
        </w:tc>
        <w:tc>
          <w:tcPr>
            <w:tcW w:w="6390" w:type="dxa"/>
            <w:shd w:val="clear" w:color="auto" w:fill="auto"/>
            <w:tcMar>
              <w:top w:w="100" w:type="dxa"/>
              <w:left w:w="100" w:type="dxa"/>
              <w:bottom w:w="100" w:type="dxa"/>
              <w:right w:w="100" w:type="dxa"/>
            </w:tcMar>
          </w:tcPr>
          <w:p w:rsidR="00447C1F" w14:paraId="51CB719B"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Isle of Shoals, Maine</w:t>
            </w:r>
          </w:p>
        </w:tc>
      </w:tr>
      <w:tr w14:paraId="6BD1549A" w14:textId="77777777">
        <w:tblPrEx>
          <w:tblW w:w="9360" w:type="dxa"/>
          <w:tblLayout w:type="fixed"/>
          <w:tblLook w:val="0600"/>
        </w:tblPrEx>
        <w:tc>
          <w:tcPr>
            <w:tcW w:w="2970" w:type="dxa"/>
            <w:shd w:val="clear" w:color="auto" w:fill="auto"/>
            <w:tcMar>
              <w:top w:w="100" w:type="dxa"/>
              <w:left w:w="100" w:type="dxa"/>
              <w:bottom w:w="100" w:type="dxa"/>
              <w:right w:w="100" w:type="dxa"/>
            </w:tcMar>
          </w:tcPr>
          <w:p w:rsidR="00447C1F" w14:paraId="0D5F9432"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 &amp; Purple</w:t>
            </w:r>
          </w:p>
        </w:tc>
        <w:tc>
          <w:tcPr>
            <w:tcW w:w="6390" w:type="dxa"/>
            <w:shd w:val="clear" w:color="auto" w:fill="auto"/>
            <w:tcMar>
              <w:top w:w="100" w:type="dxa"/>
              <w:left w:w="100" w:type="dxa"/>
              <w:bottom w:w="100" w:type="dxa"/>
              <w:right w:w="100" w:type="dxa"/>
            </w:tcMar>
          </w:tcPr>
          <w:p w:rsidR="00447C1F" w14:paraId="26C4ED53"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Jordan Basin (Trap/Pot) overlapping LMA 1</w:t>
            </w:r>
          </w:p>
        </w:tc>
      </w:tr>
      <w:tr w14:paraId="0CBE3360" w14:textId="77777777">
        <w:tblPrEx>
          <w:tblW w:w="9360" w:type="dxa"/>
          <w:tblLayout w:type="fixed"/>
          <w:tblLook w:val="0600"/>
        </w:tblPrEx>
        <w:tc>
          <w:tcPr>
            <w:tcW w:w="2970" w:type="dxa"/>
            <w:shd w:val="clear" w:color="auto" w:fill="auto"/>
            <w:tcMar>
              <w:top w:w="100" w:type="dxa"/>
              <w:left w:w="100" w:type="dxa"/>
              <w:bottom w:w="100" w:type="dxa"/>
              <w:right w:w="100" w:type="dxa"/>
            </w:tcMar>
          </w:tcPr>
          <w:p w:rsidR="00447C1F" w14:paraId="58A794C6"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 &amp; Black</w:t>
            </w:r>
          </w:p>
        </w:tc>
        <w:tc>
          <w:tcPr>
            <w:tcW w:w="6390" w:type="dxa"/>
            <w:shd w:val="clear" w:color="auto" w:fill="auto"/>
            <w:tcMar>
              <w:top w:w="100" w:type="dxa"/>
              <w:left w:w="100" w:type="dxa"/>
              <w:bottom w:w="100" w:type="dxa"/>
              <w:right w:w="100" w:type="dxa"/>
            </w:tcMar>
          </w:tcPr>
          <w:p w:rsidR="00447C1F" w14:paraId="30036173"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Jordan Basin (Trap/Pot) overlapping Offshore Trap/Pot Waters</w:t>
            </w:r>
          </w:p>
        </w:tc>
      </w:tr>
      <w:tr w14:paraId="41B482E5" w14:textId="77777777">
        <w:tblPrEx>
          <w:tblW w:w="9360" w:type="dxa"/>
          <w:tblLayout w:type="fixed"/>
          <w:tblLook w:val="0600"/>
        </w:tblPrEx>
        <w:tc>
          <w:tcPr>
            <w:tcW w:w="2970" w:type="dxa"/>
            <w:shd w:val="clear" w:color="auto" w:fill="auto"/>
            <w:tcMar>
              <w:top w:w="100" w:type="dxa"/>
              <w:left w:w="100" w:type="dxa"/>
              <w:bottom w:w="100" w:type="dxa"/>
              <w:right w:w="100" w:type="dxa"/>
            </w:tcMar>
          </w:tcPr>
          <w:p w:rsidR="00447C1F" w14:paraId="77C59EFF"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Orange</w:t>
            </w:r>
          </w:p>
        </w:tc>
        <w:tc>
          <w:tcPr>
            <w:tcW w:w="6390" w:type="dxa"/>
            <w:shd w:val="clear" w:color="auto" w:fill="auto"/>
            <w:tcMar>
              <w:top w:w="100" w:type="dxa"/>
              <w:left w:w="100" w:type="dxa"/>
              <w:bottom w:w="100" w:type="dxa"/>
              <w:right w:w="100" w:type="dxa"/>
            </w:tcMar>
          </w:tcPr>
          <w:p w:rsidR="00447C1F" w14:paraId="73719485"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Southern Nearshore Trap/Pot Waters.</w:t>
            </w:r>
          </w:p>
          <w:p w:rsidR="00447C1F" w14:paraId="675BA421"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14:paraId="7CCF59A2" w14:textId="77777777">
        <w:tblPrEx>
          <w:tblW w:w="9360" w:type="dxa"/>
          <w:tblLayout w:type="fixed"/>
          <w:tblLook w:val="0600"/>
        </w:tblPrEx>
        <w:tc>
          <w:tcPr>
            <w:tcW w:w="2970" w:type="dxa"/>
            <w:shd w:val="clear" w:color="auto" w:fill="auto"/>
            <w:tcMar>
              <w:top w:w="100" w:type="dxa"/>
              <w:left w:w="100" w:type="dxa"/>
              <w:bottom w:w="100" w:type="dxa"/>
              <w:right w:w="100" w:type="dxa"/>
            </w:tcMar>
          </w:tcPr>
          <w:p w:rsidR="00447C1F" w14:paraId="450E5D2A"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w:t>
            </w:r>
          </w:p>
        </w:tc>
        <w:tc>
          <w:tcPr>
            <w:tcW w:w="6390" w:type="dxa"/>
            <w:shd w:val="clear" w:color="auto" w:fill="auto"/>
            <w:tcMar>
              <w:top w:w="100" w:type="dxa"/>
              <w:left w:w="100" w:type="dxa"/>
              <w:bottom w:w="100" w:type="dxa"/>
              <w:right w:w="100" w:type="dxa"/>
            </w:tcMar>
          </w:tcPr>
          <w:p w:rsidR="00447C1F" w14:paraId="5318E328"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Offshore Trap/Pot Waters; Great South Channel Restricted Area overlapping with the LMA 2/3 Overlap and/or LMA 3</w:t>
            </w:r>
          </w:p>
        </w:tc>
      </w:tr>
      <w:tr w14:paraId="5F62CC1B" w14:textId="77777777">
        <w:tblPrEx>
          <w:tblW w:w="9360" w:type="dxa"/>
          <w:tblLayout w:type="fixed"/>
          <w:tblLook w:val="0600"/>
        </w:tblPrEx>
        <w:tc>
          <w:tcPr>
            <w:tcW w:w="2970" w:type="dxa"/>
            <w:shd w:val="clear" w:color="auto" w:fill="auto"/>
            <w:tcMar>
              <w:top w:w="100" w:type="dxa"/>
              <w:left w:w="100" w:type="dxa"/>
              <w:bottom w:w="100" w:type="dxa"/>
              <w:right w:w="100" w:type="dxa"/>
            </w:tcMar>
          </w:tcPr>
          <w:p w:rsidR="00447C1F" w14:paraId="39AE8F77"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Blue &amp; Orange</w:t>
            </w:r>
          </w:p>
        </w:tc>
        <w:tc>
          <w:tcPr>
            <w:tcW w:w="6390" w:type="dxa"/>
            <w:shd w:val="clear" w:color="auto" w:fill="auto"/>
            <w:tcMar>
              <w:top w:w="100" w:type="dxa"/>
              <w:left w:w="100" w:type="dxa"/>
              <w:bottom w:w="100" w:type="dxa"/>
              <w:right w:w="100" w:type="dxa"/>
            </w:tcMar>
          </w:tcPr>
          <w:p w:rsidR="00447C1F" w14:paraId="78C2AC8E"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Southeast Restricted Area North (state waters)</w:t>
            </w:r>
          </w:p>
        </w:tc>
      </w:tr>
      <w:tr w14:paraId="7E3278FB" w14:textId="77777777">
        <w:tblPrEx>
          <w:tblW w:w="9360" w:type="dxa"/>
          <w:tblLayout w:type="fixed"/>
          <w:tblLook w:val="0600"/>
        </w:tblPrEx>
        <w:tc>
          <w:tcPr>
            <w:tcW w:w="2970" w:type="dxa"/>
            <w:shd w:val="clear" w:color="auto" w:fill="auto"/>
            <w:tcMar>
              <w:top w:w="100" w:type="dxa"/>
              <w:left w:w="100" w:type="dxa"/>
              <w:bottom w:w="100" w:type="dxa"/>
              <w:right w:w="100" w:type="dxa"/>
            </w:tcMar>
          </w:tcPr>
          <w:p w:rsidR="00447C1F" w14:paraId="6C3CFFD9"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 &amp; Orange </w:t>
            </w:r>
          </w:p>
        </w:tc>
        <w:tc>
          <w:tcPr>
            <w:tcW w:w="6390" w:type="dxa"/>
            <w:shd w:val="clear" w:color="auto" w:fill="auto"/>
            <w:tcMar>
              <w:top w:w="100" w:type="dxa"/>
              <w:left w:w="100" w:type="dxa"/>
              <w:bottom w:w="100" w:type="dxa"/>
              <w:right w:w="100" w:type="dxa"/>
            </w:tcMar>
          </w:tcPr>
          <w:p w:rsidR="00447C1F" w14:paraId="7B301214"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Southeast Restricted Area North (Federal waters)</w:t>
            </w:r>
          </w:p>
        </w:tc>
      </w:tr>
    </w:tbl>
    <w:p w:rsidR="00447C1F" w14:paraId="71582ECA" w14:textId="77777777">
      <w:pPr>
        <w:spacing w:line="240" w:lineRule="auto"/>
        <w:rPr>
          <w:rFonts w:ascii="Times New Roman" w:eastAsia="Times New Roman" w:hAnsi="Times New Roman" w:cs="Times New Roman"/>
          <w:b/>
        </w:rPr>
      </w:pPr>
    </w:p>
    <w:p w:rsidR="00447C1F" w14:paraId="5F07F417" w14:textId="77777777">
      <w:pPr>
        <w:spacing w:line="240" w:lineRule="auto"/>
        <w:rPr>
          <w:rFonts w:ascii="Times New Roman" w:eastAsia="Times New Roman" w:hAnsi="Times New Roman" w:cs="Times New Roman"/>
          <w:b/>
        </w:rPr>
      </w:pPr>
    </w:p>
    <w:p w:rsidR="00447C1F" w:rsidRPr="008B3FBA" w14:paraId="4F2C082C" w14:textId="77777777">
      <w:pPr>
        <w:spacing w:line="240" w:lineRule="auto"/>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5.</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b/>
          <w:sz w:val="24"/>
          <w:szCs w:val="24"/>
        </w:rPr>
        <w:t>If the collection of information impacts small businesses or other small entities, describe any methods used to minimize burden.</w:t>
      </w:r>
    </w:p>
    <w:p w:rsidR="00447C1F" w:rsidRPr="008B3FBA" w14:paraId="67425673" w14:textId="77777777">
      <w:pPr>
        <w:spacing w:line="240" w:lineRule="auto"/>
        <w:rPr>
          <w:rFonts w:ascii="Times New Roman" w:eastAsia="Times New Roman" w:hAnsi="Times New Roman" w:cs="Times New Roman"/>
          <w:b/>
          <w:sz w:val="24"/>
          <w:szCs w:val="24"/>
        </w:rPr>
      </w:pPr>
    </w:p>
    <w:p w:rsidR="00447C1F" w:rsidRPr="008B3FBA" w14:paraId="76FB6B24" w14:textId="70232FD1">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 xml:space="preserve">The fisheries affected by this gear marking </w:t>
      </w:r>
      <w:r w:rsidRPr="008B3FBA" w:rsidR="008B3FBA">
        <w:rPr>
          <w:rFonts w:ascii="Times New Roman" w:eastAsia="Times New Roman" w:hAnsi="Times New Roman" w:cs="Times New Roman"/>
          <w:sz w:val="24"/>
          <w:szCs w:val="24"/>
        </w:rPr>
        <w:t xml:space="preserve">requirement </w:t>
      </w:r>
      <w:r w:rsidRPr="008B3FBA">
        <w:rPr>
          <w:rFonts w:ascii="Times New Roman" w:eastAsia="Times New Roman" w:hAnsi="Times New Roman" w:cs="Times New Roman"/>
          <w:sz w:val="24"/>
          <w:szCs w:val="24"/>
        </w:rPr>
        <w:t>are composed almost entirely of small businesses.  The existing gear marking requirements affect gillnet and trap/pot fisheries in various Plan management areas in state and federal waters, from Maine through Florida.  NMFS minimized the burden on fishermen by evaluating the existing state/federal gear-marking requirements and developing non-duplicative regulations that allow for the continued use of the previously required state and federal marking requirements without promulgating new requirements where they previously existed.  NMFS developed these gear marking measures with input from fishermen and in a manner that allows fishermen to mark existing gear rather than replacing buoy lines entirely.  Since the majority of the lobster and crab trap/pot fishermen that would be regulated under this modification to the gear marking requirement already mark their lines and buoys, NMFS assumes that this additional marking requirement places minimal additional burden on fishermen in the form of added maintenance time and minimal material costs.</w:t>
      </w:r>
    </w:p>
    <w:p w:rsidR="00447C1F" w:rsidRPr="008B3FBA" w14:paraId="264A3D77" w14:textId="77777777">
      <w:pPr>
        <w:spacing w:line="240" w:lineRule="auto"/>
        <w:rPr>
          <w:rFonts w:ascii="Times New Roman" w:eastAsia="Times New Roman" w:hAnsi="Times New Roman" w:cs="Times New Roman"/>
          <w:sz w:val="24"/>
          <w:szCs w:val="24"/>
        </w:rPr>
      </w:pPr>
    </w:p>
    <w:p w:rsidR="00447C1F" w:rsidRPr="008B3FBA" w14:paraId="0924BB9A" w14:textId="77777777">
      <w:pPr>
        <w:spacing w:line="240" w:lineRule="auto"/>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6.</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447C1F" w:rsidRPr="008B3FBA" w14:paraId="613DAD5A" w14:textId="77777777">
      <w:pPr>
        <w:spacing w:line="240" w:lineRule="auto"/>
        <w:rPr>
          <w:rFonts w:ascii="Times New Roman" w:eastAsia="Times New Roman" w:hAnsi="Times New Roman" w:cs="Times New Roman"/>
          <w:sz w:val="24"/>
          <w:szCs w:val="24"/>
        </w:rPr>
      </w:pPr>
    </w:p>
    <w:p w:rsidR="00447C1F" w:rsidRPr="008B3FBA" w14:paraId="16304E8F" w14:textId="77777777">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 xml:space="preserve">These gear-marking requirements are designed to help NMFS further improve the quality of information concerning the taking of endangered North Atlantic right, humpback, </w:t>
      </w:r>
      <w:r w:rsidRPr="008B3FBA">
        <w:rPr>
          <w:rFonts w:ascii="Times New Roman" w:eastAsia="Times New Roman" w:hAnsi="Times New Roman" w:cs="Times New Roman"/>
          <w:sz w:val="24"/>
          <w:szCs w:val="24"/>
        </w:rPr>
        <w:t>minke</w:t>
      </w:r>
      <w:r w:rsidRPr="008B3FBA">
        <w:rPr>
          <w:rFonts w:ascii="Times New Roman" w:eastAsia="Times New Roman" w:hAnsi="Times New Roman" w:cs="Times New Roman"/>
          <w:sz w:val="24"/>
          <w:szCs w:val="24"/>
        </w:rPr>
        <w:t>, and fin whales incidental to commercial fishing operations.  Specifically, information collected through gear marking helps NMFS and the Team identify the type and general location of commercial fisheries that interact with federally protected marine mammals and may result in mortality and serious injury.  Accordingly, this information will continue to be used to tailor management measures to reduce the risk of mortality and serious injury of marine mammals in commercial fishing operations.</w:t>
      </w:r>
    </w:p>
    <w:p w:rsidR="00447C1F" w:rsidRPr="008B3FBA" w14:paraId="564276E6" w14:textId="77777777">
      <w:pPr>
        <w:spacing w:line="240" w:lineRule="auto"/>
        <w:rPr>
          <w:rFonts w:ascii="Times New Roman" w:eastAsia="Times New Roman" w:hAnsi="Times New Roman" w:cs="Times New Roman"/>
          <w:sz w:val="24"/>
          <w:szCs w:val="24"/>
        </w:rPr>
      </w:pPr>
    </w:p>
    <w:p w:rsidR="00447C1F" w:rsidRPr="008B3FBA" w14:paraId="4ED8432D" w14:textId="77777777">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These gear-marking requirements would provide greater detail regarding where entanglements occur and what type of gear is involved, which helps prevent future management measures from being overly broad and affecting more individuals than necessary.  Therefore, knowing which geographic areas and fisheries pose the greatest risk to large whales will minimize the economic impact to fishermen while maximizing the benefits for these species.</w:t>
      </w:r>
    </w:p>
    <w:p w:rsidR="00447C1F" w:rsidRPr="008B3FBA" w14:paraId="5995E538" w14:textId="77777777">
      <w:pPr>
        <w:spacing w:line="240" w:lineRule="auto"/>
        <w:rPr>
          <w:rFonts w:ascii="Times New Roman" w:eastAsia="Times New Roman" w:hAnsi="Times New Roman" w:cs="Times New Roman"/>
          <w:b/>
          <w:sz w:val="24"/>
          <w:szCs w:val="24"/>
        </w:rPr>
      </w:pPr>
    </w:p>
    <w:p w:rsidR="00447C1F" w:rsidRPr="008B3FBA" w14:paraId="6687874F" w14:textId="77777777">
      <w:pPr>
        <w:spacing w:line="240" w:lineRule="auto"/>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7.</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b/>
          <w:sz w:val="24"/>
          <w:szCs w:val="24"/>
        </w:rPr>
        <w:t>Explain any special circumstances that would cause an information collection to be conducted in a manner inconsistent with OMB guidelines.</w:t>
      </w:r>
    </w:p>
    <w:p w:rsidR="00447C1F" w:rsidRPr="008B3FBA" w14:paraId="785EC61A" w14:textId="77777777">
      <w:pPr>
        <w:spacing w:line="240" w:lineRule="auto"/>
        <w:rPr>
          <w:rFonts w:ascii="Times New Roman" w:eastAsia="Times New Roman" w:hAnsi="Times New Roman" w:cs="Times New Roman"/>
          <w:sz w:val="24"/>
          <w:szCs w:val="24"/>
        </w:rPr>
      </w:pPr>
    </w:p>
    <w:p w:rsidR="00447C1F" w:rsidRPr="008B3FBA" w14:paraId="66E2BC91" w14:textId="161C7403">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There are no special circumstances with this rule that would require the collection of information to be conducted in a manner inconsistent with OMB guidelines.</w:t>
      </w:r>
    </w:p>
    <w:p w:rsidR="00447C1F" w14:paraId="236900E3" w14:textId="77777777">
      <w:pPr>
        <w:spacing w:line="240" w:lineRule="auto"/>
        <w:rPr>
          <w:rFonts w:ascii="Times New Roman" w:eastAsia="Times New Roman" w:hAnsi="Times New Roman" w:cs="Times New Roman"/>
          <w:b/>
        </w:rPr>
      </w:pPr>
    </w:p>
    <w:p w:rsidR="00447C1F" w:rsidRPr="008B3FBA" w14:paraId="0E53C1C2" w14:textId="77777777">
      <w:pPr>
        <w:spacing w:line="240" w:lineRule="auto"/>
        <w:rPr>
          <w:rFonts w:ascii="Times New Roman" w:eastAsia="Times New Roman" w:hAnsi="Times New Roman" w:cs="Times New Roman"/>
          <w:color w:val="2F5496"/>
          <w:sz w:val="24"/>
          <w:szCs w:val="24"/>
        </w:rPr>
      </w:pPr>
      <w:r w:rsidRPr="008B3FBA">
        <w:rPr>
          <w:rFonts w:ascii="Times New Roman" w:eastAsia="Times New Roman" w:hAnsi="Times New Roman" w:cs="Times New Roman"/>
          <w:b/>
          <w:sz w:val="24"/>
          <w:szCs w:val="24"/>
        </w:rPr>
        <w:t>8.</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511BF" w14:paraId="28ACF77B" w14:textId="60202B1F">
      <w:pPr>
        <w:spacing w:line="240" w:lineRule="auto"/>
        <w:rPr>
          <w:rFonts w:ascii="Times New Roman" w:eastAsia="Times New Roman" w:hAnsi="Times New Roman" w:cs="Times New Roman"/>
          <w:sz w:val="24"/>
          <w:szCs w:val="24"/>
        </w:rPr>
      </w:pPr>
    </w:p>
    <w:p w:rsidR="004511BF" w:rsidRPr="004511BF" w:rsidP="004511BF" w14:paraId="567D60E0" w14:textId="0D842C59">
      <w:pPr>
        <w:pStyle w:val="Default"/>
        <w:widowControl/>
        <w:rPr>
          <w:rFonts w:ascii="Times New Roman" w:hAnsi="Times New Roman"/>
          <w:szCs w:val="24"/>
        </w:rPr>
      </w:pPr>
      <w:r w:rsidRPr="004511BF">
        <w:rPr>
          <w:rFonts w:ascii="Times New Roman" w:hAnsi="Times New Roman"/>
          <w:szCs w:val="24"/>
        </w:rPr>
        <w:t xml:space="preserve">A </w:t>
      </w:r>
      <w:hyperlink r:id="rId8" w:history="1">
        <w:r w:rsidRPr="004511BF">
          <w:rPr>
            <w:rStyle w:val="Hyperlink"/>
            <w:rFonts w:ascii="Times New Roman" w:hAnsi="Times New Roman"/>
            <w:szCs w:val="24"/>
          </w:rPr>
          <w:t>Federal Register</w:t>
        </w:r>
      </w:hyperlink>
      <w:r w:rsidRPr="004511BF">
        <w:rPr>
          <w:rFonts w:ascii="Times New Roman" w:hAnsi="Times New Roman"/>
          <w:szCs w:val="24"/>
        </w:rPr>
        <w:t xml:space="preserve"> Notice published on February 13, 2023 (88 FR 925</w:t>
      </w:r>
      <w:r>
        <w:rPr>
          <w:rFonts w:ascii="Times New Roman" w:hAnsi="Times New Roman"/>
          <w:szCs w:val="24"/>
        </w:rPr>
        <w:t>2</w:t>
      </w:r>
      <w:r w:rsidRPr="004511BF">
        <w:rPr>
          <w:rFonts w:ascii="Times New Roman" w:hAnsi="Times New Roman"/>
          <w:szCs w:val="24"/>
        </w:rPr>
        <w:t xml:space="preserve">) solicited public comments. No comments were received during the comment period. </w:t>
      </w:r>
    </w:p>
    <w:p w:rsidR="004511BF" w14:paraId="5FE70087" w14:textId="14D2AF67">
      <w:pPr>
        <w:spacing w:line="240" w:lineRule="auto"/>
        <w:rPr>
          <w:rFonts w:ascii="Times New Roman" w:eastAsia="Times New Roman" w:hAnsi="Times New Roman" w:cs="Times New Roman"/>
          <w:sz w:val="24"/>
          <w:szCs w:val="24"/>
        </w:rPr>
      </w:pPr>
    </w:p>
    <w:p w:rsidR="004511BF" w:rsidRPr="004511BF" w14:paraId="719FBF2F" w14:textId="61760144">
      <w:pPr>
        <w:spacing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Additionally, </w:t>
      </w:r>
      <w:r w:rsidRPr="004511BF">
        <w:rPr>
          <w:rFonts w:ascii="Times New Roman" w:hAnsi="Times New Roman" w:cs="Times New Roman"/>
          <w:color w:val="000000"/>
          <w:sz w:val="24"/>
          <w:szCs w:val="24"/>
        </w:rPr>
        <w:t xml:space="preserve">NMFS reached out to several </w:t>
      </w:r>
      <w:r>
        <w:rPr>
          <w:rFonts w:ascii="Times New Roman" w:hAnsi="Times New Roman" w:cs="Times New Roman"/>
          <w:color w:val="000000"/>
          <w:sz w:val="24"/>
          <w:szCs w:val="24"/>
        </w:rPr>
        <w:t>stakeholders</w:t>
      </w:r>
      <w:r w:rsidRPr="004511BF">
        <w:rPr>
          <w:rFonts w:ascii="Times New Roman" w:hAnsi="Times New Roman" w:cs="Times New Roman"/>
          <w:color w:val="000000"/>
          <w:sz w:val="24"/>
          <w:szCs w:val="24"/>
        </w:rPr>
        <w:t xml:space="preserve"> in an effort to obtain their views on the availability of data, frequency of collection, the clarity of instructions and recordkeeping, disclosure, or reporting format (if any), and on the data elements to be recorded, disclosed, or reported.  No responses were received.</w:t>
      </w:r>
    </w:p>
    <w:p w:rsidR="00447C1F" w:rsidRPr="008B3FBA" w14:paraId="5F1477DC" w14:textId="77777777">
      <w:pPr>
        <w:spacing w:line="240" w:lineRule="auto"/>
        <w:rPr>
          <w:rFonts w:ascii="Times New Roman" w:eastAsia="Times New Roman" w:hAnsi="Times New Roman" w:cs="Times New Roman"/>
          <w:sz w:val="24"/>
          <w:szCs w:val="24"/>
        </w:rPr>
      </w:pPr>
    </w:p>
    <w:p w:rsidR="00447C1F" w:rsidRPr="008B3FBA" w14:paraId="2F472317" w14:textId="77777777">
      <w:pPr>
        <w:spacing w:line="240" w:lineRule="auto"/>
        <w:rPr>
          <w:rFonts w:ascii="Times New Roman" w:eastAsia="Times New Roman" w:hAnsi="Times New Roman" w:cs="Times New Roman"/>
          <w:color w:val="2F5496"/>
          <w:sz w:val="24"/>
          <w:szCs w:val="24"/>
        </w:rPr>
      </w:pPr>
      <w:r w:rsidRPr="008B3FBA">
        <w:rPr>
          <w:rFonts w:ascii="Times New Roman" w:eastAsia="Times New Roman" w:hAnsi="Times New Roman" w:cs="Times New Roman"/>
          <w:b/>
          <w:sz w:val="24"/>
          <w:szCs w:val="24"/>
        </w:rPr>
        <w:t>9.</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b/>
          <w:sz w:val="24"/>
          <w:szCs w:val="24"/>
        </w:rPr>
        <w:t>Explain any decision to provide any payment or gift to respondents, other than remuneration of contractors or grantees.</w:t>
      </w:r>
    </w:p>
    <w:p w:rsidR="00447C1F" w:rsidRPr="008B3FBA" w14:paraId="5719FFF9" w14:textId="77777777">
      <w:pPr>
        <w:spacing w:line="240" w:lineRule="auto"/>
        <w:rPr>
          <w:rFonts w:ascii="Times New Roman" w:eastAsia="Times New Roman" w:hAnsi="Times New Roman" w:cs="Times New Roman"/>
          <w:sz w:val="24"/>
          <w:szCs w:val="24"/>
        </w:rPr>
      </w:pPr>
    </w:p>
    <w:p w:rsidR="00447C1F" w:rsidRPr="008B3FBA" w14:paraId="1B7DCC66" w14:textId="77777777">
      <w:pPr>
        <w:spacing w:line="240" w:lineRule="auto"/>
        <w:rPr>
          <w:rFonts w:ascii="Times New Roman" w:eastAsia="Times New Roman" w:hAnsi="Times New Roman" w:cs="Times New Roman"/>
          <w:color w:val="2F5496"/>
          <w:sz w:val="24"/>
          <w:szCs w:val="24"/>
        </w:rPr>
      </w:pPr>
      <w:r w:rsidRPr="008B3FBA">
        <w:rPr>
          <w:rFonts w:ascii="Times New Roman" w:eastAsia="Times New Roman" w:hAnsi="Times New Roman" w:cs="Times New Roman"/>
          <w:sz w:val="24"/>
          <w:szCs w:val="24"/>
        </w:rPr>
        <w:t>There are no payments or gifts provided to respondents.</w:t>
      </w:r>
    </w:p>
    <w:p w:rsidR="00447C1F" w:rsidRPr="008B3FBA" w14:paraId="44172FD5" w14:textId="77777777">
      <w:pPr>
        <w:spacing w:line="240" w:lineRule="auto"/>
        <w:rPr>
          <w:rFonts w:ascii="Times New Roman" w:eastAsia="Times New Roman" w:hAnsi="Times New Roman" w:cs="Times New Roman"/>
          <w:b/>
          <w:sz w:val="24"/>
          <w:szCs w:val="24"/>
        </w:rPr>
      </w:pPr>
    </w:p>
    <w:p w:rsidR="00447C1F" w:rsidRPr="008B3FBA" w14:paraId="4892E2DC" w14:textId="77777777">
      <w:pPr>
        <w:spacing w:line="240" w:lineRule="auto"/>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10.</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47C1F" w:rsidRPr="008B3FBA" w14:paraId="4615DBA7" w14:textId="77777777">
      <w:pPr>
        <w:keepNext/>
        <w:spacing w:line="240" w:lineRule="auto"/>
        <w:rPr>
          <w:rFonts w:ascii="Times New Roman" w:eastAsia="Times New Roman" w:hAnsi="Times New Roman" w:cs="Times New Roman"/>
          <w:sz w:val="24"/>
          <w:szCs w:val="24"/>
        </w:rPr>
      </w:pPr>
    </w:p>
    <w:p w:rsidR="00447C1F" w:rsidRPr="008B3FBA" w14:paraId="4F986551" w14:textId="77777777">
      <w:pPr>
        <w:keepNext/>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 xml:space="preserve">As stated in </w:t>
      </w:r>
      <w:hyperlink r:id="rId9">
        <w:r w:rsidRPr="008B3FBA">
          <w:rPr>
            <w:rFonts w:ascii="Times New Roman" w:eastAsia="Times New Roman" w:hAnsi="Times New Roman" w:cs="Times New Roman"/>
            <w:color w:val="0000FF"/>
            <w:sz w:val="24"/>
            <w:szCs w:val="24"/>
            <w:u w:val="single"/>
          </w:rPr>
          <w:t>50 CFR 229.11</w:t>
        </w:r>
      </w:hyperlink>
      <w:r w:rsidRPr="008B3FBA">
        <w:rPr>
          <w:rFonts w:ascii="Times New Roman" w:eastAsia="Times New Roman" w:hAnsi="Times New Roman" w:cs="Times New Roman"/>
          <w:sz w:val="24"/>
          <w:szCs w:val="24"/>
        </w:rPr>
        <w:t xml:space="preserve">, Protection of Confidential Fisheries Data, which also references </w:t>
      </w:r>
      <w:hyperlink r:id="rId10">
        <w:r w:rsidRPr="008B3FBA">
          <w:rPr>
            <w:rFonts w:ascii="Times New Roman" w:eastAsia="Times New Roman" w:hAnsi="Times New Roman" w:cs="Times New Roman"/>
            <w:color w:val="0000FF"/>
            <w:sz w:val="24"/>
            <w:szCs w:val="24"/>
            <w:u w:val="single"/>
          </w:rPr>
          <w:t>NOAA Administrative Order 216-100</w:t>
        </w:r>
      </w:hyperlink>
      <w:r w:rsidRPr="008B3FBA">
        <w:rPr>
          <w:rFonts w:ascii="Times New Roman" w:eastAsia="Times New Roman" w:hAnsi="Times New Roman" w:cs="Times New Roman"/>
          <w:sz w:val="24"/>
          <w:szCs w:val="24"/>
        </w:rPr>
        <w:t>, Protection of Confidential Fisheries Statistics, this information and any information leading to identification of the vessel owner is confidential.  The Magnuson-Stevens Fishery Conservation and Management Act, Section 402b, also applies. If gear analysis were to be traced to an individual, neither NMFS or any contractor assisting with gear analysis, will release this information in any format that could allow the public to identify any fisherman individually.</w:t>
      </w:r>
    </w:p>
    <w:p w:rsidR="00447C1F" w:rsidRPr="008B3FBA" w14:paraId="2473B17D" w14:textId="77777777">
      <w:pPr>
        <w:keepNext/>
        <w:spacing w:line="240" w:lineRule="auto"/>
        <w:ind w:firstLine="720"/>
        <w:rPr>
          <w:rFonts w:ascii="Times New Roman" w:eastAsia="Times New Roman" w:hAnsi="Times New Roman" w:cs="Times New Roman"/>
          <w:sz w:val="24"/>
          <w:szCs w:val="24"/>
        </w:rPr>
      </w:pPr>
    </w:p>
    <w:p w:rsidR="00447C1F" w:rsidRPr="008B3FBA" w14:paraId="056CD2D1" w14:textId="77777777">
      <w:pPr>
        <w:spacing w:line="240" w:lineRule="auto"/>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11.</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b/>
          <w:sz w:val="24"/>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w:t>
      </w:r>
      <w:r w:rsidRPr="008B3FBA">
        <w:rPr>
          <w:rFonts w:ascii="Times New Roman" w:eastAsia="Times New Roman" w:hAnsi="Times New Roman" w:cs="Times New Roman"/>
          <w:b/>
          <w:sz w:val="24"/>
          <w:szCs w:val="24"/>
        </w:rPr>
        <w:t>the  information</w:t>
      </w:r>
      <w:r w:rsidRPr="008B3FBA">
        <w:rPr>
          <w:rFonts w:ascii="Times New Roman" w:eastAsia="Times New Roman" w:hAnsi="Times New Roman" w:cs="Times New Roman"/>
          <w:b/>
          <w:sz w:val="24"/>
          <w:szCs w:val="24"/>
        </w:rPr>
        <w:t xml:space="preserve"> is requested, and any steps to be taken to obtain their consent.</w:t>
      </w:r>
    </w:p>
    <w:p w:rsidR="00447C1F" w:rsidRPr="008B3FBA" w14:paraId="3AE05D90" w14:textId="77777777">
      <w:pPr>
        <w:spacing w:line="240" w:lineRule="auto"/>
        <w:rPr>
          <w:rFonts w:ascii="Times New Roman" w:eastAsia="Times New Roman" w:hAnsi="Times New Roman" w:cs="Times New Roman"/>
          <w:sz w:val="24"/>
          <w:szCs w:val="24"/>
        </w:rPr>
      </w:pPr>
    </w:p>
    <w:p w:rsidR="00447C1F" w:rsidRPr="008B3FBA" w14:paraId="4C723BA6" w14:textId="77777777">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No questions of a sensitive nature will be asked.</w:t>
      </w:r>
    </w:p>
    <w:p w:rsidR="00447C1F" w:rsidRPr="008B3FBA" w14:paraId="55671D14" w14:textId="77777777">
      <w:pPr>
        <w:spacing w:line="240" w:lineRule="auto"/>
        <w:rPr>
          <w:rFonts w:ascii="Times New Roman" w:eastAsia="Times New Roman" w:hAnsi="Times New Roman" w:cs="Times New Roman"/>
          <w:sz w:val="24"/>
          <w:szCs w:val="24"/>
        </w:rPr>
      </w:pPr>
    </w:p>
    <w:p w:rsidR="00447C1F" w:rsidRPr="008B3FBA" w14:paraId="6FD376EF" w14:textId="77777777">
      <w:pPr>
        <w:spacing w:line="240" w:lineRule="auto"/>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12.</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b/>
          <w:sz w:val="24"/>
          <w:szCs w:val="24"/>
        </w:rPr>
        <w:t>Provide estimates of the hour burden of the collection of information.</w:t>
      </w:r>
    </w:p>
    <w:p w:rsidR="00447C1F" w:rsidRPr="008B3FBA" w14:paraId="1E869388" w14:textId="77777777">
      <w:pPr>
        <w:spacing w:line="240" w:lineRule="auto"/>
        <w:rPr>
          <w:rFonts w:ascii="Times New Roman" w:eastAsia="Times New Roman" w:hAnsi="Times New Roman" w:cs="Times New Roman"/>
          <w:sz w:val="24"/>
          <w:szCs w:val="24"/>
        </w:rPr>
      </w:pPr>
    </w:p>
    <w:p w:rsidR="00447C1F" w:rsidRPr="008B3FBA" w14:paraId="2BD680AE" w14:textId="77777777">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Table 3: Estimated hour burden for the collection of information.</w:t>
      </w:r>
    </w:p>
    <w:p w:rsidR="00447C1F" w14:paraId="5F13567F" w14:textId="77777777">
      <w:pPr>
        <w:spacing w:line="240" w:lineRule="auto"/>
        <w:rPr>
          <w:rFonts w:ascii="Times New Roman" w:eastAsia="Times New Roman" w:hAnsi="Times New Roman" w:cs="Times New Roman"/>
          <w:sz w:val="24"/>
          <w:szCs w:val="24"/>
        </w:rPr>
      </w:pPr>
    </w:p>
    <w:tbl>
      <w:tblPr>
        <w:tblStyle w:val="af6"/>
        <w:tblW w:w="9570" w:type="dxa"/>
        <w:tblBorders>
          <w:top w:val="nil"/>
          <w:left w:val="nil"/>
          <w:bottom w:val="nil"/>
          <w:right w:val="nil"/>
          <w:insideH w:val="nil"/>
          <w:insideV w:val="nil"/>
        </w:tblBorders>
        <w:tblLayout w:type="fixed"/>
        <w:tblLook w:val="0600"/>
      </w:tblPr>
      <w:tblGrid>
        <w:gridCol w:w="980"/>
        <w:gridCol w:w="990"/>
        <w:gridCol w:w="1240"/>
        <w:gridCol w:w="1215"/>
        <w:gridCol w:w="1200"/>
        <w:gridCol w:w="930"/>
        <w:gridCol w:w="1035"/>
        <w:gridCol w:w="975"/>
        <w:gridCol w:w="1005"/>
      </w:tblGrid>
      <w:tr w14:paraId="52D9AEA5" w14:textId="77777777" w:rsidTr="004511BF">
        <w:tblPrEx>
          <w:tblW w:w="9570" w:type="dxa"/>
          <w:tblBorders>
            <w:top w:val="nil"/>
            <w:left w:val="nil"/>
            <w:bottom w:val="nil"/>
            <w:right w:val="nil"/>
            <w:insideH w:val="nil"/>
            <w:insideV w:val="nil"/>
          </w:tblBorders>
          <w:tblLayout w:type="fixed"/>
          <w:tblLook w:val="0600"/>
        </w:tblPrEx>
        <w:trPr>
          <w:trHeight w:val="852"/>
        </w:trPr>
        <w:tc>
          <w:tcPr>
            <w:tcW w:w="980"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447C1F" w14:paraId="03EA2453"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Information Collection</w:t>
            </w:r>
          </w:p>
        </w:tc>
        <w:tc>
          <w:tcPr>
            <w:tcW w:w="99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447C1F" w14:paraId="488043FE"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Type of Respondent (e.g., Occupational Title)</w:t>
            </w:r>
          </w:p>
        </w:tc>
        <w:tc>
          <w:tcPr>
            <w:tcW w:w="124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447C1F" w14:paraId="7BBD37D1"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Number of Respondents /</w:t>
            </w:r>
          </w:p>
          <w:p w:rsidR="00447C1F" w14:paraId="2513573F"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Year</w:t>
            </w:r>
          </w:p>
          <w:p w:rsidR="00447C1F" w14:paraId="7206CB59"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w:t>
            </w:r>
          </w:p>
        </w:tc>
        <w:tc>
          <w:tcPr>
            <w:tcW w:w="121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447C1F" w14:paraId="09B40FC5"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Annual Number of Responses / Respondent</w:t>
            </w:r>
          </w:p>
          <w:p w:rsidR="00447C1F" w14:paraId="5BCDA48C" w14:textId="77777777">
            <w:pPr>
              <w:spacing w:line="240" w:lineRule="auto"/>
              <w:ind w:left="-20"/>
              <w:jc w:val="center"/>
              <w:rPr>
                <w:rFonts w:ascii="Times New Roman" w:eastAsia="Times New Roman" w:hAnsi="Times New Roman" w:cs="Times New Roman"/>
                <w:b/>
                <w:sz w:val="14"/>
                <w:szCs w:val="14"/>
              </w:rPr>
            </w:pPr>
          </w:p>
          <w:p w:rsidR="00447C1F" w14:paraId="7B2E8099"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(b)</w:t>
            </w:r>
          </w:p>
        </w:tc>
        <w:tc>
          <w:tcPr>
            <w:tcW w:w="120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447C1F" w14:paraId="42086372"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 Total # of Annual Responses</w:t>
            </w:r>
          </w:p>
          <w:p w:rsidR="00447C1F" w14:paraId="56DBDB9D"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 = (a) x (b)</w:t>
            </w:r>
          </w:p>
        </w:tc>
        <w:tc>
          <w:tcPr>
            <w:tcW w:w="93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447C1F" w14:paraId="4B84EFA6"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Burden </w:t>
            </w:r>
            <w:r>
              <w:rPr>
                <w:rFonts w:ascii="Times New Roman" w:eastAsia="Times New Roman" w:hAnsi="Times New Roman" w:cs="Times New Roman"/>
                <w:b/>
                <w:sz w:val="14"/>
                <w:szCs w:val="14"/>
              </w:rPr>
              <w:t>Hrs</w:t>
            </w:r>
            <w:r>
              <w:rPr>
                <w:rFonts w:ascii="Times New Roman" w:eastAsia="Times New Roman" w:hAnsi="Times New Roman" w:cs="Times New Roman"/>
                <w:b/>
                <w:sz w:val="14"/>
                <w:szCs w:val="14"/>
              </w:rPr>
              <w:t xml:space="preserve"> / Response</w:t>
            </w:r>
          </w:p>
          <w:p w:rsidR="00447C1F" w14:paraId="45EA966F"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(d)</w:t>
            </w:r>
          </w:p>
        </w:tc>
        <w:tc>
          <w:tcPr>
            <w:tcW w:w="103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447C1F" w14:paraId="539A0613"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Total Annual Burden </w:t>
            </w:r>
            <w:r>
              <w:rPr>
                <w:rFonts w:ascii="Times New Roman" w:eastAsia="Times New Roman" w:hAnsi="Times New Roman" w:cs="Times New Roman"/>
                <w:b/>
                <w:sz w:val="14"/>
                <w:szCs w:val="14"/>
              </w:rPr>
              <w:t>Hrs</w:t>
            </w:r>
          </w:p>
          <w:p w:rsidR="00447C1F" w14:paraId="56E7FA5E"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(e)  = (c) x (d)</w:t>
            </w:r>
          </w:p>
        </w:tc>
        <w:tc>
          <w:tcPr>
            <w:tcW w:w="97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447C1F" w14:paraId="1C7CBE78"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Hourly Wage Rate  (for Type of Respondent)</w:t>
            </w:r>
          </w:p>
          <w:p w:rsidR="00447C1F" w14:paraId="78A3BEA8"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(f)</w:t>
            </w:r>
          </w:p>
        </w:tc>
        <w:tc>
          <w:tcPr>
            <w:tcW w:w="100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447C1F" w14:paraId="3CD634A8"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Total Annual Wage Burden Costs</w:t>
            </w:r>
          </w:p>
          <w:p w:rsidR="00447C1F" w14:paraId="00AEF42A" w14:textId="77777777">
            <w:pPr>
              <w:spacing w:line="240" w:lineRule="auto"/>
              <w:ind w:left="-20"/>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(g) = (e) x (f)</w:t>
            </w:r>
          </w:p>
        </w:tc>
      </w:tr>
      <w:tr w14:paraId="2B9EC2DD" w14:textId="77777777">
        <w:tblPrEx>
          <w:tblW w:w="9570" w:type="dxa"/>
          <w:tblLayout w:type="fixed"/>
          <w:tblLook w:val="0600"/>
        </w:tblPrEx>
        <w:trPr>
          <w:trHeight w:val="500"/>
        </w:trPr>
        <w:tc>
          <w:tcPr>
            <w:tcW w:w="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447C1F" w14:paraId="040DE369" w14:textId="77777777">
            <w:pPr>
              <w:spacing w:line="240" w:lineRule="auto"/>
              <w:ind w:left="-20"/>
              <w:rPr>
                <w:rFonts w:ascii="Times New Roman" w:eastAsia="Times New Roman" w:hAnsi="Times New Roman" w:cs="Times New Roman"/>
                <w:b/>
                <w:sz w:val="16"/>
                <w:szCs w:val="16"/>
              </w:rPr>
            </w:pPr>
            <w:r>
              <w:rPr>
                <w:rFonts w:ascii="Times New Roman" w:eastAsia="Times New Roman" w:hAnsi="Times New Roman" w:cs="Times New Roman"/>
                <w:b/>
                <w:sz w:val="16"/>
                <w:szCs w:val="16"/>
              </w:rPr>
              <w:t>Gear marking on vertical buoy lines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14:paraId="23D9EE91"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Fisherman</w:t>
            </w:r>
          </w:p>
        </w:tc>
        <w:tc>
          <w:tcPr>
            <w:tcW w:w="124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14:paraId="7AA1E5B9"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3,970 Vessels</w:t>
            </w:r>
          </w:p>
        </w:tc>
        <w:tc>
          <w:tcPr>
            <w:tcW w:w="121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14:paraId="2FF6DB20"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389 Marks per vessel</w:t>
            </w:r>
          </w:p>
        </w:tc>
        <w:tc>
          <w:tcPr>
            <w:tcW w:w="120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14:paraId="2C412A46"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1,544,842</w:t>
            </w:r>
          </w:p>
          <w:p w:rsidR="00447C1F" w14:paraId="5AFF9C7D"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total marks </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14:paraId="1B23582E"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Average 6.7-8.6 minutes per mark  </w:t>
            </w:r>
          </w:p>
        </w:tc>
        <w:tc>
          <w:tcPr>
            <w:tcW w:w="103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14:paraId="35FA9E59"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171,367-222,391 Annual burden hours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rsidP="00094605" w14:paraId="6A999AAA" w14:textId="4F02999D">
            <w:pPr>
              <w:spacing w:line="240" w:lineRule="auto"/>
              <w:jc w:val="right"/>
              <w:rPr>
                <w:rFonts w:ascii="Times New Roman" w:eastAsia="Times New Roman" w:hAnsi="Times New Roman" w:cs="Times New Roman"/>
                <w:sz w:val="16"/>
                <w:szCs w:val="16"/>
              </w:rPr>
            </w:pPr>
            <w:r w:rsidRPr="00B6533E">
              <w:rPr>
                <w:rFonts w:ascii="Times New Roman" w:eastAsia="Times New Roman" w:hAnsi="Times New Roman" w:cs="Times New Roman"/>
                <w:sz w:val="16"/>
                <w:szCs w:val="16"/>
              </w:rPr>
              <w:t xml:space="preserve"> $</w:t>
            </w:r>
            <w:r w:rsidR="00094605">
              <w:rPr>
                <w:rFonts w:ascii="Times New Roman" w:eastAsia="Times New Roman" w:hAnsi="Times New Roman" w:cs="Times New Roman"/>
                <w:sz w:val="16"/>
                <w:szCs w:val="16"/>
              </w:rPr>
              <w:t>27.92</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rsidP="001A7EFB" w14:paraId="21CF5FE6" w14:textId="17C1CB6A">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094605">
              <w:rPr>
                <w:rFonts w:ascii="Times New Roman" w:eastAsia="Times New Roman" w:hAnsi="Times New Roman" w:cs="Times New Roman"/>
                <w:sz w:val="16"/>
                <w:szCs w:val="16"/>
              </w:rPr>
              <w:t>4.</w:t>
            </w:r>
            <w:r w:rsidR="001A7EFB">
              <w:rPr>
                <w:rFonts w:ascii="Times New Roman" w:eastAsia="Times New Roman" w:hAnsi="Times New Roman" w:cs="Times New Roman"/>
                <w:sz w:val="16"/>
                <w:szCs w:val="16"/>
              </w:rPr>
              <w:t>9</w:t>
            </w:r>
            <w:r>
              <w:rPr>
                <w:rFonts w:ascii="Times New Roman" w:eastAsia="Times New Roman" w:hAnsi="Times New Roman" w:cs="Times New Roman"/>
                <w:sz w:val="16"/>
                <w:szCs w:val="16"/>
              </w:rPr>
              <w:t>-</w:t>
            </w:r>
            <w:r w:rsidR="00094605">
              <w:rPr>
                <w:rFonts w:ascii="Times New Roman" w:eastAsia="Times New Roman" w:hAnsi="Times New Roman" w:cs="Times New Roman"/>
                <w:sz w:val="16"/>
                <w:szCs w:val="16"/>
              </w:rPr>
              <w:t>6.5</w:t>
            </w:r>
            <w:r>
              <w:rPr>
                <w:rFonts w:ascii="Times New Roman" w:eastAsia="Times New Roman" w:hAnsi="Times New Roman" w:cs="Times New Roman"/>
                <w:sz w:val="16"/>
                <w:szCs w:val="16"/>
              </w:rPr>
              <w:t xml:space="preserve"> million Annual wage burden costs</w:t>
            </w:r>
          </w:p>
        </w:tc>
      </w:tr>
      <w:tr w14:paraId="74966C22" w14:textId="77777777">
        <w:tblPrEx>
          <w:tblW w:w="9570" w:type="dxa"/>
          <w:tblLayout w:type="fixed"/>
          <w:tblLook w:val="0600"/>
        </w:tblPrEx>
        <w:trPr>
          <w:trHeight w:val="815"/>
        </w:trPr>
        <w:tc>
          <w:tcPr>
            <w:tcW w:w="980" w:type="dxa"/>
            <w:tcBorders>
              <w:top w:val="nil"/>
              <w:left w:val="single" w:sz="8" w:space="0" w:color="000000"/>
              <w:bottom w:val="single" w:sz="8" w:space="0" w:color="000000"/>
              <w:right w:val="single" w:sz="8" w:space="0" w:color="000000"/>
            </w:tcBorders>
            <w:shd w:val="clear" w:color="auto" w:fill="DDEBF7"/>
            <w:tcMar>
              <w:top w:w="100" w:type="dxa"/>
              <w:left w:w="100" w:type="dxa"/>
              <w:bottom w:w="100" w:type="dxa"/>
              <w:right w:w="100" w:type="dxa"/>
            </w:tcMar>
            <w:vAlign w:val="bottom"/>
          </w:tcPr>
          <w:p w:rsidR="00447C1F" w14:paraId="04A656A1" w14:textId="77777777">
            <w:pPr>
              <w:spacing w:line="240" w:lineRule="auto"/>
              <w:ind w:left="-20"/>
              <w:rPr>
                <w:rFonts w:ascii="Times New Roman" w:eastAsia="Times New Roman" w:hAnsi="Times New Roman" w:cs="Times New Roman"/>
                <w:b/>
              </w:rPr>
            </w:pPr>
            <w:r>
              <w:rPr>
                <w:rFonts w:ascii="Times New Roman" w:eastAsia="Times New Roman" w:hAnsi="Times New Roman" w:cs="Times New Roman"/>
                <w:b/>
                <w:sz w:val="16"/>
                <w:szCs w:val="16"/>
              </w:rPr>
              <w:t>Total</w:t>
            </w:r>
          </w:p>
        </w:tc>
        <w:tc>
          <w:tcPr>
            <w:tcW w:w="990"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447C1F" w14:paraId="7C5616C2" w14:textId="77777777">
            <w:pPr>
              <w:spacing w:line="240" w:lineRule="auto"/>
              <w:ind w:left="-20"/>
              <w:rPr>
                <w:rFonts w:ascii="Times New Roman" w:eastAsia="Times New Roman" w:hAnsi="Times New Roman" w:cs="Times New Roman"/>
                <w:b/>
              </w:rPr>
            </w:pPr>
            <w:r>
              <w:rPr>
                <w:rFonts w:ascii="Times New Roman" w:eastAsia="Times New Roman" w:hAnsi="Times New Roman" w:cs="Times New Roman"/>
                <w:b/>
              </w:rPr>
              <w:t xml:space="preserve"> </w:t>
            </w:r>
          </w:p>
        </w:tc>
        <w:tc>
          <w:tcPr>
            <w:tcW w:w="1240"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447C1F" w14:paraId="0DB3FA21" w14:textId="77777777">
            <w:pPr>
              <w:spacing w:line="240" w:lineRule="auto"/>
              <w:ind w:left="-20"/>
              <w:rPr>
                <w:rFonts w:ascii="Times New Roman" w:eastAsia="Times New Roman" w:hAnsi="Times New Roman" w:cs="Times New Roman"/>
                <w:b/>
              </w:rPr>
            </w:pPr>
            <w:r>
              <w:rPr>
                <w:rFonts w:ascii="Times New Roman" w:eastAsia="Times New Roman" w:hAnsi="Times New Roman" w:cs="Times New Roman"/>
                <w:b/>
              </w:rPr>
              <w:t xml:space="preserve"> </w:t>
            </w:r>
          </w:p>
        </w:tc>
        <w:tc>
          <w:tcPr>
            <w:tcW w:w="1215"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447C1F" w14:paraId="4C8F7BF6" w14:textId="77777777">
            <w:pPr>
              <w:spacing w:line="240" w:lineRule="auto"/>
              <w:ind w:left="-20"/>
              <w:rPr>
                <w:rFonts w:ascii="Times New Roman" w:eastAsia="Times New Roman" w:hAnsi="Times New Roman" w:cs="Times New Roman"/>
                <w:b/>
              </w:rPr>
            </w:pPr>
            <w:r>
              <w:rPr>
                <w:rFonts w:ascii="Times New Roman" w:eastAsia="Times New Roman" w:hAnsi="Times New Roman" w:cs="Times New Roman"/>
                <w:b/>
              </w:rPr>
              <w:t xml:space="preserve"> </w:t>
            </w:r>
          </w:p>
        </w:tc>
        <w:tc>
          <w:tcPr>
            <w:tcW w:w="1200"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vAlign w:val="bottom"/>
          </w:tcPr>
          <w:p w:rsidR="00447C1F" w14:paraId="37935A25" w14:textId="77777777">
            <w:pPr>
              <w:spacing w:line="240" w:lineRule="auto"/>
              <w:ind w:left="-20"/>
              <w:jc w:val="right"/>
              <w:rPr>
                <w:rFonts w:ascii="Times New Roman" w:eastAsia="Times New Roman" w:hAnsi="Times New Roman" w:cs="Times New Roman"/>
                <w:b/>
              </w:rPr>
            </w:pPr>
            <w:r>
              <w:rPr>
                <w:rFonts w:ascii="Times New Roman" w:eastAsia="Times New Roman" w:hAnsi="Times New Roman" w:cs="Times New Roman"/>
                <w:sz w:val="16"/>
                <w:szCs w:val="16"/>
              </w:rPr>
              <w:t xml:space="preserve">1,544,842 Total marks </w:t>
            </w:r>
          </w:p>
        </w:tc>
        <w:tc>
          <w:tcPr>
            <w:tcW w:w="930"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447C1F" w14:paraId="2AF605C0" w14:textId="77777777">
            <w:pPr>
              <w:spacing w:line="240" w:lineRule="auto"/>
              <w:ind w:left="-20"/>
              <w:rPr>
                <w:rFonts w:ascii="Times New Roman" w:eastAsia="Times New Roman" w:hAnsi="Times New Roman" w:cs="Times New Roman"/>
                <w:b/>
              </w:rPr>
            </w:pPr>
            <w:r>
              <w:rPr>
                <w:rFonts w:ascii="Times New Roman" w:eastAsia="Times New Roman" w:hAnsi="Times New Roman" w:cs="Times New Roman"/>
                <w:b/>
              </w:rPr>
              <w:t xml:space="preserve"> </w:t>
            </w:r>
          </w:p>
        </w:tc>
        <w:tc>
          <w:tcPr>
            <w:tcW w:w="103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14:paraId="3B475517"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171,367-222,391 Annual burden hours</w:t>
            </w:r>
          </w:p>
        </w:tc>
        <w:tc>
          <w:tcPr>
            <w:tcW w:w="975"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447C1F" w14:paraId="3A9831FE" w14:textId="77777777">
            <w:pPr>
              <w:spacing w:line="240" w:lineRule="auto"/>
              <w:ind w:left="-20"/>
              <w:rPr>
                <w:rFonts w:ascii="Times New Roman" w:eastAsia="Times New Roman" w:hAnsi="Times New Roman" w:cs="Times New Roman"/>
                <w:b/>
              </w:rPr>
            </w:pPr>
            <w:r>
              <w:rPr>
                <w:rFonts w:ascii="Times New Roman" w:eastAsia="Times New Roman" w:hAnsi="Times New Roman" w:cs="Times New Roman"/>
                <w:b/>
              </w:rPr>
              <w:t xml:space="preserve"> </w:t>
            </w:r>
          </w:p>
        </w:tc>
        <w:tc>
          <w:tcPr>
            <w:tcW w:w="1005"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vAlign w:val="bottom"/>
          </w:tcPr>
          <w:p w:rsidR="00447C1F" w:rsidP="001A7EFB" w14:paraId="7BC2A08E" w14:textId="003A59CE">
            <w:pPr>
              <w:spacing w:line="240" w:lineRule="auto"/>
              <w:ind w:left="-20"/>
              <w:jc w:val="right"/>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sz w:val="16"/>
                <w:szCs w:val="16"/>
              </w:rPr>
              <w:t>$</w:t>
            </w:r>
            <w:r w:rsidR="00094605">
              <w:rPr>
                <w:rFonts w:ascii="Times New Roman" w:eastAsia="Times New Roman" w:hAnsi="Times New Roman" w:cs="Times New Roman"/>
                <w:sz w:val="16"/>
                <w:szCs w:val="16"/>
              </w:rPr>
              <w:t>4.</w:t>
            </w:r>
            <w:r w:rsidR="001A7EFB">
              <w:rPr>
                <w:rFonts w:ascii="Times New Roman" w:eastAsia="Times New Roman" w:hAnsi="Times New Roman" w:cs="Times New Roman"/>
                <w:sz w:val="16"/>
                <w:szCs w:val="16"/>
              </w:rPr>
              <w:t>9</w:t>
            </w:r>
            <w:r w:rsidR="00094605">
              <w:rPr>
                <w:rFonts w:ascii="Times New Roman" w:eastAsia="Times New Roman" w:hAnsi="Times New Roman" w:cs="Times New Roman"/>
                <w:sz w:val="16"/>
                <w:szCs w:val="16"/>
              </w:rPr>
              <w:t xml:space="preserve">-6.5 </w:t>
            </w:r>
            <w:r>
              <w:rPr>
                <w:rFonts w:ascii="Times New Roman" w:eastAsia="Times New Roman" w:hAnsi="Times New Roman" w:cs="Times New Roman"/>
                <w:sz w:val="16"/>
                <w:szCs w:val="16"/>
              </w:rPr>
              <w:t>million Annual wage burden costs</w:t>
            </w:r>
          </w:p>
        </w:tc>
      </w:tr>
    </w:tbl>
    <w:p w:rsidR="00447C1F" w14:paraId="49BF3AA1" w14:textId="77777777">
      <w:pPr>
        <w:spacing w:line="240" w:lineRule="auto"/>
        <w:rPr>
          <w:rFonts w:ascii="Times New Roman" w:eastAsia="Times New Roman" w:hAnsi="Times New Roman" w:cs="Times New Roman"/>
          <w:sz w:val="24"/>
          <w:szCs w:val="24"/>
        </w:rPr>
      </w:pPr>
    </w:p>
    <w:p w:rsidR="00447C1F" w:rsidRPr="00830F21" w:rsidP="00830F21" w14:paraId="48390A14" w14:textId="236875BD">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Using information from Atlantic coastal states, federal permitting, and vessel trip reports, NOAA has identified the number of vessels and buoy lines actively fished, as well as the total number of marks required.  As seen in the table below, we estimate that there are approximately </w:t>
      </w:r>
      <w:r w:rsidRPr="00B6533E">
        <w:rPr>
          <w:rFonts w:ascii="Times New Roman" w:eastAsia="Times New Roman" w:hAnsi="Times New Roman" w:cs="Times New Roman"/>
          <w:sz w:val="24"/>
          <w:szCs w:val="24"/>
        </w:rPr>
        <w:t xml:space="preserve">3,970 vessels that need to remark an average of 389 marks each year.  Each mark takes between approximately 6.7 and 8.6 minutes to apply, depending on the size of the mark and method used </w:t>
      </w:r>
      <w:r w:rsidRPr="00B6533E">
        <w:rPr>
          <w:rFonts w:ascii="Times New Roman" w:eastAsia="Times New Roman" w:hAnsi="Times New Roman" w:cs="Times New Roman"/>
          <w:sz w:val="24"/>
          <w:szCs w:val="24"/>
        </w:rPr>
        <w:t>-  using</w:t>
      </w:r>
      <w:r w:rsidRPr="00B6533E">
        <w:rPr>
          <w:rFonts w:ascii="Times New Roman" w:eastAsia="Times New Roman" w:hAnsi="Times New Roman" w:cs="Times New Roman"/>
          <w:sz w:val="24"/>
          <w:szCs w:val="24"/>
        </w:rPr>
        <w:t xml:space="preserve"> twine may take up to 10 minutes, while painting or using tape only takes about 2 minutes </w:t>
      </w:r>
      <w:r w:rsidRPr="00B6533E">
        <w:rPr>
          <w:rFonts w:ascii="Times New Roman" w:eastAsia="Times New Roman" w:hAnsi="Times New Roman" w:cs="Times New Roman"/>
          <w:sz w:val="24"/>
          <w:szCs w:val="24"/>
        </w:rPr>
        <w:t xml:space="preserve">per mark.  </w:t>
      </w:r>
      <w:r w:rsidRPr="00830F21">
        <w:rPr>
          <w:rFonts w:ascii="Times New Roman" w:eastAsia="Times New Roman" w:hAnsi="Times New Roman" w:cs="Times New Roman"/>
          <w:sz w:val="24"/>
          <w:szCs w:val="24"/>
        </w:rPr>
        <w:t xml:space="preserve">Applying the </w:t>
      </w:r>
      <w:r w:rsidRPr="00830F21" w:rsidR="00094605">
        <w:rPr>
          <w:rFonts w:ascii="Times New Roman" w:eastAsia="Times New Roman" w:hAnsi="Times New Roman" w:cs="Times New Roman"/>
          <w:sz w:val="24"/>
          <w:szCs w:val="24"/>
        </w:rPr>
        <w:t xml:space="preserve">updated </w:t>
      </w:r>
      <w:r w:rsidRPr="00830F21">
        <w:rPr>
          <w:rFonts w:ascii="Times New Roman" w:eastAsia="Times New Roman" w:hAnsi="Times New Roman" w:cs="Times New Roman"/>
          <w:sz w:val="24"/>
          <w:szCs w:val="24"/>
        </w:rPr>
        <w:t>annual hourly wage rate for fishermen of $</w:t>
      </w:r>
      <w:r w:rsidRPr="00830F21" w:rsidR="00094605">
        <w:rPr>
          <w:rFonts w:ascii="Times New Roman" w:eastAsia="Times New Roman" w:hAnsi="Times New Roman" w:cs="Times New Roman"/>
          <w:sz w:val="24"/>
          <w:szCs w:val="24"/>
        </w:rPr>
        <w:t>27.92</w:t>
      </w:r>
      <w:r w:rsidRPr="00830F21">
        <w:rPr>
          <w:rFonts w:ascii="Times New Roman" w:eastAsia="Times New Roman" w:hAnsi="Times New Roman" w:cs="Times New Roman"/>
          <w:sz w:val="24"/>
          <w:szCs w:val="24"/>
        </w:rPr>
        <w:t>, results in a total estimated annual wage burden cost of $</w:t>
      </w:r>
      <w:r w:rsidR="00830F21">
        <w:rPr>
          <w:rFonts w:ascii="Times New Roman" w:eastAsia="Times New Roman" w:hAnsi="Times New Roman" w:cs="Times New Roman"/>
          <w:sz w:val="24"/>
          <w:szCs w:val="24"/>
          <w:lang w:val="en-US"/>
        </w:rPr>
        <w:t>4,886,549.86 to $6,504,402.</w:t>
      </w:r>
      <w:r w:rsidRPr="00830F21" w:rsidR="00830F21">
        <w:rPr>
          <w:rFonts w:ascii="Times New Roman" w:eastAsia="Times New Roman" w:hAnsi="Times New Roman" w:cs="Times New Roman"/>
          <w:sz w:val="24"/>
          <w:szCs w:val="24"/>
          <w:lang w:val="en-US"/>
        </w:rPr>
        <w:t>79</w:t>
      </w:r>
      <w:r w:rsidRPr="00830F21">
        <w:rPr>
          <w:rFonts w:ascii="Times New Roman" w:eastAsia="Times New Roman" w:hAnsi="Times New Roman" w:cs="Times New Roman"/>
          <w:sz w:val="24"/>
          <w:szCs w:val="24"/>
        </w:rPr>
        <w:t xml:space="preserve"> million dollars</w:t>
      </w:r>
      <w:r w:rsidRPr="00A4490D">
        <w:rPr>
          <w:rFonts w:ascii="Times New Roman" w:eastAsia="Times New Roman" w:hAnsi="Times New Roman" w:cs="Times New Roman"/>
          <w:sz w:val="24"/>
          <w:szCs w:val="24"/>
        </w:rPr>
        <w:t xml:space="preserve">.  Gear marking in LMA 3 is an annual requirement and previous assessments did not evaluate the annual cost of replacement, so that calculation </w:t>
      </w:r>
      <w:r w:rsidRPr="00A4490D" w:rsidR="009422C2">
        <w:rPr>
          <w:rFonts w:ascii="Times New Roman" w:eastAsia="Times New Roman" w:hAnsi="Times New Roman" w:cs="Times New Roman"/>
          <w:sz w:val="24"/>
          <w:szCs w:val="24"/>
        </w:rPr>
        <w:t xml:space="preserve">was </w:t>
      </w:r>
      <w:r w:rsidRPr="00A4490D">
        <w:rPr>
          <w:rFonts w:ascii="Times New Roman" w:eastAsia="Times New Roman" w:hAnsi="Times New Roman" w:cs="Times New Roman"/>
          <w:sz w:val="24"/>
          <w:szCs w:val="24"/>
        </w:rPr>
        <w:t>updated</w:t>
      </w:r>
      <w:r w:rsidRPr="00A4490D" w:rsidR="009422C2">
        <w:rPr>
          <w:rFonts w:ascii="Times New Roman" w:eastAsia="Times New Roman" w:hAnsi="Times New Roman" w:cs="Times New Roman"/>
          <w:sz w:val="24"/>
          <w:szCs w:val="24"/>
        </w:rPr>
        <w:t xml:space="preserve"> in the 2021 final rule</w:t>
      </w:r>
      <w:r w:rsidRPr="00A449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447C1F" w14:paraId="4F448811" w14:textId="77777777">
      <w:pPr>
        <w:spacing w:line="240" w:lineRule="auto"/>
        <w:rPr>
          <w:rFonts w:ascii="Times New Roman" w:eastAsia="Times New Roman" w:hAnsi="Times New Roman" w:cs="Times New Roman"/>
          <w:sz w:val="24"/>
          <w:szCs w:val="24"/>
        </w:rPr>
      </w:pPr>
    </w:p>
    <w:p w:rsidR="00447C1F" w14:paraId="1324D61C" w14:textId="77777777">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cost model to calculate wage rate assigns an implicit value to fishermen’s time based on labor rates in professions they would pursue if not involved in fishing.  This is the “opportunity cost” of time.  To identify alternative professions, the analysis relies on responses provided to a survey administered by the Gulf of Maine Research Institute in 2005 (GMRI, 2006).  The GMRI survey asked a sample of 1,158 randomly selected lobstermen a variety of questions regarding education, vessel characteristics, fishing effort, and other aspects of their work.  Compiled and published in 2006, the survey findings guide a number of assumptions in the cost and socioeconomic analysis presented in the environmental impact analysis.</w:t>
      </w:r>
    </w:p>
    <w:p w:rsidR="00447C1F" w14:paraId="0736B329" w14:textId="77777777">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47C1F" w14:paraId="5883EE34" w14:textId="5255E214">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asked about alternative professions, the GMRI survey respondents most commonly indicated that they would be involved in carpentry, other trades, vessel maintenance, merchant marine activity, or another aspect of commercial fishing (i.e., harvesting other species, boat maintenance).  </w:t>
      </w:r>
      <w:r w:rsidR="00830F21">
        <w:rPr>
          <w:rFonts w:ascii="Times New Roman" w:eastAsia="Times New Roman" w:hAnsi="Times New Roman" w:cs="Times New Roman"/>
          <w:sz w:val="24"/>
          <w:szCs w:val="24"/>
        </w:rPr>
        <w:t>For the initial rulemaking package, t</w:t>
      </w:r>
      <w:r>
        <w:rPr>
          <w:rFonts w:ascii="Times New Roman" w:eastAsia="Times New Roman" w:hAnsi="Times New Roman" w:cs="Times New Roman"/>
          <w:sz w:val="24"/>
          <w:szCs w:val="24"/>
        </w:rPr>
        <w:t xml:space="preserve">he cost analysis uses the distribution of responses to develop a weighted average </w:t>
      </w:r>
      <w:r w:rsidRPr="00830F21">
        <w:rPr>
          <w:rFonts w:ascii="Times New Roman" w:eastAsia="Times New Roman" w:hAnsi="Times New Roman" w:cs="Times New Roman"/>
          <w:sz w:val="24"/>
          <w:szCs w:val="24"/>
        </w:rPr>
        <w:t>wage rate of $25.15</w:t>
      </w:r>
      <w:r>
        <w:rPr>
          <w:rFonts w:ascii="Times New Roman" w:eastAsia="Times New Roman" w:hAnsi="Times New Roman" w:cs="Times New Roman"/>
          <w:sz w:val="24"/>
          <w:szCs w:val="24"/>
        </w:rPr>
        <w:t xml:space="preserve"> that reflects the opportunity cost of a fisherman’s time. </w:t>
      </w:r>
      <w:r w:rsidR="00830F21">
        <w:rPr>
          <w:rFonts w:ascii="Times New Roman" w:eastAsia="Times New Roman" w:hAnsi="Times New Roman" w:cs="Times New Roman"/>
          <w:sz w:val="24"/>
          <w:szCs w:val="24"/>
        </w:rPr>
        <w:t>We have updated this using 2021 numbers from the US Bureau of Labor Statistics, producing a weighted average wage rate of $27.92.</w:t>
      </w:r>
    </w:p>
    <w:p w:rsidR="00447C1F" w14:paraId="58563793" w14:textId="77777777">
      <w:pPr>
        <w:spacing w:line="240" w:lineRule="auto"/>
        <w:rPr>
          <w:rFonts w:ascii="Times New Roman" w:eastAsia="Times New Roman" w:hAnsi="Times New Roman" w:cs="Times New Roman"/>
          <w:sz w:val="24"/>
          <w:szCs w:val="24"/>
        </w:rPr>
      </w:pPr>
    </w:p>
    <w:p w:rsidR="00447C1F" w:rsidRPr="008B3FBA" w14:paraId="7E9EF7D0" w14:textId="71EB4342">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GMRI, Lobster Socioeconomic Impact Survey, prepared by Market Decisions, prepared for Laura Taylor Singer and Daniel S. Holland, November 16, 2006.</w:t>
      </w:r>
    </w:p>
    <w:p w:rsidR="00D975DE" w:rsidRPr="008B3FBA" w14:paraId="69801D21" w14:textId="03DB7512">
      <w:pPr>
        <w:spacing w:line="240" w:lineRule="auto"/>
        <w:rPr>
          <w:rFonts w:ascii="Times New Roman" w:eastAsia="Times New Roman" w:hAnsi="Times New Roman" w:cs="Times New Roman"/>
          <w:sz w:val="24"/>
          <w:szCs w:val="24"/>
        </w:rPr>
      </w:pPr>
    </w:p>
    <w:p w:rsidR="00447C1F" w:rsidRPr="008B3FBA" w14:paraId="16A37778" w14:textId="77777777">
      <w:pPr>
        <w:spacing w:line="240" w:lineRule="auto"/>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13.</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447C1F" w:rsidRPr="008B3FBA" w14:paraId="182B032C" w14:textId="77777777">
      <w:pPr>
        <w:spacing w:line="240" w:lineRule="auto"/>
        <w:rPr>
          <w:rFonts w:ascii="Times New Roman" w:eastAsia="Times New Roman" w:hAnsi="Times New Roman" w:cs="Times New Roman"/>
          <w:b/>
          <w:sz w:val="24"/>
          <w:szCs w:val="24"/>
          <w:highlight w:val="yellow"/>
        </w:rPr>
      </w:pPr>
    </w:p>
    <w:p w:rsidR="00447C1F" w:rsidRPr="008B3FBA" w14:paraId="29096D7A" w14:textId="77777777">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Table 4: Estimated total annual cost burden to respondents resulting from the collection of information.</w:t>
      </w:r>
    </w:p>
    <w:p w:rsidR="00447C1F" w:rsidRPr="008B3FBA" w14:paraId="69B9B77C" w14:textId="77777777">
      <w:pPr>
        <w:spacing w:line="240" w:lineRule="auto"/>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 xml:space="preserve"> </w:t>
      </w:r>
    </w:p>
    <w:tbl>
      <w:tblPr>
        <w:tblStyle w:val="af7"/>
        <w:tblW w:w="9330" w:type="dxa"/>
        <w:tblInd w:w="15" w:type="dxa"/>
        <w:tblBorders>
          <w:top w:val="nil"/>
          <w:left w:val="nil"/>
          <w:bottom w:val="nil"/>
          <w:right w:val="nil"/>
          <w:insideH w:val="nil"/>
          <w:insideV w:val="nil"/>
        </w:tblBorders>
        <w:tblLayout w:type="fixed"/>
        <w:tblLook w:val="0600"/>
      </w:tblPr>
      <w:tblGrid>
        <w:gridCol w:w="1860"/>
        <w:gridCol w:w="1860"/>
        <w:gridCol w:w="1380"/>
        <w:gridCol w:w="1485"/>
        <w:gridCol w:w="1380"/>
        <w:gridCol w:w="1365"/>
      </w:tblGrid>
      <w:tr w14:paraId="0707E773" w14:textId="77777777" w:rsidTr="004511BF">
        <w:tblPrEx>
          <w:tblW w:w="9330" w:type="dxa"/>
          <w:tblInd w:w="15" w:type="dxa"/>
          <w:tblBorders>
            <w:top w:val="nil"/>
            <w:left w:val="nil"/>
            <w:bottom w:val="nil"/>
            <w:right w:val="nil"/>
            <w:insideH w:val="nil"/>
            <w:insideV w:val="nil"/>
          </w:tblBorders>
          <w:tblLayout w:type="fixed"/>
          <w:tblLook w:val="0600"/>
        </w:tblPrEx>
        <w:trPr>
          <w:trHeight w:val="708"/>
        </w:trPr>
        <w:tc>
          <w:tcPr>
            <w:tcW w:w="1860"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447C1F" w14:paraId="14C10BE8"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Information Collection</w:t>
            </w:r>
          </w:p>
        </w:tc>
        <w:tc>
          <w:tcPr>
            <w:tcW w:w="186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447C1F" w14:paraId="4CF2806C"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Number of Respondents/year</w:t>
            </w:r>
          </w:p>
          <w:p w:rsidR="00447C1F" w14:paraId="0E359178"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w:t>
            </w:r>
          </w:p>
        </w:tc>
        <w:tc>
          <w:tcPr>
            <w:tcW w:w="138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447C1F" w14:paraId="381A6117"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Annual Number of Responses / Respondent</w:t>
            </w:r>
          </w:p>
          <w:p w:rsidR="00447C1F" w14:paraId="670B878B"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w:t>
            </w:r>
          </w:p>
        </w:tc>
        <w:tc>
          <w:tcPr>
            <w:tcW w:w="148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447C1F" w14:paraId="405BD7AE"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Total Number of Annual Responses</w:t>
            </w:r>
          </w:p>
          <w:p w:rsidR="00447C1F" w14:paraId="1E6E158A"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 = (a) x (b)</w:t>
            </w:r>
          </w:p>
        </w:tc>
        <w:tc>
          <w:tcPr>
            <w:tcW w:w="1380"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447C1F" w14:paraId="003D151F"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Cost Burden / Respondent</w:t>
            </w:r>
          </w:p>
          <w:p w:rsidR="00447C1F" w14:paraId="425FEC67"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(h)</w:t>
            </w:r>
          </w:p>
        </w:tc>
        <w:tc>
          <w:tcPr>
            <w:tcW w:w="1365" w:type="dxa"/>
            <w:tcBorders>
              <w:top w:val="single" w:sz="8" w:space="0" w:color="000000"/>
              <w:left w:val="nil"/>
              <w:bottom w:val="single" w:sz="8" w:space="0" w:color="000000"/>
              <w:right w:val="single" w:sz="8" w:space="0" w:color="000000"/>
            </w:tcBorders>
            <w:shd w:val="clear" w:color="auto" w:fill="BDD7EE"/>
            <w:tcMar>
              <w:top w:w="100" w:type="dxa"/>
              <w:left w:w="100" w:type="dxa"/>
              <w:bottom w:w="100" w:type="dxa"/>
              <w:right w:w="100" w:type="dxa"/>
            </w:tcMar>
          </w:tcPr>
          <w:p w:rsidR="00447C1F" w14:paraId="74FCF05A"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Total Annual Cost Burden</w:t>
            </w:r>
          </w:p>
          <w:p w:rsidR="00447C1F" w14:paraId="269D991E"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r>
              <w:rPr>
                <w:rFonts w:ascii="Times New Roman" w:eastAsia="Times New Roman" w:hAnsi="Times New Roman" w:cs="Times New Roman"/>
                <w:b/>
                <w:sz w:val="16"/>
                <w:szCs w:val="16"/>
              </w:rPr>
              <w:t>i</w:t>
            </w:r>
            <w:r>
              <w:rPr>
                <w:rFonts w:ascii="Times New Roman" w:eastAsia="Times New Roman" w:hAnsi="Times New Roman" w:cs="Times New Roman"/>
                <w:b/>
                <w:sz w:val="16"/>
                <w:szCs w:val="16"/>
              </w:rPr>
              <w:t>) = (c) x (h)</w:t>
            </w:r>
          </w:p>
        </w:tc>
      </w:tr>
      <w:tr w14:paraId="15D85946" w14:textId="77777777">
        <w:tblPrEx>
          <w:tblW w:w="9330" w:type="dxa"/>
          <w:tblInd w:w="15" w:type="dxa"/>
          <w:tblLayout w:type="fixed"/>
          <w:tblLook w:val="0600"/>
        </w:tblPrEx>
        <w:trPr>
          <w:trHeight w:val="500"/>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47C1F" w14:paraId="5546C832" w14:textId="77777777">
            <w:pPr>
              <w:spacing w:line="240" w:lineRule="auto"/>
              <w:ind w:left="-20"/>
              <w:rPr>
                <w:rFonts w:ascii="Times New Roman" w:eastAsia="Times New Roman" w:hAnsi="Times New Roman" w:cs="Times New Roman"/>
                <w:b/>
                <w:sz w:val="16"/>
                <w:szCs w:val="16"/>
              </w:rPr>
            </w:pPr>
            <w:r>
              <w:rPr>
                <w:rFonts w:ascii="Times New Roman" w:eastAsia="Times New Roman" w:hAnsi="Times New Roman" w:cs="Times New Roman"/>
                <w:b/>
                <w:sz w:val="16"/>
                <w:szCs w:val="16"/>
              </w:rPr>
              <w:t>Gear marking on vertical buoy lines</w:t>
            </w:r>
          </w:p>
        </w:tc>
        <w:tc>
          <w:tcPr>
            <w:tcW w:w="18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47C1F" w14:paraId="177B0075"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3,970 Vessels per year  </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14:paraId="64CD3742"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Average 570 feet (174 m) of marking per vessel</w:t>
            </w:r>
          </w:p>
        </w:tc>
        <w:tc>
          <w:tcPr>
            <w:tcW w:w="148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14:paraId="2FCDC601"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2,264,078</w:t>
            </w:r>
          </w:p>
          <w:p w:rsidR="00447C1F" w14:paraId="0431E4D7" w14:textId="100075B1">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total feet </w:t>
            </w:r>
            <w:r w:rsidR="002363CE">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690,091 m) of marking </w:t>
            </w:r>
          </w:p>
        </w:tc>
        <w:tc>
          <w:tcPr>
            <w:tcW w:w="13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47C1F" w:rsidP="002363CE" w14:paraId="0924C2BB" w14:textId="0D15CB48">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2363CE">
              <w:rPr>
                <w:rFonts w:ascii="Times New Roman" w:eastAsia="Times New Roman" w:hAnsi="Times New Roman" w:cs="Times New Roman"/>
                <w:sz w:val="16"/>
                <w:szCs w:val="16"/>
              </w:rPr>
              <w:t>25.66-74.34</w:t>
            </w:r>
            <w:r>
              <w:rPr>
                <w:rFonts w:ascii="Times New Roman" w:eastAsia="Times New Roman" w:hAnsi="Times New Roman" w:cs="Times New Roman"/>
                <w:sz w:val="16"/>
                <w:szCs w:val="16"/>
              </w:rPr>
              <w:t xml:space="preserve"> per vessel  </w:t>
            </w:r>
          </w:p>
        </w:tc>
        <w:tc>
          <w:tcPr>
            <w:tcW w:w="13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47C1F" w:rsidP="002363CE" w14:paraId="624F435E" w14:textId="49B1142D">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2363CE">
              <w:rPr>
                <w:rFonts w:ascii="Times New Roman" w:eastAsia="Times New Roman" w:hAnsi="Times New Roman" w:cs="Times New Roman"/>
                <w:sz w:val="16"/>
                <w:szCs w:val="16"/>
              </w:rPr>
              <w:t>101,884-295,135</w:t>
            </w:r>
          </w:p>
        </w:tc>
      </w:tr>
      <w:tr w14:paraId="3074E836" w14:textId="77777777" w:rsidTr="004511BF">
        <w:tblPrEx>
          <w:tblW w:w="9330" w:type="dxa"/>
          <w:tblInd w:w="15" w:type="dxa"/>
          <w:tblLayout w:type="fixed"/>
          <w:tblLook w:val="0600"/>
        </w:tblPrEx>
        <w:trPr>
          <w:trHeight w:val="515"/>
        </w:trPr>
        <w:tc>
          <w:tcPr>
            <w:tcW w:w="1860" w:type="dxa"/>
            <w:tcBorders>
              <w:top w:val="nil"/>
              <w:left w:val="single" w:sz="8" w:space="0" w:color="000000"/>
              <w:bottom w:val="single" w:sz="8" w:space="0" w:color="000000"/>
              <w:right w:val="single" w:sz="8" w:space="0" w:color="000000"/>
            </w:tcBorders>
            <w:shd w:val="clear" w:color="auto" w:fill="DDEBF7"/>
            <w:tcMar>
              <w:top w:w="100" w:type="dxa"/>
              <w:left w:w="100" w:type="dxa"/>
              <w:bottom w:w="100" w:type="dxa"/>
              <w:right w:w="100" w:type="dxa"/>
            </w:tcMar>
          </w:tcPr>
          <w:p w:rsidR="00447C1F" w14:paraId="27E58A07" w14:textId="77777777">
            <w:pPr>
              <w:spacing w:line="240" w:lineRule="auto"/>
              <w:ind w:left="-20"/>
              <w:rPr>
                <w:rFonts w:ascii="Times New Roman" w:eastAsia="Times New Roman" w:hAnsi="Times New Roman" w:cs="Times New Roman"/>
                <w:b/>
                <w:sz w:val="16"/>
                <w:szCs w:val="16"/>
              </w:rPr>
            </w:pPr>
            <w:r>
              <w:rPr>
                <w:rFonts w:ascii="Times New Roman" w:eastAsia="Times New Roman" w:hAnsi="Times New Roman" w:cs="Times New Roman"/>
                <w:b/>
                <w:sz w:val="16"/>
                <w:szCs w:val="16"/>
              </w:rPr>
              <w:t>TOTAL</w:t>
            </w:r>
          </w:p>
        </w:tc>
        <w:tc>
          <w:tcPr>
            <w:tcW w:w="186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rsidR="00447C1F" w14:paraId="2BECFFD7"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3,970 Vessels per year  </w:t>
            </w:r>
          </w:p>
        </w:tc>
        <w:tc>
          <w:tcPr>
            <w:tcW w:w="138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bottom"/>
          </w:tcPr>
          <w:p w:rsidR="00447C1F" w14:paraId="3E1FB804"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Average 570 feet (174 m) of marking per vessel</w:t>
            </w:r>
          </w:p>
        </w:tc>
        <w:tc>
          <w:tcPr>
            <w:tcW w:w="148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vAlign w:val="bottom"/>
          </w:tcPr>
          <w:p w:rsidR="00447C1F" w14:paraId="61E35448"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2,264,078</w:t>
            </w:r>
          </w:p>
          <w:p w:rsidR="00447C1F" w14:paraId="69253E66"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total feet (690,091 m) of marking </w:t>
            </w:r>
          </w:p>
        </w:tc>
        <w:tc>
          <w:tcPr>
            <w:tcW w:w="1380"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rsidR="00447C1F" w:rsidP="002363CE" w14:paraId="54D7ACA4" w14:textId="712DDAE5">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2363CE">
              <w:rPr>
                <w:rFonts w:ascii="Times New Roman" w:eastAsia="Times New Roman" w:hAnsi="Times New Roman" w:cs="Times New Roman"/>
                <w:sz w:val="16"/>
                <w:szCs w:val="16"/>
              </w:rPr>
              <w:t>25.66-74.34</w:t>
            </w:r>
            <w:r>
              <w:rPr>
                <w:rFonts w:ascii="Times New Roman" w:eastAsia="Times New Roman" w:hAnsi="Times New Roman" w:cs="Times New Roman"/>
                <w:sz w:val="16"/>
                <w:szCs w:val="16"/>
              </w:rPr>
              <w:t xml:space="preserve"> per vessel  </w:t>
            </w:r>
          </w:p>
        </w:tc>
        <w:tc>
          <w:tcPr>
            <w:tcW w:w="1365" w:type="dxa"/>
            <w:tcBorders>
              <w:top w:val="nil"/>
              <w:left w:val="nil"/>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rsidR="00447C1F" w14:paraId="7106E465" w14:textId="282ABE40">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$101,884-295,135</w:t>
            </w:r>
          </w:p>
        </w:tc>
      </w:tr>
    </w:tbl>
    <w:p w:rsidR="00447C1F" w14:paraId="0FFD1A4A" w14:textId="77777777">
      <w:pPr>
        <w:spacing w:line="240" w:lineRule="auto"/>
        <w:rPr>
          <w:rFonts w:ascii="Times New Roman" w:eastAsia="Times New Roman" w:hAnsi="Times New Roman" w:cs="Times New Roman"/>
          <w:b/>
        </w:rPr>
      </w:pPr>
    </w:p>
    <w:p w:rsidR="00447C1F" w:rsidRPr="0070330A" w14:paraId="7BE644F9" w14:textId="29EA59A9">
      <w:pPr>
        <w:spacing w:line="240" w:lineRule="auto"/>
        <w:rPr>
          <w:rFonts w:ascii="Times New Roman" w:eastAsia="Times New Roman" w:hAnsi="Times New Roman" w:cs="Times New Roman"/>
          <w:sz w:val="24"/>
          <w:szCs w:val="24"/>
        </w:rPr>
      </w:pPr>
      <w:r w:rsidRPr="002363CE">
        <w:rPr>
          <w:rFonts w:ascii="Times New Roman" w:eastAsia="Times New Roman" w:hAnsi="Times New Roman" w:cs="Times New Roman"/>
          <w:sz w:val="24"/>
          <w:szCs w:val="24"/>
        </w:rPr>
        <w:t xml:space="preserve">The </w:t>
      </w:r>
      <w:r w:rsidR="0070330A">
        <w:rPr>
          <w:rFonts w:ascii="Times New Roman" w:eastAsia="Times New Roman" w:hAnsi="Times New Roman" w:cs="Times New Roman"/>
          <w:sz w:val="24"/>
          <w:szCs w:val="24"/>
        </w:rPr>
        <w:t xml:space="preserve">updated </w:t>
      </w:r>
      <w:r w:rsidRPr="002363CE">
        <w:rPr>
          <w:rFonts w:ascii="Times New Roman" w:eastAsia="Times New Roman" w:hAnsi="Times New Roman" w:cs="Times New Roman"/>
          <w:sz w:val="24"/>
          <w:szCs w:val="24"/>
        </w:rPr>
        <w:t>estimated cost for materials for this information collection is between $</w:t>
      </w:r>
      <w:r w:rsidRPr="002363CE" w:rsidR="002363CE">
        <w:rPr>
          <w:rFonts w:ascii="Times New Roman" w:eastAsia="Times New Roman" w:hAnsi="Times New Roman" w:cs="Times New Roman"/>
          <w:sz w:val="24"/>
          <w:szCs w:val="24"/>
        </w:rPr>
        <w:t>25.66</w:t>
      </w:r>
      <w:r w:rsidRPr="002363CE">
        <w:rPr>
          <w:rFonts w:ascii="Times New Roman" w:eastAsia="Times New Roman" w:hAnsi="Times New Roman" w:cs="Times New Roman"/>
          <w:sz w:val="24"/>
          <w:szCs w:val="24"/>
        </w:rPr>
        <w:t>-</w:t>
      </w:r>
      <w:r w:rsidRPr="002363CE" w:rsidR="002363CE">
        <w:rPr>
          <w:rFonts w:ascii="Times New Roman" w:eastAsia="Times New Roman" w:hAnsi="Times New Roman" w:cs="Times New Roman"/>
          <w:sz w:val="24"/>
          <w:szCs w:val="24"/>
        </w:rPr>
        <w:t>74.34</w:t>
      </w:r>
      <w:r w:rsidRPr="002363CE">
        <w:rPr>
          <w:rFonts w:ascii="Times New Roman" w:eastAsia="Times New Roman" w:hAnsi="Times New Roman" w:cs="Times New Roman"/>
          <w:sz w:val="24"/>
          <w:szCs w:val="24"/>
        </w:rPr>
        <w:t xml:space="preserve"> per vessel per year.  </w:t>
      </w:r>
      <w:r w:rsidRPr="00D975DE">
        <w:rPr>
          <w:rFonts w:ascii="Times New Roman" w:eastAsia="Times New Roman" w:hAnsi="Times New Roman" w:cs="Times New Roman"/>
          <w:sz w:val="24"/>
          <w:szCs w:val="24"/>
        </w:rPr>
        <w:t xml:space="preserve">The lower end of this estimation is based on the cost of standard duct tape, which is approximately $5 for 2” x 60 yards, or $0.17 per square foot.  When wrapped around a </w:t>
      </w:r>
      <w:r w:rsidRPr="00D975DE">
        <w:rPr>
          <w:rFonts w:ascii="Times New Roman" w:eastAsia="Times New Roman" w:hAnsi="Times New Roman" w:cs="Times New Roman"/>
          <w:sz w:val="24"/>
          <w:szCs w:val="24"/>
        </w:rPr>
        <w:t>⅜-inch line, one foot of duct tape will cost $0.04</w:t>
      </w:r>
      <w:r w:rsidRPr="00D975DE" w:rsidR="002363CE">
        <w:rPr>
          <w:rFonts w:ascii="Times New Roman" w:eastAsia="Times New Roman" w:hAnsi="Times New Roman" w:cs="Times New Roman"/>
          <w:sz w:val="24"/>
          <w:szCs w:val="24"/>
        </w:rPr>
        <w:t>5</w:t>
      </w:r>
      <w:r w:rsidRPr="00D975DE">
        <w:rPr>
          <w:rFonts w:ascii="Times New Roman" w:eastAsia="Times New Roman" w:hAnsi="Times New Roman" w:cs="Times New Roman"/>
          <w:sz w:val="24"/>
          <w:szCs w:val="24"/>
        </w:rPr>
        <w:t xml:space="preserve"> per foot.</w:t>
      </w:r>
      <w:r w:rsidRPr="0070330A">
        <w:rPr>
          <w:rFonts w:ascii="Times New Roman" w:eastAsia="Times New Roman" w:hAnsi="Times New Roman" w:cs="Times New Roman"/>
          <w:sz w:val="24"/>
          <w:szCs w:val="24"/>
        </w:rPr>
        <w:t xml:space="preserve">  The upper end of the cost estimate assumes that vessels in federal waters would use rope twines instead of paint or tape, because they are more likely to apply the federal water gear marks during the trip, where tape or paint could not be applied well on wet ropes.  It costs up to 5</w:t>
      </w:r>
      <w:r w:rsidRPr="0070330A" w:rsidR="002363CE">
        <w:rPr>
          <w:rFonts w:ascii="Times New Roman" w:eastAsia="Times New Roman" w:hAnsi="Times New Roman" w:cs="Times New Roman"/>
          <w:sz w:val="24"/>
          <w:szCs w:val="24"/>
        </w:rPr>
        <w:t>5</w:t>
      </w:r>
      <w:r w:rsidRPr="0070330A">
        <w:rPr>
          <w:rFonts w:ascii="Times New Roman" w:eastAsia="Times New Roman" w:hAnsi="Times New Roman" w:cs="Times New Roman"/>
          <w:sz w:val="24"/>
          <w:szCs w:val="24"/>
        </w:rPr>
        <w:t xml:space="preserve"> cents for a 16-inch piece of twine which could make a one-foot mark, and it takes 10 minutes to apply it during the trip. The total footage of marks for all vessels is 2,264,078 feet (690,091 meters), or an average of 570 feet (174 meters)</w:t>
      </w:r>
      <w:r w:rsidRPr="0070330A">
        <w:rPr>
          <w:rFonts w:ascii="Times New Roman" w:eastAsia="Times New Roman" w:hAnsi="Times New Roman" w:cs="Times New Roman"/>
          <w:sz w:val="16"/>
          <w:szCs w:val="16"/>
        </w:rPr>
        <w:t xml:space="preserve"> </w:t>
      </w:r>
      <w:r w:rsidRPr="0070330A">
        <w:rPr>
          <w:rFonts w:ascii="Times New Roman" w:eastAsia="Times New Roman" w:hAnsi="Times New Roman" w:cs="Times New Roman"/>
          <w:sz w:val="24"/>
          <w:szCs w:val="24"/>
        </w:rPr>
        <w:t xml:space="preserve">of marks per vessel.  Therefore, the total annual cost burden for all vertical buoy line marking is between </w:t>
      </w:r>
      <w:r w:rsidRPr="0070330A" w:rsidR="002363CE">
        <w:rPr>
          <w:rFonts w:ascii="Times New Roman" w:eastAsia="Times New Roman" w:hAnsi="Times New Roman" w:cs="Times New Roman"/>
          <w:sz w:val="24"/>
          <w:szCs w:val="24"/>
        </w:rPr>
        <w:t xml:space="preserve">$101,884-295,135 </w:t>
      </w:r>
      <w:r w:rsidRPr="0070330A">
        <w:rPr>
          <w:rFonts w:ascii="Times New Roman" w:eastAsia="Times New Roman" w:hAnsi="Times New Roman" w:cs="Times New Roman"/>
          <w:sz w:val="24"/>
          <w:szCs w:val="24"/>
        </w:rPr>
        <w:t>per year.</w:t>
      </w:r>
    </w:p>
    <w:p w:rsidR="00447C1F" w14:paraId="4BF0F839" w14:textId="77777777">
      <w:pPr>
        <w:spacing w:line="240" w:lineRule="auto"/>
        <w:rPr>
          <w:rFonts w:ascii="Times New Roman" w:eastAsia="Times New Roman" w:hAnsi="Times New Roman" w:cs="Times New Roman"/>
        </w:rPr>
      </w:pPr>
    </w:p>
    <w:p w:rsidR="00447C1F" w14:paraId="766F6E9B" w14:textId="77777777">
      <w:pP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There is no record keeping burden with this rulemaking.</w:t>
      </w:r>
      <w:r>
        <w:rPr>
          <w:rFonts w:ascii="Times New Roman" w:eastAsia="Times New Roman" w:hAnsi="Times New Roman" w:cs="Times New Roman"/>
        </w:rPr>
        <w:t xml:space="preserve"> </w:t>
      </w:r>
    </w:p>
    <w:p w:rsidR="00447C1F" w14:paraId="2BF33096" w14:textId="77777777">
      <w:pPr>
        <w:spacing w:line="240" w:lineRule="auto"/>
        <w:rPr>
          <w:rFonts w:ascii="Times New Roman" w:eastAsia="Times New Roman" w:hAnsi="Times New Roman" w:cs="Times New Roman"/>
        </w:rPr>
      </w:pPr>
    </w:p>
    <w:p w:rsidR="00447C1F" w:rsidRPr="008B3FBA" w14:paraId="2B9BC322" w14:textId="77777777">
      <w:pPr>
        <w:spacing w:line="240" w:lineRule="auto"/>
        <w:rPr>
          <w:rFonts w:ascii="Times New Roman" w:eastAsia="Times New Roman" w:hAnsi="Times New Roman" w:cs="Times New Roman"/>
          <w:color w:val="2F5496"/>
          <w:sz w:val="24"/>
          <w:szCs w:val="24"/>
        </w:rPr>
      </w:pPr>
      <w:r w:rsidRPr="008B3FBA">
        <w:rPr>
          <w:rFonts w:ascii="Times New Roman" w:eastAsia="Times New Roman" w:hAnsi="Times New Roman" w:cs="Times New Roman"/>
          <w:b/>
          <w:sz w:val="24"/>
          <w:szCs w:val="24"/>
        </w:rPr>
        <w:t>14.</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47C1F" w:rsidRPr="008B3FBA" w14:paraId="1199C4A0" w14:textId="77777777">
      <w:pPr>
        <w:spacing w:line="240" w:lineRule="auto"/>
        <w:rPr>
          <w:rFonts w:ascii="Times New Roman" w:eastAsia="Times New Roman" w:hAnsi="Times New Roman" w:cs="Times New Roman"/>
          <w:sz w:val="24"/>
          <w:szCs w:val="24"/>
        </w:rPr>
      </w:pPr>
    </w:p>
    <w:p w:rsidR="00447C1F" w:rsidRPr="008B3FBA" w14:paraId="5318D65C" w14:textId="339FD3FF">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 xml:space="preserve">Based on 40 hours of effort and </w:t>
      </w:r>
      <w:r w:rsidRPr="008B3FBA" w:rsidR="00040317">
        <w:rPr>
          <w:rFonts w:ascii="Times New Roman" w:eastAsia="Times New Roman" w:hAnsi="Times New Roman" w:cs="Times New Roman"/>
          <w:sz w:val="24"/>
          <w:szCs w:val="24"/>
        </w:rPr>
        <w:t>4</w:t>
      </w:r>
      <w:r w:rsidRPr="008B3FBA">
        <w:rPr>
          <w:rFonts w:ascii="Times New Roman" w:eastAsia="Times New Roman" w:hAnsi="Times New Roman" w:cs="Times New Roman"/>
          <w:sz w:val="24"/>
          <w:szCs w:val="24"/>
        </w:rPr>
        <w:t xml:space="preserve"> hours of supervisory review per year to </w:t>
      </w:r>
      <w:r w:rsidRPr="008B3FBA" w:rsidR="007841E8">
        <w:rPr>
          <w:rFonts w:ascii="Times New Roman" w:eastAsia="Times New Roman" w:hAnsi="Times New Roman" w:cs="Times New Roman"/>
          <w:sz w:val="24"/>
          <w:szCs w:val="24"/>
        </w:rPr>
        <w:t>renew</w:t>
      </w:r>
      <w:r w:rsidRPr="008B3FBA">
        <w:rPr>
          <w:rFonts w:ascii="Times New Roman" w:eastAsia="Times New Roman" w:hAnsi="Times New Roman" w:cs="Times New Roman"/>
          <w:sz w:val="24"/>
          <w:szCs w:val="24"/>
        </w:rPr>
        <w:t xml:space="preserve"> this collection of information, the total cost to the government is $</w:t>
      </w:r>
      <w:r w:rsidRPr="008B3FBA" w:rsidR="00040317">
        <w:rPr>
          <w:rFonts w:ascii="Times New Roman" w:eastAsia="Times New Roman" w:hAnsi="Times New Roman" w:cs="Times New Roman"/>
          <w:sz w:val="24"/>
          <w:szCs w:val="24"/>
        </w:rPr>
        <w:t>2,613.31</w:t>
      </w:r>
      <w:r w:rsidRPr="008B3FBA">
        <w:rPr>
          <w:rFonts w:ascii="Times New Roman" w:eastAsia="Times New Roman" w:hAnsi="Times New Roman" w:cs="Times New Roman"/>
          <w:sz w:val="24"/>
          <w:szCs w:val="24"/>
        </w:rPr>
        <w:t xml:space="preserve"> per year.  The total cost to the government was calculated using the Standard Pay Table for Performance Payout System, for the Boston, MA area </w:t>
      </w:r>
      <w:r w:rsidRPr="008B3FBA" w:rsidR="007841E8">
        <w:rPr>
          <w:rFonts w:ascii="Times New Roman" w:eastAsia="Times New Roman" w:hAnsi="Times New Roman" w:cs="Times New Roman"/>
          <w:sz w:val="24"/>
          <w:szCs w:val="24"/>
        </w:rPr>
        <w:t>Professional</w:t>
      </w:r>
      <w:r w:rsidRPr="008B3FBA">
        <w:rPr>
          <w:rFonts w:ascii="Times New Roman" w:eastAsia="Times New Roman" w:hAnsi="Times New Roman" w:cs="Times New Roman"/>
          <w:sz w:val="24"/>
          <w:szCs w:val="24"/>
        </w:rPr>
        <w:t xml:space="preserve"> positions, issued on December </w:t>
      </w:r>
      <w:r w:rsidRPr="008B3FBA" w:rsidR="007841E8">
        <w:rPr>
          <w:rFonts w:ascii="Times New Roman" w:eastAsia="Times New Roman" w:hAnsi="Times New Roman" w:cs="Times New Roman"/>
          <w:sz w:val="24"/>
          <w:szCs w:val="24"/>
        </w:rPr>
        <w:t>23, 2022</w:t>
      </w:r>
      <w:r w:rsidRPr="008B3FBA">
        <w:rPr>
          <w:rFonts w:ascii="Times New Roman" w:eastAsia="Times New Roman" w:hAnsi="Times New Roman" w:cs="Times New Roman"/>
          <w:sz w:val="24"/>
          <w:szCs w:val="24"/>
        </w:rPr>
        <w:t>.</w:t>
      </w:r>
    </w:p>
    <w:p w:rsidR="00447C1F" w:rsidRPr="008B3FBA" w14:paraId="7AE47603" w14:textId="77777777">
      <w:pPr>
        <w:spacing w:line="240" w:lineRule="auto"/>
        <w:rPr>
          <w:rFonts w:ascii="Times New Roman" w:eastAsia="Times New Roman" w:hAnsi="Times New Roman" w:cs="Times New Roman"/>
          <w:sz w:val="24"/>
          <w:szCs w:val="24"/>
        </w:rPr>
      </w:pPr>
    </w:p>
    <w:p w:rsidR="00447C1F" w:rsidRPr="008B3FBA" w14:paraId="2120F545" w14:textId="3A4C384A">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https://www.commerce.gov/sites/default/files/2023-01/rpStandard_2023.pdf</w:t>
      </w:r>
    </w:p>
    <w:p w:rsidR="00447C1F" w:rsidRPr="008B3FBA" w14:paraId="458C3382" w14:textId="0A8858E4">
      <w:pPr>
        <w:spacing w:line="240" w:lineRule="auto"/>
        <w:rPr>
          <w:rFonts w:ascii="Times New Roman" w:eastAsia="Times New Roman" w:hAnsi="Times New Roman" w:cs="Times New Roman"/>
          <w:sz w:val="24"/>
          <w:szCs w:val="24"/>
        </w:rPr>
      </w:pPr>
    </w:p>
    <w:p w:rsidR="00D975DE" w:rsidRPr="008B3FBA" w14:paraId="2BC6C9F1" w14:textId="77777777">
      <w:pPr>
        <w:spacing w:line="240" w:lineRule="auto"/>
        <w:rPr>
          <w:rFonts w:ascii="Times New Roman" w:eastAsia="Times New Roman" w:hAnsi="Times New Roman" w:cs="Times New Roman"/>
          <w:sz w:val="24"/>
          <w:szCs w:val="24"/>
        </w:rPr>
      </w:pPr>
    </w:p>
    <w:p w:rsidR="00447C1F" w:rsidRPr="008B3FBA" w14:paraId="2EA0DDB7" w14:textId="77777777">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 xml:space="preserve">Table 5: Estimated annualized cost to the Federal government to prepare the collection of this information.  No travel, fringe or other costs outside of salary is required. </w:t>
      </w:r>
    </w:p>
    <w:p w:rsidR="00447C1F" w14:paraId="6C668700" w14:textId="77777777">
      <w:pPr>
        <w:spacing w:line="240" w:lineRule="auto"/>
        <w:rPr>
          <w:rFonts w:ascii="Times New Roman" w:eastAsia="Times New Roman" w:hAnsi="Times New Roman" w:cs="Times New Roman"/>
          <w:sz w:val="24"/>
          <w:szCs w:val="24"/>
        </w:rPr>
      </w:pPr>
    </w:p>
    <w:tbl>
      <w:tblPr>
        <w:tblStyle w:val="af8"/>
        <w:tblW w:w="8250" w:type="dxa"/>
        <w:tblBorders>
          <w:top w:val="nil"/>
          <w:left w:val="nil"/>
          <w:bottom w:val="nil"/>
          <w:right w:val="nil"/>
          <w:insideH w:val="nil"/>
          <w:insideV w:val="nil"/>
        </w:tblBorders>
        <w:tblLayout w:type="fixed"/>
        <w:tblLook w:val="0600"/>
      </w:tblPr>
      <w:tblGrid>
        <w:gridCol w:w="2280"/>
        <w:gridCol w:w="1125"/>
        <w:gridCol w:w="1140"/>
        <w:gridCol w:w="1125"/>
        <w:gridCol w:w="1275"/>
        <w:gridCol w:w="1305"/>
      </w:tblGrid>
      <w:tr w14:paraId="6C2E8592" w14:textId="77777777" w:rsidTr="004511BF">
        <w:tblPrEx>
          <w:tblW w:w="8250" w:type="dxa"/>
          <w:tblBorders>
            <w:top w:val="nil"/>
            <w:left w:val="nil"/>
            <w:bottom w:val="nil"/>
            <w:right w:val="nil"/>
            <w:insideH w:val="nil"/>
            <w:insideV w:val="nil"/>
          </w:tblBorders>
          <w:tblLayout w:type="fixed"/>
          <w:tblLook w:val="0600"/>
        </w:tblPrEx>
        <w:trPr>
          <w:trHeight w:val="411"/>
        </w:trPr>
        <w:tc>
          <w:tcPr>
            <w:tcW w:w="2280" w:type="dxa"/>
            <w:tcBorders>
              <w:top w:val="single" w:sz="8" w:space="0" w:color="000000"/>
              <w:left w:val="single" w:sz="8" w:space="0" w:color="000000"/>
              <w:bottom w:val="nil"/>
              <w:right w:val="single" w:sz="8" w:space="0" w:color="000000"/>
            </w:tcBorders>
            <w:shd w:val="clear" w:color="auto" w:fill="BDD7EE"/>
            <w:tcMar>
              <w:top w:w="100" w:type="dxa"/>
              <w:left w:w="100" w:type="dxa"/>
              <w:bottom w:w="100" w:type="dxa"/>
              <w:right w:w="100" w:type="dxa"/>
            </w:tcMar>
          </w:tcPr>
          <w:p w:rsidR="00447C1F" w14:paraId="3455FCD1"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Cost Descriptions</w:t>
            </w:r>
          </w:p>
        </w:tc>
        <w:tc>
          <w:tcPr>
            <w:tcW w:w="1125" w:type="dxa"/>
            <w:tcBorders>
              <w:top w:val="single" w:sz="8" w:space="0" w:color="000000"/>
              <w:left w:val="nil"/>
              <w:bottom w:val="nil"/>
              <w:right w:val="single" w:sz="8" w:space="0" w:color="000000"/>
            </w:tcBorders>
            <w:shd w:val="clear" w:color="auto" w:fill="BDD7EE"/>
            <w:tcMar>
              <w:top w:w="100" w:type="dxa"/>
              <w:left w:w="100" w:type="dxa"/>
              <w:bottom w:w="100" w:type="dxa"/>
              <w:right w:w="100" w:type="dxa"/>
            </w:tcMar>
          </w:tcPr>
          <w:p w:rsidR="00447C1F" w14:paraId="61D0B477"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Grade/Step</w:t>
            </w:r>
          </w:p>
        </w:tc>
        <w:tc>
          <w:tcPr>
            <w:tcW w:w="1140" w:type="dxa"/>
            <w:tcBorders>
              <w:top w:val="single" w:sz="8" w:space="0" w:color="000000"/>
              <w:left w:val="nil"/>
              <w:bottom w:val="nil"/>
              <w:right w:val="single" w:sz="8" w:space="0" w:color="000000"/>
            </w:tcBorders>
            <w:shd w:val="clear" w:color="auto" w:fill="BDD7EE"/>
            <w:tcMar>
              <w:top w:w="100" w:type="dxa"/>
              <w:left w:w="100" w:type="dxa"/>
              <w:bottom w:w="100" w:type="dxa"/>
              <w:right w:w="100" w:type="dxa"/>
            </w:tcMar>
          </w:tcPr>
          <w:p w:rsidR="00447C1F" w14:paraId="1EA83191"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Loaded Salary / Cost</w:t>
            </w:r>
          </w:p>
        </w:tc>
        <w:tc>
          <w:tcPr>
            <w:tcW w:w="1125" w:type="dxa"/>
            <w:tcBorders>
              <w:top w:val="single" w:sz="8" w:space="0" w:color="000000"/>
              <w:left w:val="nil"/>
              <w:bottom w:val="nil"/>
              <w:right w:val="single" w:sz="8" w:space="0" w:color="000000"/>
            </w:tcBorders>
            <w:shd w:val="clear" w:color="auto" w:fill="BDD7EE"/>
            <w:tcMar>
              <w:top w:w="100" w:type="dxa"/>
              <w:left w:w="100" w:type="dxa"/>
              <w:bottom w:w="100" w:type="dxa"/>
              <w:right w:w="100" w:type="dxa"/>
            </w:tcMar>
          </w:tcPr>
          <w:p w:rsidR="00447C1F" w14:paraId="35825694"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Percent of Effort</w:t>
            </w:r>
          </w:p>
        </w:tc>
        <w:tc>
          <w:tcPr>
            <w:tcW w:w="1275" w:type="dxa"/>
            <w:tcBorders>
              <w:top w:val="single" w:sz="8" w:space="0" w:color="000000"/>
              <w:left w:val="nil"/>
              <w:bottom w:val="nil"/>
              <w:right w:val="single" w:sz="8" w:space="0" w:color="000000"/>
            </w:tcBorders>
            <w:shd w:val="clear" w:color="auto" w:fill="BDD7EE"/>
            <w:tcMar>
              <w:top w:w="100" w:type="dxa"/>
              <w:left w:w="100" w:type="dxa"/>
              <w:bottom w:w="100" w:type="dxa"/>
              <w:right w:w="100" w:type="dxa"/>
            </w:tcMar>
          </w:tcPr>
          <w:p w:rsidR="00447C1F" w14:paraId="64402981"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Fringe (if applicable)</w:t>
            </w:r>
          </w:p>
        </w:tc>
        <w:tc>
          <w:tcPr>
            <w:tcW w:w="1305" w:type="dxa"/>
            <w:tcBorders>
              <w:top w:val="single" w:sz="8" w:space="0" w:color="000000"/>
              <w:left w:val="nil"/>
              <w:bottom w:val="nil"/>
              <w:right w:val="single" w:sz="8" w:space="0" w:color="000000"/>
            </w:tcBorders>
            <w:shd w:val="clear" w:color="auto" w:fill="BDD7EE"/>
            <w:tcMar>
              <w:top w:w="100" w:type="dxa"/>
              <w:left w:w="100" w:type="dxa"/>
              <w:bottom w:w="100" w:type="dxa"/>
              <w:right w:w="100" w:type="dxa"/>
            </w:tcMar>
          </w:tcPr>
          <w:p w:rsidR="00447C1F" w14:paraId="0C852D7B" w14:textId="77777777">
            <w:pPr>
              <w:spacing w:line="240" w:lineRule="auto"/>
              <w:ind w:left="-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Total Cost to Government</w:t>
            </w:r>
          </w:p>
        </w:tc>
      </w:tr>
      <w:tr w14:paraId="2F745FC0" w14:textId="77777777" w:rsidTr="004511BF">
        <w:tblPrEx>
          <w:tblW w:w="8250" w:type="dxa"/>
          <w:tblLayout w:type="fixed"/>
          <w:tblLook w:val="0600"/>
        </w:tblPrEx>
        <w:trPr>
          <w:trHeight w:val="78"/>
        </w:trPr>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447C1F" w14:paraId="4FC73397" w14:textId="77777777">
            <w:pPr>
              <w:spacing w:line="240" w:lineRule="auto"/>
              <w:ind w:left="-20"/>
              <w:rPr>
                <w:rFonts w:ascii="Times New Roman" w:eastAsia="Times New Roman" w:hAnsi="Times New Roman" w:cs="Times New Roman"/>
                <w:b/>
                <w:sz w:val="16"/>
                <w:szCs w:val="16"/>
              </w:rPr>
            </w:pPr>
            <w:r>
              <w:rPr>
                <w:rFonts w:ascii="Times New Roman" w:eastAsia="Times New Roman" w:hAnsi="Times New Roman" w:cs="Times New Roman"/>
                <w:b/>
                <w:sz w:val="16"/>
                <w:szCs w:val="16"/>
              </w:rPr>
              <w:t>Federal Oversight</w:t>
            </w:r>
          </w:p>
        </w:tc>
        <w:tc>
          <w:tcPr>
            <w:tcW w:w="1125"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bottom"/>
          </w:tcPr>
          <w:p w:rsidR="00447C1F" w14:paraId="281303F2" w14:textId="77777777">
            <w:pPr>
              <w:spacing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140"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bottom"/>
          </w:tcPr>
          <w:p w:rsidR="00447C1F" w14:paraId="7C8B1774" w14:textId="77777777">
            <w:pPr>
              <w:spacing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125"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bottom"/>
          </w:tcPr>
          <w:p w:rsidR="00447C1F" w14:paraId="7F0FB459" w14:textId="77777777">
            <w:pPr>
              <w:spacing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275"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bottom"/>
          </w:tcPr>
          <w:p w:rsidR="00447C1F" w14:paraId="1886BA3D" w14:textId="77777777">
            <w:pPr>
              <w:spacing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05"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bottom"/>
          </w:tcPr>
          <w:p w:rsidR="00447C1F" w14:paraId="03A36C0A" w14:textId="77777777">
            <w:pPr>
              <w:spacing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14:paraId="7B3E2AA4" w14:textId="77777777" w:rsidTr="004511BF">
        <w:tblPrEx>
          <w:tblW w:w="8250" w:type="dxa"/>
          <w:tblLayout w:type="fixed"/>
          <w:tblLook w:val="0600"/>
        </w:tblPrEx>
        <w:trPr>
          <w:trHeight w:val="485"/>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447C1F" w14:paraId="1E8A115C" w14:textId="77777777">
            <w:pPr>
              <w:spacing w:line="240" w:lineRule="auto"/>
              <w:ind w:left="-2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Supervisory review </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14:paraId="31C8AA46"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Band 5,</w:t>
            </w:r>
          </w:p>
          <w:p w:rsidR="00447C1F" w14:paraId="7A390D94"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Step 3</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rsidP="00030945" w14:paraId="79CAD1E9" w14:textId="3CC61E94">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030945">
              <w:rPr>
                <w:rFonts w:ascii="Times New Roman" w:eastAsia="Times New Roman" w:hAnsi="Times New Roman" w:cs="Times New Roman"/>
                <w:sz w:val="16"/>
                <w:szCs w:val="16"/>
              </w:rPr>
              <w:t>176,947</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14:paraId="74E3CE41"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&lt; 1% of annual effort (1 hour)</w:t>
            </w:r>
          </w:p>
        </w:tc>
        <w:tc>
          <w:tcPr>
            <w:tcW w:w="127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bottom"/>
          </w:tcPr>
          <w:p w:rsidR="00447C1F" w14:paraId="626C8221" w14:textId="77777777">
            <w:pPr>
              <w:spacing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rsidP="00030945" w14:paraId="77C92931" w14:textId="0B6ED492">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030945">
              <w:rPr>
                <w:rFonts w:ascii="Times New Roman" w:eastAsia="Times New Roman" w:hAnsi="Times New Roman" w:cs="Times New Roman"/>
                <w:sz w:val="16"/>
                <w:szCs w:val="16"/>
              </w:rPr>
              <w:t>85.03</w:t>
            </w:r>
          </w:p>
        </w:tc>
      </w:tr>
      <w:tr w14:paraId="084D2797" w14:textId="77777777" w:rsidTr="004511BF">
        <w:tblPrEx>
          <w:tblW w:w="8250" w:type="dxa"/>
          <w:tblLayout w:type="fixed"/>
          <w:tblLook w:val="0600"/>
        </w:tblPrEx>
        <w:trPr>
          <w:trHeight w:val="500"/>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447C1F" w14:paraId="1AF6E0DF" w14:textId="77777777">
            <w:pPr>
              <w:spacing w:line="240" w:lineRule="auto"/>
              <w:ind w:left="-20"/>
              <w:rPr>
                <w:rFonts w:ascii="Times New Roman" w:eastAsia="Times New Roman" w:hAnsi="Times New Roman" w:cs="Times New Roman"/>
                <w:b/>
                <w:sz w:val="16"/>
                <w:szCs w:val="16"/>
              </w:rPr>
            </w:pPr>
            <w:r>
              <w:rPr>
                <w:rFonts w:ascii="Times New Roman" w:eastAsia="Times New Roman" w:hAnsi="Times New Roman" w:cs="Times New Roman"/>
                <w:b/>
                <w:sz w:val="16"/>
                <w:szCs w:val="16"/>
              </w:rPr>
              <w:t>Supervisory review</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14:paraId="0C1D9844"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Band 4, </w:t>
            </w:r>
          </w:p>
          <w:p w:rsidR="00447C1F" w14:paraId="66672698"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Step 3</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rsidP="00030945" w14:paraId="1E407069" w14:textId="1E0F4F3D">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030945">
              <w:rPr>
                <w:rFonts w:ascii="Times New Roman" w:eastAsia="Times New Roman" w:hAnsi="Times New Roman" w:cs="Times New Roman"/>
                <w:sz w:val="16"/>
                <w:szCs w:val="16"/>
              </w:rPr>
              <w:t>137,202</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rsidP="007841E8" w14:paraId="292521CB" w14:textId="775416BD">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&lt; 1% of annual effort (</w:t>
            </w:r>
            <w:r w:rsidR="007841E8">
              <w:rPr>
                <w:rFonts w:ascii="Times New Roman" w:eastAsia="Times New Roman" w:hAnsi="Times New Roman" w:cs="Times New Roman"/>
                <w:sz w:val="16"/>
                <w:szCs w:val="16"/>
              </w:rPr>
              <w:t>3</w:t>
            </w:r>
            <w:r>
              <w:rPr>
                <w:rFonts w:ascii="Times New Roman" w:eastAsia="Times New Roman" w:hAnsi="Times New Roman" w:cs="Times New Roman"/>
                <w:sz w:val="16"/>
                <w:szCs w:val="16"/>
              </w:rPr>
              <w:t xml:space="preserve"> hours)</w:t>
            </w:r>
          </w:p>
        </w:tc>
        <w:tc>
          <w:tcPr>
            <w:tcW w:w="1275"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bottom"/>
          </w:tcPr>
          <w:p w:rsidR="00447C1F" w14:paraId="108E44B0" w14:textId="77777777">
            <w:pPr>
              <w:spacing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14:paraId="3CEDC28B" w14:textId="34DA79F5">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$197.88</w:t>
            </w:r>
          </w:p>
        </w:tc>
      </w:tr>
      <w:tr w14:paraId="2E7172A0" w14:textId="77777777" w:rsidTr="004511BF">
        <w:tblPrEx>
          <w:tblW w:w="8250" w:type="dxa"/>
          <w:tblLayout w:type="fixed"/>
          <w:tblLook w:val="0600"/>
        </w:tblPrEx>
        <w:trPr>
          <w:trHeight w:val="665"/>
        </w:trPr>
        <w:tc>
          <w:tcPr>
            <w:tcW w:w="22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447C1F" w14:paraId="12F47E36" w14:textId="77777777">
            <w:pPr>
              <w:spacing w:line="240" w:lineRule="auto"/>
              <w:ind w:left="-20"/>
              <w:rPr>
                <w:rFonts w:ascii="Times New Roman" w:eastAsia="Times New Roman" w:hAnsi="Times New Roman" w:cs="Times New Roman"/>
                <w:b/>
                <w:sz w:val="16"/>
                <w:szCs w:val="16"/>
              </w:rPr>
            </w:pPr>
            <w:r>
              <w:rPr>
                <w:rFonts w:ascii="Times New Roman" w:eastAsia="Times New Roman" w:hAnsi="Times New Roman" w:cs="Times New Roman"/>
                <w:b/>
                <w:sz w:val="16"/>
                <w:szCs w:val="16"/>
              </w:rPr>
              <w:t>TRT coordinator, economist and support staff preparing materials and economic impact</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14:paraId="489A937E" w14:textId="09DE9E30">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Band </w:t>
            </w:r>
            <w:r w:rsidR="007841E8">
              <w:rPr>
                <w:rFonts w:ascii="Times New Roman" w:eastAsia="Times New Roman" w:hAnsi="Times New Roman" w:cs="Times New Roman"/>
                <w:sz w:val="16"/>
                <w:szCs w:val="16"/>
              </w:rPr>
              <w:t>3</w:t>
            </w:r>
            <w:r>
              <w:rPr>
                <w:rFonts w:ascii="Times New Roman" w:eastAsia="Times New Roman" w:hAnsi="Times New Roman" w:cs="Times New Roman"/>
                <w:sz w:val="16"/>
                <w:szCs w:val="16"/>
              </w:rPr>
              <w:t xml:space="preserve">, </w:t>
            </w:r>
          </w:p>
          <w:p w:rsidR="00447C1F" w:rsidP="007841E8" w14:paraId="6D191340" w14:textId="1BD6641F">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Step </w:t>
            </w:r>
            <w:r w:rsidR="007841E8">
              <w:rPr>
                <w:rFonts w:ascii="Times New Roman" w:eastAsia="Times New Roman" w:hAnsi="Times New Roman" w:cs="Times New Roman"/>
                <w:sz w:val="16"/>
                <w:szCs w:val="16"/>
              </w:rPr>
              <w:t>4</w:t>
            </w:r>
            <w:r>
              <w:rPr>
                <w:rFonts w:ascii="Times New Roman" w:eastAsia="Times New Roman" w:hAnsi="Times New Roman" w:cs="Times New Roman"/>
                <w:sz w:val="16"/>
                <w:szCs w:val="16"/>
              </w:rPr>
              <w:t xml:space="preserve">  </w:t>
            </w:r>
          </w:p>
        </w:tc>
        <w:tc>
          <w:tcPr>
            <w:tcW w:w="114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rsidP="007841E8" w14:paraId="76046D37" w14:textId="48475E09">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7841E8">
              <w:rPr>
                <w:rFonts w:ascii="Times New Roman" w:eastAsia="Times New Roman" w:hAnsi="Times New Roman" w:cs="Times New Roman"/>
                <w:sz w:val="16"/>
                <w:szCs w:val="16"/>
              </w:rPr>
              <w:t>121,129</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14:paraId="22DED7A2" w14:textId="77777777">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 of annual effort (40 hours)</w:t>
            </w:r>
          </w:p>
        </w:tc>
        <w:tc>
          <w:tcPr>
            <w:tcW w:w="127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bottom"/>
          </w:tcPr>
          <w:p w:rsidR="00447C1F" w14:paraId="5A03370B" w14:textId="77777777">
            <w:pPr>
              <w:spacing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47C1F" w14:paraId="48638EFE" w14:textId="6864DDCB">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$2,330.4</w:t>
            </w:r>
          </w:p>
        </w:tc>
      </w:tr>
      <w:tr w14:paraId="6FA6637B" w14:textId="77777777">
        <w:tblPrEx>
          <w:tblW w:w="8250" w:type="dxa"/>
          <w:tblLayout w:type="fixed"/>
          <w:tblLook w:val="0600"/>
        </w:tblPrEx>
        <w:trPr>
          <w:trHeight w:val="515"/>
        </w:trPr>
        <w:tc>
          <w:tcPr>
            <w:tcW w:w="2280" w:type="dxa"/>
            <w:tcBorders>
              <w:top w:val="single" w:sz="8" w:space="0" w:color="000000"/>
              <w:left w:val="single" w:sz="8" w:space="0" w:color="000000"/>
              <w:bottom w:val="single" w:sz="8" w:space="0" w:color="000000"/>
              <w:right w:val="single" w:sz="8" w:space="0" w:color="000000"/>
            </w:tcBorders>
            <w:shd w:val="clear" w:color="auto" w:fill="DDEBF7"/>
            <w:tcMar>
              <w:top w:w="100" w:type="dxa"/>
              <w:left w:w="100" w:type="dxa"/>
              <w:bottom w:w="100" w:type="dxa"/>
              <w:right w:w="100" w:type="dxa"/>
            </w:tcMar>
            <w:vAlign w:val="bottom"/>
          </w:tcPr>
          <w:p w:rsidR="00447C1F" w14:paraId="65394E49" w14:textId="77777777">
            <w:pPr>
              <w:spacing w:line="240" w:lineRule="auto"/>
              <w:ind w:left="-20"/>
              <w:rPr>
                <w:rFonts w:ascii="Times New Roman" w:eastAsia="Times New Roman" w:hAnsi="Times New Roman" w:cs="Times New Roman"/>
                <w:b/>
                <w:sz w:val="16"/>
                <w:szCs w:val="16"/>
              </w:rPr>
            </w:pPr>
            <w:r>
              <w:rPr>
                <w:rFonts w:ascii="Times New Roman" w:eastAsia="Times New Roman" w:hAnsi="Times New Roman" w:cs="Times New Roman"/>
                <w:b/>
                <w:sz w:val="16"/>
                <w:szCs w:val="16"/>
              </w:rPr>
              <w:t>TOTAL</w:t>
            </w:r>
          </w:p>
        </w:tc>
        <w:tc>
          <w:tcPr>
            <w:tcW w:w="1125"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447C1F" w14:paraId="627D30D7" w14:textId="77777777">
            <w:pPr>
              <w:spacing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140"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447C1F" w14:paraId="77C79EA4" w14:textId="77777777">
            <w:pPr>
              <w:spacing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125"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447C1F" w14:paraId="401DE10E" w14:textId="77777777">
            <w:pPr>
              <w:spacing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275" w:type="dxa"/>
            <w:tcBorders>
              <w:top w:val="nil"/>
              <w:left w:val="nil"/>
              <w:bottom w:val="single" w:sz="8" w:space="0" w:color="000000"/>
              <w:right w:val="single" w:sz="8" w:space="0" w:color="000000"/>
            </w:tcBorders>
            <w:shd w:val="clear" w:color="auto" w:fill="000000"/>
            <w:tcMar>
              <w:top w:w="100" w:type="dxa"/>
              <w:left w:w="100" w:type="dxa"/>
              <w:bottom w:w="100" w:type="dxa"/>
              <w:right w:w="100" w:type="dxa"/>
            </w:tcMar>
            <w:vAlign w:val="bottom"/>
          </w:tcPr>
          <w:p w:rsidR="00447C1F" w14:paraId="554FAA14" w14:textId="77777777">
            <w:pPr>
              <w:spacing w:line="240" w:lineRule="auto"/>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05"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vAlign w:val="bottom"/>
          </w:tcPr>
          <w:p w:rsidR="00447C1F" w:rsidP="00040317" w14:paraId="6C3CB2DB" w14:textId="29912BC4">
            <w:pPr>
              <w:spacing w:line="240" w:lineRule="auto"/>
              <w:ind w:left="-2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040317">
              <w:rPr>
                <w:rFonts w:ascii="Times New Roman" w:eastAsia="Times New Roman" w:hAnsi="Times New Roman" w:cs="Times New Roman"/>
                <w:sz w:val="16"/>
                <w:szCs w:val="16"/>
              </w:rPr>
              <w:t>2,613.31</w:t>
            </w:r>
          </w:p>
        </w:tc>
      </w:tr>
    </w:tbl>
    <w:p w:rsidR="00447C1F" w14:paraId="5D43637D" w14:textId="77777777">
      <w:pPr>
        <w:spacing w:line="240" w:lineRule="auto"/>
        <w:rPr>
          <w:rFonts w:ascii="Times New Roman" w:eastAsia="Times New Roman" w:hAnsi="Times New Roman" w:cs="Times New Roman"/>
          <w:b/>
        </w:rPr>
      </w:pPr>
    </w:p>
    <w:p w:rsidR="00447C1F" w:rsidRPr="008B3FBA" w14:paraId="7D4C8B59" w14:textId="77777777">
      <w:pPr>
        <w:spacing w:line="240" w:lineRule="auto"/>
        <w:rPr>
          <w:rFonts w:ascii="Times New Roman" w:eastAsia="Times New Roman" w:hAnsi="Times New Roman" w:cs="Times New Roman"/>
          <w:b/>
          <w:sz w:val="24"/>
          <w:szCs w:val="24"/>
        </w:rPr>
      </w:pPr>
    </w:p>
    <w:p w:rsidR="00447C1F" w:rsidRPr="008B3FBA" w14:paraId="72ECF495" w14:textId="77777777">
      <w:pPr>
        <w:spacing w:line="240" w:lineRule="auto"/>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15.</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b/>
          <w:sz w:val="24"/>
          <w:szCs w:val="24"/>
        </w:rPr>
        <w:t>Explain the reasons for any program changes or adjustments reported in ROCIS.</w:t>
      </w:r>
    </w:p>
    <w:p w:rsidR="00447C1F" w:rsidRPr="008B3FBA" w14:paraId="076FF63D" w14:textId="77777777">
      <w:pPr>
        <w:spacing w:line="240" w:lineRule="auto"/>
        <w:rPr>
          <w:rFonts w:ascii="Times New Roman" w:eastAsia="Times New Roman" w:hAnsi="Times New Roman" w:cs="Times New Roman"/>
          <w:b/>
          <w:sz w:val="24"/>
          <w:szCs w:val="24"/>
        </w:rPr>
      </w:pPr>
    </w:p>
    <w:p w:rsidR="002F5FD6" w:rsidRPr="004511BF" w14:paraId="065734BA" w14:textId="38E7622A">
      <w:pPr>
        <w:spacing w:line="240" w:lineRule="auto"/>
        <w:rPr>
          <w:rFonts w:ascii="Times New Roman" w:eastAsia="Times New Roman" w:hAnsi="Times New Roman" w:cs="Times New Roman"/>
          <w:sz w:val="24"/>
          <w:szCs w:val="24"/>
        </w:rPr>
      </w:pPr>
      <w:r w:rsidRPr="008B3FBA">
        <w:rPr>
          <w:rFonts w:ascii="Times New Roman" w:eastAsia="Times New Roman" w:hAnsi="Times New Roman" w:cs="Times New Roman"/>
          <w:sz w:val="24"/>
          <w:szCs w:val="24"/>
        </w:rPr>
        <w:t>The tables below show information related to the information collections including reasons for any changes or adjustments.</w:t>
      </w:r>
      <w:bookmarkStart w:id="4" w:name="_heading=h.1fob9te" w:colFirst="0" w:colLast="0"/>
      <w:bookmarkEnd w:id="4"/>
    </w:p>
    <w:p w:rsidR="00447C1F" w14:paraId="54AB2132" w14:textId="4A8AB5B6">
      <w:pPr>
        <w:spacing w:line="240" w:lineRule="auto"/>
        <w:rPr>
          <w:rFonts w:ascii="Times New Roman" w:eastAsia="Times New Roman" w:hAnsi="Times New Roman" w:cs="Times New Roman"/>
          <w:b/>
          <w:highlight w:val="yellow"/>
        </w:rPr>
      </w:pPr>
    </w:p>
    <w:tbl>
      <w:tblPr>
        <w:tblpPr w:leftFromText="180" w:rightFromText="180" w:vertAnchor="text" w:horzAnchor="page" w:tblpX="589" w:tblpY="20"/>
        <w:tblW w:w="10766" w:type="dxa"/>
        <w:tblLook w:val="04A0"/>
      </w:tblPr>
      <w:tblGrid>
        <w:gridCol w:w="1614"/>
        <w:gridCol w:w="1266"/>
        <w:gridCol w:w="1266"/>
        <w:gridCol w:w="1265"/>
        <w:gridCol w:w="1266"/>
        <w:gridCol w:w="1265"/>
        <w:gridCol w:w="1266"/>
        <w:gridCol w:w="1558"/>
      </w:tblGrid>
      <w:tr w14:paraId="7171387D" w14:textId="77777777" w:rsidTr="004511BF">
        <w:tblPrEx>
          <w:tblW w:w="10766" w:type="dxa"/>
          <w:tblLook w:val="04A0"/>
        </w:tblPrEx>
        <w:trPr>
          <w:trHeight w:val="274"/>
        </w:trPr>
        <w:tc>
          <w:tcPr>
            <w:tcW w:w="1614"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4511BF" w:rsidRPr="004511BF" w:rsidP="004511BF" w14:paraId="79D811D8" w14:textId="77777777">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Information Collection</w:t>
            </w:r>
          </w:p>
        </w:tc>
        <w:tc>
          <w:tcPr>
            <w:tcW w:w="2532" w:type="dxa"/>
            <w:gridSpan w:val="2"/>
            <w:tcBorders>
              <w:top w:val="single" w:sz="8" w:space="0" w:color="auto"/>
              <w:left w:val="nil"/>
              <w:bottom w:val="single" w:sz="8" w:space="0" w:color="auto"/>
              <w:right w:val="single" w:sz="8" w:space="0" w:color="000000"/>
            </w:tcBorders>
            <w:shd w:val="clear" w:color="000000" w:fill="5B9BD5"/>
            <w:vAlign w:val="center"/>
            <w:hideMark/>
          </w:tcPr>
          <w:p w:rsidR="004511BF" w:rsidRPr="004511BF" w:rsidP="004511BF" w14:paraId="713194A9" w14:textId="77777777">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Respondents</w:t>
            </w:r>
          </w:p>
        </w:tc>
        <w:tc>
          <w:tcPr>
            <w:tcW w:w="2531" w:type="dxa"/>
            <w:gridSpan w:val="2"/>
            <w:tcBorders>
              <w:top w:val="single" w:sz="8" w:space="0" w:color="auto"/>
              <w:left w:val="nil"/>
              <w:bottom w:val="single" w:sz="8" w:space="0" w:color="auto"/>
              <w:right w:val="single" w:sz="8" w:space="0" w:color="000000"/>
            </w:tcBorders>
            <w:shd w:val="clear" w:color="000000" w:fill="5B9BD5"/>
            <w:vAlign w:val="center"/>
            <w:hideMark/>
          </w:tcPr>
          <w:p w:rsidR="004511BF" w:rsidRPr="004511BF" w:rsidP="004511BF" w14:paraId="162107B7" w14:textId="77777777">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Responses</w:t>
            </w:r>
          </w:p>
        </w:tc>
        <w:tc>
          <w:tcPr>
            <w:tcW w:w="2531" w:type="dxa"/>
            <w:gridSpan w:val="2"/>
            <w:tcBorders>
              <w:top w:val="single" w:sz="8" w:space="0" w:color="auto"/>
              <w:left w:val="nil"/>
              <w:bottom w:val="single" w:sz="8" w:space="0" w:color="auto"/>
              <w:right w:val="single" w:sz="8" w:space="0" w:color="000000"/>
            </w:tcBorders>
            <w:shd w:val="clear" w:color="000000" w:fill="5B9BD5"/>
            <w:vAlign w:val="center"/>
            <w:hideMark/>
          </w:tcPr>
          <w:p w:rsidR="004511BF" w:rsidRPr="004511BF" w:rsidP="004511BF" w14:paraId="0C31B5C0" w14:textId="77777777">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Burden Hours</w:t>
            </w:r>
          </w:p>
        </w:tc>
        <w:tc>
          <w:tcPr>
            <w:tcW w:w="1558"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4511BF" w:rsidRPr="004511BF" w:rsidP="004511BF" w14:paraId="6A16380D" w14:textId="77777777">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Reason for change or adjustment</w:t>
            </w:r>
          </w:p>
        </w:tc>
      </w:tr>
      <w:tr w14:paraId="2FDC33BB" w14:textId="77777777" w:rsidTr="004511BF">
        <w:tblPrEx>
          <w:tblW w:w="10766" w:type="dxa"/>
          <w:tblLook w:val="04A0"/>
        </w:tblPrEx>
        <w:trPr>
          <w:trHeight w:val="570"/>
        </w:trPr>
        <w:tc>
          <w:tcPr>
            <w:tcW w:w="1614" w:type="dxa"/>
            <w:vMerge/>
            <w:tcBorders>
              <w:top w:val="single" w:sz="8" w:space="0" w:color="auto"/>
              <w:left w:val="single" w:sz="8" w:space="0" w:color="auto"/>
              <w:bottom w:val="single" w:sz="8" w:space="0" w:color="000000"/>
              <w:right w:val="single" w:sz="8" w:space="0" w:color="auto"/>
            </w:tcBorders>
            <w:vAlign w:val="center"/>
            <w:hideMark/>
          </w:tcPr>
          <w:p w:rsidR="004511BF" w:rsidRPr="004511BF" w:rsidP="004511BF" w14:paraId="1F911796" w14:textId="77777777">
            <w:pPr>
              <w:spacing w:line="240" w:lineRule="auto"/>
              <w:rPr>
                <w:rFonts w:ascii="Calibri" w:eastAsia="Times New Roman" w:hAnsi="Calibri" w:cs="Calibri"/>
                <w:b/>
                <w:bCs/>
                <w:color w:val="000000"/>
                <w:sz w:val="16"/>
                <w:szCs w:val="16"/>
                <w:lang w:val="en-US"/>
              </w:rPr>
            </w:pPr>
          </w:p>
        </w:tc>
        <w:tc>
          <w:tcPr>
            <w:tcW w:w="1266" w:type="dxa"/>
            <w:tcBorders>
              <w:top w:val="nil"/>
              <w:left w:val="nil"/>
              <w:bottom w:val="single" w:sz="8" w:space="0" w:color="auto"/>
              <w:right w:val="dashed" w:sz="8" w:space="0" w:color="auto"/>
            </w:tcBorders>
            <w:shd w:val="clear" w:color="000000" w:fill="FBE4D5"/>
            <w:vAlign w:val="center"/>
            <w:hideMark/>
          </w:tcPr>
          <w:p w:rsidR="004511BF" w:rsidRPr="004511BF" w:rsidP="004511BF" w14:paraId="1C4298DB" w14:textId="77777777">
            <w:pPr>
              <w:spacing w:line="240" w:lineRule="auto"/>
              <w:jc w:val="center"/>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Current Renewal / Revision</w:t>
            </w:r>
          </w:p>
        </w:tc>
        <w:tc>
          <w:tcPr>
            <w:tcW w:w="1266" w:type="dxa"/>
            <w:tcBorders>
              <w:top w:val="nil"/>
              <w:left w:val="nil"/>
              <w:bottom w:val="single" w:sz="8" w:space="0" w:color="auto"/>
              <w:right w:val="single" w:sz="8" w:space="0" w:color="auto"/>
            </w:tcBorders>
            <w:shd w:val="clear" w:color="000000" w:fill="FBE4D5"/>
            <w:vAlign w:val="center"/>
            <w:hideMark/>
          </w:tcPr>
          <w:p w:rsidR="004511BF" w:rsidRPr="004511BF" w:rsidP="004511BF" w14:paraId="41EEC859" w14:textId="77777777">
            <w:pPr>
              <w:spacing w:line="240" w:lineRule="auto"/>
              <w:jc w:val="center"/>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Previous Renewal / Revision</w:t>
            </w:r>
          </w:p>
        </w:tc>
        <w:tc>
          <w:tcPr>
            <w:tcW w:w="1265" w:type="dxa"/>
            <w:tcBorders>
              <w:top w:val="nil"/>
              <w:left w:val="nil"/>
              <w:bottom w:val="single" w:sz="8" w:space="0" w:color="auto"/>
              <w:right w:val="dashed" w:sz="8" w:space="0" w:color="auto"/>
            </w:tcBorders>
            <w:shd w:val="clear" w:color="000000" w:fill="FBE4D5"/>
            <w:vAlign w:val="center"/>
            <w:hideMark/>
          </w:tcPr>
          <w:p w:rsidR="004511BF" w:rsidRPr="004511BF" w:rsidP="004511BF" w14:paraId="0088E06B" w14:textId="77777777">
            <w:pPr>
              <w:spacing w:line="240" w:lineRule="auto"/>
              <w:jc w:val="center"/>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Current Renewal / Revision</w:t>
            </w:r>
          </w:p>
        </w:tc>
        <w:tc>
          <w:tcPr>
            <w:tcW w:w="1266" w:type="dxa"/>
            <w:tcBorders>
              <w:top w:val="nil"/>
              <w:left w:val="nil"/>
              <w:bottom w:val="single" w:sz="8" w:space="0" w:color="auto"/>
              <w:right w:val="single" w:sz="8" w:space="0" w:color="auto"/>
            </w:tcBorders>
            <w:shd w:val="clear" w:color="000000" w:fill="FBE4D5"/>
            <w:vAlign w:val="center"/>
            <w:hideMark/>
          </w:tcPr>
          <w:p w:rsidR="004511BF" w:rsidRPr="004511BF" w:rsidP="004511BF" w14:paraId="1E16136F" w14:textId="77777777">
            <w:pPr>
              <w:spacing w:line="240" w:lineRule="auto"/>
              <w:jc w:val="center"/>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Previous Renewal / Revision</w:t>
            </w:r>
          </w:p>
        </w:tc>
        <w:tc>
          <w:tcPr>
            <w:tcW w:w="1265" w:type="dxa"/>
            <w:tcBorders>
              <w:top w:val="nil"/>
              <w:left w:val="nil"/>
              <w:bottom w:val="single" w:sz="8" w:space="0" w:color="auto"/>
              <w:right w:val="dashed" w:sz="8" w:space="0" w:color="auto"/>
            </w:tcBorders>
            <w:shd w:val="clear" w:color="000000" w:fill="FBE4D5"/>
            <w:vAlign w:val="center"/>
            <w:hideMark/>
          </w:tcPr>
          <w:p w:rsidR="004511BF" w:rsidRPr="004511BF" w:rsidP="004511BF" w14:paraId="4FF44365" w14:textId="77777777">
            <w:pPr>
              <w:spacing w:line="240" w:lineRule="auto"/>
              <w:jc w:val="center"/>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Current Renewal / Revision</w:t>
            </w:r>
          </w:p>
        </w:tc>
        <w:tc>
          <w:tcPr>
            <w:tcW w:w="1266" w:type="dxa"/>
            <w:tcBorders>
              <w:top w:val="nil"/>
              <w:left w:val="nil"/>
              <w:bottom w:val="single" w:sz="8" w:space="0" w:color="auto"/>
              <w:right w:val="single" w:sz="8" w:space="0" w:color="auto"/>
            </w:tcBorders>
            <w:shd w:val="clear" w:color="000000" w:fill="FBE4D5"/>
            <w:vAlign w:val="center"/>
            <w:hideMark/>
          </w:tcPr>
          <w:p w:rsidR="004511BF" w:rsidRPr="004511BF" w:rsidP="004511BF" w14:paraId="68CA5643" w14:textId="77777777">
            <w:pPr>
              <w:spacing w:line="240" w:lineRule="auto"/>
              <w:jc w:val="center"/>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Previous Renewal / Revision</w:t>
            </w:r>
          </w:p>
        </w:tc>
        <w:tc>
          <w:tcPr>
            <w:tcW w:w="1558" w:type="dxa"/>
            <w:vMerge/>
            <w:tcBorders>
              <w:top w:val="single" w:sz="8" w:space="0" w:color="auto"/>
              <w:left w:val="single" w:sz="8" w:space="0" w:color="auto"/>
              <w:bottom w:val="single" w:sz="8" w:space="0" w:color="000000"/>
              <w:right w:val="single" w:sz="8" w:space="0" w:color="auto"/>
            </w:tcBorders>
            <w:vAlign w:val="center"/>
            <w:hideMark/>
          </w:tcPr>
          <w:p w:rsidR="004511BF" w:rsidRPr="004511BF" w:rsidP="004511BF" w14:paraId="355C4552" w14:textId="77777777">
            <w:pPr>
              <w:spacing w:line="240" w:lineRule="auto"/>
              <w:rPr>
                <w:rFonts w:ascii="Calibri" w:eastAsia="Times New Roman" w:hAnsi="Calibri" w:cs="Calibri"/>
                <w:b/>
                <w:bCs/>
                <w:color w:val="000000"/>
                <w:sz w:val="16"/>
                <w:szCs w:val="16"/>
                <w:lang w:val="en-US"/>
              </w:rPr>
            </w:pPr>
          </w:p>
        </w:tc>
      </w:tr>
      <w:tr w14:paraId="78ACD2E1" w14:textId="77777777" w:rsidTr="004511BF">
        <w:tblPrEx>
          <w:tblW w:w="10766" w:type="dxa"/>
          <w:tblLook w:val="04A0"/>
        </w:tblPrEx>
        <w:trPr>
          <w:trHeight w:val="274"/>
        </w:trPr>
        <w:tc>
          <w:tcPr>
            <w:tcW w:w="1614" w:type="dxa"/>
            <w:tcBorders>
              <w:top w:val="nil"/>
              <w:left w:val="single" w:sz="8" w:space="0" w:color="auto"/>
              <w:bottom w:val="single" w:sz="8" w:space="0" w:color="auto"/>
              <w:right w:val="single" w:sz="8" w:space="0" w:color="auto"/>
            </w:tcBorders>
            <w:shd w:val="clear" w:color="auto" w:fill="auto"/>
            <w:vAlign w:val="center"/>
            <w:hideMark/>
          </w:tcPr>
          <w:p w:rsidR="004511BF" w:rsidRPr="004511BF" w:rsidP="004511BF" w14:paraId="115B368A" w14:textId="3EA3BC1B">
            <w:pPr>
              <w:spacing w:line="240" w:lineRule="auto"/>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Gear Marking</w:t>
            </w:r>
            <w:r w:rsidRPr="004511BF">
              <w:rPr>
                <w:rFonts w:ascii="Calibri" w:eastAsia="Times New Roman" w:hAnsi="Calibri" w:cs="Calibri"/>
                <w:color w:val="000000"/>
                <w:sz w:val="16"/>
                <w:szCs w:val="16"/>
                <w:lang w:val="en-US"/>
              </w:rPr>
              <w:t> </w:t>
            </w:r>
          </w:p>
        </w:tc>
        <w:tc>
          <w:tcPr>
            <w:tcW w:w="1266" w:type="dxa"/>
            <w:tcBorders>
              <w:top w:val="nil"/>
              <w:left w:val="nil"/>
              <w:bottom w:val="dotted" w:sz="4" w:space="0" w:color="auto"/>
              <w:right w:val="dashed" w:sz="8" w:space="0" w:color="auto"/>
            </w:tcBorders>
            <w:shd w:val="clear" w:color="auto" w:fill="auto"/>
            <w:vAlign w:val="center"/>
            <w:hideMark/>
          </w:tcPr>
          <w:p w:rsidR="004511BF" w:rsidRPr="004511BF" w:rsidP="004511BF" w14:paraId="734807A0" w14:textId="54D94E95">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3,970</w:t>
            </w:r>
            <w:r w:rsidRPr="004511BF">
              <w:rPr>
                <w:rFonts w:ascii="Calibri" w:eastAsia="Times New Roman" w:hAnsi="Calibri" w:cs="Calibri"/>
                <w:color w:val="000000"/>
                <w:sz w:val="16"/>
                <w:szCs w:val="16"/>
                <w:lang w:val="en-US"/>
              </w:rPr>
              <w:t> </w:t>
            </w:r>
            <w:r w:rsidRPr="004511BF">
              <w:rPr>
                <w:rFonts w:ascii="Calibri" w:eastAsia="Times New Roman" w:hAnsi="Calibri" w:cs="Calibri"/>
                <w:color w:val="000000"/>
                <w:sz w:val="16"/>
                <w:szCs w:val="16"/>
                <w:lang w:val="en-US"/>
              </w:rPr>
              <w:t> </w:t>
            </w:r>
          </w:p>
        </w:tc>
        <w:tc>
          <w:tcPr>
            <w:tcW w:w="1266" w:type="dxa"/>
            <w:tcBorders>
              <w:top w:val="nil"/>
              <w:left w:val="nil"/>
              <w:bottom w:val="dotted" w:sz="4" w:space="0" w:color="auto"/>
              <w:right w:val="single" w:sz="8" w:space="0" w:color="auto"/>
            </w:tcBorders>
            <w:shd w:val="clear" w:color="auto" w:fill="auto"/>
            <w:vAlign w:val="center"/>
            <w:hideMark/>
          </w:tcPr>
          <w:p w:rsidR="004511BF" w:rsidRPr="004511BF" w:rsidP="004511BF" w14:paraId="2D596782" w14:textId="4A0B8167">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3,970</w:t>
            </w:r>
            <w:r w:rsidRPr="004511BF">
              <w:rPr>
                <w:rFonts w:ascii="Calibri" w:eastAsia="Times New Roman" w:hAnsi="Calibri" w:cs="Calibri"/>
                <w:color w:val="000000"/>
                <w:sz w:val="16"/>
                <w:szCs w:val="16"/>
                <w:lang w:val="en-US"/>
              </w:rPr>
              <w:t> </w:t>
            </w:r>
          </w:p>
        </w:tc>
        <w:tc>
          <w:tcPr>
            <w:tcW w:w="1265" w:type="dxa"/>
            <w:tcBorders>
              <w:top w:val="nil"/>
              <w:left w:val="nil"/>
              <w:bottom w:val="dotted" w:sz="4" w:space="0" w:color="auto"/>
              <w:right w:val="dashed" w:sz="8" w:space="0" w:color="auto"/>
            </w:tcBorders>
            <w:shd w:val="clear" w:color="auto" w:fill="auto"/>
            <w:vAlign w:val="center"/>
            <w:hideMark/>
          </w:tcPr>
          <w:p w:rsidR="004511BF" w:rsidRPr="004511BF" w:rsidP="004511BF" w14:paraId="59E4ACBC" w14:textId="472C913E">
            <w:pPr>
              <w:spacing w:line="240" w:lineRule="auto"/>
              <w:jc w:val="center"/>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 </w:t>
            </w:r>
            <w:r w:rsidR="00133CCE">
              <w:rPr>
                <w:rFonts w:ascii="Times New Roman" w:eastAsia="Times New Roman" w:hAnsi="Times New Roman" w:cs="Times New Roman"/>
                <w:sz w:val="16"/>
                <w:szCs w:val="16"/>
              </w:rPr>
              <w:t>1,544,842</w:t>
            </w:r>
          </w:p>
        </w:tc>
        <w:tc>
          <w:tcPr>
            <w:tcW w:w="1266" w:type="dxa"/>
            <w:tcBorders>
              <w:top w:val="nil"/>
              <w:left w:val="nil"/>
              <w:bottom w:val="dotted" w:sz="4" w:space="0" w:color="auto"/>
              <w:right w:val="single" w:sz="8" w:space="0" w:color="auto"/>
            </w:tcBorders>
            <w:shd w:val="clear" w:color="auto" w:fill="auto"/>
            <w:vAlign w:val="center"/>
            <w:hideMark/>
          </w:tcPr>
          <w:p w:rsidR="004511BF" w:rsidRPr="004511BF" w:rsidP="004511BF" w14:paraId="34C37F37" w14:textId="0EAC9CC4">
            <w:pPr>
              <w:spacing w:line="240" w:lineRule="auto"/>
              <w:jc w:val="center"/>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 </w:t>
            </w:r>
            <w:r w:rsidR="00133CCE">
              <w:rPr>
                <w:rFonts w:ascii="Calibri" w:eastAsia="Times New Roman" w:hAnsi="Calibri" w:cs="Calibri"/>
                <w:color w:val="000000"/>
                <w:sz w:val="16"/>
                <w:szCs w:val="16"/>
                <w:lang w:val="en-US"/>
              </w:rPr>
              <w:t>1,544,330</w:t>
            </w:r>
          </w:p>
        </w:tc>
        <w:tc>
          <w:tcPr>
            <w:tcW w:w="1265" w:type="dxa"/>
            <w:tcBorders>
              <w:top w:val="nil"/>
              <w:left w:val="nil"/>
              <w:bottom w:val="dotted" w:sz="4" w:space="0" w:color="auto"/>
              <w:right w:val="dashed" w:sz="8" w:space="0" w:color="auto"/>
            </w:tcBorders>
            <w:shd w:val="clear" w:color="auto" w:fill="auto"/>
            <w:vAlign w:val="center"/>
            <w:hideMark/>
          </w:tcPr>
          <w:p w:rsidR="004511BF" w:rsidRPr="004511BF" w:rsidP="004511BF" w14:paraId="4AF42F6E" w14:textId="717C6AED">
            <w:pPr>
              <w:spacing w:line="240" w:lineRule="auto"/>
              <w:jc w:val="center"/>
              <w:rPr>
                <w:rFonts w:ascii="Calibri" w:eastAsia="Times New Roman" w:hAnsi="Calibri" w:cs="Calibri"/>
                <w:color w:val="000000"/>
                <w:sz w:val="16"/>
                <w:szCs w:val="16"/>
                <w:lang w:val="en-US"/>
              </w:rPr>
            </w:pPr>
            <w:r>
              <w:rPr>
                <w:rFonts w:ascii="Times New Roman" w:eastAsia="Times New Roman" w:hAnsi="Times New Roman" w:cs="Times New Roman"/>
                <w:sz w:val="16"/>
                <w:szCs w:val="16"/>
              </w:rPr>
              <w:t>222,391</w:t>
            </w:r>
            <w:r w:rsidRPr="004511BF">
              <w:rPr>
                <w:rFonts w:ascii="Calibri" w:eastAsia="Times New Roman" w:hAnsi="Calibri" w:cs="Calibri"/>
                <w:color w:val="000000"/>
                <w:sz w:val="16"/>
                <w:szCs w:val="16"/>
                <w:lang w:val="en-US"/>
              </w:rPr>
              <w:t> </w:t>
            </w:r>
          </w:p>
        </w:tc>
        <w:tc>
          <w:tcPr>
            <w:tcW w:w="1266" w:type="dxa"/>
            <w:tcBorders>
              <w:top w:val="nil"/>
              <w:left w:val="nil"/>
              <w:bottom w:val="dotted" w:sz="4" w:space="0" w:color="auto"/>
              <w:right w:val="single" w:sz="8" w:space="0" w:color="auto"/>
            </w:tcBorders>
            <w:shd w:val="clear" w:color="auto" w:fill="auto"/>
            <w:vAlign w:val="center"/>
            <w:hideMark/>
          </w:tcPr>
          <w:p w:rsidR="004511BF" w:rsidRPr="004511BF" w:rsidP="004511BF" w14:paraId="14CC6F9F" w14:textId="0D0CBA2E">
            <w:pPr>
              <w:spacing w:line="240" w:lineRule="auto"/>
              <w:jc w:val="center"/>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 </w:t>
            </w:r>
            <w:r w:rsidR="00133CCE">
              <w:rPr>
                <w:rFonts w:ascii="Calibri" w:eastAsia="Times New Roman" w:hAnsi="Calibri" w:cs="Calibri"/>
                <w:color w:val="000000"/>
                <w:sz w:val="16"/>
                <w:szCs w:val="16"/>
                <w:lang w:val="en-US"/>
              </w:rPr>
              <w:t>221,354</w:t>
            </w:r>
          </w:p>
        </w:tc>
        <w:tc>
          <w:tcPr>
            <w:tcW w:w="1558" w:type="dxa"/>
            <w:tcBorders>
              <w:top w:val="nil"/>
              <w:left w:val="nil"/>
              <w:bottom w:val="dotted" w:sz="4" w:space="0" w:color="auto"/>
              <w:right w:val="single" w:sz="8" w:space="0" w:color="auto"/>
            </w:tcBorders>
            <w:shd w:val="clear" w:color="auto" w:fill="auto"/>
            <w:vAlign w:val="center"/>
            <w:hideMark/>
          </w:tcPr>
          <w:p w:rsidR="004511BF" w:rsidRPr="004511BF" w:rsidP="004511BF" w14:paraId="01E2E661" w14:textId="7636A2D5">
            <w:pPr>
              <w:spacing w:line="240" w:lineRule="auto"/>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 </w:t>
            </w:r>
            <w:r w:rsidR="00133CCE">
              <w:rPr>
                <w:rFonts w:ascii="Calibri" w:eastAsia="Times New Roman" w:hAnsi="Calibri" w:cs="Calibri"/>
                <w:color w:val="000000"/>
                <w:sz w:val="16"/>
                <w:szCs w:val="16"/>
                <w:lang w:val="en-US"/>
              </w:rPr>
              <w:t>Updated estimates</w:t>
            </w:r>
          </w:p>
        </w:tc>
      </w:tr>
      <w:tr w14:paraId="37A8FEEA" w14:textId="77777777" w:rsidTr="004511BF">
        <w:tblPrEx>
          <w:tblW w:w="10766" w:type="dxa"/>
          <w:tblLook w:val="04A0"/>
        </w:tblPrEx>
        <w:trPr>
          <w:trHeight w:val="424"/>
        </w:trPr>
        <w:tc>
          <w:tcPr>
            <w:tcW w:w="1614" w:type="dxa"/>
            <w:tcBorders>
              <w:top w:val="nil"/>
              <w:left w:val="single" w:sz="8" w:space="0" w:color="auto"/>
              <w:bottom w:val="nil"/>
              <w:right w:val="single" w:sz="8" w:space="0" w:color="auto"/>
            </w:tcBorders>
            <w:shd w:val="clear" w:color="000000" w:fill="BDD6EE"/>
            <w:vAlign w:val="center"/>
            <w:hideMark/>
          </w:tcPr>
          <w:p w:rsidR="004511BF" w:rsidRPr="004511BF" w:rsidP="004511BF" w14:paraId="27AFCD2A" w14:textId="77777777">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Total for Collection</w:t>
            </w:r>
          </w:p>
        </w:tc>
        <w:tc>
          <w:tcPr>
            <w:tcW w:w="1266" w:type="dxa"/>
            <w:tcBorders>
              <w:top w:val="nil"/>
              <w:left w:val="nil"/>
              <w:bottom w:val="nil"/>
              <w:right w:val="dashed" w:sz="8" w:space="0" w:color="auto"/>
            </w:tcBorders>
            <w:shd w:val="clear" w:color="000000" w:fill="BDD6EE"/>
            <w:vAlign w:val="center"/>
            <w:hideMark/>
          </w:tcPr>
          <w:p w:rsidR="004511BF" w:rsidRPr="004511BF" w:rsidP="004511BF" w14:paraId="1E5E93E9" w14:textId="6C6B5DB1">
            <w:pPr>
              <w:spacing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3,970</w:t>
            </w:r>
            <w:r w:rsidRPr="004511BF">
              <w:rPr>
                <w:rFonts w:ascii="Calibri" w:eastAsia="Times New Roman" w:hAnsi="Calibri" w:cs="Calibri"/>
                <w:b/>
                <w:bCs/>
                <w:color w:val="000000"/>
                <w:sz w:val="16"/>
                <w:szCs w:val="16"/>
                <w:lang w:val="en-US"/>
              </w:rPr>
              <w:t> </w:t>
            </w:r>
            <w:r w:rsidRPr="004511BF">
              <w:rPr>
                <w:rFonts w:ascii="Calibri" w:eastAsia="Times New Roman" w:hAnsi="Calibri" w:cs="Calibri"/>
                <w:b/>
                <w:bCs/>
                <w:color w:val="000000"/>
                <w:sz w:val="16"/>
                <w:szCs w:val="16"/>
                <w:lang w:val="en-US"/>
              </w:rPr>
              <w:t> </w:t>
            </w:r>
          </w:p>
        </w:tc>
        <w:tc>
          <w:tcPr>
            <w:tcW w:w="1266" w:type="dxa"/>
            <w:tcBorders>
              <w:top w:val="nil"/>
              <w:left w:val="nil"/>
              <w:bottom w:val="nil"/>
              <w:right w:val="single" w:sz="8" w:space="0" w:color="auto"/>
            </w:tcBorders>
            <w:shd w:val="clear" w:color="000000" w:fill="BDD6EE"/>
            <w:vAlign w:val="center"/>
            <w:hideMark/>
          </w:tcPr>
          <w:p w:rsidR="004511BF" w:rsidRPr="004511BF" w:rsidP="004511BF" w14:paraId="2D5D0858" w14:textId="58E94CDA">
            <w:pPr>
              <w:spacing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3,970</w:t>
            </w:r>
            <w:r w:rsidRPr="004511BF">
              <w:rPr>
                <w:rFonts w:ascii="Calibri" w:eastAsia="Times New Roman" w:hAnsi="Calibri" w:cs="Calibri"/>
                <w:b/>
                <w:bCs/>
                <w:color w:val="000000"/>
                <w:sz w:val="16"/>
                <w:szCs w:val="16"/>
                <w:lang w:val="en-US"/>
              </w:rPr>
              <w:t> </w:t>
            </w:r>
          </w:p>
        </w:tc>
        <w:tc>
          <w:tcPr>
            <w:tcW w:w="1265" w:type="dxa"/>
            <w:tcBorders>
              <w:top w:val="nil"/>
              <w:left w:val="nil"/>
              <w:bottom w:val="nil"/>
              <w:right w:val="dashed" w:sz="8" w:space="0" w:color="auto"/>
            </w:tcBorders>
            <w:shd w:val="clear" w:color="000000" w:fill="BDD6EE"/>
            <w:vAlign w:val="center"/>
            <w:hideMark/>
          </w:tcPr>
          <w:p w:rsidR="004511BF" w:rsidRPr="004511BF" w:rsidP="004511BF" w14:paraId="6515E25F" w14:textId="5AB7F1DA">
            <w:pPr>
              <w:spacing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1,544,842</w:t>
            </w:r>
            <w:r w:rsidRPr="004511BF">
              <w:rPr>
                <w:rFonts w:ascii="Calibri" w:eastAsia="Times New Roman" w:hAnsi="Calibri" w:cs="Calibri"/>
                <w:b/>
                <w:bCs/>
                <w:color w:val="000000"/>
                <w:sz w:val="16"/>
                <w:szCs w:val="16"/>
                <w:lang w:val="en-US"/>
              </w:rPr>
              <w:t> </w:t>
            </w:r>
          </w:p>
        </w:tc>
        <w:tc>
          <w:tcPr>
            <w:tcW w:w="1266" w:type="dxa"/>
            <w:tcBorders>
              <w:top w:val="nil"/>
              <w:left w:val="nil"/>
              <w:bottom w:val="nil"/>
              <w:right w:val="single" w:sz="8" w:space="0" w:color="auto"/>
            </w:tcBorders>
            <w:shd w:val="clear" w:color="000000" w:fill="BDD6EE"/>
            <w:vAlign w:val="center"/>
            <w:hideMark/>
          </w:tcPr>
          <w:p w:rsidR="004511BF" w:rsidRPr="004511BF" w:rsidP="004511BF" w14:paraId="139A3E84" w14:textId="5B239B1A">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 </w:t>
            </w:r>
            <w:r w:rsidR="00133CCE">
              <w:rPr>
                <w:rFonts w:ascii="Calibri" w:eastAsia="Times New Roman" w:hAnsi="Calibri" w:cs="Calibri"/>
                <w:b/>
                <w:bCs/>
                <w:color w:val="000000"/>
                <w:sz w:val="16"/>
                <w:szCs w:val="16"/>
                <w:lang w:val="en-US"/>
              </w:rPr>
              <w:t>1,544,330</w:t>
            </w:r>
          </w:p>
        </w:tc>
        <w:tc>
          <w:tcPr>
            <w:tcW w:w="1265" w:type="dxa"/>
            <w:tcBorders>
              <w:top w:val="nil"/>
              <w:left w:val="nil"/>
              <w:bottom w:val="nil"/>
              <w:right w:val="dashed" w:sz="8" w:space="0" w:color="auto"/>
            </w:tcBorders>
            <w:shd w:val="clear" w:color="000000" w:fill="BDD6EE"/>
            <w:vAlign w:val="center"/>
            <w:hideMark/>
          </w:tcPr>
          <w:p w:rsidR="004511BF" w:rsidRPr="004511BF" w:rsidP="004511BF" w14:paraId="1F5D05ED" w14:textId="02FB01F7">
            <w:pPr>
              <w:spacing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222,391</w:t>
            </w:r>
            <w:r w:rsidRPr="004511BF">
              <w:rPr>
                <w:rFonts w:ascii="Calibri" w:eastAsia="Times New Roman" w:hAnsi="Calibri" w:cs="Calibri"/>
                <w:b/>
                <w:bCs/>
                <w:color w:val="000000"/>
                <w:sz w:val="16"/>
                <w:szCs w:val="16"/>
                <w:lang w:val="en-US"/>
              </w:rPr>
              <w:t> </w:t>
            </w:r>
          </w:p>
        </w:tc>
        <w:tc>
          <w:tcPr>
            <w:tcW w:w="1266" w:type="dxa"/>
            <w:tcBorders>
              <w:top w:val="nil"/>
              <w:left w:val="nil"/>
              <w:bottom w:val="nil"/>
              <w:right w:val="single" w:sz="8" w:space="0" w:color="auto"/>
            </w:tcBorders>
            <w:shd w:val="clear" w:color="000000" w:fill="BDD6EE"/>
            <w:vAlign w:val="center"/>
            <w:hideMark/>
          </w:tcPr>
          <w:p w:rsidR="004511BF" w:rsidRPr="004511BF" w:rsidP="004511BF" w14:paraId="4EB922DF" w14:textId="67DF9D96">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 </w:t>
            </w:r>
            <w:r w:rsidR="00133CCE">
              <w:rPr>
                <w:rFonts w:ascii="Calibri" w:eastAsia="Times New Roman" w:hAnsi="Calibri" w:cs="Calibri"/>
                <w:b/>
                <w:bCs/>
                <w:color w:val="000000"/>
                <w:sz w:val="16"/>
                <w:szCs w:val="16"/>
                <w:lang w:val="en-US"/>
              </w:rPr>
              <w:t>221,354</w:t>
            </w:r>
          </w:p>
        </w:tc>
        <w:tc>
          <w:tcPr>
            <w:tcW w:w="1558" w:type="dxa"/>
            <w:tcBorders>
              <w:top w:val="nil"/>
              <w:left w:val="nil"/>
              <w:bottom w:val="nil"/>
              <w:right w:val="single" w:sz="8" w:space="0" w:color="auto"/>
            </w:tcBorders>
            <w:shd w:val="clear" w:color="000000" w:fill="000000"/>
            <w:vAlign w:val="center"/>
            <w:hideMark/>
          </w:tcPr>
          <w:p w:rsidR="004511BF" w:rsidRPr="004511BF" w:rsidP="004511BF" w14:paraId="2F7BB3AF" w14:textId="77777777">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 </w:t>
            </w:r>
          </w:p>
        </w:tc>
      </w:tr>
      <w:tr w14:paraId="3F1F43E9" w14:textId="77777777" w:rsidTr="004511BF">
        <w:tblPrEx>
          <w:tblW w:w="10766" w:type="dxa"/>
          <w:tblLook w:val="04A0"/>
        </w:tblPrEx>
        <w:trPr>
          <w:trHeight w:val="274"/>
        </w:trPr>
        <w:tc>
          <w:tcPr>
            <w:tcW w:w="1614" w:type="dxa"/>
            <w:tcBorders>
              <w:top w:val="single" w:sz="8" w:space="0" w:color="auto"/>
              <w:left w:val="single" w:sz="8" w:space="0" w:color="auto"/>
              <w:bottom w:val="single" w:sz="8" w:space="0" w:color="auto"/>
              <w:right w:val="nil"/>
            </w:tcBorders>
            <w:shd w:val="clear" w:color="000000" w:fill="FCE4D6"/>
            <w:noWrap/>
            <w:vAlign w:val="bottom"/>
            <w:hideMark/>
          </w:tcPr>
          <w:p w:rsidR="004511BF" w:rsidRPr="004511BF" w:rsidP="004511BF" w14:paraId="694835A4" w14:textId="77777777">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Difference</w:t>
            </w:r>
          </w:p>
        </w:tc>
        <w:tc>
          <w:tcPr>
            <w:tcW w:w="2532"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4511BF" w:rsidRPr="004511BF" w:rsidP="004511BF" w14:paraId="123EBE3B" w14:textId="5936F5CC">
            <w:pPr>
              <w:spacing w:line="240" w:lineRule="auto"/>
              <w:jc w:val="center"/>
              <w:rPr>
                <w:rFonts w:ascii="Calibri" w:eastAsia="Times New Roman" w:hAnsi="Calibri" w:cs="Calibri"/>
                <w:color w:val="000000"/>
                <w:lang w:val="en-US"/>
              </w:rPr>
            </w:pPr>
            <w:r>
              <w:rPr>
                <w:rFonts w:ascii="Calibri" w:eastAsia="Times New Roman" w:hAnsi="Calibri" w:cs="Calibri"/>
                <w:color w:val="000000"/>
                <w:lang w:val="en-US"/>
              </w:rPr>
              <w:t>0</w:t>
            </w:r>
            <w:r w:rsidRPr="004511BF">
              <w:rPr>
                <w:rFonts w:ascii="Calibri" w:eastAsia="Times New Roman" w:hAnsi="Calibri" w:cs="Calibri"/>
                <w:color w:val="000000"/>
                <w:lang w:val="en-US"/>
              </w:rPr>
              <w:t> </w:t>
            </w:r>
          </w:p>
        </w:tc>
        <w:tc>
          <w:tcPr>
            <w:tcW w:w="2531"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4511BF" w:rsidRPr="004511BF" w:rsidP="004511BF" w14:paraId="0C149542" w14:textId="39CE44DA">
            <w:pPr>
              <w:spacing w:line="240" w:lineRule="auto"/>
              <w:jc w:val="center"/>
              <w:rPr>
                <w:rFonts w:ascii="Calibri" w:eastAsia="Times New Roman" w:hAnsi="Calibri" w:cs="Calibri"/>
                <w:color w:val="000000"/>
                <w:lang w:val="en-US"/>
              </w:rPr>
            </w:pPr>
            <w:r w:rsidRPr="004511BF">
              <w:rPr>
                <w:rFonts w:ascii="Calibri" w:eastAsia="Times New Roman" w:hAnsi="Calibri" w:cs="Calibri"/>
                <w:color w:val="000000"/>
                <w:lang w:val="en-US"/>
              </w:rPr>
              <w:t> </w:t>
            </w:r>
            <w:r w:rsidR="00133CCE">
              <w:rPr>
                <w:rFonts w:ascii="Calibri" w:eastAsia="Times New Roman" w:hAnsi="Calibri" w:cs="Calibri"/>
                <w:color w:val="000000"/>
                <w:lang w:val="en-US"/>
              </w:rPr>
              <w:t>512</w:t>
            </w:r>
          </w:p>
        </w:tc>
        <w:tc>
          <w:tcPr>
            <w:tcW w:w="2531"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4511BF" w:rsidRPr="004511BF" w:rsidP="004511BF" w14:paraId="0CAEC4D2" w14:textId="0C1F9A35">
            <w:pPr>
              <w:spacing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1,037</w:t>
            </w:r>
            <w:r w:rsidRPr="004511BF">
              <w:rPr>
                <w:rFonts w:ascii="Calibri" w:eastAsia="Times New Roman" w:hAnsi="Calibri" w:cs="Calibri"/>
                <w:color w:val="000000"/>
                <w:lang w:val="en-US"/>
              </w:rPr>
              <w:t> </w:t>
            </w:r>
          </w:p>
        </w:tc>
        <w:tc>
          <w:tcPr>
            <w:tcW w:w="1558" w:type="dxa"/>
            <w:tcBorders>
              <w:top w:val="single" w:sz="8" w:space="0" w:color="auto"/>
              <w:left w:val="nil"/>
              <w:bottom w:val="single" w:sz="8" w:space="0" w:color="auto"/>
              <w:right w:val="single" w:sz="8" w:space="0" w:color="auto"/>
            </w:tcBorders>
            <w:shd w:val="clear" w:color="000000" w:fill="000000"/>
            <w:noWrap/>
            <w:vAlign w:val="bottom"/>
            <w:hideMark/>
          </w:tcPr>
          <w:p w:rsidR="004511BF" w:rsidRPr="004511BF" w:rsidP="004511BF" w14:paraId="27C1567A" w14:textId="77777777">
            <w:pPr>
              <w:spacing w:line="240" w:lineRule="auto"/>
              <w:rPr>
                <w:rFonts w:ascii="Calibri" w:eastAsia="Times New Roman" w:hAnsi="Calibri" w:cs="Calibri"/>
                <w:color w:val="000000"/>
                <w:lang w:val="en-US"/>
              </w:rPr>
            </w:pPr>
            <w:r w:rsidRPr="004511BF">
              <w:rPr>
                <w:rFonts w:ascii="Calibri" w:eastAsia="Times New Roman" w:hAnsi="Calibri" w:cs="Calibri"/>
                <w:color w:val="000000"/>
                <w:lang w:val="en-US"/>
              </w:rPr>
              <w:t> </w:t>
            </w:r>
          </w:p>
        </w:tc>
      </w:tr>
    </w:tbl>
    <w:p w:rsidR="004511BF" w14:paraId="0C7612E5" w14:textId="77777777">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tbl>
      <w:tblPr>
        <w:tblW w:w="10777" w:type="dxa"/>
        <w:tblInd w:w="-862" w:type="dxa"/>
        <w:tblLook w:val="04A0"/>
      </w:tblPr>
      <w:tblGrid>
        <w:gridCol w:w="1817"/>
        <w:gridCol w:w="1792"/>
        <w:gridCol w:w="1792"/>
        <w:gridCol w:w="1792"/>
        <w:gridCol w:w="1792"/>
        <w:gridCol w:w="1792"/>
      </w:tblGrid>
      <w:tr w14:paraId="552E5D38" w14:textId="77777777" w:rsidTr="004511BF">
        <w:tblPrEx>
          <w:tblW w:w="10777" w:type="dxa"/>
          <w:tblInd w:w="-862" w:type="dxa"/>
          <w:tblLook w:val="04A0"/>
        </w:tblPrEx>
        <w:trPr>
          <w:trHeight w:val="261"/>
        </w:trPr>
        <w:tc>
          <w:tcPr>
            <w:tcW w:w="1817"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4511BF" w:rsidRPr="004511BF" w:rsidP="004511BF" w14:paraId="4B941DA4" w14:textId="77777777">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Information Collection</w:t>
            </w:r>
          </w:p>
        </w:tc>
        <w:tc>
          <w:tcPr>
            <w:tcW w:w="3584" w:type="dxa"/>
            <w:gridSpan w:val="2"/>
            <w:tcBorders>
              <w:top w:val="single" w:sz="8" w:space="0" w:color="auto"/>
              <w:left w:val="nil"/>
              <w:bottom w:val="single" w:sz="8" w:space="0" w:color="auto"/>
              <w:right w:val="single" w:sz="8" w:space="0" w:color="000000"/>
            </w:tcBorders>
            <w:shd w:val="clear" w:color="000000" w:fill="5B9BD5"/>
            <w:vAlign w:val="center"/>
            <w:hideMark/>
          </w:tcPr>
          <w:p w:rsidR="004511BF" w:rsidRPr="004511BF" w:rsidP="004511BF" w14:paraId="0C41F9F1" w14:textId="77777777">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Labor Costs</w:t>
            </w:r>
          </w:p>
        </w:tc>
        <w:tc>
          <w:tcPr>
            <w:tcW w:w="3584" w:type="dxa"/>
            <w:gridSpan w:val="2"/>
            <w:tcBorders>
              <w:top w:val="single" w:sz="8" w:space="0" w:color="auto"/>
              <w:left w:val="nil"/>
              <w:bottom w:val="single" w:sz="8" w:space="0" w:color="auto"/>
              <w:right w:val="single" w:sz="8" w:space="0" w:color="000000"/>
            </w:tcBorders>
            <w:shd w:val="clear" w:color="000000" w:fill="5B9BD5"/>
            <w:vAlign w:val="center"/>
            <w:hideMark/>
          </w:tcPr>
          <w:p w:rsidR="004511BF" w:rsidRPr="004511BF" w:rsidP="004511BF" w14:paraId="5A1E5277" w14:textId="77777777">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Miscellaneous Costs</w:t>
            </w:r>
          </w:p>
        </w:tc>
        <w:tc>
          <w:tcPr>
            <w:tcW w:w="1792"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4511BF" w:rsidRPr="004511BF" w:rsidP="004511BF" w14:paraId="584E76BF" w14:textId="77777777">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Reason for change or adjustment</w:t>
            </w:r>
          </w:p>
        </w:tc>
      </w:tr>
      <w:tr w14:paraId="062F1C62" w14:textId="77777777" w:rsidTr="004511BF">
        <w:tblPrEx>
          <w:tblW w:w="10777" w:type="dxa"/>
          <w:tblInd w:w="-862" w:type="dxa"/>
          <w:tblLook w:val="04A0"/>
        </w:tblPrEx>
        <w:trPr>
          <w:trHeight w:val="543"/>
        </w:trPr>
        <w:tc>
          <w:tcPr>
            <w:tcW w:w="1817" w:type="dxa"/>
            <w:vMerge/>
            <w:tcBorders>
              <w:top w:val="single" w:sz="8" w:space="0" w:color="auto"/>
              <w:left w:val="single" w:sz="8" w:space="0" w:color="auto"/>
              <w:bottom w:val="single" w:sz="8" w:space="0" w:color="000000"/>
              <w:right w:val="single" w:sz="8" w:space="0" w:color="auto"/>
            </w:tcBorders>
            <w:vAlign w:val="center"/>
            <w:hideMark/>
          </w:tcPr>
          <w:p w:rsidR="004511BF" w:rsidRPr="004511BF" w:rsidP="004511BF" w14:paraId="6EBB1365" w14:textId="77777777">
            <w:pPr>
              <w:spacing w:line="240" w:lineRule="auto"/>
              <w:rPr>
                <w:rFonts w:ascii="Calibri" w:eastAsia="Times New Roman" w:hAnsi="Calibri" w:cs="Calibri"/>
                <w:b/>
                <w:bCs/>
                <w:color w:val="000000"/>
                <w:sz w:val="16"/>
                <w:szCs w:val="16"/>
                <w:lang w:val="en-US"/>
              </w:rPr>
            </w:pPr>
          </w:p>
        </w:tc>
        <w:tc>
          <w:tcPr>
            <w:tcW w:w="1792" w:type="dxa"/>
            <w:tcBorders>
              <w:top w:val="nil"/>
              <w:left w:val="nil"/>
              <w:bottom w:val="single" w:sz="8" w:space="0" w:color="auto"/>
              <w:right w:val="dashed" w:sz="8" w:space="0" w:color="auto"/>
            </w:tcBorders>
            <w:shd w:val="clear" w:color="000000" w:fill="FBE4D5"/>
            <w:vAlign w:val="center"/>
            <w:hideMark/>
          </w:tcPr>
          <w:p w:rsidR="004511BF" w:rsidRPr="004511BF" w:rsidP="004511BF" w14:paraId="19E3F2AB" w14:textId="77777777">
            <w:pPr>
              <w:spacing w:line="240" w:lineRule="auto"/>
              <w:jc w:val="center"/>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Current</w:t>
            </w:r>
          </w:p>
        </w:tc>
        <w:tc>
          <w:tcPr>
            <w:tcW w:w="1792" w:type="dxa"/>
            <w:tcBorders>
              <w:top w:val="nil"/>
              <w:left w:val="nil"/>
              <w:bottom w:val="single" w:sz="8" w:space="0" w:color="auto"/>
              <w:right w:val="single" w:sz="8" w:space="0" w:color="auto"/>
            </w:tcBorders>
            <w:shd w:val="clear" w:color="000000" w:fill="FBE4D5"/>
            <w:vAlign w:val="center"/>
            <w:hideMark/>
          </w:tcPr>
          <w:p w:rsidR="004511BF" w:rsidRPr="004511BF" w:rsidP="004511BF" w14:paraId="58E15007" w14:textId="77777777">
            <w:pPr>
              <w:spacing w:line="240" w:lineRule="auto"/>
              <w:jc w:val="center"/>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Previous</w:t>
            </w:r>
          </w:p>
        </w:tc>
        <w:tc>
          <w:tcPr>
            <w:tcW w:w="1792" w:type="dxa"/>
            <w:tcBorders>
              <w:top w:val="nil"/>
              <w:left w:val="nil"/>
              <w:bottom w:val="single" w:sz="8" w:space="0" w:color="auto"/>
              <w:right w:val="dashed" w:sz="8" w:space="0" w:color="auto"/>
            </w:tcBorders>
            <w:shd w:val="clear" w:color="000000" w:fill="FBE4D5"/>
            <w:vAlign w:val="center"/>
            <w:hideMark/>
          </w:tcPr>
          <w:p w:rsidR="004511BF" w:rsidRPr="004511BF" w:rsidP="004511BF" w14:paraId="56C80870" w14:textId="77777777">
            <w:pPr>
              <w:spacing w:line="240" w:lineRule="auto"/>
              <w:jc w:val="center"/>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Current</w:t>
            </w:r>
          </w:p>
        </w:tc>
        <w:tc>
          <w:tcPr>
            <w:tcW w:w="1792" w:type="dxa"/>
            <w:tcBorders>
              <w:top w:val="nil"/>
              <w:left w:val="nil"/>
              <w:bottom w:val="single" w:sz="8" w:space="0" w:color="auto"/>
              <w:right w:val="single" w:sz="8" w:space="0" w:color="auto"/>
            </w:tcBorders>
            <w:shd w:val="clear" w:color="000000" w:fill="FBE4D5"/>
            <w:vAlign w:val="center"/>
            <w:hideMark/>
          </w:tcPr>
          <w:p w:rsidR="004511BF" w:rsidRPr="004511BF" w:rsidP="004511BF" w14:paraId="52F8A01B" w14:textId="77777777">
            <w:pPr>
              <w:spacing w:line="240" w:lineRule="auto"/>
              <w:jc w:val="center"/>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Previous</w:t>
            </w:r>
          </w:p>
        </w:tc>
        <w:tc>
          <w:tcPr>
            <w:tcW w:w="1792" w:type="dxa"/>
            <w:vMerge/>
            <w:tcBorders>
              <w:top w:val="single" w:sz="8" w:space="0" w:color="auto"/>
              <w:left w:val="single" w:sz="8" w:space="0" w:color="auto"/>
              <w:bottom w:val="single" w:sz="8" w:space="0" w:color="000000"/>
              <w:right w:val="single" w:sz="8" w:space="0" w:color="auto"/>
            </w:tcBorders>
            <w:vAlign w:val="center"/>
            <w:hideMark/>
          </w:tcPr>
          <w:p w:rsidR="004511BF" w:rsidRPr="004511BF" w:rsidP="004511BF" w14:paraId="27230979" w14:textId="77777777">
            <w:pPr>
              <w:spacing w:line="240" w:lineRule="auto"/>
              <w:rPr>
                <w:rFonts w:ascii="Calibri" w:eastAsia="Times New Roman" w:hAnsi="Calibri" w:cs="Calibri"/>
                <w:b/>
                <w:bCs/>
                <w:color w:val="000000"/>
                <w:sz w:val="16"/>
                <w:szCs w:val="16"/>
                <w:lang w:val="en-US"/>
              </w:rPr>
            </w:pPr>
          </w:p>
        </w:tc>
      </w:tr>
      <w:tr w14:paraId="030D2984" w14:textId="77777777" w:rsidTr="004511BF">
        <w:tblPrEx>
          <w:tblW w:w="10777" w:type="dxa"/>
          <w:tblInd w:w="-862" w:type="dxa"/>
          <w:tblLook w:val="04A0"/>
        </w:tblPrEx>
        <w:trPr>
          <w:trHeight w:val="261"/>
        </w:trPr>
        <w:tc>
          <w:tcPr>
            <w:tcW w:w="1817" w:type="dxa"/>
            <w:tcBorders>
              <w:top w:val="nil"/>
              <w:left w:val="single" w:sz="8" w:space="0" w:color="auto"/>
              <w:bottom w:val="single" w:sz="8" w:space="0" w:color="auto"/>
              <w:right w:val="single" w:sz="8" w:space="0" w:color="auto"/>
            </w:tcBorders>
            <w:shd w:val="clear" w:color="auto" w:fill="auto"/>
            <w:vAlign w:val="center"/>
            <w:hideMark/>
          </w:tcPr>
          <w:p w:rsidR="004511BF" w:rsidRPr="004511BF" w:rsidP="004511BF" w14:paraId="5860A2A2" w14:textId="3454A5D7">
            <w:pPr>
              <w:spacing w:line="240" w:lineRule="auto"/>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 </w:t>
            </w:r>
            <w:r w:rsidR="00133CCE">
              <w:rPr>
                <w:rFonts w:ascii="Calibri" w:eastAsia="Times New Roman" w:hAnsi="Calibri" w:cs="Calibri"/>
                <w:color w:val="000000"/>
                <w:sz w:val="16"/>
                <w:szCs w:val="16"/>
                <w:lang w:val="en-US"/>
              </w:rPr>
              <w:t>Gear Marking</w:t>
            </w:r>
          </w:p>
        </w:tc>
        <w:tc>
          <w:tcPr>
            <w:tcW w:w="1792" w:type="dxa"/>
            <w:tcBorders>
              <w:top w:val="nil"/>
              <w:left w:val="nil"/>
              <w:bottom w:val="dotted" w:sz="4" w:space="0" w:color="auto"/>
              <w:right w:val="dashed" w:sz="8" w:space="0" w:color="auto"/>
            </w:tcBorders>
            <w:shd w:val="clear" w:color="auto" w:fill="auto"/>
            <w:vAlign w:val="center"/>
            <w:hideMark/>
          </w:tcPr>
          <w:p w:rsidR="004511BF" w:rsidRPr="004511BF" w:rsidP="004511BF" w14:paraId="0E4C0230" w14:textId="0B8DC4FF">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6,500,000</w:t>
            </w:r>
            <w:r w:rsidRPr="004511BF">
              <w:rPr>
                <w:rFonts w:ascii="Calibri" w:eastAsia="Times New Roman" w:hAnsi="Calibri" w:cs="Calibri"/>
                <w:color w:val="000000"/>
                <w:sz w:val="16"/>
                <w:szCs w:val="16"/>
                <w:lang w:val="en-US"/>
              </w:rPr>
              <w:t> </w:t>
            </w:r>
          </w:p>
        </w:tc>
        <w:tc>
          <w:tcPr>
            <w:tcW w:w="1792" w:type="dxa"/>
            <w:tcBorders>
              <w:top w:val="nil"/>
              <w:left w:val="nil"/>
              <w:bottom w:val="dotted" w:sz="4" w:space="0" w:color="auto"/>
              <w:right w:val="single" w:sz="8" w:space="0" w:color="auto"/>
            </w:tcBorders>
            <w:shd w:val="clear" w:color="auto" w:fill="auto"/>
            <w:vAlign w:val="center"/>
            <w:hideMark/>
          </w:tcPr>
          <w:p w:rsidR="004511BF" w:rsidRPr="004511BF" w:rsidP="004511BF" w14:paraId="14FC9D0B" w14:textId="1977CD79">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5,600,000</w:t>
            </w:r>
            <w:r w:rsidRPr="004511BF">
              <w:rPr>
                <w:rFonts w:ascii="Calibri" w:eastAsia="Times New Roman" w:hAnsi="Calibri" w:cs="Calibri"/>
                <w:color w:val="000000"/>
                <w:sz w:val="16"/>
                <w:szCs w:val="16"/>
                <w:lang w:val="en-US"/>
              </w:rPr>
              <w:t> </w:t>
            </w:r>
          </w:p>
        </w:tc>
        <w:tc>
          <w:tcPr>
            <w:tcW w:w="1792" w:type="dxa"/>
            <w:tcBorders>
              <w:top w:val="nil"/>
              <w:left w:val="nil"/>
              <w:bottom w:val="dotted" w:sz="4" w:space="0" w:color="auto"/>
              <w:right w:val="dashed" w:sz="8" w:space="0" w:color="auto"/>
            </w:tcBorders>
            <w:shd w:val="clear" w:color="auto" w:fill="auto"/>
            <w:vAlign w:val="center"/>
            <w:hideMark/>
          </w:tcPr>
          <w:p w:rsidR="004511BF" w:rsidRPr="004511BF" w:rsidP="004511BF" w14:paraId="3A216BEA" w14:textId="0B613DB2">
            <w:pPr>
              <w:spacing w:line="240" w:lineRule="auto"/>
              <w:jc w:val="center"/>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 </w:t>
            </w:r>
            <w:r w:rsidR="00133CCE">
              <w:rPr>
                <w:rFonts w:ascii="Times New Roman" w:eastAsia="Times New Roman" w:hAnsi="Times New Roman" w:cs="Times New Roman"/>
                <w:sz w:val="16"/>
                <w:szCs w:val="16"/>
              </w:rPr>
              <w:t>295,135</w:t>
            </w:r>
          </w:p>
        </w:tc>
        <w:tc>
          <w:tcPr>
            <w:tcW w:w="1792" w:type="dxa"/>
            <w:tcBorders>
              <w:top w:val="nil"/>
              <w:left w:val="nil"/>
              <w:bottom w:val="dotted" w:sz="4" w:space="0" w:color="auto"/>
              <w:right w:val="single" w:sz="8" w:space="0" w:color="auto"/>
            </w:tcBorders>
            <w:shd w:val="clear" w:color="auto" w:fill="auto"/>
            <w:vAlign w:val="center"/>
            <w:hideMark/>
          </w:tcPr>
          <w:p w:rsidR="004511BF" w:rsidRPr="004511BF" w:rsidP="004511BF" w14:paraId="2F35BD56" w14:textId="1344432F">
            <w:pPr>
              <w:spacing w:line="240" w:lineRule="auto"/>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266,594</w:t>
            </w:r>
            <w:r w:rsidRPr="004511BF">
              <w:rPr>
                <w:rFonts w:ascii="Calibri" w:eastAsia="Times New Roman" w:hAnsi="Calibri" w:cs="Calibri"/>
                <w:color w:val="000000"/>
                <w:sz w:val="16"/>
                <w:szCs w:val="16"/>
                <w:lang w:val="en-US"/>
              </w:rPr>
              <w:t> </w:t>
            </w:r>
          </w:p>
        </w:tc>
        <w:tc>
          <w:tcPr>
            <w:tcW w:w="1792" w:type="dxa"/>
            <w:tcBorders>
              <w:top w:val="nil"/>
              <w:left w:val="nil"/>
              <w:bottom w:val="dotted" w:sz="4" w:space="0" w:color="auto"/>
              <w:right w:val="single" w:sz="8" w:space="0" w:color="auto"/>
            </w:tcBorders>
            <w:shd w:val="clear" w:color="auto" w:fill="auto"/>
            <w:vAlign w:val="center"/>
            <w:hideMark/>
          </w:tcPr>
          <w:p w:rsidR="004511BF" w:rsidRPr="004511BF" w:rsidP="004511BF" w14:paraId="3BAD511A" w14:textId="28E8DDB4">
            <w:pPr>
              <w:spacing w:line="240" w:lineRule="auto"/>
              <w:rPr>
                <w:rFonts w:ascii="Calibri" w:eastAsia="Times New Roman" w:hAnsi="Calibri" w:cs="Calibri"/>
                <w:color w:val="000000"/>
                <w:sz w:val="16"/>
                <w:szCs w:val="16"/>
                <w:lang w:val="en-US"/>
              </w:rPr>
            </w:pPr>
            <w:r w:rsidRPr="004511BF">
              <w:rPr>
                <w:rFonts w:ascii="Calibri" w:eastAsia="Times New Roman" w:hAnsi="Calibri" w:cs="Calibri"/>
                <w:color w:val="000000"/>
                <w:sz w:val="16"/>
                <w:szCs w:val="16"/>
                <w:lang w:val="en-US"/>
              </w:rPr>
              <w:t> </w:t>
            </w:r>
            <w:r w:rsidR="00133CCE">
              <w:rPr>
                <w:rFonts w:ascii="Calibri" w:eastAsia="Times New Roman" w:hAnsi="Calibri" w:cs="Calibri"/>
                <w:color w:val="000000"/>
                <w:sz w:val="16"/>
                <w:szCs w:val="16"/>
                <w:lang w:val="en-US"/>
              </w:rPr>
              <w:t>Updated estimates</w:t>
            </w:r>
          </w:p>
        </w:tc>
      </w:tr>
      <w:tr w14:paraId="0ECF150A" w14:textId="77777777" w:rsidTr="004511BF">
        <w:tblPrEx>
          <w:tblW w:w="10777" w:type="dxa"/>
          <w:tblInd w:w="-862" w:type="dxa"/>
          <w:tblLook w:val="04A0"/>
        </w:tblPrEx>
        <w:trPr>
          <w:trHeight w:val="404"/>
        </w:trPr>
        <w:tc>
          <w:tcPr>
            <w:tcW w:w="1817" w:type="dxa"/>
            <w:tcBorders>
              <w:top w:val="nil"/>
              <w:left w:val="single" w:sz="8" w:space="0" w:color="auto"/>
              <w:bottom w:val="nil"/>
              <w:right w:val="single" w:sz="8" w:space="0" w:color="auto"/>
            </w:tcBorders>
            <w:shd w:val="clear" w:color="000000" w:fill="BDD6EE"/>
            <w:vAlign w:val="center"/>
            <w:hideMark/>
          </w:tcPr>
          <w:p w:rsidR="004511BF" w:rsidRPr="004511BF" w:rsidP="004511BF" w14:paraId="27E67CB5" w14:textId="77777777">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Total for Collection</w:t>
            </w:r>
          </w:p>
        </w:tc>
        <w:tc>
          <w:tcPr>
            <w:tcW w:w="1792" w:type="dxa"/>
            <w:tcBorders>
              <w:top w:val="nil"/>
              <w:left w:val="nil"/>
              <w:bottom w:val="nil"/>
              <w:right w:val="dashed" w:sz="8" w:space="0" w:color="auto"/>
            </w:tcBorders>
            <w:shd w:val="clear" w:color="000000" w:fill="BDD6EE"/>
            <w:vAlign w:val="center"/>
            <w:hideMark/>
          </w:tcPr>
          <w:p w:rsidR="004511BF" w:rsidRPr="004511BF" w:rsidP="004511BF" w14:paraId="504AED51" w14:textId="4BCC24D8">
            <w:pPr>
              <w:spacing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w:t>
            </w:r>
            <w:r w:rsidRPr="004511BF">
              <w:rPr>
                <w:rFonts w:ascii="Calibri" w:eastAsia="Times New Roman" w:hAnsi="Calibri" w:cs="Calibri"/>
                <w:b/>
                <w:bCs/>
                <w:color w:val="000000"/>
                <w:sz w:val="16"/>
                <w:szCs w:val="16"/>
                <w:lang w:val="en-US"/>
              </w:rPr>
              <w:t> </w:t>
            </w:r>
            <w:r>
              <w:rPr>
                <w:rFonts w:ascii="Calibri" w:eastAsia="Times New Roman" w:hAnsi="Calibri" w:cs="Calibri"/>
                <w:b/>
                <w:bCs/>
                <w:color w:val="000000"/>
                <w:sz w:val="16"/>
                <w:szCs w:val="16"/>
                <w:lang w:val="en-US"/>
              </w:rPr>
              <w:t>6,500,000</w:t>
            </w:r>
          </w:p>
        </w:tc>
        <w:tc>
          <w:tcPr>
            <w:tcW w:w="1792" w:type="dxa"/>
            <w:tcBorders>
              <w:top w:val="nil"/>
              <w:left w:val="nil"/>
              <w:bottom w:val="nil"/>
              <w:right w:val="single" w:sz="8" w:space="0" w:color="auto"/>
            </w:tcBorders>
            <w:shd w:val="clear" w:color="000000" w:fill="BDD6EE"/>
            <w:vAlign w:val="center"/>
            <w:hideMark/>
          </w:tcPr>
          <w:p w:rsidR="004511BF" w:rsidRPr="004511BF" w:rsidP="004511BF" w14:paraId="657F13CA" w14:textId="58B41275">
            <w:pPr>
              <w:spacing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w:t>
            </w:r>
            <w:r w:rsidRPr="004511BF">
              <w:rPr>
                <w:rFonts w:ascii="Calibri" w:eastAsia="Times New Roman" w:hAnsi="Calibri" w:cs="Calibri"/>
                <w:b/>
                <w:bCs/>
                <w:color w:val="000000"/>
                <w:sz w:val="16"/>
                <w:szCs w:val="16"/>
                <w:lang w:val="en-US"/>
              </w:rPr>
              <w:t> </w:t>
            </w:r>
            <w:r>
              <w:rPr>
                <w:rFonts w:ascii="Calibri" w:eastAsia="Times New Roman" w:hAnsi="Calibri" w:cs="Calibri"/>
                <w:b/>
                <w:bCs/>
                <w:color w:val="000000"/>
                <w:sz w:val="16"/>
                <w:szCs w:val="16"/>
                <w:lang w:val="en-US"/>
              </w:rPr>
              <w:t>5,600,000</w:t>
            </w:r>
          </w:p>
        </w:tc>
        <w:tc>
          <w:tcPr>
            <w:tcW w:w="1792" w:type="dxa"/>
            <w:tcBorders>
              <w:top w:val="nil"/>
              <w:left w:val="nil"/>
              <w:bottom w:val="nil"/>
              <w:right w:val="dashed" w:sz="8" w:space="0" w:color="auto"/>
            </w:tcBorders>
            <w:shd w:val="clear" w:color="000000" w:fill="BDD6EE"/>
            <w:vAlign w:val="center"/>
            <w:hideMark/>
          </w:tcPr>
          <w:p w:rsidR="004511BF" w:rsidRPr="004511BF" w:rsidP="004511BF" w14:paraId="572724A4" w14:textId="7B7DA056">
            <w:pPr>
              <w:spacing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$295,135</w:t>
            </w:r>
            <w:r w:rsidRPr="004511BF">
              <w:rPr>
                <w:rFonts w:ascii="Calibri" w:eastAsia="Times New Roman" w:hAnsi="Calibri" w:cs="Calibri"/>
                <w:b/>
                <w:bCs/>
                <w:color w:val="000000"/>
                <w:sz w:val="16"/>
                <w:szCs w:val="16"/>
                <w:lang w:val="en-US"/>
              </w:rPr>
              <w:t> </w:t>
            </w:r>
          </w:p>
        </w:tc>
        <w:tc>
          <w:tcPr>
            <w:tcW w:w="1792" w:type="dxa"/>
            <w:tcBorders>
              <w:top w:val="nil"/>
              <w:left w:val="nil"/>
              <w:bottom w:val="nil"/>
              <w:right w:val="single" w:sz="8" w:space="0" w:color="auto"/>
            </w:tcBorders>
            <w:shd w:val="clear" w:color="000000" w:fill="BDD6EE"/>
            <w:vAlign w:val="center"/>
            <w:hideMark/>
          </w:tcPr>
          <w:p w:rsidR="004511BF" w:rsidRPr="004511BF" w:rsidP="004511BF" w14:paraId="13B595E0" w14:textId="6ED517A7">
            <w:pPr>
              <w:spacing w:line="240" w:lineRule="auto"/>
              <w:jc w:val="center"/>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$266,594</w:t>
            </w:r>
            <w:r w:rsidRPr="004511BF">
              <w:rPr>
                <w:rFonts w:ascii="Calibri" w:eastAsia="Times New Roman" w:hAnsi="Calibri" w:cs="Calibri"/>
                <w:b/>
                <w:bCs/>
                <w:color w:val="000000"/>
                <w:sz w:val="16"/>
                <w:szCs w:val="16"/>
                <w:lang w:val="en-US"/>
              </w:rPr>
              <w:t> </w:t>
            </w:r>
          </w:p>
        </w:tc>
        <w:tc>
          <w:tcPr>
            <w:tcW w:w="1792" w:type="dxa"/>
            <w:tcBorders>
              <w:top w:val="nil"/>
              <w:left w:val="nil"/>
              <w:bottom w:val="nil"/>
              <w:right w:val="single" w:sz="8" w:space="0" w:color="auto"/>
            </w:tcBorders>
            <w:shd w:val="clear" w:color="000000" w:fill="000000"/>
            <w:vAlign w:val="center"/>
            <w:hideMark/>
          </w:tcPr>
          <w:p w:rsidR="004511BF" w:rsidRPr="004511BF" w:rsidP="004511BF" w14:paraId="3843743D" w14:textId="77777777">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 </w:t>
            </w:r>
          </w:p>
        </w:tc>
      </w:tr>
      <w:tr w14:paraId="5EFB3830" w14:textId="77777777" w:rsidTr="004511BF">
        <w:tblPrEx>
          <w:tblW w:w="10777" w:type="dxa"/>
          <w:tblInd w:w="-862" w:type="dxa"/>
          <w:tblLook w:val="04A0"/>
        </w:tblPrEx>
        <w:trPr>
          <w:trHeight w:val="261"/>
        </w:trPr>
        <w:tc>
          <w:tcPr>
            <w:tcW w:w="1817" w:type="dxa"/>
            <w:tcBorders>
              <w:top w:val="single" w:sz="8" w:space="0" w:color="auto"/>
              <w:left w:val="single" w:sz="8" w:space="0" w:color="auto"/>
              <w:bottom w:val="single" w:sz="8" w:space="0" w:color="auto"/>
              <w:right w:val="nil"/>
            </w:tcBorders>
            <w:shd w:val="clear" w:color="000000" w:fill="FCE4D6"/>
            <w:noWrap/>
            <w:vAlign w:val="bottom"/>
            <w:hideMark/>
          </w:tcPr>
          <w:p w:rsidR="004511BF" w:rsidRPr="004511BF" w:rsidP="004511BF" w14:paraId="3966E20C" w14:textId="77777777">
            <w:pPr>
              <w:spacing w:line="240" w:lineRule="auto"/>
              <w:jc w:val="center"/>
              <w:rPr>
                <w:rFonts w:ascii="Calibri" w:eastAsia="Times New Roman" w:hAnsi="Calibri" w:cs="Calibri"/>
                <w:b/>
                <w:bCs/>
                <w:color w:val="000000"/>
                <w:sz w:val="16"/>
                <w:szCs w:val="16"/>
                <w:lang w:val="en-US"/>
              </w:rPr>
            </w:pPr>
            <w:r w:rsidRPr="004511BF">
              <w:rPr>
                <w:rFonts w:ascii="Calibri" w:eastAsia="Times New Roman" w:hAnsi="Calibri" w:cs="Calibri"/>
                <w:b/>
                <w:bCs/>
                <w:color w:val="000000"/>
                <w:sz w:val="16"/>
                <w:szCs w:val="16"/>
                <w:lang w:val="en-US"/>
              </w:rPr>
              <w:t>Difference</w:t>
            </w:r>
          </w:p>
        </w:tc>
        <w:tc>
          <w:tcPr>
            <w:tcW w:w="3584"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4511BF" w:rsidRPr="004511BF" w:rsidP="004511BF" w14:paraId="3AFAAFCA" w14:textId="032C37D2">
            <w:pPr>
              <w:spacing w:line="240" w:lineRule="auto"/>
              <w:jc w:val="center"/>
              <w:rPr>
                <w:rFonts w:ascii="Calibri" w:eastAsia="Times New Roman" w:hAnsi="Calibri" w:cs="Calibri"/>
                <w:color w:val="000000"/>
                <w:lang w:val="en-US"/>
              </w:rPr>
            </w:pPr>
            <w:r w:rsidRPr="004511BF">
              <w:rPr>
                <w:rFonts w:ascii="Calibri" w:eastAsia="Times New Roman" w:hAnsi="Calibri" w:cs="Calibri"/>
                <w:color w:val="000000"/>
                <w:lang w:val="en-US"/>
              </w:rPr>
              <w:t> </w:t>
            </w:r>
            <w:r w:rsidR="00133CCE">
              <w:rPr>
                <w:rFonts w:ascii="Calibri" w:eastAsia="Times New Roman" w:hAnsi="Calibri" w:cs="Calibri"/>
                <w:color w:val="000000"/>
                <w:lang w:val="en-US"/>
              </w:rPr>
              <w:t>$900,000</w:t>
            </w:r>
          </w:p>
        </w:tc>
        <w:tc>
          <w:tcPr>
            <w:tcW w:w="3584" w:type="dxa"/>
            <w:gridSpan w:val="2"/>
            <w:tcBorders>
              <w:top w:val="single" w:sz="8" w:space="0" w:color="auto"/>
              <w:left w:val="nil"/>
              <w:bottom w:val="single" w:sz="8" w:space="0" w:color="auto"/>
              <w:right w:val="single" w:sz="4" w:space="0" w:color="auto"/>
            </w:tcBorders>
            <w:shd w:val="clear" w:color="000000" w:fill="FCE4D6"/>
            <w:noWrap/>
            <w:vAlign w:val="bottom"/>
            <w:hideMark/>
          </w:tcPr>
          <w:p w:rsidR="004511BF" w:rsidRPr="004511BF" w:rsidP="004511BF" w14:paraId="3E36B286" w14:textId="4E3C02A5">
            <w:pPr>
              <w:spacing w:line="240" w:lineRule="auto"/>
              <w:jc w:val="center"/>
              <w:rPr>
                <w:rFonts w:ascii="Calibri" w:eastAsia="Times New Roman" w:hAnsi="Calibri" w:cs="Calibri"/>
                <w:color w:val="000000"/>
                <w:lang w:val="en-US"/>
              </w:rPr>
            </w:pPr>
            <w:r>
              <w:rPr>
                <w:rFonts w:ascii="Calibri" w:eastAsia="Times New Roman" w:hAnsi="Calibri" w:cs="Calibri"/>
                <w:color w:val="000000"/>
                <w:lang w:val="en-US"/>
              </w:rPr>
              <w:t>$</w:t>
            </w:r>
            <w:r w:rsidRPr="004511BF">
              <w:rPr>
                <w:rFonts w:ascii="Calibri" w:eastAsia="Times New Roman" w:hAnsi="Calibri" w:cs="Calibri"/>
                <w:color w:val="000000"/>
                <w:lang w:val="en-US"/>
              </w:rPr>
              <w:t> </w:t>
            </w:r>
            <w:r>
              <w:rPr>
                <w:rFonts w:ascii="Calibri" w:eastAsia="Times New Roman" w:hAnsi="Calibri" w:cs="Calibri"/>
                <w:color w:val="000000"/>
                <w:lang w:val="en-US"/>
              </w:rPr>
              <w:t>28,541</w:t>
            </w:r>
          </w:p>
        </w:tc>
        <w:tc>
          <w:tcPr>
            <w:tcW w:w="1792" w:type="dxa"/>
            <w:tcBorders>
              <w:top w:val="single" w:sz="8" w:space="0" w:color="auto"/>
              <w:left w:val="nil"/>
              <w:bottom w:val="single" w:sz="8" w:space="0" w:color="auto"/>
              <w:right w:val="single" w:sz="8" w:space="0" w:color="auto"/>
            </w:tcBorders>
            <w:shd w:val="clear" w:color="000000" w:fill="000000"/>
            <w:noWrap/>
            <w:vAlign w:val="bottom"/>
            <w:hideMark/>
          </w:tcPr>
          <w:p w:rsidR="004511BF" w:rsidRPr="004511BF" w:rsidP="004511BF" w14:paraId="536B85DC" w14:textId="77777777">
            <w:pPr>
              <w:spacing w:line="240" w:lineRule="auto"/>
              <w:rPr>
                <w:rFonts w:ascii="Calibri" w:eastAsia="Times New Roman" w:hAnsi="Calibri" w:cs="Calibri"/>
                <w:color w:val="000000"/>
                <w:lang w:val="en-US"/>
              </w:rPr>
            </w:pPr>
            <w:r w:rsidRPr="004511BF">
              <w:rPr>
                <w:rFonts w:ascii="Calibri" w:eastAsia="Times New Roman" w:hAnsi="Calibri" w:cs="Calibri"/>
                <w:color w:val="000000"/>
                <w:lang w:val="en-US"/>
              </w:rPr>
              <w:t> </w:t>
            </w:r>
          </w:p>
        </w:tc>
      </w:tr>
    </w:tbl>
    <w:p w:rsidR="00447C1F" w14:paraId="31F8FD3A" w14:textId="3B60D271">
      <w:pPr>
        <w:spacing w:line="240" w:lineRule="auto"/>
        <w:rPr>
          <w:rFonts w:ascii="Times New Roman" w:eastAsia="Times New Roman" w:hAnsi="Times New Roman" w:cs="Times New Roman"/>
          <w:b/>
        </w:rPr>
      </w:pPr>
    </w:p>
    <w:p w:rsidR="000064DC" w14:paraId="5DF2D5D7" w14:textId="60181528">
      <w:pPr>
        <w:spacing w:line="240" w:lineRule="auto"/>
        <w:rPr>
          <w:rFonts w:ascii="Times New Roman" w:eastAsia="Times New Roman" w:hAnsi="Times New Roman" w:cs="Times New Roman"/>
          <w:b/>
        </w:rPr>
      </w:pPr>
    </w:p>
    <w:p w:rsidR="000064DC" w14:paraId="16F08BBB" w14:textId="77777777">
      <w:pPr>
        <w:spacing w:line="240" w:lineRule="auto"/>
        <w:rPr>
          <w:rFonts w:ascii="Times New Roman" w:eastAsia="Times New Roman" w:hAnsi="Times New Roman" w:cs="Times New Roman"/>
          <w:b/>
        </w:rPr>
      </w:pPr>
    </w:p>
    <w:p w:rsidR="00447C1F" w:rsidRPr="008B3FBA" w14:paraId="38176E37" w14:textId="77777777">
      <w:pPr>
        <w:spacing w:line="240" w:lineRule="auto"/>
        <w:rPr>
          <w:rFonts w:ascii="Times New Roman" w:eastAsia="Times New Roman" w:hAnsi="Times New Roman" w:cs="Times New Roman"/>
          <w:b/>
          <w:sz w:val="24"/>
          <w:szCs w:val="24"/>
        </w:rPr>
      </w:pPr>
      <w:bookmarkStart w:id="5" w:name="_heading=h.3znysh7" w:colFirst="0" w:colLast="0"/>
      <w:bookmarkEnd w:id="5"/>
      <w:r w:rsidRPr="008B3FBA">
        <w:rPr>
          <w:rFonts w:ascii="Times New Roman" w:eastAsia="Times New Roman" w:hAnsi="Times New Roman" w:cs="Times New Roman"/>
          <w:b/>
          <w:sz w:val="24"/>
          <w:szCs w:val="24"/>
        </w:rPr>
        <w:t>16.</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47C1F" w:rsidRPr="008B3FBA" w14:paraId="75EC0D24" w14:textId="77777777">
      <w:pPr>
        <w:spacing w:line="240" w:lineRule="auto"/>
        <w:rPr>
          <w:rFonts w:ascii="Times New Roman" w:eastAsia="Times New Roman" w:hAnsi="Times New Roman" w:cs="Times New Roman"/>
          <w:sz w:val="24"/>
          <w:szCs w:val="24"/>
        </w:rPr>
      </w:pPr>
    </w:p>
    <w:p w:rsidR="00447C1F" w:rsidRPr="008B3FBA" w14:paraId="7BC1241F" w14:textId="77777777">
      <w:pPr>
        <w:spacing w:line="240" w:lineRule="auto"/>
        <w:rPr>
          <w:rFonts w:ascii="Times New Roman" w:eastAsia="Times New Roman" w:hAnsi="Times New Roman" w:cs="Times New Roman"/>
          <w:b/>
          <w:sz w:val="24"/>
          <w:szCs w:val="24"/>
        </w:rPr>
      </w:pPr>
      <w:r w:rsidRPr="008B3FBA">
        <w:rPr>
          <w:rFonts w:ascii="Times New Roman" w:eastAsia="Times New Roman" w:hAnsi="Times New Roman" w:cs="Times New Roman"/>
          <w:sz w:val="24"/>
          <w:szCs w:val="24"/>
        </w:rPr>
        <w:t>Collection results will not be published.</w:t>
      </w:r>
    </w:p>
    <w:p w:rsidR="00447C1F" w:rsidRPr="008B3FBA" w14:paraId="3B93B7D1" w14:textId="77777777">
      <w:pPr>
        <w:spacing w:line="240" w:lineRule="auto"/>
        <w:rPr>
          <w:rFonts w:ascii="Times New Roman" w:eastAsia="Times New Roman" w:hAnsi="Times New Roman" w:cs="Times New Roman"/>
          <w:b/>
          <w:sz w:val="24"/>
          <w:szCs w:val="24"/>
        </w:rPr>
      </w:pPr>
    </w:p>
    <w:p w:rsidR="00447C1F" w:rsidRPr="008B3FBA" w14:paraId="2CFF9ED3" w14:textId="77777777">
      <w:pPr>
        <w:spacing w:line="240" w:lineRule="auto"/>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17.</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b/>
          <w:sz w:val="24"/>
          <w:szCs w:val="24"/>
        </w:rPr>
        <w:t>If seeking approval to not display the expiration date for OMB approval of the information collection, explain the reasons that display would be inappropriate.</w:t>
      </w:r>
    </w:p>
    <w:p w:rsidR="00447C1F" w:rsidRPr="008B3FBA" w14:paraId="657CCC95" w14:textId="77777777">
      <w:pPr>
        <w:spacing w:line="240" w:lineRule="auto"/>
        <w:rPr>
          <w:rFonts w:ascii="Times New Roman" w:eastAsia="Times New Roman" w:hAnsi="Times New Roman" w:cs="Times New Roman"/>
          <w:b/>
          <w:sz w:val="24"/>
          <w:szCs w:val="24"/>
        </w:rPr>
      </w:pPr>
    </w:p>
    <w:p w:rsidR="00447C1F" w:rsidRPr="008B3FBA" w14:paraId="7FC1585A" w14:textId="77777777">
      <w:pPr>
        <w:spacing w:line="240" w:lineRule="auto"/>
        <w:rPr>
          <w:rFonts w:ascii="Times New Roman" w:eastAsia="Times New Roman" w:hAnsi="Times New Roman" w:cs="Times New Roman"/>
          <w:i/>
          <w:sz w:val="24"/>
          <w:szCs w:val="24"/>
        </w:rPr>
      </w:pPr>
      <w:r w:rsidRPr="008B3FBA">
        <w:rPr>
          <w:rFonts w:ascii="Times New Roman" w:eastAsia="Times New Roman" w:hAnsi="Times New Roman" w:cs="Times New Roman"/>
          <w:sz w:val="24"/>
          <w:szCs w:val="24"/>
        </w:rPr>
        <w:t>This collection does not involve paper forms, so it is not possible to display the expiration date for OMB approval of the information collection.</w:t>
      </w:r>
    </w:p>
    <w:p w:rsidR="00447C1F" w14:paraId="376767F0" w14:textId="77777777">
      <w:pPr>
        <w:spacing w:line="240" w:lineRule="auto"/>
        <w:rPr>
          <w:rFonts w:ascii="Times New Roman" w:eastAsia="Times New Roman" w:hAnsi="Times New Roman" w:cs="Times New Roman"/>
          <w:b/>
        </w:rPr>
      </w:pPr>
    </w:p>
    <w:p w:rsidR="00447C1F" w:rsidRPr="008B3FBA" w14:paraId="150B23C1" w14:textId="77777777">
      <w:pPr>
        <w:spacing w:line="240" w:lineRule="auto"/>
        <w:rPr>
          <w:rFonts w:ascii="Times New Roman" w:eastAsia="Times New Roman" w:hAnsi="Times New Roman" w:cs="Times New Roman"/>
          <w:b/>
          <w:sz w:val="24"/>
          <w:szCs w:val="24"/>
        </w:rPr>
      </w:pPr>
      <w:r w:rsidRPr="008B3FBA">
        <w:rPr>
          <w:rFonts w:ascii="Times New Roman" w:eastAsia="Times New Roman" w:hAnsi="Times New Roman" w:cs="Times New Roman"/>
          <w:b/>
          <w:sz w:val="24"/>
          <w:szCs w:val="24"/>
        </w:rPr>
        <w:t>18.</w:t>
      </w:r>
      <w:r w:rsidRPr="008B3FBA">
        <w:rPr>
          <w:rFonts w:ascii="Times New Roman" w:eastAsia="Times New Roman" w:hAnsi="Times New Roman" w:cs="Times New Roman"/>
          <w:sz w:val="24"/>
          <w:szCs w:val="24"/>
        </w:rPr>
        <w:t xml:space="preserve"> </w:t>
      </w:r>
      <w:r w:rsidRPr="008B3FBA">
        <w:rPr>
          <w:rFonts w:ascii="Times New Roman" w:eastAsia="Times New Roman" w:hAnsi="Times New Roman" w:cs="Times New Roman"/>
          <w:b/>
          <w:sz w:val="24"/>
          <w:szCs w:val="24"/>
        </w:rPr>
        <w:t>Explain each exception to the certification statement identified in “Certification for Paperwork Reduction Act Submissions."</w:t>
      </w:r>
    </w:p>
    <w:p w:rsidR="00447C1F" w:rsidRPr="008B3FBA" w14:paraId="6767541D" w14:textId="77777777">
      <w:pPr>
        <w:spacing w:line="240" w:lineRule="auto"/>
        <w:jc w:val="both"/>
        <w:rPr>
          <w:rFonts w:ascii="Times New Roman" w:eastAsia="Times New Roman" w:hAnsi="Times New Roman" w:cs="Times New Roman"/>
          <w:sz w:val="24"/>
          <w:szCs w:val="24"/>
        </w:rPr>
      </w:pPr>
    </w:p>
    <w:p w:rsidR="00447C1F" w:rsidRPr="008B3FBA" w14:paraId="0212D4CD" w14:textId="77777777">
      <w:pPr>
        <w:spacing w:line="240" w:lineRule="auto"/>
        <w:jc w:val="both"/>
        <w:rPr>
          <w:rFonts w:ascii="Times New Roman" w:eastAsia="Times New Roman" w:hAnsi="Times New Roman" w:cs="Times New Roman"/>
        </w:rPr>
      </w:pPr>
      <w:r w:rsidRPr="008B3FBA">
        <w:rPr>
          <w:rFonts w:ascii="Times New Roman" w:eastAsia="Times New Roman" w:hAnsi="Times New Roman" w:cs="Times New Roman"/>
          <w:sz w:val="24"/>
          <w:szCs w:val="24"/>
        </w:rPr>
        <w:t>The agency certifies compliance with</w:t>
      </w:r>
      <w:hyperlink r:id="rId11">
        <w:r w:rsidRPr="008B3FBA">
          <w:rPr>
            <w:rFonts w:ascii="Times New Roman" w:eastAsia="Times New Roman" w:hAnsi="Times New Roman" w:cs="Times New Roman"/>
            <w:sz w:val="24"/>
            <w:szCs w:val="24"/>
          </w:rPr>
          <w:t xml:space="preserve"> </w:t>
        </w:r>
      </w:hyperlink>
      <w:hyperlink r:id="rId11">
        <w:r w:rsidRPr="008B3FBA">
          <w:rPr>
            <w:rFonts w:ascii="Times New Roman" w:eastAsia="Times New Roman" w:hAnsi="Times New Roman" w:cs="Times New Roman"/>
            <w:color w:val="0563C1"/>
            <w:sz w:val="24"/>
            <w:szCs w:val="24"/>
            <w:u w:val="single"/>
          </w:rPr>
          <w:t>5 CFR 1320.9</w:t>
        </w:r>
      </w:hyperlink>
      <w:r w:rsidRPr="008B3FBA">
        <w:rPr>
          <w:rFonts w:ascii="Times New Roman" w:eastAsia="Times New Roman" w:hAnsi="Times New Roman" w:cs="Times New Roman"/>
          <w:color w:val="0563C1"/>
          <w:sz w:val="24"/>
          <w:szCs w:val="24"/>
        </w:rPr>
        <w:t xml:space="preserve"> </w:t>
      </w:r>
      <w:r w:rsidRPr="008B3FBA">
        <w:rPr>
          <w:rFonts w:ascii="Times New Roman" w:eastAsia="Times New Roman" w:hAnsi="Times New Roman" w:cs="Times New Roman"/>
          <w:sz w:val="24"/>
          <w:szCs w:val="24"/>
        </w:rPr>
        <w:t>and the related provisions of</w:t>
      </w:r>
      <w:hyperlink r:id="rId12">
        <w:r w:rsidRPr="008B3FBA">
          <w:rPr>
            <w:rFonts w:ascii="Times New Roman" w:eastAsia="Times New Roman" w:hAnsi="Times New Roman" w:cs="Times New Roman"/>
            <w:sz w:val="24"/>
            <w:szCs w:val="24"/>
          </w:rPr>
          <w:t xml:space="preserve"> </w:t>
        </w:r>
      </w:hyperlink>
      <w:hyperlink r:id="rId12">
        <w:r w:rsidRPr="008B3FBA">
          <w:rPr>
            <w:rFonts w:ascii="Times New Roman" w:eastAsia="Times New Roman" w:hAnsi="Times New Roman" w:cs="Times New Roman"/>
            <w:color w:val="0563C1"/>
            <w:sz w:val="24"/>
            <w:szCs w:val="24"/>
            <w:u w:val="single"/>
          </w:rPr>
          <w:t>5 CFR</w:t>
        </w:r>
      </w:hyperlink>
      <w:hyperlink r:id="rId12">
        <w:r w:rsidRPr="008B3FBA">
          <w:rPr>
            <w:rFonts w:ascii="Times New Roman" w:eastAsia="Times New Roman" w:hAnsi="Times New Roman" w:cs="Times New Roman"/>
            <w:color w:val="0563C1"/>
          </w:rPr>
          <w:t xml:space="preserve"> </w:t>
        </w:r>
      </w:hyperlink>
      <w:hyperlink r:id="rId12">
        <w:r w:rsidRPr="008B3FBA">
          <w:rPr>
            <w:rFonts w:ascii="Times New Roman" w:eastAsia="Times New Roman" w:hAnsi="Times New Roman" w:cs="Times New Roman"/>
            <w:color w:val="0563C1"/>
            <w:u w:val="single"/>
          </w:rPr>
          <w:t>1320.8(b)(3)</w:t>
        </w:r>
      </w:hyperlink>
      <w:r w:rsidRPr="008B3FBA">
        <w:rPr>
          <w:rFonts w:ascii="Times New Roman" w:eastAsia="Times New Roman" w:hAnsi="Times New Roman" w:cs="Times New Roman"/>
        </w:rPr>
        <w:t>.</w:t>
      </w:r>
    </w:p>
    <w:sectPr>
      <w:footerReference w:type="default" r:id="rId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3CE" w14:paraId="350E3B13" w14:textId="302EBF51">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BF7A07">
      <w:rPr>
        <w:noProof/>
        <w:color w:val="000000"/>
      </w:rPr>
      <w:t>1</w:t>
    </w:r>
    <w:r>
      <w:rPr>
        <w:color w:val="000000"/>
      </w:rPr>
      <w:fldChar w:fldCharType="end"/>
    </w:r>
  </w:p>
  <w:p w:rsidR="002363CE" w14:paraId="7DFD2449" w14:textId="77777777">
    <w:pPr>
      <w:pBdr>
        <w:top w:val="nil"/>
        <w:left w:val="nil"/>
        <w:bottom w:val="nil"/>
        <w:right w:val="nil"/>
        <w:between w:val="nil"/>
      </w:pBdr>
      <w:tabs>
        <w:tab w:val="center" w:pos="4680"/>
        <w:tab w:val="right" w:pos="9360"/>
      </w:tabs>
      <w:spacing w:line="240" w:lineRule="auto"/>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1F"/>
    <w:rsid w:val="000064DC"/>
    <w:rsid w:val="00030945"/>
    <w:rsid w:val="00040317"/>
    <w:rsid w:val="00090FBF"/>
    <w:rsid w:val="00094605"/>
    <w:rsid w:val="000F00F0"/>
    <w:rsid w:val="00110A6E"/>
    <w:rsid w:val="00133CCE"/>
    <w:rsid w:val="0019059F"/>
    <w:rsid w:val="001A7EFB"/>
    <w:rsid w:val="00212706"/>
    <w:rsid w:val="002363CE"/>
    <w:rsid w:val="00237EB9"/>
    <w:rsid w:val="002D2D03"/>
    <w:rsid w:val="002F5FD6"/>
    <w:rsid w:val="003206F2"/>
    <w:rsid w:val="003365D0"/>
    <w:rsid w:val="00342723"/>
    <w:rsid w:val="003615A5"/>
    <w:rsid w:val="00381701"/>
    <w:rsid w:val="0041418F"/>
    <w:rsid w:val="00430029"/>
    <w:rsid w:val="00447C1F"/>
    <w:rsid w:val="004511BF"/>
    <w:rsid w:val="004B7DD4"/>
    <w:rsid w:val="004D26A5"/>
    <w:rsid w:val="00586029"/>
    <w:rsid w:val="005D0C84"/>
    <w:rsid w:val="00622A68"/>
    <w:rsid w:val="00641158"/>
    <w:rsid w:val="007026FF"/>
    <w:rsid w:val="0070330A"/>
    <w:rsid w:val="0075554F"/>
    <w:rsid w:val="007617B6"/>
    <w:rsid w:val="007841E8"/>
    <w:rsid w:val="007C4600"/>
    <w:rsid w:val="00830F21"/>
    <w:rsid w:val="00857740"/>
    <w:rsid w:val="00867605"/>
    <w:rsid w:val="00871027"/>
    <w:rsid w:val="008B3FBA"/>
    <w:rsid w:val="008B620A"/>
    <w:rsid w:val="00915BD4"/>
    <w:rsid w:val="009422C2"/>
    <w:rsid w:val="00943D75"/>
    <w:rsid w:val="009E61D7"/>
    <w:rsid w:val="00A4490D"/>
    <w:rsid w:val="00AA7974"/>
    <w:rsid w:val="00B5587D"/>
    <w:rsid w:val="00B6533E"/>
    <w:rsid w:val="00B72BB8"/>
    <w:rsid w:val="00BE10AC"/>
    <w:rsid w:val="00BF7A07"/>
    <w:rsid w:val="00C2278E"/>
    <w:rsid w:val="00C44472"/>
    <w:rsid w:val="00C91EBF"/>
    <w:rsid w:val="00CB583F"/>
    <w:rsid w:val="00D266E7"/>
    <w:rsid w:val="00D30080"/>
    <w:rsid w:val="00D91F35"/>
    <w:rsid w:val="00D975DE"/>
    <w:rsid w:val="00DC788B"/>
    <w:rsid w:val="00DF476D"/>
    <w:rsid w:val="00EB0BAC"/>
    <w:rsid w:val="00F56D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AFC73C"/>
  <w15:docId w15:val="{E0A5A8A0-3AEC-4925-A1F1-C07EA740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78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845"/>
    <w:rPr>
      <w:rFonts w:ascii="Segoe UI" w:hAnsi="Segoe UI" w:cs="Segoe UI"/>
      <w:sz w:val="18"/>
      <w:szCs w:val="18"/>
    </w:rPr>
  </w:style>
  <w:style w:type="paragraph" w:styleId="ListParagraph">
    <w:name w:val="List Paragraph"/>
    <w:basedOn w:val="Normal"/>
    <w:uiPriority w:val="34"/>
    <w:qFormat/>
    <w:rsid w:val="009118EA"/>
    <w:pPr>
      <w:ind w:left="720"/>
      <w:contextualSpacing/>
    </w:pPr>
  </w:style>
  <w:style w:type="paragraph" w:styleId="CommentSubject">
    <w:name w:val="annotation subject"/>
    <w:basedOn w:val="CommentText"/>
    <w:next w:val="CommentText"/>
    <w:link w:val="CommentSubjectChar"/>
    <w:uiPriority w:val="99"/>
    <w:semiHidden/>
    <w:unhideWhenUsed/>
    <w:rsid w:val="001B7F4C"/>
    <w:rPr>
      <w:b/>
      <w:bCs/>
    </w:rPr>
  </w:style>
  <w:style w:type="character" w:customStyle="1" w:styleId="CommentSubjectChar">
    <w:name w:val="Comment Subject Char"/>
    <w:basedOn w:val="CommentTextChar"/>
    <w:link w:val="CommentSubject"/>
    <w:uiPriority w:val="99"/>
    <w:semiHidden/>
    <w:rsid w:val="001B7F4C"/>
    <w:rPr>
      <w:b/>
      <w:bCs/>
      <w:sz w:val="20"/>
      <w:szCs w:val="20"/>
    </w:rPr>
  </w:style>
  <w:style w:type="paragraph" w:styleId="Header">
    <w:name w:val="header"/>
    <w:basedOn w:val="Normal"/>
    <w:link w:val="HeaderChar"/>
    <w:uiPriority w:val="99"/>
    <w:unhideWhenUsed/>
    <w:rsid w:val="001263A5"/>
    <w:pPr>
      <w:tabs>
        <w:tab w:val="center" w:pos="4680"/>
        <w:tab w:val="right" w:pos="9360"/>
      </w:tabs>
      <w:spacing w:line="240" w:lineRule="auto"/>
    </w:pPr>
  </w:style>
  <w:style w:type="character" w:customStyle="1" w:styleId="HeaderChar">
    <w:name w:val="Header Char"/>
    <w:basedOn w:val="DefaultParagraphFont"/>
    <w:link w:val="Header"/>
    <w:uiPriority w:val="99"/>
    <w:rsid w:val="001263A5"/>
  </w:style>
  <w:style w:type="paragraph" w:styleId="Footer">
    <w:name w:val="footer"/>
    <w:basedOn w:val="Normal"/>
    <w:link w:val="FooterChar"/>
    <w:uiPriority w:val="99"/>
    <w:unhideWhenUsed/>
    <w:rsid w:val="001263A5"/>
    <w:pPr>
      <w:tabs>
        <w:tab w:val="center" w:pos="4680"/>
        <w:tab w:val="right" w:pos="9360"/>
      </w:tabs>
      <w:spacing w:line="240" w:lineRule="auto"/>
    </w:pPr>
  </w:style>
  <w:style w:type="character" w:customStyle="1" w:styleId="FooterChar">
    <w:name w:val="Footer Char"/>
    <w:basedOn w:val="DefaultParagraphFont"/>
    <w:link w:val="Footer"/>
    <w:uiPriority w:val="99"/>
    <w:rsid w:val="001263A5"/>
  </w:style>
  <w:style w:type="paragraph" w:styleId="Revision">
    <w:name w:val="Revision"/>
    <w:hidden/>
    <w:uiPriority w:val="99"/>
    <w:semiHidden/>
    <w:rsid w:val="00152E86"/>
    <w:pPr>
      <w:spacing w:line="240" w:lineRule="auto"/>
    </w:pPr>
  </w:style>
  <w:style w:type="character" w:styleId="Hyperlink">
    <w:name w:val="Hyperlink"/>
    <w:basedOn w:val="DefaultParagraphFont"/>
    <w:uiPriority w:val="99"/>
    <w:unhideWhenUsed/>
    <w:rsid w:val="00CB1FCF"/>
    <w:rPr>
      <w:color w:val="0000FF" w:themeColor="hyperlink"/>
      <w:u w:val="single"/>
    </w:r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CellMar>
        <w:top w:w="100" w:type="dxa"/>
        <w:left w:w="100" w:type="dxa"/>
        <w:bottom w:w="100" w:type="dxa"/>
        <w:right w:w="100" w:type="dxa"/>
      </w:tblCellMar>
    </w:tblPr>
  </w:style>
  <w:style w:type="table" w:customStyle="1" w:styleId="ab">
    <w:name w:val="ab"/>
    <w:basedOn w:val="TableNormal"/>
    <w:tblPr>
      <w:tblStyleRowBandSize w:val="1"/>
      <w:tblStyleColBandSize w:val="1"/>
      <w:tblCellMar>
        <w:top w:w="100" w:type="dxa"/>
        <w:left w:w="100" w:type="dxa"/>
        <w:bottom w:w="100" w:type="dxa"/>
        <w:right w:w="100"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table" w:customStyle="1" w:styleId="ad">
    <w:name w:val="ad"/>
    <w:basedOn w:val="TableNormal"/>
    <w:tblPr>
      <w:tblStyleRowBandSize w:val="1"/>
      <w:tblStyleColBandSize w:val="1"/>
      <w:tblCellMar>
        <w:top w:w="100" w:type="dxa"/>
        <w:left w:w="100" w:type="dxa"/>
        <w:bottom w:w="100" w:type="dxa"/>
        <w:right w:w="100" w:type="dxa"/>
      </w:tblCellMar>
    </w:tblPr>
  </w:style>
  <w:style w:type="table" w:customStyle="1" w:styleId="ae">
    <w:name w:val="ae"/>
    <w:basedOn w:val="TableNormal"/>
    <w:tblPr>
      <w:tblStyleRowBandSize w:val="1"/>
      <w:tblStyleColBandSize w:val="1"/>
      <w:tblCellMar>
        <w:top w:w="100" w:type="dxa"/>
        <w:left w:w="100" w:type="dxa"/>
        <w:bottom w:w="100" w:type="dxa"/>
        <w:right w:w="100" w:type="dxa"/>
      </w:tblCellMar>
    </w:tblPr>
  </w:style>
  <w:style w:type="table" w:customStyle="1" w:styleId="af">
    <w:name w:val="af"/>
    <w:basedOn w:val="TableNormal"/>
    <w:tblPr>
      <w:tblStyleRowBandSize w:val="1"/>
      <w:tblStyleColBandSize w:val="1"/>
      <w:tblCellMar>
        <w:top w:w="100" w:type="dxa"/>
        <w:left w:w="100" w:type="dxa"/>
        <w:bottom w:w="100" w:type="dxa"/>
        <w:right w:w="100" w:type="dxa"/>
      </w:tblCellMar>
    </w:tblPr>
  </w:style>
  <w:style w:type="table" w:customStyle="1" w:styleId="af0">
    <w:name w:val="af0"/>
    <w:basedOn w:val="TableNormal"/>
    <w:tblPr>
      <w:tblStyleRowBandSize w:val="1"/>
      <w:tblStyleColBandSize w:val="1"/>
      <w:tblCellMar>
        <w:top w:w="100" w:type="dxa"/>
        <w:left w:w="100" w:type="dxa"/>
        <w:bottom w:w="100" w:type="dxa"/>
        <w:right w:w="100" w:type="dxa"/>
      </w:tblCellMar>
    </w:tblPr>
  </w:style>
  <w:style w:type="table" w:customStyle="1" w:styleId="af1">
    <w:name w:val="af1"/>
    <w:basedOn w:val="TableNormal"/>
    <w:tblPr>
      <w:tblStyleRowBandSize w:val="1"/>
      <w:tblStyleColBandSize w:val="1"/>
      <w:tblCellMar>
        <w:top w:w="100" w:type="dxa"/>
        <w:left w:w="100" w:type="dxa"/>
        <w:bottom w:w="100" w:type="dxa"/>
        <w:right w:w="100" w:type="dxa"/>
      </w:tblCellMar>
    </w:tblPr>
  </w:style>
  <w:style w:type="table" w:customStyle="1" w:styleId="af2">
    <w:name w:val="af2"/>
    <w:basedOn w:val="TableNormal"/>
    <w:tblPr>
      <w:tblStyleRowBandSize w:val="1"/>
      <w:tblStyleColBandSize w:val="1"/>
      <w:tblCellMar>
        <w:top w:w="100" w:type="dxa"/>
        <w:left w:w="100" w:type="dxa"/>
        <w:bottom w:w="100" w:type="dxa"/>
        <w:right w:w="100" w:type="dxa"/>
      </w:tblCellMar>
    </w:tblPr>
  </w:style>
  <w:style w:type="table" w:customStyle="1" w:styleId="af3">
    <w:name w:val="af3"/>
    <w:basedOn w:val="TableNormal"/>
    <w:tblPr>
      <w:tblStyleRowBandSize w:val="1"/>
      <w:tblStyleColBandSize w:val="1"/>
      <w:tblCellMar>
        <w:top w:w="100" w:type="dxa"/>
        <w:left w:w="100" w:type="dxa"/>
        <w:bottom w:w="100" w:type="dxa"/>
        <w:right w:w="100" w:type="dxa"/>
      </w:tblCellMar>
    </w:tblPr>
  </w:style>
  <w:style w:type="table" w:customStyle="1" w:styleId="af4">
    <w:name w:val="af4"/>
    <w:basedOn w:val="TableNormal"/>
    <w:tblPr>
      <w:tblStyleRowBandSize w:val="1"/>
      <w:tblStyleColBandSize w:val="1"/>
      <w:tblCellMar>
        <w:top w:w="100" w:type="dxa"/>
        <w:left w:w="100" w:type="dxa"/>
        <w:bottom w:w="100" w:type="dxa"/>
        <w:right w:w="100" w:type="dxa"/>
      </w:tblCellMar>
    </w:tblPr>
  </w:style>
  <w:style w:type="table" w:customStyle="1" w:styleId="af5">
    <w:name w:val="af5"/>
    <w:basedOn w:val="TableNormal"/>
    <w:tblPr>
      <w:tblStyleRowBandSize w:val="1"/>
      <w:tblStyleColBandSize w:val="1"/>
      <w:tblCellMar>
        <w:top w:w="100" w:type="dxa"/>
        <w:left w:w="100" w:type="dxa"/>
        <w:bottom w:w="100" w:type="dxa"/>
        <w:right w:w="100" w:type="dxa"/>
      </w:tblCellMar>
    </w:tblPr>
  </w:style>
  <w:style w:type="table" w:customStyle="1" w:styleId="af6">
    <w:name w:val="af6"/>
    <w:basedOn w:val="TableNormal"/>
    <w:tblPr>
      <w:tblStyleRowBandSize w:val="1"/>
      <w:tblStyleColBandSize w:val="1"/>
      <w:tblCellMar>
        <w:top w:w="100" w:type="dxa"/>
        <w:left w:w="100" w:type="dxa"/>
        <w:bottom w:w="100" w:type="dxa"/>
        <w:right w:w="100" w:type="dxa"/>
      </w:tblCellMar>
    </w:tblPr>
  </w:style>
  <w:style w:type="table" w:customStyle="1" w:styleId="af7">
    <w:name w:val="af7"/>
    <w:basedOn w:val="TableNormal"/>
    <w:tblPr>
      <w:tblStyleRowBandSize w:val="1"/>
      <w:tblStyleColBandSize w:val="1"/>
      <w:tblCellMar>
        <w:top w:w="100" w:type="dxa"/>
        <w:left w:w="100" w:type="dxa"/>
        <w:bottom w:w="100" w:type="dxa"/>
        <w:right w:w="100" w:type="dxa"/>
      </w:tblCellMar>
    </w:tblPr>
  </w:style>
  <w:style w:type="table" w:customStyle="1" w:styleId="af8">
    <w:name w:val="af8"/>
    <w:basedOn w:val="TableNormal"/>
    <w:tblPr>
      <w:tblStyleRowBandSize w:val="1"/>
      <w:tblStyleColBandSize w:val="1"/>
      <w:tblCellMar>
        <w:top w:w="100" w:type="dxa"/>
        <w:left w:w="100" w:type="dxa"/>
        <w:bottom w:w="100" w:type="dxa"/>
        <w:right w:w="100" w:type="dxa"/>
      </w:tblCellMar>
    </w:tblPr>
  </w:style>
  <w:style w:type="table" w:customStyle="1" w:styleId="af9">
    <w:name w:val="af9"/>
    <w:basedOn w:val="TableNormal"/>
    <w:tblPr>
      <w:tblStyleRowBandSize w:val="1"/>
      <w:tblStyleColBandSize w:val="1"/>
      <w:tblCellMar>
        <w:top w:w="100" w:type="dxa"/>
        <w:left w:w="100" w:type="dxa"/>
        <w:bottom w:w="100" w:type="dxa"/>
        <w:right w:w="100" w:type="dxa"/>
      </w:tblCellMar>
    </w:tblPr>
  </w:style>
  <w:style w:type="table" w:customStyle="1" w:styleId="afa">
    <w:name w:val="af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A449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4511BF"/>
    <w:pPr>
      <w:widowControl w:val="0"/>
      <w:autoSpaceDE w:val="0"/>
      <w:autoSpaceDN w:val="0"/>
      <w:adjustRightInd w:val="0"/>
      <w:spacing w:line="240" w:lineRule="auto"/>
    </w:pPr>
    <w:rPr>
      <w:rFonts w:eastAsia="Times New Roman"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rporateservices.noaa.gov/ames/administrative_orders/chapter_216/216-100.html"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new-england-mid-atlantic/marine-mammal-protection/atlantic-large-whale-take-reduction-plan" TargetMode="External" /><Relationship Id="rId6" Type="http://schemas.openxmlformats.org/officeDocument/2006/relationships/hyperlink" Target="https://www.greateratlantic.fisheries.noaa.gov/policyseries/index.php/GARPS/article/view/21/16" TargetMode="External" /><Relationship Id="rId7" Type="http://schemas.openxmlformats.org/officeDocument/2006/relationships/hyperlink" Target="https://www.govinfo.gov/content/pkg/PLAW-106publ554/pdf/PLAW-106publ554.pdf" TargetMode="External" /><Relationship Id="rId8" Type="http://schemas.openxmlformats.org/officeDocument/2006/relationships/hyperlink" Target="https://www.federalregister.gov/documents/2023/02/13/2023-02932/agency-information-collection-activities-submission-to-the-office-of-management-and-budget-omb-for" TargetMode="External" /><Relationship Id="rId9" Type="http://schemas.openxmlformats.org/officeDocument/2006/relationships/hyperlink" Target="http://www.ecfr.gov/cgi-bin/text-idx?c=ecfr&amp;SID=a300e10c582730dc2008e29c40a93dbd&amp;rgn=div8&amp;view=text&amp;node=50:11.0.1.3.2.1.1.11&amp;idno=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FenMXNG53BCAg3M4LhvZvbrdw==">AMUW2mWm9+Hb7djbfJ2lxbF6BSD36p4DUHkzuYtVFEtAt+sI/sMUo7EOSGYpC7mNGgboxMfiSEZeILOetGI5dv9ADfdJ/CK7ZVfaafczrtKsFwKzV3myUMWfqgRg5VNLH7MU6A7XuT0f2nuo4oPiMO4mJcVi3vdLdSauknFdReah8ZvmRpMR1d4=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5358</Words>
  <Characters>30546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35833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Ainsley Smith</dc:creator>
  <cp:lastModifiedBy>Janet.Peery</cp:lastModifiedBy>
  <cp:revision>7</cp:revision>
  <dcterms:created xsi:type="dcterms:W3CDTF">2023-05-23T19:55:00Z</dcterms:created>
  <dcterms:modified xsi:type="dcterms:W3CDTF">2023-05-25T19:07:00Z</dcterms:modified>
</cp:coreProperties>
</file>