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ED08E0" w14:paraId="21B14175" w14:textId="0324BF66">
      <w:pPr>
        <w:pStyle w:val="NormalWeb"/>
        <w:spacing w:before="0" w:beforeAutospacing="0" w:after="0" w:afterAutospacing="0"/>
        <w:ind w:firstLine="480"/>
        <w:jc w:val="center"/>
        <w:rPr>
          <w:rFonts w:ascii="Cambria" w:hAnsi="Cambria"/>
          <w:sz w:val="28"/>
          <w:szCs w:val="28"/>
          <w:u w:val="single"/>
        </w:rPr>
      </w:pPr>
      <w:bookmarkStart w:id="0" w:name="cs31d"/>
      <w:r w:rsidRPr="002C49AE">
        <w:rPr>
          <w:rFonts w:ascii="Cambria" w:hAnsi="Cambria"/>
          <w:sz w:val="28"/>
          <w:szCs w:val="28"/>
          <w:u w:val="single"/>
        </w:rPr>
        <w:t>SUPPORTING STATEMENT</w:t>
      </w:r>
      <w:r w:rsidRPr="002C49AE" w:rsidR="006F3F40">
        <w:rPr>
          <w:rFonts w:ascii="Cambria" w:hAnsi="Cambria"/>
          <w:sz w:val="28"/>
          <w:szCs w:val="28"/>
          <w:u w:val="single"/>
        </w:rPr>
        <w:t xml:space="preserve"> – PART B</w:t>
      </w:r>
    </w:p>
    <w:p w:rsidR="002C49AE" w:rsidP="00CA68A3" w14:paraId="11E16BB9" w14:textId="50176D44">
      <w:pPr>
        <w:pStyle w:val="NormalWeb"/>
        <w:spacing w:before="0" w:beforeAutospacing="0" w:after="0" w:afterAutospacing="0"/>
        <w:jc w:val="center"/>
        <w:rPr>
          <w:rFonts w:ascii="Cambria" w:hAnsi="Cambria"/>
        </w:rPr>
      </w:pPr>
      <w:r w:rsidRPr="00CA68A3">
        <w:rPr>
          <w:rFonts w:ascii="Cambria" w:hAnsi="Cambria"/>
        </w:rPr>
        <w:t xml:space="preserve">Defense Organizational Climate </w:t>
      </w:r>
      <w:r w:rsidRPr="00CA68A3" w:rsidR="006135E7">
        <w:rPr>
          <w:rFonts w:ascii="Cambria" w:hAnsi="Cambria"/>
        </w:rPr>
        <w:t>Pulse</w:t>
      </w:r>
      <w:r w:rsidRPr="00CA68A3">
        <w:rPr>
          <w:rFonts w:ascii="Cambria" w:hAnsi="Cambria"/>
        </w:rPr>
        <w:t xml:space="preserve"> (D</w:t>
      </w:r>
      <w:r w:rsidRPr="00CA68A3" w:rsidR="006135E7">
        <w:rPr>
          <w:rFonts w:ascii="Cambria" w:hAnsi="Cambria"/>
        </w:rPr>
        <w:t>OCP</w:t>
      </w:r>
      <w:r w:rsidRPr="00CA68A3">
        <w:rPr>
          <w:rFonts w:ascii="Cambria" w:hAnsi="Cambria"/>
        </w:rPr>
        <w:t>)</w:t>
      </w:r>
      <w:r w:rsidRPr="00CA68A3" w:rsidR="00CA68A3">
        <w:rPr>
          <w:rFonts w:ascii="Cambria" w:hAnsi="Cambria"/>
        </w:rPr>
        <w:t xml:space="preserve">—Version 1.0; </w:t>
      </w:r>
      <w:r w:rsidRPr="00CA68A3" w:rsidR="00911A83">
        <w:rPr>
          <w:rFonts w:ascii="Cambria" w:hAnsi="Cambria"/>
        </w:rPr>
        <w:t>OMB Control Number</w:t>
      </w:r>
      <w:r w:rsidRPr="00CA68A3" w:rsidR="00CA68A3">
        <w:rPr>
          <w:rFonts w:ascii="Cambria" w:hAnsi="Cambria"/>
        </w:rPr>
        <w:t xml:space="preserve"> 0704-DOCP</w:t>
      </w:r>
    </w:p>
    <w:p w:rsidR="00ED08E0" w:rsidRPr="00911A83" w:rsidP="00ED08E0" w14:paraId="4B8EF50E" w14:textId="77777777">
      <w:pPr>
        <w:pStyle w:val="NormalWeb"/>
        <w:spacing w:before="0" w:beforeAutospacing="0" w:after="0" w:afterAutospacing="0"/>
        <w:ind w:firstLine="480"/>
        <w:jc w:val="center"/>
        <w:rPr>
          <w:rFonts w:ascii="Cambria" w:hAnsi="Cambria"/>
        </w:rPr>
      </w:pPr>
    </w:p>
    <w:p w:rsidR="005E0A0F" w:rsidRPr="00D30145" w:rsidP="00ED08E0" w14:paraId="2828FC33" w14:textId="77777777">
      <w:pPr>
        <w:pStyle w:val="NormalWeb"/>
        <w:spacing w:before="0" w:beforeAutospacing="0" w:after="0" w:afterAutospacing="0"/>
        <w:jc w:val="both"/>
        <w:rPr>
          <w:rFonts w:ascii="Cambria" w:hAnsi="Cambria"/>
        </w:rPr>
      </w:pPr>
      <w:bookmarkStart w:id="1" w:name="cs32"/>
      <w:bookmarkEnd w:id="0"/>
      <w:r w:rsidRPr="00D30145">
        <w:rPr>
          <w:rFonts w:ascii="Cambria" w:hAnsi="Cambria"/>
        </w:rPr>
        <w:t xml:space="preserve">B.  </w:t>
      </w:r>
      <w:r w:rsidRPr="00D30145">
        <w:rPr>
          <w:rFonts w:ascii="Cambria" w:hAnsi="Cambria"/>
          <w:u w:val="single"/>
        </w:rPr>
        <w:t>COLLECTIONS OF INFORMATION EMPLOYING STATISTICAL METHODS</w:t>
      </w:r>
    </w:p>
    <w:bookmarkEnd w:id="1"/>
    <w:p w:rsidR="00AF7F55" w:rsidP="00AF7F55" w14:paraId="7C8145AB" w14:textId="77777777">
      <w:pPr>
        <w:pStyle w:val="NormalWeb"/>
        <w:spacing w:before="0" w:beforeAutospacing="0" w:after="0" w:afterAutospacing="0"/>
        <w:jc w:val="both"/>
        <w:rPr>
          <w:rFonts w:ascii="Cambria" w:hAnsi="Cambria"/>
        </w:rPr>
      </w:pPr>
    </w:p>
    <w:p w:rsidR="005E0A0F" w:rsidRPr="00D30145" w:rsidP="00ED08E0" w14:paraId="45A3A18F" w14:textId="20807E7D">
      <w:pPr>
        <w:pStyle w:val="NormalWeb"/>
        <w:numPr>
          <w:ilvl w:val="0"/>
          <w:numId w:val="2"/>
        </w:numPr>
        <w:spacing w:before="0" w:beforeAutospacing="0" w:after="0" w:afterAutospacing="0"/>
        <w:jc w:val="both"/>
        <w:rPr>
          <w:rFonts w:ascii="Cambria" w:hAnsi="Cambria"/>
        </w:rPr>
      </w:pPr>
      <w:r w:rsidRPr="00D30145">
        <w:rPr>
          <w:rFonts w:ascii="Cambria" w:hAnsi="Cambria"/>
          <w:u w:val="single"/>
        </w:rPr>
        <w:t>Description of the Activity</w:t>
      </w:r>
    </w:p>
    <w:p w:rsidR="00D77F36" w:rsidP="00ED08E0" w14:paraId="59A26510" w14:textId="77777777">
      <w:pPr>
        <w:pStyle w:val="NormalWeb"/>
        <w:spacing w:before="0" w:beforeAutospacing="0" w:after="0" w:afterAutospacing="0" w:line="288" w:lineRule="atLeast"/>
        <w:rPr>
          <w:rFonts w:ascii="Cambria" w:hAnsi="Cambria"/>
        </w:rPr>
      </w:pPr>
    </w:p>
    <w:p w:rsidR="0010136F" w:rsidRPr="0010136F" w:rsidP="0010136F" w14:paraId="10D4E442" w14:textId="6661A4D3">
      <w:pPr>
        <w:rPr>
          <w:rFonts w:ascii="Cambria" w:hAnsi="Cambria"/>
        </w:rPr>
      </w:pPr>
      <w:r w:rsidRPr="0010136F">
        <w:rPr>
          <w:rFonts w:ascii="Cambria" w:hAnsi="Cambria"/>
        </w:rPr>
        <w:t xml:space="preserve">Developed in response to IRC recommendation 3.7a, and authorized under the new DoDI 6400.11, the DOCP is a brief survey tool with flexible content that may be used as part of the </w:t>
      </w:r>
      <w:r>
        <w:rPr>
          <w:rFonts w:ascii="Cambria" w:hAnsi="Cambria"/>
        </w:rPr>
        <w:t>command climate assessment process</w:t>
      </w:r>
      <w:r w:rsidRPr="0010136F">
        <w:rPr>
          <w:rFonts w:ascii="Cambria" w:hAnsi="Cambria"/>
        </w:rPr>
        <w:t xml:space="preserve"> to provide timely feedback to unit commanders and organizational leaders</w:t>
      </w:r>
      <w:r>
        <w:rPr>
          <w:rFonts w:ascii="Cambria" w:hAnsi="Cambria"/>
        </w:rPr>
        <w:t>.</w:t>
      </w:r>
      <w:r w:rsidRPr="0010136F">
        <w:rPr>
          <w:rFonts w:ascii="Cambria" w:hAnsi="Cambria"/>
        </w:rPr>
        <w:t xml:space="preserve"> </w:t>
      </w:r>
      <w:r w:rsidRPr="00373018">
        <w:rPr>
          <w:rFonts w:ascii="Cambria" w:hAnsi="Cambria"/>
        </w:rPr>
        <w:t>Unit commanders and organizational leaders can choose to field a DOCP once annually to get targeted information on specific areas of interest identified in the initial command climate assessment for their unit or organization; however, the DOCP may not be administered more than once a year [DoDI 6400.11, 5.d.3].  Unit commanders and organizational leaders will use the DOCP to inform or update their action plans (i.e., Comprehensive Integrated Primary Prevention plans).</w:t>
      </w:r>
    </w:p>
    <w:p w:rsidR="0010136F" w:rsidP="00ED08E0" w14:paraId="627A232D" w14:textId="77777777">
      <w:pPr>
        <w:pStyle w:val="NormalWeb"/>
        <w:spacing w:before="0" w:beforeAutospacing="0" w:after="0" w:afterAutospacing="0" w:line="288" w:lineRule="atLeast"/>
        <w:rPr>
          <w:rFonts w:ascii="Cambria" w:hAnsi="Cambria"/>
        </w:rPr>
      </w:pPr>
    </w:p>
    <w:p w:rsidR="0097444F" w:rsidRPr="00DC5E77" w:rsidP="00D07F5A" w14:paraId="5CC8B819" w14:textId="7AB39ED9">
      <w:pPr>
        <w:pStyle w:val="NormalWeb"/>
        <w:spacing w:before="0" w:beforeAutospacing="0" w:after="0" w:afterAutospacing="0" w:line="288" w:lineRule="atLeast"/>
        <w:rPr>
          <w:rFonts w:ascii="Cambria" w:hAnsi="Cambria"/>
        </w:rPr>
      </w:pPr>
      <w:r w:rsidRPr="00DC5E77">
        <w:rPr>
          <w:rFonts w:ascii="Cambria" w:hAnsi="Cambria"/>
        </w:rPr>
        <w:t xml:space="preserve">The target population for the DOCP is the entire DoD community.  The DOCP will be administered at the unit level upon request by unit commanders or organizational leaders.  The target population for a DOCP is Active Duty and Reserve component members in the Army, Navy, Marine Corps, Air Force, and Space Force, DoD Civilians (including foreign national employees), and Military Service Academy (MSA) and MSA Preparatory School members (hereafter, MSA Prep School).  Additionally, Active Duty, Reserve, and the Academy for the United States Coast Guard component are included in the target population.  Each DOCP fielded acts as a census of a particular unit, organization, or Service Academy population and 100% of members in each unit, organization, MSA and MSA Prep School are contacted to participate in the survey.  We anticipate a response rate of 40%. </w:t>
      </w:r>
    </w:p>
    <w:p w:rsidR="0097444F" w:rsidRPr="00DC5E77" w:rsidP="0097444F" w14:paraId="1B4B8CB9" w14:textId="77777777">
      <w:pPr>
        <w:rPr>
          <w:rFonts w:ascii="Cambria" w:hAnsi="Cambria"/>
        </w:rPr>
      </w:pPr>
    </w:p>
    <w:p w:rsidR="0097444F" w:rsidRPr="00DC5E77" w:rsidP="0097444F" w14:paraId="3C624F6D" w14:textId="77777777">
      <w:pPr>
        <w:rPr>
          <w:rFonts w:ascii="Cambria" w:hAnsi="Cambria"/>
        </w:rPr>
      </w:pPr>
      <w:r w:rsidRPr="00DC5E77">
        <w:rPr>
          <w:rFonts w:ascii="Cambria" w:hAnsi="Cambria"/>
        </w:rPr>
        <w:t xml:space="preserve">The DOCP does not employ traditional sampling techniques to identify a subset of a population to be included in the survey sample.  Instead, the DOCP is a unit-/organization-level survey that, for each unit or organization, is fielded as a census.  The unit/organization survey administrator registers a DOCP by uploading a full roster of its unit/organization members.  Because all DoD unit commanders and organization leaders </w:t>
      </w:r>
      <w:r w:rsidRPr="00DC5E77">
        <w:rPr>
          <w:rFonts w:ascii="Cambria" w:hAnsi="Cambria"/>
        </w:rPr>
        <w:t>have the opportunity to</w:t>
      </w:r>
      <w:r w:rsidRPr="00DC5E77">
        <w:rPr>
          <w:rFonts w:ascii="Cambria" w:hAnsi="Cambria"/>
        </w:rPr>
        <w:t xml:space="preserve"> administer a DOCP annually, all DoD members are considered as part of the annual population frame with the exception of DoD contractors and units or organizations with less than 16 members.  There is not a standardized method for defining at which level in the hierarchy units are required to take the DOCP, how to define a unit, or how to define unit membership.  </w:t>
      </w:r>
    </w:p>
    <w:p w:rsidR="0097444F" w:rsidRPr="00DC5E77" w:rsidP="0097444F" w14:paraId="228DE79C" w14:textId="77777777">
      <w:pPr>
        <w:rPr>
          <w:rFonts w:ascii="Cambria" w:hAnsi="Cambria"/>
        </w:rPr>
      </w:pPr>
    </w:p>
    <w:p w:rsidR="0097444F" w:rsidRPr="00DC5E77" w:rsidP="0097444F" w14:paraId="38FB0B70" w14:textId="77777777">
      <w:pPr>
        <w:rPr>
          <w:rFonts w:ascii="Cambria" w:hAnsi="Cambria"/>
        </w:rPr>
      </w:pPr>
      <w:r w:rsidRPr="00DC5E77">
        <w:rPr>
          <w:rFonts w:ascii="Cambria" w:hAnsi="Cambria"/>
        </w:rPr>
        <w:t xml:space="preserve">In 2023, we estimate that 158,910 participants will complete a DOCP survey.  Additionally, we anticipate a response rate of around 40%. </w:t>
      </w:r>
    </w:p>
    <w:p w:rsidR="00943D8B" w:rsidP="00D07F5A" w14:paraId="60ABD7FF" w14:textId="345AC622">
      <w:pPr>
        <w:pStyle w:val="NormalWeb"/>
        <w:spacing w:before="0" w:beforeAutospacing="0" w:after="0" w:afterAutospacing="0" w:line="288" w:lineRule="atLeast"/>
        <w:rPr>
          <w:rFonts w:ascii="Cambria" w:hAnsi="Cambria"/>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0"/>
        <w:gridCol w:w="1868"/>
        <w:gridCol w:w="3338"/>
        <w:gridCol w:w="2514"/>
      </w:tblGrid>
      <w:tr w14:paraId="024E5C5B" w14:textId="77777777" w:rsidTr="00357DA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4"/>
            <w:tcBorders>
              <w:bottom w:val="single" w:sz="4" w:space="0" w:color="auto"/>
            </w:tcBorders>
            <w:vAlign w:val="center"/>
          </w:tcPr>
          <w:p w:rsidR="00357DAD" w:rsidRPr="00357DAD" w:rsidP="00357DAD" w14:paraId="268974B0" w14:textId="1500DE58">
            <w:pPr>
              <w:pStyle w:val="NormalWeb"/>
              <w:spacing w:before="0" w:beforeAutospacing="0" w:after="0" w:afterAutospacing="0"/>
              <w:rPr>
                <w:rFonts w:ascii="Cambria" w:hAnsi="Cambria"/>
                <w:bCs/>
              </w:rPr>
            </w:pPr>
            <w:r>
              <w:rPr>
                <w:rFonts w:ascii="Cambria" w:hAnsi="Cambria"/>
                <w:b/>
              </w:rPr>
              <w:t xml:space="preserve">Table 1. </w:t>
            </w:r>
            <w:r>
              <w:rPr>
                <w:rFonts w:ascii="Cambria" w:hAnsi="Cambria"/>
                <w:bCs/>
              </w:rPr>
              <w:t xml:space="preserve">DOCP 1.0 </w:t>
            </w:r>
            <w:r w:rsidR="00EC5C01">
              <w:rPr>
                <w:rFonts w:ascii="Cambria" w:hAnsi="Cambria"/>
                <w:bCs/>
              </w:rPr>
              <w:t xml:space="preserve">Anticipated </w:t>
            </w:r>
            <w:r w:rsidR="00282D57">
              <w:rPr>
                <w:rFonts w:ascii="Cambria" w:hAnsi="Cambria"/>
                <w:bCs/>
              </w:rPr>
              <w:t>Population</w:t>
            </w:r>
            <w:r>
              <w:rPr>
                <w:rFonts w:ascii="Cambria" w:hAnsi="Cambria"/>
                <w:bCs/>
              </w:rPr>
              <w:t xml:space="preserve"> </w:t>
            </w:r>
            <w:r w:rsidR="009620C7">
              <w:rPr>
                <w:rFonts w:ascii="Cambria" w:hAnsi="Cambria"/>
                <w:bCs/>
              </w:rPr>
              <w:t>Summary</w:t>
            </w:r>
          </w:p>
        </w:tc>
      </w:tr>
      <w:tr w14:paraId="11359843" w14:textId="77777777" w:rsidTr="00D26B1A">
        <w:tblPrEx>
          <w:tblW w:w="5000" w:type="pct"/>
          <w:tblLook w:val="04A0"/>
        </w:tblPrEx>
        <w:tc>
          <w:tcPr>
            <w:tcW w:w="876" w:type="pct"/>
            <w:tcBorders>
              <w:top w:val="single" w:sz="4" w:space="0" w:color="auto"/>
              <w:bottom w:val="single" w:sz="4" w:space="0" w:color="auto"/>
            </w:tcBorders>
            <w:vAlign w:val="center"/>
          </w:tcPr>
          <w:p w:rsidR="009C0018" w:rsidRPr="004B7AB4" w:rsidP="00357DAD" w14:paraId="595A5E0B" w14:textId="07F568AB">
            <w:pPr>
              <w:pStyle w:val="NormalWeb"/>
              <w:spacing w:before="0" w:beforeAutospacing="0" w:after="0" w:afterAutospacing="0"/>
              <w:jc w:val="center"/>
              <w:rPr>
                <w:rFonts w:ascii="Cambria" w:hAnsi="Cambria"/>
                <w:b/>
              </w:rPr>
            </w:pPr>
            <w:r>
              <w:rPr>
                <w:rFonts w:ascii="Cambria" w:hAnsi="Cambria"/>
                <w:b/>
              </w:rPr>
              <w:t>Survey</w:t>
            </w:r>
          </w:p>
        </w:tc>
        <w:tc>
          <w:tcPr>
            <w:tcW w:w="998" w:type="pct"/>
            <w:tcBorders>
              <w:top w:val="single" w:sz="4" w:space="0" w:color="auto"/>
              <w:bottom w:val="single" w:sz="4" w:space="0" w:color="auto"/>
            </w:tcBorders>
            <w:vAlign w:val="center"/>
          </w:tcPr>
          <w:p w:rsidR="009C0018" w:rsidRPr="004B7AB4" w:rsidP="00357DAD" w14:paraId="753778FB" w14:textId="3779DE85">
            <w:pPr>
              <w:pStyle w:val="NormalWeb"/>
              <w:spacing w:before="0" w:beforeAutospacing="0" w:after="0" w:afterAutospacing="0"/>
              <w:jc w:val="center"/>
              <w:rPr>
                <w:rFonts w:ascii="Cambria" w:hAnsi="Cambria"/>
                <w:b/>
              </w:rPr>
            </w:pPr>
            <w:r w:rsidRPr="004B7AB4">
              <w:rPr>
                <w:rFonts w:ascii="Cambria" w:hAnsi="Cambria"/>
                <w:b/>
              </w:rPr>
              <w:t>Fielding Year</w:t>
            </w:r>
          </w:p>
        </w:tc>
        <w:tc>
          <w:tcPr>
            <w:tcW w:w="1783" w:type="pct"/>
            <w:tcBorders>
              <w:top w:val="single" w:sz="4" w:space="0" w:color="auto"/>
              <w:bottom w:val="single" w:sz="4" w:space="0" w:color="auto"/>
            </w:tcBorders>
            <w:vAlign w:val="center"/>
          </w:tcPr>
          <w:p w:rsidR="009C0018" w:rsidRPr="004B7AB4" w:rsidP="00357DAD" w14:paraId="6C2936BB" w14:textId="29AB4A98">
            <w:pPr>
              <w:pStyle w:val="NormalWeb"/>
              <w:spacing w:before="0" w:beforeAutospacing="0" w:after="0" w:afterAutospacing="0"/>
              <w:jc w:val="center"/>
              <w:rPr>
                <w:rFonts w:ascii="Cambria" w:hAnsi="Cambria"/>
                <w:b/>
              </w:rPr>
            </w:pPr>
            <w:r>
              <w:rPr>
                <w:rFonts w:ascii="Cambria" w:hAnsi="Cambria"/>
                <w:b/>
              </w:rPr>
              <w:t>Anticipated Individual Responses</w:t>
            </w:r>
          </w:p>
        </w:tc>
        <w:tc>
          <w:tcPr>
            <w:tcW w:w="1343" w:type="pct"/>
            <w:tcBorders>
              <w:top w:val="single" w:sz="4" w:space="0" w:color="auto"/>
              <w:bottom w:val="single" w:sz="4" w:space="0" w:color="auto"/>
            </w:tcBorders>
            <w:vAlign w:val="center"/>
          </w:tcPr>
          <w:p w:rsidR="009C0018" w:rsidRPr="004B7AB4" w:rsidP="00357DAD" w14:paraId="72F08BF1" w14:textId="3ECBAB06">
            <w:pPr>
              <w:pStyle w:val="NormalWeb"/>
              <w:spacing w:before="0" w:beforeAutospacing="0" w:after="0" w:afterAutospacing="0"/>
              <w:jc w:val="center"/>
              <w:rPr>
                <w:rFonts w:ascii="Cambria" w:hAnsi="Cambria"/>
                <w:b/>
              </w:rPr>
            </w:pPr>
            <w:r>
              <w:rPr>
                <w:rFonts w:ascii="Cambria" w:hAnsi="Cambria"/>
                <w:b/>
              </w:rPr>
              <w:t xml:space="preserve">Anticipated </w:t>
            </w:r>
            <w:r w:rsidRPr="004B7AB4">
              <w:rPr>
                <w:rFonts w:ascii="Cambria" w:hAnsi="Cambria"/>
                <w:b/>
              </w:rPr>
              <w:t>Response Rate</w:t>
            </w:r>
          </w:p>
        </w:tc>
      </w:tr>
      <w:tr w14:paraId="153A60BC" w14:textId="77777777" w:rsidTr="00D26B1A">
        <w:tblPrEx>
          <w:tblW w:w="5000" w:type="pct"/>
          <w:tblLook w:val="04A0"/>
        </w:tblPrEx>
        <w:tc>
          <w:tcPr>
            <w:tcW w:w="876" w:type="pct"/>
            <w:tcBorders>
              <w:top w:val="single" w:sz="4" w:space="0" w:color="auto"/>
              <w:bottom w:val="single" w:sz="4" w:space="0" w:color="auto"/>
            </w:tcBorders>
          </w:tcPr>
          <w:p w:rsidR="00282D57" w:rsidRPr="00282D57" w:rsidP="00282D57" w14:paraId="7D6B34C2" w14:textId="6E77B2BD">
            <w:pPr>
              <w:pStyle w:val="NormalWeb"/>
              <w:spacing w:before="0" w:beforeAutospacing="0" w:after="0" w:afterAutospacing="0"/>
              <w:jc w:val="center"/>
              <w:rPr>
                <w:rFonts w:ascii="Cambria" w:hAnsi="Cambria"/>
                <w:b/>
              </w:rPr>
            </w:pPr>
            <w:r w:rsidRPr="00282D57">
              <w:rPr>
                <w:rFonts w:ascii="Cambria" w:hAnsi="Cambria"/>
                <w:b/>
              </w:rPr>
              <w:t>DOCP</w:t>
            </w:r>
          </w:p>
        </w:tc>
        <w:tc>
          <w:tcPr>
            <w:tcW w:w="998" w:type="pct"/>
            <w:tcBorders>
              <w:top w:val="single" w:sz="4" w:space="0" w:color="auto"/>
              <w:bottom w:val="single" w:sz="4" w:space="0" w:color="auto"/>
            </w:tcBorders>
            <w:vAlign w:val="center"/>
          </w:tcPr>
          <w:p w:rsidR="00282D57" w:rsidP="00282D57" w14:paraId="501EF19E" w14:textId="0110F11B">
            <w:pPr>
              <w:pStyle w:val="NormalWeb"/>
              <w:spacing w:before="0" w:beforeAutospacing="0" w:after="0" w:afterAutospacing="0"/>
              <w:jc w:val="center"/>
              <w:rPr>
                <w:rFonts w:ascii="Cambria" w:hAnsi="Cambria"/>
                <w:bCs/>
              </w:rPr>
            </w:pPr>
            <w:r>
              <w:rPr>
                <w:rFonts w:ascii="Cambria" w:hAnsi="Cambria"/>
                <w:bCs/>
              </w:rPr>
              <w:t>2023</w:t>
            </w:r>
          </w:p>
        </w:tc>
        <w:tc>
          <w:tcPr>
            <w:tcW w:w="1783" w:type="pct"/>
            <w:tcBorders>
              <w:top w:val="single" w:sz="4" w:space="0" w:color="auto"/>
              <w:bottom w:val="single" w:sz="4" w:space="0" w:color="auto"/>
            </w:tcBorders>
            <w:vAlign w:val="center"/>
          </w:tcPr>
          <w:p w:rsidR="00282D57" w:rsidP="00282D57" w14:paraId="4E282BD7" w14:textId="01FE4758">
            <w:pPr>
              <w:pStyle w:val="NormalWeb"/>
              <w:spacing w:before="0" w:beforeAutospacing="0" w:after="0" w:afterAutospacing="0"/>
              <w:jc w:val="center"/>
              <w:rPr>
                <w:rFonts w:ascii="Cambria" w:hAnsi="Cambria"/>
                <w:bCs/>
              </w:rPr>
            </w:pPr>
            <w:r>
              <w:rPr>
                <w:rFonts w:ascii="Cambria" w:hAnsi="Cambria"/>
                <w:bCs/>
              </w:rPr>
              <w:t>158,910</w:t>
            </w:r>
          </w:p>
        </w:tc>
        <w:tc>
          <w:tcPr>
            <w:tcW w:w="1343" w:type="pct"/>
            <w:tcBorders>
              <w:top w:val="single" w:sz="4" w:space="0" w:color="auto"/>
              <w:bottom w:val="single" w:sz="4" w:space="0" w:color="auto"/>
            </w:tcBorders>
            <w:vAlign w:val="center"/>
          </w:tcPr>
          <w:p w:rsidR="00282D57" w:rsidP="00282D57" w14:paraId="45F2F8AA" w14:textId="1303A6BB">
            <w:pPr>
              <w:pStyle w:val="NormalWeb"/>
              <w:spacing w:before="0" w:beforeAutospacing="0" w:after="0" w:afterAutospacing="0"/>
              <w:jc w:val="center"/>
              <w:rPr>
                <w:rFonts w:ascii="Cambria" w:hAnsi="Cambria"/>
                <w:bCs/>
              </w:rPr>
            </w:pPr>
            <w:r>
              <w:rPr>
                <w:rFonts w:ascii="Cambria" w:hAnsi="Cambria"/>
                <w:bCs/>
              </w:rPr>
              <w:t>40%</w:t>
            </w:r>
          </w:p>
        </w:tc>
      </w:tr>
    </w:tbl>
    <w:p w:rsidR="009944DB" w:rsidRPr="00D30145" w:rsidP="00ED08E0" w14:paraId="03052B4F" w14:textId="1E71725A">
      <w:pPr>
        <w:pStyle w:val="NormalWeb"/>
        <w:spacing w:before="0" w:beforeAutospacing="0" w:after="0" w:afterAutospacing="0"/>
        <w:rPr>
          <w:rFonts w:ascii="Cambria" w:hAnsi="Cambria"/>
          <w:b/>
        </w:rPr>
      </w:pPr>
    </w:p>
    <w:p w:rsidR="005E0A0F" w:rsidRPr="00D30145" w:rsidP="00ED08E0" w14:paraId="359FE769" w14:textId="77777777">
      <w:pPr>
        <w:pStyle w:val="NormalWeb"/>
        <w:numPr>
          <w:ilvl w:val="0"/>
          <w:numId w:val="2"/>
        </w:numPr>
        <w:spacing w:before="0" w:beforeAutospacing="0" w:after="0" w:afterAutospacing="0"/>
        <w:jc w:val="both"/>
        <w:rPr>
          <w:rFonts w:ascii="Cambria" w:hAnsi="Cambria"/>
        </w:rPr>
      </w:pPr>
      <w:r w:rsidRPr="00D30145">
        <w:rPr>
          <w:rFonts w:ascii="Cambria" w:hAnsi="Cambria"/>
          <w:u w:val="single"/>
        </w:rPr>
        <w:t>Procedures for the Collection of Information</w:t>
      </w:r>
    </w:p>
    <w:p w:rsidR="005E0A0F" w:rsidRPr="00D30145" w:rsidP="00ED08E0" w14:paraId="527D766B" w14:textId="77777777">
      <w:pPr>
        <w:pStyle w:val="NormalWeb"/>
        <w:spacing w:before="0" w:beforeAutospacing="0" w:after="0" w:afterAutospacing="0"/>
        <w:jc w:val="both"/>
        <w:rPr>
          <w:rFonts w:ascii="Cambria" w:hAnsi="Cambria"/>
        </w:rPr>
      </w:pPr>
      <w:r w:rsidRPr="00D30145">
        <w:rPr>
          <w:rFonts w:ascii="Cambria" w:hAnsi="Cambria"/>
        </w:rPr>
        <w:t>Describe any of the following if they are used in the collection of information:</w:t>
      </w:r>
    </w:p>
    <w:p w:rsidR="00ED08E0" w:rsidRPr="00ED08E0" w:rsidP="00ED08E0" w14:paraId="41AA5A37" w14:textId="7A1724B3">
      <w:pPr>
        <w:pStyle w:val="NormalWeb"/>
        <w:numPr>
          <w:ilvl w:val="1"/>
          <w:numId w:val="2"/>
        </w:numPr>
        <w:spacing w:before="0" w:beforeAutospacing="0" w:after="0" w:afterAutospacing="0"/>
        <w:ind w:left="360"/>
        <w:jc w:val="both"/>
        <w:rPr>
          <w:rFonts w:ascii="Cambria" w:hAnsi="Cambria"/>
        </w:rPr>
      </w:pPr>
      <w:r w:rsidRPr="00D30145">
        <w:rPr>
          <w:rFonts w:ascii="Cambria" w:hAnsi="Cambria"/>
        </w:rPr>
        <w:t>Statistical methodologies for stratification and sample selection;</w:t>
      </w:r>
    </w:p>
    <w:p w:rsidR="00A919A6" w:rsidP="00ED08E0" w14:paraId="2DD48C27" w14:textId="4009453B">
      <w:pPr>
        <w:pStyle w:val="NormalWeb"/>
        <w:spacing w:before="0" w:beforeAutospacing="0" w:after="0" w:afterAutospacing="0" w:line="288" w:lineRule="atLeast"/>
        <w:rPr>
          <w:rFonts w:ascii="Cambria" w:hAnsi="Cambria"/>
        </w:rPr>
      </w:pPr>
      <w:r w:rsidRPr="00D30145">
        <w:rPr>
          <w:rFonts w:ascii="Cambria" w:hAnsi="Cambria"/>
        </w:rPr>
        <w:t xml:space="preserve">As described above, </w:t>
      </w:r>
      <w:r w:rsidR="00AC33D2">
        <w:rPr>
          <w:rFonts w:ascii="Cambria" w:hAnsi="Cambria"/>
        </w:rPr>
        <w:t>the DOCP</w:t>
      </w:r>
      <w:r w:rsidRPr="00D30145" w:rsidR="001E1942">
        <w:rPr>
          <w:rFonts w:ascii="Cambria" w:hAnsi="Cambria"/>
        </w:rPr>
        <w:t xml:space="preserve"> does not employ </w:t>
      </w:r>
      <w:r w:rsidRPr="00D30145" w:rsidR="24189E37">
        <w:rPr>
          <w:rFonts w:ascii="Cambria" w:hAnsi="Cambria"/>
        </w:rPr>
        <w:t xml:space="preserve">traditional </w:t>
      </w:r>
      <w:r w:rsidRPr="00D30145" w:rsidR="001E1942">
        <w:rPr>
          <w:rFonts w:ascii="Cambria" w:hAnsi="Cambria"/>
        </w:rPr>
        <w:t xml:space="preserve">sampling techniques because </w:t>
      </w:r>
      <w:r w:rsidRPr="00D30145" w:rsidR="00B9257A">
        <w:rPr>
          <w:rFonts w:ascii="Cambria" w:hAnsi="Cambria"/>
        </w:rPr>
        <w:t xml:space="preserve">it is </w:t>
      </w:r>
      <w:r w:rsidRPr="00D30145" w:rsidR="00857CE5">
        <w:rPr>
          <w:rFonts w:ascii="Cambria" w:hAnsi="Cambria"/>
        </w:rPr>
        <w:t xml:space="preserve">a unit-/organizational-level survey. </w:t>
      </w:r>
      <w:r w:rsidRPr="00D30145" w:rsidR="00100340">
        <w:rPr>
          <w:rFonts w:ascii="Cambria" w:hAnsi="Cambria"/>
        </w:rPr>
        <w:t xml:space="preserve"> </w:t>
      </w:r>
      <w:r w:rsidRPr="00D30145" w:rsidR="00857CE5">
        <w:rPr>
          <w:rFonts w:ascii="Cambria" w:hAnsi="Cambria"/>
        </w:rPr>
        <w:t xml:space="preserve">Specifically, the </w:t>
      </w:r>
      <w:r w:rsidR="00AC33D2">
        <w:rPr>
          <w:rFonts w:ascii="Cambria" w:hAnsi="Cambria"/>
        </w:rPr>
        <w:t>DOCP</w:t>
      </w:r>
      <w:r w:rsidRPr="00D30145" w:rsidR="00857CE5">
        <w:rPr>
          <w:rFonts w:ascii="Cambria" w:hAnsi="Cambria"/>
        </w:rPr>
        <w:t xml:space="preserve"> is a non-probability sample </w:t>
      </w:r>
      <w:r w:rsidRPr="00D30145" w:rsidR="00EC3F9D">
        <w:rPr>
          <w:rFonts w:ascii="Cambria" w:hAnsi="Cambria"/>
        </w:rPr>
        <w:t xml:space="preserve">that </w:t>
      </w:r>
      <w:r w:rsidRPr="00D30145" w:rsidR="00857CE5">
        <w:rPr>
          <w:rFonts w:ascii="Cambria" w:hAnsi="Cambria"/>
        </w:rPr>
        <w:t>units/organizations within the DoD, with a</w:t>
      </w:r>
      <w:r w:rsidRPr="00D30145" w:rsidR="0090443B">
        <w:rPr>
          <w:rFonts w:ascii="Cambria" w:hAnsi="Cambria"/>
        </w:rPr>
        <w:t xml:space="preserve"> minimum size requirement of </w:t>
      </w:r>
      <w:r w:rsidRPr="00D30145" w:rsidR="009D5259">
        <w:rPr>
          <w:rFonts w:ascii="Cambria" w:hAnsi="Cambria"/>
        </w:rPr>
        <w:t xml:space="preserve">16 </w:t>
      </w:r>
      <w:r w:rsidRPr="00D30145" w:rsidR="00857CE5">
        <w:rPr>
          <w:rFonts w:ascii="Cambria" w:hAnsi="Cambria"/>
        </w:rPr>
        <w:t>personnel</w:t>
      </w:r>
      <w:r w:rsidRPr="00D30145" w:rsidR="008C0EB4">
        <w:rPr>
          <w:rFonts w:ascii="Cambria" w:hAnsi="Cambria"/>
        </w:rPr>
        <w:t>, administer</w:t>
      </w:r>
      <w:r w:rsidRPr="00D30145" w:rsidR="0090443B">
        <w:rPr>
          <w:rFonts w:ascii="Cambria" w:hAnsi="Cambria"/>
        </w:rPr>
        <w:t xml:space="preserve">. </w:t>
      </w:r>
      <w:r w:rsidRPr="00D30145" w:rsidR="00852A70">
        <w:rPr>
          <w:rFonts w:ascii="Cambria" w:hAnsi="Cambria"/>
        </w:rPr>
        <w:t xml:space="preserve"> </w:t>
      </w:r>
      <w:r w:rsidRPr="00D30145" w:rsidR="00857CE5">
        <w:rPr>
          <w:rFonts w:ascii="Cambria" w:hAnsi="Cambria"/>
        </w:rPr>
        <w:t xml:space="preserve">Each unit/organization survey is </w:t>
      </w:r>
      <w:r w:rsidR="007C43AC">
        <w:rPr>
          <w:rFonts w:ascii="Cambria" w:hAnsi="Cambria"/>
        </w:rPr>
        <w:t>fielded</w:t>
      </w:r>
      <w:r w:rsidRPr="00D30145" w:rsidR="00857CE5">
        <w:rPr>
          <w:rFonts w:ascii="Cambria" w:hAnsi="Cambria"/>
        </w:rPr>
        <w:t xml:space="preserve"> as a census of the unit/organization. </w:t>
      </w:r>
      <w:r w:rsidRPr="00D30145" w:rsidR="00556C58">
        <w:rPr>
          <w:rFonts w:ascii="Cambria" w:hAnsi="Cambria"/>
        </w:rPr>
        <w:t xml:space="preserve"> </w:t>
      </w:r>
      <w:r w:rsidRPr="00D30145" w:rsidR="00857CE5">
        <w:rPr>
          <w:rFonts w:ascii="Cambria" w:hAnsi="Cambria"/>
        </w:rPr>
        <w:t xml:space="preserve">The unit/organization survey administrator registers a </w:t>
      </w:r>
      <w:r w:rsidR="00DD6D3B">
        <w:rPr>
          <w:rFonts w:ascii="Cambria" w:hAnsi="Cambria"/>
        </w:rPr>
        <w:t>DOCP</w:t>
      </w:r>
      <w:r w:rsidRPr="00D30145" w:rsidR="00857CE5">
        <w:rPr>
          <w:rFonts w:ascii="Cambria" w:hAnsi="Cambria"/>
        </w:rPr>
        <w:t xml:space="preserve"> by uploading a full roster of its unit/organization members. </w:t>
      </w:r>
    </w:p>
    <w:p w:rsidR="00ED08E0" w:rsidRPr="00D30145" w:rsidP="00ED08E0" w14:paraId="253E9A30" w14:textId="77777777">
      <w:pPr>
        <w:pStyle w:val="NormalWeb"/>
        <w:spacing w:before="0" w:beforeAutospacing="0" w:after="0" w:afterAutospacing="0" w:line="288" w:lineRule="atLeast"/>
        <w:rPr>
          <w:rFonts w:ascii="Cambria" w:hAnsi="Cambria"/>
        </w:rPr>
      </w:pPr>
    </w:p>
    <w:p w:rsidR="005E0A0F" w:rsidRPr="00D30145" w:rsidP="00ED08E0" w14:paraId="4E1173EE" w14:textId="77777777">
      <w:pPr>
        <w:pStyle w:val="NormalWeb"/>
        <w:numPr>
          <w:ilvl w:val="1"/>
          <w:numId w:val="2"/>
        </w:numPr>
        <w:spacing w:before="0" w:beforeAutospacing="0" w:after="0" w:afterAutospacing="0"/>
        <w:ind w:left="360"/>
        <w:jc w:val="both"/>
        <w:rPr>
          <w:rFonts w:ascii="Cambria" w:hAnsi="Cambria"/>
        </w:rPr>
      </w:pPr>
      <w:r w:rsidRPr="00D30145">
        <w:rPr>
          <w:rFonts w:ascii="Cambria" w:hAnsi="Cambria"/>
        </w:rPr>
        <w:t>Estimation procedures;</w:t>
      </w:r>
    </w:p>
    <w:p w:rsidR="00A919A6" w:rsidP="00ED08E0" w14:paraId="0E996168" w14:textId="4F2D8484">
      <w:pPr>
        <w:pStyle w:val="NormalWeb"/>
        <w:spacing w:before="0" w:beforeAutospacing="0" w:after="0" w:afterAutospacing="0" w:line="288" w:lineRule="atLeast"/>
        <w:rPr>
          <w:rFonts w:ascii="Cambria" w:hAnsi="Cambria"/>
        </w:rPr>
      </w:pPr>
      <w:r w:rsidRPr="00D30145">
        <w:rPr>
          <w:rFonts w:ascii="Cambria" w:hAnsi="Cambria"/>
        </w:rPr>
        <w:t xml:space="preserve">As a </w:t>
      </w:r>
      <w:r w:rsidR="00663C0A">
        <w:rPr>
          <w:rFonts w:ascii="Cambria" w:hAnsi="Cambria"/>
        </w:rPr>
        <w:t xml:space="preserve">flexible </w:t>
      </w:r>
      <w:r w:rsidRPr="00D30145">
        <w:rPr>
          <w:rFonts w:ascii="Cambria" w:hAnsi="Cambria"/>
        </w:rPr>
        <w:t>tool designed to provide</w:t>
      </w:r>
      <w:r w:rsidR="00117259">
        <w:rPr>
          <w:rFonts w:ascii="Cambria" w:hAnsi="Cambria"/>
        </w:rPr>
        <w:t xml:space="preserve"> timely</w:t>
      </w:r>
      <w:r w:rsidRPr="00D30145">
        <w:rPr>
          <w:rFonts w:ascii="Cambria" w:hAnsi="Cambria"/>
        </w:rPr>
        <w:t xml:space="preserve"> information to commanders and leaders about the climate of their unit or organization, all results will be provided to commanders and leaders at the unit/organization level. </w:t>
      </w:r>
      <w:r w:rsidRPr="00D30145" w:rsidR="00327D47">
        <w:rPr>
          <w:rFonts w:ascii="Cambria" w:hAnsi="Cambria"/>
        </w:rPr>
        <w:t xml:space="preserve"> </w:t>
      </w:r>
      <w:r w:rsidR="00E81EB7">
        <w:rPr>
          <w:rFonts w:ascii="Cambria" w:hAnsi="Cambria"/>
        </w:rPr>
        <w:t>I</w:t>
      </w:r>
      <w:r w:rsidRPr="00D30145">
        <w:rPr>
          <w:rFonts w:ascii="Cambria" w:hAnsi="Cambria"/>
        </w:rPr>
        <w:t xml:space="preserve">tem tabulations will be provided for </w:t>
      </w:r>
      <w:r w:rsidRPr="00D30145" w:rsidR="00C85994">
        <w:rPr>
          <w:rFonts w:ascii="Cambria" w:hAnsi="Cambria"/>
        </w:rPr>
        <w:t>commands</w:t>
      </w:r>
      <w:r w:rsidRPr="00D30145">
        <w:rPr>
          <w:rFonts w:ascii="Cambria" w:hAnsi="Cambria"/>
        </w:rPr>
        <w:t xml:space="preserve"> with at least 16 complete responses. </w:t>
      </w:r>
      <w:r w:rsidRPr="00D30145" w:rsidR="003B4664">
        <w:rPr>
          <w:rFonts w:ascii="Cambria" w:hAnsi="Cambria"/>
        </w:rPr>
        <w:t xml:space="preserve"> </w:t>
      </w:r>
      <w:r w:rsidRPr="00D30145">
        <w:rPr>
          <w:rFonts w:ascii="Cambria" w:hAnsi="Cambria"/>
        </w:rPr>
        <w:t xml:space="preserve">Additionally, demographic and administrator defined subgroups will be reported if there are at least </w:t>
      </w:r>
      <w:r w:rsidRPr="00D30145" w:rsidR="00D811C3">
        <w:rPr>
          <w:rFonts w:ascii="Cambria" w:hAnsi="Cambria"/>
        </w:rPr>
        <w:t xml:space="preserve">five </w:t>
      </w:r>
      <w:r w:rsidRPr="00D30145">
        <w:rPr>
          <w:rFonts w:ascii="Cambria" w:hAnsi="Cambria"/>
        </w:rPr>
        <w:t>complete responses for each combination.</w:t>
      </w:r>
    </w:p>
    <w:p w:rsidR="00ED08E0" w:rsidRPr="00D30145" w:rsidP="00ED08E0" w14:paraId="1DD282A9" w14:textId="77777777">
      <w:pPr>
        <w:pStyle w:val="NormalWeb"/>
        <w:spacing w:before="0" w:beforeAutospacing="0" w:after="0" w:afterAutospacing="0" w:line="288" w:lineRule="atLeast"/>
        <w:rPr>
          <w:rFonts w:ascii="Cambria" w:hAnsi="Cambria"/>
        </w:rPr>
      </w:pPr>
    </w:p>
    <w:p w:rsidR="005E0A0F" w:rsidRPr="00D30145" w:rsidP="00ED08E0" w14:paraId="2D3A947F" w14:textId="77777777">
      <w:pPr>
        <w:pStyle w:val="NormalWeb"/>
        <w:numPr>
          <w:ilvl w:val="1"/>
          <w:numId w:val="2"/>
        </w:numPr>
        <w:spacing w:before="0" w:beforeAutospacing="0" w:after="0" w:afterAutospacing="0"/>
        <w:ind w:left="360"/>
        <w:jc w:val="both"/>
        <w:rPr>
          <w:rFonts w:ascii="Cambria" w:hAnsi="Cambria"/>
        </w:rPr>
      </w:pPr>
      <w:r w:rsidRPr="00D30145">
        <w:rPr>
          <w:rFonts w:ascii="Cambria" w:hAnsi="Cambria"/>
        </w:rPr>
        <w:t>Degree of accuracy needed for the Purpose discussed in the justification;</w:t>
      </w:r>
    </w:p>
    <w:p w:rsidR="00A919A6" w:rsidP="00ED08E0" w14:paraId="3B5F8B14" w14:textId="77777777">
      <w:pPr>
        <w:pStyle w:val="NormalWeb"/>
        <w:spacing w:before="0" w:beforeAutospacing="0" w:after="0" w:afterAutospacing="0" w:line="288" w:lineRule="atLeast"/>
        <w:rPr>
          <w:rFonts w:ascii="Cambria" w:hAnsi="Cambria"/>
        </w:rPr>
      </w:pPr>
      <w:r w:rsidRPr="00D30145">
        <w:rPr>
          <w:rFonts w:ascii="Cambria" w:hAnsi="Cambria"/>
        </w:rPr>
        <w:t>N/A</w:t>
      </w:r>
    </w:p>
    <w:p w:rsidR="00ED08E0" w:rsidRPr="00D30145" w:rsidP="00ED08E0" w14:paraId="0379906C" w14:textId="77777777">
      <w:pPr>
        <w:pStyle w:val="NormalWeb"/>
        <w:spacing w:before="0" w:beforeAutospacing="0" w:after="0" w:afterAutospacing="0" w:line="288" w:lineRule="atLeast"/>
        <w:rPr>
          <w:rFonts w:ascii="Cambria" w:hAnsi="Cambria"/>
        </w:rPr>
      </w:pPr>
    </w:p>
    <w:p w:rsidR="005E0A0F" w:rsidRPr="00D30145" w:rsidP="00ED08E0" w14:paraId="5B6747EB" w14:textId="77777777">
      <w:pPr>
        <w:pStyle w:val="NormalWeb"/>
        <w:numPr>
          <w:ilvl w:val="1"/>
          <w:numId w:val="2"/>
        </w:numPr>
        <w:spacing w:before="0" w:beforeAutospacing="0" w:after="0" w:afterAutospacing="0"/>
        <w:ind w:left="360"/>
        <w:jc w:val="both"/>
        <w:rPr>
          <w:rFonts w:ascii="Cambria" w:hAnsi="Cambria"/>
        </w:rPr>
      </w:pPr>
      <w:r w:rsidRPr="00D30145">
        <w:rPr>
          <w:rFonts w:ascii="Cambria" w:hAnsi="Cambria"/>
        </w:rPr>
        <w:t>Unusual problems requiring specialized sampling procedures; and</w:t>
      </w:r>
    </w:p>
    <w:p w:rsidR="00A919A6" w:rsidP="00ED08E0" w14:paraId="243EF16B" w14:textId="77777777">
      <w:pPr>
        <w:pStyle w:val="NormalWeb"/>
        <w:spacing w:before="0" w:beforeAutospacing="0" w:after="0" w:afterAutospacing="0"/>
        <w:jc w:val="both"/>
        <w:rPr>
          <w:rFonts w:ascii="Cambria" w:hAnsi="Cambria"/>
        </w:rPr>
      </w:pPr>
      <w:r w:rsidRPr="00D30145">
        <w:rPr>
          <w:rFonts w:ascii="Cambria" w:hAnsi="Cambria"/>
        </w:rPr>
        <w:t>None.</w:t>
      </w:r>
    </w:p>
    <w:p w:rsidR="00ED08E0" w:rsidRPr="00D30145" w:rsidP="00ED08E0" w14:paraId="294A5267" w14:textId="77777777">
      <w:pPr>
        <w:pStyle w:val="NormalWeb"/>
        <w:spacing w:before="0" w:beforeAutospacing="0" w:after="0" w:afterAutospacing="0"/>
        <w:jc w:val="both"/>
        <w:rPr>
          <w:rFonts w:ascii="Cambria" w:hAnsi="Cambria"/>
        </w:rPr>
      </w:pPr>
    </w:p>
    <w:p w:rsidR="005E0A0F" w:rsidRPr="00D30145" w:rsidP="00ED08E0" w14:paraId="1DC050B1" w14:textId="77777777">
      <w:pPr>
        <w:pStyle w:val="NormalWeb"/>
        <w:numPr>
          <w:ilvl w:val="1"/>
          <w:numId w:val="2"/>
        </w:numPr>
        <w:spacing w:before="0" w:beforeAutospacing="0" w:after="0" w:afterAutospacing="0"/>
        <w:ind w:left="360"/>
        <w:jc w:val="both"/>
        <w:rPr>
          <w:rFonts w:ascii="Cambria" w:hAnsi="Cambria"/>
        </w:rPr>
      </w:pPr>
      <w:r w:rsidRPr="00D30145">
        <w:rPr>
          <w:rFonts w:ascii="Cambria" w:hAnsi="Cambria"/>
        </w:rPr>
        <w:t>Use of periodic or cyclical data collections to reduce respondent burden.</w:t>
      </w:r>
    </w:p>
    <w:p w:rsidR="00A919A6" w:rsidP="00ED08E0" w14:paraId="75E46054" w14:textId="696F7D04">
      <w:pPr>
        <w:pStyle w:val="NormalWeb"/>
        <w:spacing w:before="0" w:beforeAutospacing="0" w:after="0" w:afterAutospacing="0"/>
        <w:jc w:val="both"/>
        <w:rPr>
          <w:rFonts w:ascii="Cambria" w:hAnsi="Cambria"/>
        </w:rPr>
      </w:pPr>
      <w:r>
        <w:rPr>
          <w:rFonts w:ascii="Cambria" w:hAnsi="Cambria"/>
        </w:rPr>
        <w:t xml:space="preserve">The DOCP is a tool intended to </w:t>
      </w:r>
      <w:r w:rsidR="006C5D43">
        <w:rPr>
          <w:rFonts w:ascii="Cambria" w:hAnsi="Cambria"/>
        </w:rPr>
        <w:t xml:space="preserve">be a low burden survey that is flexible to provide commands with the timely information they need while also reducing the </w:t>
      </w:r>
      <w:r w:rsidR="00A45D17">
        <w:rPr>
          <w:rFonts w:ascii="Cambria" w:hAnsi="Cambria"/>
        </w:rPr>
        <w:t>burden on participants</w:t>
      </w:r>
      <w:r w:rsidR="00373018">
        <w:rPr>
          <w:rFonts w:ascii="Cambria" w:hAnsi="Cambria"/>
        </w:rPr>
        <w:t xml:space="preserve"> by limiting the survey to topics relevant to their local unit or organization to inform or update their command climate assessment and action planning</w:t>
      </w:r>
      <w:r w:rsidR="00A45D17">
        <w:rPr>
          <w:rFonts w:ascii="Cambria" w:hAnsi="Cambria"/>
        </w:rPr>
        <w:t xml:space="preserve">. </w:t>
      </w:r>
      <w:r w:rsidR="00E24F6E">
        <w:rPr>
          <w:rFonts w:ascii="Cambria" w:hAnsi="Cambria"/>
        </w:rPr>
        <w:t xml:space="preserve"> Based on the guidance from the DoDI 6400.11, the DOCP is a survey tool that </w:t>
      </w:r>
      <w:r w:rsidR="00373018">
        <w:rPr>
          <w:rFonts w:ascii="Cambria" w:hAnsi="Cambria"/>
        </w:rPr>
        <w:t>may only be fielded once annually</w:t>
      </w:r>
      <w:r w:rsidR="00E24F6E">
        <w:rPr>
          <w:rFonts w:ascii="Cambria" w:hAnsi="Cambria"/>
        </w:rPr>
        <w:t xml:space="preserve">. </w:t>
      </w:r>
    </w:p>
    <w:p w:rsidR="00ED08E0" w:rsidRPr="00D30145" w:rsidP="00ED08E0" w14:paraId="1A85B149" w14:textId="77777777">
      <w:pPr>
        <w:pStyle w:val="NormalWeb"/>
        <w:spacing w:before="0" w:beforeAutospacing="0" w:after="0" w:afterAutospacing="0"/>
        <w:jc w:val="both"/>
        <w:rPr>
          <w:rFonts w:ascii="Cambria" w:hAnsi="Cambria"/>
        </w:rPr>
      </w:pPr>
    </w:p>
    <w:p w:rsidR="005E0A0F" w:rsidRPr="00D30145" w:rsidP="00ED08E0" w14:paraId="55506209" w14:textId="77777777">
      <w:pPr>
        <w:pStyle w:val="NormalWeb"/>
        <w:numPr>
          <w:ilvl w:val="0"/>
          <w:numId w:val="2"/>
        </w:numPr>
        <w:spacing w:before="0" w:beforeAutospacing="0" w:after="0" w:afterAutospacing="0"/>
        <w:jc w:val="both"/>
        <w:rPr>
          <w:rFonts w:ascii="Cambria" w:hAnsi="Cambria"/>
        </w:rPr>
      </w:pPr>
      <w:r w:rsidRPr="00D30145">
        <w:rPr>
          <w:rFonts w:ascii="Cambria" w:hAnsi="Cambria"/>
          <w:u w:val="single"/>
        </w:rPr>
        <w:t>Maximization of Response Rates, Non-response, and Reliability</w:t>
      </w:r>
    </w:p>
    <w:p w:rsidR="005E0A0F" w:rsidP="00ED08E0" w14:paraId="07CDE64A" w14:textId="77777777">
      <w:pPr>
        <w:pStyle w:val="NormalWeb"/>
        <w:spacing w:before="0" w:beforeAutospacing="0" w:after="0" w:afterAutospacing="0"/>
        <w:jc w:val="both"/>
        <w:rPr>
          <w:rFonts w:ascii="Cambria" w:hAnsi="Cambria"/>
        </w:rPr>
      </w:pPr>
      <w:r w:rsidRPr="00D30145">
        <w:rPr>
          <w:rFonts w:ascii="Cambria" w:hAnsi="Cambria"/>
        </w:rP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ED08E0" w:rsidRPr="00D30145" w:rsidP="00ED08E0" w14:paraId="0EB3A95E" w14:textId="77777777">
      <w:pPr>
        <w:pStyle w:val="NormalWeb"/>
        <w:spacing w:before="0" w:beforeAutospacing="0" w:after="0" w:afterAutospacing="0"/>
        <w:jc w:val="both"/>
        <w:rPr>
          <w:rFonts w:ascii="Cambria" w:hAnsi="Cambria"/>
        </w:rPr>
      </w:pPr>
    </w:p>
    <w:p w:rsidR="00A919A6" w:rsidP="00ED08E0" w14:paraId="01085165" w14:textId="42F9DD01">
      <w:pPr>
        <w:pStyle w:val="NormalWeb"/>
        <w:spacing w:before="0" w:beforeAutospacing="0" w:after="0" w:afterAutospacing="0"/>
        <w:rPr>
          <w:rFonts w:ascii="Cambria" w:hAnsi="Cambria"/>
        </w:rPr>
      </w:pPr>
      <w:r w:rsidRPr="00D30145">
        <w:rPr>
          <w:rFonts w:ascii="Cambria" w:hAnsi="Cambria"/>
        </w:rPr>
        <w:t xml:space="preserve">To reduce respondent burden, web-based surveys use “smart skip” technology to ensure respondents only answer questions that are applicable to them.  </w:t>
      </w:r>
      <w:r w:rsidRPr="00D30145" w:rsidR="00AA78F8">
        <w:rPr>
          <w:rFonts w:ascii="Cambria" w:hAnsi="Cambria"/>
        </w:rPr>
        <w:t xml:space="preserve">To maximize response rates, </w:t>
      </w:r>
      <w:r w:rsidRPr="00D30145" w:rsidR="00131F1E">
        <w:rPr>
          <w:rFonts w:ascii="Cambria" w:hAnsi="Cambria"/>
        </w:rPr>
        <w:t>Office of People Analytics (</w:t>
      </w:r>
      <w:r w:rsidRPr="00D30145" w:rsidR="00AA78F8">
        <w:rPr>
          <w:rFonts w:ascii="Cambria" w:hAnsi="Cambria"/>
        </w:rPr>
        <w:t>OPA</w:t>
      </w:r>
      <w:r w:rsidRPr="00D30145" w:rsidR="00131F1E">
        <w:rPr>
          <w:rFonts w:ascii="Cambria" w:hAnsi="Cambria"/>
        </w:rPr>
        <w:t>)</w:t>
      </w:r>
      <w:r w:rsidRPr="00D30145" w:rsidR="00AA78F8">
        <w:rPr>
          <w:rFonts w:ascii="Cambria" w:hAnsi="Cambria"/>
        </w:rPr>
        <w:t xml:space="preserve"> offers the survey via the web and uses reminder emails to </w:t>
      </w:r>
      <w:r w:rsidRPr="00D30145">
        <w:rPr>
          <w:rFonts w:ascii="Cambria" w:hAnsi="Cambria"/>
        </w:rPr>
        <w:t>encourage participation throughout the survey’s fielding window</w:t>
      </w:r>
      <w:r w:rsidRPr="00D30145" w:rsidR="00AA78F8">
        <w:rPr>
          <w:rFonts w:ascii="Cambria" w:hAnsi="Cambria"/>
        </w:rPr>
        <w:t xml:space="preserve">.  </w:t>
      </w:r>
      <w:r w:rsidRPr="00D30145" w:rsidR="00AC13DE">
        <w:rPr>
          <w:rFonts w:ascii="Cambria" w:hAnsi="Cambria"/>
        </w:rPr>
        <w:t>E</w:t>
      </w:r>
      <w:r w:rsidRPr="00D30145">
        <w:rPr>
          <w:rFonts w:ascii="Cambria" w:hAnsi="Cambria"/>
        </w:rPr>
        <w:t>-mail</w:t>
      </w:r>
      <w:r w:rsidRPr="00D30145" w:rsidR="00AC13DE">
        <w:rPr>
          <w:rFonts w:ascii="Cambria" w:hAnsi="Cambria"/>
        </w:rPr>
        <w:t xml:space="preserve"> reminders</w:t>
      </w:r>
      <w:r w:rsidRPr="00D30145">
        <w:rPr>
          <w:rFonts w:ascii="Cambria" w:hAnsi="Cambria"/>
        </w:rPr>
        <w:t xml:space="preserve"> will be sent to </w:t>
      </w:r>
      <w:r w:rsidRPr="00D30145" w:rsidR="007314BB">
        <w:rPr>
          <w:rFonts w:ascii="Cambria" w:hAnsi="Cambria"/>
        </w:rPr>
        <w:t xml:space="preserve">unit </w:t>
      </w:r>
      <w:r w:rsidRPr="00D30145">
        <w:rPr>
          <w:rFonts w:ascii="Cambria" w:hAnsi="Cambria"/>
        </w:rPr>
        <w:t>members until they respond or indicate that they no longer wish to be contacted.  T</w:t>
      </w:r>
      <w:r w:rsidRPr="00D30145" w:rsidR="00691286">
        <w:rPr>
          <w:rFonts w:ascii="Cambria" w:hAnsi="Cambria"/>
        </w:rPr>
        <w:t xml:space="preserve">he outreach communications </w:t>
      </w:r>
      <w:r w:rsidRPr="00D30145">
        <w:rPr>
          <w:rFonts w:ascii="Cambria" w:hAnsi="Cambria"/>
        </w:rPr>
        <w:t>include text highlightin</w:t>
      </w:r>
      <w:r w:rsidRPr="00D30145" w:rsidR="007314BB">
        <w:rPr>
          <w:rFonts w:ascii="Cambria" w:hAnsi="Cambria"/>
        </w:rPr>
        <w:t>g the importance of the surveys</w:t>
      </w:r>
      <w:r w:rsidRPr="00D30145">
        <w:rPr>
          <w:rFonts w:ascii="Cambria" w:hAnsi="Cambria"/>
        </w:rPr>
        <w:t xml:space="preserve">.  </w:t>
      </w:r>
      <w:r w:rsidRPr="00D30145" w:rsidR="007314BB">
        <w:rPr>
          <w:rFonts w:ascii="Cambria" w:hAnsi="Cambria"/>
        </w:rPr>
        <w:t xml:space="preserve">As </w:t>
      </w:r>
      <w:r w:rsidR="009E7002">
        <w:rPr>
          <w:rFonts w:ascii="Cambria" w:hAnsi="Cambria"/>
        </w:rPr>
        <w:t>DOCP’s</w:t>
      </w:r>
      <w:r w:rsidRPr="00D30145" w:rsidR="007314BB">
        <w:rPr>
          <w:rFonts w:ascii="Cambria" w:hAnsi="Cambria"/>
        </w:rPr>
        <w:t xml:space="preserve"> are administered at the unit level, commanders </w:t>
      </w:r>
      <w:r w:rsidRPr="00D30145" w:rsidR="007314BB">
        <w:rPr>
          <w:rFonts w:ascii="Cambria" w:hAnsi="Cambria"/>
        </w:rPr>
        <w:t xml:space="preserve">conducting a </w:t>
      </w:r>
      <w:r w:rsidR="009E7002">
        <w:rPr>
          <w:rFonts w:ascii="Cambria" w:hAnsi="Cambria"/>
        </w:rPr>
        <w:t>DOCP</w:t>
      </w:r>
      <w:r w:rsidRPr="00D30145" w:rsidR="007314BB">
        <w:rPr>
          <w:rFonts w:ascii="Cambria" w:hAnsi="Cambria"/>
        </w:rPr>
        <w:t xml:space="preserve"> are also able to monitor response rates and promote the </w:t>
      </w:r>
      <w:r w:rsidR="009E7002">
        <w:rPr>
          <w:rFonts w:ascii="Cambria" w:hAnsi="Cambria"/>
        </w:rPr>
        <w:t>DOCP</w:t>
      </w:r>
      <w:r w:rsidRPr="00D30145" w:rsidR="007314BB">
        <w:rPr>
          <w:rFonts w:ascii="Cambria" w:hAnsi="Cambria"/>
        </w:rPr>
        <w:t xml:space="preserve"> in meetings, e</w:t>
      </w:r>
      <w:r w:rsidRPr="00D30145" w:rsidR="009E3C37">
        <w:rPr>
          <w:rFonts w:ascii="Cambria" w:hAnsi="Cambria"/>
        </w:rPr>
        <w:t>-</w:t>
      </w:r>
      <w:r w:rsidRPr="00D30145" w:rsidR="007314BB">
        <w:rPr>
          <w:rFonts w:ascii="Cambria" w:hAnsi="Cambria"/>
        </w:rPr>
        <w:t xml:space="preserve">mails, and unit common areas.  </w:t>
      </w:r>
    </w:p>
    <w:p w:rsidR="00ED08E0" w:rsidRPr="00D30145" w:rsidP="00ED08E0" w14:paraId="3381E230" w14:textId="77777777">
      <w:pPr>
        <w:pStyle w:val="NormalWeb"/>
        <w:spacing w:before="0" w:beforeAutospacing="0" w:after="0" w:afterAutospacing="0"/>
        <w:rPr>
          <w:rFonts w:ascii="Cambria" w:hAnsi="Cambria"/>
        </w:rPr>
      </w:pPr>
    </w:p>
    <w:p w:rsidR="005E0A0F" w:rsidRPr="00D30145" w:rsidP="00ED08E0" w14:paraId="37273F1F" w14:textId="77777777">
      <w:pPr>
        <w:pStyle w:val="NormalWeb"/>
        <w:numPr>
          <w:ilvl w:val="0"/>
          <w:numId w:val="2"/>
        </w:numPr>
        <w:spacing w:before="0" w:beforeAutospacing="0" w:after="0" w:afterAutospacing="0"/>
        <w:jc w:val="both"/>
        <w:rPr>
          <w:rFonts w:ascii="Cambria" w:hAnsi="Cambria"/>
        </w:rPr>
      </w:pPr>
      <w:r w:rsidRPr="00D30145">
        <w:rPr>
          <w:rFonts w:ascii="Cambria" w:hAnsi="Cambria"/>
          <w:u w:val="single"/>
        </w:rPr>
        <w:t>Tests of Procedures</w:t>
      </w:r>
    </w:p>
    <w:p w:rsidR="00F41A3F" w:rsidP="00ED08E0" w14:paraId="60A94082" w14:textId="74DB9F41">
      <w:pPr>
        <w:pStyle w:val="NormalWeb"/>
        <w:spacing w:before="0" w:beforeAutospacing="0" w:after="0" w:afterAutospacing="0" w:line="288" w:lineRule="atLeast"/>
        <w:rPr>
          <w:rFonts w:ascii="Cambria" w:hAnsi="Cambria"/>
        </w:rPr>
      </w:pPr>
      <w:r w:rsidRPr="00D30145">
        <w:rPr>
          <w:rFonts w:ascii="Cambria" w:hAnsi="Cambria"/>
        </w:rPr>
        <w:t>In accordance with the DoD Survey Burden Action Plan, we went to great length</w:t>
      </w:r>
      <w:r w:rsidRPr="00D30145" w:rsidR="001B4563">
        <w:rPr>
          <w:rFonts w:ascii="Cambria" w:hAnsi="Cambria"/>
        </w:rPr>
        <w:t>s</w:t>
      </w:r>
      <w:r w:rsidRPr="00D30145">
        <w:rPr>
          <w:rFonts w:ascii="Cambria" w:hAnsi="Cambria"/>
        </w:rPr>
        <w:t xml:space="preserve"> to develop a survey instrument that collected </w:t>
      </w:r>
      <w:r w:rsidRPr="00D30145" w:rsidR="00691286">
        <w:rPr>
          <w:rFonts w:ascii="Cambria" w:hAnsi="Cambria"/>
        </w:rPr>
        <w:t xml:space="preserve">only </w:t>
      </w:r>
      <w:r w:rsidRPr="00D30145">
        <w:rPr>
          <w:rFonts w:ascii="Cambria" w:hAnsi="Cambria"/>
        </w:rPr>
        <w:t>the information required to support policy and program development and/or assessments</w:t>
      </w:r>
      <w:r w:rsidR="00BA1356">
        <w:rPr>
          <w:rFonts w:ascii="Cambria" w:hAnsi="Cambria"/>
        </w:rPr>
        <w:t xml:space="preserve">—specifically to adhere to both </w:t>
      </w:r>
      <w:r w:rsidR="008440A0">
        <w:rPr>
          <w:rFonts w:ascii="Cambria" w:hAnsi="Cambria"/>
        </w:rPr>
        <w:t xml:space="preserve">the </w:t>
      </w:r>
      <w:r w:rsidRPr="008440A0" w:rsidR="008440A0">
        <w:rPr>
          <w:rFonts w:ascii="Cambria" w:hAnsi="Cambria"/>
        </w:rPr>
        <w:t>Independent Review Commission (IRC) on Sexual Assault in the Military</w:t>
      </w:r>
      <w:r w:rsidR="008440A0">
        <w:rPr>
          <w:rFonts w:ascii="Cambria" w:hAnsi="Cambria"/>
        </w:rPr>
        <w:t xml:space="preserve"> recommendations for the DoD (</w:t>
      </w:r>
      <w:hyperlink r:id="rId8" w:history="1">
        <w:r w:rsidRPr="001F7CDB" w:rsidR="008440A0">
          <w:rPr>
            <w:rStyle w:val="Hyperlink"/>
            <w:rFonts w:ascii="Cambria" w:hAnsi="Cambria"/>
          </w:rPr>
          <w:t>IRC-FULL-REPORT-FINAL-1923-7-1-21.PDF (defense.gov)</w:t>
        </w:r>
      </w:hyperlink>
      <w:r w:rsidRPr="008440A0" w:rsidR="008440A0">
        <w:rPr>
          <w:rFonts w:ascii="Cambria" w:hAnsi="Cambria"/>
        </w:rPr>
        <w:t>)</w:t>
      </w:r>
      <w:r w:rsidR="008440A0">
        <w:rPr>
          <w:rFonts w:ascii="Cambria" w:hAnsi="Cambria"/>
        </w:rPr>
        <w:t xml:space="preserve"> and </w:t>
      </w:r>
      <w:r w:rsidR="00A77829">
        <w:rPr>
          <w:rFonts w:ascii="Cambria" w:hAnsi="Cambria"/>
        </w:rPr>
        <w:t xml:space="preserve">the policy requirements specified in </w:t>
      </w:r>
      <w:r w:rsidR="00BA1356">
        <w:rPr>
          <w:rFonts w:ascii="Cambria" w:hAnsi="Cambria"/>
        </w:rPr>
        <w:t>DoDI 6400.11</w:t>
      </w:r>
      <w:r w:rsidRPr="00D30145">
        <w:rPr>
          <w:rFonts w:ascii="Cambria" w:hAnsi="Cambria"/>
        </w:rPr>
        <w:t xml:space="preserve">.  </w:t>
      </w:r>
      <w:r w:rsidR="00800F0E">
        <w:rPr>
          <w:rFonts w:ascii="Cambria" w:hAnsi="Cambria"/>
        </w:rPr>
        <w:t xml:space="preserve">To accomplish this, we constructed a flexible and brief survey tool that </w:t>
      </w:r>
      <w:r w:rsidR="00DE4950">
        <w:rPr>
          <w:rFonts w:ascii="Cambria" w:hAnsi="Cambria"/>
        </w:rPr>
        <w:t>allows for customization of the DOCP to best meet a unit</w:t>
      </w:r>
      <w:r w:rsidR="003E7D5B">
        <w:rPr>
          <w:rFonts w:ascii="Cambria" w:hAnsi="Cambria"/>
        </w:rPr>
        <w:t>’s</w:t>
      </w:r>
      <w:r w:rsidR="00DE4950">
        <w:rPr>
          <w:rFonts w:ascii="Cambria" w:hAnsi="Cambria"/>
        </w:rPr>
        <w:t>/organization</w:t>
      </w:r>
      <w:r w:rsidR="003E7D5B">
        <w:rPr>
          <w:rFonts w:ascii="Cambria" w:hAnsi="Cambria"/>
        </w:rPr>
        <w:t>’</w:t>
      </w:r>
      <w:r w:rsidR="00DE4950">
        <w:rPr>
          <w:rFonts w:ascii="Cambria" w:hAnsi="Cambria"/>
        </w:rPr>
        <w:t>s needs</w:t>
      </w:r>
      <w:r w:rsidR="007F2A59">
        <w:rPr>
          <w:rFonts w:ascii="Cambria" w:hAnsi="Cambria"/>
        </w:rPr>
        <w:t xml:space="preserve"> </w:t>
      </w:r>
      <w:r w:rsidR="003E7D5B">
        <w:rPr>
          <w:rFonts w:ascii="Cambria" w:hAnsi="Cambria"/>
        </w:rPr>
        <w:t>for</w:t>
      </w:r>
      <w:r w:rsidR="007F2A59">
        <w:rPr>
          <w:rFonts w:ascii="Cambria" w:hAnsi="Cambria"/>
        </w:rPr>
        <w:t xml:space="preserve"> assessing command climate. </w:t>
      </w:r>
      <w:r>
        <w:rPr>
          <w:rFonts w:ascii="Cambria" w:hAnsi="Cambria"/>
        </w:rPr>
        <w:t xml:space="preserve"> We </w:t>
      </w:r>
      <w:r w:rsidR="00864A37">
        <w:rPr>
          <w:rFonts w:ascii="Cambria" w:hAnsi="Cambria"/>
        </w:rPr>
        <w:t xml:space="preserve">curated </w:t>
      </w:r>
      <w:r>
        <w:rPr>
          <w:rFonts w:ascii="Cambria" w:hAnsi="Cambria"/>
        </w:rPr>
        <w:t xml:space="preserve">the DOCP </w:t>
      </w:r>
      <w:r w:rsidR="00136512">
        <w:rPr>
          <w:rFonts w:ascii="Cambria" w:hAnsi="Cambria"/>
        </w:rPr>
        <w:t xml:space="preserve">pool of </w:t>
      </w:r>
      <w:r w:rsidR="00407F8F">
        <w:rPr>
          <w:rFonts w:ascii="Cambria" w:hAnsi="Cambria"/>
        </w:rPr>
        <w:t xml:space="preserve">available </w:t>
      </w:r>
      <w:r w:rsidR="00136512">
        <w:rPr>
          <w:rFonts w:ascii="Cambria" w:hAnsi="Cambria"/>
        </w:rPr>
        <w:t>items</w:t>
      </w:r>
      <w:r>
        <w:rPr>
          <w:rFonts w:ascii="Cambria" w:hAnsi="Cambria"/>
        </w:rPr>
        <w:t xml:space="preserve"> based on </w:t>
      </w:r>
      <w:r w:rsidR="008D00DF">
        <w:rPr>
          <w:rFonts w:ascii="Cambria" w:hAnsi="Cambria"/>
        </w:rPr>
        <w:t xml:space="preserve">policy office and </w:t>
      </w:r>
      <w:r w:rsidR="007C43AC">
        <w:rPr>
          <w:rFonts w:ascii="Cambria" w:hAnsi="Cambria"/>
        </w:rPr>
        <w:t>S</w:t>
      </w:r>
      <w:r w:rsidR="00373018">
        <w:rPr>
          <w:rFonts w:ascii="Cambria" w:hAnsi="Cambria"/>
        </w:rPr>
        <w:t>ervice recommendations</w:t>
      </w:r>
      <w:r w:rsidR="00E34AC2">
        <w:rPr>
          <w:rFonts w:ascii="Cambria" w:hAnsi="Cambria"/>
        </w:rPr>
        <w:t xml:space="preserve">. </w:t>
      </w:r>
      <w:r w:rsidR="007C43AC">
        <w:rPr>
          <w:rFonts w:ascii="Cambria" w:hAnsi="Cambria"/>
        </w:rPr>
        <w:t xml:space="preserve"> </w:t>
      </w:r>
      <w:r w:rsidR="007009A6">
        <w:rPr>
          <w:rFonts w:ascii="Cambria" w:hAnsi="Cambria"/>
        </w:rPr>
        <w:t xml:space="preserve">Through extensive coordination, we have </w:t>
      </w:r>
      <w:r w:rsidR="007C43AC">
        <w:rPr>
          <w:rFonts w:ascii="Cambria" w:hAnsi="Cambria"/>
        </w:rPr>
        <w:t>identified the</w:t>
      </w:r>
      <w:r w:rsidR="004950B0">
        <w:rPr>
          <w:rFonts w:ascii="Cambria" w:hAnsi="Cambria"/>
        </w:rPr>
        <w:t xml:space="preserve"> relevant questions to meet the needs of</w:t>
      </w:r>
      <w:r w:rsidR="007C43AC">
        <w:rPr>
          <w:rFonts w:ascii="Cambria" w:hAnsi="Cambria"/>
        </w:rPr>
        <w:t xml:space="preserve"> unit commanders/leaders through the fielding of the DOCP.  The development of the DOCP</w:t>
      </w:r>
      <w:r w:rsidR="004950B0">
        <w:rPr>
          <w:rFonts w:ascii="Cambria" w:hAnsi="Cambria"/>
        </w:rPr>
        <w:t xml:space="preserve"> specifically focus</w:t>
      </w:r>
      <w:r w:rsidR="007C43AC">
        <w:rPr>
          <w:rFonts w:ascii="Cambria" w:hAnsi="Cambria"/>
        </w:rPr>
        <w:t>ed</w:t>
      </w:r>
      <w:r w:rsidR="004950B0">
        <w:rPr>
          <w:rFonts w:ascii="Cambria" w:hAnsi="Cambria"/>
        </w:rPr>
        <w:t xml:space="preserve"> on its unique</w:t>
      </w:r>
      <w:r w:rsidR="007C43AC">
        <w:rPr>
          <w:rFonts w:ascii="Cambria" w:hAnsi="Cambria"/>
        </w:rPr>
        <w:t xml:space="preserve"> contribution as a survey tool and how it could be used to inform the</w:t>
      </w:r>
      <w:r w:rsidR="004950B0">
        <w:rPr>
          <w:rFonts w:ascii="Cambria" w:hAnsi="Cambria"/>
        </w:rPr>
        <w:t xml:space="preserve"> </w:t>
      </w:r>
      <w:r w:rsidR="003268BA">
        <w:rPr>
          <w:rFonts w:ascii="Cambria" w:hAnsi="Cambria"/>
        </w:rPr>
        <w:t xml:space="preserve">required Command Climate Assessments (CCA; DoDI 6400.11).  </w:t>
      </w:r>
      <w:r w:rsidR="00AA1322">
        <w:rPr>
          <w:rFonts w:ascii="Cambria" w:hAnsi="Cambria"/>
        </w:rPr>
        <w:t>The DOCP is designed to be a brief and flexible survey that contains skip patterns, asking only relevant questions to the appropriate populations, and contains no more than 1</w:t>
      </w:r>
      <w:r w:rsidR="00B27998">
        <w:rPr>
          <w:rFonts w:ascii="Cambria" w:hAnsi="Cambria"/>
        </w:rPr>
        <w:t>6</w:t>
      </w:r>
      <w:r w:rsidR="00AA1322">
        <w:rPr>
          <w:rFonts w:ascii="Cambria" w:hAnsi="Cambria"/>
        </w:rPr>
        <w:t xml:space="preserve"> custom substantive questions.</w:t>
      </w:r>
      <w:r w:rsidR="00426184">
        <w:rPr>
          <w:rFonts w:ascii="Cambria" w:hAnsi="Cambria"/>
        </w:rPr>
        <w:t xml:space="preserve"> </w:t>
      </w:r>
      <w:r w:rsidR="007C43AC">
        <w:rPr>
          <w:rFonts w:ascii="Cambria" w:hAnsi="Cambria"/>
        </w:rPr>
        <w:t xml:space="preserve"> </w:t>
      </w:r>
      <w:r w:rsidR="00426184">
        <w:rPr>
          <w:rFonts w:ascii="Cambria" w:hAnsi="Cambria"/>
        </w:rPr>
        <w:t xml:space="preserve">A full DOCP is anticipated to take </w:t>
      </w:r>
      <w:r w:rsidR="007009A6">
        <w:rPr>
          <w:rFonts w:ascii="Cambria" w:hAnsi="Cambria"/>
        </w:rPr>
        <w:t xml:space="preserve">roughly </w:t>
      </w:r>
      <w:r w:rsidR="00426184">
        <w:rPr>
          <w:rFonts w:ascii="Cambria" w:hAnsi="Cambria"/>
        </w:rPr>
        <w:t xml:space="preserve">7 minutes to complete. </w:t>
      </w:r>
    </w:p>
    <w:p w:rsidR="00426184" w:rsidP="00ED08E0" w14:paraId="7E08E065" w14:textId="77777777">
      <w:pPr>
        <w:pStyle w:val="NormalWeb"/>
        <w:spacing w:before="0" w:beforeAutospacing="0" w:after="0" w:afterAutospacing="0" w:line="288" w:lineRule="atLeast"/>
        <w:rPr>
          <w:rFonts w:ascii="Cambria" w:hAnsi="Cambria"/>
        </w:rPr>
      </w:pPr>
    </w:p>
    <w:p w:rsidR="00426184" w:rsidP="00ED08E0" w14:paraId="45D0C5A9" w14:textId="28A9A781">
      <w:pPr>
        <w:pStyle w:val="NormalWeb"/>
        <w:spacing w:before="0" w:beforeAutospacing="0" w:after="0" w:afterAutospacing="0" w:line="288" w:lineRule="atLeast"/>
        <w:rPr>
          <w:rFonts w:ascii="Cambria" w:hAnsi="Cambria"/>
        </w:rPr>
      </w:pPr>
      <w:r>
        <w:rPr>
          <w:rFonts w:ascii="Cambria" w:hAnsi="Cambria"/>
        </w:rPr>
        <w:t xml:space="preserve">Additionally, to ensure </w:t>
      </w:r>
      <w:r w:rsidR="00FF6B4F">
        <w:rPr>
          <w:rFonts w:ascii="Cambria" w:hAnsi="Cambria"/>
        </w:rPr>
        <w:t xml:space="preserve">and further enhance the utility of the DOCP, weighting and coverage assessments, validation analyses, and aggregation functionality for within and between units/organization may be tested and further implemented. </w:t>
      </w:r>
      <w:r w:rsidR="00F54563">
        <w:rPr>
          <w:rFonts w:ascii="Cambria" w:hAnsi="Cambria"/>
        </w:rPr>
        <w:t xml:space="preserve"> </w:t>
      </w:r>
    </w:p>
    <w:p w:rsidR="000F162D" w:rsidRPr="00D30145" w:rsidP="00ED08E0" w14:paraId="1CA50B46" w14:textId="77777777">
      <w:pPr>
        <w:pStyle w:val="NormalWeb"/>
        <w:spacing w:before="0" w:beforeAutospacing="0" w:after="0" w:afterAutospacing="0" w:line="288" w:lineRule="atLeast"/>
        <w:rPr>
          <w:rFonts w:ascii="Cambria" w:hAnsi="Cambria"/>
        </w:rPr>
      </w:pPr>
    </w:p>
    <w:p w:rsidR="005E0A0F" w:rsidRPr="00046FC1" w:rsidP="00ED08E0" w14:paraId="467B04B4" w14:textId="77777777">
      <w:pPr>
        <w:pStyle w:val="NormalWeb"/>
        <w:numPr>
          <w:ilvl w:val="0"/>
          <w:numId w:val="2"/>
        </w:numPr>
        <w:spacing w:before="0" w:beforeAutospacing="0" w:after="0" w:afterAutospacing="0"/>
        <w:jc w:val="both"/>
        <w:rPr>
          <w:rFonts w:ascii="Cambria" w:hAnsi="Cambria"/>
        </w:rPr>
      </w:pPr>
      <w:r w:rsidRPr="00D30145">
        <w:rPr>
          <w:rFonts w:ascii="Cambria" w:hAnsi="Cambria"/>
          <w:u w:val="single"/>
        </w:rPr>
        <w:t>Statistical Consultation and Information Analysis</w:t>
      </w:r>
    </w:p>
    <w:p w:rsidR="00046FC1" w:rsidRPr="00D30145" w:rsidP="00046FC1" w14:paraId="0AAE826B" w14:textId="77777777">
      <w:pPr>
        <w:pStyle w:val="NormalWeb"/>
        <w:spacing w:before="0" w:beforeAutospacing="0" w:after="0" w:afterAutospacing="0"/>
        <w:jc w:val="both"/>
        <w:rPr>
          <w:rFonts w:ascii="Cambria" w:hAnsi="Cambria"/>
        </w:rPr>
      </w:pPr>
    </w:p>
    <w:p w:rsidR="00F434B6" w:rsidP="00ED08E0" w14:paraId="78704D25" w14:textId="77777777">
      <w:pPr>
        <w:pStyle w:val="NormalWeb"/>
        <w:numPr>
          <w:ilvl w:val="1"/>
          <w:numId w:val="2"/>
        </w:numPr>
        <w:spacing w:before="0" w:beforeAutospacing="0" w:after="0" w:afterAutospacing="0"/>
        <w:ind w:left="360"/>
        <w:jc w:val="both"/>
        <w:rPr>
          <w:rFonts w:ascii="Cambria" w:hAnsi="Cambria"/>
        </w:rPr>
      </w:pPr>
      <w:r w:rsidRPr="00D30145">
        <w:rPr>
          <w:rFonts w:ascii="Cambria" w:hAnsi="Cambria"/>
        </w:rPr>
        <w:t>Provide names and telephone number of individual(s) consulted on statistical aspects of the design.</w:t>
      </w:r>
    </w:p>
    <w:p w:rsidR="00046FC1" w:rsidRPr="00D30145" w:rsidP="00046FC1" w14:paraId="70F4948B" w14:textId="77777777">
      <w:pPr>
        <w:pStyle w:val="NormalWeb"/>
        <w:spacing w:before="0" w:beforeAutospacing="0" w:after="0" w:afterAutospacing="0"/>
        <w:jc w:val="both"/>
        <w:rPr>
          <w:rFonts w:ascii="Cambria" w:hAnsi="Cambria"/>
        </w:rPr>
      </w:pPr>
    </w:p>
    <w:p w:rsidR="00046FC1" w:rsidRPr="00791922" w:rsidP="00046FC1" w14:paraId="2641DEB7" w14:textId="44F67B72">
      <w:pPr>
        <w:pStyle w:val="DocParagraphOutlineLevel3"/>
        <w:numPr>
          <w:ilvl w:val="0"/>
          <w:numId w:val="6"/>
        </w:numPr>
        <w:tabs>
          <w:tab w:val="left" w:pos="720"/>
        </w:tabs>
        <w:spacing w:before="0" w:after="0"/>
        <w:rPr>
          <w:rStyle w:val="Hyperlink"/>
          <w:rFonts w:ascii="Cambria" w:hAnsi="Cambria"/>
          <w:color w:val="auto"/>
          <w:u w:val="none"/>
        </w:rPr>
      </w:pPr>
      <w:r w:rsidRPr="00D30145">
        <w:rPr>
          <w:rFonts w:ascii="Cambria" w:hAnsi="Cambria"/>
        </w:rPr>
        <w:t xml:space="preserve">Dr. </w:t>
      </w:r>
      <w:r w:rsidRPr="00D30145" w:rsidR="00C55A6F">
        <w:rPr>
          <w:rFonts w:ascii="Cambria" w:hAnsi="Cambria"/>
        </w:rPr>
        <w:t>Zhiwei</w:t>
      </w:r>
      <w:r w:rsidRPr="00D30145" w:rsidR="00231DF5">
        <w:rPr>
          <w:rFonts w:ascii="Cambria" w:hAnsi="Cambria"/>
        </w:rPr>
        <w:t xml:space="preserve"> Zhang, </w:t>
      </w:r>
      <w:r w:rsidRPr="00D30145" w:rsidR="00C9367D">
        <w:rPr>
          <w:rFonts w:ascii="Cambria" w:hAnsi="Cambria"/>
        </w:rPr>
        <w:t xml:space="preserve">Chief Survey Methodology and Analytics, </w:t>
      </w:r>
      <w:r w:rsidRPr="00D30145" w:rsidR="00D833D5">
        <w:rPr>
          <w:rFonts w:ascii="Cambria" w:hAnsi="Cambria"/>
        </w:rPr>
        <w:t>Statistical Methods Branch – OPA</w:t>
      </w:r>
      <w:r w:rsidRPr="00D30145" w:rsidR="00492562">
        <w:rPr>
          <w:rFonts w:ascii="Cambria" w:hAnsi="Cambria"/>
        </w:rPr>
        <w:t xml:space="preserve">, </w:t>
      </w:r>
      <w:hyperlink r:id="rId9" w:history="1">
        <w:r w:rsidRPr="00D30145" w:rsidR="000F3F2A">
          <w:rPr>
            <w:rStyle w:val="Hyperlink"/>
            <w:rFonts w:ascii="Cambria" w:hAnsi="Cambria"/>
            <w:color w:val="auto"/>
          </w:rPr>
          <w:t>zhiwei.zhang.civ@mail.mil</w:t>
        </w:r>
      </w:hyperlink>
    </w:p>
    <w:p w:rsidR="00791922" w:rsidRPr="00791922" w:rsidP="00791922" w14:paraId="5972D0D3" w14:textId="6D4A0EF8">
      <w:pPr>
        <w:pStyle w:val="DocParagraphOutlineLevel3"/>
        <w:numPr>
          <w:ilvl w:val="0"/>
          <w:numId w:val="6"/>
        </w:numPr>
        <w:tabs>
          <w:tab w:val="left" w:pos="720"/>
        </w:tabs>
        <w:spacing w:before="0" w:after="0"/>
        <w:rPr>
          <w:rStyle w:val="Hyperlink"/>
          <w:rFonts w:ascii="Cambria" w:hAnsi="Cambria"/>
          <w:color w:val="auto"/>
          <w:u w:val="none"/>
        </w:rPr>
      </w:pPr>
      <w:r w:rsidRPr="00D30145">
        <w:rPr>
          <w:rFonts w:ascii="Cambria" w:hAnsi="Cambria"/>
        </w:rPr>
        <w:t xml:space="preserve">Mr. Stephen Busselberg, Associate Director – STAT, </w:t>
      </w:r>
      <w:r w:rsidRPr="00D30145">
        <w:rPr>
          <w:rFonts w:ascii="Cambria" w:hAnsi="Cambria"/>
        </w:rPr>
        <w:t>Fors</w:t>
      </w:r>
      <w:r w:rsidRPr="00D30145">
        <w:rPr>
          <w:rFonts w:ascii="Cambria" w:hAnsi="Cambria"/>
        </w:rPr>
        <w:t xml:space="preserve"> Marsh, </w:t>
      </w:r>
      <w:hyperlink r:id="rId10" w:history="1">
        <w:r w:rsidRPr="00D30145">
          <w:rPr>
            <w:rStyle w:val="Hyperlink"/>
            <w:rFonts w:ascii="Cambria" w:hAnsi="Cambria"/>
            <w:color w:val="auto"/>
          </w:rPr>
          <w:t>sbusselberg@forsmarsh.com</w:t>
        </w:r>
      </w:hyperlink>
    </w:p>
    <w:p w:rsidR="00046FC1" w:rsidRPr="00D30145" w:rsidP="00046FC1" w14:paraId="3B6089A4" w14:textId="77777777">
      <w:pPr>
        <w:pStyle w:val="DocParagraphOutlineLevel3"/>
        <w:numPr>
          <w:ilvl w:val="0"/>
          <w:numId w:val="0"/>
        </w:numPr>
        <w:tabs>
          <w:tab w:val="left" w:pos="720"/>
        </w:tabs>
        <w:spacing w:before="0" w:after="0"/>
        <w:rPr>
          <w:rFonts w:ascii="Cambria" w:hAnsi="Cambria"/>
        </w:rPr>
      </w:pPr>
    </w:p>
    <w:p w:rsidR="00F1447C" w:rsidP="00ED08E0" w14:paraId="663557A4" w14:textId="77777777">
      <w:pPr>
        <w:pStyle w:val="NormalWeb"/>
        <w:numPr>
          <w:ilvl w:val="1"/>
          <w:numId w:val="2"/>
        </w:numPr>
        <w:spacing w:before="0" w:beforeAutospacing="0" w:after="0" w:afterAutospacing="0"/>
        <w:ind w:left="360"/>
        <w:jc w:val="both"/>
        <w:rPr>
          <w:rFonts w:ascii="Cambria" w:hAnsi="Cambria"/>
        </w:rPr>
      </w:pPr>
      <w:r w:rsidRPr="00D30145">
        <w:rPr>
          <w:rFonts w:ascii="Cambria" w:hAnsi="Cambria"/>
        </w:rPr>
        <w:t>Provide name and organization of person(s) who will actually collect and analyze the collected information.</w:t>
      </w:r>
    </w:p>
    <w:p w:rsidR="00046FC1" w:rsidRPr="00D30145" w:rsidP="00046FC1" w14:paraId="0FF6E5DE" w14:textId="77777777">
      <w:pPr>
        <w:pStyle w:val="NormalWeb"/>
        <w:spacing w:before="0" w:beforeAutospacing="0" w:after="0" w:afterAutospacing="0"/>
        <w:jc w:val="both"/>
        <w:rPr>
          <w:rFonts w:ascii="Cambria" w:hAnsi="Cambria"/>
        </w:rPr>
      </w:pPr>
    </w:p>
    <w:p w:rsidR="00A919A6" w:rsidP="00ED08E0" w14:paraId="277012E9" w14:textId="7B01D365">
      <w:pPr>
        <w:pStyle w:val="NormalWeb"/>
        <w:spacing w:before="0" w:beforeAutospacing="0" w:after="0" w:afterAutospacing="0" w:line="288" w:lineRule="atLeast"/>
        <w:rPr>
          <w:rFonts w:ascii="Cambria" w:hAnsi="Cambria"/>
        </w:rPr>
      </w:pPr>
      <w:r w:rsidRPr="00D30145">
        <w:rPr>
          <w:rFonts w:ascii="Cambria" w:hAnsi="Cambria"/>
        </w:rPr>
        <w:t xml:space="preserve">Data will be collected by Data Recognition Corporation, OPA’s operations contractor. </w:t>
      </w:r>
      <w:r w:rsidR="001174BE">
        <w:rPr>
          <w:rFonts w:ascii="Cambria" w:hAnsi="Cambria"/>
        </w:rPr>
        <w:t xml:space="preserve"> </w:t>
      </w:r>
      <w:r w:rsidRPr="00D30145">
        <w:rPr>
          <w:rFonts w:ascii="Cambria" w:hAnsi="Cambria"/>
        </w:rPr>
        <w:t>Contact information is listed below.</w:t>
      </w:r>
    </w:p>
    <w:p w:rsidR="00046FC1" w:rsidRPr="00D30145" w:rsidP="00ED08E0" w14:paraId="7B0C04F0" w14:textId="77777777">
      <w:pPr>
        <w:pStyle w:val="NormalWeb"/>
        <w:spacing w:before="0" w:beforeAutospacing="0" w:after="0" w:afterAutospacing="0" w:line="288" w:lineRule="atLeast"/>
        <w:rPr>
          <w:rFonts w:ascii="Cambria" w:hAnsi="Cambria"/>
        </w:rPr>
      </w:pPr>
    </w:p>
    <w:p w:rsidR="00A919A6" w:rsidRPr="00D30145" w:rsidP="00ED08E0" w14:paraId="11923071" w14:textId="60C217EF">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Ms. Valerie Waller, </w:t>
      </w:r>
      <w:r w:rsidRPr="00D30145" w:rsidR="002B7736">
        <w:rPr>
          <w:rFonts w:ascii="Cambria" w:hAnsi="Cambria"/>
        </w:rPr>
        <w:t>Vice President</w:t>
      </w:r>
      <w:r w:rsidRPr="00D30145">
        <w:rPr>
          <w:rFonts w:ascii="Cambria" w:hAnsi="Cambria"/>
        </w:rPr>
        <w:t xml:space="preserve">, Data Recognition Corporation, </w:t>
      </w:r>
      <w:hyperlink r:id="rId11" w:history="1">
        <w:r w:rsidRPr="00D30145" w:rsidR="00E657FF">
          <w:rPr>
            <w:rStyle w:val="Hyperlink"/>
            <w:rFonts w:ascii="Cambria" w:hAnsi="Cambria"/>
            <w:color w:val="auto"/>
          </w:rPr>
          <w:t>valerie.waller@datarecognitioncorps.com</w:t>
        </w:r>
      </w:hyperlink>
    </w:p>
    <w:p w:rsidR="00C55A6F" w:rsidRPr="00D30145" w:rsidP="00ED08E0" w14:paraId="2ED6C5A6" w14:textId="062C6B09">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Mr. </w:t>
      </w:r>
      <w:r w:rsidRPr="00D30145">
        <w:rPr>
          <w:rFonts w:ascii="Cambria" w:hAnsi="Cambria"/>
        </w:rPr>
        <w:t>Mi</w:t>
      </w:r>
      <w:r w:rsidRPr="00D30145">
        <w:rPr>
          <w:rFonts w:ascii="Cambria" w:hAnsi="Cambria"/>
        </w:rPr>
        <w:t>chael Knutson, Director – Surveys, Data Recognition Corpor</w:t>
      </w:r>
      <w:r w:rsidRPr="00D30145" w:rsidR="003475C6">
        <w:rPr>
          <w:rFonts w:ascii="Cambria" w:hAnsi="Cambria"/>
        </w:rPr>
        <w:t xml:space="preserve">ation, </w:t>
      </w:r>
      <w:hyperlink r:id="rId12" w:history="1">
        <w:r w:rsidRPr="00D30145" w:rsidR="003475C6">
          <w:rPr>
            <w:rStyle w:val="Hyperlink"/>
            <w:rFonts w:ascii="Cambria" w:hAnsi="Cambria"/>
            <w:color w:val="auto"/>
          </w:rPr>
          <w:t>mknutson@datarecognitioncorp.com</w:t>
        </w:r>
      </w:hyperlink>
    </w:p>
    <w:p w:rsidR="00046FC1" w:rsidP="00046FC1" w14:paraId="35AB2741" w14:textId="29CDB02B">
      <w:pPr>
        <w:pStyle w:val="NormalWeb"/>
        <w:numPr>
          <w:ilvl w:val="0"/>
          <w:numId w:val="5"/>
        </w:numPr>
        <w:spacing w:before="0" w:beforeAutospacing="0" w:after="0" w:afterAutospacing="0" w:line="288" w:lineRule="atLeast"/>
        <w:rPr>
          <w:rStyle w:val="Hyperlink"/>
          <w:rFonts w:ascii="Cambria" w:hAnsi="Cambria"/>
          <w:color w:val="auto"/>
          <w:u w:val="none"/>
        </w:rPr>
      </w:pPr>
      <w:r w:rsidRPr="00D30145">
        <w:rPr>
          <w:rFonts w:ascii="Cambria" w:hAnsi="Cambria"/>
        </w:rPr>
        <w:t xml:space="preserve">Mr. </w:t>
      </w:r>
      <w:r w:rsidRPr="00D30145" w:rsidR="00C55A6F">
        <w:rPr>
          <w:rFonts w:ascii="Cambria" w:hAnsi="Cambria"/>
        </w:rPr>
        <w:t>Brad</w:t>
      </w:r>
      <w:r w:rsidRPr="00D30145" w:rsidR="00E32EEB">
        <w:rPr>
          <w:rFonts w:ascii="Cambria" w:hAnsi="Cambria"/>
        </w:rPr>
        <w:t xml:space="preserve"> </w:t>
      </w:r>
      <w:r w:rsidRPr="00D30145" w:rsidR="00DD39B4">
        <w:rPr>
          <w:rFonts w:ascii="Cambria" w:hAnsi="Cambria"/>
        </w:rPr>
        <w:t xml:space="preserve">Goenner, </w:t>
      </w:r>
      <w:r w:rsidRPr="00D30145" w:rsidR="009F71D9">
        <w:rPr>
          <w:rFonts w:ascii="Cambria" w:hAnsi="Cambria"/>
        </w:rPr>
        <w:t xml:space="preserve">Senior Business Analyst, </w:t>
      </w:r>
      <w:r w:rsidRPr="00D30145" w:rsidR="00E657FF">
        <w:rPr>
          <w:rFonts w:ascii="Cambria" w:hAnsi="Cambria"/>
        </w:rPr>
        <w:t xml:space="preserve">Data Recognition Corporation, </w:t>
      </w:r>
      <w:hyperlink r:id="rId13" w:history="1">
        <w:r w:rsidRPr="00D30145" w:rsidR="000E07DC">
          <w:rPr>
            <w:rStyle w:val="Hyperlink"/>
            <w:rFonts w:ascii="Cambria" w:hAnsi="Cambria"/>
            <w:color w:val="auto"/>
          </w:rPr>
          <w:t>bgoenner@datarecognitioncorp.com</w:t>
        </w:r>
      </w:hyperlink>
    </w:p>
    <w:p w:rsidR="00046FC1" w:rsidRPr="00046FC1" w:rsidP="00046FC1" w14:paraId="4BA6700E" w14:textId="77777777">
      <w:pPr>
        <w:pStyle w:val="NormalWeb"/>
        <w:spacing w:before="0" w:beforeAutospacing="0" w:after="0" w:afterAutospacing="0" w:line="288" w:lineRule="atLeast"/>
        <w:rPr>
          <w:rFonts w:ascii="Cambria" w:hAnsi="Cambria"/>
        </w:rPr>
      </w:pPr>
    </w:p>
    <w:p w:rsidR="00A919A6" w:rsidP="00ED08E0" w14:paraId="30591094" w14:textId="77777777">
      <w:pPr>
        <w:pStyle w:val="NormalWeb"/>
        <w:spacing w:before="0" w:beforeAutospacing="0" w:after="0" w:afterAutospacing="0" w:line="288" w:lineRule="atLeast"/>
        <w:rPr>
          <w:rFonts w:ascii="Cambria" w:hAnsi="Cambria"/>
        </w:rPr>
      </w:pPr>
      <w:r w:rsidRPr="00D30145">
        <w:rPr>
          <w:rFonts w:ascii="Cambria" w:hAnsi="Cambria"/>
        </w:rPr>
        <w:t>Data will be analyzed by OPA social scientists &amp; analysts.  Contact information is listed below.</w:t>
      </w:r>
    </w:p>
    <w:p w:rsidR="00046FC1" w:rsidRPr="00D30145" w:rsidP="00ED08E0" w14:paraId="004F5419" w14:textId="77777777">
      <w:pPr>
        <w:pStyle w:val="NormalWeb"/>
        <w:spacing w:before="0" w:beforeAutospacing="0" w:after="0" w:afterAutospacing="0" w:line="288" w:lineRule="atLeast"/>
        <w:rPr>
          <w:rFonts w:ascii="Cambria" w:hAnsi="Cambria"/>
        </w:rPr>
      </w:pPr>
    </w:p>
    <w:p w:rsidR="00A919A6" w:rsidRPr="00D30145" w:rsidP="00ED08E0" w14:paraId="63DDDA13" w14:textId="11B0296C">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w:t>
      </w:r>
      <w:r w:rsidRPr="00D30145" w:rsidR="00997E5E">
        <w:rPr>
          <w:rFonts w:ascii="Cambria" w:hAnsi="Cambria"/>
        </w:rPr>
        <w:t>Rachel Lipari</w:t>
      </w:r>
      <w:r w:rsidRPr="00D30145">
        <w:rPr>
          <w:rFonts w:ascii="Cambria" w:hAnsi="Cambria"/>
        </w:rPr>
        <w:t xml:space="preserve">, Chief of </w:t>
      </w:r>
      <w:r w:rsidRPr="00D30145" w:rsidR="00997E5E">
        <w:rPr>
          <w:rFonts w:ascii="Cambria" w:hAnsi="Cambria"/>
        </w:rPr>
        <w:t>Military Sociology</w:t>
      </w:r>
      <w:r w:rsidRPr="00D30145">
        <w:rPr>
          <w:rFonts w:ascii="Cambria" w:hAnsi="Cambria"/>
        </w:rPr>
        <w:t xml:space="preserve">, Health &amp; Resilience Research Division – OPA, </w:t>
      </w:r>
      <w:hyperlink r:id="rId14" w:history="1">
        <w:r w:rsidRPr="00D30145" w:rsidR="001E3291">
          <w:rPr>
            <w:rStyle w:val="Hyperlink"/>
            <w:rFonts w:ascii="Cambria" w:hAnsi="Cambria"/>
            <w:color w:val="auto"/>
          </w:rPr>
          <w:t>rachel.n.lipari.civ@mail.mil</w:t>
        </w:r>
      </w:hyperlink>
    </w:p>
    <w:p w:rsidR="00997E5E" w:rsidRPr="00D30145" w:rsidP="00ED08E0" w14:paraId="510402B6" w14:textId="1552AA35">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Austin Lawhead, Senior Applied Anthropologist, Health &amp; Resilience Research Division – OPA, </w:t>
      </w:r>
      <w:hyperlink r:id="rId15" w:history="1">
        <w:r w:rsidRPr="00D30145" w:rsidR="001E3291">
          <w:rPr>
            <w:rStyle w:val="Hyperlink"/>
            <w:rFonts w:ascii="Cambria" w:hAnsi="Cambria"/>
            <w:color w:val="auto"/>
          </w:rPr>
          <w:t>austin.r.lawhead.civ@mail.mil</w:t>
        </w:r>
      </w:hyperlink>
    </w:p>
    <w:p w:rsidR="00A919A6" w:rsidRPr="00D30145" w:rsidP="00ED08E0" w14:paraId="21E8EAF8" w14:textId="50221A5F">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Ashlea Klahr, Director, Health &amp; Resilience Research Division – OPA, </w:t>
      </w:r>
      <w:hyperlink r:id="rId16" w:history="1">
        <w:r w:rsidRPr="00D30145" w:rsidR="001E3291">
          <w:rPr>
            <w:rStyle w:val="Hyperlink"/>
            <w:rFonts w:ascii="Cambria" w:hAnsi="Cambria"/>
            <w:color w:val="auto"/>
          </w:rPr>
          <w:t>ashlea.m.klahr.civ@mail.mil</w:t>
        </w:r>
      </w:hyperlink>
    </w:p>
    <w:p w:rsidR="00C55A6F" w:rsidRPr="00D30145" w:rsidP="00ED08E0" w14:paraId="08EF560C" w14:textId="5B563182">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w:t>
      </w:r>
      <w:r w:rsidRPr="00D30145" w:rsidR="001B0413">
        <w:rPr>
          <w:rFonts w:ascii="Cambria" w:hAnsi="Cambria"/>
        </w:rPr>
        <w:t xml:space="preserve">Abigail Moore, </w:t>
      </w:r>
      <w:r w:rsidRPr="00D30145" w:rsidR="00CF0873">
        <w:rPr>
          <w:rFonts w:ascii="Cambria" w:hAnsi="Cambria"/>
        </w:rPr>
        <w:t xml:space="preserve">Senior Researcher, Health &amp; Resilience Research Division – OPA, </w:t>
      </w:r>
      <w:r w:rsidRPr="00D30145" w:rsidR="001B0413">
        <w:rPr>
          <w:rFonts w:ascii="Cambria" w:hAnsi="Cambria"/>
        </w:rPr>
        <w:t>abigail.e.moore10.civ@mail.mil</w:t>
      </w:r>
    </w:p>
    <w:p w:rsidR="00E629EF" w:rsidRPr="00D30145" w:rsidP="00ED08E0" w14:paraId="217EC968" w14:textId="721B20EA">
      <w:pPr>
        <w:pStyle w:val="NormalWeb"/>
        <w:numPr>
          <w:ilvl w:val="0"/>
          <w:numId w:val="5"/>
        </w:numPr>
        <w:spacing w:before="0" w:beforeAutospacing="0" w:after="0" w:afterAutospacing="0" w:line="288" w:lineRule="atLeast"/>
        <w:rPr>
          <w:rFonts w:ascii="Cambria" w:hAnsi="Cambria"/>
        </w:rPr>
      </w:pPr>
      <w:r w:rsidRPr="00D30145">
        <w:rPr>
          <w:rFonts w:ascii="Cambria" w:hAnsi="Cambria"/>
        </w:rPr>
        <w:t>J</w:t>
      </w:r>
      <w:r w:rsidRPr="00D30145" w:rsidR="00CE3643">
        <w:rPr>
          <w:rFonts w:ascii="Cambria" w:hAnsi="Cambria"/>
        </w:rPr>
        <w:t xml:space="preserve">ohn Paul Bisciotti, </w:t>
      </w:r>
      <w:r w:rsidRPr="00D30145" w:rsidR="002E7CE1">
        <w:rPr>
          <w:rFonts w:ascii="Cambria" w:hAnsi="Cambria"/>
        </w:rPr>
        <w:t xml:space="preserve">Operations Research Analyst, </w:t>
      </w:r>
      <w:r w:rsidRPr="00D30145" w:rsidR="00D34678">
        <w:rPr>
          <w:rFonts w:ascii="Cambria" w:hAnsi="Cambria"/>
        </w:rPr>
        <w:t xml:space="preserve">Statistical Methods Branch – OPA, </w:t>
      </w:r>
      <w:hyperlink r:id="rId17" w:history="1">
        <w:r w:rsidRPr="00D30145" w:rsidR="00FE6D94">
          <w:rPr>
            <w:rStyle w:val="Hyperlink"/>
            <w:rFonts w:ascii="Cambria" w:hAnsi="Cambria"/>
            <w:color w:val="auto"/>
          </w:rPr>
          <w:t>johnpaul.bisciotti.civ@mail.mil</w:t>
        </w:r>
      </w:hyperlink>
    </w:p>
    <w:p w:rsidR="00A919A6" w:rsidRPr="00D30145" w:rsidP="00ED08E0" w14:paraId="7F8AE051" w14:textId="77777777">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Ms. Lisa Davis, Deputy Director, Health &amp; Resilience Research Division – OPA, elizabeth.h.davis18.civ@mail.mil </w:t>
      </w:r>
    </w:p>
    <w:p w:rsidR="00EF61E1" w:rsidRPr="00D30145" w:rsidP="00ED08E0" w14:paraId="20D555FA" w14:textId="382A6030">
      <w:pPr>
        <w:pStyle w:val="NormalWeb"/>
        <w:numPr>
          <w:ilvl w:val="0"/>
          <w:numId w:val="5"/>
        </w:numPr>
        <w:spacing w:before="0" w:beforeAutospacing="0" w:after="0" w:afterAutospacing="0" w:line="288" w:lineRule="atLeast"/>
        <w:rPr>
          <w:rFonts w:ascii="Cambria" w:hAnsi="Cambria"/>
        </w:rPr>
      </w:pPr>
      <w:r w:rsidRPr="00D30145">
        <w:rPr>
          <w:rFonts w:ascii="Cambria" w:hAnsi="Cambria"/>
        </w:rPr>
        <w:t>Dr. Anna Sheveland, Managing Researcher, Mil</w:t>
      </w:r>
      <w:r w:rsidRPr="00D30145" w:rsidR="00E61C8F">
        <w:rPr>
          <w:rFonts w:ascii="Cambria" w:hAnsi="Cambria"/>
        </w:rPr>
        <w:t xml:space="preserve">itary Workplace Climate Research – </w:t>
      </w:r>
      <w:r w:rsidRPr="00D30145" w:rsidR="00E61C8F">
        <w:rPr>
          <w:rFonts w:ascii="Cambria" w:hAnsi="Cambria"/>
        </w:rPr>
        <w:t>Fors</w:t>
      </w:r>
      <w:r w:rsidRPr="00D30145" w:rsidR="00E61C8F">
        <w:rPr>
          <w:rFonts w:ascii="Cambria" w:hAnsi="Cambria"/>
        </w:rPr>
        <w:t xml:space="preserve"> Marsh, </w:t>
      </w:r>
      <w:hyperlink r:id="rId18" w:history="1">
        <w:r w:rsidRPr="00D30145" w:rsidR="001E3291">
          <w:rPr>
            <w:rStyle w:val="Hyperlink"/>
            <w:rFonts w:ascii="Cambria" w:hAnsi="Cambria"/>
            <w:color w:val="auto"/>
          </w:rPr>
          <w:t>asheveland@forsmarsh.com</w:t>
        </w:r>
      </w:hyperlink>
    </w:p>
    <w:p w:rsidR="001E3291" w:rsidRPr="00D30145" w:rsidP="00ED08E0" w14:paraId="7F4B9893" w14:textId="47296780">
      <w:pPr>
        <w:pStyle w:val="NormalWeb"/>
        <w:numPr>
          <w:ilvl w:val="0"/>
          <w:numId w:val="5"/>
        </w:numPr>
        <w:spacing w:before="0" w:beforeAutospacing="0" w:after="0" w:afterAutospacing="0" w:line="288" w:lineRule="atLeast"/>
        <w:rPr>
          <w:rFonts w:ascii="Cambria" w:hAnsi="Cambria"/>
        </w:rPr>
      </w:pPr>
      <w:r w:rsidRPr="00D30145">
        <w:rPr>
          <w:rFonts w:ascii="Cambria" w:hAnsi="Cambria"/>
        </w:rPr>
        <w:t>Ms.</w:t>
      </w:r>
      <w:r w:rsidRPr="00D30145" w:rsidR="00CA7E4D">
        <w:rPr>
          <w:rFonts w:ascii="Cambria" w:hAnsi="Cambria"/>
        </w:rPr>
        <w:t xml:space="preserve"> </w:t>
      </w:r>
      <w:r w:rsidRPr="00D30145">
        <w:rPr>
          <w:rFonts w:ascii="Cambria" w:hAnsi="Cambria"/>
        </w:rPr>
        <w:t xml:space="preserve">Amanda Barry, Director, Military </w:t>
      </w:r>
      <w:r w:rsidRPr="00D30145" w:rsidR="00623D00">
        <w:rPr>
          <w:rFonts w:ascii="Cambria" w:hAnsi="Cambria"/>
        </w:rPr>
        <w:t>Workplace Climate</w:t>
      </w:r>
      <w:r w:rsidRPr="00D30145">
        <w:rPr>
          <w:rFonts w:ascii="Cambria" w:hAnsi="Cambria"/>
        </w:rPr>
        <w:t xml:space="preserve"> Research – </w:t>
      </w:r>
      <w:r w:rsidRPr="00D30145">
        <w:rPr>
          <w:rFonts w:ascii="Cambria" w:hAnsi="Cambria"/>
        </w:rPr>
        <w:t>Fors</w:t>
      </w:r>
      <w:r w:rsidRPr="00D30145">
        <w:rPr>
          <w:rFonts w:ascii="Cambria" w:hAnsi="Cambria"/>
        </w:rPr>
        <w:t xml:space="preserve"> Marsh Group, </w:t>
      </w:r>
      <w:hyperlink r:id="rId19" w:history="1">
        <w:r w:rsidRPr="00D30145" w:rsidR="00AA21B7">
          <w:rPr>
            <w:rFonts w:ascii="Cambria" w:hAnsi="Cambria"/>
          </w:rPr>
          <w:t>amanda.j.barry2.ctr@mail.mil</w:t>
        </w:r>
      </w:hyperlink>
    </w:p>
    <w:p w:rsidR="000E5B03" w:rsidRPr="00D30145" w:rsidP="00ED08E0" w14:paraId="5A9985F7" w14:textId="17793D5B">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Sela Harcey, Senior Researcher, Military Workplace Climate Research – </w:t>
      </w:r>
      <w:r w:rsidRPr="00D30145">
        <w:rPr>
          <w:rFonts w:ascii="Cambria" w:hAnsi="Cambria"/>
        </w:rPr>
        <w:t>Fors</w:t>
      </w:r>
      <w:r w:rsidRPr="00D30145">
        <w:rPr>
          <w:rFonts w:ascii="Cambria" w:hAnsi="Cambria"/>
        </w:rPr>
        <w:t xml:space="preserve"> Marsh, </w:t>
      </w:r>
      <w:hyperlink r:id="rId20" w:history="1">
        <w:r w:rsidRPr="00D30145" w:rsidR="001E3291">
          <w:rPr>
            <w:rStyle w:val="Hyperlink"/>
            <w:rFonts w:ascii="Cambria" w:hAnsi="Cambria"/>
            <w:color w:val="auto"/>
          </w:rPr>
          <w:t>sela.r.harcey.ctr@mail.mil</w:t>
        </w:r>
      </w:hyperlink>
    </w:p>
    <w:p w:rsidR="008A019F" w:rsidRPr="00D30145" w:rsidP="00ED08E0" w14:paraId="1B794543" w14:textId="5BE24212">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Rachel Trump-Steele, </w:t>
      </w:r>
      <w:r w:rsidRPr="00D30145">
        <w:rPr>
          <w:rFonts w:ascii="Cambria" w:hAnsi="Cambria"/>
        </w:rPr>
        <w:t xml:space="preserve">Senior Researcher, Military Workplace Climate Research – </w:t>
      </w:r>
      <w:r w:rsidRPr="00D30145">
        <w:rPr>
          <w:rFonts w:ascii="Cambria" w:hAnsi="Cambria"/>
        </w:rPr>
        <w:t>Fors</w:t>
      </w:r>
      <w:r w:rsidRPr="00D30145">
        <w:rPr>
          <w:rFonts w:ascii="Cambria" w:hAnsi="Cambria"/>
        </w:rPr>
        <w:t xml:space="preserve"> Marsh,</w:t>
      </w:r>
      <w:r w:rsidRPr="00D30145" w:rsidR="0088582F">
        <w:rPr>
          <w:rFonts w:ascii="Cambria" w:hAnsi="Cambria"/>
        </w:rPr>
        <w:t xml:space="preserve"> </w:t>
      </w:r>
      <w:hyperlink r:id="rId21" w:history="1">
        <w:r w:rsidRPr="00D30145" w:rsidR="001E3291">
          <w:rPr>
            <w:rStyle w:val="Hyperlink"/>
            <w:rFonts w:ascii="Cambria" w:hAnsi="Cambria"/>
            <w:color w:val="auto"/>
          </w:rPr>
          <w:t>rachel.c.trump-steele.ctr@mail.mil</w:t>
        </w:r>
      </w:hyperlink>
    </w:p>
    <w:p w:rsidR="0088582F" w:rsidRPr="00D30145" w:rsidP="00ED08E0" w14:paraId="22F46F8D" w14:textId="20E650DE">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Marissa Oliver, </w:t>
      </w:r>
      <w:r w:rsidRPr="00D30145" w:rsidR="00EB6011">
        <w:rPr>
          <w:rFonts w:ascii="Cambria" w:hAnsi="Cambria"/>
        </w:rPr>
        <w:t xml:space="preserve">Quantitative </w:t>
      </w:r>
      <w:r w:rsidRPr="00D30145">
        <w:rPr>
          <w:rFonts w:ascii="Cambria" w:hAnsi="Cambria"/>
        </w:rPr>
        <w:t xml:space="preserve">Research Associate, Military Workplace Climate Research – </w:t>
      </w:r>
      <w:r w:rsidRPr="00D30145">
        <w:rPr>
          <w:rFonts w:ascii="Cambria" w:hAnsi="Cambria"/>
        </w:rPr>
        <w:t>Fors</w:t>
      </w:r>
      <w:r w:rsidRPr="00D30145">
        <w:rPr>
          <w:rFonts w:ascii="Cambria" w:hAnsi="Cambria"/>
        </w:rPr>
        <w:t xml:space="preserve"> Marsh, </w:t>
      </w:r>
      <w:hyperlink r:id="rId22" w:history="1">
        <w:r w:rsidRPr="00D30145" w:rsidR="001E3291">
          <w:rPr>
            <w:rStyle w:val="Hyperlink"/>
            <w:rFonts w:ascii="Cambria" w:hAnsi="Cambria"/>
            <w:color w:val="auto"/>
          </w:rPr>
          <w:t>marissa.l.oliver2.ctr@mail.mil</w:t>
        </w:r>
      </w:hyperlink>
    </w:p>
    <w:p w:rsidR="000E5B03" w:rsidRPr="00D30145" w:rsidP="00ED08E0" w14:paraId="65E9C194" w14:textId="6D82825B">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Tina Killoran, Senior Researcher, Military Workplace Climate Research – </w:t>
      </w:r>
      <w:r w:rsidRPr="00D30145">
        <w:rPr>
          <w:rFonts w:ascii="Cambria" w:hAnsi="Cambria"/>
        </w:rPr>
        <w:t>Fors</w:t>
      </w:r>
      <w:r w:rsidRPr="00D30145">
        <w:rPr>
          <w:rFonts w:ascii="Cambria" w:hAnsi="Cambria"/>
        </w:rPr>
        <w:t xml:space="preserve"> Marsh, </w:t>
      </w:r>
      <w:hyperlink r:id="rId23" w:history="1">
        <w:r w:rsidRPr="00D30145" w:rsidR="00AD00FE">
          <w:rPr>
            <w:rStyle w:val="Hyperlink"/>
            <w:rFonts w:ascii="Cambria" w:hAnsi="Cambria"/>
            <w:color w:val="auto"/>
          </w:rPr>
          <w:t>tina.c.killoran.ctr@mail.mil</w:t>
        </w:r>
      </w:hyperlink>
    </w:p>
    <w:p w:rsidR="00AD00FE" w:rsidRPr="00D30145" w:rsidP="00ED08E0" w14:paraId="0E5E4ACC" w14:textId="51634A2E">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Ms. Alyssa McHoes, Research Analyst, Military Workplace Climate Research – </w:t>
      </w:r>
      <w:r w:rsidRPr="00D30145">
        <w:rPr>
          <w:rFonts w:ascii="Cambria" w:hAnsi="Cambria"/>
        </w:rPr>
        <w:t>Fors</w:t>
      </w:r>
      <w:r w:rsidRPr="00D30145">
        <w:rPr>
          <w:rFonts w:ascii="Cambria" w:hAnsi="Cambria"/>
        </w:rPr>
        <w:t xml:space="preserve"> Marsh, </w:t>
      </w:r>
      <w:hyperlink r:id="rId24" w:history="1">
        <w:r w:rsidRPr="00D30145" w:rsidR="006608D3">
          <w:rPr>
            <w:rStyle w:val="Hyperlink"/>
            <w:rFonts w:ascii="Cambria" w:hAnsi="Cambria"/>
            <w:color w:val="auto"/>
          </w:rPr>
          <w:t>alyssa.n.mchoes.ctr@mail.mil</w:t>
        </w:r>
      </w:hyperlink>
    </w:p>
    <w:p w:rsidR="006608D3" w:rsidRPr="00D30145" w:rsidP="00ED08E0" w14:paraId="5975B0C1" w14:textId="25A343B1">
      <w:pPr>
        <w:pStyle w:val="NormalWeb"/>
        <w:numPr>
          <w:ilvl w:val="0"/>
          <w:numId w:val="5"/>
        </w:numPr>
        <w:spacing w:before="0" w:beforeAutospacing="0" w:after="0" w:afterAutospacing="0" w:line="288" w:lineRule="atLeast"/>
        <w:rPr>
          <w:rFonts w:ascii="Cambria" w:hAnsi="Cambria"/>
        </w:rPr>
      </w:pPr>
      <w:r w:rsidRPr="00D30145">
        <w:rPr>
          <w:rFonts w:ascii="Cambria" w:hAnsi="Cambria"/>
        </w:rPr>
        <w:t>Mr. Willie Cosner, Research Analyst, Mil</w:t>
      </w:r>
      <w:r w:rsidRPr="00D30145" w:rsidR="00955EB1">
        <w:rPr>
          <w:rFonts w:ascii="Cambria" w:hAnsi="Cambria"/>
        </w:rPr>
        <w:t xml:space="preserve">itary Workplace Climate Research – </w:t>
      </w:r>
      <w:r w:rsidRPr="00D30145" w:rsidR="00955EB1">
        <w:rPr>
          <w:rFonts w:ascii="Cambria" w:hAnsi="Cambria"/>
        </w:rPr>
        <w:t>Fors</w:t>
      </w:r>
      <w:r w:rsidRPr="00D30145" w:rsidR="00955EB1">
        <w:rPr>
          <w:rFonts w:ascii="Cambria" w:hAnsi="Cambria"/>
        </w:rPr>
        <w:t xml:space="preserve"> Marsh, </w:t>
      </w:r>
      <w:hyperlink r:id="rId25" w:history="1">
        <w:r w:rsidRPr="00D30145" w:rsidR="001E3291">
          <w:rPr>
            <w:rStyle w:val="Hyperlink"/>
            <w:rFonts w:ascii="Cambria" w:hAnsi="Cambria"/>
            <w:color w:val="auto"/>
          </w:rPr>
          <w:t>william.p.cosner.ctr@mail.mil</w:t>
        </w:r>
      </w:hyperlink>
    </w:p>
    <w:p w:rsidR="00C31AC6" w:rsidRPr="00D30145" w:rsidP="00ED08E0" w14:paraId="09EA4E9E" w14:textId="77213F97">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Andrew </w:t>
      </w:r>
      <w:r w:rsidRPr="00D30145" w:rsidR="00EB6011">
        <w:rPr>
          <w:rFonts w:ascii="Cambria" w:hAnsi="Cambria"/>
        </w:rPr>
        <w:t xml:space="preserve">Pomerville, Research Associate, </w:t>
      </w:r>
      <w:r w:rsidRPr="00D30145" w:rsidR="00E163A3">
        <w:rPr>
          <w:rFonts w:ascii="Cambria" w:hAnsi="Cambria"/>
        </w:rPr>
        <w:t xml:space="preserve">Military Workplace Climate Research – </w:t>
      </w:r>
      <w:r w:rsidRPr="00D30145" w:rsidR="00E163A3">
        <w:rPr>
          <w:rFonts w:ascii="Cambria" w:hAnsi="Cambria"/>
        </w:rPr>
        <w:t>Fors</w:t>
      </w:r>
      <w:r w:rsidRPr="00D30145" w:rsidR="00E163A3">
        <w:rPr>
          <w:rFonts w:ascii="Cambria" w:hAnsi="Cambria"/>
        </w:rPr>
        <w:t xml:space="preserve"> Marsh, </w:t>
      </w:r>
      <w:hyperlink r:id="rId26" w:history="1">
        <w:r w:rsidRPr="00D30145">
          <w:rPr>
            <w:rStyle w:val="Hyperlink"/>
            <w:rFonts w:ascii="Cambria" w:hAnsi="Cambria"/>
            <w:color w:val="auto"/>
          </w:rPr>
          <w:t>andrew.j.pomerville.ctr@mail.mil</w:t>
        </w:r>
      </w:hyperlink>
    </w:p>
    <w:p w:rsidR="00D655FF" w:rsidRPr="00D30145" w:rsidP="00ED08E0" w14:paraId="7FED4E02" w14:textId="38D38B67">
      <w:pPr>
        <w:pStyle w:val="NormalWeb"/>
        <w:numPr>
          <w:ilvl w:val="0"/>
          <w:numId w:val="5"/>
        </w:numPr>
        <w:spacing w:before="0" w:beforeAutospacing="0" w:after="0" w:afterAutospacing="0" w:line="288" w:lineRule="atLeast"/>
        <w:rPr>
          <w:rStyle w:val="Hyperlink"/>
          <w:rFonts w:ascii="Cambria" w:hAnsi="Cambria"/>
          <w:color w:val="auto"/>
          <w:u w:val="none"/>
        </w:rPr>
      </w:pPr>
      <w:r w:rsidRPr="00D30145">
        <w:rPr>
          <w:rFonts w:ascii="Cambria" w:hAnsi="Cambria"/>
        </w:rPr>
        <w:t>Ms. Kimberly H</w:t>
      </w:r>
      <w:r w:rsidRPr="00D30145" w:rsidR="00912BC6">
        <w:rPr>
          <w:rFonts w:ascii="Cambria" w:hAnsi="Cambria"/>
        </w:rPr>
        <w:t>y</w:t>
      </w:r>
      <w:r w:rsidRPr="00D30145">
        <w:rPr>
          <w:rFonts w:ascii="Cambria" w:hAnsi="Cambria"/>
        </w:rPr>
        <w:t xml:space="preserve">lton, </w:t>
      </w:r>
      <w:r w:rsidRPr="00D30145" w:rsidR="00451611">
        <w:rPr>
          <w:rFonts w:ascii="Cambria" w:hAnsi="Cambria"/>
        </w:rPr>
        <w:t>Principal</w:t>
      </w:r>
      <w:r w:rsidRPr="00D30145" w:rsidR="00FE2EB1">
        <w:rPr>
          <w:rFonts w:ascii="Cambria" w:hAnsi="Cambria"/>
        </w:rPr>
        <w:t xml:space="preserve"> Scientist, Military Workplace Climate Research – </w:t>
      </w:r>
      <w:r w:rsidRPr="00D30145" w:rsidR="00FE2EB1">
        <w:rPr>
          <w:rFonts w:ascii="Cambria" w:hAnsi="Cambria"/>
        </w:rPr>
        <w:t>Fors</w:t>
      </w:r>
      <w:r w:rsidRPr="00D30145" w:rsidR="00FE2EB1">
        <w:rPr>
          <w:rFonts w:ascii="Cambria" w:hAnsi="Cambria"/>
        </w:rPr>
        <w:t xml:space="preserve"> Marsh, </w:t>
      </w:r>
      <w:hyperlink r:id="rId27" w:history="1">
        <w:r w:rsidRPr="00D30145">
          <w:rPr>
            <w:rStyle w:val="Hyperlink"/>
            <w:rFonts w:ascii="Cambria" w:hAnsi="Cambria"/>
            <w:color w:val="auto"/>
          </w:rPr>
          <w:t>kimberly.r.hylton.ctr@mail.mil</w:t>
        </w:r>
      </w:hyperlink>
    </w:p>
    <w:p w:rsidR="00046FC1" w:rsidRPr="00181AE3" w:rsidP="00383E62" w14:paraId="5C549D9F" w14:textId="478A7830">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Chelsea Lonergan, Research Associate, Military Workplace Climate Research – </w:t>
      </w:r>
      <w:r w:rsidRPr="00D30145">
        <w:rPr>
          <w:rFonts w:ascii="Cambria" w:hAnsi="Cambria"/>
        </w:rPr>
        <w:t>Fors</w:t>
      </w:r>
      <w:r w:rsidRPr="00D30145">
        <w:rPr>
          <w:rFonts w:ascii="Cambria" w:hAnsi="Cambria"/>
        </w:rPr>
        <w:t xml:space="preserve"> </w:t>
      </w:r>
      <w:r w:rsidRPr="00181AE3">
        <w:rPr>
          <w:rFonts w:ascii="Cambria" w:hAnsi="Cambria"/>
        </w:rPr>
        <w:t xml:space="preserve">Marsh, </w:t>
      </w:r>
      <w:hyperlink r:id="rId28" w:history="1">
        <w:r w:rsidRPr="00181AE3" w:rsidR="00FB7D29">
          <w:rPr>
            <w:rStyle w:val="Hyperlink"/>
            <w:rFonts w:ascii="Cambria" w:hAnsi="Cambria"/>
            <w:color w:val="auto"/>
          </w:rPr>
          <w:t>chelsea.a.lonergan.ctr@mail.mil</w:t>
        </w:r>
      </w:hyperlink>
    </w:p>
    <w:p w:rsidR="00383E62" w:rsidRPr="00383E62" w:rsidP="00383E62" w14:paraId="594ECC98" w14:textId="255D3C04">
      <w:pPr>
        <w:pStyle w:val="NormalWeb"/>
        <w:numPr>
          <w:ilvl w:val="0"/>
          <w:numId w:val="5"/>
        </w:numPr>
        <w:spacing w:before="0" w:beforeAutospacing="0" w:after="0" w:afterAutospacing="0" w:line="288" w:lineRule="atLeast"/>
        <w:rPr>
          <w:rFonts w:ascii="Cambria" w:hAnsi="Cambria"/>
        </w:rPr>
      </w:pPr>
      <w:r w:rsidRPr="00181AE3">
        <w:rPr>
          <w:rFonts w:ascii="Cambria" w:hAnsi="Cambria"/>
        </w:rPr>
        <w:t>Dr. Nick Mararac, Research Associate, Military Workplace Climate Research—</w:t>
      </w:r>
      <w:r w:rsidRPr="00181AE3">
        <w:rPr>
          <w:rFonts w:ascii="Cambria" w:hAnsi="Cambria"/>
        </w:rPr>
        <w:t>Fors</w:t>
      </w:r>
      <w:r w:rsidRPr="00181AE3">
        <w:rPr>
          <w:rFonts w:ascii="Cambria" w:hAnsi="Cambria"/>
        </w:rPr>
        <w:t xml:space="preserve"> Marsh, </w:t>
      </w:r>
      <w:hyperlink r:id="rId29" w:history="1">
        <w:r w:rsidRPr="00181AE3" w:rsidR="00181AE3">
          <w:rPr>
            <w:rStyle w:val="Hyperlink"/>
            <w:rFonts w:ascii="Cambria" w:hAnsi="Cambria"/>
            <w:color w:val="auto"/>
          </w:rPr>
          <w:t>nmararac@forsmarsh.com</w:t>
        </w:r>
      </w:hyperlink>
      <w:r w:rsidR="00181AE3">
        <w:rPr>
          <w:rFonts w:ascii="Cambria" w:hAnsi="Cambria"/>
        </w:rPr>
        <w:t xml:space="preserve"> </w:t>
      </w:r>
    </w:p>
    <w:sectPr w:rsidSect="00FC6F85">
      <w:footerReference w:type="default" r:id="rId3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4231BE08" w14:textId="3E2A05A6">
    <w:pPr>
      <w:pStyle w:val="Footer"/>
      <w:jc w:val="center"/>
    </w:pPr>
    <w:r>
      <w:fldChar w:fldCharType="begin"/>
    </w:r>
    <w:r>
      <w:instrText xml:space="preserve"> PAGE   \* MERGEFORMAT </w:instrText>
    </w:r>
    <w:r>
      <w:fldChar w:fldCharType="separate"/>
    </w:r>
    <w:r w:rsidR="00D07F5A">
      <w:rPr>
        <w:noProof/>
      </w:rPr>
      <w:t>2</w:t>
    </w:r>
    <w:r>
      <w:fldChar w:fldCharType="end"/>
    </w:r>
  </w:p>
  <w:p w:rsidR="00977A74" w14:paraId="095412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7551F"/>
    <w:multiLevelType w:val="hybridMultilevel"/>
    <w:tmpl w:val="94FC0592"/>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062E33E8"/>
    <w:multiLevelType w:val="hybridMultilevel"/>
    <w:tmpl w:val="C0924DB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D21993"/>
    <w:multiLevelType w:val="hybridMultilevel"/>
    <w:tmpl w:val="971A4EC6"/>
    <w:lvl w:ilvl="0">
      <w:start w:val="1"/>
      <w:numFmt w:val="lowerLetter"/>
      <w:lvlText w:val="%1."/>
      <w:lvlJc w:val="left"/>
      <w:pPr>
        <w:ind w:left="198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
    <w:nsid w:val="43F429C4"/>
    <w:multiLevelType w:val="hybridMultilevel"/>
    <w:tmpl w:val="3696856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4">
    <w:nsid w:val="677374B1"/>
    <w:multiLevelType w:val="hybridMultilevel"/>
    <w:tmpl w:val="8A2AEDD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90461B6"/>
    <w:multiLevelType w:val="hybridMultilevel"/>
    <w:tmpl w:val="85662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10E50"/>
    <w:rsid w:val="00015695"/>
    <w:rsid w:val="0001590C"/>
    <w:rsid w:val="00022610"/>
    <w:rsid w:val="0002571F"/>
    <w:rsid w:val="000300D1"/>
    <w:rsid w:val="00036198"/>
    <w:rsid w:val="000408C2"/>
    <w:rsid w:val="00042D94"/>
    <w:rsid w:val="0004688E"/>
    <w:rsid w:val="00046FC1"/>
    <w:rsid w:val="00057F82"/>
    <w:rsid w:val="00061600"/>
    <w:rsid w:val="00063307"/>
    <w:rsid w:val="000656BA"/>
    <w:rsid w:val="00066DD5"/>
    <w:rsid w:val="000711A4"/>
    <w:rsid w:val="0007457F"/>
    <w:rsid w:val="000770B5"/>
    <w:rsid w:val="00077CEF"/>
    <w:rsid w:val="00082BD9"/>
    <w:rsid w:val="00084EC4"/>
    <w:rsid w:val="000A0B3F"/>
    <w:rsid w:val="000B1B9D"/>
    <w:rsid w:val="000B76A5"/>
    <w:rsid w:val="000C619D"/>
    <w:rsid w:val="000D26DA"/>
    <w:rsid w:val="000D352F"/>
    <w:rsid w:val="000D4383"/>
    <w:rsid w:val="000E07DC"/>
    <w:rsid w:val="000E0CDC"/>
    <w:rsid w:val="000E4879"/>
    <w:rsid w:val="000E5B03"/>
    <w:rsid w:val="000F162D"/>
    <w:rsid w:val="000F3F2A"/>
    <w:rsid w:val="000F4194"/>
    <w:rsid w:val="00100340"/>
    <w:rsid w:val="0010136F"/>
    <w:rsid w:val="0010778C"/>
    <w:rsid w:val="00111B5D"/>
    <w:rsid w:val="0011279F"/>
    <w:rsid w:val="00117259"/>
    <w:rsid w:val="001174BE"/>
    <w:rsid w:val="00122788"/>
    <w:rsid w:val="00131F1E"/>
    <w:rsid w:val="00136512"/>
    <w:rsid w:val="00153289"/>
    <w:rsid w:val="00157304"/>
    <w:rsid w:val="00160E56"/>
    <w:rsid w:val="00162F24"/>
    <w:rsid w:val="00165D17"/>
    <w:rsid w:val="00166BAE"/>
    <w:rsid w:val="00172F13"/>
    <w:rsid w:val="00181AE3"/>
    <w:rsid w:val="0019117B"/>
    <w:rsid w:val="001A606E"/>
    <w:rsid w:val="001A636A"/>
    <w:rsid w:val="001B0413"/>
    <w:rsid w:val="001B4563"/>
    <w:rsid w:val="001C03B8"/>
    <w:rsid w:val="001C29B1"/>
    <w:rsid w:val="001C34D8"/>
    <w:rsid w:val="001C4393"/>
    <w:rsid w:val="001C4E58"/>
    <w:rsid w:val="001C6678"/>
    <w:rsid w:val="001E1942"/>
    <w:rsid w:val="001E3291"/>
    <w:rsid w:val="001F7261"/>
    <w:rsid w:val="001F72E5"/>
    <w:rsid w:val="001F7CDB"/>
    <w:rsid w:val="00202CC9"/>
    <w:rsid w:val="002111F3"/>
    <w:rsid w:val="00211574"/>
    <w:rsid w:val="00216C2F"/>
    <w:rsid w:val="002207E2"/>
    <w:rsid w:val="00222121"/>
    <w:rsid w:val="00224C31"/>
    <w:rsid w:val="0022700A"/>
    <w:rsid w:val="00231D11"/>
    <w:rsid w:val="00231DF5"/>
    <w:rsid w:val="00233711"/>
    <w:rsid w:val="0024009B"/>
    <w:rsid w:val="00250A09"/>
    <w:rsid w:val="00254ED6"/>
    <w:rsid w:val="002560B7"/>
    <w:rsid w:val="002710F7"/>
    <w:rsid w:val="00271FAE"/>
    <w:rsid w:val="00282D57"/>
    <w:rsid w:val="0029085D"/>
    <w:rsid w:val="00293C93"/>
    <w:rsid w:val="00296B4E"/>
    <w:rsid w:val="002B03D3"/>
    <w:rsid w:val="002B0BE8"/>
    <w:rsid w:val="002B6672"/>
    <w:rsid w:val="002B6C0E"/>
    <w:rsid w:val="002B7736"/>
    <w:rsid w:val="002C49AE"/>
    <w:rsid w:val="002C6F7B"/>
    <w:rsid w:val="002D0BB7"/>
    <w:rsid w:val="002D7F37"/>
    <w:rsid w:val="002E7CE1"/>
    <w:rsid w:val="002F35A1"/>
    <w:rsid w:val="002F6134"/>
    <w:rsid w:val="002F7C5C"/>
    <w:rsid w:val="0030008B"/>
    <w:rsid w:val="00303A8A"/>
    <w:rsid w:val="003200E3"/>
    <w:rsid w:val="003268BA"/>
    <w:rsid w:val="00327D47"/>
    <w:rsid w:val="0033798C"/>
    <w:rsid w:val="003475C6"/>
    <w:rsid w:val="00357DAD"/>
    <w:rsid w:val="003673B3"/>
    <w:rsid w:val="00370877"/>
    <w:rsid w:val="00371AEC"/>
    <w:rsid w:val="00373018"/>
    <w:rsid w:val="00382801"/>
    <w:rsid w:val="00383907"/>
    <w:rsid w:val="00383E62"/>
    <w:rsid w:val="00384BF5"/>
    <w:rsid w:val="00387767"/>
    <w:rsid w:val="00392F36"/>
    <w:rsid w:val="00395B85"/>
    <w:rsid w:val="00396DF5"/>
    <w:rsid w:val="003A4983"/>
    <w:rsid w:val="003B20B1"/>
    <w:rsid w:val="003B4664"/>
    <w:rsid w:val="003B7338"/>
    <w:rsid w:val="003C6280"/>
    <w:rsid w:val="003D00DC"/>
    <w:rsid w:val="003D4672"/>
    <w:rsid w:val="003E1AEE"/>
    <w:rsid w:val="003E72C9"/>
    <w:rsid w:val="003E7D5B"/>
    <w:rsid w:val="003F5F31"/>
    <w:rsid w:val="00400CD3"/>
    <w:rsid w:val="004078AD"/>
    <w:rsid w:val="00407F8F"/>
    <w:rsid w:val="00426184"/>
    <w:rsid w:val="004273C8"/>
    <w:rsid w:val="004375A6"/>
    <w:rsid w:val="00440E68"/>
    <w:rsid w:val="00441944"/>
    <w:rsid w:val="00451611"/>
    <w:rsid w:val="004815F9"/>
    <w:rsid w:val="00486DE2"/>
    <w:rsid w:val="004915A2"/>
    <w:rsid w:val="00492562"/>
    <w:rsid w:val="00492BCB"/>
    <w:rsid w:val="00493F52"/>
    <w:rsid w:val="00494293"/>
    <w:rsid w:val="004950B0"/>
    <w:rsid w:val="004A314E"/>
    <w:rsid w:val="004A4199"/>
    <w:rsid w:val="004B02E5"/>
    <w:rsid w:val="004B55E9"/>
    <w:rsid w:val="004B6DF8"/>
    <w:rsid w:val="004B7345"/>
    <w:rsid w:val="004B7AB4"/>
    <w:rsid w:val="004D6D6D"/>
    <w:rsid w:val="004D71D6"/>
    <w:rsid w:val="004D740E"/>
    <w:rsid w:val="004E34A8"/>
    <w:rsid w:val="004E66DF"/>
    <w:rsid w:val="004F20AF"/>
    <w:rsid w:val="00502AF1"/>
    <w:rsid w:val="00511F22"/>
    <w:rsid w:val="0051759E"/>
    <w:rsid w:val="00517F70"/>
    <w:rsid w:val="00527FC2"/>
    <w:rsid w:val="005350A6"/>
    <w:rsid w:val="0053799F"/>
    <w:rsid w:val="0054131B"/>
    <w:rsid w:val="00554E79"/>
    <w:rsid w:val="00556C58"/>
    <w:rsid w:val="00560BED"/>
    <w:rsid w:val="00570099"/>
    <w:rsid w:val="00590142"/>
    <w:rsid w:val="005A630E"/>
    <w:rsid w:val="005B350B"/>
    <w:rsid w:val="005C10B7"/>
    <w:rsid w:val="005D5E28"/>
    <w:rsid w:val="005E0A0F"/>
    <w:rsid w:val="005E2BEF"/>
    <w:rsid w:val="005E3F14"/>
    <w:rsid w:val="005E5C18"/>
    <w:rsid w:val="005F166B"/>
    <w:rsid w:val="00604773"/>
    <w:rsid w:val="0061138D"/>
    <w:rsid w:val="006135E7"/>
    <w:rsid w:val="00623D00"/>
    <w:rsid w:val="00631953"/>
    <w:rsid w:val="00631BBC"/>
    <w:rsid w:val="00651651"/>
    <w:rsid w:val="00656FC7"/>
    <w:rsid w:val="006608D3"/>
    <w:rsid w:val="00661D51"/>
    <w:rsid w:val="00663C0A"/>
    <w:rsid w:val="006664B9"/>
    <w:rsid w:val="0067229D"/>
    <w:rsid w:val="006908DE"/>
    <w:rsid w:val="00691286"/>
    <w:rsid w:val="006922CA"/>
    <w:rsid w:val="0069711C"/>
    <w:rsid w:val="00697518"/>
    <w:rsid w:val="00697B1C"/>
    <w:rsid w:val="006A0E8D"/>
    <w:rsid w:val="006A3990"/>
    <w:rsid w:val="006A7927"/>
    <w:rsid w:val="006B2B17"/>
    <w:rsid w:val="006B37D8"/>
    <w:rsid w:val="006C5D43"/>
    <w:rsid w:val="006D12B4"/>
    <w:rsid w:val="006E05FB"/>
    <w:rsid w:val="006F0B96"/>
    <w:rsid w:val="006F0EB0"/>
    <w:rsid w:val="006F36D4"/>
    <w:rsid w:val="006F3F40"/>
    <w:rsid w:val="006F4D07"/>
    <w:rsid w:val="006F5527"/>
    <w:rsid w:val="007009A6"/>
    <w:rsid w:val="00707FFE"/>
    <w:rsid w:val="007165EF"/>
    <w:rsid w:val="0072383B"/>
    <w:rsid w:val="00730B9C"/>
    <w:rsid w:val="007314BB"/>
    <w:rsid w:val="00736774"/>
    <w:rsid w:val="00736C6A"/>
    <w:rsid w:val="00754704"/>
    <w:rsid w:val="00757E0B"/>
    <w:rsid w:val="00761B19"/>
    <w:rsid w:val="007708C4"/>
    <w:rsid w:val="00771D99"/>
    <w:rsid w:val="00772FA4"/>
    <w:rsid w:val="00775FC3"/>
    <w:rsid w:val="00791922"/>
    <w:rsid w:val="00793374"/>
    <w:rsid w:val="007A07DA"/>
    <w:rsid w:val="007A0B90"/>
    <w:rsid w:val="007A2107"/>
    <w:rsid w:val="007A2B48"/>
    <w:rsid w:val="007B66B7"/>
    <w:rsid w:val="007C43AC"/>
    <w:rsid w:val="007C530A"/>
    <w:rsid w:val="007D218C"/>
    <w:rsid w:val="007D475F"/>
    <w:rsid w:val="007D7F9F"/>
    <w:rsid w:val="007F2A59"/>
    <w:rsid w:val="007F56F1"/>
    <w:rsid w:val="00800F0E"/>
    <w:rsid w:val="00805CFF"/>
    <w:rsid w:val="00806D95"/>
    <w:rsid w:val="0081302C"/>
    <w:rsid w:val="00817293"/>
    <w:rsid w:val="008237CE"/>
    <w:rsid w:val="0082606C"/>
    <w:rsid w:val="008334D4"/>
    <w:rsid w:val="008440A0"/>
    <w:rsid w:val="00844148"/>
    <w:rsid w:val="008478E2"/>
    <w:rsid w:val="00852A70"/>
    <w:rsid w:val="00857CE5"/>
    <w:rsid w:val="00860E27"/>
    <w:rsid w:val="00861064"/>
    <w:rsid w:val="00864A37"/>
    <w:rsid w:val="00864E0D"/>
    <w:rsid w:val="00867344"/>
    <w:rsid w:val="00873922"/>
    <w:rsid w:val="0088582F"/>
    <w:rsid w:val="00894891"/>
    <w:rsid w:val="0089728A"/>
    <w:rsid w:val="008A019F"/>
    <w:rsid w:val="008A640C"/>
    <w:rsid w:val="008B20D1"/>
    <w:rsid w:val="008B317E"/>
    <w:rsid w:val="008B50FE"/>
    <w:rsid w:val="008C0EB4"/>
    <w:rsid w:val="008D00DF"/>
    <w:rsid w:val="008F270B"/>
    <w:rsid w:val="0090443B"/>
    <w:rsid w:val="009105CA"/>
    <w:rsid w:val="00911A83"/>
    <w:rsid w:val="00912299"/>
    <w:rsid w:val="00912BC6"/>
    <w:rsid w:val="009179F2"/>
    <w:rsid w:val="009209A7"/>
    <w:rsid w:val="00922BB3"/>
    <w:rsid w:val="00934CE1"/>
    <w:rsid w:val="00943A38"/>
    <w:rsid w:val="00943D8B"/>
    <w:rsid w:val="009544F4"/>
    <w:rsid w:val="00955EB1"/>
    <w:rsid w:val="00960B7C"/>
    <w:rsid w:val="009620C7"/>
    <w:rsid w:val="00967F7F"/>
    <w:rsid w:val="009709BD"/>
    <w:rsid w:val="0097444F"/>
    <w:rsid w:val="00977A74"/>
    <w:rsid w:val="00990030"/>
    <w:rsid w:val="009944DB"/>
    <w:rsid w:val="009957CC"/>
    <w:rsid w:val="00997B5E"/>
    <w:rsid w:val="00997E5E"/>
    <w:rsid w:val="009A391B"/>
    <w:rsid w:val="009B1415"/>
    <w:rsid w:val="009B20D2"/>
    <w:rsid w:val="009C0018"/>
    <w:rsid w:val="009C2135"/>
    <w:rsid w:val="009C30BD"/>
    <w:rsid w:val="009C54D3"/>
    <w:rsid w:val="009C6A18"/>
    <w:rsid w:val="009D3C56"/>
    <w:rsid w:val="009D49F3"/>
    <w:rsid w:val="009D5259"/>
    <w:rsid w:val="009D74FE"/>
    <w:rsid w:val="009D7672"/>
    <w:rsid w:val="009E3C37"/>
    <w:rsid w:val="009E7002"/>
    <w:rsid w:val="009F0B30"/>
    <w:rsid w:val="009F28DB"/>
    <w:rsid w:val="009F295C"/>
    <w:rsid w:val="009F2C0E"/>
    <w:rsid w:val="009F71D9"/>
    <w:rsid w:val="00A01A12"/>
    <w:rsid w:val="00A11A57"/>
    <w:rsid w:val="00A164C0"/>
    <w:rsid w:val="00A25737"/>
    <w:rsid w:val="00A27CB4"/>
    <w:rsid w:val="00A31682"/>
    <w:rsid w:val="00A45D17"/>
    <w:rsid w:val="00A547C7"/>
    <w:rsid w:val="00A62247"/>
    <w:rsid w:val="00A77829"/>
    <w:rsid w:val="00A82DFD"/>
    <w:rsid w:val="00A87951"/>
    <w:rsid w:val="00A919A6"/>
    <w:rsid w:val="00A93CBF"/>
    <w:rsid w:val="00A94E4F"/>
    <w:rsid w:val="00A95304"/>
    <w:rsid w:val="00AA1322"/>
    <w:rsid w:val="00AA21B7"/>
    <w:rsid w:val="00AA6948"/>
    <w:rsid w:val="00AA78F8"/>
    <w:rsid w:val="00AC111F"/>
    <w:rsid w:val="00AC11F7"/>
    <w:rsid w:val="00AC13DE"/>
    <w:rsid w:val="00AC33D2"/>
    <w:rsid w:val="00AC3A90"/>
    <w:rsid w:val="00AC6E27"/>
    <w:rsid w:val="00AD00FE"/>
    <w:rsid w:val="00AF3EC4"/>
    <w:rsid w:val="00AF7F55"/>
    <w:rsid w:val="00B010E3"/>
    <w:rsid w:val="00B0262F"/>
    <w:rsid w:val="00B111F6"/>
    <w:rsid w:val="00B16D96"/>
    <w:rsid w:val="00B219F7"/>
    <w:rsid w:val="00B27998"/>
    <w:rsid w:val="00B4545C"/>
    <w:rsid w:val="00B501DB"/>
    <w:rsid w:val="00B52FBF"/>
    <w:rsid w:val="00B565D7"/>
    <w:rsid w:val="00B571A0"/>
    <w:rsid w:val="00B62999"/>
    <w:rsid w:val="00B76D67"/>
    <w:rsid w:val="00B803D2"/>
    <w:rsid w:val="00B85717"/>
    <w:rsid w:val="00B9257A"/>
    <w:rsid w:val="00BA128B"/>
    <w:rsid w:val="00BA1356"/>
    <w:rsid w:val="00BA1394"/>
    <w:rsid w:val="00BB4214"/>
    <w:rsid w:val="00BB4993"/>
    <w:rsid w:val="00BC02FB"/>
    <w:rsid w:val="00BD51A3"/>
    <w:rsid w:val="00BD7C05"/>
    <w:rsid w:val="00BE1D45"/>
    <w:rsid w:val="00BE3A88"/>
    <w:rsid w:val="00BF6DF1"/>
    <w:rsid w:val="00C03D24"/>
    <w:rsid w:val="00C0405A"/>
    <w:rsid w:val="00C0563C"/>
    <w:rsid w:val="00C221C2"/>
    <w:rsid w:val="00C25DCC"/>
    <w:rsid w:val="00C3085B"/>
    <w:rsid w:val="00C31AC6"/>
    <w:rsid w:val="00C34D08"/>
    <w:rsid w:val="00C503CE"/>
    <w:rsid w:val="00C53FA6"/>
    <w:rsid w:val="00C5560E"/>
    <w:rsid w:val="00C55A6F"/>
    <w:rsid w:val="00C55D4D"/>
    <w:rsid w:val="00C6328D"/>
    <w:rsid w:val="00C66D8C"/>
    <w:rsid w:val="00C7215A"/>
    <w:rsid w:val="00C85994"/>
    <w:rsid w:val="00C87682"/>
    <w:rsid w:val="00C9367D"/>
    <w:rsid w:val="00CA68A3"/>
    <w:rsid w:val="00CA7E4D"/>
    <w:rsid w:val="00CB2564"/>
    <w:rsid w:val="00CC23E6"/>
    <w:rsid w:val="00CC2DB3"/>
    <w:rsid w:val="00CC6224"/>
    <w:rsid w:val="00CC6E45"/>
    <w:rsid w:val="00CD1690"/>
    <w:rsid w:val="00CE3643"/>
    <w:rsid w:val="00CE67F0"/>
    <w:rsid w:val="00CF0873"/>
    <w:rsid w:val="00CF5821"/>
    <w:rsid w:val="00D07F5A"/>
    <w:rsid w:val="00D1246D"/>
    <w:rsid w:val="00D124C2"/>
    <w:rsid w:val="00D2256F"/>
    <w:rsid w:val="00D243F0"/>
    <w:rsid w:val="00D26B1A"/>
    <w:rsid w:val="00D30145"/>
    <w:rsid w:val="00D32E0E"/>
    <w:rsid w:val="00D342A9"/>
    <w:rsid w:val="00D34678"/>
    <w:rsid w:val="00D41EE4"/>
    <w:rsid w:val="00D46148"/>
    <w:rsid w:val="00D4646C"/>
    <w:rsid w:val="00D53703"/>
    <w:rsid w:val="00D579DD"/>
    <w:rsid w:val="00D60E85"/>
    <w:rsid w:val="00D64835"/>
    <w:rsid w:val="00D655FF"/>
    <w:rsid w:val="00D709FC"/>
    <w:rsid w:val="00D77F36"/>
    <w:rsid w:val="00D811C3"/>
    <w:rsid w:val="00D833D5"/>
    <w:rsid w:val="00D87848"/>
    <w:rsid w:val="00D90464"/>
    <w:rsid w:val="00D96853"/>
    <w:rsid w:val="00DA1A4B"/>
    <w:rsid w:val="00DA3481"/>
    <w:rsid w:val="00DA53D2"/>
    <w:rsid w:val="00DB0A10"/>
    <w:rsid w:val="00DB41B9"/>
    <w:rsid w:val="00DC5E77"/>
    <w:rsid w:val="00DD27EE"/>
    <w:rsid w:val="00DD39B4"/>
    <w:rsid w:val="00DD65A4"/>
    <w:rsid w:val="00DD6D3B"/>
    <w:rsid w:val="00DE4950"/>
    <w:rsid w:val="00DE7990"/>
    <w:rsid w:val="00DF1993"/>
    <w:rsid w:val="00DF5B69"/>
    <w:rsid w:val="00E07D94"/>
    <w:rsid w:val="00E1029C"/>
    <w:rsid w:val="00E11C44"/>
    <w:rsid w:val="00E163A3"/>
    <w:rsid w:val="00E24F6E"/>
    <w:rsid w:val="00E26578"/>
    <w:rsid w:val="00E32EEB"/>
    <w:rsid w:val="00E346F4"/>
    <w:rsid w:val="00E34AC2"/>
    <w:rsid w:val="00E36B31"/>
    <w:rsid w:val="00E4040E"/>
    <w:rsid w:val="00E42102"/>
    <w:rsid w:val="00E43022"/>
    <w:rsid w:val="00E61C8F"/>
    <w:rsid w:val="00E629EF"/>
    <w:rsid w:val="00E657FF"/>
    <w:rsid w:val="00E671EC"/>
    <w:rsid w:val="00E73693"/>
    <w:rsid w:val="00E81EB7"/>
    <w:rsid w:val="00E83472"/>
    <w:rsid w:val="00E84BF9"/>
    <w:rsid w:val="00E9385A"/>
    <w:rsid w:val="00EA1C24"/>
    <w:rsid w:val="00EA6615"/>
    <w:rsid w:val="00EB1356"/>
    <w:rsid w:val="00EB3950"/>
    <w:rsid w:val="00EB5F6F"/>
    <w:rsid w:val="00EB6011"/>
    <w:rsid w:val="00EC2AB4"/>
    <w:rsid w:val="00EC3F9D"/>
    <w:rsid w:val="00EC4B5E"/>
    <w:rsid w:val="00EC5C01"/>
    <w:rsid w:val="00EC5EA7"/>
    <w:rsid w:val="00ED08E0"/>
    <w:rsid w:val="00ED6CE2"/>
    <w:rsid w:val="00EE491B"/>
    <w:rsid w:val="00EF61E1"/>
    <w:rsid w:val="00F01F81"/>
    <w:rsid w:val="00F02FD7"/>
    <w:rsid w:val="00F125A2"/>
    <w:rsid w:val="00F1447C"/>
    <w:rsid w:val="00F216F7"/>
    <w:rsid w:val="00F33540"/>
    <w:rsid w:val="00F3762D"/>
    <w:rsid w:val="00F400E6"/>
    <w:rsid w:val="00F41A3F"/>
    <w:rsid w:val="00F434B6"/>
    <w:rsid w:val="00F47BCA"/>
    <w:rsid w:val="00F52056"/>
    <w:rsid w:val="00F54563"/>
    <w:rsid w:val="00F73A8E"/>
    <w:rsid w:val="00F83935"/>
    <w:rsid w:val="00F8714B"/>
    <w:rsid w:val="00F92085"/>
    <w:rsid w:val="00F92ACC"/>
    <w:rsid w:val="00F961C9"/>
    <w:rsid w:val="00FB7D29"/>
    <w:rsid w:val="00FC5C1B"/>
    <w:rsid w:val="00FC6356"/>
    <w:rsid w:val="00FC6F85"/>
    <w:rsid w:val="00FD6DB7"/>
    <w:rsid w:val="00FE107D"/>
    <w:rsid w:val="00FE2EB1"/>
    <w:rsid w:val="00FE4F6E"/>
    <w:rsid w:val="00FE5D8D"/>
    <w:rsid w:val="00FE6D94"/>
    <w:rsid w:val="00FF191C"/>
    <w:rsid w:val="00FF3D2E"/>
    <w:rsid w:val="00FF6B4F"/>
    <w:rsid w:val="125EBC86"/>
    <w:rsid w:val="1E3841C4"/>
    <w:rsid w:val="207CCD03"/>
    <w:rsid w:val="24189E37"/>
    <w:rsid w:val="318DF3D6"/>
    <w:rsid w:val="3405BF93"/>
    <w:rsid w:val="34C59498"/>
    <w:rsid w:val="423AEA37"/>
    <w:rsid w:val="4757EEF8"/>
    <w:rsid w:val="4E04911D"/>
    <w:rsid w:val="4F4B5857"/>
    <w:rsid w:val="6291E0C7"/>
    <w:rsid w:val="6B31AB04"/>
    <w:rsid w:val="6D7917F7"/>
    <w:rsid w:val="6E1D0C33"/>
    <w:rsid w:val="7EE658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1F807"/>
  <w15:chartTrackingRefBased/>
  <w15:docId w15:val="{06865AB7-DA65-479C-8598-C621C14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A919A6"/>
    <w:rPr>
      <w:sz w:val="16"/>
      <w:szCs w:val="16"/>
    </w:rPr>
  </w:style>
  <w:style w:type="paragraph" w:styleId="CommentText">
    <w:name w:val="annotation text"/>
    <w:basedOn w:val="Normal"/>
    <w:link w:val="CommentTextChar"/>
    <w:uiPriority w:val="99"/>
    <w:unhideWhenUsed/>
    <w:rsid w:val="00A919A6"/>
    <w:rPr>
      <w:sz w:val="20"/>
      <w:szCs w:val="20"/>
    </w:rPr>
  </w:style>
  <w:style w:type="character" w:customStyle="1" w:styleId="CommentTextChar">
    <w:name w:val="Comment Text Char"/>
    <w:link w:val="CommentText"/>
    <w:uiPriority w:val="99"/>
    <w:rsid w:val="00A919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919A6"/>
    <w:rPr>
      <w:b/>
      <w:bCs/>
    </w:rPr>
  </w:style>
  <w:style w:type="character" w:customStyle="1" w:styleId="CommentSubjectChar">
    <w:name w:val="Comment Subject Char"/>
    <w:link w:val="CommentSubject"/>
    <w:uiPriority w:val="99"/>
    <w:semiHidden/>
    <w:rsid w:val="00A919A6"/>
    <w:rPr>
      <w:rFonts w:ascii="Times New Roman" w:eastAsia="Times New Roman" w:hAnsi="Times New Roman"/>
      <w:b/>
      <w:bCs/>
    </w:rPr>
  </w:style>
  <w:style w:type="paragraph" w:styleId="Revision">
    <w:name w:val="Revision"/>
    <w:hidden/>
    <w:uiPriority w:val="99"/>
    <w:semiHidden/>
    <w:rsid w:val="000B76A5"/>
    <w:rPr>
      <w:rFonts w:ascii="Times New Roman" w:eastAsia="Times New Roman" w:hAnsi="Times New Roman"/>
      <w:sz w:val="24"/>
      <w:szCs w:val="24"/>
    </w:rPr>
  </w:style>
  <w:style w:type="character" w:styleId="Hyperlink">
    <w:name w:val="Hyperlink"/>
    <w:uiPriority w:val="99"/>
    <w:unhideWhenUsed/>
    <w:rsid w:val="00CA7E4D"/>
    <w:rPr>
      <w:color w:val="0563C1"/>
      <w:u w:val="single"/>
    </w:rPr>
  </w:style>
  <w:style w:type="character" w:customStyle="1" w:styleId="UnresolvedMention1">
    <w:name w:val="Unresolved Mention1"/>
    <w:uiPriority w:val="99"/>
    <w:semiHidden/>
    <w:unhideWhenUsed/>
    <w:rsid w:val="00CA7E4D"/>
    <w:rPr>
      <w:color w:val="605E5C"/>
      <w:shd w:val="clear" w:color="auto" w:fill="E1DFDD"/>
    </w:rPr>
  </w:style>
  <w:style w:type="paragraph" w:styleId="BalloonText">
    <w:name w:val="Balloon Text"/>
    <w:basedOn w:val="Normal"/>
    <w:link w:val="BalloonTextChar"/>
    <w:uiPriority w:val="99"/>
    <w:semiHidden/>
    <w:unhideWhenUsed/>
    <w:rsid w:val="00395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85"/>
    <w:rPr>
      <w:rFonts w:ascii="Segoe UI" w:eastAsia="Times New Roman" w:hAnsi="Segoe UI" w:cs="Segoe UI"/>
      <w:sz w:val="18"/>
      <w:szCs w:val="18"/>
    </w:rPr>
  </w:style>
  <w:style w:type="paragraph" w:customStyle="1" w:styleId="DocParagraphOutlineLevel3">
    <w:name w:val="Doc_Paragraph Outline Level 3"/>
    <w:basedOn w:val="Normal"/>
    <w:rsid w:val="00990030"/>
    <w:pPr>
      <w:numPr>
        <w:numId w:val="7"/>
      </w:numPr>
      <w:spacing w:before="240" w:after="240"/>
    </w:pPr>
  </w:style>
  <w:style w:type="paragraph" w:styleId="FootnoteText">
    <w:name w:val="footnote text"/>
    <w:basedOn w:val="Normal"/>
    <w:link w:val="FootnoteTextChar"/>
    <w:uiPriority w:val="99"/>
    <w:semiHidden/>
    <w:unhideWhenUsed/>
    <w:rsid w:val="00761B19"/>
    <w:rPr>
      <w:sz w:val="20"/>
      <w:szCs w:val="20"/>
    </w:rPr>
  </w:style>
  <w:style w:type="character" w:customStyle="1" w:styleId="FootnoteTextChar">
    <w:name w:val="Footnote Text Char"/>
    <w:basedOn w:val="DefaultParagraphFont"/>
    <w:link w:val="FootnoteText"/>
    <w:uiPriority w:val="99"/>
    <w:semiHidden/>
    <w:rsid w:val="00761B19"/>
    <w:rPr>
      <w:rFonts w:ascii="Times New Roman" w:eastAsia="Times New Roman" w:hAnsi="Times New Roman"/>
    </w:rPr>
  </w:style>
  <w:style w:type="character" w:styleId="FootnoteReference">
    <w:name w:val="footnote reference"/>
    <w:basedOn w:val="DefaultParagraphFont"/>
    <w:uiPriority w:val="99"/>
    <w:semiHidden/>
    <w:unhideWhenUsed/>
    <w:rsid w:val="00761B19"/>
    <w:rPr>
      <w:vertAlign w:val="superscript"/>
    </w:rPr>
  </w:style>
  <w:style w:type="character" w:customStyle="1" w:styleId="UnresolvedMention2">
    <w:name w:val="Unresolved Mention2"/>
    <w:basedOn w:val="DefaultParagraphFont"/>
    <w:uiPriority w:val="99"/>
    <w:semiHidden/>
    <w:unhideWhenUsed/>
    <w:rsid w:val="000E5B03"/>
    <w:rPr>
      <w:color w:val="605E5C"/>
      <w:shd w:val="clear" w:color="auto" w:fill="E1DFDD"/>
    </w:rPr>
  </w:style>
  <w:style w:type="table" w:styleId="TableGrid">
    <w:name w:val="Table Grid"/>
    <w:basedOn w:val="TableNormal"/>
    <w:uiPriority w:val="59"/>
    <w:rsid w:val="0084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0E0CDC"/>
    <w:rPr>
      <w:color w:val="2B579A"/>
      <w:shd w:val="clear" w:color="auto" w:fill="E1DFDD"/>
    </w:rPr>
  </w:style>
  <w:style w:type="character" w:styleId="FollowedHyperlink">
    <w:name w:val="FollowedHyperlink"/>
    <w:basedOn w:val="DefaultParagraphFont"/>
    <w:uiPriority w:val="99"/>
    <w:semiHidden/>
    <w:unhideWhenUsed/>
    <w:rsid w:val="00C55D4D"/>
    <w:rPr>
      <w:color w:val="954F72" w:themeColor="followedHyperlink"/>
      <w:u w:val="single"/>
    </w:rPr>
  </w:style>
  <w:style w:type="character" w:customStyle="1" w:styleId="Mention2">
    <w:name w:val="Mention2"/>
    <w:basedOn w:val="DefaultParagraphFont"/>
    <w:uiPriority w:val="99"/>
    <w:unhideWhenUsed/>
    <w:rsid w:val="001013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busselberg@forsmarsh.com" TargetMode="External" /><Relationship Id="rId11" Type="http://schemas.openxmlformats.org/officeDocument/2006/relationships/hyperlink" Target="mailto:valerie.waller@datarecognitioncorps.com" TargetMode="External" /><Relationship Id="rId12" Type="http://schemas.openxmlformats.org/officeDocument/2006/relationships/hyperlink" Target="mailto:mknutson@datarecognitioncorp.com" TargetMode="External" /><Relationship Id="rId13" Type="http://schemas.openxmlformats.org/officeDocument/2006/relationships/hyperlink" Target="mailto:bgoenner@datarecognitioncorp.com" TargetMode="External" /><Relationship Id="rId14" Type="http://schemas.openxmlformats.org/officeDocument/2006/relationships/hyperlink" Target="mailto:rachel.n.lipari.civ@mail.mil" TargetMode="External" /><Relationship Id="rId15" Type="http://schemas.openxmlformats.org/officeDocument/2006/relationships/hyperlink" Target="mailto:austin.r.lawhead.civ@mail.mil" TargetMode="External" /><Relationship Id="rId16" Type="http://schemas.openxmlformats.org/officeDocument/2006/relationships/hyperlink" Target="mailto:ashlea.m.klahr.civ@mail.mil" TargetMode="External" /><Relationship Id="rId17" Type="http://schemas.openxmlformats.org/officeDocument/2006/relationships/hyperlink" Target="mailto:johnpaul.bisciotti.civ@mail.mil" TargetMode="External" /><Relationship Id="rId18" Type="http://schemas.openxmlformats.org/officeDocument/2006/relationships/hyperlink" Target="mailto:asheveland@forsmarsh.com" TargetMode="External" /><Relationship Id="rId19" Type="http://schemas.openxmlformats.org/officeDocument/2006/relationships/hyperlink" Target="mailto:amanda.j.barry2.ctr@mail.mil" TargetMode="External" /><Relationship Id="rId2" Type="http://schemas.openxmlformats.org/officeDocument/2006/relationships/webSettings" Target="webSettings.xml" /><Relationship Id="rId20" Type="http://schemas.openxmlformats.org/officeDocument/2006/relationships/hyperlink" Target="mailto:sela.r.harcey.ctr@mail.mil" TargetMode="External" /><Relationship Id="rId21" Type="http://schemas.openxmlformats.org/officeDocument/2006/relationships/hyperlink" Target="mailto:rachel.c.trump-steele.ctr@mail.mil" TargetMode="External" /><Relationship Id="rId22" Type="http://schemas.openxmlformats.org/officeDocument/2006/relationships/hyperlink" Target="mailto:marissa.l.oliver2.ctr@mail.mil" TargetMode="External" /><Relationship Id="rId23" Type="http://schemas.openxmlformats.org/officeDocument/2006/relationships/hyperlink" Target="mailto:tina.c.killoran.ctr@mail.mil" TargetMode="External" /><Relationship Id="rId24" Type="http://schemas.openxmlformats.org/officeDocument/2006/relationships/hyperlink" Target="mailto:alyssa.n.mchoes.ctr@mail.mil" TargetMode="External" /><Relationship Id="rId25" Type="http://schemas.openxmlformats.org/officeDocument/2006/relationships/hyperlink" Target="mailto:william.p.cosner.ctr@mail.mil" TargetMode="External" /><Relationship Id="rId26" Type="http://schemas.openxmlformats.org/officeDocument/2006/relationships/hyperlink" Target="mailto:andrew.j.pomerville.ctr@mail.mil" TargetMode="External" /><Relationship Id="rId27" Type="http://schemas.openxmlformats.org/officeDocument/2006/relationships/hyperlink" Target="mailto:kimberly.r.hylton.ctr@mail.mil" TargetMode="External" /><Relationship Id="rId28" Type="http://schemas.openxmlformats.org/officeDocument/2006/relationships/hyperlink" Target="mailto:chelsea.a.lonergan.ctr@mail.mil" TargetMode="External" /><Relationship Id="rId29" Type="http://schemas.openxmlformats.org/officeDocument/2006/relationships/hyperlink" Target="mailto:nmararac@forsmarsh.com" TargetMode="Externa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media.defense.gov/2021/Jul/02/2002755437/-1/-1/0/IRC-FULL-REPORT-FINAL-1923-7-1-21.PDF/IRC-FULL-REPORT-FINAL-1923-7-1-21.PDF" TargetMode="External" /><Relationship Id="rId9" Type="http://schemas.openxmlformats.org/officeDocument/2006/relationships/hyperlink" Target="mailto:zhiwei.zhang.civ@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B03BAD7785AB4C8134334BF0DD491C" ma:contentTypeVersion="6" ma:contentTypeDescription="Create a new document." ma:contentTypeScope="" ma:versionID="22ad30cc1661f7e04aed4df0ab577603">
  <xsd:schema xmlns:xsd="http://www.w3.org/2001/XMLSchema" xmlns:xs="http://www.w3.org/2001/XMLSchema" xmlns:p="http://schemas.microsoft.com/office/2006/metadata/properties" xmlns:ns2="9929a2b6-4f15-40b3-a17d-e5ed3fb134a1" xmlns:ns3="ab3da0ed-a783-467b-af03-86d6a1d2160d" targetNamespace="http://schemas.microsoft.com/office/2006/metadata/properties" ma:root="true" ma:fieldsID="e9bdd96c44d11e0750ee6319d2fda0fc" ns2:_="" ns3:_="">
    <xsd:import namespace="9929a2b6-4f15-40b3-a17d-e5ed3fb134a1"/>
    <xsd:import namespace="ab3da0ed-a783-467b-af03-86d6a1d21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9a2b6-4f15-40b3-a17d-e5ed3fb1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da0ed-a783-467b-af03-86d6a1d216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705E6-663E-4E14-9E8A-7D9B9A28E2AA}">
  <ds:schemaRefs>
    <ds:schemaRef ds:uri="http://schemas.microsoft.com/sharepoint/v3/contenttype/forms"/>
  </ds:schemaRefs>
</ds:datastoreItem>
</file>

<file path=customXml/itemProps2.xml><?xml version="1.0" encoding="utf-8"?>
<ds:datastoreItem xmlns:ds="http://schemas.openxmlformats.org/officeDocument/2006/customXml" ds:itemID="{FA5D5121-5A5B-4055-80A1-5376AC469E03}">
  <ds:schemaRefs>
    <ds:schemaRef ds:uri="http://schemas.microsoft.com/office/infopath/2007/PartnerControls"/>
    <ds:schemaRef ds:uri="http://purl.org/dc/dcmitype/"/>
    <ds:schemaRef ds:uri="http://purl.org/dc/elements/1.1/"/>
    <ds:schemaRef ds:uri="ab3da0ed-a783-467b-af03-86d6a1d2160d"/>
    <ds:schemaRef ds:uri="http://schemas.microsoft.com/office/2006/documentManagement/types"/>
    <ds:schemaRef ds:uri="http://www.w3.org/XML/1998/namespace"/>
    <ds:schemaRef ds:uri="http://schemas.openxmlformats.org/package/2006/metadata/core-properties"/>
    <ds:schemaRef ds:uri="9929a2b6-4f15-40b3-a17d-e5ed3fb134a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7875A18-D2A5-486B-AC58-AB15615857B8}">
  <ds:schemaRefs>
    <ds:schemaRef ds:uri="http://schemas.openxmlformats.org/officeDocument/2006/bibliography"/>
  </ds:schemaRefs>
</ds:datastoreItem>
</file>

<file path=customXml/itemProps4.xml><?xml version="1.0" encoding="utf-8"?>
<ds:datastoreItem xmlns:ds="http://schemas.openxmlformats.org/officeDocument/2006/customXml" ds:itemID="{0B538B66-A7AE-486F-A3C5-3EEE28F31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9a2b6-4f15-40b3-a17d-e5ed3fb134a1"/>
    <ds:schemaRef ds:uri="ab3da0ed-a783-467b-af03-86d6a1d21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Lewis, Sean B CTR WHS ESD (USA)</cp:lastModifiedBy>
  <cp:revision>2</cp:revision>
  <cp:lastPrinted>2013-01-25T19:13:00Z</cp:lastPrinted>
  <dcterms:created xsi:type="dcterms:W3CDTF">2023-06-12T14:53:00Z</dcterms:created>
  <dcterms:modified xsi:type="dcterms:W3CDTF">2023-06-12T14:53:00Z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0x0101003AB03BAD7785AB4C8134334BF0DD491C</vt:lpwstr>
  </property>
  <property fmtid="{D5CDD505-2E9C-101B-9397-08002B2CF9AE}" pid="3" name="MediaServiceImageTags">
    <vt:lpwstr/>
  </property>
</Properties>
</file>