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tif" ContentType="image/tiff"/>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92B6C" w:rsidRPr="004B3301" w:rsidP="00B92B6C" w14:paraId="7BB40C3E" w14:textId="1C18A4CB">
      <w:pPr>
        <w:spacing w:after="200" w:line="276" w:lineRule="auto"/>
        <w:rPr>
          <w:rFonts w:eastAsia="Calibri"/>
        </w:rPr>
      </w:pPr>
      <w:r w:rsidRPr="7DB79955">
        <w:rPr>
          <w:rFonts w:eastAsia="Calibri"/>
          <w:b/>
          <w:bCs/>
        </w:rPr>
        <w:t>DATE:</w:t>
      </w:r>
      <w:r>
        <w:tab/>
      </w:r>
      <w:r>
        <w:tab/>
      </w:r>
      <w:r w:rsidRPr="7DB79955" w:rsidR="21E2DB05">
        <w:rPr>
          <w:rFonts w:eastAsia="Calibri"/>
          <w:highlight w:val="yellow"/>
        </w:rPr>
        <w:t xml:space="preserve">May </w:t>
      </w:r>
      <w:r w:rsidRPr="7DB79955" w:rsidR="04345FE7">
        <w:rPr>
          <w:rFonts w:eastAsia="Calibri"/>
          <w:highlight w:val="yellow"/>
        </w:rPr>
        <w:t>01</w:t>
      </w:r>
      <w:r w:rsidRPr="7DB79955" w:rsidR="3DD0F46D">
        <w:rPr>
          <w:rFonts w:eastAsia="Calibri"/>
          <w:highlight w:val="yellow"/>
        </w:rPr>
        <w:t>, 20</w:t>
      </w:r>
      <w:r w:rsidRPr="7DB79955" w:rsidR="4DFBC920">
        <w:rPr>
          <w:rFonts w:eastAsia="Calibri"/>
          <w:highlight w:val="yellow"/>
        </w:rPr>
        <w:t>23</w:t>
      </w:r>
    </w:p>
    <w:p w:rsidR="00B92B6C" w:rsidRPr="004B3301" w:rsidP="00B92B6C" w14:paraId="4546AFDE" w14:textId="00FA430A">
      <w:pPr>
        <w:spacing w:after="200" w:line="276" w:lineRule="auto"/>
        <w:rPr>
          <w:rFonts w:eastAsia="Calibri"/>
        </w:rPr>
      </w:pPr>
      <w:r w:rsidRPr="004B3301">
        <w:rPr>
          <w:rFonts w:eastAsia="Calibri"/>
          <w:b/>
        </w:rPr>
        <w:t>TO:</w:t>
      </w:r>
      <w:r w:rsidRPr="004B3301">
        <w:rPr>
          <w:rFonts w:eastAsia="Calibri"/>
        </w:rPr>
        <w:tab/>
      </w:r>
      <w:r w:rsidRPr="004B3301">
        <w:rPr>
          <w:rFonts w:eastAsia="Calibri"/>
        </w:rPr>
        <w:tab/>
      </w:r>
      <w:r w:rsidRPr="004B3301">
        <w:rPr>
          <w:rFonts w:eastAsia="Calibri"/>
        </w:rPr>
        <w:tab/>
      </w:r>
      <w:r w:rsidRPr="004B3301" w:rsidR="00CA0734">
        <w:rPr>
          <w:rFonts w:eastAsia="Calibri"/>
          <w:highlight w:val="yellow"/>
        </w:rPr>
        <w:t>[Name]</w:t>
      </w:r>
      <w:r w:rsidRPr="004B3301">
        <w:rPr>
          <w:rFonts w:eastAsia="Calibri"/>
          <w:highlight w:val="yellow"/>
        </w:rPr>
        <w:t>, OMB Desk Officer</w:t>
      </w:r>
    </w:p>
    <w:p w:rsidR="00B92B6C" w:rsidRPr="004B3301" w:rsidP="00B92B6C" w14:paraId="77BC1D71" w14:textId="705E72E3">
      <w:pPr>
        <w:spacing w:after="200" w:line="276" w:lineRule="auto"/>
        <w:rPr>
          <w:rFonts w:eastAsia="Calibri"/>
        </w:rPr>
      </w:pPr>
      <w:r w:rsidRPr="004B3301">
        <w:rPr>
          <w:rFonts w:eastAsia="Calibri"/>
          <w:b/>
        </w:rPr>
        <w:t>FROM:</w:t>
      </w:r>
      <w:r w:rsidRPr="004B3301">
        <w:rPr>
          <w:rFonts w:eastAsia="Calibri"/>
        </w:rPr>
        <w:tab/>
      </w:r>
      <w:r w:rsidRPr="004B3301">
        <w:rPr>
          <w:rFonts w:eastAsia="Calibri"/>
        </w:rPr>
        <w:tab/>
      </w:r>
      <w:r w:rsidRPr="004B3301" w:rsidR="00CA0734">
        <w:rPr>
          <w:rFonts w:eastAsia="Calibri"/>
          <w:highlight w:val="yellow"/>
        </w:rPr>
        <w:t>[Name]</w:t>
      </w:r>
      <w:r w:rsidRPr="004B3301">
        <w:rPr>
          <w:rFonts w:eastAsia="Calibri"/>
          <w:highlight w:val="yellow"/>
        </w:rPr>
        <w:t>, HRSA Information Collection Clearance Officer</w:t>
      </w:r>
    </w:p>
    <w:p w:rsidR="00B92B6C" w:rsidRPr="004B3301" w:rsidP="00B92B6C" w14:paraId="06C26FDD" w14:textId="77777777">
      <w:pPr>
        <w:spacing w:after="200" w:line="276" w:lineRule="auto"/>
        <w:ind w:left="2160" w:hanging="2160"/>
        <w:rPr>
          <w:rFonts w:eastAsia="Calibri"/>
          <w:b/>
        </w:rPr>
      </w:pPr>
      <w:r w:rsidRPr="004B3301">
        <w:rPr>
          <w:rFonts w:eastAsia="Calibri"/>
          <w:b/>
        </w:rPr>
        <w:t>______________________________________________________________________________</w:t>
      </w:r>
    </w:p>
    <w:p w:rsidR="00B92B6C" w:rsidP="00E94C7B" w14:paraId="6C4A35D8" w14:textId="3CE85F7B">
      <w:pPr>
        <w:ind w:left="2160" w:hanging="2160"/>
        <w:jc w:val="both"/>
        <w:rPr>
          <w:rFonts w:eastAsia="Calibri"/>
        </w:rPr>
      </w:pPr>
      <w:r w:rsidRPr="004B3301">
        <w:rPr>
          <w:rFonts w:eastAsia="Calibri"/>
          <w:b/>
        </w:rPr>
        <w:t>Request</w:t>
      </w:r>
      <w:r w:rsidRPr="004B3301">
        <w:rPr>
          <w:rFonts w:eastAsia="Calibri"/>
        </w:rPr>
        <w:t xml:space="preserve">: </w:t>
      </w:r>
      <w:r w:rsidRPr="004B3301">
        <w:rPr>
          <w:rFonts w:eastAsia="Calibri"/>
        </w:rPr>
        <w:tab/>
      </w:r>
      <w:r w:rsidRPr="00CA0C53">
        <w:rPr>
          <w:rFonts w:eastAsia="Calibri"/>
        </w:rPr>
        <w:t xml:space="preserve">The Health Resources and Services Administration (HRSA) </w:t>
      </w:r>
      <w:r w:rsidR="006E4E33">
        <w:rPr>
          <w:rFonts w:eastAsia="Calibri"/>
        </w:rPr>
        <w:t xml:space="preserve">Provider Relief Bureau </w:t>
      </w:r>
      <w:r w:rsidRPr="00CA0C53">
        <w:rPr>
          <w:rFonts w:eastAsia="Calibri"/>
        </w:rPr>
        <w:t xml:space="preserve">requests approval for changes to the </w:t>
      </w:r>
      <w:r w:rsidRPr="00CA0C53" w:rsidR="00044363">
        <w:rPr>
          <w:rFonts w:eastAsia="Calibri"/>
        </w:rPr>
        <w:t>COVID</w:t>
      </w:r>
      <w:r w:rsidRPr="00CA0C53" w:rsidR="00466716">
        <w:rPr>
          <w:rFonts w:eastAsia="Calibri"/>
        </w:rPr>
        <w:t xml:space="preserve">-19 Provider Relief Fund (PRF) </w:t>
      </w:r>
      <w:r w:rsidRPr="00CA0C53" w:rsidR="004B3301">
        <w:rPr>
          <w:rFonts w:eastAsia="Calibri"/>
        </w:rPr>
        <w:t xml:space="preserve">and the American Rescue Plan (ARP) Rural </w:t>
      </w:r>
      <w:r w:rsidRPr="00CA0C53" w:rsidR="00466716">
        <w:rPr>
          <w:rFonts w:eastAsia="Calibri"/>
        </w:rPr>
        <w:t>Reporting Activities</w:t>
      </w:r>
      <w:r w:rsidRPr="00CA0C53" w:rsidR="00D07DD8">
        <w:rPr>
          <w:rFonts w:eastAsia="Calibri"/>
        </w:rPr>
        <w:t xml:space="preserve"> </w:t>
      </w:r>
      <w:r w:rsidRPr="00CA0C53" w:rsidR="001C250A">
        <w:rPr>
          <w:rFonts w:eastAsia="Calibri"/>
        </w:rPr>
        <w:t xml:space="preserve">(OMB </w:t>
      </w:r>
      <w:r w:rsidRPr="00CA0C53" w:rsidR="002B2C62">
        <w:rPr>
          <w:rFonts w:eastAsia="Calibri"/>
        </w:rPr>
        <w:t>0915</w:t>
      </w:r>
      <w:r w:rsidRPr="00CA0C53" w:rsidR="00C76C18">
        <w:rPr>
          <w:rFonts w:eastAsia="Calibri"/>
        </w:rPr>
        <w:t>/0906</w:t>
      </w:r>
      <w:r w:rsidRPr="00CA0C53" w:rsidR="002B2C62">
        <w:rPr>
          <w:rFonts w:eastAsia="Calibri"/>
        </w:rPr>
        <w:t>-</w:t>
      </w:r>
      <w:r w:rsidRPr="00CA0C53" w:rsidR="00B9563C">
        <w:rPr>
          <w:rFonts w:eastAsia="Calibri"/>
        </w:rPr>
        <w:t>0068</w:t>
      </w:r>
      <w:r w:rsidRPr="00CA0C53">
        <w:rPr>
          <w:rFonts w:eastAsia="Calibri"/>
        </w:rPr>
        <w:t xml:space="preserve"> expiration date </w:t>
      </w:r>
      <w:r w:rsidRPr="00CA0C53" w:rsidR="00565767">
        <w:rPr>
          <w:rFonts w:eastAsia="Calibri"/>
        </w:rPr>
        <w:t>01/31/2026</w:t>
      </w:r>
      <w:r w:rsidRPr="00CA0C53">
        <w:rPr>
          <w:rFonts w:eastAsia="Calibri"/>
        </w:rPr>
        <w:t xml:space="preserve">). </w:t>
      </w:r>
    </w:p>
    <w:p w:rsidR="00E94C7B" w:rsidRPr="00CA0C53" w:rsidP="00E94C7B" w14:paraId="31CA3524" w14:textId="77777777">
      <w:pPr>
        <w:ind w:left="2160" w:hanging="2160"/>
        <w:jc w:val="both"/>
        <w:rPr>
          <w:rFonts w:eastAsia="Calibri"/>
        </w:rPr>
      </w:pPr>
    </w:p>
    <w:p w:rsidR="009A75C4" w:rsidP="00BF0416" w14:paraId="3B476D1F" w14:textId="601A67FA">
      <w:pPr>
        <w:ind w:left="2160" w:hanging="2160"/>
        <w:jc w:val="both"/>
        <w:rPr>
          <w:rFonts w:eastAsia="Calibri"/>
        </w:rPr>
      </w:pPr>
      <w:r w:rsidRPr="7DB79955">
        <w:rPr>
          <w:rFonts w:eastAsia="Calibri"/>
          <w:b/>
          <w:bCs/>
        </w:rPr>
        <w:t>Purpose</w:t>
      </w:r>
      <w:r w:rsidRPr="7DB79955">
        <w:rPr>
          <w:rFonts w:eastAsia="Calibri"/>
        </w:rPr>
        <w:t xml:space="preserve">: </w:t>
      </w:r>
      <w:r w:rsidR="00B92B6C">
        <w:tab/>
      </w:r>
      <w:r w:rsidR="003E6DC6">
        <w:rPr>
          <w:rFonts w:eastAsia="Calibri"/>
        </w:rPr>
        <w:t>This request aims</w:t>
      </w:r>
      <w:r w:rsidRPr="7DB79955" w:rsidR="2C77E000">
        <w:rPr>
          <w:rFonts w:eastAsia="Calibri"/>
        </w:rPr>
        <w:t xml:space="preserve"> to</w:t>
      </w:r>
      <w:r w:rsidRPr="7DB79955" w:rsidR="295CC0DB">
        <w:rPr>
          <w:rFonts w:eastAsia="Calibri"/>
        </w:rPr>
        <w:t xml:space="preserve"> update the</w:t>
      </w:r>
      <w:r w:rsidRPr="7DB79955" w:rsidR="77133842">
        <w:rPr>
          <w:rFonts w:eastAsia="Calibri"/>
        </w:rPr>
        <w:t xml:space="preserve"> Information Collection </w:t>
      </w:r>
      <w:r w:rsidRPr="7DB79955" w:rsidR="03AD946D">
        <w:rPr>
          <w:rFonts w:eastAsia="Calibri"/>
        </w:rPr>
        <w:t>documents</w:t>
      </w:r>
      <w:r w:rsidRPr="7DB79955" w:rsidR="62AF5DF1">
        <w:rPr>
          <w:rFonts w:eastAsia="Calibri"/>
        </w:rPr>
        <w:t xml:space="preserve"> to reflect </w:t>
      </w:r>
      <w:r w:rsidRPr="7DB79955" w:rsidR="14B6BCB4">
        <w:rPr>
          <w:rFonts w:eastAsia="Calibri"/>
        </w:rPr>
        <w:t>the</w:t>
      </w:r>
      <w:r w:rsidRPr="7DB79955" w:rsidR="03AD946D">
        <w:rPr>
          <w:rFonts w:eastAsia="Calibri"/>
        </w:rPr>
        <w:t xml:space="preserve"> changes made in the</w:t>
      </w:r>
      <w:r w:rsidRPr="7DB79955" w:rsidR="262441CB">
        <w:rPr>
          <w:rFonts w:eastAsia="Calibri"/>
        </w:rPr>
        <w:t xml:space="preserve"> Bureau’s</w:t>
      </w:r>
      <w:r w:rsidRPr="7DB79955" w:rsidR="03AD946D">
        <w:rPr>
          <w:rFonts w:eastAsia="Calibri"/>
        </w:rPr>
        <w:t xml:space="preserve"> </w:t>
      </w:r>
      <w:r w:rsidRPr="7DB79955" w:rsidR="6E745A22">
        <w:rPr>
          <w:rFonts w:eastAsia="Calibri"/>
        </w:rPr>
        <w:t>Post-Payment Notice of</w:t>
      </w:r>
      <w:r w:rsidRPr="7DB79955" w:rsidR="14B6BCB4">
        <w:rPr>
          <w:rFonts w:eastAsia="Calibri"/>
        </w:rPr>
        <w:t xml:space="preserve"> </w:t>
      </w:r>
      <w:r w:rsidRPr="7DB79955" w:rsidR="262441CB">
        <w:rPr>
          <w:rFonts w:eastAsia="Calibri"/>
        </w:rPr>
        <w:t>Reporting Re</w:t>
      </w:r>
      <w:r w:rsidRPr="7DB79955" w:rsidR="3E0275E1">
        <w:rPr>
          <w:rFonts w:eastAsia="Calibri"/>
        </w:rPr>
        <w:t>quirements</w:t>
      </w:r>
      <w:r w:rsidRPr="7DB79955" w:rsidR="38F98EE0">
        <w:rPr>
          <w:rFonts w:eastAsia="Calibri"/>
        </w:rPr>
        <w:t xml:space="preserve">.  </w:t>
      </w:r>
      <w:r w:rsidRPr="7DB79955" w:rsidR="2C77E000">
        <w:rPr>
          <w:rFonts w:eastAsia="Calibri"/>
        </w:rPr>
        <w:t>Th</w:t>
      </w:r>
      <w:r w:rsidRPr="7DB79955" w:rsidR="289C1EB1">
        <w:rPr>
          <w:rFonts w:eastAsia="Calibri"/>
        </w:rPr>
        <w:t>e</w:t>
      </w:r>
      <w:r w:rsidRPr="7DB79955" w:rsidR="2C77E000">
        <w:rPr>
          <w:rFonts w:eastAsia="Calibri"/>
        </w:rPr>
        <w:t xml:space="preserve"> </w:t>
      </w:r>
      <w:r w:rsidRPr="7DB79955" w:rsidR="289C1EB1">
        <w:rPr>
          <w:rFonts w:eastAsia="Calibri"/>
        </w:rPr>
        <w:t>n</w:t>
      </w:r>
      <w:r w:rsidRPr="7DB79955" w:rsidR="2C77E000">
        <w:rPr>
          <w:rFonts w:eastAsia="Calibri"/>
        </w:rPr>
        <w:t xml:space="preserve">otice </w:t>
      </w:r>
      <w:r w:rsidRPr="7DB79955" w:rsidR="4B13CE90">
        <w:rPr>
          <w:rFonts w:eastAsia="Calibri"/>
        </w:rPr>
        <w:t xml:space="preserve">published on April 7, </w:t>
      </w:r>
      <w:r w:rsidRPr="7DB79955" w:rsidR="00B94402">
        <w:rPr>
          <w:rFonts w:eastAsia="Calibri"/>
        </w:rPr>
        <w:t>2023</w:t>
      </w:r>
      <w:r w:rsidRPr="7DB79955" w:rsidR="4B13CE90">
        <w:rPr>
          <w:rFonts w:eastAsia="Calibri"/>
        </w:rPr>
        <w:t xml:space="preserve"> </w:t>
      </w:r>
      <w:r w:rsidRPr="7DB79955" w:rsidR="2C77E000">
        <w:rPr>
          <w:rFonts w:eastAsia="Calibri"/>
        </w:rPr>
        <w:t>supersede</w:t>
      </w:r>
      <w:r w:rsidRPr="7DB79955" w:rsidR="289C1EB1">
        <w:rPr>
          <w:rFonts w:eastAsia="Calibri"/>
        </w:rPr>
        <w:t>d</w:t>
      </w:r>
      <w:r w:rsidRPr="7DB79955" w:rsidR="2C77E000">
        <w:rPr>
          <w:rFonts w:eastAsia="Calibri"/>
        </w:rPr>
        <w:t xml:space="preserve"> the</w:t>
      </w:r>
      <w:r w:rsidRPr="7DB79955" w:rsidR="7DED5D21">
        <w:rPr>
          <w:rFonts w:eastAsia="Calibri"/>
        </w:rPr>
        <w:t xml:space="preserve"> </w:t>
      </w:r>
      <w:r w:rsidRPr="7DB79955" w:rsidR="2C77E000">
        <w:rPr>
          <w:rFonts w:eastAsia="Calibri"/>
        </w:rPr>
        <w:t xml:space="preserve">Post-Payment Notice of Reporting Requirements released on October 27, 2022.  Specifically, the reporting requirements </w:t>
      </w:r>
      <w:r w:rsidRPr="7DB79955" w:rsidR="289C1EB1">
        <w:rPr>
          <w:rFonts w:eastAsia="Calibri"/>
        </w:rPr>
        <w:t xml:space="preserve">were </w:t>
      </w:r>
      <w:r w:rsidRPr="7DB79955" w:rsidR="2C77E000">
        <w:rPr>
          <w:rFonts w:eastAsia="Calibri"/>
        </w:rPr>
        <w:t>updated to include Period 8 (i.e., payment received period from July 1, 2023, to December 31, 2023) and Period 9 (i.e., payment received period from January 1, 2024, to June 30, 2024), as well as updating the associated Periods of Availability of Funds and Reporting Time Periods for Periods 8 and 9.  It also include</w:t>
      </w:r>
      <w:r w:rsidRPr="7DB79955" w:rsidR="289C1EB1">
        <w:rPr>
          <w:rFonts w:eastAsia="Calibri"/>
        </w:rPr>
        <w:t>d</w:t>
      </w:r>
      <w:r w:rsidRPr="7DB79955" w:rsidR="2C77E000">
        <w:rPr>
          <w:rFonts w:eastAsia="Calibri"/>
        </w:rPr>
        <w:t xml:space="preserve"> clarifying information regarding the use of PRF and ARP Rural payments for lost revenues after the COVID-19 Public Health Emergency ends.  The COVID-19 Public Health Emergency end</w:t>
      </w:r>
      <w:r w:rsidR="006E4E33">
        <w:rPr>
          <w:rFonts w:eastAsia="Calibri"/>
        </w:rPr>
        <w:t>s</w:t>
      </w:r>
      <w:r w:rsidRPr="7DB79955" w:rsidR="2C77E000">
        <w:rPr>
          <w:rFonts w:eastAsia="Calibri"/>
        </w:rPr>
        <w:t xml:space="preserve"> on May 11, 2023.</w:t>
      </w:r>
    </w:p>
    <w:p w:rsidR="00E94C7B" w:rsidRPr="00CA0C53" w:rsidP="00E94C7B" w14:paraId="0F064F8B" w14:textId="77777777">
      <w:pPr>
        <w:ind w:left="2160" w:hanging="2160"/>
        <w:jc w:val="both"/>
      </w:pPr>
    </w:p>
    <w:p w:rsidR="00C456A8" w:rsidRPr="004B3301" w:rsidP="00C863D6" w14:paraId="0571083A" w14:textId="47194461">
      <w:pPr>
        <w:spacing w:after="200" w:line="276" w:lineRule="auto"/>
        <w:ind w:left="2160"/>
        <w:rPr>
          <w:rFonts w:eastAsia="Calibri"/>
        </w:rPr>
      </w:pPr>
      <w:r w:rsidRPr="004B3301">
        <w:rPr>
          <w:rFonts w:eastAsia="Calibri"/>
        </w:rPr>
        <w:t>This memo explains t</w:t>
      </w:r>
      <w:r w:rsidRPr="004B3301" w:rsidR="00B92B6C">
        <w:rPr>
          <w:rFonts w:eastAsia="Calibri"/>
        </w:rPr>
        <w:t xml:space="preserve">he changes and supporting rationale. </w:t>
      </w:r>
      <w:r w:rsidRPr="004B3301">
        <w:rPr>
          <w:rFonts w:eastAsia="Calibri"/>
          <w:b/>
        </w:rPr>
        <w:tab/>
      </w:r>
    </w:p>
    <w:p w:rsidR="009B08B8" w:rsidP="00CD227B" w14:paraId="2CA6FBE3" w14:textId="6650F788">
      <w:pPr>
        <w:spacing w:after="200" w:line="276" w:lineRule="auto"/>
        <w:ind w:left="2160" w:hanging="2160"/>
        <w:rPr>
          <w:rFonts w:eastAsia="Calibri"/>
          <w:b/>
          <w:bCs/>
        </w:rPr>
      </w:pPr>
      <w:r w:rsidRPr="004B3301">
        <w:rPr>
          <w:rFonts w:eastAsia="Calibri"/>
          <w:b/>
          <w:bCs/>
        </w:rPr>
        <w:t>Changes:</w:t>
      </w:r>
      <w:r w:rsidRPr="004B3301">
        <w:rPr>
          <w:rFonts w:eastAsia="Calibri"/>
          <w:b/>
          <w:bCs/>
        </w:rPr>
        <w:tab/>
      </w:r>
      <w:r w:rsidRPr="001A7385" w:rsidR="00D00729">
        <w:rPr>
          <w:rFonts w:eastAsia="Calibri"/>
        </w:rPr>
        <w:t>There are no changes to the instrument used to collect the information</w:t>
      </w:r>
      <w:r w:rsidRPr="001A7385" w:rsidR="00460631">
        <w:rPr>
          <w:rFonts w:eastAsia="Calibri"/>
        </w:rPr>
        <w:t xml:space="preserve"> required</w:t>
      </w:r>
      <w:r w:rsidRPr="001A7385" w:rsidR="00D00729">
        <w:rPr>
          <w:rFonts w:eastAsia="Calibri"/>
        </w:rPr>
        <w:t>; however, there is a change in the</w:t>
      </w:r>
      <w:r w:rsidRPr="001A7385" w:rsidR="00A823D7">
        <w:rPr>
          <w:rFonts w:eastAsia="Calibri"/>
        </w:rPr>
        <w:t xml:space="preserve"> number of </w:t>
      </w:r>
      <w:r w:rsidRPr="001A7385" w:rsidR="00460631">
        <w:rPr>
          <w:rFonts w:eastAsia="Calibri"/>
        </w:rPr>
        <w:t xml:space="preserve">reporting periods </w:t>
      </w:r>
      <w:r w:rsidRPr="001A7385" w:rsidR="00651D47">
        <w:rPr>
          <w:rFonts w:eastAsia="Calibri"/>
        </w:rPr>
        <w:t>required</w:t>
      </w:r>
      <w:r w:rsidR="00020544">
        <w:rPr>
          <w:rFonts w:eastAsia="Calibri"/>
        </w:rPr>
        <w:t xml:space="preserve"> by the agency to </w:t>
      </w:r>
      <w:r w:rsidR="00331256">
        <w:rPr>
          <w:rFonts w:eastAsia="Calibri"/>
        </w:rPr>
        <w:t>conduct effective program oversight</w:t>
      </w:r>
      <w:r w:rsidRPr="001A7385" w:rsidR="00651D47">
        <w:rPr>
          <w:rFonts w:eastAsia="Calibri"/>
        </w:rPr>
        <w:t>.</w:t>
      </w:r>
      <w:r w:rsidR="00855D01">
        <w:rPr>
          <w:rFonts w:eastAsia="Calibri"/>
        </w:rPr>
        <w:t xml:space="preserve"> These changes</w:t>
      </w:r>
      <w:r w:rsidR="00A000EA">
        <w:rPr>
          <w:rFonts w:eastAsia="Calibri"/>
        </w:rPr>
        <w:t xml:space="preserve"> also</w:t>
      </w:r>
      <w:r w:rsidR="00855D01">
        <w:rPr>
          <w:rFonts w:eastAsia="Calibri"/>
        </w:rPr>
        <w:t xml:space="preserve"> result in changes within the burden estimates.</w:t>
      </w:r>
    </w:p>
    <w:p w:rsidR="0068696A" w:rsidP="001E1EAD" w14:paraId="29335119" w14:textId="03E5199A">
      <w:pPr>
        <w:ind w:left="2160"/>
      </w:pPr>
      <w:r w:rsidRPr="004B3301">
        <w:rPr>
          <w:rFonts w:eastAsia="Calibri"/>
        </w:rPr>
        <w:t>Table A includes the</w:t>
      </w:r>
      <w:r w:rsidR="007E0CEC">
        <w:rPr>
          <w:rFonts w:eastAsia="Calibri"/>
        </w:rPr>
        <w:t xml:space="preserve"> </w:t>
      </w:r>
      <w:r w:rsidR="00DD0219">
        <w:rPr>
          <w:rFonts w:eastAsia="Calibri"/>
        </w:rPr>
        <w:t>documents that</w:t>
      </w:r>
      <w:r w:rsidR="00ED4DE4">
        <w:rPr>
          <w:rFonts w:eastAsia="Calibri"/>
        </w:rPr>
        <w:t xml:space="preserve"> </w:t>
      </w:r>
      <w:r w:rsidRPr="004B3301">
        <w:rPr>
          <w:rFonts w:eastAsia="Calibri"/>
        </w:rPr>
        <w:t>received the change</w:t>
      </w:r>
      <w:r w:rsidR="00DD0219">
        <w:rPr>
          <w:rFonts w:eastAsia="Calibri"/>
        </w:rPr>
        <w:t>s</w:t>
      </w:r>
      <w:r w:rsidRPr="004B3301">
        <w:rPr>
          <w:rFonts w:eastAsia="Calibri"/>
        </w:rPr>
        <w:t xml:space="preserve">, the </w:t>
      </w:r>
      <w:r w:rsidR="007E0CEC">
        <w:rPr>
          <w:rFonts w:eastAsia="Calibri"/>
        </w:rPr>
        <w:t xml:space="preserve">information </w:t>
      </w:r>
      <w:r w:rsidR="003E6DC6">
        <w:rPr>
          <w:rFonts w:eastAsia="Calibri"/>
        </w:rPr>
        <w:t xml:space="preserve">that </w:t>
      </w:r>
      <w:r w:rsidRPr="004B3301">
        <w:rPr>
          <w:rFonts w:eastAsia="Calibri"/>
        </w:rPr>
        <w:t xml:space="preserve">was altered/added, </w:t>
      </w:r>
      <w:r w:rsidR="003E6DC6">
        <w:rPr>
          <w:rFonts w:eastAsia="Calibri"/>
        </w:rPr>
        <w:t xml:space="preserve">a </w:t>
      </w:r>
      <w:r w:rsidRPr="004B3301">
        <w:rPr>
          <w:rFonts w:eastAsia="Calibri"/>
        </w:rPr>
        <w:t>description of the change</w:t>
      </w:r>
      <w:r w:rsidR="003E6DC6">
        <w:rPr>
          <w:rFonts w:eastAsia="Calibri"/>
        </w:rPr>
        <w:t>s</w:t>
      </w:r>
      <w:r w:rsidRPr="004B3301">
        <w:rPr>
          <w:rFonts w:eastAsia="Calibri"/>
        </w:rPr>
        <w:t>, and the rationale for the change.</w:t>
      </w:r>
      <w:r>
        <w:rPr>
          <w:rFonts w:eastAsia="Calibri"/>
        </w:rPr>
        <w:t xml:space="preserve">  </w:t>
      </w:r>
      <w:r w:rsidR="003E6DC6">
        <w:rPr>
          <w:rFonts w:eastAsia="Calibri"/>
        </w:rPr>
        <w:t>Also a</w:t>
      </w:r>
      <w:r>
        <w:rPr>
          <w:rFonts w:eastAsia="Calibri"/>
        </w:rPr>
        <w:t xml:space="preserve">ttached are the </w:t>
      </w:r>
      <w:r w:rsidR="00D84F30">
        <w:rPr>
          <w:rFonts w:eastAsia="Calibri"/>
        </w:rPr>
        <w:t>P</w:t>
      </w:r>
      <w:r w:rsidR="00DC6AC9">
        <w:t xml:space="preserve">rovider </w:t>
      </w:r>
      <w:r w:rsidR="003E6DC6">
        <w:t>Post-Payment Notice</w:t>
      </w:r>
      <w:r w:rsidR="00143FEE">
        <w:t xml:space="preserve"> of Reporting Requirements – April 2023</w:t>
      </w:r>
      <w:r w:rsidR="00D84F30">
        <w:t xml:space="preserve"> (Attachment 1</w:t>
      </w:r>
      <w:r w:rsidR="00FD47E4">
        <w:t>)</w:t>
      </w:r>
      <w:r w:rsidR="00D84F30">
        <w:t xml:space="preserve"> </w:t>
      </w:r>
    </w:p>
    <w:p w:rsidR="00C80A25" w:rsidP="001E1EAD" w14:paraId="07D3085E" w14:textId="197D6168">
      <w:pPr>
        <w:ind w:left="2160"/>
      </w:pPr>
    </w:p>
    <w:p w:rsidR="00DA5A62" w:rsidP="001E1EAD" w14:paraId="7A0E88A7" w14:textId="1A9D5F83">
      <w:pPr>
        <w:ind w:left="2160"/>
      </w:pPr>
    </w:p>
    <w:p w:rsidR="00DA5A62" w:rsidP="001E1EAD" w14:paraId="2265ED59" w14:textId="3B4F311F">
      <w:pPr>
        <w:ind w:left="2160"/>
      </w:pPr>
    </w:p>
    <w:p w:rsidR="00DA5A62" w:rsidP="001E1EAD" w14:paraId="681C382B" w14:textId="1DA3B585">
      <w:pPr>
        <w:ind w:left="2160"/>
      </w:pPr>
    </w:p>
    <w:p w:rsidR="00DA5A62" w:rsidP="001E1EAD" w14:paraId="2C77785F" w14:textId="7E51B22B">
      <w:pPr>
        <w:ind w:left="2160"/>
      </w:pPr>
    </w:p>
    <w:p w:rsidR="00DA5A62" w:rsidP="001E1EAD" w14:paraId="1F2D1DC6" w14:textId="20DBFC0A">
      <w:pPr>
        <w:ind w:left="2160"/>
      </w:pPr>
    </w:p>
    <w:p w:rsidR="00DA5A62" w:rsidP="001E1EAD" w14:paraId="3260CD92" w14:textId="77777777">
      <w:pPr>
        <w:ind w:left="2160"/>
      </w:pPr>
    </w:p>
    <w:p w:rsidR="00C41D78" w:rsidP="001E1EAD" w14:paraId="2E9D1D6E" w14:textId="77777777">
      <w:pPr>
        <w:ind w:left="2160"/>
      </w:pPr>
    </w:p>
    <w:p w:rsidR="001E1EAD" w:rsidP="001E1EAD" w14:paraId="0224C246" w14:textId="77777777">
      <w:pPr>
        <w:ind w:left="2160"/>
      </w:pPr>
    </w:p>
    <w:p w:rsidR="00D3225E" w:rsidP="00D3225E" w14:paraId="3799ED2E" w14:textId="37D42240">
      <w:pPr>
        <w:pStyle w:val="BodyText"/>
        <w:ind w:left="2160"/>
        <w:rPr>
          <w:u w:val="single"/>
        </w:rPr>
      </w:pPr>
      <w:r>
        <w:rPr>
          <w:u w:val="single"/>
        </w:rPr>
        <w:t>Estimates of Ann</w:t>
      </w:r>
      <w:r w:rsidR="00BD0799">
        <w:rPr>
          <w:u w:val="single"/>
        </w:rPr>
        <w:t>ualized Hour Burden</w:t>
      </w:r>
    </w:p>
    <w:p w:rsidR="00C12B71" w:rsidRPr="00C12B71" w:rsidP="00C12B71" w14:paraId="1C7E0880" w14:textId="4CF6E7B2">
      <w:pPr>
        <w:pStyle w:val="BodyText"/>
        <w:ind w:left="2160"/>
      </w:pPr>
      <w:r>
        <w:t xml:space="preserve">  </w:t>
      </w:r>
    </w:p>
    <w:p w:rsidR="0089448C" w:rsidRPr="004B3301" w:rsidP="7DB79955" w14:paraId="663399FF" w14:textId="4012DA54">
      <w:pPr>
        <w:spacing w:line="276" w:lineRule="auto"/>
        <w:ind w:left="2160"/>
      </w:pPr>
    </w:p>
    <w:p w:rsidR="00C456A8" w:rsidRPr="004B3301" w:rsidP="00C51FB0" w14:paraId="2F332D94" w14:textId="055A377E">
      <w:pPr>
        <w:spacing w:line="276" w:lineRule="auto"/>
        <w:ind w:left="2160"/>
        <w:rPr>
          <w:rFonts w:eastAsia="Calibri"/>
        </w:rPr>
      </w:pPr>
      <w:r w:rsidRPr="004B3301">
        <w:rPr>
          <w:rFonts w:eastAsia="Calibri"/>
        </w:rPr>
        <w:t xml:space="preserve">Given </w:t>
      </w:r>
      <w:r w:rsidR="0056304D">
        <w:rPr>
          <w:rFonts w:eastAsia="Calibri"/>
        </w:rPr>
        <w:t>that</w:t>
      </w:r>
      <w:r w:rsidRPr="004B3301">
        <w:rPr>
          <w:rFonts w:eastAsia="Calibri"/>
        </w:rPr>
        <w:t xml:space="preserve"> the </w:t>
      </w:r>
      <w:r w:rsidR="0019579F">
        <w:rPr>
          <w:rFonts w:eastAsia="Calibri"/>
        </w:rPr>
        <w:t>feder</w:t>
      </w:r>
      <w:r w:rsidR="00A3389B">
        <w:rPr>
          <w:rFonts w:eastAsia="Calibri"/>
        </w:rPr>
        <w:t>al Public Health Emergency (PHE) for COVID-</w:t>
      </w:r>
      <w:r w:rsidR="00CA05BE">
        <w:rPr>
          <w:rFonts w:eastAsia="Calibri"/>
        </w:rPr>
        <w:t>19,</w:t>
      </w:r>
      <w:r w:rsidR="006961AE">
        <w:rPr>
          <w:rFonts w:eastAsia="Calibri"/>
        </w:rPr>
        <w:t xml:space="preserve"> declared under Section 319 of the Public Service Act, </w:t>
      </w:r>
      <w:r w:rsidR="0056304D">
        <w:rPr>
          <w:rFonts w:eastAsia="Calibri"/>
        </w:rPr>
        <w:t>will</w:t>
      </w:r>
      <w:r w:rsidR="006961AE">
        <w:rPr>
          <w:rFonts w:eastAsia="Calibri"/>
        </w:rPr>
        <w:t xml:space="preserve"> expire at the end of the day on May 11, 2023</w:t>
      </w:r>
      <w:r w:rsidRPr="004B3301">
        <w:rPr>
          <w:rFonts w:eastAsia="Calibri"/>
        </w:rPr>
        <w:t>, the</w:t>
      </w:r>
      <w:r w:rsidRPr="004B3301" w:rsidR="004418A1">
        <w:rPr>
          <w:rFonts w:eastAsia="Calibri"/>
        </w:rPr>
        <w:t xml:space="preserve"> </w:t>
      </w:r>
      <w:r w:rsidRPr="004B3301">
        <w:rPr>
          <w:rFonts w:eastAsia="Calibri"/>
        </w:rPr>
        <w:t xml:space="preserve">changes </w:t>
      </w:r>
      <w:r w:rsidRPr="004B3301" w:rsidR="004418A1">
        <w:rPr>
          <w:rFonts w:eastAsia="Calibri"/>
        </w:rPr>
        <w:t xml:space="preserve">mentioned above </w:t>
      </w:r>
      <w:r w:rsidRPr="004B3301">
        <w:rPr>
          <w:rFonts w:eastAsia="Calibri"/>
        </w:rPr>
        <w:t>are necessary</w:t>
      </w:r>
      <w:r w:rsidR="0009409C">
        <w:rPr>
          <w:rFonts w:eastAsia="Calibri"/>
        </w:rPr>
        <w:t xml:space="preserve"> to </w:t>
      </w:r>
      <w:r w:rsidR="00627F94">
        <w:rPr>
          <w:rFonts w:eastAsia="Calibri"/>
        </w:rPr>
        <w:t>conduct</w:t>
      </w:r>
      <w:r w:rsidR="0009409C">
        <w:rPr>
          <w:rFonts w:eastAsia="Calibri"/>
        </w:rPr>
        <w:t xml:space="preserve"> </w:t>
      </w:r>
      <w:r w:rsidR="00012FE1">
        <w:rPr>
          <w:rFonts w:eastAsia="Calibri"/>
        </w:rPr>
        <w:t>agency operations.</w:t>
      </w:r>
    </w:p>
    <w:p w:rsidR="00141E59" w:rsidRPr="004B3301" w:rsidP="00B92B6C" w14:paraId="3D7315A6" w14:textId="77777777">
      <w:pPr>
        <w:spacing w:after="200" w:line="276" w:lineRule="auto"/>
        <w:ind w:left="2160"/>
        <w:rPr>
          <w:rFonts w:eastAsia="Calibri"/>
        </w:rPr>
      </w:pPr>
    </w:p>
    <w:p w:rsidR="00B92B6C" w:rsidRPr="004B3301" w:rsidP="0097437E" w14:paraId="29473172" w14:textId="5B0A0386">
      <w:pPr>
        <w:spacing w:after="200" w:line="276" w:lineRule="auto"/>
        <w:ind w:left="2160" w:hanging="2160"/>
        <w:rPr>
          <w:rFonts w:eastAsia="Calibri"/>
        </w:rPr>
      </w:pPr>
      <w:r w:rsidRPr="004B3301">
        <w:rPr>
          <w:rFonts w:eastAsia="Calibri"/>
          <w:b/>
        </w:rPr>
        <w:t>Time Sensitivity</w:t>
      </w:r>
      <w:r w:rsidRPr="004B3301" w:rsidR="00816253">
        <w:rPr>
          <w:rFonts w:eastAsia="Calibri"/>
        </w:rPr>
        <w:t xml:space="preserve">: </w:t>
      </w:r>
      <w:r w:rsidRPr="004B3301" w:rsidR="00816253">
        <w:rPr>
          <w:rFonts w:eastAsia="Calibri"/>
        </w:rPr>
        <w:tab/>
      </w:r>
      <w:r w:rsidRPr="004B3301" w:rsidR="00270FE3">
        <w:rPr>
          <w:rFonts w:eastAsia="Calibri"/>
        </w:rPr>
        <w:t xml:space="preserve">The data collection changes must be completed in a timely manner to ensure that the survey data collection schedule will not experience significant delay. Approval of these changes is needed by </w:t>
      </w:r>
      <w:r w:rsidR="00286CC9">
        <w:rPr>
          <w:rFonts w:eastAsia="Calibri"/>
        </w:rPr>
        <w:t>June 1</w:t>
      </w:r>
      <w:r w:rsidRPr="004B3301" w:rsidR="009005C0">
        <w:rPr>
          <w:rFonts w:eastAsia="Calibri"/>
        </w:rPr>
        <w:t>, 2023</w:t>
      </w:r>
      <w:r w:rsidRPr="004B3301" w:rsidR="00270FE3">
        <w:rPr>
          <w:rFonts w:eastAsia="Calibri"/>
        </w:rPr>
        <w:t>, to implement</w:t>
      </w:r>
      <w:r w:rsidR="006E2EE4">
        <w:rPr>
          <w:rFonts w:eastAsia="Calibri"/>
        </w:rPr>
        <w:t xml:space="preserve"> associated reporting portal </w:t>
      </w:r>
      <w:r w:rsidR="007C7C23">
        <w:rPr>
          <w:rFonts w:eastAsia="Calibri"/>
        </w:rPr>
        <w:t>updates</w:t>
      </w:r>
      <w:r w:rsidRPr="004B3301" w:rsidR="00270FE3">
        <w:rPr>
          <w:rFonts w:eastAsia="Calibri"/>
        </w:rPr>
        <w:t xml:space="preserve"> and to prepare for the timely collection of data critical to HRSA researchers. </w:t>
      </w:r>
      <w:r w:rsidRPr="004B3301" w:rsidR="006934A4">
        <w:rPr>
          <w:rFonts w:eastAsia="Calibri"/>
        </w:rPr>
        <w:t xml:space="preserve"> </w:t>
      </w:r>
    </w:p>
    <w:p w:rsidR="00C06EB8" w:rsidP="00C06EB8" w14:paraId="3C425617" w14:textId="48DB7B2E">
      <w:pPr>
        <w:spacing w:after="200" w:line="276" w:lineRule="auto"/>
        <w:ind w:left="2160" w:hanging="2160"/>
        <w:rPr>
          <w:rFonts w:eastAsia="Calibri"/>
          <w:bCs/>
        </w:rPr>
      </w:pPr>
      <w:r w:rsidRPr="004B3301">
        <w:rPr>
          <w:rFonts w:eastAsia="Calibri"/>
          <w:b/>
        </w:rPr>
        <w:t>Burden:</w:t>
      </w:r>
      <w:r w:rsidRPr="004B3301">
        <w:rPr>
          <w:rFonts w:eastAsia="Calibri"/>
        </w:rPr>
        <w:tab/>
      </w:r>
      <w:r w:rsidRPr="00B92B6C" w:rsidR="00455616">
        <w:rPr>
          <w:rFonts w:eastAsia="Calibri"/>
        </w:rPr>
        <w:t>The</w:t>
      </w:r>
      <w:r w:rsidR="00455616">
        <w:rPr>
          <w:rFonts w:eastAsia="Calibri"/>
        </w:rPr>
        <w:t>se changes</w:t>
      </w:r>
      <w:r w:rsidRPr="00B92B6C" w:rsidR="00455616">
        <w:rPr>
          <w:rFonts w:eastAsia="Calibri"/>
        </w:rPr>
        <w:t xml:space="preserve"> included herein do not substantially change the estimated reporting burden </w:t>
      </w:r>
      <w:r w:rsidR="00455616">
        <w:rPr>
          <w:rFonts w:eastAsia="Calibri"/>
        </w:rPr>
        <w:t>for providers.</w:t>
      </w:r>
      <w:r w:rsidR="00A937CE">
        <w:rPr>
          <w:rFonts w:eastAsia="Calibri"/>
        </w:rPr>
        <w:t xml:space="preserve"> </w:t>
      </w:r>
      <w:r w:rsidR="006F6CDF">
        <w:rPr>
          <w:rFonts w:eastAsia="Calibri"/>
        </w:rPr>
        <w:t xml:space="preserve">The reporting burden </w:t>
      </w:r>
      <w:r w:rsidR="0045323F">
        <w:rPr>
          <w:rFonts w:eastAsia="Calibri"/>
        </w:rPr>
        <w:t xml:space="preserve">formula </w:t>
      </w:r>
      <w:r w:rsidR="006F6CDF">
        <w:rPr>
          <w:rFonts w:eastAsia="Calibri"/>
        </w:rPr>
        <w:t>is the same</w:t>
      </w:r>
      <w:r w:rsidR="00612F6E">
        <w:rPr>
          <w:rFonts w:eastAsia="Calibri"/>
        </w:rPr>
        <w:t xml:space="preserve"> for each reporting period</w:t>
      </w:r>
      <w:r w:rsidR="0045323F">
        <w:rPr>
          <w:rFonts w:eastAsia="Calibri"/>
        </w:rPr>
        <w:t xml:space="preserve">; </w:t>
      </w:r>
      <w:r w:rsidR="00612F6E">
        <w:rPr>
          <w:rFonts w:eastAsia="Calibri"/>
        </w:rPr>
        <w:t>however,</w:t>
      </w:r>
      <w:r w:rsidR="0045323F">
        <w:rPr>
          <w:rFonts w:eastAsia="Calibri"/>
        </w:rPr>
        <w:t xml:space="preserve"> we have added additional reporting periods to </w:t>
      </w:r>
      <w:r w:rsidR="00A15FAF">
        <w:rPr>
          <w:rFonts w:eastAsia="Calibri"/>
        </w:rPr>
        <w:t xml:space="preserve">account for funding </w:t>
      </w:r>
      <w:r w:rsidR="004D32EA">
        <w:rPr>
          <w:rFonts w:eastAsia="Calibri"/>
        </w:rPr>
        <w:t>anticipated to be distributed</w:t>
      </w:r>
      <w:r w:rsidR="00A15FAF">
        <w:rPr>
          <w:rFonts w:eastAsia="Calibri"/>
        </w:rPr>
        <w:t xml:space="preserve"> in </w:t>
      </w:r>
      <w:r w:rsidR="0045323F">
        <w:rPr>
          <w:rFonts w:eastAsia="Calibri"/>
        </w:rPr>
        <w:t xml:space="preserve">the </w:t>
      </w:r>
      <w:r w:rsidR="00A15FAF">
        <w:rPr>
          <w:rFonts w:eastAsia="Calibri"/>
        </w:rPr>
        <w:t>second half of 2023 and the first half of 2024.</w:t>
      </w:r>
      <w:r w:rsidR="006F6CDF">
        <w:rPr>
          <w:rFonts w:eastAsia="Calibri"/>
        </w:rPr>
        <w:t xml:space="preserve"> </w:t>
      </w:r>
      <w:r w:rsidRPr="00B92B6C" w:rsidR="00455616">
        <w:rPr>
          <w:rFonts w:eastAsia="Calibri"/>
        </w:rPr>
        <w:t xml:space="preserve"> </w:t>
      </w:r>
      <w:r w:rsidR="00274BCB">
        <w:rPr>
          <w:rFonts w:eastAsia="Calibri"/>
        </w:rPr>
        <w:t>These</w:t>
      </w:r>
      <w:r w:rsidR="00455616">
        <w:rPr>
          <w:rFonts w:eastAsia="Calibri"/>
        </w:rPr>
        <w:t xml:space="preserve"> </w:t>
      </w:r>
      <w:r w:rsidR="009025E3">
        <w:rPr>
          <w:rFonts w:eastAsia="Calibri"/>
        </w:rPr>
        <w:t xml:space="preserve">additional reporting periods </w:t>
      </w:r>
      <w:r w:rsidR="00455616">
        <w:rPr>
          <w:rFonts w:eastAsia="Calibri"/>
        </w:rPr>
        <w:t xml:space="preserve">will allow HRSA to </w:t>
      </w:r>
      <w:r w:rsidRPr="00274BCB" w:rsidR="00274BCB">
        <w:rPr>
          <w:rFonts w:eastAsia="Calibri"/>
        </w:rPr>
        <w:t>capture data to conduct effective program oversight</w:t>
      </w:r>
      <w:r w:rsidR="009025E3">
        <w:rPr>
          <w:rFonts w:eastAsia="Calibri"/>
        </w:rPr>
        <w:t xml:space="preserve"> and</w:t>
      </w:r>
      <w:r w:rsidRPr="00C06EB8">
        <w:rPr>
          <w:rFonts w:eastAsia="Calibri"/>
          <w:bCs/>
        </w:rPr>
        <w:t xml:space="preserve"> to (1) assess whether recipients have met statutory and programmatic requirements, (2) conduct audits, (3) gather data required to report on findings with respect to the disbursements of PRF payments, and (4) support program evaluation. HRSA staff will also use information collected to identify and report on trends in health care metrics and expenditures before and during the allowable period for expending PRF payments.  If the information is not collected, HRSA’s ability to conduct review and audits on appropriate entities will be jeopardized if data that informs the program review and audit strategies cannot be collected.  Finally, effective program evaluation will be severely limited and the program itself will be unable to operate in a fiscally prudent manner.</w:t>
      </w:r>
    </w:p>
    <w:p w:rsidR="00C80A25" w:rsidRPr="00C06EB8" w:rsidP="00C06EB8" w14:paraId="2DF1AD0D" w14:textId="77777777">
      <w:pPr>
        <w:spacing w:after="200" w:line="276" w:lineRule="auto"/>
        <w:ind w:left="2160" w:hanging="2160"/>
        <w:rPr>
          <w:rFonts w:eastAsia="Calibri"/>
          <w:bCs/>
        </w:rPr>
      </w:pPr>
    </w:p>
    <w:p w:rsidR="00B92B6C" w:rsidRPr="004B3301" w:rsidP="00B92B6C" w14:paraId="2876826F" w14:textId="1206F540">
      <w:pPr>
        <w:spacing w:after="200" w:line="276" w:lineRule="auto"/>
        <w:rPr>
          <w:rFonts w:eastAsia="Calibri"/>
          <w:b/>
        </w:rPr>
      </w:pPr>
      <w:r w:rsidRPr="004B3301">
        <w:rPr>
          <w:rFonts w:eastAsia="Calibri"/>
          <w:b/>
        </w:rPr>
        <w:t xml:space="preserve">PROPOSED CLARIFICATIONS AND </w:t>
      </w:r>
      <w:r w:rsidRPr="004B3301" w:rsidR="005114FA">
        <w:rPr>
          <w:rFonts w:eastAsia="Calibri"/>
          <w:b/>
        </w:rPr>
        <w:t>NON-SUBSTANTIVE CHANGES</w:t>
      </w:r>
      <w:r w:rsidRPr="004B3301">
        <w:rPr>
          <w:rFonts w:eastAsia="Calibri"/>
          <w:b/>
        </w:rPr>
        <w:t>:</w:t>
      </w:r>
    </w:p>
    <w:p w:rsidR="00FB4421" w:rsidRPr="00C41D78" w:rsidP="001A7385" w14:paraId="560ABBEC" w14:textId="77777777">
      <w:pPr>
        <w:pStyle w:val="Heading2"/>
      </w:pPr>
      <w:r w:rsidRPr="00C41D78">
        <w:t>Table A</w:t>
      </w:r>
    </w:p>
    <w:tbl>
      <w:tblPr>
        <w:tblpPr w:leftFromText="180" w:rightFromText="180" w:vertAnchor="text" w:horzAnchor="margin" w:tblpY="362"/>
        <w:tblW w:w="88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76"/>
        <w:gridCol w:w="2138"/>
        <w:gridCol w:w="3108"/>
        <w:gridCol w:w="2398"/>
      </w:tblGrid>
      <w:tr w14:paraId="1BF753C9" w14:textId="77777777" w:rsidTr="001A7385">
        <w:tblPrEx>
          <w:tblW w:w="88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637"/>
        </w:trPr>
        <w:tc>
          <w:tcPr>
            <w:tcW w:w="1176" w:type="dxa"/>
            <w:tcBorders>
              <w:top w:val="single" w:sz="6" w:space="0" w:color="auto"/>
              <w:left w:val="single" w:sz="6" w:space="0" w:color="auto"/>
              <w:bottom w:val="single" w:sz="6" w:space="0" w:color="auto"/>
              <w:right w:val="single" w:sz="6" w:space="0" w:color="auto"/>
            </w:tcBorders>
            <w:shd w:val="clear" w:color="auto" w:fill="auto"/>
            <w:hideMark/>
          </w:tcPr>
          <w:p w:rsidR="00FB4421" w:rsidRPr="00C41D78" w:rsidP="00FB4421" w14:paraId="09A68F98" w14:textId="77777777">
            <w:pPr>
              <w:textAlignment w:val="baseline"/>
              <w:rPr>
                <w:rFonts w:ascii="Segoe UI" w:hAnsi="Segoe UI" w:cs="Segoe UI"/>
                <w:sz w:val="18"/>
                <w:szCs w:val="18"/>
              </w:rPr>
            </w:pPr>
            <w:r w:rsidRPr="00E9395E">
              <w:rPr>
                <w:b/>
                <w:bCs/>
                <w:sz w:val="20"/>
                <w:szCs w:val="20"/>
              </w:rPr>
              <w:t>Program Document</w:t>
            </w:r>
            <w:r>
              <w:rPr>
                <w:sz w:val="20"/>
                <w:szCs w:val="20"/>
              </w:rPr>
              <w:t xml:space="preserve"> </w:t>
            </w:r>
          </w:p>
        </w:tc>
        <w:tc>
          <w:tcPr>
            <w:tcW w:w="2138" w:type="dxa"/>
            <w:tcBorders>
              <w:top w:val="single" w:sz="6" w:space="0" w:color="auto"/>
              <w:left w:val="single" w:sz="6" w:space="0" w:color="auto"/>
              <w:bottom w:val="single" w:sz="6" w:space="0" w:color="auto"/>
              <w:right w:val="single" w:sz="6" w:space="0" w:color="auto"/>
            </w:tcBorders>
            <w:shd w:val="clear" w:color="auto" w:fill="auto"/>
            <w:hideMark/>
          </w:tcPr>
          <w:p w:rsidR="00FB4421" w:rsidRPr="00C41D78" w:rsidP="00FB4421" w14:paraId="55DF80CD" w14:textId="77777777">
            <w:pPr>
              <w:textAlignment w:val="baseline"/>
              <w:rPr>
                <w:rFonts w:ascii="Segoe UI" w:hAnsi="Segoe UI" w:cs="Segoe UI"/>
                <w:sz w:val="18"/>
                <w:szCs w:val="18"/>
              </w:rPr>
            </w:pPr>
            <w:r>
              <w:rPr>
                <w:b/>
                <w:bCs/>
                <w:sz w:val="20"/>
                <w:szCs w:val="20"/>
              </w:rPr>
              <w:t xml:space="preserve">Altered Information </w:t>
            </w:r>
          </w:p>
        </w:tc>
        <w:tc>
          <w:tcPr>
            <w:tcW w:w="3108" w:type="dxa"/>
            <w:tcBorders>
              <w:top w:val="single" w:sz="6" w:space="0" w:color="auto"/>
              <w:left w:val="single" w:sz="6" w:space="0" w:color="auto"/>
              <w:bottom w:val="single" w:sz="6" w:space="0" w:color="auto"/>
              <w:right w:val="single" w:sz="6" w:space="0" w:color="auto"/>
            </w:tcBorders>
            <w:shd w:val="clear" w:color="auto" w:fill="auto"/>
            <w:hideMark/>
          </w:tcPr>
          <w:p w:rsidR="00FB4421" w:rsidRPr="00C41D78" w:rsidP="00FB4421" w14:paraId="7A5D165B" w14:textId="77777777">
            <w:pPr>
              <w:textAlignment w:val="baseline"/>
              <w:rPr>
                <w:rFonts w:ascii="Segoe UI" w:hAnsi="Segoe UI" w:cs="Segoe UI"/>
                <w:sz w:val="18"/>
                <w:szCs w:val="18"/>
              </w:rPr>
            </w:pPr>
            <w:r>
              <w:rPr>
                <w:b/>
                <w:bCs/>
                <w:sz w:val="20"/>
                <w:szCs w:val="20"/>
              </w:rPr>
              <w:t>Description of Change</w:t>
            </w:r>
            <w:r w:rsidRPr="00C41D78">
              <w:rPr>
                <w:sz w:val="20"/>
                <w:szCs w:val="20"/>
              </w:rPr>
              <w:t> </w:t>
            </w:r>
          </w:p>
        </w:tc>
        <w:tc>
          <w:tcPr>
            <w:tcW w:w="2398" w:type="dxa"/>
            <w:tcBorders>
              <w:top w:val="single" w:sz="6" w:space="0" w:color="auto"/>
              <w:left w:val="single" w:sz="6" w:space="0" w:color="auto"/>
              <w:bottom w:val="single" w:sz="6" w:space="0" w:color="auto"/>
              <w:right w:val="single" w:sz="6" w:space="0" w:color="auto"/>
            </w:tcBorders>
            <w:shd w:val="clear" w:color="auto" w:fill="auto"/>
            <w:hideMark/>
          </w:tcPr>
          <w:p w:rsidR="00FB4421" w:rsidRPr="00C41D78" w:rsidP="00FB4421" w14:paraId="602F91C0" w14:textId="77777777">
            <w:pPr>
              <w:textAlignment w:val="baseline"/>
              <w:rPr>
                <w:rFonts w:ascii="Segoe UI" w:hAnsi="Segoe UI" w:cs="Segoe UI"/>
                <w:sz w:val="18"/>
                <w:szCs w:val="18"/>
              </w:rPr>
            </w:pPr>
            <w:r w:rsidRPr="00C41D78">
              <w:rPr>
                <w:b/>
                <w:bCs/>
                <w:sz w:val="20"/>
                <w:szCs w:val="20"/>
              </w:rPr>
              <w:t>Rationale</w:t>
            </w:r>
            <w:r w:rsidRPr="00C41D78">
              <w:rPr>
                <w:sz w:val="20"/>
                <w:szCs w:val="20"/>
              </w:rPr>
              <w:t> </w:t>
            </w:r>
          </w:p>
        </w:tc>
      </w:tr>
      <w:tr w14:paraId="1CE09EA7" w14:textId="77777777" w:rsidTr="001A7385">
        <w:tblPrEx>
          <w:tblW w:w="8820" w:type="dxa"/>
          <w:tblCellMar>
            <w:left w:w="0" w:type="dxa"/>
            <w:right w:w="0" w:type="dxa"/>
          </w:tblCellMar>
          <w:tblLook w:val="04A0"/>
        </w:tblPrEx>
        <w:trPr>
          <w:trHeight w:val="796"/>
        </w:trPr>
        <w:tc>
          <w:tcPr>
            <w:tcW w:w="1176" w:type="dxa"/>
            <w:tcBorders>
              <w:top w:val="single" w:sz="6" w:space="0" w:color="auto"/>
              <w:left w:val="single" w:sz="6" w:space="0" w:color="auto"/>
              <w:bottom w:val="single" w:sz="6" w:space="0" w:color="auto"/>
              <w:right w:val="single" w:sz="6" w:space="0" w:color="auto"/>
            </w:tcBorders>
            <w:shd w:val="clear" w:color="auto" w:fill="auto"/>
            <w:hideMark/>
          </w:tcPr>
          <w:p w:rsidR="00FB4421" w:rsidRPr="00C41D78" w:rsidP="00FB4421" w14:paraId="7A56021C" w14:textId="77777777">
            <w:pPr>
              <w:textAlignment w:val="baseline"/>
              <w:rPr>
                <w:rFonts w:ascii="Segoe UI" w:hAnsi="Segoe UI" w:cs="Segoe UI"/>
                <w:sz w:val="20"/>
                <w:szCs w:val="20"/>
              </w:rPr>
            </w:pPr>
            <w:r w:rsidRPr="001E42E6">
              <w:rPr>
                <w:sz w:val="20"/>
                <w:szCs w:val="20"/>
              </w:rPr>
              <w:t>Post-Payment Notice of Reporting Requirements</w:t>
            </w:r>
            <w:r w:rsidRPr="00C41D78">
              <w:rPr>
                <w:sz w:val="20"/>
                <w:szCs w:val="20"/>
              </w:rPr>
              <w:t> </w:t>
            </w:r>
          </w:p>
        </w:tc>
        <w:tc>
          <w:tcPr>
            <w:tcW w:w="2138" w:type="dxa"/>
            <w:tcBorders>
              <w:top w:val="single" w:sz="6" w:space="0" w:color="auto"/>
              <w:left w:val="single" w:sz="6" w:space="0" w:color="auto"/>
              <w:bottom w:val="single" w:sz="6" w:space="0" w:color="auto"/>
              <w:right w:val="single" w:sz="6" w:space="0" w:color="auto"/>
            </w:tcBorders>
            <w:shd w:val="clear" w:color="auto" w:fill="auto"/>
            <w:hideMark/>
          </w:tcPr>
          <w:p w:rsidR="00FB4421" w:rsidP="00FB4421" w14:paraId="509BDFEF" w14:textId="77777777">
            <w:pPr>
              <w:textAlignment w:val="baseline"/>
              <w:rPr>
                <w:sz w:val="20"/>
                <w:szCs w:val="20"/>
              </w:rPr>
            </w:pPr>
            <w:r>
              <w:rPr>
                <w:sz w:val="20"/>
                <w:szCs w:val="20"/>
              </w:rPr>
              <w:t>*Public Health Emergency end date May 11, 2023 included</w:t>
            </w:r>
          </w:p>
          <w:p w:rsidR="00FB4421" w:rsidP="00FB4421" w14:paraId="06EAC618" w14:textId="77777777">
            <w:pPr>
              <w:textAlignment w:val="baseline"/>
              <w:rPr>
                <w:sz w:val="20"/>
                <w:szCs w:val="20"/>
              </w:rPr>
            </w:pPr>
          </w:p>
          <w:p w:rsidR="00FB4421" w:rsidRPr="00C41D78" w:rsidP="00FB4421" w14:paraId="77BE3A44" w14:textId="77777777">
            <w:pPr>
              <w:textAlignment w:val="baseline"/>
              <w:rPr>
                <w:rFonts w:ascii="Segoe UI" w:hAnsi="Segoe UI" w:cs="Segoe UI"/>
                <w:sz w:val="20"/>
                <w:szCs w:val="20"/>
              </w:rPr>
            </w:pPr>
            <w:r>
              <w:rPr>
                <w:sz w:val="20"/>
                <w:szCs w:val="20"/>
              </w:rPr>
              <w:t>*Additional reporting periods included</w:t>
            </w:r>
          </w:p>
        </w:tc>
        <w:tc>
          <w:tcPr>
            <w:tcW w:w="3108" w:type="dxa"/>
            <w:tcBorders>
              <w:top w:val="single" w:sz="6" w:space="0" w:color="auto"/>
              <w:left w:val="single" w:sz="6" w:space="0" w:color="auto"/>
              <w:bottom w:val="single" w:sz="6" w:space="0" w:color="auto"/>
              <w:right w:val="single" w:sz="6" w:space="0" w:color="auto"/>
            </w:tcBorders>
            <w:shd w:val="clear" w:color="auto" w:fill="auto"/>
            <w:hideMark/>
          </w:tcPr>
          <w:p w:rsidR="00FB4421" w:rsidRPr="00C41D78" w:rsidP="00FB4421" w14:paraId="57CE41B5" w14:textId="77777777">
            <w:pPr>
              <w:textAlignment w:val="baseline"/>
              <w:rPr>
                <w:rFonts w:ascii="Segoe UI" w:hAnsi="Segoe UI" w:cs="Segoe UI"/>
                <w:sz w:val="20"/>
                <w:szCs w:val="20"/>
              </w:rPr>
            </w:pPr>
            <w:r w:rsidRPr="001E42E6">
              <w:rPr>
                <w:sz w:val="20"/>
                <w:szCs w:val="20"/>
              </w:rPr>
              <w:t>Key updates include the addition of reporting periods 8 and 9 (including the applicable payment received period and period of availability dates), and additional guidance concerning the use of PRF and ARP Rural payments for lost revenues incurred within the period of availability up to the end of the Public Health Emergency.</w:t>
            </w:r>
          </w:p>
        </w:tc>
        <w:tc>
          <w:tcPr>
            <w:tcW w:w="2398" w:type="dxa"/>
            <w:tcBorders>
              <w:top w:val="single" w:sz="6" w:space="0" w:color="auto"/>
              <w:left w:val="single" w:sz="6" w:space="0" w:color="auto"/>
              <w:bottom w:val="single" w:sz="6" w:space="0" w:color="auto"/>
              <w:right w:val="single" w:sz="6" w:space="0" w:color="auto"/>
            </w:tcBorders>
            <w:shd w:val="clear" w:color="auto" w:fill="auto"/>
            <w:hideMark/>
          </w:tcPr>
          <w:p w:rsidR="00FB4421" w:rsidRPr="00C41D78" w:rsidP="00FB4421" w14:paraId="1EBB9219" w14:textId="77777777">
            <w:pPr>
              <w:textAlignment w:val="baseline"/>
              <w:rPr>
                <w:rFonts w:ascii="Segoe UI" w:hAnsi="Segoe UI" w:cs="Segoe UI"/>
                <w:sz w:val="18"/>
                <w:szCs w:val="18"/>
              </w:rPr>
            </w:pPr>
            <w:r>
              <w:rPr>
                <w:sz w:val="20"/>
                <w:szCs w:val="20"/>
              </w:rPr>
              <w:t>T</w:t>
            </w:r>
            <w:r w:rsidRPr="00616656">
              <w:rPr>
                <w:sz w:val="20"/>
                <w:szCs w:val="20"/>
              </w:rPr>
              <w:t xml:space="preserve">he </w:t>
            </w:r>
            <w:r>
              <w:rPr>
                <w:sz w:val="20"/>
                <w:szCs w:val="20"/>
              </w:rPr>
              <w:t>latest notice approved by OMB</w:t>
            </w:r>
            <w:r w:rsidRPr="00616656">
              <w:rPr>
                <w:sz w:val="20"/>
                <w:szCs w:val="20"/>
              </w:rPr>
              <w:t xml:space="preserve"> supersedes all previous Notices of Reporting Requirements.</w:t>
            </w:r>
          </w:p>
        </w:tc>
      </w:tr>
    </w:tbl>
    <w:p w:rsidR="00EF41AD" w:rsidP="00EF41AD" w14:paraId="2B4B0ED2" w14:textId="71DD5A85">
      <w:pPr>
        <w:spacing w:line="276" w:lineRule="auto"/>
        <w:outlineLvl w:val="0"/>
        <w:rPr>
          <w:b/>
          <w:u w:val="single"/>
        </w:rPr>
      </w:pPr>
    </w:p>
    <w:p w:rsidR="00FB4421" w:rsidP="00EF41AD" w14:paraId="69D285FC" w14:textId="77777777">
      <w:pPr>
        <w:spacing w:line="276" w:lineRule="auto"/>
        <w:outlineLvl w:val="0"/>
        <w:rPr>
          <w:b/>
          <w:u w:val="single"/>
        </w:rPr>
      </w:pPr>
    </w:p>
    <w:p w:rsidR="00FB4421" w:rsidP="00EF41AD" w14:paraId="73DED999" w14:textId="77777777">
      <w:pPr>
        <w:spacing w:line="276" w:lineRule="auto"/>
        <w:outlineLvl w:val="0"/>
        <w:rPr>
          <w:b/>
          <w:u w:val="single"/>
        </w:rPr>
      </w:pPr>
    </w:p>
    <w:p w:rsidR="00B92B6C" w:rsidRPr="004B3301" w:rsidP="7DB79955" w14:paraId="2760914C" w14:textId="5C7EF779">
      <w:pPr>
        <w:keepNext/>
        <w:spacing w:after="200" w:line="276" w:lineRule="auto"/>
        <w:rPr>
          <w:rFonts w:eastAsia="Calibri"/>
        </w:rPr>
      </w:pPr>
      <w:r w:rsidRPr="7DB79955">
        <w:rPr>
          <w:rFonts w:eastAsia="Calibri"/>
        </w:rPr>
        <w:t xml:space="preserve">As a result of the </w:t>
      </w:r>
      <w:r w:rsidR="00556C4B">
        <w:rPr>
          <w:rFonts w:eastAsia="Calibri"/>
        </w:rPr>
        <w:t>additional</w:t>
      </w:r>
      <w:r w:rsidRPr="7DB79955" w:rsidR="00556C4B">
        <w:rPr>
          <w:rFonts w:eastAsia="Calibri"/>
        </w:rPr>
        <w:t xml:space="preserve"> </w:t>
      </w:r>
      <w:r w:rsidR="00556C4B">
        <w:rPr>
          <w:rFonts w:eastAsia="Calibri"/>
        </w:rPr>
        <w:t>reporting periods,</w:t>
      </w:r>
      <w:r w:rsidRPr="7DB79955">
        <w:rPr>
          <w:rFonts w:eastAsia="Calibri"/>
        </w:rPr>
        <w:t xml:space="preserve"> </w:t>
      </w:r>
      <w:r w:rsidRPr="7DB79955" w:rsidR="486AAF6F">
        <w:rPr>
          <w:rFonts w:eastAsia="Calibri"/>
        </w:rPr>
        <w:t xml:space="preserve">HRSA will meet its responsibility to oversee the mandate regarding reporting requirements that will facilitate appropriate oversight of recipients’ use of funds. HRSA will also be able to provide reports to </w:t>
      </w:r>
      <w:r w:rsidR="00082835">
        <w:rPr>
          <w:rFonts w:eastAsia="Calibri"/>
        </w:rPr>
        <w:t>C</w:t>
      </w:r>
      <w:r w:rsidRPr="7DB79955" w:rsidR="486AAF6F">
        <w:rPr>
          <w:rFonts w:eastAsia="Calibri"/>
        </w:rPr>
        <w:t>ongress and other stakeholders on the use of $178 billion in PRF funds and $8.5 billion in ARP funds. PRF and ARP recipients will be able to fulfill the statutory reporting requirement.</w:t>
      </w:r>
    </w:p>
    <w:p w:rsidR="00B92B6C" w:rsidRPr="004B3301" w:rsidP="7DB79955" w14:paraId="3B2C6E5B" w14:textId="4DD36B9C">
      <w:pPr>
        <w:keepNext/>
        <w:tabs>
          <w:tab w:val="left" w:pos="432"/>
        </w:tabs>
        <w:rPr>
          <w:color w:val="000000" w:themeColor="text1"/>
        </w:rPr>
      </w:pPr>
    </w:p>
    <w:p w:rsidR="00B92B6C" w:rsidRPr="004B3301" w:rsidP="7DB79955" w14:paraId="510ABFA7" w14:textId="2556412A">
      <w:pPr>
        <w:keepNext/>
        <w:tabs>
          <w:tab w:val="left" w:pos="432"/>
        </w:tabs>
        <w:rPr>
          <w:color w:val="000000" w:themeColor="text1"/>
        </w:rPr>
      </w:pPr>
    </w:p>
    <w:tbl>
      <w:tblPr>
        <w:tblW w:w="9843" w:type="dxa"/>
        <w:tblLayout w:type="fixed"/>
        <w:tblLook w:val="0000"/>
      </w:tblPr>
      <w:tblGrid>
        <w:gridCol w:w="3086"/>
        <w:gridCol w:w="1351"/>
        <w:gridCol w:w="1175"/>
        <w:gridCol w:w="1543"/>
        <w:gridCol w:w="1543"/>
        <w:gridCol w:w="1145"/>
      </w:tblGrid>
      <w:tr w14:paraId="1116F4AD" w14:textId="77777777" w:rsidTr="003928E1">
        <w:tblPrEx>
          <w:tblW w:w="9843" w:type="dxa"/>
          <w:tblLayout w:type="fixed"/>
          <w:tblLook w:val="0000"/>
        </w:tblPrEx>
        <w:trPr>
          <w:trHeight w:val="395"/>
        </w:trPr>
        <w:tc>
          <w:tcPr>
            <w:tcW w:w="3086"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rsidR="7DB79955" w:rsidP="7DB79955" w14:paraId="4E30F607" w14:textId="4C1C72A4">
            <w:pPr>
              <w:tabs>
                <w:tab w:val="left" w:pos="10080"/>
              </w:tabs>
              <w:jc w:val="center"/>
              <w:rPr>
                <w:sz w:val="19"/>
                <w:szCs w:val="19"/>
              </w:rPr>
            </w:pPr>
            <w:r w:rsidRPr="7DB79955">
              <w:rPr>
                <w:sz w:val="19"/>
                <w:szCs w:val="19"/>
              </w:rPr>
              <w:t>Form Name</w:t>
            </w:r>
          </w:p>
        </w:tc>
        <w:tc>
          <w:tcPr>
            <w:tcW w:w="135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rsidR="7DB79955" w:rsidP="7DB79955" w14:paraId="2035BBAE" w14:textId="27652351">
            <w:pPr>
              <w:jc w:val="center"/>
              <w:rPr>
                <w:sz w:val="19"/>
                <w:szCs w:val="19"/>
              </w:rPr>
            </w:pPr>
            <w:r w:rsidRPr="7DB79955">
              <w:rPr>
                <w:sz w:val="19"/>
                <w:szCs w:val="19"/>
              </w:rPr>
              <w:t>Number of Respondents</w:t>
            </w:r>
          </w:p>
        </w:tc>
        <w:tc>
          <w:tcPr>
            <w:tcW w:w="1175"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rsidR="7DB79955" w:rsidP="7DB79955" w14:paraId="2F5A2288" w14:textId="6873D430">
            <w:pPr>
              <w:jc w:val="center"/>
              <w:rPr>
                <w:sz w:val="19"/>
                <w:szCs w:val="19"/>
              </w:rPr>
            </w:pPr>
            <w:r w:rsidRPr="7DB79955">
              <w:rPr>
                <w:sz w:val="19"/>
                <w:szCs w:val="19"/>
              </w:rPr>
              <w:t>Number of Responses per Respondent</w:t>
            </w:r>
          </w:p>
        </w:tc>
        <w:tc>
          <w:tcPr>
            <w:tcW w:w="1543"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rsidR="7DB79955" w:rsidP="7DB79955" w14:paraId="2F308990" w14:textId="7A1B3878">
            <w:pPr>
              <w:jc w:val="center"/>
              <w:rPr>
                <w:sz w:val="19"/>
                <w:szCs w:val="19"/>
              </w:rPr>
            </w:pPr>
          </w:p>
          <w:p w:rsidR="7DB79955" w:rsidP="7DB79955" w14:paraId="0E151C6E" w14:textId="1A4BB178">
            <w:pPr>
              <w:jc w:val="center"/>
              <w:rPr>
                <w:sz w:val="19"/>
                <w:szCs w:val="19"/>
              </w:rPr>
            </w:pPr>
            <w:r w:rsidRPr="7DB79955">
              <w:rPr>
                <w:sz w:val="19"/>
                <w:szCs w:val="19"/>
              </w:rPr>
              <w:t>Total Responses</w:t>
            </w:r>
          </w:p>
        </w:tc>
        <w:tc>
          <w:tcPr>
            <w:tcW w:w="1543"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rsidR="7DB79955" w:rsidP="7DB79955" w14:paraId="4292CEFA" w14:textId="73363516">
            <w:pPr>
              <w:jc w:val="center"/>
              <w:rPr>
                <w:sz w:val="19"/>
                <w:szCs w:val="19"/>
              </w:rPr>
            </w:pPr>
            <w:r w:rsidRPr="7DB79955">
              <w:rPr>
                <w:sz w:val="19"/>
                <w:szCs w:val="19"/>
              </w:rPr>
              <w:t>Average Burden per Response (in hours)</w:t>
            </w:r>
          </w:p>
        </w:tc>
        <w:tc>
          <w:tcPr>
            <w:tcW w:w="1145"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rsidR="7DB79955" w:rsidP="7DB79955" w14:paraId="4EDF84BF" w14:textId="1E26D5AA">
            <w:pPr>
              <w:jc w:val="center"/>
              <w:rPr>
                <w:sz w:val="19"/>
                <w:szCs w:val="19"/>
              </w:rPr>
            </w:pPr>
            <w:r w:rsidRPr="7DB79955">
              <w:rPr>
                <w:sz w:val="19"/>
                <w:szCs w:val="19"/>
              </w:rPr>
              <w:t>Total Burden Hours</w:t>
            </w:r>
          </w:p>
        </w:tc>
      </w:tr>
      <w:tr w14:paraId="2330C6C9" w14:textId="77777777" w:rsidTr="003928E1">
        <w:tblPrEx>
          <w:tblW w:w="9843" w:type="dxa"/>
          <w:tblLayout w:type="fixed"/>
          <w:tblLook w:val="0000"/>
        </w:tblPrEx>
        <w:trPr>
          <w:trHeight w:val="531"/>
        </w:trPr>
        <w:tc>
          <w:tcPr>
            <w:tcW w:w="3086"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P="7DB79955" w14:paraId="7DE71E74" w14:textId="0905F1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9"/>
                <w:szCs w:val="19"/>
              </w:rPr>
            </w:pPr>
          </w:p>
        </w:tc>
        <w:tc>
          <w:tcPr>
            <w:tcW w:w="135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P="7DB79955" w14:paraId="2AF7C23F" w14:textId="7215B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c>
          <w:tcPr>
            <w:tcW w:w="11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P="7DB79955" w14:paraId="22122EDE" w14:textId="66BCB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c>
          <w:tcPr>
            <w:tcW w:w="154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P="7DB79955" w14:paraId="51741E3C" w14:textId="7C731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c>
          <w:tcPr>
            <w:tcW w:w="154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P="7DB79955" w14:paraId="68C774D0" w14:textId="0FDF16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c>
          <w:tcPr>
            <w:tcW w:w="11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P="7DB79955" w14:paraId="7CAE18D9" w14:textId="4826B4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r>
      <w:tr w14:paraId="4E22CBF8" w14:textId="77777777" w:rsidTr="003928E1">
        <w:tblPrEx>
          <w:tblW w:w="9843" w:type="dxa"/>
          <w:tblLayout w:type="fixed"/>
          <w:tblLook w:val="0000"/>
        </w:tblPrEx>
        <w:trPr>
          <w:trHeight w:val="543"/>
        </w:trPr>
        <w:tc>
          <w:tcPr>
            <w:tcW w:w="3086"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P="7DB79955" w14:paraId="19EDC24E" w14:textId="66EF3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9"/>
                <w:szCs w:val="19"/>
              </w:rPr>
            </w:pPr>
          </w:p>
        </w:tc>
        <w:tc>
          <w:tcPr>
            <w:tcW w:w="135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P="7DB79955" w14:paraId="29A7BC82" w14:textId="52417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c>
          <w:tcPr>
            <w:tcW w:w="11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P="7DB79955" w14:paraId="1E5D6031" w14:textId="215EF0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c>
          <w:tcPr>
            <w:tcW w:w="154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P="7DB79955" w14:paraId="795428A8" w14:textId="08A79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c>
          <w:tcPr>
            <w:tcW w:w="154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P="7DB79955" w14:paraId="044A5FA5" w14:textId="219C6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c>
          <w:tcPr>
            <w:tcW w:w="11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P="7DB79955" w14:paraId="434B18D6" w14:textId="440C2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r>
      <w:tr w14:paraId="49826E49" w14:textId="77777777" w:rsidTr="003928E1">
        <w:tblPrEx>
          <w:tblW w:w="9843" w:type="dxa"/>
          <w:tblLayout w:type="fixed"/>
          <w:tblLook w:val="0000"/>
        </w:tblPrEx>
        <w:trPr>
          <w:trHeight w:val="531"/>
        </w:trPr>
        <w:tc>
          <w:tcPr>
            <w:tcW w:w="3086"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P="7DB79955" w14:paraId="3C4F932B" w14:textId="50548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9"/>
                <w:szCs w:val="19"/>
              </w:rPr>
            </w:pPr>
          </w:p>
        </w:tc>
        <w:tc>
          <w:tcPr>
            <w:tcW w:w="135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RPr="00495FD6" w:rsidP="7DB79955" w14:paraId="2EE82471" w14:textId="4675C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c>
          <w:tcPr>
            <w:tcW w:w="11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RPr="00495FD6" w:rsidP="7DB79955" w14:paraId="76D7B930" w14:textId="248612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c>
          <w:tcPr>
            <w:tcW w:w="154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RPr="00495FD6" w:rsidP="7DB79955" w14:paraId="23C1AAD0" w14:textId="4C95A9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c>
          <w:tcPr>
            <w:tcW w:w="154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RPr="00495FD6" w:rsidP="7DB79955" w14:paraId="4BB53F0C" w14:textId="0D59E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c>
          <w:tcPr>
            <w:tcW w:w="11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RPr="00FD2083" w:rsidP="7DB79955" w14:paraId="1F4CC385" w14:textId="10B1B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r>
      <w:tr w14:paraId="0B55A21A" w14:textId="77777777" w:rsidTr="003928E1">
        <w:tblPrEx>
          <w:tblW w:w="9843" w:type="dxa"/>
          <w:tblLayout w:type="fixed"/>
          <w:tblLook w:val="0000"/>
        </w:tblPrEx>
        <w:trPr>
          <w:trHeight w:val="668"/>
        </w:trPr>
        <w:tc>
          <w:tcPr>
            <w:tcW w:w="3086"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P="7DB79955" w14:paraId="18277EA9" w14:textId="539F1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9"/>
                <w:szCs w:val="19"/>
              </w:rPr>
            </w:pPr>
          </w:p>
        </w:tc>
        <w:tc>
          <w:tcPr>
            <w:tcW w:w="135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RPr="00495FD6" w:rsidP="7DB79955" w14:paraId="31D426C3" w14:textId="5BC7EE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c>
          <w:tcPr>
            <w:tcW w:w="11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RPr="00495FD6" w:rsidP="7DB79955" w14:paraId="056514CB" w14:textId="7AE91B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c>
          <w:tcPr>
            <w:tcW w:w="154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RPr="00495FD6" w:rsidP="7DB79955" w14:paraId="3C4F4C57" w14:textId="6F21B3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c>
          <w:tcPr>
            <w:tcW w:w="154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RPr="00495FD6" w:rsidP="7DB79955" w14:paraId="40818DE5" w14:textId="4E13F8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c>
          <w:tcPr>
            <w:tcW w:w="11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RPr="00495FD6" w:rsidP="7DB79955" w14:paraId="14BF5169" w14:textId="570AA2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r>
      <w:tr w14:paraId="0653E689" w14:textId="77777777" w:rsidTr="003928E1">
        <w:tblPrEx>
          <w:tblW w:w="9843" w:type="dxa"/>
          <w:tblLayout w:type="fixed"/>
          <w:tblLook w:val="0000"/>
        </w:tblPrEx>
        <w:trPr>
          <w:trHeight w:val="531"/>
        </w:trPr>
        <w:tc>
          <w:tcPr>
            <w:tcW w:w="3086"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P="7DB79955" w14:paraId="7A2DD840" w14:textId="4D6AAC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9"/>
                <w:szCs w:val="19"/>
              </w:rPr>
            </w:pPr>
          </w:p>
        </w:tc>
        <w:tc>
          <w:tcPr>
            <w:tcW w:w="135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RPr="00495FD6" w:rsidP="7DB79955" w14:paraId="20760933" w14:textId="7C4AD2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c>
          <w:tcPr>
            <w:tcW w:w="11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RPr="00495FD6" w:rsidP="7DB79955" w14:paraId="1088C2AE" w14:textId="0EB978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c>
          <w:tcPr>
            <w:tcW w:w="154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007027D0" w:rsidRPr="00495FD6" w:rsidP="00273858" w14:paraId="1F594AD3" w14:textId="566F81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c>
          <w:tcPr>
            <w:tcW w:w="154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RPr="00495FD6" w:rsidP="7DB79955" w14:paraId="59C31105" w14:textId="1FBAA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c>
          <w:tcPr>
            <w:tcW w:w="11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RPr="00495FD6" w:rsidP="7DB79955" w14:paraId="338855AA" w14:textId="18AF7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r>
      <w:tr w14:paraId="4B48158D" w14:textId="77777777" w:rsidTr="003928E1">
        <w:tblPrEx>
          <w:tblW w:w="9843" w:type="dxa"/>
          <w:tblLayout w:type="fixed"/>
          <w:tblLook w:val="0000"/>
        </w:tblPrEx>
        <w:trPr>
          <w:trHeight w:val="531"/>
        </w:trPr>
        <w:tc>
          <w:tcPr>
            <w:tcW w:w="3086"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P="7DB79955" w14:paraId="542425E6" w14:textId="68CD6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9"/>
                <w:szCs w:val="19"/>
              </w:rPr>
            </w:pPr>
          </w:p>
        </w:tc>
        <w:tc>
          <w:tcPr>
            <w:tcW w:w="135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RPr="00495FD6" w:rsidP="7DB79955" w14:paraId="6DBE6EAF" w14:textId="06B46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c>
          <w:tcPr>
            <w:tcW w:w="11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RPr="00495FD6" w:rsidP="7DB79955" w14:paraId="66CFA098" w14:textId="15555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c>
          <w:tcPr>
            <w:tcW w:w="154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RPr="00495FD6" w:rsidP="7DB79955" w14:paraId="541ADC06" w14:textId="27D79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c>
          <w:tcPr>
            <w:tcW w:w="154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RPr="00495FD6" w:rsidP="7DB79955" w14:paraId="6291A350" w14:textId="6D77C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c>
          <w:tcPr>
            <w:tcW w:w="11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RPr="00495FD6" w:rsidP="7DB79955" w14:paraId="315A5BD5" w14:textId="107181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r>
      <w:tr w14:paraId="1A1F2DAE" w14:textId="77777777" w:rsidTr="003928E1">
        <w:tblPrEx>
          <w:tblW w:w="9843" w:type="dxa"/>
          <w:tblLayout w:type="fixed"/>
          <w:tblLook w:val="0000"/>
        </w:tblPrEx>
        <w:trPr>
          <w:trHeight w:val="531"/>
        </w:trPr>
        <w:tc>
          <w:tcPr>
            <w:tcW w:w="3086"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P="7DB79955" w14:paraId="3B526B0C" w14:textId="5A7DF9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9"/>
                <w:szCs w:val="19"/>
              </w:rPr>
            </w:pPr>
          </w:p>
        </w:tc>
        <w:tc>
          <w:tcPr>
            <w:tcW w:w="135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RPr="00495FD6" w:rsidP="7DB79955" w14:paraId="52EFB21F" w14:textId="39432E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c>
          <w:tcPr>
            <w:tcW w:w="11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RPr="00495FD6" w:rsidP="7DB79955" w14:paraId="6AAA09E9" w14:textId="60B921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c>
          <w:tcPr>
            <w:tcW w:w="154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RPr="00495FD6" w:rsidP="7DB79955" w14:paraId="471C9279" w14:textId="18286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c>
          <w:tcPr>
            <w:tcW w:w="154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RPr="00495FD6" w:rsidP="7DB79955" w14:paraId="7C59B082" w14:textId="6457D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c>
          <w:tcPr>
            <w:tcW w:w="11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RPr="00495FD6" w:rsidP="7DB79955" w14:paraId="425190ED" w14:textId="2A71A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r>
      <w:tr w14:paraId="6A17F976" w14:textId="77777777" w:rsidTr="003928E1">
        <w:tblPrEx>
          <w:tblW w:w="9843" w:type="dxa"/>
          <w:tblLayout w:type="fixed"/>
          <w:tblLook w:val="0000"/>
        </w:tblPrEx>
        <w:trPr>
          <w:trHeight w:val="531"/>
        </w:trPr>
        <w:tc>
          <w:tcPr>
            <w:tcW w:w="3086"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RPr="00DD05A8" w:rsidP="7DB79955" w14:paraId="0BFE70B2" w14:textId="179E1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9"/>
                <w:szCs w:val="19"/>
              </w:rPr>
            </w:pPr>
          </w:p>
        </w:tc>
        <w:tc>
          <w:tcPr>
            <w:tcW w:w="135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RPr="00495FD6" w:rsidP="7DB79955" w14:paraId="794A33AA" w14:textId="626372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c>
          <w:tcPr>
            <w:tcW w:w="11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RPr="00495FD6" w:rsidP="7DB79955" w14:paraId="61A4B226" w14:textId="4D5C20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c>
          <w:tcPr>
            <w:tcW w:w="154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RPr="00495FD6" w:rsidP="7DB79955" w14:paraId="550959B7" w14:textId="3996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c>
          <w:tcPr>
            <w:tcW w:w="154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RPr="00495FD6" w:rsidP="7DB79955" w14:paraId="470718CC" w14:textId="72120D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c>
          <w:tcPr>
            <w:tcW w:w="11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RPr="00495FD6" w:rsidP="7DB79955" w14:paraId="37544EEC" w14:textId="2DD57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r>
      <w:tr w14:paraId="2DF5B3BC" w14:textId="77777777" w:rsidTr="003928E1">
        <w:tblPrEx>
          <w:tblW w:w="9843" w:type="dxa"/>
          <w:tblLayout w:type="fixed"/>
          <w:tblLook w:val="0000"/>
        </w:tblPrEx>
        <w:trPr>
          <w:trHeight w:val="531"/>
        </w:trPr>
        <w:tc>
          <w:tcPr>
            <w:tcW w:w="3086"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RPr="00DD05A8" w:rsidP="7DB79955" w14:paraId="127D4B6E" w14:textId="0DB6F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9"/>
                <w:szCs w:val="19"/>
              </w:rPr>
            </w:pPr>
          </w:p>
        </w:tc>
        <w:tc>
          <w:tcPr>
            <w:tcW w:w="135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RPr="00495FD6" w:rsidP="7DB79955" w14:paraId="16F577E3" w14:textId="4FDB94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c>
          <w:tcPr>
            <w:tcW w:w="11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RPr="00495FD6" w:rsidP="7DB79955" w14:paraId="2D671F5E" w14:textId="0A71E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c>
          <w:tcPr>
            <w:tcW w:w="154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RPr="00495FD6" w:rsidP="7DB79955" w14:paraId="039BCC9B" w14:textId="2EE7B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c>
          <w:tcPr>
            <w:tcW w:w="154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RPr="00495FD6" w:rsidP="7DB79955" w14:paraId="485D029C" w14:textId="5F3FD5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c>
          <w:tcPr>
            <w:tcW w:w="11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RPr="00495FD6" w:rsidP="7DB79955" w14:paraId="336354B3" w14:textId="26C49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9"/>
                <w:szCs w:val="19"/>
              </w:rPr>
            </w:pPr>
          </w:p>
        </w:tc>
      </w:tr>
      <w:tr w14:paraId="43DAC408" w14:textId="77777777" w:rsidTr="003928E1">
        <w:tblPrEx>
          <w:tblW w:w="9843" w:type="dxa"/>
          <w:tblLayout w:type="fixed"/>
          <w:tblLook w:val="0000"/>
        </w:tblPrEx>
        <w:trPr>
          <w:trHeight w:val="61"/>
        </w:trPr>
        <w:tc>
          <w:tcPr>
            <w:tcW w:w="3086"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P="7DB79955" w14:paraId="646A3239" w14:textId="5DDFE5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9"/>
                <w:szCs w:val="19"/>
              </w:rPr>
            </w:pPr>
          </w:p>
        </w:tc>
        <w:tc>
          <w:tcPr>
            <w:tcW w:w="135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RPr="00294B22" w:rsidP="7DB79955" w14:paraId="5A9174D8" w14:textId="64D86D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sz w:val="19"/>
                <w:szCs w:val="19"/>
              </w:rPr>
            </w:pPr>
          </w:p>
        </w:tc>
        <w:tc>
          <w:tcPr>
            <w:tcW w:w="11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RPr="00294B22" w:rsidP="7DB79955" w14:paraId="51177371" w14:textId="51BEA4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sz w:val="19"/>
                <w:szCs w:val="19"/>
              </w:rPr>
            </w:pPr>
          </w:p>
        </w:tc>
        <w:tc>
          <w:tcPr>
            <w:tcW w:w="154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RPr="00294B22" w:rsidP="7DB79955" w14:paraId="201FB7A0" w14:textId="4E31BA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sz w:val="19"/>
                <w:szCs w:val="19"/>
              </w:rPr>
            </w:pPr>
          </w:p>
        </w:tc>
        <w:tc>
          <w:tcPr>
            <w:tcW w:w="154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RPr="00294B22" w:rsidP="7DB79955" w14:paraId="2F83C710" w14:textId="5AB3EA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sz w:val="19"/>
                <w:szCs w:val="19"/>
              </w:rPr>
            </w:pPr>
          </w:p>
        </w:tc>
        <w:tc>
          <w:tcPr>
            <w:tcW w:w="11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7DB79955" w:rsidRPr="00294B22" w:rsidP="7DB79955" w14:paraId="46896001" w14:textId="3ED00A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sz w:val="19"/>
                <w:szCs w:val="19"/>
              </w:rPr>
            </w:pPr>
          </w:p>
        </w:tc>
      </w:tr>
    </w:tbl>
    <w:p w:rsidR="00B92B6C" w:rsidRPr="004B3301" w:rsidP="7DB79955" w14:paraId="37FD15A5" w14:textId="0FE00047">
      <w:pPr>
        <w:keepNext/>
        <w:tabs>
          <w:tab w:val="left" w:pos="432"/>
        </w:tabs>
        <w:rPr>
          <w:color w:val="000000" w:themeColor="text1"/>
        </w:rPr>
      </w:pPr>
    </w:p>
    <w:p w:rsidR="00B92B6C" w:rsidRPr="004B3301" w:rsidP="7DB79955" w14:paraId="4C6D9A0D" w14:textId="49E887BE">
      <w:pPr>
        <w:keepNext/>
        <w:spacing w:after="200" w:line="276" w:lineRule="auto"/>
        <w:rPr>
          <w:rFonts w:eastAsia="Calibri"/>
          <w:b/>
          <w:bCs/>
        </w:rPr>
      </w:pPr>
      <w:r w:rsidRPr="7DB79955">
        <w:rPr>
          <w:rFonts w:eastAsia="Calibri"/>
          <w:b/>
          <w:bCs/>
        </w:rPr>
        <w:t>Attachments:</w:t>
      </w:r>
    </w:p>
    <w:p w:rsidR="00292B47" w14:paraId="5CF395CE" w14:textId="6DB6037D">
      <w:pPr>
        <w:numPr>
          <w:ilvl w:val="0"/>
          <w:numId w:val="6"/>
        </w:numPr>
        <w:spacing w:after="200" w:line="276" w:lineRule="auto"/>
        <w:rPr>
          <w:rFonts w:eastAsia="Calibri"/>
        </w:rPr>
      </w:pPr>
      <w:r w:rsidRPr="003928E1">
        <w:rPr>
          <w:rFonts w:eastAsia="Calibri"/>
        </w:rPr>
        <w:t>Post</w:t>
      </w:r>
      <w:r w:rsidRPr="003928E1" w:rsidR="00D43061">
        <w:rPr>
          <w:rFonts w:eastAsia="Calibri"/>
        </w:rPr>
        <w:t>-Payment Notice of Reporting Requirements</w:t>
      </w:r>
      <w:r w:rsidR="00674547">
        <w:rPr>
          <w:rFonts w:eastAsia="Calibri"/>
        </w:rPr>
        <w:t xml:space="preserve"> posted April 7, 2023 </w:t>
      </w:r>
      <w:r w:rsidRPr="003928E1" w:rsidR="00F31920">
        <w:rPr>
          <w:rFonts w:eastAsia="Calibri"/>
        </w:rPr>
        <w:t xml:space="preserve"> </w:t>
      </w:r>
    </w:p>
    <w:p w:rsidR="00ED4DE4" w:rsidRPr="00ED4DE4" w:rsidP="00ED4DE4" w14:paraId="0A590809" w14:textId="700EED4F">
      <w:pPr>
        <w:numPr>
          <w:ilvl w:val="0"/>
          <w:numId w:val="6"/>
        </w:numPr>
        <w:spacing w:after="200" w:line="276" w:lineRule="auto"/>
        <w:rPr>
          <w:rFonts w:eastAsia="Calibri"/>
        </w:rPr>
      </w:pPr>
    </w:p>
    <w:sectPr w:rsidSect="00DB2ED0">
      <w:headerReference w:type="default" r:id="rId9"/>
      <w:footerReference w:type="default" r:id="rId10"/>
      <w:headerReference w:type="first" r:id="rId11"/>
      <w:pgSz w:w="12240" w:h="15840"/>
      <w:pgMar w:top="1440" w:right="1440" w:bottom="1440" w:left="1440" w:header="36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90528990"/>
      <w:docPartObj>
        <w:docPartGallery w:val="Page Numbers (Bottom of Page)"/>
        <w:docPartUnique/>
      </w:docPartObj>
    </w:sdtPr>
    <w:sdtEndPr>
      <w:rPr>
        <w:noProof/>
      </w:rPr>
    </w:sdtEndPr>
    <w:sdtContent>
      <w:p w:rsidR="00B92B6C" w14:paraId="3701255B" w14:textId="4074B5D1">
        <w:pPr>
          <w:pStyle w:val="Footer"/>
          <w:jc w:val="center"/>
        </w:pPr>
        <w:r>
          <w:fldChar w:fldCharType="begin"/>
        </w:r>
        <w:r>
          <w:instrText xml:space="preserve"> PAGE   \* MERGEFORMAT </w:instrText>
        </w:r>
        <w:r>
          <w:fldChar w:fldCharType="separate"/>
        </w:r>
        <w:r w:rsidR="00573D0B">
          <w:rPr>
            <w:noProof/>
          </w:rPr>
          <w:t>7</w:t>
        </w:r>
        <w:r>
          <w:rPr>
            <w:noProof/>
          </w:rPr>
          <w:fldChar w:fldCharType="end"/>
        </w:r>
      </w:p>
    </w:sdtContent>
  </w:sdt>
  <w:p w:rsidR="00B92B6C" w14:paraId="03906C3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0EC9" w:rsidP="00E60EC9" w14:paraId="49DBEF95" w14:textId="50F795C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10890" w:type="dxa"/>
      <w:tblInd w:w="-1062" w:type="dxa"/>
      <w:tblLook w:val="00A0"/>
    </w:tblPr>
    <w:tblGrid>
      <w:gridCol w:w="1530"/>
      <w:gridCol w:w="9360"/>
    </w:tblGrid>
    <w:tr w14:paraId="49DBEF9E" w14:textId="77777777">
      <w:tblPrEx>
        <w:tblW w:w="10890" w:type="dxa"/>
        <w:tblInd w:w="-1062" w:type="dxa"/>
        <w:tblLook w:val="00A0"/>
      </w:tblPrEx>
      <w:trPr>
        <w:trHeight w:val="1710"/>
      </w:trPr>
      <w:tc>
        <w:tcPr>
          <w:tcW w:w="1530" w:type="dxa"/>
        </w:tcPr>
        <w:p w:rsidR="00E60EC9" w:rsidRPr="00F90AEE" w14:paraId="49DBEF96" w14:textId="77777777">
          <w:pPr>
            <w:tabs>
              <w:tab w:val="center" w:pos="4320"/>
              <w:tab w:val="right" w:pos="8640"/>
            </w:tabs>
            <w:rPr>
              <w:sz w:val="20"/>
            </w:rPr>
          </w:pPr>
          <w:r>
            <w:rPr>
              <w:noProof/>
            </w:rPr>
            <w:drawing>
              <wp:inline distT="0" distB="0" distL="0" distR="0">
                <wp:extent cx="723900" cy="723900"/>
                <wp:effectExtent l="0" t="0" r="0" b="0"/>
                <wp:docPr id="3" name="Picture 3" descr="C:\Users\CPerez\AppData\Local\Microsoft\Windows\Temporary Internet Files\Content.IE5\OUEM9TZ3\dhhs-logo-blue-rgb.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CPerez\AppData\Local\Microsoft\Windows\Temporary Internet Files\Content.IE5\OUEM9TZ3\dhhs-logo-blue-rgb.tif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723900"/>
                        </a:xfrm>
                        <a:prstGeom prst="rect">
                          <a:avLst/>
                        </a:prstGeom>
                        <a:noFill/>
                        <a:ln>
                          <a:noFill/>
                        </a:ln>
                      </pic:spPr>
                    </pic:pic>
                  </a:graphicData>
                </a:graphic>
              </wp:inline>
            </w:drawing>
          </w:r>
        </w:p>
      </w:tc>
      <w:tc>
        <w:tcPr>
          <w:tcW w:w="9360" w:type="dxa"/>
        </w:tcPr>
        <w:p w:rsidR="00E60EC9" w:rsidRPr="00F15689" w14:paraId="49DBEF97" w14:textId="5B6D7BF1">
          <w:pPr>
            <w:tabs>
              <w:tab w:val="center" w:pos="4320"/>
              <w:tab w:val="right" w:pos="8640"/>
            </w:tabs>
            <w:spacing w:before="120" w:after="60"/>
            <w:rPr>
              <w:color w:val="000080"/>
              <w:sz w:val="19"/>
              <w:szCs w:val="19"/>
            </w:rPr>
          </w:pPr>
          <w:r>
            <w:rPr>
              <w:color w:val="000080"/>
              <w:sz w:val="20"/>
              <w:szCs w:val="20"/>
            </w:rPr>
            <w:t xml:space="preserve">                                                                                                      </w:t>
          </w:r>
          <w:r w:rsidR="00783738">
            <w:rPr>
              <w:color w:val="000080"/>
              <w:sz w:val="20"/>
              <w:szCs w:val="20"/>
            </w:rPr>
            <w:t xml:space="preserve">                               </w:t>
          </w:r>
          <w:r w:rsidR="00EB1D65">
            <w:rPr>
              <w:color w:val="000080"/>
              <w:sz w:val="20"/>
              <w:szCs w:val="20"/>
            </w:rPr>
            <w:t xml:space="preserve"> </w:t>
          </w:r>
          <w:r w:rsidRPr="00F15689">
            <w:rPr>
              <w:color w:val="000080"/>
              <w:sz w:val="19"/>
              <w:szCs w:val="19"/>
            </w:rPr>
            <w:t xml:space="preserve">Health Resources and Services                                           </w:t>
          </w:r>
        </w:p>
        <w:p w:rsidR="00E60EC9" w:rsidRPr="00F23997" w:rsidP="007177BC" w14:paraId="49DBEF98" w14:textId="405A1892">
          <w:pPr>
            <w:tabs>
              <w:tab w:val="left" w:pos="6750"/>
            </w:tabs>
            <w:spacing w:before="120" w:after="60" w:line="130" w:lineRule="exact"/>
            <w:rPr>
              <w:color w:val="000080"/>
              <w:sz w:val="20"/>
              <w:szCs w:val="20"/>
            </w:rPr>
          </w:pPr>
          <w:r w:rsidRPr="00F90AEE">
            <w:rPr>
              <w:b/>
              <w:color w:val="000080"/>
              <w:sz w:val="20"/>
              <w:szCs w:val="20"/>
            </w:rPr>
            <w:t>DEPARTMENT OF HEALTH &amp; HUMAN SERVICES</w:t>
          </w:r>
          <w:r w:rsidRPr="00F90AEE">
            <w:rPr>
              <w:color w:val="000080"/>
              <w:sz w:val="20"/>
            </w:rPr>
            <w:t xml:space="preserve">                      </w:t>
          </w:r>
          <w:r w:rsidR="00783738">
            <w:rPr>
              <w:color w:val="000080"/>
              <w:sz w:val="20"/>
            </w:rPr>
            <w:t xml:space="preserve">                </w:t>
          </w:r>
          <w:r w:rsidR="00EB1D65">
            <w:rPr>
              <w:color w:val="000080"/>
              <w:sz w:val="20"/>
            </w:rPr>
            <w:t xml:space="preserve"> </w:t>
          </w:r>
          <w:r w:rsidRPr="00F15689">
            <w:rPr>
              <w:color w:val="000080"/>
              <w:sz w:val="19"/>
              <w:szCs w:val="19"/>
            </w:rPr>
            <w:t>Administration</w:t>
          </w:r>
          <w:r>
            <w:rPr>
              <w:color w:val="000080"/>
              <w:sz w:val="20"/>
              <w:szCs w:val="20"/>
            </w:rPr>
            <w:t xml:space="preserve">                                                                      </w:t>
          </w:r>
          <w:r>
            <w:rPr>
              <w:color w:val="000080"/>
              <w:sz w:val="20"/>
              <w:szCs w:val="20"/>
            </w:rPr>
            <w:tab/>
          </w:r>
          <w:r>
            <w:rPr>
              <w:color w:val="000080"/>
              <w:sz w:val="20"/>
              <w:szCs w:val="20"/>
            </w:rPr>
            <w:tab/>
            <w:t xml:space="preserve">                                                                                                                                                                                                                                                                </w:t>
          </w:r>
        </w:p>
        <w:p w:rsidR="00E60EC9" w14:paraId="49DBEF99" w14:textId="77777777">
          <w:pPr>
            <w:tabs>
              <w:tab w:val="center" w:pos="4320"/>
              <w:tab w:val="right" w:pos="8640"/>
            </w:tabs>
            <w:spacing w:before="40" w:after="60" w:line="130" w:lineRule="exact"/>
            <w:rPr>
              <w:color w:val="000080"/>
            </w:rPr>
          </w:pPr>
          <w:r>
            <w:rPr>
              <w:noProof/>
              <w:color w:val="000080"/>
              <w:sz w:val="20"/>
              <w:szCs w:val="20"/>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38100</wp:posOffset>
                    </wp:positionV>
                    <wp:extent cx="57531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5753100" cy="0"/>
                            </a:xfrm>
                            <a:prstGeom prst="line">
                              <a:avLst/>
                            </a:prstGeom>
                            <a:ln>
                              <a:solidFill>
                                <a:srgbClr val="000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2049" style="mso-wrap-distance-bottom:0;mso-wrap-distance-left:9pt;mso-wrap-distance-right:9pt;mso-wrap-distance-top:0;mso-wrap-style:square;position:absolute;visibility:visible;z-index:251659264" from="0.6pt,3pt" to="453.6pt,3pt" strokecolor="navy"/>
                </w:pict>
              </mc:Fallback>
            </mc:AlternateContent>
          </w:r>
          <w:r>
            <w:rPr>
              <w:color w:val="000080"/>
            </w:rPr>
            <w:t xml:space="preserve">                                                                                                                                                                                                                                    </w:t>
          </w:r>
        </w:p>
        <w:p w:rsidR="00E60EC9" w:rsidRPr="00184624" w:rsidP="00184624" w14:paraId="49DBEF9B" w14:textId="2D7D66B2">
          <w:pPr>
            <w:tabs>
              <w:tab w:val="center" w:pos="4320"/>
              <w:tab w:val="right" w:pos="8640"/>
            </w:tabs>
            <w:spacing w:before="40" w:after="60"/>
            <w:rPr>
              <w:color w:val="000080"/>
              <w:sz w:val="20"/>
              <w:szCs w:val="20"/>
            </w:rPr>
          </w:pPr>
          <w:r>
            <w:rPr>
              <w:color w:val="000080"/>
            </w:rPr>
            <w:t xml:space="preserve">                                                                                </w:t>
          </w:r>
          <w:r w:rsidR="00783738">
            <w:rPr>
              <w:color w:val="000080"/>
            </w:rPr>
            <w:t xml:space="preserve">                               </w:t>
          </w:r>
          <w:r w:rsidR="007177BC">
            <w:rPr>
              <w:color w:val="000080"/>
            </w:rPr>
            <w:t xml:space="preserve"> </w:t>
          </w:r>
          <w:r w:rsidRPr="00184624" w:rsidR="00184624">
            <w:rPr>
              <w:color w:val="000080"/>
              <w:sz w:val="20"/>
              <w:szCs w:val="20"/>
            </w:rPr>
            <w:t>Healthcare Systems Bureau</w:t>
          </w:r>
        </w:p>
        <w:p w:rsidR="00E60EC9" w:rsidP="007177BC" w14:paraId="49DBEF9C" w14:textId="5477FD7D">
          <w:pPr>
            <w:tabs>
              <w:tab w:val="center" w:pos="4320"/>
              <w:tab w:val="right" w:pos="8640"/>
            </w:tabs>
            <w:ind w:left="6642"/>
            <w:rPr>
              <w:sz w:val="20"/>
              <w:szCs w:val="20"/>
            </w:rPr>
          </w:pPr>
          <w:r w:rsidRPr="00184624">
            <w:rPr>
              <w:color w:val="000080"/>
              <w:sz w:val="20"/>
              <w:szCs w:val="20"/>
            </w:rPr>
            <w:t xml:space="preserve">  Rockville</w:t>
          </w:r>
          <w:r>
            <w:rPr>
              <w:color w:val="000080"/>
              <w:sz w:val="20"/>
              <w:szCs w:val="20"/>
            </w:rPr>
            <w:t>, MD  20857</w:t>
          </w:r>
        </w:p>
        <w:p w:rsidR="00614C26" w:rsidRPr="00F90AEE" w14:paraId="49DBEF9D" w14:textId="77777777">
          <w:pPr>
            <w:tabs>
              <w:tab w:val="center" w:pos="4320"/>
              <w:tab w:val="right" w:pos="8640"/>
            </w:tabs>
            <w:ind w:left="6642"/>
            <w:rPr>
              <w:sz w:val="20"/>
              <w:szCs w:val="20"/>
            </w:rPr>
          </w:pPr>
        </w:p>
      </w:tc>
    </w:tr>
  </w:tbl>
  <w:p w:rsidR="00E60EC9" w:rsidP="001F7458" w14:paraId="49DBEF9F" w14:textId="5BBAF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2922D1"/>
    <w:multiLevelType w:val="hybridMultilevel"/>
    <w:tmpl w:val="B1DE09D0"/>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
    <w:nsid w:val="2FB14D14"/>
    <w:multiLevelType w:val="hybridMultilevel"/>
    <w:tmpl w:val="3A88FCEE"/>
    <w:lvl w:ilvl="0">
      <w:start w:va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FD82945"/>
    <w:multiLevelType w:val="hybridMultilevel"/>
    <w:tmpl w:val="DE8A10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03F1357"/>
    <w:multiLevelType w:val="hybridMultilevel"/>
    <w:tmpl w:val="644AD62A"/>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4">
    <w:nsid w:val="33F91A32"/>
    <w:multiLevelType w:val="hybridMultilevel"/>
    <w:tmpl w:val="B67E9FC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5AD604C"/>
    <w:multiLevelType w:val="hybridMultilevel"/>
    <w:tmpl w:val="214E28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8DC0DFE"/>
    <w:multiLevelType w:val="hybridMultilevel"/>
    <w:tmpl w:val="09601F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06040C4"/>
    <w:multiLevelType w:val="hybridMultilevel"/>
    <w:tmpl w:val="62A4C1F4"/>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8">
    <w:nsid w:val="6C0F57BB"/>
    <w:multiLevelType w:val="hybridMultilevel"/>
    <w:tmpl w:val="75B40D5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996496777">
    <w:abstractNumId w:val="1"/>
  </w:num>
  <w:num w:numId="2" w16cid:durableId="517282642">
    <w:abstractNumId w:val="0"/>
  </w:num>
  <w:num w:numId="3" w16cid:durableId="503327291">
    <w:abstractNumId w:val="5"/>
  </w:num>
  <w:num w:numId="4" w16cid:durableId="1284969748">
    <w:abstractNumId w:val="6"/>
  </w:num>
  <w:num w:numId="5" w16cid:durableId="954020796">
    <w:abstractNumId w:val="2"/>
  </w:num>
  <w:num w:numId="6" w16cid:durableId="1844660740">
    <w:abstractNumId w:val="4"/>
  </w:num>
  <w:num w:numId="7" w16cid:durableId="11928493">
    <w:abstractNumId w:val="8"/>
  </w:num>
  <w:num w:numId="8" w16cid:durableId="1721401126">
    <w:abstractNumId w:val="3"/>
  </w:num>
  <w:num w:numId="9" w16cid:durableId="56101785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oore, Tierra (HRSA)">
    <w15:presenceInfo w15:providerId="AD" w15:userId="S::TMoore@HRSA.Gov::95446ce2-9d93-4a66-9886-58ec22ece8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AEE"/>
    <w:rsid w:val="00003763"/>
    <w:rsid w:val="000040BD"/>
    <w:rsid w:val="000106CD"/>
    <w:rsid w:val="00012FE1"/>
    <w:rsid w:val="00020544"/>
    <w:rsid w:val="00025E0C"/>
    <w:rsid w:val="000414DD"/>
    <w:rsid w:val="00042F3D"/>
    <w:rsid w:val="00044363"/>
    <w:rsid w:val="00045B42"/>
    <w:rsid w:val="000520B0"/>
    <w:rsid w:val="00053774"/>
    <w:rsid w:val="00054659"/>
    <w:rsid w:val="00075ED5"/>
    <w:rsid w:val="00077FC4"/>
    <w:rsid w:val="00082835"/>
    <w:rsid w:val="00082887"/>
    <w:rsid w:val="00082FB8"/>
    <w:rsid w:val="00085CA4"/>
    <w:rsid w:val="00086224"/>
    <w:rsid w:val="00086A3E"/>
    <w:rsid w:val="00093D62"/>
    <w:rsid w:val="0009409C"/>
    <w:rsid w:val="000A7DE4"/>
    <w:rsid w:val="000B63E7"/>
    <w:rsid w:val="000C1104"/>
    <w:rsid w:val="000D2751"/>
    <w:rsid w:val="000D4ED8"/>
    <w:rsid w:val="000E7CCD"/>
    <w:rsid w:val="000F1C58"/>
    <w:rsid w:val="000F2103"/>
    <w:rsid w:val="000F64FA"/>
    <w:rsid w:val="000F7B67"/>
    <w:rsid w:val="00102F35"/>
    <w:rsid w:val="00112645"/>
    <w:rsid w:val="00122B02"/>
    <w:rsid w:val="00123F83"/>
    <w:rsid w:val="00126866"/>
    <w:rsid w:val="001350CA"/>
    <w:rsid w:val="00141E59"/>
    <w:rsid w:val="00142733"/>
    <w:rsid w:val="00143FEE"/>
    <w:rsid w:val="0015026D"/>
    <w:rsid w:val="001503A4"/>
    <w:rsid w:val="00161207"/>
    <w:rsid w:val="00161D18"/>
    <w:rsid w:val="001626D3"/>
    <w:rsid w:val="00164488"/>
    <w:rsid w:val="001709E2"/>
    <w:rsid w:val="00172A1D"/>
    <w:rsid w:val="00184624"/>
    <w:rsid w:val="00190C2F"/>
    <w:rsid w:val="001918DA"/>
    <w:rsid w:val="00191CE9"/>
    <w:rsid w:val="00193E7F"/>
    <w:rsid w:val="0019579F"/>
    <w:rsid w:val="001A5F8A"/>
    <w:rsid w:val="001A7385"/>
    <w:rsid w:val="001B60E2"/>
    <w:rsid w:val="001C250A"/>
    <w:rsid w:val="001E08B7"/>
    <w:rsid w:val="001E1EAD"/>
    <w:rsid w:val="001E257B"/>
    <w:rsid w:val="001E42E6"/>
    <w:rsid w:val="001F7458"/>
    <w:rsid w:val="00204028"/>
    <w:rsid w:val="00207B1A"/>
    <w:rsid w:val="002126BC"/>
    <w:rsid w:val="00213AA9"/>
    <w:rsid w:val="00215A97"/>
    <w:rsid w:val="00216ED1"/>
    <w:rsid w:val="00233631"/>
    <w:rsid w:val="00234D05"/>
    <w:rsid w:val="00235C29"/>
    <w:rsid w:val="00236B9A"/>
    <w:rsid w:val="00241301"/>
    <w:rsid w:val="002449D7"/>
    <w:rsid w:val="002475FC"/>
    <w:rsid w:val="00254744"/>
    <w:rsid w:val="002558F1"/>
    <w:rsid w:val="00255B93"/>
    <w:rsid w:val="0025694D"/>
    <w:rsid w:val="00262CB9"/>
    <w:rsid w:val="00270D9F"/>
    <w:rsid w:val="00270FE3"/>
    <w:rsid w:val="00272DF8"/>
    <w:rsid w:val="00273858"/>
    <w:rsid w:val="00274BCB"/>
    <w:rsid w:val="002774D5"/>
    <w:rsid w:val="002823CC"/>
    <w:rsid w:val="00283B94"/>
    <w:rsid w:val="00286CC9"/>
    <w:rsid w:val="00290F24"/>
    <w:rsid w:val="00292B47"/>
    <w:rsid w:val="002940FF"/>
    <w:rsid w:val="002942C7"/>
    <w:rsid w:val="00294B22"/>
    <w:rsid w:val="00296493"/>
    <w:rsid w:val="002A1164"/>
    <w:rsid w:val="002A2C59"/>
    <w:rsid w:val="002A4158"/>
    <w:rsid w:val="002B118C"/>
    <w:rsid w:val="002B17DB"/>
    <w:rsid w:val="002B1E19"/>
    <w:rsid w:val="002B2C62"/>
    <w:rsid w:val="002C62EE"/>
    <w:rsid w:val="002D52AF"/>
    <w:rsid w:val="00300253"/>
    <w:rsid w:val="00301C0B"/>
    <w:rsid w:val="00310E49"/>
    <w:rsid w:val="00311C27"/>
    <w:rsid w:val="00320C33"/>
    <w:rsid w:val="0032385E"/>
    <w:rsid w:val="00324747"/>
    <w:rsid w:val="00331256"/>
    <w:rsid w:val="00332AC4"/>
    <w:rsid w:val="00334050"/>
    <w:rsid w:val="00334D1E"/>
    <w:rsid w:val="00337DD5"/>
    <w:rsid w:val="00350775"/>
    <w:rsid w:val="00352A5A"/>
    <w:rsid w:val="003544DE"/>
    <w:rsid w:val="0037258C"/>
    <w:rsid w:val="003747B2"/>
    <w:rsid w:val="00380536"/>
    <w:rsid w:val="00383ECD"/>
    <w:rsid w:val="003901DB"/>
    <w:rsid w:val="003928E1"/>
    <w:rsid w:val="00395C93"/>
    <w:rsid w:val="003A6602"/>
    <w:rsid w:val="003B2616"/>
    <w:rsid w:val="003B3248"/>
    <w:rsid w:val="003C060E"/>
    <w:rsid w:val="003D33F5"/>
    <w:rsid w:val="003D4040"/>
    <w:rsid w:val="003E0442"/>
    <w:rsid w:val="003E4502"/>
    <w:rsid w:val="003E6DC6"/>
    <w:rsid w:val="003F0F33"/>
    <w:rsid w:val="004213EA"/>
    <w:rsid w:val="004216AA"/>
    <w:rsid w:val="00424ABE"/>
    <w:rsid w:val="00426ECB"/>
    <w:rsid w:val="00426F3D"/>
    <w:rsid w:val="004418A1"/>
    <w:rsid w:val="00441EE8"/>
    <w:rsid w:val="00442E93"/>
    <w:rsid w:val="004446A7"/>
    <w:rsid w:val="004449FB"/>
    <w:rsid w:val="004473B6"/>
    <w:rsid w:val="0045323F"/>
    <w:rsid w:val="00454A65"/>
    <w:rsid w:val="00455616"/>
    <w:rsid w:val="00456345"/>
    <w:rsid w:val="00460540"/>
    <w:rsid w:val="00460631"/>
    <w:rsid w:val="00463444"/>
    <w:rsid w:val="00466716"/>
    <w:rsid w:val="00467E88"/>
    <w:rsid w:val="00470B43"/>
    <w:rsid w:val="004870F0"/>
    <w:rsid w:val="00487417"/>
    <w:rsid w:val="00493F65"/>
    <w:rsid w:val="00495FD6"/>
    <w:rsid w:val="004A289E"/>
    <w:rsid w:val="004A3B9D"/>
    <w:rsid w:val="004B3301"/>
    <w:rsid w:val="004C5BA6"/>
    <w:rsid w:val="004D32EA"/>
    <w:rsid w:val="004D5EA6"/>
    <w:rsid w:val="004E429B"/>
    <w:rsid w:val="004E6DD2"/>
    <w:rsid w:val="004E733E"/>
    <w:rsid w:val="004F2506"/>
    <w:rsid w:val="004F6471"/>
    <w:rsid w:val="005114FA"/>
    <w:rsid w:val="00511C12"/>
    <w:rsid w:val="00512E18"/>
    <w:rsid w:val="005133CB"/>
    <w:rsid w:val="00521B51"/>
    <w:rsid w:val="005302CD"/>
    <w:rsid w:val="00531B9F"/>
    <w:rsid w:val="0054327E"/>
    <w:rsid w:val="005439D1"/>
    <w:rsid w:val="0055021B"/>
    <w:rsid w:val="005511C4"/>
    <w:rsid w:val="00554617"/>
    <w:rsid w:val="00556C4B"/>
    <w:rsid w:val="0056304D"/>
    <w:rsid w:val="00565767"/>
    <w:rsid w:val="00570D2A"/>
    <w:rsid w:val="005725D4"/>
    <w:rsid w:val="00573D0B"/>
    <w:rsid w:val="00573D4C"/>
    <w:rsid w:val="005748FD"/>
    <w:rsid w:val="00574FDB"/>
    <w:rsid w:val="0057786D"/>
    <w:rsid w:val="00580CF1"/>
    <w:rsid w:val="00587E4F"/>
    <w:rsid w:val="005950E5"/>
    <w:rsid w:val="005B1738"/>
    <w:rsid w:val="005B2F96"/>
    <w:rsid w:val="005B3157"/>
    <w:rsid w:val="005B3CF8"/>
    <w:rsid w:val="005C59BC"/>
    <w:rsid w:val="005C6326"/>
    <w:rsid w:val="005D508D"/>
    <w:rsid w:val="005E064E"/>
    <w:rsid w:val="005F2486"/>
    <w:rsid w:val="005F2F2D"/>
    <w:rsid w:val="005F6F8C"/>
    <w:rsid w:val="00612F6E"/>
    <w:rsid w:val="0061313F"/>
    <w:rsid w:val="00614C26"/>
    <w:rsid w:val="00616656"/>
    <w:rsid w:val="00616B50"/>
    <w:rsid w:val="00622B31"/>
    <w:rsid w:val="006272EB"/>
    <w:rsid w:val="00627F94"/>
    <w:rsid w:val="0063324E"/>
    <w:rsid w:val="00635B42"/>
    <w:rsid w:val="006408E7"/>
    <w:rsid w:val="00651D47"/>
    <w:rsid w:val="006562F9"/>
    <w:rsid w:val="00657689"/>
    <w:rsid w:val="00657C22"/>
    <w:rsid w:val="00661004"/>
    <w:rsid w:val="00671F80"/>
    <w:rsid w:val="00674547"/>
    <w:rsid w:val="006759A0"/>
    <w:rsid w:val="00680233"/>
    <w:rsid w:val="006805F9"/>
    <w:rsid w:val="00681B08"/>
    <w:rsid w:val="0068696A"/>
    <w:rsid w:val="006934A4"/>
    <w:rsid w:val="006961AE"/>
    <w:rsid w:val="006A0213"/>
    <w:rsid w:val="006A4E88"/>
    <w:rsid w:val="006A5A13"/>
    <w:rsid w:val="006A5A87"/>
    <w:rsid w:val="006B4290"/>
    <w:rsid w:val="006C099B"/>
    <w:rsid w:val="006C4343"/>
    <w:rsid w:val="006D1422"/>
    <w:rsid w:val="006D6D68"/>
    <w:rsid w:val="006E2EE4"/>
    <w:rsid w:val="006E4E33"/>
    <w:rsid w:val="006F0F46"/>
    <w:rsid w:val="006F6CDF"/>
    <w:rsid w:val="007027D0"/>
    <w:rsid w:val="0071281B"/>
    <w:rsid w:val="00714AC6"/>
    <w:rsid w:val="007177BC"/>
    <w:rsid w:val="00717A43"/>
    <w:rsid w:val="0072161F"/>
    <w:rsid w:val="007261EE"/>
    <w:rsid w:val="007279C1"/>
    <w:rsid w:val="00735412"/>
    <w:rsid w:val="0073543F"/>
    <w:rsid w:val="00736356"/>
    <w:rsid w:val="00745F7C"/>
    <w:rsid w:val="00747118"/>
    <w:rsid w:val="00754D00"/>
    <w:rsid w:val="00775B31"/>
    <w:rsid w:val="00782ABF"/>
    <w:rsid w:val="00783738"/>
    <w:rsid w:val="0078631F"/>
    <w:rsid w:val="0079084A"/>
    <w:rsid w:val="00791085"/>
    <w:rsid w:val="00793E52"/>
    <w:rsid w:val="007948A3"/>
    <w:rsid w:val="0079525B"/>
    <w:rsid w:val="007A3FC7"/>
    <w:rsid w:val="007B07DB"/>
    <w:rsid w:val="007B6733"/>
    <w:rsid w:val="007C6EFC"/>
    <w:rsid w:val="007C7C23"/>
    <w:rsid w:val="007E0CEC"/>
    <w:rsid w:val="007E6B36"/>
    <w:rsid w:val="007F14B7"/>
    <w:rsid w:val="0080196A"/>
    <w:rsid w:val="00803C71"/>
    <w:rsid w:val="0081548F"/>
    <w:rsid w:val="00816253"/>
    <w:rsid w:val="00827ADF"/>
    <w:rsid w:val="00834BCF"/>
    <w:rsid w:val="00855D01"/>
    <w:rsid w:val="008648FF"/>
    <w:rsid w:val="00865C53"/>
    <w:rsid w:val="00867179"/>
    <w:rsid w:val="008672A0"/>
    <w:rsid w:val="00873737"/>
    <w:rsid w:val="00875450"/>
    <w:rsid w:val="00882597"/>
    <w:rsid w:val="0088543A"/>
    <w:rsid w:val="00890E3F"/>
    <w:rsid w:val="00892625"/>
    <w:rsid w:val="00892FDC"/>
    <w:rsid w:val="0089448C"/>
    <w:rsid w:val="008955E4"/>
    <w:rsid w:val="008A09BF"/>
    <w:rsid w:val="008A3EF2"/>
    <w:rsid w:val="008A415A"/>
    <w:rsid w:val="008A6CCC"/>
    <w:rsid w:val="008A702C"/>
    <w:rsid w:val="008C2FF1"/>
    <w:rsid w:val="008C5FD9"/>
    <w:rsid w:val="008C7857"/>
    <w:rsid w:val="008D25BE"/>
    <w:rsid w:val="008D35DB"/>
    <w:rsid w:val="008D4322"/>
    <w:rsid w:val="008D5DDD"/>
    <w:rsid w:val="008E1E20"/>
    <w:rsid w:val="008E6BB9"/>
    <w:rsid w:val="009005C0"/>
    <w:rsid w:val="009025E3"/>
    <w:rsid w:val="0090482D"/>
    <w:rsid w:val="009079C5"/>
    <w:rsid w:val="00914F17"/>
    <w:rsid w:val="00920EE1"/>
    <w:rsid w:val="009241B1"/>
    <w:rsid w:val="00927D43"/>
    <w:rsid w:val="0093439A"/>
    <w:rsid w:val="0093654A"/>
    <w:rsid w:val="00942426"/>
    <w:rsid w:val="00943979"/>
    <w:rsid w:val="0094649B"/>
    <w:rsid w:val="00946A48"/>
    <w:rsid w:val="00957DC5"/>
    <w:rsid w:val="00963F81"/>
    <w:rsid w:val="00972973"/>
    <w:rsid w:val="0097437E"/>
    <w:rsid w:val="00974F66"/>
    <w:rsid w:val="00987BFE"/>
    <w:rsid w:val="009946DD"/>
    <w:rsid w:val="009A0EBB"/>
    <w:rsid w:val="009A60CA"/>
    <w:rsid w:val="009A75C4"/>
    <w:rsid w:val="009B08B8"/>
    <w:rsid w:val="009B37A2"/>
    <w:rsid w:val="009C3060"/>
    <w:rsid w:val="009C34AD"/>
    <w:rsid w:val="009C61FB"/>
    <w:rsid w:val="009C791B"/>
    <w:rsid w:val="009C7AA8"/>
    <w:rsid w:val="009D268A"/>
    <w:rsid w:val="009E2112"/>
    <w:rsid w:val="009E2189"/>
    <w:rsid w:val="009E4661"/>
    <w:rsid w:val="009E6D0C"/>
    <w:rsid w:val="009F1FA3"/>
    <w:rsid w:val="00A000EA"/>
    <w:rsid w:val="00A02602"/>
    <w:rsid w:val="00A06906"/>
    <w:rsid w:val="00A1536E"/>
    <w:rsid w:val="00A15FAF"/>
    <w:rsid w:val="00A31978"/>
    <w:rsid w:val="00A31D65"/>
    <w:rsid w:val="00A3201E"/>
    <w:rsid w:val="00A3389B"/>
    <w:rsid w:val="00A368CF"/>
    <w:rsid w:val="00A40C3D"/>
    <w:rsid w:val="00A45F4C"/>
    <w:rsid w:val="00A474B2"/>
    <w:rsid w:val="00A50351"/>
    <w:rsid w:val="00A60A57"/>
    <w:rsid w:val="00A703FF"/>
    <w:rsid w:val="00A7339D"/>
    <w:rsid w:val="00A73790"/>
    <w:rsid w:val="00A823D7"/>
    <w:rsid w:val="00A937CE"/>
    <w:rsid w:val="00AB0B24"/>
    <w:rsid w:val="00AD2DFB"/>
    <w:rsid w:val="00AF3431"/>
    <w:rsid w:val="00AF3ADC"/>
    <w:rsid w:val="00AF4485"/>
    <w:rsid w:val="00AF56CC"/>
    <w:rsid w:val="00AF6A02"/>
    <w:rsid w:val="00B03062"/>
    <w:rsid w:val="00B0690E"/>
    <w:rsid w:val="00B06B1E"/>
    <w:rsid w:val="00B11138"/>
    <w:rsid w:val="00B1243A"/>
    <w:rsid w:val="00B142CE"/>
    <w:rsid w:val="00B17CFB"/>
    <w:rsid w:val="00B204E6"/>
    <w:rsid w:val="00B21ADB"/>
    <w:rsid w:val="00B234FF"/>
    <w:rsid w:val="00B25482"/>
    <w:rsid w:val="00B31651"/>
    <w:rsid w:val="00B3210B"/>
    <w:rsid w:val="00B332A4"/>
    <w:rsid w:val="00B42CD7"/>
    <w:rsid w:val="00B5003C"/>
    <w:rsid w:val="00B50762"/>
    <w:rsid w:val="00B51AAA"/>
    <w:rsid w:val="00B60304"/>
    <w:rsid w:val="00B60CDD"/>
    <w:rsid w:val="00B619AD"/>
    <w:rsid w:val="00B6725E"/>
    <w:rsid w:val="00B71BA2"/>
    <w:rsid w:val="00B727B5"/>
    <w:rsid w:val="00B74504"/>
    <w:rsid w:val="00B81189"/>
    <w:rsid w:val="00B820BA"/>
    <w:rsid w:val="00B823A6"/>
    <w:rsid w:val="00B86A41"/>
    <w:rsid w:val="00B92B6C"/>
    <w:rsid w:val="00B94402"/>
    <w:rsid w:val="00B9563C"/>
    <w:rsid w:val="00B97A20"/>
    <w:rsid w:val="00BA4924"/>
    <w:rsid w:val="00BB3521"/>
    <w:rsid w:val="00BD0799"/>
    <w:rsid w:val="00BD0FD5"/>
    <w:rsid w:val="00BE31AE"/>
    <w:rsid w:val="00BF0416"/>
    <w:rsid w:val="00C06EB8"/>
    <w:rsid w:val="00C06EF5"/>
    <w:rsid w:val="00C108FE"/>
    <w:rsid w:val="00C12B71"/>
    <w:rsid w:val="00C23BA3"/>
    <w:rsid w:val="00C251B3"/>
    <w:rsid w:val="00C26B71"/>
    <w:rsid w:val="00C33022"/>
    <w:rsid w:val="00C33C03"/>
    <w:rsid w:val="00C4106A"/>
    <w:rsid w:val="00C41D78"/>
    <w:rsid w:val="00C456A8"/>
    <w:rsid w:val="00C46224"/>
    <w:rsid w:val="00C46535"/>
    <w:rsid w:val="00C5131A"/>
    <w:rsid w:val="00C51FB0"/>
    <w:rsid w:val="00C6196F"/>
    <w:rsid w:val="00C65821"/>
    <w:rsid w:val="00C76C18"/>
    <w:rsid w:val="00C80514"/>
    <w:rsid w:val="00C80A25"/>
    <w:rsid w:val="00C863D6"/>
    <w:rsid w:val="00C91D3D"/>
    <w:rsid w:val="00C92AFF"/>
    <w:rsid w:val="00C92EA2"/>
    <w:rsid w:val="00CA05BE"/>
    <w:rsid w:val="00CA0734"/>
    <w:rsid w:val="00CA0C53"/>
    <w:rsid w:val="00CA30CB"/>
    <w:rsid w:val="00CA698A"/>
    <w:rsid w:val="00CB6679"/>
    <w:rsid w:val="00CC7D1B"/>
    <w:rsid w:val="00CD073C"/>
    <w:rsid w:val="00CD0E79"/>
    <w:rsid w:val="00CD227B"/>
    <w:rsid w:val="00CD3335"/>
    <w:rsid w:val="00CD382D"/>
    <w:rsid w:val="00CD6D52"/>
    <w:rsid w:val="00CD6D94"/>
    <w:rsid w:val="00CE4EF5"/>
    <w:rsid w:val="00CE665D"/>
    <w:rsid w:val="00CE6E91"/>
    <w:rsid w:val="00CF3D1C"/>
    <w:rsid w:val="00D00729"/>
    <w:rsid w:val="00D00DA9"/>
    <w:rsid w:val="00D0136B"/>
    <w:rsid w:val="00D030FA"/>
    <w:rsid w:val="00D03F12"/>
    <w:rsid w:val="00D07DD8"/>
    <w:rsid w:val="00D11DCD"/>
    <w:rsid w:val="00D2121C"/>
    <w:rsid w:val="00D22B96"/>
    <w:rsid w:val="00D3225E"/>
    <w:rsid w:val="00D43061"/>
    <w:rsid w:val="00D46292"/>
    <w:rsid w:val="00D46A37"/>
    <w:rsid w:val="00D47431"/>
    <w:rsid w:val="00D561ED"/>
    <w:rsid w:val="00D66D58"/>
    <w:rsid w:val="00D72BAB"/>
    <w:rsid w:val="00D73707"/>
    <w:rsid w:val="00D8185D"/>
    <w:rsid w:val="00D84F30"/>
    <w:rsid w:val="00D91EA3"/>
    <w:rsid w:val="00D94DCC"/>
    <w:rsid w:val="00D96068"/>
    <w:rsid w:val="00D9649B"/>
    <w:rsid w:val="00D972E0"/>
    <w:rsid w:val="00DA3E43"/>
    <w:rsid w:val="00DA5A62"/>
    <w:rsid w:val="00DB29AC"/>
    <w:rsid w:val="00DB2D70"/>
    <w:rsid w:val="00DB2ED0"/>
    <w:rsid w:val="00DB39A9"/>
    <w:rsid w:val="00DB44FF"/>
    <w:rsid w:val="00DC13B0"/>
    <w:rsid w:val="00DC6AC9"/>
    <w:rsid w:val="00DC7CB4"/>
    <w:rsid w:val="00DD0219"/>
    <w:rsid w:val="00DD05A8"/>
    <w:rsid w:val="00DD0700"/>
    <w:rsid w:val="00DD0EDB"/>
    <w:rsid w:val="00DD27F2"/>
    <w:rsid w:val="00DD4FA8"/>
    <w:rsid w:val="00DE064C"/>
    <w:rsid w:val="00DE2FF6"/>
    <w:rsid w:val="00DF2527"/>
    <w:rsid w:val="00DF2945"/>
    <w:rsid w:val="00DF3E3C"/>
    <w:rsid w:val="00DF4076"/>
    <w:rsid w:val="00E02605"/>
    <w:rsid w:val="00E03B62"/>
    <w:rsid w:val="00E0645E"/>
    <w:rsid w:val="00E06B77"/>
    <w:rsid w:val="00E10C70"/>
    <w:rsid w:val="00E14FD5"/>
    <w:rsid w:val="00E167CB"/>
    <w:rsid w:val="00E25523"/>
    <w:rsid w:val="00E25B10"/>
    <w:rsid w:val="00E270DF"/>
    <w:rsid w:val="00E33377"/>
    <w:rsid w:val="00E36BEB"/>
    <w:rsid w:val="00E40EEC"/>
    <w:rsid w:val="00E471B0"/>
    <w:rsid w:val="00E47B16"/>
    <w:rsid w:val="00E51DB7"/>
    <w:rsid w:val="00E525AA"/>
    <w:rsid w:val="00E53A6E"/>
    <w:rsid w:val="00E60C66"/>
    <w:rsid w:val="00E60EC9"/>
    <w:rsid w:val="00E6339B"/>
    <w:rsid w:val="00E66CFC"/>
    <w:rsid w:val="00E712E8"/>
    <w:rsid w:val="00E7389F"/>
    <w:rsid w:val="00E76C0F"/>
    <w:rsid w:val="00E86618"/>
    <w:rsid w:val="00E90041"/>
    <w:rsid w:val="00E9395E"/>
    <w:rsid w:val="00E94C7B"/>
    <w:rsid w:val="00E974A7"/>
    <w:rsid w:val="00EA0D5F"/>
    <w:rsid w:val="00EB1D65"/>
    <w:rsid w:val="00EB6C06"/>
    <w:rsid w:val="00EC37E6"/>
    <w:rsid w:val="00EC7B82"/>
    <w:rsid w:val="00ED3264"/>
    <w:rsid w:val="00ED3751"/>
    <w:rsid w:val="00ED4DE4"/>
    <w:rsid w:val="00EE2232"/>
    <w:rsid w:val="00EE3B20"/>
    <w:rsid w:val="00EE676F"/>
    <w:rsid w:val="00EF41AD"/>
    <w:rsid w:val="00F15689"/>
    <w:rsid w:val="00F23997"/>
    <w:rsid w:val="00F25576"/>
    <w:rsid w:val="00F26B65"/>
    <w:rsid w:val="00F31920"/>
    <w:rsid w:val="00F36979"/>
    <w:rsid w:val="00F40389"/>
    <w:rsid w:val="00F609B2"/>
    <w:rsid w:val="00F651EA"/>
    <w:rsid w:val="00F8193D"/>
    <w:rsid w:val="00F90AEE"/>
    <w:rsid w:val="00F95D00"/>
    <w:rsid w:val="00FB215E"/>
    <w:rsid w:val="00FB4421"/>
    <w:rsid w:val="00FB4481"/>
    <w:rsid w:val="00FB5554"/>
    <w:rsid w:val="00FC1E4D"/>
    <w:rsid w:val="00FC3A45"/>
    <w:rsid w:val="00FC5707"/>
    <w:rsid w:val="00FD2083"/>
    <w:rsid w:val="00FD47E4"/>
    <w:rsid w:val="00FD661A"/>
    <w:rsid w:val="00FE6659"/>
    <w:rsid w:val="03AD946D"/>
    <w:rsid w:val="04345FE7"/>
    <w:rsid w:val="047B9BA4"/>
    <w:rsid w:val="0716E4C1"/>
    <w:rsid w:val="14B6BCB4"/>
    <w:rsid w:val="17342BC8"/>
    <w:rsid w:val="1833F616"/>
    <w:rsid w:val="21E2DB05"/>
    <w:rsid w:val="262441CB"/>
    <w:rsid w:val="289C1EB1"/>
    <w:rsid w:val="295CC0DB"/>
    <w:rsid w:val="2A9610ED"/>
    <w:rsid w:val="2C77E000"/>
    <w:rsid w:val="2E26BF2F"/>
    <w:rsid w:val="33AEE346"/>
    <w:rsid w:val="3871E7C0"/>
    <w:rsid w:val="38F98EE0"/>
    <w:rsid w:val="3B27BBCA"/>
    <w:rsid w:val="3DBF6CB0"/>
    <w:rsid w:val="3DD0F46D"/>
    <w:rsid w:val="3E0275E1"/>
    <w:rsid w:val="3E91F162"/>
    <w:rsid w:val="3F4C568F"/>
    <w:rsid w:val="417C7141"/>
    <w:rsid w:val="4216E20C"/>
    <w:rsid w:val="433F72CD"/>
    <w:rsid w:val="486AAF6F"/>
    <w:rsid w:val="48A72834"/>
    <w:rsid w:val="4B13CE90"/>
    <w:rsid w:val="4B3D7923"/>
    <w:rsid w:val="4DFBC920"/>
    <w:rsid w:val="5049207C"/>
    <w:rsid w:val="5255041A"/>
    <w:rsid w:val="533711A8"/>
    <w:rsid w:val="55A8DCA8"/>
    <w:rsid w:val="591A77A8"/>
    <w:rsid w:val="5A8B76B6"/>
    <w:rsid w:val="5F1D0672"/>
    <w:rsid w:val="5FFBAD9D"/>
    <w:rsid w:val="6284419D"/>
    <w:rsid w:val="629881D4"/>
    <w:rsid w:val="62AF5DF1"/>
    <w:rsid w:val="655144CC"/>
    <w:rsid w:val="673B9803"/>
    <w:rsid w:val="6AE2A970"/>
    <w:rsid w:val="6BCB04D7"/>
    <w:rsid w:val="6C7E79D1"/>
    <w:rsid w:val="6DEE48CF"/>
    <w:rsid w:val="6E745A22"/>
    <w:rsid w:val="707A778C"/>
    <w:rsid w:val="72D94540"/>
    <w:rsid w:val="75D4600B"/>
    <w:rsid w:val="76D5570B"/>
    <w:rsid w:val="77133842"/>
    <w:rsid w:val="786648C8"/>
    <w:rsid w:val="7DB79955"/>
    <w:rsid w:val="7DED5D21"/>
  </w:rsids>
  <w:docVars>
    <w:docVar w:name="__Grammarly_42___1" w:val="H4sIAAAAAAAEAKtWcslP9kxRslIyNDYyMjM1NjGzNDI2MDU2NTZU0lEKTi0uzszPAykwNKgFAGiPsu8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DBEF66"/>
  <w15:docId w15:val="{19A1C699-FA8D-47AB-822C-98B58E5B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0EC9"/>
    <w:pPr>
      <w:spacing w:after="0" w:line="240" w:lineRule="auto"/>
    </w:pPr>
    <w:rPr>
      <w:rFonts w:ascii="Times New Roman" w:eastAsia="Times New Roman" w:hAnsi="Times New Roman" w:cs="Times New Roman"/>
      <w:sz w:val="24"/>
      <w:szCs w:val="24"/>
    </w:rPr>
  </w:style>
  <w:style w:type="paragraph" w:styleId="Heading2">
    <w:name w:val="heading 2"/>
    <w:basedOn w:val="Heading3"/>
    <w:next w:val="Normal"/>
    <w:link w:val="Heading2Char"/>
    <w:autoRedefine/>
    <w:unhideWhenUsed/>
    <w:qFormat/>
    <w:rsid w:val="00E60EC9"/>
    <w:pPr>
      <w:keepLines w:val="0"/>
      <w:spacing w:before="0"/>
      <w:outlineLvl w:val="1"/>
    </w:pPr>
    <w:rPr>
      <w:rFonts w:ascii="Times New Roman" w:eastAsia="Times New Roman" w:hAnsi="Times New Roman" w:cs="Times New Roman"/>
      <w:color w:val="auto"/>
      <w:szCs w:val="26"/>
      <w:u w:val="single"/>
    </w:rPr>
  </w:style>
  <w:style w:type="paragraph" w:styleId="Heading3">
    <w:name w:val="heading 3"/>
    <w:basedOn w:val="Normal"/>
    <w:next w:val="Normal"/>
    <w:link w:val="Heading3Char"/>
    <w:uiPriority w:val="9"/>
    <w:semiHidden/>
    <w:unhideWhenUsed/>
    <w:qFormat/>
    <w:rsid w:val="00E60EC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AEE"/>
    <w:pPr>
      <w:tabs>
        <w:tab w:val="center" w:pos="4680"/>
        <w:tab w:val="right" w:pos="9360"/>
      </w:tabs>
    </w:pPr>
  </w:style>
  <w:style w:type="character" w:customStyle="1" w:styleId="HeaderChar">
    <w:name w:val="Header Char"/>
    <w:basedOn w:val="DefaultParagraphFont"/>
    <w:link w:val="Header"/>
    <w:uiPriority w:val="99"/>
    <w:rsid w:val="00F90AEE"/>
  </w:style>
  <w:style w:type="paragraph" w:styleId="Footer">
    <w:name w:val="footer"/>
    <w:basedOn w:val="Normal"/>
    <w:link w:val="FooterChar"/>
    <w:uiPriority w:val="99"/>
    <w:unhideWhenUsed/>
    <w:rsid w:val="00F90AEE"/>
    <w:pPr>
      <w:tabs>
        <w:tab w:val="center" w:pos="4680"/>
        <w:tab w:val="right" w:pos="9360"/>
      </w:tabs>
    </w:pPr>
  </w:style>
  <w:style w:type="character" w:customStyle="1" w:styleId="FooterChar">
    <w:name w:val="Footer Char"/>
    <w:basedOn w:val="DefaultParagraphFont"/>
    <w:link w:val="Footer"/>
    <w:uiPriority w:val="99"/>
    <w:rsid w:val="00F90AEE"/>
  </w:style>
  <w:style w:type="paragraph" w:styleId="BalloonText">
    <w:name w:val="Balloon Text"/>
    <w:basedOn w:val="Normal"/>
    <w:link w:val="BalloonTextChar"/>
    <w:uiPriority w:val="99"/>
    <w:semiHidden/>
    <w:unhideWhenUsed/>
    <w:rsid w:val="00F90AEE"/>
    <w:rPr>
      <w:rFonts w:ascii="Tahoma" w:hAnsi="Tahoma" w:cs="Tahoma"/>
      <w:sz w:val="16"/>
      <w:szCs w:val="16"/>
    </w:rPr>
  </w:style>
  <w:style w:type="character" w:customStyle="1" w:styleId="BalloonTextChar">
    <w:name w:val="Balloon Text Char"/>
    <w:basedOn w:val="DefaultParagraphFont"/>
    <w:link w:val="BalloonText"/>
    <w:uiPriority w:val="99"/>
    <w:semiHidden/>
    <w:rsid w:val="00F90AEE"/>
    <w:rPr>
      <w:rFonts w:ascii="Tahoma" w:hAnsi="Tahoma" w:cs="Tahoma"/>
      <w:sz w:val="16"/>
      <w:szCs w:val="16"/>
    </w:rPr>
  </w:style>
  <w:style w:type="character" w:customStyle="1" w:styleId="Heading2Char">
    <w:name w:val="Heading 2 Char"/>
    <w:basedOn w:val="DefaultParagraphFont"/>
    <w:link w:val="Heading2"/>
    <w:rsid w:val="00E60EC9"/>
    <w:rPr>
      <w:rFonts w:ascii="Times New Roman" w:eastAsia="Times New Roman" w:hAnsi="Times New Roman" w:cs="Times New Roman"/>
      <w:b/>
      <w:bCs/>
      <w:sz w:val="24"/>
      <w:szCs w:val="26"/>
      <w:u w:val="single"/>
    </w:rPr>
  </w:style>
  <w:style w:type="paragraph" w:styleId="BodyText">
    <w:name w:val="Body Text"/>
    <w:basedOn w:val="Normal"/>
    <w:link w:val="BodyTextChar"/>
    <w:unhideWhenUsed/>
    <w:rsid w:val="00E60EC9"/>
  </w:style>
  <w:style w:type="character" w:customStyle="1" w:styleId="BodyTextChar">
    <w:name w:val="Body Text Char"/>
    <w:basedOn w:val="DefaultParagraphFont"/>
    <w:link w:val="BodyText"/>
    <w:rsid w:val="00E60EC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60EC9"/>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E974A7"/>
    <w:rPr>
      <w:color w:val="0000FF" w:themeColor="hyperlink"/>
      <w:u w:val="single"/>
    </w:rPr>
  </w:style>
  <w:style w:type="paragraph" w:styleId="Subtitle">
    <w:name w:val="Subtitle"/>
    <w:basedOn w:val="Normal"/>
    <w:next w:val="Normal"/>
    <w:link w:val="SubtitleChar"/>
    <w:uiPriority w:val="11"/>
    <w:qFormat/>
    <w:rsid w:val="00B92B6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92B6C"/>
    <w:rPr>
      <w:rFonts w:eastAsiaTheme="minorEastAsia"/>
      <w:color w:val="5A5A5A" w:themeColor="text1" w:themeTint="A5"/>
      <w:spacing w:val="15"/>
    </w:rPr>
  </w:style>
  <w:style w:type="paragraph" w:customStyle="1" w:styleId="FootnoteText1">
    <w:name w:val="Footnote Text1"/>
    <w:basedOn w:val="Normal"/>
    <w:next w:val="FootnoteText"/>
    <w:link w:val="FootnoteTextChar"/>
    <w:uiPriority w:val="99"/>
    <w:semiHidden/>
    <w:unhideWhenUsed/>
    <w:rsid w:val="00B92B6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1"/>
    <w:uiPriority w:val="99"/>
    <w:semiHidden/>
    <w:rsid w:val="00B92B6C"/>
    <w:rPr>
      <w:sz w:val="20"/>
      <w:szCs w:val="20"/>
    </w:rPr>
  </w:style>
  <w:style w:type="character" w:styleId="FootnoteReference">
    <w:name w:val="footnote reference"/>
    <w:basedOn w:val="DefaultParagraphFont"/>
    <w:semiHidden/>
    <w:unhideWhenUsed/>
    <w:rsid w:val="00B92B6C"/>
    <w:rPr>
      <w:vertAlign w:val="superscript"/>
    </w:rPr>
  </w:style>
  <w:style w:type="paragraph" w:styleId="FootnoteText">
    <w:name w:val="footnote text"/>
    <w:basedOn w:val="Normal"/>
    <w:link w:val="FootnoteTextChar1"/>
    <w:uiPriority w:val="99"/>
    <w:semiHidden/>
    <w:unhideWhenUsed/>
    <w:rsid w:val="00B92B6C"/>
    <w:rPr>
      <w:sz w:val="20"/>
      <w:szCs w:val="20"/>
    </w:rPr>
  </w:style>
  <w:style w:type="character" w:customStyle="1" w:styleId="FootnoteTextChar1">
    <w:name w:val="Footnote Text Char1"/>
    <w:basedOn w:val="DefaultParagraphFont"/>
    <w:link w:val="FootnoteText"/>
    <w:uiPriority w:val="99"/>
    <w:semiHidden/>
    <w:rsid w:val="00B92B6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46292"/>
    <w:rPr>
      <w:sz w:val="16"/>
      <w:szCs w:val="16"/>
    </w:rPr>
  </w:style>
  <w:style w:type="paragraph" w:styleId="CommentText">
    <w:name w:val="annotation text"/>
    <w:basedOn w:val="Normal"/>
    <w:link w:val="CommentTextChar"/>
    <w:uiPriority w:val="99"/>
    <w:semiHidden/>
    <w:unhideWhenUsed/>
    <w:rsid w:val="00D46292"/>
    <w:rPr>
      <w:sz w:val="20"/>
      <w:szCs w:val="20"/>
    </w:rPr>
  </w:style>
  <w:style w:type="character" w:customStyle="1" w:styleId="CommentTextChar">
    <w:name w:val="Comment Text Char"/>
    <w:basedOn w:val="DefaultParagraphFont"/>
    <w:link w:val="CommentText"/>
    <w:uiPriority w:val="99"/>
    <w:semiHidden/>
    <w:rsid w:val="00D462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6292"/>
    <w:rPr>
      <w:b/>
      <w:bCs/>
    </w:rPr>
  </w:style>
  <w:style w:type="character" w:customStyle="1" w:styleId="CommentSubjectChar">
    <w:name w:val="Comment Subject Char"/>
    <w:basedOn w:val="CommentTextChar"/>
    <w:link w:val="CommentSubject"/>
    <w:uiPriority w:val="99"/>
    <w:semiHidden/>
    <w:rsid w:val="00D46292"/>
    <w:rPr>
      <w:rFonts w:ascii="Times New Roman" w:eastAsia="Times New Roman" w:hAnsi="Times New Roman" w:cs="Times New Roman"/>
      <w:b/>
      <w:bCs/>
      <w:sz w:val="20"/>
      <w:szCs w:val="20"/>
    </w:rPr>
  </w:style>
  <w:style w:type="table" w:styleId="TableGrid">
    <w:name w:val="Table Grid"/>
    <w:basedOn w:val="TableNormal"/>
    <w:uiPriority w:val="59"/>
    <w:rsid w:val="003F0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2FF6"/>
    <w:pPr>
      <w:ind w:left="720"/>
      <w:contextualSpacing/>
    </w:pPr>
  </w:style>
  <w:style w:type="paragraph" w:styleId="Revision">
    <w:name w:val="Revision"/>
    <w:hidden/>
    <w:uiPriority w:val="99"/>
    <w:semiHidden/>
    <w:rsid w:val="00123F83"/>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C41D78"/>
    <w:pPr>
      <w:spacing w:before="100" w:beforeAutospacing="1" w:after="100" w:afterAutospacing="1"/>
    </w:pPr>
  </w:style>
  <w:style w:type="character" w:customStyle="1" w:styleId="normaltextrun">
    <w:name w:val="normaltextrun"/>
    <w:basedOn w:val="DefaultParagraphFont"/>
    <w:rsid w:val="00C41D78"/>
  </w:style>
  <w:style w:type="character" w:customStyle="1" w:styleId="eop">
    <w:name w:val="eop"/>
    <w:basedOn w:val="DefaultParagraphFont"/>
    <w:rsid w:val="00C41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1.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f75adea-8363-4816-a45a-7257280cc888">PRPF-579121814-58376</_dlc_DocId>
    <_dlc_DocIdUrl xmlns="1f75adea-8363-4816-a45a-7257280cc888">
      <Url>https://nih.sharepoint.com/sites/HRSA-PRB/_layouts/15/DocIdRedir.aspx?ID=PRPF-579121814-58376</Url>
      <Description>PRPF-579121814-58376</Description>
    </_dlc_DocIdUrl>
    <PrfPhase xmlns="8ccc93f2-d547-442c-8adf-b676e282c02f" xsi:nil="true"/>
    <Work_x0020_Streams xmlns="8ccc93f2-d547-442c-8adf-b676e282c02f" xsi:nil="true"/>
    <Topic xmlns="8ccc93f2-d547-442c-8adf-b676e282c02f" xsi:nil="true"/>
    <Work_x0020_Streams0 xmlns="8ccc93f2-d547-442c-8adf-b676e282c02f" xsi:nil="true"/>
    <lcf76f155ced4ddcb4097134ff3c332f xmlns="8ccc93f2-d547-442c-8adf-b676e282c02f">
      <Terms xmlns="http://schemas.microsoft.com/office/infopath/2007/PartnerControls"/>
    </lcf76f155ced4ddcb4097134ff3c332f>
    <TaxCatchAll xmlns="1f75adea-8363-4816-a45a-7257280cc88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218CA2C772D240ADF26CABEF7D48AE" ma:contentTypeVersion="25" ma:contentTypeDescription="Create a new document." ma:contentTypeScope="" ma:versionID="bacd76f28463bd174f770b45cfb99869">
  <xsd:schema xmlns:xsd="http://www.w3.org/2001/XMLSchema" xmlns:xs="http://www.w3.org/2001/XMLSchema" xmlns:p="http://schemas.microsoft.com/office/2006/metadata/properties" xmlns:ns1="http://schemas.microsoft.com/sharepoint/v3" xmlns:ns2="8ccc93f2-d547-442c-8adf-b676e282c02f" xmlns:ns3="1f75adea-8363-4816-a45a-7257280cc888" targetNamespace="http://schemas.microsoft.com/office/2006/metadata/properties" ma:root="true" ma:fieldsID="bac2b7a98b255b7997df7a68f19799ce" ns1:_="" ns2:_="" ns3:_="">
    <xsd:import namespace="http://schemas.microsoft.com/sharepoint/v3"/>
    <xsd:import namespace="8ccc93f2-d547-442c-8adf-b676e282c02f"/>
    <xsd:import namespace="1f75adea-8363-4816-a45a-7257280cc888"/>
    <xsd:element name="properties">
      <xsd:complexType>
        <xsd:sequence>
          <xsd:element name="documentManagement">
            <xsd:complexType>
              <xsd:all>
                <xsd:element ref="ns2:Work_x0020_Streams" minOccurs="0"/>
                <xsd:element ref="ns2:Work_x0020_Streams0" minOccurs="0"/>
                <xsd:element ref="ns2:PrfPhase" minOccurs="0"/>
                <xsd:element ref="ns2:Topic" minOccurs="0"/>
                <xsd:element ref="ns1:PublishingStartDate" minOccurs="0"/>
                <xsd:element ref="ns1:PublishingExpirationDate" minOccurs="0"/>
                <xsd:element ref="ns3:_dlc_DocId" minOccurs="0"/>
                <xsd:element ref="ns3:_dlc_DocIdUrl" minOccurs="0"/>
                <xsd:element ref="ns3:_dlc_DocIdPersistId" minOccurs="0"/>
                <xsd:element ref="ns3:SharedWithUsers" minOccurs="0"/>
                <xsd:element ref="ns3:SharedWithDetails" minOccurs="0"/>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cc93f2-d547-442c-8adf-b676e282c02f" elementFormDefault="qualified">
    <xsd:import namespace="http://schemas.microsoft.com/office/2006/documentManagement/types"/>
    <xsd:import namespace="http://schemas.microsoft.com/office/infopath/2007/PartnerControls"/>
    <xsd:element name="Work_x0020_Streams" ma:index="2" nillable="true" ma:displayName="Author" ma:list="{412961da-f995-4e0e-91ae-b59654d156ba}" ma:internalName="Work_x0020_Stream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Work_x0020_Streams0" ma:index="3" nillable="true" ma:displayName="Work Streams" ma:list="{1072cd25-1c0c-4bc0-98e5-6e7d937c5632}" ma:internalName="Work_x0020_Streams0" ma:readOnly="false" ma:showField="Title">
      <xsd:complexType>
        <xsd:complexContent>
          <xsd:extension base="dms:MultiChoiceLookup">
            <xsd:sequence>
              <xsd:element name="Value" type="dms:Lookup" maxOccurs="unbounded" minOccurs="0" nillable="true"/>
            </xsd:sequence>
          </xsd:extension>
        </xsd:complexContent>
      </xsd:complexType>
    </xsd:element>
    <xsd:element name="PrfPhase" ma:index="4" nillable="true" ma:displayName="PRF Phases" ma:list="{d9adf0b6-244a-41ba-85e5-3775101d8d1a}" ma:internalName="PrfPhas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Topic" ma:index="5" nillable="true" ma:displayName="Topics" ma:list="{04f587ae-86d7-4603-87d6-4a096a6c6536}" ma:internalName="Topic" ma:readOnly="false" ma:showField="Title">
      <xsd:complexType>
        <xsd:complexContent>
          <xsd:extension base="dms:MultiChoiceLookup">
            <xsd:sequence>
              <xsd:element name="Value" type="dms:Lookup" maxOccurs="unbounded" minOccurs="0"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75adea-8363-4816-a45a-7257280cc88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e66dbd0-2a8b-4dbe-b0a9-995a373913ae}" ma:internalName="TaxCatchAll" ma:showField="CatchAllData" ma:web="1f75adea-8363-4816-a45a-7257280cc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1FA58D-00DC-41A1-9F58-38753BD3A2B8}">
  <ds:schemaRefs>
    <ds:schemaRef ds:uri="http://schemas.microsoft.com/sharepoint/v3/contenttype/forms"/>
  </ds:schemaRefs>
</ds:datastoreItem>
</file>

<file path=customXml/itemProps2.xml><?xml version="1.0" encoding="utf-8"?>
<ds:datastoreItem xmlns:ds="http://schemas.openxmlformats.org/officeDocument/2006/customXml" ds:itemID="{A423F02D-0C66-448F-93F0-4A55349BA243}">
  <ds:schemaRefs>
    <ds:schemaRef ds:uri="http://schemas.openxmlformats.org/officeDocument/2006/bibliography"/>
  </ds:schemaRefs>
</ds:datastoreItem>
</file>

<file path=customXml/itemProps3.xml><?xml version="1.0" encoding="utf-8"?>
<ds:datastoreItem xmlns:ds="http://schemas.openxmlformats.org/officeDocument/2006/customXml" ds:itemID="{1E8CBF77-6372-4304-AA4D-BDF3FD9952C9}">
  <ds:schemaRefs>
    <ds:schemaRef ds:uri="http://schemas.microsoft.com/sharepoint/v3"/>
    <ds:schemaRef ds:uri="8ccc93f2-d547-442c-8adf-b676e282c02f"/>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1f75adea-8363-4816-a45a-7257280cc888"/>
    <ds:schemaRef ds:uri="http://purl.org/dc/dcmitype/"/>
  </ds:schemaRefs>
</ds:datastoreItem>
</file>

<file path=customXml/itemProps4.xml><?xml version="1.0" encoding="utf-8"?>
<ds:datastoreItem xmlns:ds="http://schemas.openxmlformats.org/officeDocument/2006/customXml" ds:itemID="{2BB5B9FC-346F-412F-8342-1248F53A1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cc93f2-d547-442c-8adf-b676e282c02f"/>
    <ds:schemaRef ds:uri="1f75adea-8363-4816-a45a-7257280cc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C76FBB-6048-4752-BD6E-DAC75FD2152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change memo</vt:lpstr>
    </vt:vector>
  </TitlesOfParts>
  <Company>HRSA</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memo</dc:title>
  <dc:creator>Windows User</dc:creator>
  <cp:lastModifiedBy>Moore, Tierra (HRSA)</cp:lastModifiedBy>
  <cp:revision>2</cp:revision>
  <cp:lastPrinted>2015-10-27T16:28:00Z</cp:lastPrinted>
  <dcterms:created xsi:type="dcterms:W3CDTF">2023-05-08T19:44:00Z</dcterms:created>
  <dcterms:modified xsi:type="dcterms:W3CDTF">2023-05-08T19:44:00Z</dcterms:modified>
  <cp:category>Memo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0x01010050218CA2C772D240ADF26CABEF7D48AE</vt:lpwstr>
  </property>
  <property fmtid="{D5CDD505-2E9C-101B-9397-08002B2CF9AE}" pid="3" name="GrammarlyDocumentId">
    <vt:lpwstr>93e098e2de1edb183d18aa640e43cac9c6ce54cea579b6915a70e309c746b387</vt:lpwstr>
  </property>
  <property fmtid="{D5CDD505-2E9C-101B-9397-08002B2CF9AE}" pid="4" name="MediaServiceImageTags">
    <vt:lpwstr/>
  </property>
  <property fmtid="{D5CDD505-2E9C-101B-9397-08002B2CF9AE}" pid="5" name="_dlc_DocIdItemGuid">
    <vt:lpwstr>356e017e-9e2b-4dd1-b214-08b4ad1432f9</vt:lpwstr>
  </property>
</Properties>
</file>