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1034AA" w14:paraId="5A646D2D" w14:textId="75EBA140">
      <w:pPr>
        <w:jc w:val="center"/>
        <w:rPr>
          <w:rFonts w:eastAsia="Calibri"/>
        </w:rPr>
      </w:pPr>
      <w:r>
        <w:rPr>
          <w:rFonts w:eastAsia="Calibri"/>
        </w:rPr>
        <w:t>United States Food and Drug Administration</w:t>
      </w:r>
    </w:p>
    <w:p w:rsidR="00E27823" w:rsidRPr="001034AA" w:rsidP="001034AA" w14:paraId="6B960337" w14:textId="77777777">
      <w:pPr>
        <w:jc w:val="center"/>
        <w:rPr>
          <w:rFonts w:eastAsia="Calibri"/>
        </w:rPr>
      </w:pPr>
    </w:p>
    <w:p w:rsidR="009C4B89" w:rsidP="001034AA" w14:paraId="61317418" w14:textId="3A20F684">
      <w:pPr>
        <w:jc w:val="center"/>
        <w:rPr>
          <w:rFonts w:eastAsia="Calibri"/>
        </w:rPr>
      </w:pPr>
      <w:r>
        <w:rPr>
          <w:rFonts w:eastAsia="Calibri"/>
        </w:rPr>
        <w:t>Time and Extent Applications for Nonpres</w:t>
      </w:r>
      <w:r w:rsidR="00E27823">
        <w:rPr>
          <w:rFonts w:eastAsia="Calibri"/>
        </w:rPr>
        <w:t>c</w:t>
      </w:r>
      <w:r>
        <w:rPr>
          <w:rFonts w:eastAsia="Calibri"/>
        </w:rPr>
        <w:t>ription Drug Products</w:t>
      </w:r>
    </w:p>
    <w:p w:rsidR="00E27823" w:rsidP="001034AA" w14:paraId="6A5CB484" w14:textId="77777777">
      <w:pPr>
        <w:jc w:val="center"/>
        <w:rPr>
          <w:rFonts w:eastAsia="Calibri"/>
        </w:rPr>
      </w:pPr>
    </w:p>
    <w:p w:rsidR="00357C8A" w:rsidRPr="007D0011" w:rsidP="001034AA" w14:paraId="6BCA4B35" w14:textId="68B1DD45">
      <w:pPr>
        <w:jc w:val="center"/>
        <w:rPr>
          <w:rFonts w:eastAsia="Calibri"/>
        </w:rPr>
      </w:pPr>
      <w:r w:rsidRPr="007D0011">
        <w:rPr>
          <w:rFonts w:eastAsia="Calibri"/>
        </w:rPr>
        <w:t xml:space="preserve">OMB Control No. </w:t>
      </w:r>
      <w:r w:rsidRPr="007D0011" w:rsidR="00062E83">
        <w:rPr>
          <w:rFonts w:eastAsia="Calibri"/>
        </w:rPr>
        <w:t>0910-0</w:t>
      </w:r>
      <w:r w:rsidRPr="007D0011" w:rsidR="00826AF6">
        <w:rPr>
          <w:rFonts w:eastAsia="Calibri"/>
        </w:rPr>
        <w:t>688</w:t>
      </w:r>
      <w:r w:rsidR="008D14D7">
        <w:rPr>
          <w:rFonts w:eastAsia="Calibri"/>
        </w:rPr>
        <w:t xml:space="preserve"> -- REVISION</w:t>
      </w:r>
    </w:p>
    <w:p w:rsidR="00062E83" w:rsidRPr="00E27823" w:rsidP="001034AA" w14:paraId="4AB43267" w14:textId="77777777">
      <w:pPr>
        <w:rPr>
          <w:rFonts w:eastAsia="Calibri"/>
        </w:rPr>
      </w:pPr>
    </w:p>
    <w:p w:rsidR="00E27823" w:rsidP="007D0011" w14:paraId="2DEF9B8D" w14:textId="20063DE2">
      <w:pPr>
        <w:jc w:val="center"/>
        <w:rPr>
          <w:rFonts w:eastAsia="Calibri"/>
        </w:rPr>
      </w:pPr>
      <w:r w:rsidRPr="001034AA">
        <w:rPr>
          <w:rFonts w:eastAsia="Calibri"/>
        </w:rPr>
        <w:t>SUPPORTING STATEMENT</w:t>
      </w:r>
      <w:r w:rsidRPr="001034AA" w:rsidR="000D5900">
        <w:rPr>
          <w:rFonts w:eastAsia="Calibri"/>
        </w:rPr>
        <w:t xml:space="preserve"> </w:t>
      </w:r>
    </w:p>
    <w:p w:rsidR="00E27823" w:rsidP="001034AA" w14:paraId="7284756B" w14:textId="77777777">
      <w:pPr>
        <w:rPr>
          <w:rFonts w:eastAsia="Calibri"/>
        </w:rPr>
      </w:pPr>
    </w:p>
    <w:p w:rsidR="00E27823" w:rsidP="001034AA" w14:paraId="4DA6E4FC" w14:textId="77777777">
      <w:pPr>
        <w:rPr>
          <w:rFonts w:eastAsia="Calibri"/>
          <w:b/>
        </w:rPr>
      </w:pPr>
    </w:p>
    <w:p w:rsidR="00357C8A" w:rsidRPr="001034AA" w:rsidP="001034AA" w14:paraId="28899AC4" w14:textId="1A29B8E5">
      <w:pPr>
        <w:rPr>
          <w:rFonts w:eastAsia="Calibri"/>
        </w:rPr>
      </w:pPr>
      <w:r w:rsidRPr="001034AA">
        <w:rPr>
          <w:rFonts w:eastAsia="Calibri"/>
          <w:b/>
        </w:rPr>
        <w:t>Part A:  Justification</w:t>
      </w:r>
    </w:p>
    <w:p w:rsidR="000D79CC" w:rsidRPr="001034AA" w:rsidP="001034AA" w14:paraId="4203250C" w14:textId="77777777">
      <w:pPr>
        <w:rPr>
          <w:rFonts w:eastAsia="Calibri"/>
        </w:rPr>
      </w:pPr>
    </w:p>
    <w:p w:rsidR="00357C8A" w:rsidRPr="001034AA" w:rsidP="001034AA" w14:paraId="5F4C6042" w14:textId="77777777">
      <w:pPr>
        <w:rPr>
          <w:rFonts w:eastAsia="Calibri"/>
        </w:rPr>
      </w:pPr>
      <w:r>
        <w:rPr>
          <w:rFonts w:eastAsia="Calibri"/>
        </w:rPr>
        <w:t xml:space="preserve">1.  </w:t>
      </w:r>
      <w:r w:rsidRPr="001034AA">
        <w:rPr>
          <w:rFonts w:eastAsia="Calibri"/>
          <w:u w:val="single"/>
        </w:rPr>
        <w:t>Circumstances Making the Collection of Information Necessary</w:t>
      </w:r>
    </w:p>
    <w:p w:rsidR="001034AA" w:rsidP="001034AA" w14:paraId="10159A99" w14:textId="77777777">
      <w:pPr>
        <w:rPr>
          <w:rFonts w:eastAsia="Calibri"/>
        </w:rPr>
      </w:pPr>
    </w:p>
    <w:p w:rsidR="00266596" w:rsidP="001034AA" w14:paraId="6FAD2ADD" w14:textId="775EE236">
      <w:pPr>
        <w:rPr>
          <w:rFonts w:eastAsia="Calibri"/>
        </w:rPr>
      </w:pPr>
      <w:r w:rsidRPr="001034AA">
        <w:rPr>
          <w:rFonts w:eastAsia="Calibri"/>
        </w:rPr>
        <w:t>This information collection</w:t>
      </w:r>
      <w:r w:rsidR="00770925">
        <w:rPr>
          <w:rFonts w:eastAsia="Calibri"/>
        </w:rPr>
        <w:t xml:space="preserve"> </w:t>
      </w:r>
      <w:r w:rsidRPr="001034AA">
        <w:rPr>
          <w:rFonts w:eastAsia="Calibri"/>
        </w:rPr>
        <w:t>support</w:t>
      </w:r>
      <w:r w:rsidR="007A667D">
        <w:rPr>
          <w:rFonts w:eastAsia="Calibri"/>
        </w:rPr>
        <w:t>s</w:t>
      </w:r>
      <w:r w:rsidRPr="001034AA">
        <w:rPr>
          <w:rFonts w:eastAsia="Calibri"/>
        </w:rPr>
        <w:t xml:space="preserve"> </w:t>
      </w:r>
      <w:r w:rsidR="000A7FBC">
        <w:rPr>
          <w:rFonts w:eastAsia="Calibri"/>
        </w:rPr>
        <w:t xml:space="preserve">certain </w:t>
      </w:r>
      <w:r w:rsidRPr="001034AA">
        <w:rPr>
          <w:rFonts w:eastAsia="Calibri"/>
        </w:rPr>
        <w:t>Food and Drug Administration (FDA</w:t>
      </w:r>
      <w:r w:rsidRPr="001034AA" w:rsidR="000D5900">
        <w:rPr>
          <w:rFonts w:eastAsia="Calibri"/>
        </w:rPr>
        <w:t xml:space="preserve">, the agency, </w:t>
      </w:r>
      <w:r w:rsidRPr="001034AA" w:rsidR="000D5900">
        <w:rPr>
          <w:rFonts w:eastAsia="Calibri"/>
        </w:rPr>
        <w:t>us</w:t>
      </w:r>
      <w:r w:rsidRPr="001034AA">
        <w:rPr>
          <w:rFonts w:eastAsia="Calibri"/>
        </w:rPr>
        <w:t xml:space="preserve"> or we) regulations </w:t>
      </w:r>
      <w:r w:rsidRPr="001034AA" w:rsidR="007D5E82">
        <w:rPr>
          <w:rFonts w:eastAsia="Calibri"/>
        </w:rPr>
        <w:t xml:space="preserve">in 21 CFR part 330 regarding </w:t>
      </w:r>
      <w:r w:rsidR="00462B92">
        <w:rPr>
          <w:rFonts w:eastAsia="Calibri"/>
        </w:rPr>
        <w:t>o</w:t>
      </w:r>
      <w:r w:rsidRPr="001034AA" w:rsidR="007D5E82">
        <w:rPr>
          <w:rFonts w:eastAsia="Calibri"/>
        </w:rPr>
        <w:t>ver-</w:t>
      </w:r>
      <w:r w:rsidR="00462B92">
        <w:rPr>
          <w:rFonts w:eastAsia="Calibri"/>
        </w:rPr>
        <w:t>t</w:t>
      </w:r>
      <w:r w:rsidRPr="001034AA" w:rsidR="007D5E82">
        <w:rPr>
          <w:rFonts w:eastAsia="Calibri"/>
        </w:rPr>
        <w:t>he-</w:t>
      </w:r>
      <w:r w:rsidR="00462B92">
        <w:rPr>
          <w:rFonts w:eastAsia="Calibri"/>
        </w:rPr>
        <w:t>c</w:t>
      </w:r>
      <w:r w:rsidRPr="001034AA" w:rsidR="007D5E82">
        <w:rPr>
          <w:rFonts w:eastAsia="Calibri"/>
        </w:rPr>
        <w:t xml:space="preserve">ounter (OTC) </w:t>
      </w:r>
      <w:r w:rsidR="00462B92">
        <w:rPr>
          <w:rFonts w:eastAsia="Calibri"/>
        </w:rPr>
        <w:t>h</w:t>
      </w:r>
      <w:r w:rsidRPr="001034AA" w:rsidR="007D5E82">
        <w:rPr>
          <w:rFonts w:eastAsia="Calibri"/>
        </w:rPr>
        <w:t xml:space="preserve">uman </w:t>
      </w:r>
      <w:r w:rsidR="00462B92">
        <w:rPr>
          <w:rFonts w:eastAsia="Calibri"/>
        </w:rPr>
        <w:t>d</w:t>
      </w:r>
      <w:r w:rsidRPr="001034AA" w:rsidR="007D5E82">
        <w:rPr>
          <w:rFonts w:eastAsia="Calibri"/>
        </w:rPr>
        <w:t>rugs</w:t>
      </w:r>
      <w:r w:rsidR="00462B92">
        <w:rPr>
          <w:rFonts w:eastAsia="Calibri"/>
        </w:rPr>
        <w:t xml:space="preserve"> and associated guidance</w:t>
      </w:r>
      <w:r w:rsidR="002170A3">
        <w:rPr>
          <w:rFonts w:eastAsia="Calibri"/>
        </w:rPr>
        <w:t>.</w:t>
      </w:r>
      <w:r w:rsidRPr="001034AA" w:rsidR="007D5E82">
        <w:rPr>
          <w:rFonts w:eastAsia="Calibri"/>
        </w:rPr>
        <w:t xml:space="preserve"> </w:t>
      </w:r>
      <w:r w:rsidRPr="00266596">
        <w:rPr>
          <w:rFonts w:eastAsia="Calibri"/>
        </w:rPr>
        <w:t xml:space="preserve">Specifically, </w:t>
      </w:r>
      <w:r w:rsidR="007A667D">
        <w:rPr>
          <w:rFonts w:eastAsia="Calibri"/>
        </w:rPr>
        <w:t xml:space="preserve">our </w:t>
      </w:r>
      <w:r w:rsidRPr="00266596">
        <w:rPr>
          <w:rFonts w:eastAsia="Calibri"/>
        </w:rPr>
        <w:t>regulations in §</w:t>
      </w:r>
      <w:r w:rsidRPr="00266596" w:rsidR="00E33026">
        <w:rPr>
          <w:rFonts w:eastAsia="Calibri"/>
        </w:rPr>
        <w:t>§</w:t>
      </w:r>
      <w:r w:rsidR="00E31A71">
        <w:rPr>
          <w:rFonts w:eastAsia="Calibri"/>
        </w:rPr>
        <w:t xml:space="preserve"> </w:t>
      </w:r>
      <w:r w:rsidRPr="00266596">
        <w:rPr>
          <w:rFonts w:eastAsia="Calibri"/>
        </w:rPr>
        <w:t xml:space="preserve">330.14 </w:t>
      </w:r>
      <w:r w:rsidR="00E33026">
        <w:rPr>
          <w:rFonts w:eastAsia="Calibri"/>
        </w:rPr>
        <w:t xml:space="preserve">and </w:t>
      </w:r>
      <w:r w:rsidR="00E31A71">
        <w:rPr>
          <w:rFonts w:eastAsia="Calibri"/>
        </w:rPr>
        <w:t>330.</w:t>
      </w:r>
      <w:r w:rsidR="00E33026">
        <w:rPr>
          <w:rFonts w:eastAsia="Calibri"/>
        </w:rPr>
        <w:t>15</w:t>
      </w:r>
      <w:r w:rsidR="00E31A71">
        <w:rPr>
          <w:rFonts w:eastAsia="Calibri"/>
        </w:rPr>
        <w:t xml:space="preserve"> </w:t>
      </w:r>
      <w:r w:rsidRPr="00266596">
        <w:rPr>
          <w:rFonts w:eastAsia="Calibri"/>
        </w:rPr>
        <w:t>(21 CFR 330.14</w:t>
      </w:r>
      <w:r w:rsidR="00E33026">
        <w:rPr>
          <w:rFonts w:eastAsia="Calibri"/>
        </w:rPr>
        <w:t xml:space="preserve"> and 330.15</w:t>
      </w:r>
      <w:r w:rsidRPr="00266596">
        <w:rPr>
          <w:rFonts w:eastAsia="Calibri"/>
        </w:rPr>
        <w:t>)</w:t>
      </w:r>
      <w:r w:rsidR="00E33026">
        <w:rPr>
          <w:rFonts w:eastAsia="Calibri"/>
        </w:rPr>
        <w:t>,</w:t>
      </w:r>
      <w:r w:rsidRPr="00266596">
        <w:rPr>
          <w:rFonts w:eastAsia="Calibri"/>
        </w:rPr>
        <w:t xml:space="preserve"> establish</w:t>
      </w:r>
      <w:r w:rsidR="00E33026">
        <w:rPr>
          <w:rFonts w:eastAsia="Calibri"/>
        </w:rPr>
        <w:t>ed</w:t>
      </w:r>
      <w:r w:rsidRPr="00266596">
        <w:rPr>
          <w:rFonts w:eastAsia="Calibri"/>
        </w:rPr>
        <w:t xml:space="preserve"> additional criteria and procedures for classifying </w:t>
      </w:r>
      <w:r>
        <w:rPr>
          <w:rFonts w:eastAsia="Calibri"/>
        </w:rPr>
        <w:t xml:space="preserve">OTC </w:t>
      </w:r>
      <w:r w:rsidRPr="00266596">
        <w:rPr>
          <w:rFonts w:eastAsia="Calibri"/>
        </w:rPr>
        <w:t xml:space="preserve">drugs as generally recognized as safe and effective and not misbranded. </w:t>
      </w:r>
      <w:r w:rsidR="000A7FBC">
        <w:rPr>
          <w:rFonts w:eastAsia="Calibri"/>
        </w:rPr>
        <w:t xml:space="preserve">However, as explained below, these regulations are not reflective of more-recently enacted statutory provisions that govern the regulation of OTC human drugs marketed without approved new drug applications, under the OTC drug review process, and accordingly, </w:t>
      </w:r>
      <w:r w:rsidR="00FC1655">
        <w:rPr>
          <w:rFonts w:eastAsia="Calibri"/>
        </w:rPr>
        <w:t xml:space="preserve">these regulations </w:t>
      </w:r>
      <w:r w:rsidR="000A7FBC">
        <w:rPr>
          <w:rFonts w:eastAsia="Calibri"/>
        </w:rPr>
        <w:t xml:space="preserve">will be withdrawn. </w:t>
      </w:r>
      <w:r w:rsidRPr="00266596">
        <w:rPr>
          <w:rFonts w:eastAsia="Calibri"/>
        </w:rPr>
        <w:t xml:space="preserve"> These regulations provide</w:t>
      </w:r>
      <w:r w:rsidR="00E33026">
        <w:rPr>
          <w:rFonts w:eastAsia="Calibri"/>
        </w:rPr>
        <w:t>d</w:t>
      </w:r>
      <w:r w:rsidRPr="00266596">
        <w:rPr>
          <w:rFonts w:eastAsia="Calibri"/>
        </w:rPr>
        <w:t xml:space="preserve"> that OTC drug products introduced into the U.S. market after the OTC drug review began in 1972 and OTC drug products without any marketing experience in the United States c</w:t>
      </w:r>
      <w:r w:rsidR="00A0296B">
        <w:rPr>
          <w:rFonts w:eastAsia="Calibri"/>
        </w:rPr>
        <w:t>ould</w:t>
      </w:r>
      <w:r w:rsidRPr="00266596">
        <w:rPr>
          <w:rFonts w:eastAsia="Calibri"/>
        </w:rPr>
        <w:t xml:space="preserve"> be evaluated under the </w:t>
      </w:r>
      <w:r w:rsidR="00DD5B5D">
        <w:rPr>
          <w:rFonts w:eastAsia="Calibri"/>
        </w:rPr>
        <w:t xml:space="preserve">OTC </w:t>
      </w:r>
      <w:r w:rsidRPr="00266596">
        <w:rPr>
          <w:rFonts w:eastAsia="Calibri"/>
        </w:rPr>
        <w:t xml:space="preserve">monograph </w:t>
      </w:r>
      <w:r w:rsidR="00DD5B5D">
        <w:rPr>
          <w:rFonts w:eastAsia="Calibri"/>
        </w:rPr>
        <w:t>system</w:t>
      </w:r>
      <w:r w:rsidRPr="00266596">
        <w:rPr>
          <w:rFonts w:eastAsia="Calibri"/>
        </w:rPr>
        <w:t xml:space="preserve"> if the conditions (e.g., active ingredients) m</w:t>
      </w:r>
      <w:r w:rsidR="007A667D">
        <w:rPr>
          <w:rFonts w:eastAsia="Calibri"/>
        </w:rPr>
        <w:t>e</w:t>
      </w:r>
      <w:r w:rsidRPr="00266596">
        <w:rPr>
          <w:rFonts w:eastAsia="Calibri"/>
        </w:rPr>
        <w:t>t certain ‘‘time and extent’’ criteria outlined in the regulations.  The regulation</w:t>
      </w:r>
      <w:r w:rsidR="00874C70">
        <w:rPr>
          <w:rFonts w:eastAsia="Calibri"/>
        </w:rPr>
        <w:t xml:space="preserve"> in 21 CFR 330.14 </w:t>
      </w:r>
      <w:r w:rsidRPr="00266596">
        <w:rPr>
          <w:rFonts w:eastAsia="Calibri"/>
        </w:rPr>
        <w:t>allow</w:t>
      </w:r>
      <w:r w:rsidR="00E33026">
        <w:rPr>
          <w:rFonts w:eastAsia="Calibri"/>
        </w:rPr>
        <w:t>ed</w:t>
      </w:r>
      <w:r w:rsidRPr="00266596">
        <w:rPr>
          <w:rFonts w:eastAsia="Calibri"/>
        </w:rPr>
        <w:t xml:space="preserve"> </w:t>
      </w:r>
      <w:r w:rsidR="0050698B">
        <w:rPr>
          <w:rFonts w:eastAsia="Calibri"/>
        </w:rPr>
        <w:t xml:space="preserve">a sponsor to submit certain information to the Agency in </w:t>
      </w:r>
      <w:r w:rsidRPr="00266596">
        <w:rPr>
          <w:rFonts w:eastAsia="Calibri"/>
        </w:rPr>
        <w:t xml:space="preserve">a time and extent application (TEA) for </w:t>
      </w:r>
      <w:r w:rsidR="00B10731">
        <w:rPr>
          <w:rFonts w:eastAsia="Calibri"/>
        </w:rPr>
        <w:t xml:space="preserve">use to determination the eligibility of a condition for </w:t>
      </w:r>
      <w:r w:rsidRPr="00266596">
        <w:rPr>
          <w:rFonts w:eastAsia="Calibri"/>
        </w:rPr>
        <w:t xml:space="preserve"> consideration in the OTC monograph system.</w:t>
      </w:r>
    </w:p>
    <w:p w:rsidR="00266596" w:rsidP="001034AA" w14:paraId="2F7D7678" w14:textId="77777777">
      <w:pPr>
        <w:rPr>
          <w:rFonts w:eastAsia="Calibri"/>
        </w:rPr>
      </w:pPr>
    </w:p>
    <w:p w:rsidR="008C79C7" w:rsidP="001034AA" w14:paraId="4D254E84" w14:textId="4A81661E">
      <w:pPr>
        <w:rPr>
          <w:rFonts w:eastAsia="Calibri"/>
        </w:rPr>
      </w:pPr>
      <w:bookmarkStart w:id="0" w:name="_Hlk149312034"/>
      <w:r>
        <w:rPr>
          <w:rFonts w:eastAsia="Calibri"/>
        </w:rPr>
        <w:t>W</w:t>
      </w:r>
      <w:r w:rsidRPr="001034AA" w:rsidR="00560ECF">
        <w:rPr>
          <w:rFonts w:eastAsia="Calibri"/>
        </w:rPr>
        <w:t xml:space="preserve">e developed the </w:t>
      </w:r>
      <w:r>
        <w:rPr>
          <w:rFonts w:eastAsia="Calibri"/>
        </w:rPr>
        <w:t xml:space="preserve">final guidance </w:t>
      </w:r>
      <w:r w:rsidRPr="001034AA" w:rsidR="00560ECF">
        <w:rPr>
          <w:rFonts w:eastAsia="Calibri"/>
        </w:rPr>
        <w:t xml:space="preserve">document </w:t>
      </w:r>
      <w:r w:rsidRPr="008B461F" w:rsidR="00560ECF">
        <w:rPr>
          <w:rFonts w:eastAsia="Calibri"/>
        </w:rPr>
        <w:t>entitled, “</w:t>
      </w:r>
      <w:r w:rsidRPr="007D0011" w:rsidR="00560ECF">
        <w:rPr>
          <w:rFonts w:eastAsia="Calibri"/>
        </w:rPr>
        <w:t>Time and Extent Applications for Nonprescription Drug Products</w:t>
      </w:r>
      <w:r w:rsidRPr="008B461F" w:rsidR="00ED750D">
        <w:rPr>
          <w:rFonts w:eastAsia="Calibri"/>
        </w:rPr>
        <w:t>”</w:t>
      </w:r>
      <w:r w:rsidRPr="008B461F" w:rsidR="00266596">
        <w:rPr>
          <w:rFonts w:eastAsia="Calibri"/>
        </w:rPr>
        <w:t xml:space="preserve"> (September 2011)</w:t>
      </w:r>
      <w:r w:rsidR="006D43C0">
        <w:rPr>
          <w:rFonts w:eastAsia="Calibri"/>
        </w:rPr>
        <w:t xml:space="preserve"> (</w:t>
      </w:r>
      <w:r w:rsidR="00266596">
        <w:rPr>
          <w:rFonts w:eastAsia="Calibri"/>
        </w:rPr>
        <w:t xml:space="preserve">available from our website at </w:t>
      </w:r>
      <w:hyperlink r:id="rId6" w:history="1">
        <w:r w:rsidRPr="00B73275" w:rsidR="006D43C0">
          <w:rPr>
            <w:rStyle w:val="Hyperlink"/>
            <w:rFonts w:eastAsia="Calibri"/>
          </w:rPr>
          <w:t>https://www.fda.gov/regulatory-information/search-fda-guidance-documents/time-and-extent-applications-nonprescription-drug-products</w:t>
        </w:r>
      </w:hyperlink>
      <w:r w:rsidR="006D43C0">
        <w:rPr>
          <w:color w:val="000000" w:themeColor="text1"/>
        </w:rPr>
        <w:t>)</w:t>
      </w:r>
      <w:r>
        <w:rPr>
          <w:color w:val="000000" w:themeColor="text1"/>
        </w:rPr>
        <w:t>, to assist respondents with the information collection provisions found in the regulations</w:t>
      </w:r>
      <w:r w:rsidR="006D43C0">
        <w:rPr>
          <w:color w:val="000000" w:themeColor="text1"/>
        </w:rPr>
        <w:t xml:space="preserve">.  </w:t>
      </w:r>
      <w:r w:rsidRPr="00AF79C7" w:rsidR="00AF79C7">
        <w:rPr>
          <w:color w:val="000000" w:themeColor="text1"/>
        </w:rPr>
        <w:t xml:space="preserve">The guidance was issued consistent with our good guidance practice regulations at 21 CFR 10.115, which provide for comment at any time.  </w:t>
      </w:r>
      <w:r w:rsidRPr="001034AA" w:rsidR="00ED750D">
        <w:rPr>
          <w:rFonts w:eastAsia="Calibri"/>
        </w:rPr>
        <w:t>The guidance explain</w:t>
      </w:r>
      <w:r w:rsidR="005A28EC">
        <w:rPr>
          <w:rFonts w:eastAsia="Calibri"/>
        </w:rPr>
        <w:t>s</w:t>
      </w:r>
      <w:r w:rsidRPr="001034AA" w:rsidR="00ED750D">
        <w:rPr>
          <w:rFonts w:eastAsia="Calibri"/>
        </w:rPr>
        <w:t xml:space="preserve"> what information an applicant should submit </w:t>
      </w:r>
      <w:r w:rsidR="00AF79C7">
        <w:rPr>
          <w:rFonts w:eastAsia="Calibri"/>
        </w:rPr>
        <w:t xml:space="preserve">to the agency </w:t>
      </w:r>
      <w:r w:rsidRPr="001034AA" w:rsidR="00ED750D">
        <w:rPr>
          <w:rFonts w:eastAsia="Calibri"/>
        </w:rPr>
        <w:t>to request that a drug product be included in the OTC drug monograph system.</w:t>
      </w:r>
      <w:r w:rsidRPr="001034AA" w:rsidR="006C7396">
        <w:rPr>
          <w:rFonts w:eastAsia="Calibri"/>
        </w:rPr>
        <w:t xml:space="preserve">  The guidance also discusse</w:t>
      </w:r>
      <w:r w:rsidR="005A28EC">
        <w:rPr>
          <w:rFonts w:eastAsia="Calibri"/>
        </w:rPr>
        <w:t>s</w:t>
      </w:r>
      <w:r w:rsidRPr="001034AA" w:rsidR="006C7396">
        <w:rPr>
          <w:rFonts w:eastAsia="Calibri"/>
        </w:rPr>
        <w:t xml:space="preserve"> format and content elements</w:t>
      </w:r>
      <w:r w:rsidR="00AF79C7">
        <w:rPr>
          <w:rFonts w:eastAsia="Calibri"/>
        </w:rPr>
        <w:t>, and the process for submitting information,</w:t>
      </w:r>
      <w:r w:rsidRPr="001034AA" w:rsidR="006C7396">
        <w:rPr>
          <w:rFonts w:eastAsia="Calibri"/>
        </w:rPr>
        <w:t xml:space="preserve"> </w:t>
      </w:r>
      <w:r w:rsidR="00462B92">
        <w:rPr>
          <w:rFonts w:eastAsia="Calibri"/>
        </w:rPr>
        <w:t xml:space="preserve">consistent with </w:t>
      </w:r>
      <w:r w:rsidRPr="001034AA" w:rsidR="006C7396">
        <w:rPr>
          <w:rFonts w:eastAsia="Calibri"/>
        </w:rPr>
        <w:t>the</w:t>
      </w:r>
      <w:r w:rsidR="00462B92">
        <w:rPr>
          <w:rFonts w:eastAsia="Calibri"/>
        </w:rPr>
        <w:t xml:space="preserve"> applicable</w:t>
      </w:r>
      <w:r w:rsidRPr="001034AA" w:rsidR="006C7396">
        <w:rPr>
          <w:rFonts w:eastAsia="Calibri"/>
        </w:rPr>
        <w:t xml:space="preserve"> regulations.</w:t>
      </w:r>
      <w:r w:rsidR="00FD0F2A">
        <w:rPr>
          <w:rFonts w:eastAsia="Calibri"/>
        </w:rPr>
        <w:t xml:space="preserve"> Note that when FDA withdraws the </w:t>
      </w:r>
      <w:r w:rsidR="0038127E">
        <w:rPr>
          <w:rFonts w:eastAsia="Calibri"/>
        </w:rPr>
        <w:t xml:space="preserve">TEA regulations, we will </w:t>
      </w:r>
      <w:r w:rsidR="00FD0F2A">
        <w:rPr>
          <w:color w:val="000000" w:themeColor="text1"/>
        </w:rPr>
        <w:t>discontinue the related guidance document.  When these actions occur, we will also request discontinuation of th</w:t>
      </w:r>
      <w:r w:rsidR="0038127E">
        <w:rPr>
          <w:color w:val="000000" w:themeColor="text1"/>
        </w:rPr>
        <w:t xml:space="preserve">is </w:t>
      </w:r>
      <w:r w:rsidR="00FD0F2A">
        <w:rPr>
          <w:color w:val="000000" w:themeColor="text1"/>
        </w:rPr>
        <w:t xml:space="preserve">information collection </w:t>
      </w:r>
      <w:r w:rsidR="0038127E">
        <w:rPr>
          <w:color w:val="000000" w:themeColor="text1"/>
        </w:rPr>
        <w:t xml:space="preserve">(presently </w:t>
      </w:r>
      <w:r w:rsidR="00FD0F2A">
        <w:rPr>
          <w:color w:val="000000" w:themeColor="text1"/>
        </w:rPr>
        <w:t>under OMB control number 0910-0688</w:t>
      </w:r>
      <w:r w:rsidR="0038127E">
        <w:rPr>
          <w:color w:val="000000" w:themeColor="text1"/>
        </w:rPr>
        <w:t>)</w:t>
      </w:r>
      <w:r w:rsidR="00FD0F2A">
        <w:rPr>
          <w:color w:val="000000" w:themeColor="text1"/>
        </w:rPr>
        <w:t>.</w:t>
      </w:r>
    </w:p>
    <w:p w:rsidR="006A2588" w:rsidP="001034AA" w14:paraId="546FE61B" w14:textId="2900F0F9">
      <w:pPr>
        <w:rPr>
          <w:rFonts w:eastAsia="Calibri"/>
        </w:rPr>
      </w:pPr>
    </w:p>
    <w:p w:rsidR="005C3022" w14:paraId="033833C3" w14:textId="77777777">
      <w:pPr>
        <w:rPr>
          <w:rFonts w:eastAsia="Calibri"/>
        </w:rPr>
      </w:pPr>
      <w:r>
        <w:rPr>
          <w:rFonts w:eastAsia="Calibri"/>
        </w:rPr>
        <w:br w:type="page"/>
      </w:r>
    </w:p>
    <w:p w:rsidR="005A28EC" w:rsidP="000F2C4C" w14:paraId="300DDDFD" w14:textId="4F8382A8">
      <w:pPr>
        <w:autoSpaceDE w:val="0"/>
        <w:autoSpaceDN w:val="0"/>
        <w:adjustRightInd w:val="0"/>
        <w:ind w:firstLine="720"/>
        <w:rPr>
          <w:rFonts w:eastAsia="Calibri"/>
        </w:rPr>
      </w:pPr>
      <w:r>
        <w:rPr>
          <w:rFonts w:eastAsia="Calibri"/>
        </w:rPr>
        <w:t>OTC Monograph Reform in the CARES Act</w:t>
      </w:r>
    </w:p>
    <w:p w:rsidR="00732141" w:rsidP="005A28EC" w14:paraId="67E75C50" w14:textId="77777777">
      <w:pPr>
        <w:autoSpaceDE w:val="0"/>
        <w:autoSpaceDN w:val="0"/>
        <w:adjustRightInd w:val="0"/>
        <w:rPr>
          <w:rStyle w:val="hgkelc"/>
          <w:color w:val="202124"/>
          <w:shd w:val="clear" w:color="auto" w:fill="FFFFFF"/>
          <w:lang w:val="en"/>
        </w:rPr>
      </w:pPr>
    </w:p>
    <w:p w:rsidR="005A28EC" w:rsidRPr="007C5D21" w:rsidP="00641465" w14:paraId="6E0EE45E" w14:textId="42764AEC">
      <w:r>
        <w:rPr>
          <w:rStyle w:val="hgkelc"/>
          <w:color w:val="202124"/>
          <w:shd w:val="clear" w:color="auto" w:fill="FFFFFF"/>
          <w:lang w:val="en"/>
        </w:rPr>
        <w:t>The Coronavirus Aid, Relief, and Economic Security Act (CARES Act (P.L. 116-136</w:t>
      </w:r>
      <w:r w:rsidR="00E33026">
        <w:rPr>
          <w:rStyle w:val="hgkelc"/>
          <w:color w:val="202124"/>
          <w:shd w:val="clear" w:color="auto" w:fill="FFFFFF"/>
          <w:lang w:val="en"/>
        </w:rPr>
        <w:t>,</w:t>
      </w:r>
      <w:r w:rsidRPr="00E33026" w:rsidR="00E33026">
        <w:rPr>
          <w:color w:val="000000" w:themeColor="text1"/>
        </w:rPr>
        <w:t xml:space="preserve"> </w:t>
      </w:r>
      <w:r w:rsidR="00E33026">
        <w:rPr>
          <w:color w:val="000000" w:themeColor="text1"/>
        </w:rPr>
        <w:t>Stat. 281</w:t>
      </w:r>
      <w:r>
        <w:rPr>
          <w:rStyle w:val="hgkelc"/>
          <w:color w:val="202124"/>
          <w:shd w:val="clear" w:color="auto" w:fill="FFFFFF"/>
          <w:lang w:val="en"/>
        </w:rPr>
        <w:t>)) signed March 27, 2020, include</w:t>
      </w:r>
      <w:r w:rsidR="00A15634">
        <w:rPr>
          <w:rStyle w:val="hgkelc"/>
          <w:color w:val="202124"/>
          <w:shd w:val="clear" w:color="auto" w:fill="FFFFFF"/>
          <w:lang w:val="en"/>
        </w:rPr>
        <w:t>d</w:t>
      </w:r>
      <w:r>
        <w:rPr>
          <w:rStyle w:val="hgkelc"/>
          <w:color w:val="202124"/>
          <w:shd w:val="clear" w:color="auto" w:fill="FFFFFF"/>
          <w:lang w:val="en"/>
        </w:rPr>
        <w:t xml:space="preserve"> provisions that govern the way certain OT</w:t>
      </w:r>
      <w:r w:rsidR="0094666D">
        <w:rPr>
          <w:rStyle w:val="hgkelc"/>
          <w:color w:val="202124"/>
          <w:shd w:val="clear" w:color="auto" w:fill="FFFFFF"/>
          <w:lang w:val="en"/>
        </w:rPr>
        <w:t>C</w:t>
      </w:r>
      <w:r>
        <w:rPr>
          <w:rStyle w:val="hgkelc"/>
          <w:color w:val="202124"/>
          <w:shd w:val="clear" w:color="auto" w:fill="FFFFFF"/>
          <w:lang w:val="en"/>
        </w:rPr>
        <w:t xml:space="preserve"> drugs are regulated in the United States. The CARES Act added section 505G to the </w:t>
      </w:r>
      <w:r w:rsidR="0094666D">
        <w:rPr>
          <w:rStyle w:val="hgkelc"/>
          <w:color w:val="202124"/>
          <w:shd w:val="clear" w:color="auto" w:fill="FFFFFF"/>
          <w:lang w:val="en"/>
        </w:rPr>
        <w:t xml:space="preserve">Federal </w:t>
      </w:r>
      <w:r w:rsidR="00A15634">
        <w:rPr>
          <w:rStyle w:val="hgkelc"/>
          <w:color w:val="202124"/>
          <w:shd w:val="clear" w:color="auto" w:fill="FFFFFF"/>
          <w:lang w:val="en"/>
        </w:rPr>
        <w:t>F</w:t>
      </w:r>
      <w:r w:rsidR="0094666D">
        <w:rPr>
          <w:rStyle w:val="hgkelc"/>
          <w:color w:val="202124"/>
          <w:shd w:val="clear" w:color="auto" w:fill="FFFFFF"/>
          <w:lang w:val="en"/>
        </w:rPr>
        <w:t xml:space="preserve">ood, </w:t>
      </w:r>
      <w:r w:rsidR="00A15634">
        <w:rPr>
          <w:rStyle w:val="hgkelc"/>
          <w:color w:val="202124"/>
          <w:shd w:val="clear" w:color="auto" w:fill="FFFFFF"/>
          <w:lang w:val="en"/>
        </w:rPr>
        <w:t>D</w:t>
      </w:r>
      <w:r w:rsidR="0094666D">
        <w:rPr>
          <w:rStyle w:val="hgkelc"/>
          <w:color w:val="202124"/>
          <w:shd w:val="clear" w:color="auto" w:fill="FFFFFF"/>
          <w:lang w:val="en"/>
        </w:rPr>
        <w:t>rug and Cosmetic</w:t>
      </w:r>
      <w:r w:rsidR="00A15634">
        <w:rPr>
          <w:rStyle w:val="hgkelc"/>
          <w:color w:val="202124"/>
          <w:shd w:val="clear" w:color="auto" w:fill="FFFFFF"/>
          <w:lang w:val="en"/>
        </w:rPr>
        <w:t xml:space="preserve"> </w:t>
      </w:r>
      <w:r>
        <w:rPr>
          <w:rStyle w:val="hgkelc"/>
          <w:color w:val="202124"/>
          <w:shd w:val="clear" w:color="auto" w:fill="FFFFFF"/>
          <w:lang w:val="en"/>
        </w:rPr>
        <w:t>Act (</w:t>
      </w:r>
      <w:r w:rsidR="0094666D">
        <w:rPr>
          <w:rStyle w:val="hgkelc"/>
          <w:color w:val="202124"/>
          <w:shd w:val="clear" w:color="auto" w:fill="FFFFFF"/>
          <w:lang w:val="en"/>
        </w:rPr>
        <w:t>FD&amp; C Act (</w:t>
      </w:r>
      <w:r w:rsidR="00A15634">
        <w:rPr>
          <w:rStyle w:val="hgkelc"/>
          <w:color w:val="202124"/>
          <w:shd w:val="clear" w:color="auto" w:fill="FFFFFF"/>
          <w:lang w:val="en"/>
        </w:rPr>
        <w:t xml:space="preserve">21 </w:t>
      </w:r>
      <w:r>
        <w:rPr>
          <w:rStyle w:val="hgkelc"/>
          <w:color w:val="202124"/>
          <w:shd w:val="clear" w:color="auto" w:fill="FFFFFF"/>
          <w:lang w:val="en"/>
        </w:rPr>
        <w:t>U.S.C. 355g</w:t>
      </w:r>
      <w:r w:rsidR="0094666D">
        <w:rPr>
          <w:rStyle w:val="hgkelc"/>
          <w:color w:val="202124"/>
          <w:shd w:val="clear" w:color="auto" w:fill="FFFFFF"/>
          <w:lang w:val="en"/>
        </w:rPr>
        <w:t>)</w:t>
      </w:r>
      <w:r>
        <w:rPr>
          <w:rStyle w:val="hgkelc"/>
          <w:color w:val="202124"/>
          <w:shd w:val="clear" w:color="auto" w:fill="FFFFFF"/>
          <w:lang w:val="en"/>
        </w:rPr>
        <w:t xml:space="preserve">) which </w:t>
      </w:r>
      <w:r>
        <w:rPr>
          <w:rStyle w:val="hgkelc"/>
          <w:color w:val="040C28"/>
          <w:shd w:val="clear" w:color="auto" w:fill="FFFFFF"/>
          <w:lang w:val="en"/>
        </w:rPr>
        <w:t>reforms and modernizes the OTC drug review process</w:t>
      </w:r>
      <w:r w:rsidR="00E33026">
        <w:rPr>
          <w:rStyle w:val="hgkelc"/>
          <w:color w:val="040C28"/>
          <w:shd w:val="clear" w:color="auto" w:fill="FFFFFF"/>
          <w:lang w:val="en"/>
        </w:rPr>
        <w:t>,</w:t>
      </w:r>
      <w:r w:rsidR="00D90B17">
        <w:rPr>
          <w:rStyle w:val="hgkelc"/>
          <w:color w:val="040C28"/>
          <w:shd w:val="clear" w:color="auto" w:fill="FFFFFF"/>
          <w:lang w:val="en"/>
        </w:rPr>
        <w:t xml:space="preserve"> </w:t>
      </w:r>
      <w:r w:rsidRPr="00E31A71" w:rsidR="00D90B17">
        <w:rPr>
          <w:color w:val="000000" w:themeColor="text1"/>
        </w:rPr>
        <w:t xml:space="preserve">including </w:t>
      </w:r>
      <w:r w:rsidR="00D90B17">
        <w:rPr>
          <w:color w:val="000000" w:themeColor="text1"/>
        </w:rPr>
        <w:t xml:space="preserve">establishing new procedures for consideration of additions or changes to </w:t>
      </w:r>
      <w:r w:rsidRPr="00E31A71" w:rsidR="00D90B17">
        <w:rPr>
          <w:color w:val="000000" w:themeColor="text1"/>
        </w:rPr>
        <w:t xml:space="preserve">conditions </w:t>
      </w:r>
      <w:r w:rsidR="00D90B17">
        <w:rPr>
          <w:color w:val="000000" w:themeColor="text1"/>
        </w:rPr>
        <w:t xml:space="preserve">covered in OTC  monographs  </w:t>
      </w:r>
      <w:r w:rsidR="00E33026">
        <w:rPr>
          <w:rStyle w:val="hgkelc"/>
          <w:color w:val="040C28"/>
          <w:shd w:val="clear" w:color="auto" w:fill="FFFFFF"/>
          <w:lang w:val="en"/>
        </w:rPr>
        <w:t xml:space="preserve"> </w:t>
      </w:r>
      <w:r w:rsidR="00934867">
        <w:t>As a result of the</w:t>
      </w:r>
      <w:r w:rsidR="00D90B17">
        <w:t>se revised</w:t>
      </w:r>
      <w:r w:rsidR="00934867">
        <w:t xml:space="preserve"> statutory </w:t>
      </w:r>
      <w:r w:rsidR="00D90B17">
        <w:t>provisions</w:t>
      </w:r>
      <w:r w:rsidR="00934867">
        <w:t xml:space="preserve">, we anticipate </w:t>
      </w:r>
      <w:r w:rsidR="00242784">
        <w:t>no</w:t>
      </w:r>
      <w:r w:rsidR="00934867">
        <w:t xml:space="preserve">  submissions</w:t>
      </w:r>
      <w:r w:rsidR="009E6003">
        <w:t xml:space="preserve"> under 21 CFR 330.14</w:t>
      </w:r>
      <w:r w:rsidR="00934867">
        <w:t xml:space="preserve">.  </w:t>
      </w:r>
      <w:r w:rsidR="00156578">
        <w:t xml:space="preserve"> In particular, among other things, the statute now specifies that requestors shall make </w:t>
      </w:r>
      <w:r w:rsidR="007A7F80">
        <w:t>s</w:t>
      </w:r>
      <w:r>
        <w:t xml:space="preserve">ubmissions </w:t>
      </w:r>
      <w:r w:rsidR="003763CD">
        <w:t>seeking</w:t>
      </w:r>
      <w:r>
        <w:t xml:space="preserve"> inclusion of </w:t>
      </w:r>
      <w:r w:rsidR="00E33026">
        <w:t>additional</w:t>
      </w:r>
      <w:r>
        <w:t xml:space="preserve"> conditions in </w:t>
      </w:r>
      <w:r w:rsidR="00E33026">
        <w:t xml:space="preserve">an </w:t>
      </w:r>
      <w:r>
        <w:t xml:space="preserve">OTC monograph </w:t>
      </w:r>
      <w:r w:rsidR="00E33026">
        <w:t xml:space="preserve">pursuant to section 505G(5) as an OTC </w:t>
      </w:r>
      <w:r w:rsidRPr="004B046C" w:rsidR="007C5D21">
        <w:t>Monograph Order Request (OMOR)</w:t>
      </w:r>
      <w:r w:rsidR="004C2D9A">
        <w:t>,</w:t>
      </w:r>
      <w:r w:rsidR="007C5D21">
        <w:t xml:space="preserve"> </w:t>
      </w:r>
      <w:r>
        <w:t xml:space="preserve">along with payment of the appropriate user fee.  </w:t>
      </w:r>
      <w:r w:rsidRPr="006F07EA" w:rsidR="00E33026">
        <w:rPr>
          <w:color w:val="000000" w:themeColor="text1"/>
        </w:rPr>
        <w:t>Under section 505G(o) of the FD&amp;C Act, the Paperwork Reduction Act of 1995 (chapter 35 of title 44, United States Code) does not apply to collections of</w:t>
      </w:r>
      <w:r w:rsidRPr="00E31A71" w:rsidR="00E33026">
        <w:rPr>
          <w:color w:val="000000" w:themeColor="text1"/>
        </w:rPr>
        <w:t xml:space="preserve"> information </w:t>
      </w:r>
      <w:r w:rsidRPr="006F07EA" w:rsidR="00E33026">
        <w:rPr>
          <w:color w:val="000000" w:themeColor="text1"/>
        </w:rPr>
        <w:t>made under section 505G of the FD&amp;C Act</w:t>
      </w:r>
      <w:r w:rsidR="00E33026">
        <w:rPr>
          <w:color w:val="000000" w:themeColor="text1"/>
        </w:rPr>
        <w:t>, which includes OMOR</w:t>
      </w:r>
      <w:r w:rsidR="00615813">
        <w:rPr>
          <w:color w:val="000000" w:themeColor="text1"/>
        </w:rPr>
        <w:t>s</w:t>
      </w:r>
      <w:r w:rsidR="00E33026">
        <w:rPr>
          <w:color w:val="000000" w:themeColor="text1"/>
        </w:rPr>
        <w:t>.</w:t>
      </w:r>
      <w:r w:rsidRPr="006F07EA" w:rsidR="00E33026">
        <w:rPr>
          <w:color w:val="000000" w:themeColor="text1"/>
        </w:rPr>
        <w:t xml:space="preserve"> </w:t>
      </w:r>
      <w:r w:rsidR="00E33026">
        <w:rPr>
          <w:color w:val="000000" w:themeColor="text1"/>
        </w:rPr>
        <w:t xml:space="preserve"> </w:t>
      </w:r>
      <w:r>
        <w:t>The information collection</w:t>
      </w:r>
      <w:r w:rsidR="00E33026">
        <w:t xml:space="preserve"> associated with the OMOR user fee</w:t>
      </w:r>
      <w:r>
        <w:t xml:space="preserve"> is approved under OMB Control No. 0910-0340.</w:t>
      </w:r>
      <w:r w:rsidRPr="007A7F80" w:rsidR="007A7F80">
        <w:t xml:space="preserve"> </w:t>
      </w:r>
      <w:r w:rsidR="005B5FA3">
        <w:t xml:space="preserve"> </w:t>
      </w:r>
      <w:r w:rsidR="007A7F80">
        <w:t>Our</w:t>
      </w:r>
      <w:r w:rsidR="00E33026">
        <w:t xml:space="preserve"> </w:t>
      </w:r>
      <w:r w:rsidR="00E33026">
        <w:rPr>
          <w:color w:val="000000" w:themeColor="text1"/>
        </w:rPr>
        <w:t xml:space="preserve">OTC </w:t>
      </w:r>
      <w:r w:rsidR="00E33026">
        <w:rPr>
          <w:color w:val="000000" w:themeColor="text1"/>
        </w:rPr>
        <w:t>Monographs@FDA</w:t>
      </w:r>
      <w:r w:rsidR="00E33026">
        <w:rPr>
          <w:color w:val="000000" w:themeColor="text1"/>
        </w:rPr>
        <w:t xml:space="preserve"> portal (</w:t>
      </w:r>
      <w:hyperlink r:id="rId7" w:history="1">
        <w:r w:rsidRPr="00785D1B" w:rsidR="004A380F">
          <w:rPr>
            <w:rStyle w:val="Hyperlink"/>
          </w:rPr>
          <w:t>https://dps.fda.gov/omuf</w:t>
        </w:r>
      </w:hyperlink>
      <w:r w:rsidR="004A380F">
        <w:rPr>
          <w:color w:val="000000" w:themeColor="text1"/>
        </w:rPr>
        <w:t xml:space="preserve"> </w:t>
      </w:r>
      <w:r w:rsidR="007A7F80">
        <w:t xml:space="preserve">), provides additional information about </w:t>
      </w:r>
      <w:r w:rsidRPr="00F42C07" w:rsidR="007A7F80">
        <w:t xml:space="preserve">OTC monograph drugs </w:t>
      </w:r>
      <w:r w:rsidR="007A7F80">
        <w:t xml:space="preserve">and </w:t>
      </w:r>
      <w:r w:rsidRPr="00F42C07" w:rsidR="007A7F80">
        <w:t>the OTC drug review process</w:t>
      </w:r>
      <w:r w:rsidR="007A7F80">
        <w:t xml:space="preserve">.  </w:t>
      </w:r>
    </w:p>
    <w:p w:rsidR="005A28EC" w:rsidP="005A28EC" w14:paraId="4C5BC962" w14:textId="77777777">
      <w:pPr>
        <w:autoSpaceDE w:val="0"/>
        <w:autoSpaceDN w:val="0"/>
        <w:adjustRightInd w:val="0"/>
      </w:pPr>
    </w:p>
    <w:p w:rsidR="007C5D21" w:rsidRPr="001034AA" w:rsidP="007C5D21" w14:paraId="6B8694F7" w14:textId="49EE676E">
      <w:pPr>
        <w:rPr>
          <w:rFonts w:eastAsia="Calibri"/>
        </w:rPr>
      </w:pPr>
      <w:r>
        <w:rPr>
          <w:color w:val="000000" w:themeColor="text1"/>
        </w:rPr>
        <w:t>Consistent with section 505G(k)(3) of the FD&amp;C Act</w:t>
      </w:r>
      <w:r w:rsidR="00B22044">
        <w:rPr>
          <w:color w:val="000000" w:themeColor="text1"/>
        </w:rPr>
        <w:t>,</w:t>
      </w:r>
      <w:r>
        <w:rPr>
          <w:rStyle w:val="FootnoteReference"/>
        </w:rPr>
        <w:footnoteReference w:id="3"/>
      </w:r>
      <w:r>
        <w:rPr>
          <w:color w:val="000000" w:themeColor="text1"/>
        </w:rPr>
        <w:t xml:space="preserve"> </w:t>
      </w:r>
      <w:r>
        <w:t xml:space="preserve">we </w:t>
      </w:r>
      <w:r w:rsidR="00134833">
        <w:t>plan to withdraw t</w:t>
      </w:r>
      <w:r w:rsidR="005B5FA3">
        <w:t>he</w:t>
      </w:r>
      <w:r w:rsidR="00D42D1B">
        <w:t xml:space="preserve"> regulations</w:t>
      </w:r>
      <w:r w:rsidR="00952706">
        <w:t xml:space="preserve"> supporting the TEA provisions in 21 CFR Part 330</w:t>
      </w:r>
      <w:r w:rsidR="00D42D1B">
        <w:t xml:space="preserve"> </w:t>
      </w:r>
      <w:r w:rsidR="005B5FA3">
        <w:t xml:space="preserve">and </w:t>
      </w:r>
      <w:r w:rsidR="00134833">
        <w:t xml:space="preserve">discontinue the </w:t>
      </w:r>
      <w:r w:rsidR="000A41F5">
        <w:t xml:space="preserve">related </w:t>
      </w:r>
      <w:r w:rsidR="005A28EC">
        <w:t>guidance document.</w:t>
      </w:r>
      <w:r w:rsidR="007A7F80">
        <w:rPr>
          <w:rFonts w:eastAsia="Calibri"/>
        </w:rPr>
        <w:t xml:space="preserve">  When </w:t>
      </w:r>
      <w:r w:rsidR="00D42D1B">
        <w:rPr>
          <w:rFonts w:eastAsia="Calibri"/>
        </w:rPr>
        <w:t>these actions occur</w:t>
      </w:r>
      <w:r w:rsidR="007A7F80">
        <w:rPr>
          <w:rFonts w:eastAsia="Calibri"/>
        </w:rPr>
        <w:t>, w</w:t>
      </w:r>
      <w:r>
        <w:rPr>
          <w:rFonts w:eastAsia="Calibri"/>
        </w:rPr>
        <w:t xml:space="preserve">e will </w:t>
      </w:r>
      <w:r w:rsidR="00134833">
        <w:rPr>
          <w:rFonts w:eastAsia="Calibri"/>
        </w:rPr>
        <w:t xml:space="preserve">also </w:t>
      </w:r>
      <w:r>
        <w:rPr>
          <w:rFonts w:eastAsia="Calibri"/>
        </w:rPr>
        <w:t>request discontinuation of</w:t>
      </w:r>
      <w:r w:rsidR="00D42D1B">
        <w:rPr>
          <w:rFonts w:eastAsia="Calibri"/>
        </w:rPr>
        <w:t xml:space="preserve"> the information collection approved under OMB Control No. 0910-0688</w:t>
      </w:r>
      <w:r w:rsidR="007A7F80">
        <w:rPr>
          <w:rFonts w:eastAsia="Calibri"/>
        </w:rPr>
        <w:t>.</w:t>
      </w:r>
    </w:p>
    <w:bookmarkEnd w:id="0"/>
    <w:p w:rsidR="003437FA" w:rsidP="001034AA" w14:paraId="643B666A" w14:textId="3EF2ED27">
      <w:pPr>
        <w:rPr>
          <w:rFonts w:eastAsia="Calibri"/>
        </w:rPr>
      </w:pPr>
    </w:p>
    <w:p w:rsidR="00B22431" w:rsidRPr="001034AA" w:rsidP="001034AA" w14:paraId="1D4792DC" w14:textId="5259EB00">
      <w:pPr>
        <w:rPr>
          <w:rFonts w:eastAsia="Calibri"/>
        </w:rPr>
      </w:pPr>
      <w:r w:rsidRPr="001034AA">
        <w:rPr>
          <w:rFonts w:eastAsia="Calibri"/>
        </w:rPr>
        <w:t>We therefore request OMB approval of the information collection provisions found in 21 CFR 330</w:t>
      </w:r>
      <w:r w:rsidR="00BE75A2">
        <w:rPr>
          <w:rFonts w:eastAsia="Calibri"/>
        </w:rPr>
        <w:t>.14</w:t>
      </w:r>
      <w:r w:rsidRPr="001034AA" w:rsidR="00ED750D">
        <w:rPr>
          <w:rFonts w:eastAsia="Calibri"/>
        </w:rPr>
        <w:t xml:space="preserve">, and the </w:t>
      </w:r>
      <w:r w:rsidR="008B461F">
        <w:rPr>
          <w:rFonts w:eastAsia="Calibri"/>
        </w:rPr>
        <w:t xml:space="preserve">final guidance </w:t>
      </w:r>
      <w:r w:rsidRPr="001034AA" w:rsidR="00ED750D">
        <w:rPr>
          <w:rFonts w:eastAsia="Calibri"/>
        </w:rPr>
        <w:t>document, as discussed in this supporting statement</w:t>
      </w:r>
      <w:r w:rsidR="005A28EC">
        <w:rPr>
          <w:rFonts w:eastAsia="Calibri"/>
        </w:rPr>
        <w:t xml:space="preserve">.  </w:t>
      </w:r>
    </w:p>
    <w:p w:rsidR="008C79C7" w:rsidRPr="001034AA" w:rsidP="001034AA" w14:paraId="5DD9C38F" w14:textId="77777777">
      <w:pPr>
        <w:rPr>
          <w:rFonts w:eastAsia="Calibri"/>
        </w:rPr>
      </w:pPr>
    </w:p>
    <w:p w:rsidR="00357C8A" w:rsidRPr="001034AA" w:rsidP="001034AA" w14:paraId="0630234A" w14:textId="77777777">
      <w:pPr>
        <w:rPr>
          <w:rFonts w:eastAsia="Calibri"/>
        </w:rPr>
      </w:pPr>
      <w:r>
        <w:rPr>
          <w:rFonts w:eastAsia="Calibri"/>
        </w:rPr>
        <w:t xml:space="preserve">2.  </w:t>
      </w:r>
      <w:r w:rsidRPr="001034AA">
        <w:rPr>
          <w:rFonts w:eastAsia="Calibri"/>
          <w:u w:val="single"/>
        </w:rPr>
        <w:t>Purpose and Use of the Information Collection</w:t>
      </w:r>
      <w:r w:rsidRPr="001034AA">
        <w:rPr>
          <w:rFonts w:eastAsia="Calibri"/>
        </w:rPr>
        <w:t xml:space="preserve"> </w:t>
      </w:r>
    </w:p>
    <w:p w:rsidR="001034AA" w:rsidP="001034AA" w14:paraId="7FC6754B" w14:textId="77777777">
      <w:pPr>
        <w:rPr>
          <w:rFonts w:eastAsia="Calibri"/>
        </w:rPr>
      </w:pPr>
    </w:p>
    <w:p w:rsidR="00062E83" w:rsidRPr="001034AA" w:rsidP="001034AA" w14:paraId="7B8EACE9" w14:textId="0A0B4098">
      <w:pPr>
        <w:rPr>
          <w:rFonts w:eastAsia="Calibri"/>
        </w:rPr>
      </w:pPr>
      <w:r>
        <w:rPr>
          <w:rFonts w:eastAsia="Calibri"/>
        </w:rPr>
        <w:t>U</w:t>
      </w:r>
      <w:r w:rsidRPr="001034AA" w:rsidR="00E74AF0">
        <w:rPr>
          <w:rFonts w:eastAsia="Calibri"/>
        </w:rPr>
        <w:t>nder the provisions of 21 CFR</w:t>
      </w:r>
      <w:r w:rsidRPr="001034AA" w:rsidR="00AE083B">
        <w:rPr>
          <w:rFonts w:eastAsia="Calibri"/>
        </w:rPr>
        <w:t xml:space="preserve"> </w:t>
      </w:r>
      <w:r w:rsidRPr="001034AA" w:rsidR="00E74AF0">
        <w:rPr>
          <w:rFonts w:eastAsia="Calibri"/>
        </w:rPr>
        <w:t>330.14</w:t>
      </w:r>
      <w:r w:rsidR="009C4B89">
        <w:rPr>
          <w:rFonts w:eastAsia="Calibri"/>
        </w:rPr>
        <w:t>,</w:t>
      </w:r>
      <w:r w:rsidRPr="001034AA" w:rsidR="00E74AF0">
        <w:rPr>
          <w:rFonts w:eastAsia="Calibri"/>
        </w:rPr>
        <w:t xml:space="preserve"> </w:t>
      </w:r>
      <w:r>
        <w:rPr>
          <w:rFonts w:eastAsia="Calibri"/>
        </w:rPr>
        <w:t>r</w:t>
      </w:r>
      <w:r w:rsidRPr="001034AA">
        <w:rPr>
          <w:rFonts w:eastAsia="Calibri"/>
        </w:rPr>
        <w:t>espondents</w:t>
      </w:r>
      <w:r>
        <w:rPr>
          <w:rFonts w:eastAsia="Calibri"/>
        </w:rPr>
        <w:t>, any interested party</w:t>
      </w:r>
      <w:r w:rsidR="009A5377">
        <w:rPr>
          <w:rFonts w:eastAsia="Calibri"/>
        </w:rPr>
        <w:t xml:space="preserve"> (</w:t>
      </w:r>
      <w:r>
        <w:rPr>
          <w:rFonts w:eastAsia="Calibri"/>
        </w:rPr>
        <w:t>usually a private sector business</w:t>
      </w:r>
      <w:r w:rsidR="009A5377">
        <w:rPr>
          <w:rFonts w:eastAsia="Calibri"/>
        </w:rPr>
        <w:t>)</w:t>
      </w:r>
      <w:r w:rsidR="009C4B89">
        <w:rPr>
          <w:rFonts w:eastAsia="Calibri"/>
        </w:rPr>
        <w:t>,</w:t>
      </w:r>
      <w:r>
        <w:rPr>
          <w:rFonts w:eastAsia="Calibri"/>
        </w:rPr>
        <w:t xml:space="preserve"> </w:t>
      </w:r>
      <w:r w:rsidR="007D0011">
        <w:rPr>
          <w:rFonts w:eastAsia="Calibri"/>
        </w:rPr>
        <w:t>could</w:t>
      </w:r>
      <w:r>
        <w:rPr>
          <w:rFonts w:eastAsia="Calibri"/>
        </w:rPr>
        <w:t xml:space="preserve"> submit a TEA application</w:t>
      </w:r>
      <w:r w:rsidRPr="001034AA">
        <w:rPr>
          <w:rFonts w:eastAsia="Calibri"/>
        </w:rPr>
        <w:t xml:space="preserve"> </w:t>
      </w:r>
      <w:r w:rsidRPr="001034AA" w:rsidR="00E74AF0">
        <w:rPr>
          <w:rFonts w:eastAsia="Calibri"/>
        </w:rPr>
        <w:t xml:space="preserve">to substantiate that an ingredient or ingredients </w:t>
      </w:r>
      <w:r w:rsidR="007D0011">
        <w:rPr>
          <w:rFonts w:eastAsia="Calibri"/>
        </w:rPr>
        <w:t>were</w:t>
      </w:r>
      <w:r w:rsidRPr="001034AA" w:rsidR="00E74AF0">
        <w:rPr>
          <w:rFonts w:eastAsia="Calibri"/>
        </w:rPr>
        <w:t xml:space="preserve"> eligible to be considered for inclusion</w:t>
      </w:r>
      <w:r w:rsidRPr="001034AA" w:rsidR="00AE083B">
        <w:rPr>
          <w:rFonts w:eastAsia="Calibri"/>
        </w:rPr>
        <w:t xml:space="preserve"> </w:t>
      </w:r>
      <w:r w:rsidRPr="001034AA" w:rsidR="00E74AF0">
        <w:rPr>
          <w:rFonts w:eastAsia="Calibri"/>
        </w:rPr>
        <w:t>in the OTC drug monograph system and, if so, to demonstrate that the ingredient or ingredients</w:t>
      </w:r>
      <w:r w:rsidRPr="001034AA" w:rsidR="00AE083B">
        <w:rPr>
          <w:rFonts w:eastAsia="Calibri"/>
        </w:rPr>
        <w:t xml:space="preserve"> </w:t>
      </w:r>
      <w:r w:rsidRPr="001034AA" w:rsidR="00E74AF0">
        <w:rPr>
          <w:rFonts w:eastAsia="Calibri"/>
        </w:rPr>
        <w:t>can be classified as GRASE.</w:t>
      </w:r>
      <w:r w:rsidRPr="001034AA" w:rsidR="006C7396">
        <w:rPr>
          <w:rFonts w:eastAsia="Calibri"/>
        </w:rPr>
        <w:t xml:space="preserve">  We use</w:t>
      </w:r>
      <w:r w:rsidR="002170A3">
        <w:rPr>
          <w:rFonts w:eastAsia="Calibri"/>
        </w:rPr>
        <w:t>d</w:t>
      </w:r>
      <w:r w:rsidRPr="001034AA" w:rsidR="006C7396">
        <w:rPr>
          <w:rFonts w:eastAsia="Calibri"/>
        </w:rPr>
        <w:t xml:space="preserve"> </w:t>
      </w:r>
      <w:r w:rsidRPr="001034AA" w:rsidR="00E74AF0">
        <w:rPr>
          <w:rFonts w:eastAsia="Calibri"/>
        </w:rPr>
        <w:t xml:space="preserve">the information collected to determine eligibility (part of </w:t>
      </w:r>
      <w:r w:rsidR="00AD2835">
        <w:rPr>
          <w:rFonts w:eastAsia="Calibri"/>
        </w:rPr>
        <w:t xml:space="preserve">a </w:t>
      </w:r>
      <w:r w:rsidRPr="001034AA" w:rsidR="00E74AF0">
        <w:rPr>
          <w:rFonts w:eastAsia="Calibri"/>
        </w:rPr>
        <w:t>two-step process) and, if determined eligible, to classify the ingredient(s) as GRASE or</w:t>
      </w:r>
      <w:r w:rsidRPr="001034AA" w:rsidR="00AE083B">
        <w:rPr>
          <w:rFonts w:eastAsia="Calibri"/>
        </w:rPr>
        <w:t xml:space="preserve"> </w:t>
      </w:r>
      <w:r w:rsidRPr="001034AA" w:rsidR="00E74AF0">
        <w:rPr>
          <w:rFonts w:eastAsia="Calibri"/>
        </w:rPr>
        <w:t>not GRASE (second part of the process).</w:t>
      </w:r>
    </w:p>
    <w:p w:rsidR="00062E83" w:rsidRPr="001034AA" w:rsidP="001034AA" w14:paraId="2B8C71CA" w14:textId="77777777">
      <w:pPr>
        <w:rPr>
          <w:rFonts w:eastAsia="Calibri"/>
        </w:rPr>
      </w:pPr>
    </w:p>
    <w:p w:rsidR="00357C8A" w:rsidRPr="001034AA" w:rsidP="001034AA" w14:paraId="45F611B2" w14:textId="77777777">
      <w:pPr>
        <w:rPr>
          <w:rFonts w:eastAsia="Calibri"/>
        </w:rPr>
      </w:pPr>
      <w:r>
        <w:rPr>
          <w:rFonts w:eastAsia="Calibri"/>
        </w:rPr>
        <w:t xml:space="preserve">3.  </w:t>
      </w:r>
      <w:r w:rsidRPr="001034AA">
        <w:rPr>
          <w:rFonts w:eastAsia="Calibri"/>
          <w:u w:val="single"/>
        </w:rPr>
        <w:t>Use of Improved Information Technology and Burden Reduction</w:t>
      </w:r>
    </w:p>
    <w:p w:rsidR="001034AA" w:rsidP="001034AA" w14:paraId="0C11C62A" w14:textId="77777777">
      <w:pPr>
        <w:rPr>
          <w:rFonts w:eastAsia="Calibri"/>
        </w:rPr>
      </w:pPr>
    </w:p>
    <w:p w:rsidR="00AE083B" w:rsidRPr="001034AA" w:rsidP="00803294" w14:paraId="20EBED56" w14:textId="1915F97A">
      <w:pPr>
        <w:rPr>
          <w:rFonts w:eastAsia="Calibri"/>
        </w:rPr>
      </w:pPr>
      <w:r>
        <w:rPr>
          <w:rFonts w:eastAsia="Calibri"/>
        </w:rPr>
        <w:t xml:space="preserve">We </w:t>
      </w:r>
      <w:r w:rsidR="004A24F0">
        <w:rPr>
          <w:rFonts w:eastAsia="Calibri"/>
        </w:rPr>
        <w:t xml:space="preserve">do not anticipate further </w:t>
      </w:r>
      <w:r>
        <w:rPr>
          <w:rFonts w:eastAsia="Calibri"/>
        </w:rPr>
        <w:t>TEA</w:t>
      </w:r>
      <w:r w:rsidR="004A24F0">
        <w:rPr>
          <w:rFonts w:eastAsia="Calibri"/>
        </w:rPr>
        <w:t xml:space="preserve"> submissions</w:t>
      </w:r>
      <w:r>
        <w:rPr>
          <w:rFonts w:eastAsia="Calibri"/>
        </w:rPr>
        <w:t xml:space="preserve"> </w:t>
      </w:r>
      <w:r w:rsidR="00A41494">
        <w:rPr>
          <w:rFonts w:eastAsia="Calibri"/>
        </w:rPr>
        <w:t>under 21 CFR 330.14</w:t>
      </w:r>
      <w:r w:rsidR="00146631">
        <w:rPr>
          <w:rFonts w:eastAsia="Calibri"/>
        </w:rPr>
        <w:t xml:space="preserve">. </w:t>
      </w:r>
      <w:r w:rsidR="00A41494">
        <w:rPr>
          <w:rFonts w:eastAsia="Calibri"/>
        </w:rPr>
        <w:t xml:space="preserve"> </w:t>
      </w:r>
      <w:r w:rsidR="00DA0149">
        <w:rPr>
          <w:rFonts w:eastAsia="Calibri"/>
        </w:rPr>
        <w:t xml:space="preserve">  </w:t>
      </w:r>
    </w:p>
    <w:p w:rsidR="00ED750D" w:rsidRPr="001034AA" w:rsidP="001034AA" w14:paraId="15FCB8F0" w14:textId="77777777">
      <w:pPr>
        <w:rPr>
          <w:rFonts w:eastAsia="Calibri"/>
        </w:rPr>
      </w:pPr>
    </w:p>
    <w:p w:rsidR="00357C8A" w:rsidRPr="001034AA" w:rsidP="001034AA" w14:paraId="1B4F879C" w14:textId="77777777">
      <w:pPr>
        <w:rPr>
          <w:rFonts w:eastAsia="Calibri"/>
        </w:rPr>
      </w:pPr>
      <w:r>
        <w:rPr>
          <w:rFonts w:eastAsia="Calibri"/>
        </w:rPr>
        <w:t xml:space="preserve">4.  </w:t>
      </w:r>
      <w:r w:rsidRPr="001034AA">
        <w:rPr>
          <w:rFonts w:eastAsia="Calibri"/>
          <w:u w:val="single"/>
        </w:rPr>
        <w:t>Efforts to Identify Duplication and Use of Similar Information</w:t>
      </w:r>
      <w:r w:rsidRPr="001034AA">
        <w:rPr>
          <w:rFonts w:eastAsia="Calibri"/>
        </w:rPr>
        <w:t xml:space="preserve"> </w:t>
      </w:r>
    </w:p>
    <w:p w:rsidR="001034AA" w:rsidP="001034AA" w14:paraId="55123CE5" w14:textId="77777777"/>
    <w:p w:rsidR="00AE083B" w:rsidRPr="001034AA" w:rsidP="001034AA" w14:paraId="37B6F323" w14:textId="77777777">
      <w:r w:rsidRPr="001034AA">
        <w:t>We are unaware of duplicative information collection.</w:t>
      </w:r>
    </w:p>
    <w:p w:rsidR="00ED750D" w:rsidRPr="001034AA" w:rsidP="001034AA" w14:paraId="009A464F" w14:textId="77777777"/>
    <w:p w:rsidR="00357C8A" w:rsidRPr="001034AA" w:rsidP="001034AA" w14:paraId="3987E7D7" w14:textId="77777777">
      <w:pPr>
        <w:rPr>
          <w:rFonts w:eastAsia="Calibri"/>
        </w:rPr>
      </w:pPr>
      <w:r>
        <w:rPr>
          <w:rFonts w:eastAsia="Calibri"/>
        </w:rPr>
        <w:t xml:space="preserve">5.  </w:t>
      </w:r>
      <w:r w:rsidRPr="001034AA">
        <w:rPr>
          <w:rFonts w:eastAsia="Calibri"/>
          <w:u w:val="single"/>
        </w:rPr>
        <w:t>Impact on Small Businesses or Other Small Entities</w:t>
      </w:r>
    </w:p>
    <w:p w:rsidR="001034AA" w:rsidP="001034AA" w14:paraId="2DD60437" w14:textId="77777777"/>
    <w:p w:rsidR="00357C8A" w:rsidRPr="001034AA" w:rsidP="001034AA" w14:paraId="066C8082" w14:textId="77777777">
      <w:r w:rsidRPr="001034AA">
        <w:t xml:space="preserve">There </w:t>
      </w:r>
      <w:r w:rsidRPr="001034AA" w:rsidR="00ED750D">
        <w:t>is no undue burden imposed on small entities as a result of the information collection.</w:t>
      </w:r>
    </w:p>
    <w:p w:rsidR="00AE083B" w:rsidRPr="001034AA" w:rsidP="001034AA" w14:paraId="0B8ABC7E" w14:textId="77777777"/>
    <w:p w:rsidR="00357C8A" w:rsidRPr="001034AA" w:rsidP="001034AA" w14:paraId="646DE944" w14:textId="77777777">
      <w:pPr>
        <w:rPr>
          <w:rFonts w:eastAsia="Calibri"/>
        </w:rPr>
      </w:pPr>
      <w:r>
        <w:rPr>
          <w:rFonts w:eastAsia="Calibri"/>
        </w:rPr>
        <w:t xml:space="preserve">6.  </w:t>
      </w:r>
      <w:r w:rsidRPr="001034AA">
        <w:rPr>
          <w:rFonts w:eastAsia="Calibri"/>
          <w:u w:val="single"/>
        </w:rPr>
        <w:t>Consequences of Collecting the Information Less Frequently</w:t>
      </w:r>
    </w:p>
    <w:p w:rsidR="001034AA" w:rsidP="001034AA" w14:paraId="679AB815" w14:textId="77777777">
      <w:pPr>
        <w:rPr>
          <w:rFonts w:eastAsia="Calibri"/>
        </w:rPr>
      </w:pPr>
    </w:p>
    <w:p w:rsidR="00062E83" w:rsidRPr="001034AA" w:rsidP="001034AA" w14:paraId="3594EA6D" w14:textId="77777777">
      <w:pPr>
        <w:rPr>
          <w:rFonts w:eastAsia="Calibri"/>
        </w:rPr>
      </w:pPr>
      <w:r w:rsidRPr="001034AA">
        <w:rPr>
          <w:rFonts w:eastAsia="Calibri"/>
        </w:rPr>
        <w:t>The information collection schedule is consistent with statutory and regulatory requirements.</w:t>
      </w:r>
    </w:p>
    <w:p w:rsidR="00BC20F0" w:rsidRPr="001034AA" w:rsidP="001034AA" w14:paraId="2CF2278C" w14:textId="77777777">
      <w:pPr>
        <w:rPr>
          <w:rFonts w:eastAsia="Calibri"/>
        </w:rPr>
      </w:pPr>
    </w:p>
    <w:p w:rsidR="00357C8A" w:rsidRPr="001034AA" w:rsidP="001034AA" w14:paraId="60E3F86E" w14:textId="77777777">
      <w:pPr>
        <w:rPr>
          <w:rFonts w:eastAsia="Calibri"/>
        </w:rPr>
      </w:pPr>
      <w:r>
        <w:rPr>
          <w:rFonts w:eastAsia="Calibri"/>
        </w:rPr>
        <w:t xml:space="preserve">7.  </w:t>
      </w:r>
      <w:r w:rsidRPr="001034AA">
        <w:rPr>
          <w:rFonts w:eastAsia="Calibri"/>
          <w:u w:val="single"/>
        </w:rPr>
        <w:t>Special Circumstances Relating to the Guidelines of 5 CFR 1320.5</w:t>
      </w:r>
    </w:p>
    <w:p w:rsidR="001034AA" w:rsidP="001034AA" w14:paraId="24BE743F" w14:textId="77777777">
      <w:pPr>
        <w:rPr>
          <w:rFonts w:eastAsia="Calibri"/>
        </w:rPr>
      </w:pPr>
    </w:p>
    <w:p w:rsidR="00357C8A" w:rsidRPr="001034AA" w:rsidP="001034AA" w14:paraId="397E5806" w14:textId="77777777">
      <w:pPr>
        <w:rPr>
          <w:rFonts w:eastAsia="Calibri"/>
        </w:rPr>
      </w:pPr>
      <w:r w:rsidRPr="001034AA">
        <w:rPr>
          <w:rFonts w:eastAsia="Calibri"/>
        </w:rPr>
        <w:t xml:space="preserve">There are no </w:t>
      </w:r>
      <w:r w:rsidRPr="001034AA">
        <w:rPr>
          <w:rFonts w:eastAsia="Calibri"/>
        </w:rPr>
        <w:t>special circumstances</w:t>
      </w:r>
      <w:r w:rsidRPr="001034AA">
        <w:rPr>
          <w:rFonts w:eastAsia="Calibri"/>
        </w:rPr>
        <w:t xml:space="preserve"> for this collection of information.</w:t>
      </w:r>
    </w:p>
    <w:p w:rsidR="001034AA" w:rsidP="001034AA" w14:paraId="3F03AE6E" w14:textId="77777777">
      <w:pPr>
        <w:rPr>
          <w:rFonts w:eastAsia="Calibri"/>
        </w:rPr>
      </w:pPr>
    </w:p>
    <w:p w:rsidR="00357C8A" w:rsidRPr="001034AA" w:rsidP="001034AA" w14:paraId="0B477A0C" w14:textId="77777777">
      <w:pPr>
        <w:rPr>
          <w:rFonts w:eastAsia="Calibri"/>
        </w:rPr>
      </w:pPr>
      <w:r>
        <w:rPr>
          <w:rFonts w:eastAsia="Calibri"/>
        </w:rPr>
        <w:t xml:space="preserve">8.  </w:t>
      </w:r>
      <w:r w:rsidRPr="001034AA">
        <w:rPr>
          <w:rFonts w:eastAsia="Calibri"/>
          <w:u w:val="single"/>
        </w:rPr>
        <w:t>Comments in Response to the Federal Register Notice and Efforts to Consult Outside the Agency</w:t>
      </w:r>
    </w:p>
    <w:p w:rsidR="001034AA" w:rsidP="001034AA" w14:paraId="5021C7CB" w14:textId="77777777">
      <w:pPr>
        <w:rPr>
          <w:rFonts w:eastAsia="Calibri"/>
        </w:rPr>
      </w:pPr>
    </w:p>
    <w:p w:rsidR="00574252" w:rsidRPr="00574252" w:rsidP="00574252" w14:paraId="6C46F85D" w14:textId="55C7217E">
      <w:pPr>
        <w:rPr>
          <w:rFonts w:eastAsia="Calibri"/>
        </w:rPr>
      </w:pPr>
      <w:r>
        <w:rPr>
          <w:rFonts w:eastAsia="Calibri"/>
        </w:rPr>
        <w:t xml:space="preserve">In accordance with 5 CFR 1320.8(d), </w:t>
      </w:r>
      <w:r w:rsidRPr="00574252">
        <w:rPr>
          <w:rFonts w:eastAsia="Calibri"/>
        </w:rPr>
        <w:t xml:space="preserve">FDA published a 60-day notice </w:t>
      </w:r>
      <w:r w:rsidR="00FF5461">
        <w:rPr>
          <w:rFonts w:eastAsia="Calibri"/>
        </w:rPr>
        <w:t xml:space="preserve">for </w:t>
      </w:r>
      <w:r w:rsidRPr="00574252">
        <w:rPr>
          <w:rFonts w:eastAsia="Calibri"/>
        </w:rPr>
        <w:t xml:space="preserve">public </w:t>
      </w:r>
      <w:r w:rsidRPr="007D0011" w:rsidR="008F784F">
        <w:rPr>
          <w:rFonts w:eastAsia="Calibri"/>
        </w:rPr>
        <w:t xml:space="preserve">comment </w:t>
      </w:r>
      <w:r w:rsidRPr="007D0011" w:rsidR="00FF5461">
        <w:rPr>
          <w:rFonts w:eastAsia="Calibri"/>
        </w:rPr>
        <w:t>in the Federal Register</w:t>
      </w:r>
      <w:r w:rsidRPr="007D0011" w:rsidR="008F784F">
        <w:rPr>
          <w:rFonts w:eastAsia="Calibri"/>
        </w:rPr>
        <w:t xml:space="preserve"> of</w:t>
      </w:r>
      <w:r w:rsidRPr="007D0011" w:rsidR="002170A3">
        <w:rPr>
          <w:rFonts w:eastAsia="Calibri"/>
        </w:rPr>
        <w:t xml:space="preserve"> August 8, 2023</w:t>
      </w:r>
      <w:r w:rsidR="00C876C7">
        <w:rPr>
          <w:rFonts w:eastAsia="Calibri"/>
        </w:rPr>
        <w:t xml:space="preserve"> </w:t>
      </w:r>
      <w:r w:rsidRPr="007D0011" w:rsidR="008F784F">
        <w:rPr>
          <w:rFonts w:eastAsia="Calibri"/>
        </w:rPr>
        <w:t>(</w:t>
      </w:r>
      <w:r w:rsidRPr="007D0011" w:rsidR="002170A3">
        <w:rPr>
          <w:rFonts w:eastAsia="Calibri"/>
        </w:rPr>
        <w:t xml:space="preserve">88 </w:t>
      </w:r>
      <w:r w:rsidRPr="007D0011" w:rsidR="008F784F">
        <w:rPr>
          <w:rFonts w:eastAsia="Calibri"/>
        </w:rPr>
        <w:t xml:space="preserve">FR </w:t>
      </w:r>
      <w:r w:rsidRPr="007D0011" w:rsidR="002170A3">
        <w:rPr>
          <w:rFonts w:eastAsia="Calibri"/>
        </w:rPr>
        <w:t>53497</w:t>
      </w:r>
      <w:r w:rsidRPr="007D0011" w:rsidR="008F784F">
        <w:rPr>
          <w:rFonts w:eastAsia="Calibri"/>
        </w:rPr>
        <w:t>)</w:t>
      </w:r>
      <w:r w:rsidRPr="007D0011">
        <w:rPr>
          <w:rFonts w:eastAsia="Calibri"/>
        </w:rPr>
        <w:t xml:space="preserve">. </w:t>
      </w:r>
      <w:r w:rsidR="003437FA">
        <w:rPr>
          <w:rFonts w:eastAsia="Calibri"/>
        </w:rPr>
        <w:t xml:space="preserve"> </w:t>
      </w:r>
      <w:r w:rsidRPr="007D0011">
        <w:rPr>
          <w:rFonts w:eastAsia="Calibri"/>
        </w:rPr>
        <w:t>No comments were received</w:t>
      </w:r>
      <w:r w:rsidRPr="007D0011" w:rsidR="006D401B">
        <w:rPr>
          <w:rFonts w:eastAsia="Calibri"/>
        </w:rPr>
        <w:t>.</w:t>
      </w:r>
      <w:r w:rsidRPr="007D0011">
        <w:rPr>
          <w:rFonts w:eastAsia="Calibri"/>
        </w:rPr>
        <w:t xml:space="preserve"> </w:t>
      </w:r>
    </w:p>
    <w:p w:rsidR="00AE083B" w:rsidRPr="001034AA" w:rsidP="001034AA" w14:paraId="3C1BDE8D" w14:textId="77777777">
      <w:pPr>
        <w:rPr>
          <w:rFonts w:eastAsia="Calibri"/>
        </w:rPr>
      </w:pPr>
    </w:p>
    <w:p w:rsidR="00357C8A" w:rsidRPr="001034AA" w:rsidP="001034AA" w14:paraId="1435899D" w14:textId="77777777">
      <w:pPr>
        <w:rPr>
          <w:rFonts w:eastAsia="Calibri"/>
        </w:rPr>
      </w:pPr>
      <w:r>
        <w:rPr>
          <w:rFonts w:eastAsia="Calibri"/>
        </w:rPr>
        <w:t xml:space="preserve">9.  </w:t>
      </w:r>
      <w:r w:rsidRPr="001034AA">
        <w:rPr>
          <w:rFonts w:eastAsia="Calibri"/>
          <w:u w:val="single"/>
        </w:rPr>
        <w:t>Explanation of Any Payment or Gift to Respondents</w:t>
      </w:r>
    </w:p>
    <w:p w:rsidR="001034AA" w:rsidP="001034AA" w14:paraId="64ECFCF6" w14:textId="77777777">
      <w:pPr>
        <w:rPr>
          <w:rFonts w:eastAsia="Calibri"/>
        </w:rPr>
      </w:pPr>
    </w:p>
    <w:p w:rsidR="00357C8A" w:rsidRPr="001034AA" w:rsidP="001034AA" w14:paraId="72B15AA8" w14:textId="11667E33">
      <w:pPr>
        <w:rPr>
          <w:rFonts w:eastAsia="Calibri"/>
        </w:rPr>
      </w:pPr>
      <w:r w:rsidRPr="00404FB0">
        <w:rPr>
          <w:rFonts w:eastAsia="Calibri"/>
        </w:rPr>
        <w:t>There are no incentives, payments or gifts associated with this information collection.</w:t>
      </w:r>
    </w:p>
    <w:p w:rsidR="001034AA" w:rsidP="001034AA" w14:paraId="18EFD173" w14:textId="77777777">
      <w:pPr>
        <w:rPr>
          <w:rFonts w:eastAsia="Calibri"/>
        </w:rPr>
      </w:pPr>
    </w:p>
    <w:p w:rsidR="00357C8A" w:rsidRPr="00CA55BA" w:rsidP="001034AA" w14:paraId="4342EA57" w14:textId="77777777">
      <w:pPr>
        <w:rPr>
          <w:rFonts w:eastAsia="Calibri"/>
          <w:color w:val="000000" w:themeColor="text1"/>
        </w:rPr>
      </w:pPr>
      <w:r w:rsidRPr="00CA55BA">
        <w:rPr>
          <w:rFonts w:eastAsia="Calibri"/>
          <w:color w:val="000000" w:themeColor="text1"/>
        </w:rPr>
        <w:t xml:space="preserve">10.  </w:t>
      </w:r>
      <w:r w:rsidRPr="00CA55BA">
        <w:rPr>
          <w:rFonts w:eastAsia="Calibri"/>
          <w:color w:val="000000" w:themeColor="text1"/>
          <w:u w:val="single"/>
        </w:rPr>
        <w:t>Assurance of Confidentiality Provided to Respondents</w:t>
      </w:r>
    </w:p>
    <w:p w:rsidR="001034AA" w:rsidRPr="00CA55BA" w:rsidP="001034AA" w14:paraId="7924E2F8" w14:textId="77777777">
      <w:pPr>
        <w:rPr>
          <w:color w:val="000000" w:themeColor="text1"/>
        </w:rPr>
      </w:pPr>
    </w:p>
    <w:p w:rsidR="0079541A" w:rsidRPr="00CA55BA" w:rsidP="0079541A" w14:paraId="61CF6E00" w14:textId="391819B5">
      <w:pPr>
        <w:rPr>
          <w:color w:val="000000" w:themeColor="text1"/>
        </w:rPr>
      </w:pPr>
      <w:r w:rsidRPr="00DD30E8">
        <w:rPr>
          <w:color w:val="000000"/>
          <w:shd w:val="clear" w:color="auto" w:fill="FFFFFF"/>
        </w:rPr>
        <w:t>Data will be kept private to the extent allowed by law.</w:t>
      </w:r>
      <w:r>
        <w:rPr>
          <w:i/>
          <w:iCs/>
          <w:color w:val="000000"/>
          <w:shd w:val="clear" w:color="auto" w:fill="FFFFFF"/>
        </w:rPr>
        <w:t xml:space="preserve">  </w:t>
      </w:r>
      <w:r w:rsidRPr="00CA55BA">
        <w:rPr>
          <w:color w:val="000000" w:themeColor="text1"/>
        </w:rPr>
        <w:t>In preparing this Supporting Statement, we consulted our Privacy Office to ensure appropriate identification and handling of information collected.</w:t>
      </w:r>
      <w:r>
        <w:rPr>
          <w:color w:val="000000" w:themeColor="text1"/>
        </w:rPr>
        <w:t xml:space="preserve">  </w:t>
      </w:r>
    </w:p>
    <w:p w:rsidR="0079541A" w:rsidP="0079541A" w14:paraId="4F8535B4" w14:textId="620E4D0B">
      <w:pPr>
        <w:rPr>
          <w:color w:val="000000" w:themeColor="text1"/>
        </w:rPr>
      </w:pPr>
    </w:p>
    <w:p w:rsidR="00C876C7" w:rsidRPr="0046487F" w:rsidP="0079541A" w14:paraId="59AE918F" w14:textId="034991EB">
      <w:pPr>
        <w:rPr>
          <w:i/>
          <w:iCs/>
          <w:color w:val="000000" w:themeColor="text1"/>
        </w:rPr>
      </w:pPr>
      <w:r>
        <w:rPr>
          <w:color w:val="000000" w:themeColor="text1"/>
        </w:rPr>
        <w:tab/>
      </w:r>
      <w:r w:rsidRPr="0046487F">
        <w:rPr>
          <w:i/>
          <w:iCs/>
          <w:color w:val="000000" w:themeColor="text1"/>
        </w:rPr>
        <w:t>Privacy Act</w:t>
      </w:r>
    </w:p>
    <w:p w:rsidR="00C876C7" w:rsidP="0079541A" w14:paraId="1AC9F7AC" w14:textId="77777777">
      <w:pPr>
        <w:rPr>
          <w:color w:val="000000" w:themeColor="text1"/>
        </w:rPr>
      </w:pPr>
    </w:p>
    <w:p w:rsidR="0079541A" w:rsidP="0079541A" w14:paraId="7DBA3057" w14:textId="366BA7F8">
      <w:pPr>
        <w:rPr>
          <w:color w:val="000000" w:themeColor="text1"/>
        </w:rPr>
      </w:pPr>
      <w:r w:rsidRPr="00CA55BA">
        <w:rPr>
          <w:color w:val="000000" w:themeColor="text1"/>
        </w:rPr>
        <w:t>This ICR collects personally identifiable information (PII).  PII is collected in the context of the subject individuals’ professional capacity and the FDA-related work they perform for their employer (e.g., point of contact at a regulated entity).  The PII submitted is point of contact name, business telephone number, business email address, and business mailing address.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5C3022" w:rsidP="0079541A" w14:paraId="4422BC1A" w14:textId="77777777">
      <w:pPr>
        <w:rPr>
          <w:color w:val="000000" w:themeColor="text1"/>
        </w:rPr>
      </w:pPr>
      <w:r>
        <w:rPr>
          <w:color w:val="000000" w:themeColor="text1"/>
        </w:rPr>
        <w:tab/>
      </w:r>
    </w:p>
    <w:p w:rsidR="005C3022" w14:paraId="523A3C7A" w14:textId="77777777">
      <w:pPr>
        <w:rPr>
          <w:color w:val="000000" w:themeColor="text1"/>
        </w:rPr>
      </w:pPr>
      <w:r>
        <w:rPr>
          <w:color w:val="000000" w:themeColor="text1"/>
        </w:rPr>
        <w:br w:type="page"/>
      </w:r>
    </w:p>
    <w:p w:rsidR="00C876C7" w:rsidRPr="0046487F" w:rsidP="0033346D" w14:paraId="206BB699" w14:textId="0396FB7A">
      <w:pPr>
        <w:ind w:firstLine="720"/>
        <w:rPr>
          <w:i/>
          <w:iCs/>
          <w:color w:val="000000" w:themeColor="text1"/>
        </w:rPr>
      </w:pPr>
      <w:r w:rsidRPr="0046487F">
        <w:rPr>
          <w:i/>
          <w:iCs/>
          <w:color w:val="000000" w:themeColor="text1"/>
        </w:rPr>
        <w:t>Freedom of Information Act</w:t>
      </w:r>
    </w:p>
    <w:p w:rsidR="00C876C7" w:rsidRPr="0046487F" w:rsidP="0079541A" w14:paraId="735158E0" w14:textId="77777777">
      <w:pPr>
        <w:rPr>
          <w:i/>
          <w:iCs/>
          <w:color w:val="000000" w:themeColor="text1"/>
        </w:rPr>
      </w:pPr>
    </w:p>
    <w:p w:rsidR="0079541A" w:rsidRPr="00CA55BA" w:rsidP="0079541A" w14:paraId="5AC4E9E5" w14:textId="44AC66C7">
      <w:pPr>
        <w:rPr>
          <w:color w:val="000000" w:themeColor="text1"/>
        </w:rPr>
      </w:pPr>
      <w:r w:rsidRPr="00CA55BA">
        <w:rPr>
          <w:color w:val="000000" w:themeColor="text1"/>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000737F7">
        <w:rPr>
          <w:color w:val="000000" w:themeColor="text1"/>
        </w:rPr>
        <w:t xml:space="preserve">, and applicable </w:t>
      </w:r>
      <w:r w:rsidR="00381952">
        <w:rPr>
          <w:color w:val="000000" w:themeColor="text1"/>
        </w:rPr>
        <w:t xml:space="preserve">legal </w:t>
      </w:r>
      <w:r w:rsidR="000737F7">
        <w:rPr>
          <w:color w:val="000000" w:themeColor="text1"/>
        </w:rPr>
        <w:t>provisions</w:t>
      </w:r>
      <w:r w:rsidRPr="00CA55BA">
        <w:rPr>
          <w:color w:val="000000" w:themeColor="text1"/>
        </w:rPr>
        <w:t xml:space="preserve">. </w:t>
      </w:r>
    </w:p>
    <w:p w:rsidR="0079541A" w:rsidRPr="00CA55BA" w:rsidP="001034AA" w14:paraId="1740C81E" w14:textId="77777777">
      <w:pPr>
        <w:rPr>
          <w:color w:val="000000" w:themeColor="text1"/>
        </w:rPr>
      </w:pPr>
    </w:p>
    <w:p w:rsidR="00714AB3" w:rsidP="001034AA" w14:paraId="02E3ACBB" w14:textId="0398DE1C">
      <w:pPr>
        <w:rPr>
          <w:rFonts w:eastAsia="Calibri"/>
          <w:color w:val="000000" w:themeColor="text1"/>
        </w:rPr>
      </w:pPr>
      <w:r>
        <w:rPr>
          <w:rFonts w:eastAsia="Calibri"/>
          <w:color w:val="000000" w:themeColor="text1"/>
        </w:rPr>
        <w:t>As explained</w:t>
      </w:r>
      <w:r w:rsidR="00396ED9">
        <w:rPr>
          <w:rFonts w:eastAsia="Calibri"/>
          <w:color w:val="000000" w:themeColor="text1"/>
        </w:rPr>
        <w:t xml:space="preserve"> previously</w:t>
      </w:r>
      <w:r>
        <w:rPr>
          <w:rFonts w:eastAsia="Calibri"/>
          <w:color w:val="000000" w:themeColor="text1"/>
        </w:rPr>
        <w:t xml:space="preserve">, </w:t>
      </w:r>
      <w:r w:rsidR="00A453F6">
        <w:rPr>
          <w:rFonts w:eastAsia="Calibri"/>
          <w:color w:val="000000" w:themeColor="text1"/>
        </w:rPr>
        <w:t>due to subsequent</w:t>
      </w:r>
      <w:r w:rsidR="00A80CF2">
        <w:rPr>
          <w:rFonts w:eastAsia="Calibri"/>
          <w:color w:val="000000" w:themeColor="text1"/>
        </w:rPr>
        <w:t xml:space="preserve"> </w:t>
      </w:r>
      <w:r w:rsidR="00A453F6">
        <w:rPr>
          <w:rFonts w:eastAsia="Calibri"/>
          <w:color w:val="000000" w:themeColor="text1"/>
        </w:rPr>
        <w:t xml:space="preserve">statutory revisions, </w:t>
      </w:r>
      <w:r w:rsidR="00865797">
        <w:rPr>
          <w:rFonts w:eastAsia="Calibri"/>
          <w:color w:val="000000" w:themeColor="text1"/>
        </w:rPr>
        <w:t xml:space="preserve">we do not anticipate any further </w:t>
      </w:r>
      <w:r>
        <w:rPr>
          <w:rFonts w:eastAsia="Calibri"/>
          <w:color w:val="000000" w:themeColor="text1"/>
        </w:rPr>
        <w:t>TEA</w:t>
      </w:r>
      <w:r w:rsidR="00CC09E3">
        <w:rPr>
          <w:rFonts w:eastAsia="Calibri"/>
          <w:color w:val="000000" w:themeColor="text1"/>
        </w:rPr>
        <w:t xml:space="preserve"> submission</w:t>
      </w:r>
      <w:r w:rsidR="00865797">
        <w:rPr>
          <w:rFonts w:eastAsia="Calibri"/>
          <w:color w:val="000000" w:themeColor="text1"/>
        </w:rPr>
        <w:t>s</w:t>
      </w:r>
      <w:r w:rsidR="00666601">
        <w:rPr>
          <w:rFonts w:eastAsia="Calibri"/>
          <w:color w:val="000000" w:themeColor="text1"/>
        </w:rPr>
        <w:t xml:space="preserve"> and plan to withdraw the associated regulations</w:t>
      </w:r>
      <w:r w:rsidR="000261A0">
        <w:rPr>
          <w:rFonts w:eastAsia="Calibri"/>
          <w:color w:val="000000" w:themeColor="text1"/>
        </w:rPr>
        <w:t>.</w:t>
      </w:r>
      <w:r w:rsidR="004B5A90">
        <w:rPr>
          <w:rFonts w:eastAsia="Calibri"/>
          <w:color w:val="000000" w:themeColor="text1"/>
        </w:rPr>
        <w:t xml:space="preserve"> </w:t>
      </w:r>
      <w:r w:rsidR="000261A0">
        <w:rPr>
          <w:rFonts w:eastAsia="Calibri"/>
          <w:color w:val="000000" w:themeColor="text1"/>
        </w:rPr>
        <w:t xml:space="preserve"> </w:t>
      </w:r>
    </w:p>
    <w:p w:rsidR="00066889" w:rsidRPr="00CA55BA" w:rsidP="001034AA" w14:paraId="0F495002" w14:textId="15EEC410">
      <w:pPr>
        <w:rPr>
          <w:rFonts w:eastAsia="Calibri"/>
          <w:color w:val="000000" w:themeColor="text1"/>
        </w:rPr>
      </w:pPr>
      <w:r>
        <w:rPr>
          <w:rFonts w:eastAsia="Calibri"/>
          <w:color w:val="000000" w:themeColor="text1"/>
        </w:rPr>
        <w:t>The TEA regulations provide</w:t>
      </w:r>
      <w:r w:rsidR="0053241C">
        <w:rPr>
          <w:rFonts w:eastAsia="Calibri"/>
          <w:color w:val="000000" w:themeColor="text1"/>
        </w:rPr>
        <w:t>d</w:t>
      </w:r>
      <w:r>
        <w:rPr>
          <w:rFonts w:eastAsia="Calibri"/>
          <w:color w:val="000000" w:themeColor="text1"/>
        </w:rPr>
        <w:t xml:space="preserve"> that </w:t>
      </w:r>
      <w:r w:rsidR="003B64DE">
        <w:rPr>
          <w:rFonts w:eastAsia="Calibri"/>
          <w:color w:val="000000" w:themeColor="text1"/>
        </w:rPr>
        <w:t>c</w:t>
      </w:r>
      <w:r w:rsidRPr="00CA55BA" w:rsidR="003B64DE">
        <w:rPr>
          <w:rFonts w:eastAsia="Calibri"/>
          <w:color w:val="000000" w:themeColor="text1"/>
        </w:rPr>
        <w:t xml:space="preserve">ertain </w:t>
      </w:r>
      <w:r w:rsidRPr="00CA55BA" w:rsidR="00AE083B">
        <w:rPr>
          <w:rFonts w:eastAsia="Calibri"/>
          <w:color w:val="000000" w:themeColor="text1"/>
        </w:rPr>
        <w:t xml:space="preserve">information submitted in a TEA or a safety and effectiveness submission may be considered confidential. Under 21 CFR 330.14(d), all TEAs are </w:t>
      </w:r>
      <w:r w:rsidRPr="00CA55BA" w:rsidR="00AE083B">
        <w:rPr>
          <w:rFonts w:eastAsia="Calibri"/>
          <w:color w:val="000000" w:themeColor="text1"/>
        </w:rPr>
        <w:t>handled</w:t>
      </w:r>
      <w:r w:rsidRPr="00CA55BA" w:rsidR="00AE083B">
        <w:rPr>
          <w:rFonts w:eastAsia="Calibri"/>
          <w:color w:val="000000" w:themeColor="text1"/>
        </w:rPr>
        <w:t xml:space="preserve"> as confidential upon receipt</w:t>
      </w:r>
      <w:r w:rsidRPr="00CA55BA" w:rsidR="001034AA">
        <w:rPr>
          <w:color w:val="000000" w:themeColor="text1"/>
        </w:rPr>
        <w:t xml:space="preserve"> </w:t>
      </w:r>
      <w:r w:rsidRPr="00CA55BA" w:rsidR="00AE083B">
        <w:rPr>
          <w:rFonts w:eastAsia="Calibri"/>
          <w:color w:val="000000" w:themeColor="text1"/>
        </w:rPr>
        <w:t>until such time as a decision is made on the eligibility of the drug product.</w:t>
      </w:r>
      <w:r w:rsidRPr="00CA55BA" w:rsidR="001034AA">
        <w:rPr>
          <w:rFonts w:eastAsia="Calibri"/>
          <w:color w:val="000000" w:themeColor="text1"/>
        </w:rPr>
        <w:t xml:space="preserve">  </w:t>
      </w:r>
      <w:r w:rsidRPr="00CA55BA" w:rsidR="00AE083B">
        <w:rPr>
          <w:rFonts w:eastAsia="Calibri"/>
          <w:color w:val="000000" w:themeColor="text1"/>
        </w:rPr>
        <w:t>If the drug is found to be eligible for inclusion in the OTC drug monograph system, any information that FDA deems confidential under 18 U.S.C. 1905, 5 U.S.C. 552(b), or section 301(j) of the act will be removed from the TEA, and the remainder of the application will be placed on public display in the Division of Dockets Management when the notice of eligibility is published (21 CFR 330.14(d))).</w:t>
      </w:r>
      <w:r w:rsidRPr="00CA55BA" w:rsidR="009677FF">
        <w:rPr>
          <w:rFonts w:eastAsia="Calibri"/>
          <w:color w:val="000000" w:themeColor="text1"/>
        </w:rPr>
        <w:t xml:space="preserve">  </w:t>
      </w:r>
      <w:r w:rsidRPr="00CA55BA" w:rsidR="00AE083B">
        <w:rPr>
          <w:rFonts w:eastAsia="Calibri"/>
          <w:color w:val="000000" w:themeColor="text1"/>
        </w:rPr>
        <w:t xml:space="preserve">If the condition is not found to be eligible, the TEA will not be placed on public display, but a letter from FDA to the applicant stating why the condition was not </w:t>
      </w:r>
    </w:p>
    <w:p w:rsidR="00AE083B" w:rsidRPr="00CA55BA" w:rsidP="001034AA" w14:paraId="0A8F257C" w14:textId="03E460EC">
      <w:pPr>
        <w:rPr>
          <w:color w:val="000000" w:themeColor="text1"/>
        </w:rPr>
      </w:pPr>
      <w:r w:rsidRPr="00CA55BA">
        <w:rPr>
          <w:rFonts w:eastAsia="Calibri"/>
          <w:color w:val="000000" w:themeColor="text1"/>
        </w:rPr>
        <w:t>found to be eligible will be placed on public display in the Division of Dockets Management (21 CFR 330.14 (d)).</w:t>
      </w:r>
    </w:p>
    <w:p w:rsidR="00AE083B" w:rsidRPr="00CA55BA" w:rsidP="001034AA" w14:paraId="309DC7D6" w14:textId="77777777">
      <w:pPr>
        <w:rPr>
          <w:rFonts w:eastAsia="Calibri"/>
          <w:color w:val="000000" w:themeColor="text1"/>
        </w:rPr>
      </w:pPr>
    </w:p>
    <w:p w:rsidR="00BC20F0" w:rsidRPr="00CA55BA" w:rsidP="001034AA" w14:paraId="300822A7" w14:textId="5EDE323D">
      <w:pPr>
        <w:rPr>
          <w:rFonts w:eastAsia="Calibri"/>
          <w:color w:val="000000" w:themeColor="text1"/>
        </w:rPr>
      </w:pPr>
      <w:r w:rsidRPr="00CA55BA">
        <w:rPr>
          <w:rFonts w:eastAsia="Calibri"/>
          <w:color w:val="000000" w:themeColor="text1"/>
        </w:rPr>
        <w:t>Under 21 CFR 330.14(f), safety and effectiveness data submitted in response to a notice of</w:t>
      </w:r>
      <w:r w:rsidRPr="00CA55BA" w:rsidR="008F6CCA">
        <w:rPr>
          <w:rFonts w:eastAsia="Calibri"/>
          <w:color w:val="000000" w:themeColor="text1"/>
        </w:rPr>
        <w:t xml:space="preserve"> </w:t>
      </w:r>
      <w:r w:rsidRPr="00CA55BA">
        <w:rPr>
          <w:rFonts w:eastAsia="Calibri"/>
          <w:color w:val="000000" w:themeColor="text1"/>
        </w:rPr>
        <w:t>eligibility will be made publicly available for viewing at the Division of Dockets Management,</w:t>
      </w:r>
      <w:r w:rsidRPr="00CA55BA" w:rsidR="008F6CCA">
        <w:rPr>
          <w:rFonts w:eastAsia="Calibri"/>
          <w:color w:val="000000" w:themeColor="text1"/>
        </w:rPr>
        <w:t xml:space="preserve"> </w:t>
      </w:r>
      <w:r w:rsidRPr="00CA55BA">
        <w:rPr>
          <w:rFonts w:eastAsia="Calibri"/>
          <w:color w:val="000000" w:themeColor="text1"/>
        </w:rPr>
        <w:t>except data deemed confidential under 18 U.S.C. 1905, 5 U.S.C. 552(b), or section 301(j) of the</w:t>
      </w:r>
      <w:r w:rsidRPr="00CA55BA" w:rsidR="008F6CCA">
        <w:rPr>
          <w:rFonts w:eastAsia="Calibri"/>
          <w:color w:val="000000" w:themeColor="text1"/>
        </w:rPr>
        <w:t xml:space="preserve"> </w:t>
      </w:r>
      <w:r w:rsidRPr="00CA55BA" w:rsidR="003912D4">
        <w:rPr>
          <w:rFonts w:eastAsia="Calibri"/>
          <w:color w:val="000000" w:themeColor="text1"/>
        </w:rPr>
        <w:t>Federal Food, Drug and Cosmetic A</w:t>
      </w:r>
      <w:r w:rsidRPr="00CA55BA">
        <w:rPr>
          <w:rFonts w:eastAsia="Calibri"/>
          <w:color w:val="000000" w:themeColor="text1"/>
        </w:rPr>
        <w:t>ct.</w:t>
      </w:r>
      <w:r w:rsidRPr="00CA55BA" w:rsidR="009677FF">
        <w:rPr>
          <w:rFonts w:eastAsia="Calibri"/>
          <w:color w:val="000000" w:themeColor="text1"/>
        </w:rPr>
        <w:t xml:space="preserve">  </w:t>
      </w:r>
      <w:r w:rsidRPr="00CA55BA">
        <w:rPr>
          <w:rFonts w:eastAsia="Calibri"/>
          <w:color w:val="000000" w:themeColor="text1"/>
        </w:rPr>
        <w:t xml:space="preserve">Submissions </w:t>
      </w:r>
      <w:r w:rsidR="003B64DE">
        <w:rPr>
          <w:rFonts w:eastAsia="Calibri"/>
          <w:color w:val="000000" w:themeColor="text1"/>
        </w:rPr>
        <w:t>had to</w:t>
      </w:r>
      <w:r w:rsidRPr="00CA55BA" w:rsidR="003B64DE">
        <w:rPr>
          <w:rFonts w:eastAsia="Calibri"/>
          <w:color w:val="000000" w:themeColor="text1"/>
        </w:rPr>
        <w:t xml:space="preserve"> </w:t>
      </w:r>
      <w:r w:rsidRPr="00CA55BA">
        <w:rPr>
          <w:rFonts w:eastAsia="Calibri"/>
          <w:color w:val="000000" w:themeColor="text1"/>
        </w:rPr>
        <w:t xml:space="preserve">clearly identify data considered confidential under these provisions (21 CFR 330.14(f)). Proposed compendial standards </w:t>
      </w:r>
      <w:r w:rsidR="003B64DE">
        <w:rPr>
          <w:rFonts w:eastAsia="Calibri"/>
          <w:color w:val="000000" w:themeColor="text1"/>
        </w:rPr>
        <w:t xml:space="preserve">were not </w:t>
      </w:r>
      <w:r w:rsidRPr="00CA55BA">
        <w:rPr>
          <w:rFonts w:eastAsia="Calibri"/>
          <w:color w:val="000000" w:themeColor="text1"/>
        </w:rPr>
        <w:t>considered confidential (21 CFR 330.14(f)).</w:t>
      </w:r>
    </w:p>
    <w:p w:rsidR="001075D3" w:rsidRPr="001034AA" w:rsidP="001034AA" w14:paraId="43262634" w14:textId="77777777"/>
    <w:p w:rsidR="00357C8A" w:rsidRPr="001034AA" w:rsidP="001034AA" w14:paraId="299461F3" w14:textId="77777777">
      <w:pPr>
        <w:rPr>
          <w:rFonts w:eastAsia="Calibri"/>
          <w:u w:val="single"/>
        </w:rPr>
      </w:pPr>
      <w:r>
        <w:rPr>
          <w:rFonts w:eastAsia="Calibri"/>
        </w:rPr>
        <w:t xml:space="preserve">11.  </w:t>
      </w:r>
      <w:r w:rsidRPr="001034AA">
        <w:rPr>
          <w:rFonts w:eastAsia="Calibri"/>
          <w:u w:val="single"/>
        </w:rPr>
        <w:t>Justification for Sensitive Questions</w:t>
      </w:r>
    </w:p>
    <w:p w:rsidR="001034AA" w:rsidP="001034AA" w14:paraId="3C7E5E93" w14:textId="77777777">
      <w:pPr>
        <w:rPr>
          <w:rFonts w:eastAsia="Calibri"/>
        </w:rPr>
      </w:pPr>
    </w:p>
    <w:p w:rsidR="00357C8A" w:rsidRPr="001034AA" w:rsidP="001034AA" w14:paraId="56FF0930" w14:textId="77777777">
      <w:pPr>
        <w:rPr>
          <w:rFonts w:eastAsia="Calibri"/>
        </w:rPr>
      </w:pPr>
      <w:r w:rsidRPr="001034AA">
        <w:rPr>
          <w:rFonts w:eastAsia="Calibri"/>
        </w:rPr>
        <w:t>The collection of information does not involve sensitive questions.</w:t>
      </w:r>
    </w:p>
    <w:p w:rsidR="001034AA" w:rsidP="001034AA" w14:paraId="111063D6" w14:textId="77777777">
      <w:pPr>
        <w:rPr>
          <w:rFonts w:eastAsia="Calibri"/>
        </w:rPr>
      </w:pPr>
    </w:p>
    <w:p w:rsidR="005B5FA3" w14:paraId="1CBD3751" w14:textId="77777777">
      <w:pPr>
        <w:rPr>
          <w:rFonts w:eastAsia="Calibri"/>
        </w:rPr>
      </w:pPr>
      <w:r>
        <w:rPr>
          <w:rFonts w:eastAsia="Calibri"/>
        </w:rPr>
        <w:br w:type="page"/>
      </w:r>
    </w:p>
    <w:p w:rsidR="00357C8A" w:rsidRPr="001034AA" w:rsidP="001034AA" w14:paraId="3CD2C3B6" w14:textId="1245D9B2">
      <w:pPr>
        <w:rPr>
          <w:rFonts w:eastAsia="Calibri"/>
        </w:rPr>
      </w:pPr>
      <w:r>
        <w:rPr>
          <w:rFonts w:eastAsia="Calibri"/>
        </w:rPr>
        <w:t xml:space="preserve">12.  </w:t>
      </w:r>
      <w:r w:rsidRPr="001034AA">
        <w:rPr>
          <w:rFonts w:eastAsia="Calibri"/>
          <w:u w:val="single"/>
        </w:rPr>
        <w:t>Estimates of Annualized Burden Hours and Cost</w:t>
      </w:r>
    </w:p>
    <w:p w:rsidR="001034AA" w:rsidP="001034AA" w14:paraId="7CAAF514" w14:textId="77777777"/>
    <w:p w:rsidR="001034AA" w:rsidP="001034AA" w14:paraId="458909E9" w14:textId="14BE6AC9">
      <w:r>
        <w:tab/>
      </w:r>
      <w:r w:rsidRPr="001034AA">
        <w:rPr>
          <w:i/>
        </w:rPr>
        <w:t>12a.  Estimated Hour Burden</w:t>
      </w:r>
      <w:r>
        <w:t>:</w:t>
      </w:r>
    </w:p>
    <w:p w:rsidR="00CA5E8D" w:rsidP="001034AA" w14:paraId="68135F6F" w14:textId="77777777"/>
    <w:p w:rsidR="00DD5D59" w:rsidRPr="00CA5E8D" w:rsidP="00CA5E8D" w14:paraId="113AEF3E" w14:textId="3C4D0BA0">
      <w:pPr>
        <w:contextualSpacing/>
        <w:jc w:val="center"/>
        <w:rPr>
          <w:sz w:val="20"/>
          <w:szCs w:val="20"/>
        </w:rPr>
      </w:pPr>
      <w:r w:rsidRPr="00CA5E8D">
        <w:rPr>
          <w:sz w:val="20"/>
          <w:szCs w:val="20"/>
        </w:rPr>
        <w:t>Table 1.--Estimated Annual Reporting Burden</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2"/>
        <w:gridCol w:w="1239"/>
        <w:gridCol w:w="1478"/>
        <w:gridCol w:w="1306"/>
        <w:gridCol w:w="1305"/>
        <w:gridCol w:w="1038"/>
      </w:tblGrid>
      <w:tr w14:paraId="2B0A911E" w14:textId="77777777" w:rsidTr="00CD0AD9">
        <w:tblPrEx>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jc w:val="center"/>
        </w:trPr>
        <w:tc>
          <w:tcPr>
            <w:tcW w:w="1351" w:type="pct"/>
            <w:shd w:val="clear" w:color="auto" w:fill="auto"/>
          </w:tcPr>
          <w:p w:rsidR="0039084F" w:rsidRPr="0039084F" w:rsidP="0039084F" w14:paraId="2872D971" w14:textId="77777777">
            <w:pPr>
              <w:jc w:val="center"/>
              <w:rPr>
                <w:sz w:val="20"/>
                <w:szCs w:val="20"/>
              </w:rPr>
            </w:pPr>
            <w:r w:rsidRPr="0039084F">
              <w:rPr>
                <w:sz w:val="20"/>
                <w:szCs w:val="20"/>
              </w:rPr>
              <w:t>21 CFR Part; Activity</w:t>
            </w:r>
          </w:p>
        </w:tc>
        <w:tc>
          <w:tcPr>
            <w:tcW w:w="701" w:type="pct"/>
            <w:shd w:val="clear" w:color="auto" w:fill="auto"/>
          </w:tcPr>
          <w:p w:rsidR="0039084F" w:rsidRPr="0039084F" w:rsidP="0039084F" w14:paraId="590C95A6" w14:textId="77777777">
            <w:pPr>
              <w:jc w:val="center"/>
              <w:rPr>
                <w:sz w:val="20"/>
                <w:szCs w:val="20"/>
              </w:rPr>
            </w:pPr>
            <w:r w:rsidRPr="0039084F">
              <w:rPr>
                <w:sz w:val="20"/>
                <w:szCs w:val="20"/>
              </w:rPr>
              <w:t>No. of Respondents</w:t>
            </w:r>
          </w:p>
        </w:tc>
        <w:tc>
          <w:tcPr>
            <w:tcW w:w="850" w:type="pct"/>
            <w:shd w:val="clear" w:color="auto" w:fill="auto"/>
          </w:tcPr>
          <w:p w:rsidR="0039084F" w:rsidRPr="0039084F" w:rsidP="0039084F" w14:paraId="52D5D3BA" w14:textId="77777777">
            <w:pPr>
              <w:jc w:val="center"/>
              <w:rPr>
                <w:sz w:val="20"/>
                <w:szCs w:val="20"/>
              </w:rPr>
            </w:pPr>
            <w:r w:rsidRPr="0039084F">
              <w:rPr>
                <w:bCs/>
                <w:sz w:val="20"/>
                <w:szCs w:val="20"/>
              </w:rPr>
              <w:t>No. of Responses per Respondent</w:t>
            </w:r>
          </w:p>
        </w:tc>
        <w:tc>
          <w:tcPr>
            <w:tcW w:w="751" w:type="pct"/>
            <w:shd w:val="clear" w:color="auto" w:fill="auto"/>
          </w:tcPr>
          <w:p w:rsidR="0039084F" w:rsidRPr="0039084F" w:rsidP="0039084F" w14:paraId="702858EA" w14:textId="77777777">
            <w:pPr>
              <w:jc w:val="center"/>
              <w:rPr>
                <w:sz w:val="20"/>
                <w:szCs w:val="20"/>
              </w:rPr>
            </w:pPr>
            <w:r w:rsidRPr="0039084F">
              <w:rPr>
                <w:sz w:val="20"/>
                <w:szCs w:val="20"/>
              </w:rPr>
              <w:t>Total Annual Responses</w:t>
            </w:r>
          </w:p>
        </w:tc>
        <w:tc>
          <w:tcPr>
            <w:tcW w:w="750" w:type="pct"/>
            <w:shd w:val="clear" w:color="auto" w:fill="auto"/>
          </w:tcPr>
          <w:p w:rsidR="0039084F" w:rsidRPr="0039084F" w:rsidP="0039084F" w14:paraId="56E7FABF" w14:textId="77777777">
            <w:pPr>
              <w:jc w:val="center"/>
              <w:rPr>
                <w:sz w:val="20"/>
                <w:szCs w:val="20"/>
              </w:rPr>
            </w:pPr>
            <w:r w:rsidRPr="0039084F">
              <w:rPr>
                <w:bCs/>
                <w:sz w:val="20"/>
                <w:szCs w:val="20"/>
              </w:rPr>
              <w:t>Average Burden per Response</w:t>
            </w:r>
          </w:p>
        </w:tc>
        <w:tc>
          <w:tcPr>
            <w:tcW w:w="597" w:type="pct"/>
            <w:shd w:val="clear" w:color="auto" w:fill="auto"/>
          </w:tcPr>
          <w:p w:rsidR="0039084F" w:rsidRPr="0039084F" w:rsidP="0039084F" w14:paraId="1C8B6767" w14:textId="77777777">
            <w:pPr>
              <w:jc w:val="center"/>
              <w:rPr>
                <w:sz w:val="20"/>
                <w:szCs w:val="20"/>
              </w:rPr>
            </w:pPr>
            <w:r w:rsidRPr="0039084F">
              <w:rPr>
                <w:sz w:val="20"/>
                <w:szCs w:val="20"/>
              </w:rPr>
              <w:t>Total Hours</w:t>
            </w:r>
          </w:p>
        </w:tc>
      </w:tr>
      <w:tr w14:paraId="581C6D17" w14:textId="77777777" w:rsidTr="00CD0AD9">
        <w:tblPrEx>
          <w:tblW w:w="4810" w:type="pct"/>
          <w:jc w:val="center"/>
          <w:tblLook w:val="01E0"/>
        </w:tblPrEx>
        <w:trPr>
          <w:cantSplit/>
          <w:trHeight w:val="20"/>
          <w:jc w:val="center"/>
        </w:trPr>
        <w:tc>
          <w:tcPr>
            <w:tcW w:w="1351" w:type="pct"/>
            <w:shd w:val="clear" w:color="auto" w:fill="auto"/>
            <w:vAlign w:val="center"/>
          </w:tcPr>
          <w:p w:rsidR="0039084F" w:rsidRPr="0039084F" w:rsidP="0039084F" w14:paraId="4F6DF64D" w14:textId="77777777">
            <w:pPr>
              <w:rPr>
                <w:sz w:val="20"/>
                <w:szCs w:val="20"/>
              </w:rPr>
            </w:pPr>
            <w:r w:rsidRPr="0039084F">
              <w:rPr>
                <w:sz w:val="20"/>
                <w:szCs w:val="20"/>
              </w:rPr>
              <w:t>330.14 (c) and (d); Time and extent application and submission of information.</w:t>
            </w:r>
          </w:p>
          <w:p w:rsidR="0039084F" w:rsidRPr="0039084F" w:rsidP="0039084F" w14:paraId="488ECFF9" w14:textId="77777777">
            <w:pPr>
              <w:rPr>
                <w:sz w:val="20"/>
                <w:szCs w:val="20"/>
              </w:rPr>
            </w:pPr>
            <w:r w:rsidRPr="0039084F">
              <w:rPr>
                <w:sz w:val="20"/>
                <w:szCs w:val="20"/>
              </w:rPr>
              <w:t xml:space="preserve"> </w:t>
            </w:r>
          </w:p>
          <w:p w:rsidR="0039084F" w:rsidRPr="0039084F" w:rsidP="0039084F" w14:paraId="29CD61CB" w14:textId="77777777">
            <w:pPr>
              <w:rPr>
                <w:sz w:val="20"/>
                <w:szCs w:val="20"/>
              </w:rPr>
            </w:pPr>
            <w:r w:rsidRPr="0039084F">
              <w:rPr>
                <w:sz w:val="20"/>
                <w:szCs w:val="20"/>
              </w:rPr>
              <w:t>330.14 (f) and (</w:t>
            </w:r>
            <w:r w:rsidRPr="0039084F">
              <w:rPr>
                <w:sz w:val="20"/>
                <w:szCs w:val="20"/>
              </w:rPr>
              <w:t>i</w:t>
            </w:r>
            <w:r w:rsidRPr="0039084F">
              <w:rPr>
                <w:sz w:val="20"/>
                <w:szCs w:val="20"/>
              </w:rPr>
              <w:t>); Submission of safety and effectiveness data, including data and information listed in 330.10(a)(2), a listing of all serious adverse drug experiences that may have occurred (330.14(f)(2)), and an official or proposed compendial monograph (330.14(</w:t>
            </w:r>
            <w:r w:rsidRPr="0039084F">
              <w:rPr>
                <w:sz w:val="20"/>
                <w:szCs w:val="20"/>
              </w:rPr>
              <w:t>i</w:t>
            </w:r>
            <w:r w:rsidRPr="0039084F">
              <w:rPr>
                <w:sz w:val="20"/>
                <w:szCs w:val="20"/>
              </w:rPr>
              <w:t>)).</w:t>
            </w:r>
          </w:p>
          <w:p w:rsidR="0039084F" w:rsidRPr="0039084F" w:rsidP="0039084F" w14:paraId="472D7686" w14:textId="77777777">
            <w:pPr>
              <w:rPr>
                <w:sz w:val="20"/>
                <w:szCs w:val="20"/>
              </w:rPr>
            </w:pPr>
          </w:p>
          <w:p w:rsidR="0039084F" w:rsidRPr="0039084F" w:rsidP="0039084F" w14:paraId="3628BAFD" w14:textId="77777777">
            <w:pPr>
              <w:rPr>
                <w:sz w:val="20"/>
                <w:szCs w:val="20"/>
              </w:rPr>
            </w:pPr>
            <w:r w:rsidRPr="0039084F">
              <w:rPr>
                <w:sz w:val="20"/>
                <w:szCs w:val="20"/>
              </w:rPr>
              <w:t>330.14(j) and (k); Submitter correspondence with FDA.</w:t>
            </w:r>
          </w:p>
        </w:tc>
        <w:tc>
          <w:tcPr>
            <w:tcW w:w="701" w:type="pct"/>
            <w:shd w:val="clear" w:color="auto" w:fill="auto"/>
          </w:tcPr>
          <w:p w:rsidR="0039084F" w:rsidRPr="0039084F" w:rsidP="0039084F" w14:paraId="539A3A40" w14:textId="535CD42F">
            <w:pPr>
              <w:jc w:val="center"/>
              <w:rPr>
                <w:sz w:val="20"/>
                <w:szCs w:val="20"/>
              </w:rPr>
            </w:pPr>
            <w:r>
              <w:rPr>
                <w:sz w:val="20"/>
                <w:szCs w:val="20"/>
              </w:rPr>
              <w:t>1</w:t>
            </w:r>
          </w:p>
        </w:tc>
        <w:tc>
          <w:tcPr>
            <w:tcW w:w="850" w:type="pct"/>
            <w:shd w:val="clear" w:color="auto" w:fill="auto"/>
          </w:tcPr>
          <w:p w:rsidR="0039084F" w:rsidRPr="0039084F" w:rsidP="0039084F" w14:paraId="5EB987E2" w14:textId="2B45011E">
            <w:pPr>
              <w:jc w:val="center"/>
              <w:rPr>
                <w:bCs/>
                <w:sz w:val="20"/>
                <w:szCs w:val="20"/>
              </w:rPr>
            </w:pPr>
            <w:r w:rsidRPr="00CD4FEB">
              <w:rPr>
                <w:sz w:val="20"/>
                <w:szCs w:val="20"/>
              </w:rPr>
              <w:t>~</w:t>
            </w:r>
            <w:r w:rsidR="007A667D">
              <w:rPr>
                <w:sz w:val="20"/>
                <w:szCs w:val="20"/>
              </w:rPr>
              <w:t>1</w:t>
            </w:r>
            <w:r>
              <w:rPr>
                <w:sz w:val="20"/>
                <w:szCs w:val="20"/>
              </w:rPr>
              <w:t>.29</w:t>
            </w:r>
          </w:p>
        </w:tc>
        <w:tc>
          <w:tcPr>
            <w:tcW w:w="751" w:type="pct"/>
            <w:shd w:val="clear" w:color="auto" w:fill="auto"/>
          </w:tcPr>
          <w:p w:rsidR="0039084F" w:rsidRPr="0039084F" w:rsidP="0039084F" w14:paraId="0E9ED2C1" w14:textId="1148A0E9">
            <w:pPr>
              <w:jc w:val="center"/>
              <w:rPr>
                <w:sz w:val="20"/>
                <w:szCs w:val="20"/>
              </w:rPr>
            </w:pPr>
            <w:r>
              <w:rPr>
                <w:sz w:val="20"/>
                <w:szCs w:val="20"/>
              </w:rPr>
              <w:t>1.29</w:t>
            </w:r>
          </w:p>
        </w:tc>
        <w:tc>
          <w:tcPr>
            <w:tcW w:w="750" w:type="pct"/>
            <w:shd w:val="clear" w:color="auto" w:fill="auto"/>
          </w:tcPr>
          <w:p w:rsidR="0039084F" w:rsidRPr="0039084F" w:rsidP="0039084F" w14:paraId="7E07EDEE" w14:textId="77777777">
            <w:pPr>
              <w:jc w:val="center"/>
              <w:rPr>
                <w:bCs/>
                <w:sz w:val="20"/>
                <w:szCs w:val="20"/>
              </w:rPr>
            </w:pPr>
            <w:r w:rsidRPr="0039084F">
              <w:rPr>
                <w:bCs/>
                <w:sz w:val="20"/>
                <w:szCs w:val="20"/>
              </w:rPr>
              <w:t>861.78 hours (861 hours and 47 minutes)</w:t>
            </w:r>
          </w:p>
        </w:tc>
        <w:tc>
          <w:tcPr>
            <w:tcW w:w="597" w:type="pct"/>
            <w:shd w:val="clear" w:color="auto" w:fill="auto"/>
          </w:tcPr>
          <w:p w:rsidR="0039084F" w:rsidRPr="0039084F" w:rsidP="0039084F" w14:paraId="113FD008" w14:textId="2A51C949">
            <w:pPr>
              <w:jc w:val="center"/>
              <w:rPr>
                <w:sz w:val="20"/>
                <w:szCs w:val="20"/>
              </w:rPr>
            </w:pPr>
            <w:r>
              <w:rPr>
                <w:sz w:val="20"/>
                <w:szCs w:val="20"/>
              </w:rPr>
              <w:t>1,112</w:t>
            </w:r>
          </w:p>
        </w:tc>
      </w:tr>
    </w:tbl>
    <w:p w:rsidR="0035773F" w:rsidP="0035773F" w14:paraId="3EAC4CE8" w14:textId="77777777">
      <w:pPr>
        <w:spacing w:line="259" w:lineRule="auto"/>
        <w:ind w:left="560"/>
        <w:rPr>
          <w:rFonts w:ascii="Arial" w:eastAsia="Arial" w:hAnsi="Arial" w:cs="Arial"/>
          <w:sz w:val="16"/>
        </w:rPr>
      </w:pPr>
    </w:p>
    <w:p w:rsidR="00F16FF6" w:rsidP="001034AA" w14:paraId="72C9F869" w14:textId="7808A30A">
      <w:r>
        <w:t xml:space="preserve">As a result of </w:t>
      </w:r>
      <w:r w:rsidR="001F5892">
        <w:t xml:space="preserve">the </w:t>
      </w:r>
      <w:r>
        <w:t>statutory requirements</w:t>
      </w:r>
      <w:r w:rsidR="001F5892">
        <w:t xml:space="preserve"> described in Item 1, above</w:t>
      </w:r>
      <w:r>
        <w:t>, w</w:t>
      </w:r>
      <w:r w:rsidR="00952706">
        <w:t>e anticipate no</w:t>
      </w:r>
      <w:r w:rsidR="001F5892">
        <w:t xml:space="preserve"> TEA</w:t>
      </w:r>
      <w:r w:rsidR="00952706">
        <w:t xml:space="preserve"> submissions.  </w:t>
      </w:r>
      <w:r w:rsidR="00A92418">
        <w:t>F</w:t>
      </w:r>
      <w:r w:rsidR="000464FA">
        <w:t xml:space="preserve">or purposes of burden calculation, </w:t>
      </w:r>
      <w:r w:rsidR="00CD4FEB">
        <w:t>we assume one respondent</w:t>
      </w:r>
      <w:r w:rsidR="00551A4E">
        <w:t xml:space="preserve"> as a placeholder</w:t>
      </w:r>
      <w:r>
        <w:t>.</w:t>
      </w:r>
      <w:r w:rsidR="00CD4FEB">
        <w:t xml:space="preserve"> </w:t>
      </w:r>
      <w:r w:rsidRPr="00374807" w:rsidR="00374807">
        <w:t>Burden</w:t>
      </w:r>
      <w:r w:rsidRPr="00374807" w:rsidR="00374807">
        <w:t xml:space="preserve"> we attribute to reporting activities is assumed to be distributed among the individual elements</w:t>
      </w:r>
      <w:r w:rsidR="00374807">
        <w:t>.</w:t>
      </w:r>
    </w:p>
    <w:p w:rsidR="00A92418" w:rsidP="001034AA" w14:paraId="4E650E65" w14:textId="4BCC83DE"/>
    <w:p w:rsidR="00A92418" w:rsidP="001034AA" w14:paraId="7FEBAC58" w14:textId="4750E670">
      <w:r>
        <w:t>The total burden for this information collection is 1,112 hours.</w:t>
      </w:r>
    </w:p>
    <w:p w:rsidR="00F16FF6" w:rsidP="001034AA" w14:paraId="4DBE303C" w14:textId="77777777"/>
    <w:p w:rsidR="00357C8A" w:rsidRPr="001034AA" w:rsidP="001034AA" w14:paraId="5B6CA4E6" w14:textId="77777777">
      <w:pPr>
        <w:rPr>
          <w:rFonts w:eastAsia="Calibri"/>
          <w:i/>
        </w:rPr>
      </w:pPr>
      <w:r>
        <w:rPr>
          <w:rFonts w:eastAsia="Calibri"/>
        </w:rPr>
        <w:tab/>
      </w:r>
      <w:r w:rsidRPr="001034AA">
        <w:rPr>
          <w:rFonts w:eastAsia="Calibri"/>
          <w:i/>
        </w:rPr>
        <w:t>12b.  Annualized Cost Burden Estimate</w:t>
      </w:r>
    </w:p>
    <w:p w:rsidR="001034AA" w:rsidP="001034AA" w14:paraId="71FEF906" w14:textId="77777777">
      <w:pPr>
        <w:rPr>
          <w:rFonts w:eastAsia="Calibri"/>
        </w:rPr>
      </w:pPr>
    </w:p>
    <w:p w:rsidR="003C08FD" w:rsidRPr="001034AA" w:rsidP="003C08FD" w14:paraId="2376B512" w14:textId="4E3EACC3">
      <w:pPr>
        <w:rPr>
          <w:rFonts w:eastAsia="Calibri"/>
        </w:rPr>
      </w:pPr>
      <w:r>
        <w:rPr>
          <w:rFonts w:eastAsia="Calibri"/>
        </w:rPr>
        <w:t>W</w:t>
      </w:r>
      <w:r w:rsidRPr="003C08FD">
        <w:rPr>
          <w:rFonts w:eastAsia="Calibri"/>
        </w:rPr>
        <w:t>e estimate a total annualized cost of $</w:t>
      </w:r>
      <w:r w:rsidR="00505BD9">
        <w:rPr>
          <w:rFonts w:eastAsia="Calibri"/>
        </w:rPr>
        <w:t>56,395</w:t>
      </w:r>
      <w:r w:rsidRPr="003C08FD">
        <w:rPr>
          <w:rFonts w:eastAsia="Calibri"/>
        </w:rPr>
        <w:t xml:space="preserve"> per year (using a 2022 wage rate of $65.44</w:t>
      </w:r>
      <w:r w:rsidR="007D0011">
        <w:rPr>
          <w:rFonts w:eastAsia="Calibri"/>
        </w:rPr>
        <w:t>/hour</w:t>
      </w:r>
      <w:r w:rsidRPr="003C08FD">
        <w:rPr>
          <w:rFonts w:eastAsia="Calibri"/>
        </w:rPr>
        <w:t xml:space="preserve"> (NAICS 325400, 11-3012, Administrative Services Managers) multiplied by the total number of burden hours (</w:t>
      </w:r>
      <w:r w:rsidR="00505BD9">
        <w:rPr>
          <w:rFonts w:eastAsia="Calibri"/>
        </w:rPr>
        <w:t xml:space="preserve">861.78 </w:t>
      </w:r>
      <w:r w:rsidRPr="003C08FD">
        <w:rPr>
          <w:rFonts w:eastAsia="Calibri"/>
        </w:rPr>
        <w:t>hours))</w:t>
      </w:r>
      <w:r>
        <w:rPr>
          <w:rFonts w:eastAsia="Calibri"/>
        </w:rPr>
        <w:t xml:space="preserve">.  </w:t>
      </w:r>
      <w:r w:rsidRPr="001034AA">
        <w:rPr>
          <w:rFonts w:eastAsia="Calibri"/>
        </w:rPr>
        <w:t>The</w:t>
      </w:r>
      <w:r>
        <w:rPr>
          <w:rFonts w:eastAsia="Calibri"/>
        </w:rPr>
        <w:t xml:space="preserve"> total annualized cost burden includes</w:t>
      </w:r>
      <w:r w:rsidRPr="001034AA">
        <w:rPr>
          <w:rFonts w:eastAsia="Calibri"/>
        </w:rPr>
        <w:t xml:space="preserve"> preparation</w:t>
      </w:r>
      <w:r>
        <w:rPr>
          <w:rFonts w:eastAsia="Calibri"/>
        </w:rPr>
        <w:t xml:space="preserve"> and submission</w:t>
      </w:r>
      <w:r w:rsidRPr="001034AA">
        <w:rPr>
          <w:rFonts w:eastAsia="Calibri"/>
        </w:rPr>
        <w:t xml:space="preserve"> of </w:t>
      </w:r>
      <w:r w:rsidR="00505BD9">
        <w:rPr>
          <w:rFonts w:eastAsia="Calibri"/>
        </w:rPr>
        <w:t xml:space="preserve">a </w:t>
      </w:r>
      <w:r>
        <w:rPr>
          <w:rFonts w:eastAsia="Calibri"/>
        </w:rPr>
        <w:t xml:space="preserve">TEA </w:t>
      </w:r>
      <w:r w:rsidR="00505BD9">
        <w:rPr>
          <w:rFonts w:eastAsia="Calibri"/>
        </w:rPr>
        <w:t>with</w:t>
      </w:r>
      <w:r>
        <w:rPr>
          <w:rFonts w:eastAsia="Calibri"/>
        </w:rPr>
        <w:t xml:space="preserve"> safety and effectiveness data in support of </w:t>
      </w:r>
      <w:r w:rsidR="00505BD9">
        <w:rPr>
          <w:rFonts w:eastAsia="Calibri"/>
        </w:rPr>
        <w:t xml:space="preserve">the </w:t>
      </w:r>
      <w:r>
        <w:rPr>
          <w:rFonts w:eastAsia="Calibri"/>
        </w:rPr>
        <w:t xml:space="preserve">TEA, and burden related to sponsor correspondence with the FDA.  </w:t>
      </w:r>
    </w:p>
    <w:p w:rsidR="00A7608C" w:rsidRPr="001034AA" w:rsidP="001034AA" w14:paraId="01BD9988" w14:textId="77777777">
      <w:pPr>
        <w:rPr>
          <w:rFonts w:eastAsia="Calibri"/>
        </w:rPr>
      </w:pPr>
    </w:p>
    <w:p w:rsidR="00357C8A" w:rsidRPr="001034AA" w:rsidP="001034AA" w14:paraId="61B7B3B2" w14:textId="77777777">
      <w:pPr>
        <w:rPr>
          <w:rFonts w:eastAsia="Calibri"/>
        </w:rPr>
      </w:pPr>
      <w:r>
        <w:rPr>
          <w:rFonts w:eastAsia="Calibri"/>
        </w:rPr>
        <w:t xml:space="preserve">13.  </w:t>
      </w:r>
      <w:r w:rsidRPr="001034AA">
        <w:rPr>
          <w:rFonts w:eastAsia="Calibri"/>
          <w:u w:val="single"/>
        </w:rPr>
        <w:t xml:space="preserve">Estimates of Other Total Annual Costs </w:t>
      </w:r>
      <w:r w:rsidRPr="001034AA" w:rsidR="00590E90">
        <w:rPr>
          <w:rFonts w:eastAsia="Calibri"/>
          <w:u w:val="single"/>
        </w:rPr>
        <w:t xml:space="preserve">to Respondents/Recordkeepers or </w:t>
      </w:r>
      <w:r w:rsidRPr="001034AA">
        <w:rPr>
          <w:rFonts w:eastAsia="Calibri"/>
          <w:u w:val="single"/>
        </w:rPr>
        <w:t>Capital Costs</w:t>
      </w:r>
      <w:r w:rsidRPr="001034AA">
        <w:rPr>
          <w:rFonts w:eastAsia="Calibri"/>
        </w:rPr>
        <w:t xml:space="preserve"> </w:t>
      </w:r>
    </w:p>
    <w:p w:rsidR="00B00AA5" w:rsidRPr="001034AA" w:rsidP="001034AA" w14:paraId="5F75A3D5" w14:textId="77777777">
      <w:pPr>
        <w:rPr>
          <w:rFonts w:eastAsia="Calibri"/>
        </w:rPr>
      </w:pPr>
    </w:p>
    <w:p w:rsidR="0022425B" w:rsidRPr="001034AA" w:rsidP="001034AA" w14:paraId="3F1B1000" w14:textId="77777777">
      <w:pPr>
        <w:rPr>
          <w:rFonts w:eastAsia="Calibri"/>
        </w:rPr>
      </w:pPr>
      <w:r>
        <w:rPr>
          <w:rFonts w:eastAsia="Calibri"/>
        </w:rPr>
        <w:t xml:space="preserve">There </w:t>
      </w:r>
      <w:r>
        <w:rPr>
          <w:rFonts w:eastAsia="Calibri"/>
        </w:rPr>
        <w:t>are</w:t>
      </w:r>
      <w:r>
        <w:rPr>
          <w:rFonts w:eastAsia="Calibri"/>
        </w:rPr>
        <w:t xml:space="preserve"> no capital or operating and </w:t>
      </w:r>
      <w:r w:rsidR="00193BC0">
        <w:rPr>
          <w:rFonts w:eastAsia="Calibri"/>
        </w:rPr>
        <w:t>maintenance</w:t>
      </w:r>
      <w:r>
        <w:rPr>
          <w:rFonts w:eastAsia="Calibri"/>
        </w:rPr>
        <w:t xml:space="preserve"> costs associated with the information collection.</w:t>
      </w:r>
    </w:p>
    <w:p w:rsidR="001034AA" w:rsidP="001034AA" w14:paraId="0C419FE1" w14:textId="77777777">
      <w:pPr>
        <w:rPr>
          <w:rFonts w:eastAsia="Calibri"/>
        </w:rPr>
      </w:pPr>
    </w:p>
    <w:p w:rsidR="005B5FA3" w14:paraId="50AEBE8C" w14:textId="77777777">
      <w:pPr>
        <w:rPr>
          <w:rFonts w:eastAsia="Calibri"/>
        </w:rPr>
      </w:pPr>
      <w:r>
        <w:rPr>
          <w:rFonts w:eastAsia="Calibri"/>
        </w:rPr>
        <w:br w:type="page"/>
      </w:r>
    </w:p>
    <w:p w:rsidR="00357C8A" w:rsidRPr="001034AA" w:rsidP="001034AA" w14:paraId="4C9F1FFA" w14:textId="3A14F2AE">
      <w:pPr>
        <w:rPr>
          <w:rFonts w:eastAsia="Calibri"/>
        </w:rPr>
      </w:pPr>
      <w:r>
        <w:rPr>
          <w:rFonts w:eastAsia="Calibri"/>
        </w:rPr>
        <w:t xml:space="preserve">14.  </w:t>
      </w:r>
      <w:r w:rsidRPr="001034AA">
        <w:rPr>
          <w:rFonts w:eastAsia="Calibri"/>
          <w:u w:val="single"/>
        </w:rPr>
        <w:t>Annualized Cost to the Federal Government</w:t>
      </w:r>
    </w:p>
    <w:p w:rsidR="001034AA" w:rsidP="001034AA" w14:paraId="0F9A9E3A" w14:textId="765B01C0">
      <w:pPr>
        <w:rPr>
          <w:rFonts w:eastAsia="Calibri"/>
        </w:rPr>
      </w:pPr>
    </w:p>
    <w:p w:rsidR="003912D4" w:rsidP="001034AA" w14:paraId="22476FC3" w14:textId="5576A049">
      <w:pPr>
        <w:rPr>
          <w:rFonts w:eastAsia="Calibri"/>
        </w:rPr>
      </w:pPr>
      <w:r>
        <w:rPr>
          <w:rFonts w:eastAsia="Calibri"/>
        </w:rPr>
        <w:t>We</w:t>
      </w:r>
      <w:r w:rsidR="00967BAE">
        <w:rPr>
          <w:rFonts w:eastAsia="Calibri"/>
        </w:rPr>
        <w:t xml:space="preserve"> assume</w:t>
      </w:r>
      <w:r w:rsidR="003D76DA">
        <w:rPr>
          <w:rFonts w:eastAsia="Calibri"/>
        </w:rPr>
        <w:t xml:space="preserve">, based on </w:t>
      </w:r>
      <w:r w:rsidR="00B74AE9">
        <w:rPr>
          <w:rFonts w:eastAsia="Calibri"/>
        </w:rPr>
        <w:t>estimates for similar information collection activities, that</w:t>
      </w:r>
      <w:r w:rsidR="00967BAE">
        <w:rPr>
          <w:rFonts w:eastAsia="Calibri"/>
        </w:rPr>
        <w:t xml:space="preserve"> </w:t>
      </w:r>
      <w:r w:rsidR="000464FA">
        <w:rPr>
          <w:rFonts w:eastAsia="Calibri"/>
        </w:rPr>
        <w:t xml:space="preserve">the cost to the Federal government </w:t>
      </w:r>
      <w:r w:rsidR="00CC09E2">
        <w:rPr>
          <w:rFonts w:eastAsia="Calibri"/>
        </w:rPr>
        <w:t>to revi</w:t>
      </w:r>
      <w:r w:rsidR="00967BAE">
        <w:rPr>
          <w:rFonts w:eastAsia="Calibri"/>
        </w:rPr>
        <w:t xml:space="preserve">ew </w:t>
      </w:r>
      <w:r w:rsidR="00CE4D9F">
        <w:rPr>
          <w:rFonts w:eastAsia="Calibri"/>
        </w:rPr>
        <w:t>one</w:t>
      </w:r>
      <w:r w:rsidR="001717DD">
        <w:rPr>
          <w:rFonts w:eastAsia="Calibri"/>
        </w:rPr>
        <w:t xml:space="preserve"> TEA</w:t>
      </w:r>
      <w:r w:rsidR="00967BAE">
        <w:rPr>
          <w:rFonts w:eastAsia="Calibri"/>
        </w:rPr>
        <w:t xml:space="preserve"> </w:t>
      </w:r>
      <w:r w:rsidR="00FF6372">
        <w:rPr>
          <w:rFonts w:eastAsia="Calibri"/>
        </w:rPr>
        <w:t xml:space="preserve">submission </w:t>
      </w:r>
      <w:r w:rsidR="001717DD">
        <w:rPr>
          <w:rFonts w:eastAsia="Calibri"/>
        </w:rPr>
        <w:t>is</w:t>
      </w:r>
      <w:r w:rsidR="00967BAE">
        <w:rPr>
          <w:rFonts w:eastAsia="Calibri"/>
        </w:rPr>
        <w:t xml:space="preserve"> </w:t>
      </w:r>
      <w:r w:rsidR="003D76DA">
        <w:rPr>
          <w:rFonts w:eastAsia="Calibri"/>
        </w:rPr>
        <w:t>$1,145.78.</w:t>
      </w:r>
    </w:p>
    <w:p w:rsidR="001034AA" w:rsidP="001034AA" w14:paraId="6A159426" w14:textId="4C35C02B">
      <w:pPr>
        <w:rPr>
          <w:rFonts w:eastAsia="Calibri"/>
        </w:rPr>
      </w:pPr>
    </w:p>
    <w:p w:rsidR="00357C8A" w:rsidRPr="001034AA" w:rsidP="001034AA" w14:paraId="58E1527D" w14:textId="77777777">
      <w:pPr>
        <w:rPr>
          <w:rFonts w:eastAsia="Calibri"/>
        </w:rPr>
      </w:pPr>
      <w:r>
        <w:rPr>
          <w:rFonts w:eastAsia="Calibri"/>
        </w:rPr>
        <w:t xml:space="preserve">15.  </w:t>
      </w:r>
      <w:r w:rsidRPr="001034AA">
        <w:rPr>
          <w:rFonts w:eastAsia="Calibri"/>
          <w:u w:val="single"/>
        </w:rPr>
        <w:t>Explanation for Program Changes or Adjustments</w:t>
      </w:r>
    </w:p>
    <w:p w:rsidR="001034AA" w:rsidP="001034AA" w14:paraId="572679B3" w14:textId="77777777">
      <w:pPr>
        <w:rPr>
          <w:rFonts w:eastAsia="Calibri"/>
        </w:rPr>
      </w:pPr>
    </w:p>
    <w:p w:rsidR="0017259B" w:rsidRPr="001034AA" w:rsidP="001034AA" w14:paraId="6885D97E" w14:textId="769A84AB">
      <w:pPr>
        <w:rPr>
          <w:rFonts w:eastAsia="Calibri"/>
        </w:rPr>
      </w:pPr>
      <w:r>
        <w:t>Our estimated burden for the information collection reflects</w:t>
      </w:r>
      <w:r w:rsidR="00B832F2">
        <w:t xml:space="preserve">, as a result of statutory requirements, </w:t>
      </w:r>
      <w:r w:rsidR="0066240C">
        <w:t xml:space="preserve">a </w:t>
      </w:r>
      <w:r>
        <w:t xml:space="preserve">program change decrease of </w:t>
      </w:r>
      <w:r w:rsidR="00720281">
        <w:t>6,894</w:t>
      </w:r>
      <w:r>
        <w:t xml:space="preserve"> hours and a corresponding decrease of </w:t>
      </w:r>
      <w:r w:rsidR="00720281">
        <w:t>8</w:t>
      </w:r>
      <w:r>
        <w:t xml:space="preserve"> responses.</w:t>
      </w:r>
    </w:p>
    <w:p w:rsidR="00A7608C" w:rsidRPr="001034AA" w:rsidP="001034AA" w14:paraId="771F9986" w14:textId="77777777">
      <w:pPr>
        <w:rPr>
          <w:rFonts w:eastAsia="Calibri"/>
        </w:rPr>
      </w:pPr>
    </w:p>
    <w:p w:rsidR="00357C8A" w:rsidRPr="001034AA" w:rsidP="001034AA" w14:paraId="1251AF94" w14:textId="77777777">
      <w:pPr>
        <w:rPr>
          <w:rFonts w:eastAsia="Calibri"/>
        </w:rPr>
      </w:pPr>
      <w:r>
        <w:rPr>
          <w:rFonts w:eastAsia="Calibri"/>
        </w:rPr>
        <w:t xml:space="preserve">16.  </w:t>
      </w:r>
      <w:r w:rsidRPr="001034AA">
        <w:rPr>
          <w:rFonts w:eastAsia="Calibri"/>
          <w:u w:val="single"/>
        </w:rPr>
        <w:t>Plans for Tabulation and Publication and Project Time Schedule</w:t>
      </w:r>
    </w:p>
    <w:p w:rsidR="001034AA" w:rsidP="001034AA" w14:paraId="62C98B05" w14:textId="77777777">
      <w:pPr>
        <w:rPr>
          <w:rFonts w:eastAsia="Calibri"/>
        </w:rPr>
      </w:pPr>
    </w:p>
    <w:p w:rsidR="00357C8A" w:rsidRPr="001034AA" w:rsidP="001034AA" w14:paraId="68E718E1" w14:textId="77777777">
      <w:pPr>
        <w:rPr>
          <w:rFonts w:eastAsia="Calibri"/>
        </w:rPr>
      </w:pPr>
      <w:r w:rsidRPr="001034AA">
        <w:rPr>
          <w:rFonts w:eastAsia="Calibri"/>
        </w:rPr>
        <w:t>This information collected will not be published or tabulated.</w:t>
      </w:r>
    </w:p>
    <w:p w:rsidR="001034AA" w:rsidP="001034AA" w14:paraId="04B25652" w14:textId="77777777">
      <w:pPr>
        <w:rPr>
          <w:rFonts w:eastAsia="Calibri"/>
        </w:rPr>
      </w:pPr>
    </w:p>
    <w:p w:rsidR="00357C8A" w:rsidRPr="001034AA" w:rsidP="001034AA" w14:paraId="48A62E74" w14:textId="77777777">
      <w:pPr>
        <w:rPr>
          <w:rFonts w:eastAsia="Calibri"/>
        </w:rPr>
      </w:pPr>
      <w:r>
        <w:rPr>
          <w:rFonts w:eastAsia="Calibri"/>
        </w:rPr>
        <w:t xml:space="preserve">17.  </w:t>
      </w:r>
      <w:r w:rsidRPr="001034AA">
        <w:rPr>
          <w:rFonts w:eastAsia="Calibri"/>
          <w:u w:val="single"/>
        </w:rPr>
        <w:t>Reason(s) Display of OMB Expiration Date is Inappropriate</w:t>
      </w:r>
    </w:p>
    <w:p w:rsidR="001034AA" w:rsidP="001034AA" w14:paraId="2A50E77E" w14:textId="77777777">
      <w:pPr>
        <w:rPr>
          <w:rFonts w:eastAsia="Calibri"/>
        </w:rPr>
      </w:pPr>
    </w:p>
    <w:p w:rsidR="003912D4" w:rsidRPr="001034AA" w:rsidP="001034AA" w14:paraId="45053890" w14:textId="6AA2F502">
      <w:pPr>
        <w:rPr>
          <w:rFonts w:eastAsia="Calibri"/>
        </w:rPr>
      </w:pPr>
      <w:r>
        <w:rPr>
          <w:rFonts w:eastAsia="Calibri"/>
        </w:rPr>
        <w:t>FDA will display the OMB expiration date as required by 5 CFR 1320.8</w:t>
      </w:r>
      <w:r w:rsidR="00CD57B0">
        <w:rPr>
          <w:rFonts w:eastAsia="Calibri"/>
        </w:rPr>
        <w:t xml:space="preserve">.  </w:t>
      </w:r>
    </w:p>
    <w:p w:rsidR="001034AA" w:rsidP="001034AA" w14:paraId="74CBF141" w14:textId="77F8856C">
      <w:pPr>
        <w:rPr>
          <w:rFonts w:eastAsia="Calibri"/>
        </w:rPr>
      </w:pPr>
    </w:p>
    <w:p w:rsidR="00357C8A" w:rsidRPr="001034AA" w:rsidP="001034AA" w14:paraId="4EF33131" w14:textId="77777777">
      <w:pPr>
        <w:rPr>
          <w:rFonts w:eastAsia="Calibri"/>
        </w:rPr>
      </w:pPr>
      <w:r>
        <w:rPr>
          <w:rFonts w:eastAsia="Calibri"/>
        </w:rPr>
        <w:t xml:space="preserve">18.  </w:t>
      </w:r>
      <w:r w:rsidRPr="00193BC0">
        <w:rPr>
          <w:rFonts w:eastAsia="Calibri"/>
          <w:u w:val="single"/>
        </w:rPr>
        <w:t>Exceptions to Certification for Paperwork Reduction Act Submissions</w:t>
      </w:r>
    </w:p>
    <w:p w:rsidR="001034AA" w:rsidP="001034AA" w14:paraId="62B2F1E6" w14:textId="77777777">
      <w:pPr>
        <w:rPr>
          <w:rFonts w:eastAsia="Calibri"/>
        </w:rPr>
      </w:pPr>
    </w:p>
    <w:p w:rsidR="00544138" w:rsidRPr="001034AA" w:rsidP="001034AA" w14:paraId="05F7013D" w14:textId="77777777">
      <w:pPr>
        <w:rPr>
          <w:rFonts w:eastAsia="Calibri"/>
        </w:rPr>
      </w:pPr>
      <w:r w:rsidRPr="001034AA">
        <w:rPr>
          <w:rFonts w:eastAsia="Calibri"/>
        </w:rPr>
        <w:t>There are no exceptions to the certification.</w:t>
      </w:r>
    </w:p>
    <w:sectPr w:rsidSect="00193BC0">
      <w:headerReference w:type="default" r:id="rId8"/>
      <w:footerReference w:type="even" r:id="rId9"/>
      <w:footerReference w:type="default" r:id="rId10"/>
      <w:pgSz w:w="12240" w:h="15840" w:code="1"/>
      <w:pgMar w:top="1440" w:right="1584" w:bottom="1440"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AA5" w:rsidP="003F3DF5" w14:paraId="618AD515" w14:textId="16377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5E9B">
      <w:rPr>
        <w:rStyle w:val="PageNumber"/>
        <w:noProof/>
      </w:rPr>
      <w:t>2</w:t>
    </w:r>
    <w:r>
      <w:rPr>
        <w:rStyle w:val="PageNumber"/>
      </w:rPr>
      <w:fldChar w:fldCharType="end"/>
    </w:r>
  </w:p>
  <w:p w:rsidR="00B00AA5" w14:paraId="261D75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AA5" w:rsidP="003F3DF5" w14:paraId="3A49A3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B00AA5" w14:paraId="360005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1A71" w14:paraId="22FC4A8B" w14:textId="77777777">
      <w:r>
        <w:separator/>
      </w:r>
    </w:p>
  </w:footnote>
  <w:footnote w:type="continuationSeparator" w:id="1">
    <w:p w:rsidR="00E31A71" w14:paraId="6677A9B2" w14:textId="77777777">
      <w:r>
        <w:continuationSeparator/>
      </w:r>
    </w:p>
  </w:footnote>
  <w:footnote w:type="continuationNotice" w:id="2">
    <w:p w:rsidR="00E31A71" w14:paraId="1FE02F6F" w14:textId="77777777"/>
  </w:footnote>
  <w:footnote w:id="3">
    <w:p w:rsidR="00E33026" w:rsidP="00E33026" w14:paraId="26C7EAEE" w14:textId="7777777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Section 505G(k)(3) of the FD&amp;C Act provides that regulations establishing final monographs and the procedures governing the OTC drug review under part 330, and other relevant </w:t>
      </w:r>
      <w:hyperlink r:id="rId1" w:tgtFrame="_blank" w:history="1">
        <w:r>
          <w:rPr>
            <w:rStyle w:val="Hyperlink"/>
            <w:rFonts w:ascii="Times New Roman" w:hAnsi="Times New Roman" w:cs="Times New Roman"/>
          </w:rPr>
          <w:t>parts of title 21 of the CFR</w:t>
        </w:r>
      </w:hyperlink>
      <w:r>
        <w:rPr>
          <w:rFonts w:ascii="Times New Roman" w:hAnsi="Times New Roman" w:cs="Times New Roman"/>
        </w:rPr>
        <w:t xml:space="preserve">, shall be withdrawn or revised to make technical changes to ensure conformity with appropriate terminology and cross-references. Section 505G(k)(3) of the FD&amp;C Act also provides that any such withdrawal or technical changes shall be made without public notice and comment and shall be effective upon publication through notice in the </w:t>
      </w:r>
      <w:r w:rsidRPr="000F2C4C">
        <w:rPr>
          <w:rStyle w:val="Strong"/>
          <w:rFonts w:ascii="Times New Roman" w:hAnsi="Times New Roman" w:cs="Times New Roman"/>
          <w:b w:val="0"/>
          <w:bCs w:val="0"/>
        </w:rPr>
        <w:t>Federal Register</w:t>
      </w:r>
      <w:r>
        <w:rPr>
          <w:rFonts w:ascii="Times New Roman" w:hAnsi="Times New Roman" w:cs="Times New Roman"/>
        </w:rPr>
        <w:t xml:space="preserve"> (or upon such date as specified in such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1A71" w14:paraId="0D074B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1938159">
    <w:abstractNumId w:val="5"/>
  </w:num>
  <w:num w:numId="2" w16cid:durableId="2102683249">
    <w:abstractNumId w:val="1"/>
  </w:num>
  <w:num w:numId="3" w16cid:durableId="450052085">
    <w:abstractNumId w:val="6"/>
  </w:num>
  <w:num w:numId="4" w16cid:durableId="1631086730">
    <w:abstractNumId w:val="3"/>
  </w:num>
  <w:num w:numId="5" w16cid:durableId="662052400">
    <w:abstractNumId w:val="7"/>
  </w:num>
  <w:num w:numId="6" w16cid:durableId="140467955">
    <w:abstractNumId w:val="0"/>
  </w:num>
  <w:num w:numId="7" w16cid:durableId="40907334">
    <w:abstractNumId w:val="2"/>
  </w:num>
  <w:num w:numId="8" w16cid:durableId="1731560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5087"/>
    <w:rsid w:val="000261A0"/>
    <w:rsid w:val="00031A2C"/>
    <w:rsid w:val="00042B93"/>
    <w:rsid w:val="00043C7F"/>
    <w:rsid w:val="000460E1"/>
    <w:rsid w:val="000464FA"/>
    <w:rsid w:val="000467A8"/>
    <w:rsid w:val="00062E83"/>
    <w:rsid w:val="0006570F"/>
    <w:rsid w:val="00066889"/>
    <w:rsid w:val="00071008"/>
    <w:rsid w:val="0007365E"/>
    <w:rsid w:val="000737F7"/>
    <w:rsid w:val="00075DE8"/>
    <w:rsid w:val="00087439"/>
    <w:rsid w:val="000A41F5"/>
    <w:rsid w:val="000A6C13"/>
    <w:rsid w:val="000A7FBC"/>
    <w:rsid w:val="000C1260"/>
    <w:rsid w:val="000C560C"/>
    <w:rsid w:val="000C6D6F"/>
    <w:rsid w:val="000D057B"/>
    <w:rsid w:val="000D080B"/>
    <w:rsid w:val="000D436A"/>
    <w:rsid w:val="000D48FD"/>
    <w:rsid w:val="000D5900"/>
    <w:rsid w:val="000D79CC"/>
    <w:rsid w:val="000E1C64"/>
    <w:rsid w:val="000F2C4C"/>
    <w:rsid w:val="000F7119"/>
    <w:rsid w:val="00100739"/>
    <w:rsid w:val="001013DC"/>
    <w:rsid w:val="001030DF"/>
    <w:rsid w:val="001034AA"/>
    <w:rsid w:val="0010493E"/>
    <w:rsid w:val="001075D3"/>
    <w:rsid w:val="00107885"/>
    <w:rsid w:val="00114FC4"/>
    <w:rsid w:val="00116CF4"/>
    <w:rsid w:val="00121777"/>
    <w:rsid w:val="0012329C"/>
    <w:rsid w:val="00134833"/>
    <w:rsid w:val="00134FA7"/>
    <w:rsid w:val="00137950"/>
    <w:rsid w:val="00146398"/>
    <w:rsid w:val="00146631"/>
    <w:rsid w:val="00152F29"/>
    <w:rsid w:val="00156578"/>
    <w:rsid w:val="001717DD"/>
    <w:rsid w:val="0017259B"/>
    <w:rsid w:val="00174D54"/>
    <w:rsid w:val="0017702C"/>
    <w:rsid w:val="00183B6D"/>
    <w:rsid w:val="00185270"/>
    <w:rsid w:val="00193BC0"/>
    <w:rsid w:val="00193E61"/>
    <w:rsid w:val="001A1AE8"/>
    <w:rsid w:val="001A26D7"/>
    <w:rsid w:val="001A38A6"/>
    <w:rsid w:val="001A3B5A"/>
    <w:rsid w:val="001B7CE9"/>
    <w:rsid w:val="001D495A"/>
    <w:rsid w:val="001E244C"/>
    <w:rsid w:val="001E4B1E"/>
    <w:rsid w:val="001F1437"/>
    <w:rsid w:val="001F5892"/>
    <w:rsid w:val="001F752E"/>
    <w:rsid w:val="00206799"/>
    <w:rsid w:val="002074FE"/>
    <w:rsid w:val="002170A3"/>
    <w:rsid w:val="0022425B"/>
    <w:rsid w:val="002259EF"/>
    <w:rsid w:val="0023354A"/>
    <w:rsid w:val="00242784"/>
    <w:rsid w:val="00242ED1"/>
    <w:rsid w:val="002444BB"/>
    <w:rsid w:val="00253158"/>
    <w:rsid w:val="00254069"/>
    <w:rsid w:val="00266596"/>
    <w:rsid w:val="00270748"/>
    <w:rsid w:val="002734E5"/>
    <w:rsid w:val="00273ECA"/>
    <w:rsid w:val="002746DB"/>
    <w:rsid w:val="00280CAF"/>
    <w:rsid w:val="002822E9"/>
    <w:rsid w:val="00282F09"/>
    <w:rsid w:val="00291810"/>
    <w:rsid w:val="002940CE"/>
    <w:rsid w:val="00294D62"/>
    <w:rsid w:val="00297532"/>
    <w:rsid w:val="00297FFD"/>
    <w:rsid w:val="002A1210"/>
    <w:rsid w:val="002A47D2"/>
    <w:rsid w:val="002A7FB5"/>
    <w:rsid w:val="002B2074"/>
    <w:rsid w:val="002D14D8"/>
    <w:rsid w:val="002D4799"/>
    <w:rsid w:val="002E144F"/>
    <w:rsid w:val="002E3E33"/>
    <w:rsid w:val="002E3FA4"/>
    <w:rsid w:val="002E53A5"/>
    <w:rsid w:val="002E64B8"/>
    <w:rsid w:val="002E6834"/>
    <w:rsid w:val="002F6145"/>
    <w:rsid w:val="003113FF"/>
    <w:rsid w:val="00312622"/>
    <w:rsid w:val="00313044"/>
    <w:rsid w:val="0032277F"/>
    <w:rsid w:val="0033346D"/>
    <w:rsid w:val="00336B69"/>
    <w:rsid w:val="0034302B"/>
    <w:rsid w:val="00343641"/>
    <w:rsid w:val="003437FA"/>
    <w:rsid w:val="00347940"/>
    <w:rsid w:val="00350523"/>
    <w:rsid w:val="0035189D"/>
    <w:rsid w:val="003557D0"/>
    <w:rsid w:val="00355B62"/>
    <w:rsid w:val="0035773F"/>
    <w:rsid w:val="00357C8A"/>
    <w:rsid w:val="00360C50"/>
    <w:rsid w:val="00370D8D"/>
    <w:rsid w:val="003740BC"/>
    <w:rsid w:val="0037456B"/>
    <w:rsid w:val="00374807"/>
    <w:rsid w:val="00376373"/>
    <w:rsid w:val="003763CD"/>
    <w:rsid w:val="003801A3"/>
    <w:rsid w:val="00380A59"/>
    <w:rsid w:val="0038127E"/>
    <w:rsid w:val="00381952"/>
    <w:rsid w:val="00383D90"/>
    <w:rsid w:val="00386626"/>
    <w:rsid w:val="003870AE"/>
    <w:rsid w:val="00387D11"/>
    <w:rsid w:val="0039084F"/>
    <w:rsid w:val="003912D4"/>
    <w:rsid w:val="00396ED9"/>
    <w:rsid w:val="003A0B9A"/>
    <w:rsid w:val="003A1A27"/>
    <w:rsid w:val="003A50CC"/>
    <w:rsid w:val="003A55D1"/>
    <w:rsid w:val="003B42B3"/>
    <w:rsid w:val="003B6384"/>
    <w:rsid w:val="003B64DE"/>
    <w:rsid w:val="003B7404"/>
    <w:rsid w:val="003C08FD"/>
    <w:rsid w:val="003C0FE2"/>
    <w:rsid w:val="003C14B7"/>
    <w:rsid w:val="003C4EBB"/>
    <w:rsid w:val="003D1531"/>
    <w:rsid w:val="003D174D"/>
    <w:rsid w:val="003D47C6"/>
    <w:rsid w:val="003D4E80"/>
    <w:rsid w:val="003D5E9B"/>
    <w:rsid w:val="003D76DA"/>
    <w:rsid w:val="003E3E8C"/>
    <w:rsid w:val="003E4EC6"/>
    <w:rsid w:val="003E527E"/>
    <w:rsid w:val="003E553E"/>
    <w:rsid w:val="003E7078"/>
    <w:rsid w:val="003F3DF5"/>
    <w:rsid w:val="003F73B8"/>
    <w:rsid w:val="0040005F"/>
    <w:rsid w:val="0040297E"/>
    <w:rsid w:val="00404AA7"/>
    <w:rsid w:val="00404FB0"/>
    <w:rsid w:val="00411D11"/>
    <w:rsid w:val="00412545"/>
    <w:rsid w:val="00414494"/>
    <w:rsid w:val="00415E23"/>
    <w:rsid w:val="0041670D"/>
    <w:rsid w:val="00423272"/>
    <w:rsid w:val="00424061"/>
    <w:rsid w:val="0042458F"/>
    <w:rsid w:val="00442A3C"/>
    <w:rsid w:val="00443969"/>
    <w:rsid w:val="00447D74"/>
    <w:rsid w:val="00450A74"/>
    <w:rsid w:val="004546BF"/>
    <w:rsid w:val="00462B92"/>
    <w:rsid w:val="00463079"/>
    <w:rsid w:val="00463761"/>
    <w:rsid w:val="0046487F"/>
    <w:rsid w:val="00464978"/>
    <w:rsid w:val="00465350"/>
    <w:rsid w:val="00476B91"/>
    <w:rsid w:val="004846BF"/>
    <w:rsid w:val="00494912"/>
    <w:rsid w:val="004A24F0"/>
    <w:rsid w:val="004A380F"/>
    <w:rsid w:val="004A5323"/>
    <w:rsid w:val="004A5A99"/>
    <w:rsid w:val="004B046C"/>
    <w:rsid w:val="004B5A90"/>
    <w:rsid w:val="004C2D9A"/>
    <w:rsid w:val="004C6979"/>
    <w:rsid w:val="004D13A2"/>
    <w:rsid w:val="004D3E7A"/>
    <w:rsid w:val="004F2987"/>
    <w:rsid w:val="004F594B"/>
    <w:rsid w:val="004F61E1"/>
    <w:rsid w:val="00505BD9"/>
    <w:rsid w:val="0050678A"/>
    <w:rsid w:val="0050698B"/>
    <w:rsid w:val="0053241C"/>
    <w:rsid w:val="0053380B"/>
    <w:rsid w:val="00543194"/>
    <w:rsid w:val="00544138"/>
    <w:rsid w:val="00551A4E"/>
    <w:rsid w:val="00554E34"/>
    <w:rsid w:val="00560ECF"/>
    <w:rsid w:val="005637E8"/>
    <w:rsid w:val="00574252"/>
    <w:rsid w:val="00574ECD"/>
    <w:rsid w:val="00584583"/>
    <w:rsid w:val="00590E90"/>
    <w:rsid w:val="00590EEB"/>
    <w:rsid w:val="005A28EC"/>
    <w:rsid w:val="005A4099"/>
    <w:rsid w:val="005A427B"/>
    <w:rsid w:val="005B5FA3"/>
    <w:rsid w:val="005C0D10"/>
    <w:rsid w:val="005C3022"/>
    <w:rsid w:val="005C38B2"/>
    <w:rsid w:val="005C5029"/>
    <w:rsid w:val="005C55C2"/>
    <w:rsid w:val="005C71CA"/>
    <w:rsid w:val="005C745C"/>
    <w:rsid w:val="005D4DF5"/>
    <w:rsid w:val="005E42BA"/>
    <w:rsid w:val="005F2FCB"/>
    <w:rsid w:val="006046B4"/>
    <w:rsid w:val="00604E13"/>
    <w:rsid w:val="00611D6B"/>
    <w:rsid w:val="00615813"/>
    <w:rsid w:val="00625CFD"/>
    <w:rsid w:val="006326EC"/>
    <w:rsid w:val="00641465"/>
    <w:rsid w:val="0066240C"/>
    <w:rsid w:val="00663A42"/>
    <w:rsid w:val="00663E72"/>
    <w:rsid w:val="006641C7"/>
    <w:rsid w:val="00666601"/>
    <w:rsid w:val="006705EA"/>
    <w:rsid w:val="00670BE2"/>
    <w:rsid w:val="006807C0"/>
    <w:rsid w:val="00685438"/>
    <w:rsid w:val="006916D9"/>
    <w:rsid w:val="00694995"/>
    <w:rsid w:val="006A0E05"/>
    <w:rsid w:val="006A2588"/>
    <w:rsid w:val="006A26C6"/>
    <w:rsid w:val="006A465A"/>
    <w:rsid w:val="006A7D5D"/>
    <w:rsid w:val="006B7082"/>
    <w:rsid w:val="006C4EF9"/>
    <w:rsid w:val="006C59D7"/>
    <w:rsid w:val="006C7396"/>
    <w:rsid w:val="006D0C12"/>
    <w:rsid w:val="006D3550"/>
    <w:rsid w:val="006D401B"/>
    <w:rsid w:val="006D43C0"/>
    <w:rsid w:val="006D5D57"/>
    <w:rsid w:val="006E2538"/>
    <w:rsid w:val="006E302F"/>
    <w:rsid w:val="006F07EA"/>
    <w:rsid w:val="006F4D6D"/>
    <w:rsid w:val="00705086"/>
    <w:rsid w:val="00714AB3"/>
    <w:rsid w:val="007160E0"/>
    <w:rsid w:val="00720281"/>
    <w:rsid w:val="00722001"/>
    <w:rsid w:val="00732141"/>
    <w:rsid w:val="00745F67"/>
    <w:rsid w:val="00751E66"/>
    <w:rsid w:val="00754497"/>
    <w:rsid w:val="00755162"/>
    <w:rsid w:val="00756A30"/>
    <w:rsid w:val="00770925"/>
    <w:rsid w:val="00785D1B"/>
    <w:rsid w:val="00787C39"/>
    <w:rsid w:val="00792947"/>
    <w:rsid w:val="0079541A"/>
    <w:rsid w:val="00795789"/>
    <w:rsid w:val="00795DF3"/>
    <w:rsid w:val="007A373C"/>
    <w:rsid w:val="007A4AD4"/>
    <w:rsid w:val="007A667D"/>
    <w:rsid w:val="007A7F80"/>
    <w:rsid w:val="007B225C"/>
    <w:rsid w:val="007C321F"/>
    <w:rsid w:val="007C5D21"/>
    <w:rsid w:val="007C75B1"/>
    <w:rsid w:val="007D0011"/>
    <w:rsid w:val="007D3DFC"/>
    <w:rsid w:val="007D5E82"/>
    <w:rsid w:val="007D71DF"/>
    <w:rsid w:val="007E2F07"/>
    <w:rsid w:val="007E59A8"/>
    <w:rsid w:val="00803294"/>
    <w:rsid w:val="0080776D"/>
    <w:rsid w:val="00810145"/>
    <w:rsid w:val="008108FA"/>
    <w:rsid w:val="00810FF1"/>
    <w:rsid w:val="00822336"/>
    <w:rsid w:val="00823DFA"/>
    <w:rsid w:val="0082547B"/>
    <w:rsid w:val="00826AF6"/>
    <w:rsid w:val="00842DB7"/>
    <w:rsid w:val="00843752"/>
    <w:rsid w:val="0084479F"/>
    <w:rsid w:val="00852DA9"/>
    <w:rsid w:val="0085725E"/>
    <w:rsid w:val="0086149A"/>
    <w:rsid w:val="00865797"/>
    <w:rsid w:val="0086682F"/>
    <w:rsid w:val="00872798"/>
    <w:rsid w:val="00873D4F"/>
    <w:rsid w:val="00874C70"/>
    <w:rsid w:val="0087509F"/>
    <w:rsid w:val="008824BA"/>
    <w:rsid w:val="00885B09"/>
    <w:rsid w:val="00892400"/>
    <w:rsid w:val="00895DED"/>
    <w:rsid w:val="008A209D"/>
    <w:rsid w:val="008A22BB"/>
    <w:rsid w:val="008A2412"/>
    <w:rsid w:val="008B035D"/>
    <w:rsid w:val="008B0E29"/>
    <w:rsid w:val="008B0EFA"/>
    <w:rsid w:val="008B30AB"/>
    <w:rsid w:val="008B461F"/>
    <w:rsid w:val="008C3BB8"/>
    <w:rsid w:val="008C4B65"/>
    <w:rsid w:val="008C79C7"/>
    <w:rsid w:val="008D14D7"/>
    <w:rsid w:val="008D65CA"/>
    <w:rsid w:val="008E5F55"/>
    <w:rsid w:val="008F3DD1"/>
    <w:rsid w:val="008F3E88"/>
    <w:rsid w:val="008F6CCA"/>
    <w:rsid w:val="008F784F"/>
    <w:rsid w:val="009009E7"/>
    <w:rsid w:val="00905DEF"/>
    <w:rsid w:val="00906056"/>
    <w:rsid w:val="009122AE"/>
    <w:rsid w:val="00913B43"/>
    <w:rsid w:val="009213CB"/>
    <w:rsid w:val="00930203"/>
    <w:rsid w:val="009311D2"/>
    <w:rsid w:val="009311E6"/>
    <w:rsid w:val="00931254"/>
    <w:rsid w:val="00931275"/>
    <w:rsid w:val="00934867"/>
    <w:rsid w:val="00936AC7"/>
    <w:rsid w:val="0093706A"/>
    <w:rsid w:val="0094650A"/>
    <w:rsid w:val="0094666D"/>
    <w:rsid w:val="00952706"/>
    <w:rsid w:val="00953B64"/>
    <w:rsid w:val="009563CC"/>
    <w:rsid w:val="009566BF"/>
    <w:rsid w:val="009646A7"/>
    <w:rsid w:val="009677FF"/>
    <w:rsid w:val="00967BAE"/>
    <w:rsid w:val="00970A88"/>
    <w:rsid w:val="009715D6"/>
    <w:rsid w:val="009818A1"/>
    <w:rsid w:val="00984C9C"/>
    <w:rsid w:val="00992DB4"/>
    <w:rsid w:val="009A1674"/>
    <w:rsid w:val="009A5377"/>
    <w:rsid w:val="009B38BE"/>
    <w:rsid w:val="009B4DF2"/>
    <w:rsid w:val="009C4B89"/>
    <w:rsid w:val="009C684F"/>
    <w:rsid w:val="009C71DE"/>
    <w:rsid w:val="009D074C"/>
    <w:rsid w:val="009D6E73"/>
    <w:rsid w:val="009E427A"/>
    <w:rsid w:val="009E4D52"/>
    <w:rsid w:val="009E6003"/>
    <w:rsid w:val="009F1F1D"/>
    <w:rsid w:val="009F2B4F"/>
    <w:rsid w:val="009F3C63"/>
    <w:rsid w:val="009F3FA4"/>
    <w:rsid w:val="009F4D89"/>
    <w:rsid w:val="009F66B5"/>
    <w:rsid w:val="00A0296B"/>
    <w:rsid w:val="00A02F10"/>
    <w:rsid w:val="00A1060C"/>
    <w:rsid w:val="00A14AA4"/>
    <w:rsid w:val="00A15634"/>
    <w:rsid w:val="00A16221"/>
    <w:rsid w:val="00A20A7D"/>
    <w:rsid w:val="00A31106"/>
    <w:rsid w:val="00A35D42"/>
    <w:rsid w:val="00A41494"/>
    <w:rsid w:val="00A453F6"/>
    <w:rsid w:val="00A46CCF"/>
    <w:rsid w:val="00A506DE"/>
    <w:rsid w:val="00A53451"/>
    <w:rsid w:val="00A70426"/>
    <w:rsid w:val="00A707CC"/>
    <w:rsid w:val="00A71410"/>
    <w:rsid w:val="00A7608C"/>
    <w:rsid w:val="00A80CF2"/>
    <w:rsid w:val="00A91E9A"/>
    <w:rsid w:val="00A92418"/>
    <w:rsid w:val="00A93ED9"/>
    <w:rsid w:val="00A96221"/>
    <w:rsid w:val="00AB1479"/>
    <w:rsid w:val="00AB4EC1"/>
    <w:rsid w:val="00AC2DBB"/>
    <w:rsid w:val="00AC6A99"/>
    <w:rsid w:val="00AD2835"/>
    <w:rsid w:val="00AD6048"/>
    <w:rsid w:val="00AE083B"/>
    <w:rsid w:val="00AF1487"/>
    <w:rsid w:val="00AF79C7"/>
    <w:rsid w:val="00B00AA5"/>
    <w:rsid w:val="00B055EF"/>
    <w:rsid w:val="00B066E3"/>
    <w:rsid w:val="00B06B5B"/>
    <w:rsid w:val="00B10731"/>
    <w:rsid w:val="00B14FBA"/>
    <w:rsid w:val="00B22044"/>
    <w:rsid w:val="00B22431"/>
    <w:rsid w:val="00B23769"/>
    <w:rsid w:val="00B37BE9"/>
    <w:rsid w:val="00B41789"/>
    <w:rsid w:val="00B43B0D"/>
    <w:rsid w:val="00B6729B"/>
    <w:rsid w:val="00B724BA"/>
    <w:rsid w:val="00B73275"/>
    <w:rsid w:val="00B74AE9"/>
    <w:rsid w:val="00B81808"/>
    <w:rsid w:val="00B832F2"/>
    <w:rsid w:val="00B84EB5"/>
    <w:rsid w:val="00B86DFA"/>
    <w:rsid w:val="00B936D0"/>
    <w:rsid w:val="00BB15FB"/>
    <w:rsid w:val="00BC20F0"/>
    <w:rsid w:val="00BD3D5B"/>
    <w:rsid w:val="00BE3600"/>
    <w:rsid w:val="00BE420A"/>
    <w:rsid w:val="00BE75A2"/>
    <w:rsid w:val="00C00A12"/>
    <w:rsid w:val="00C0194E"/>
    <w:rsid w:val="00C01F6F"/>
    <w:rsid w:val="00C041EA"/>
    <w:rsid w:val="00C13BBD"/>
    <w:rsid w:val="00C149AB"/>
    <w:rsid w:val="00C16929"/>
    <w:rsid w:val="00C20690"/>
    <w:rsid w:val="00C36020"/>
    <w:rsid w:val="00C40694"/>
    <w:rsid w:val="00C43AEC"/>
    <w:rsid w:val="00C479BF"/>
    <w:rsid w:val="00C5124B"/>
    <w:rsid w:val="00C70542"/>
    <w:rsid w:val="00C758EB"/>
    <w:rsid w:val="00C75CBF"/>
    <w:rsid w:val="00C80254"/>
    <w:rsid w:val="00C876C7"/>
    <w:rsid w:val="00CA55BA"/>
    <w:rsid w:val="00CA5E8D"/>
    <w:rsid w:val="00CB12A3"/>
    <w:rsid w:val="00CB66DE"/>
    <w:rsid w:val="00CC09E2"/>
    <w:rsid w:val="00CC09E3"/>
    <w:rsid w:val="00CC0EC6"/>
    <w:rsid w:val="00CC2894"/>
    <w:rsid w:val="00CD4FEB"/>
    <w:rsid w:val="00CD57B0"/>
    <w:rsid w:val="00CD77C3"/>
    <w:rsid w:val="00CE112C"/>
    <w:rsid w:val="00CE4D9F"/>
    <w:rsid w:val="00CF55D4"/>
    <w:rsid w:val="00D3668F"/>
    <w:rsid w:val="00D42952"/>
    <w:rsid w:val="00D42D1B"/>
    <w:rsid w:val="00D608DA"/>
    <w:rsid w:val="00D63275"/>
    <w:rsid w:val="00D730BF"/>
    <w:rsid w:val="00D81189"/>
    <w:rsid w:val="00D852F4"/>
    <w:rsid w:val="00D87188"/>
    <w:rsid w:val="00D90B17"/>
    <w:rsid w:val="00D93F00"/>
    <w:rsid w:val="00DA0149"/>
    <w:rsid w:val="00DB0259"/>
    <w:rsid w:val="00DB1110"/>
    <w:rsid w:val="00DB3730"/>
    <w:rsid w:val="00DC371B"/>
    <w:rsid w:val="00DC3788"/>
    <w:rsid w:val="00DC76C7"/>
    <w:rsid w:val="00DD09F5"/>
    <w:rsid w:val="00DD0E02"/>
    <w:rsid w:val="00DD21A3"/>
    <w:rsid w:val="00DD30E8"/>
    <w:rsid w:val="00DD4201"/>
    <w:rsid w:val="00DD5B5D"/>
    <w:rsid w:val="00DD5D59"/>
    <w:rsid w:val="00DD5E9F"/>
    <w:rsid w:val="00DE5711"/>
    <w:rsid w:val="00E00EA0"/>
    <w:rsid w:val="00E021CB"/>
    <w:rsid w:val="00E04FA2"/>
    <w:rsid w:val="00E12619"/>
    <w:rsid w:val="00E138F1"/>
    <w:rsid w:val="00E2309D"/>
    <w:rsid w:val="00E26758"/>
    <w:rsid w:val="00E27823"/>
    <w:rsid w:val="00E31A71"/>
    <w:rsid w:val="00E33026"/>
    <w:rsid w:val="00E3421D"/>
    <w:rsid w:val="00E360C9"/>
    <w:rsid w:val="00E4357B"/>
    <w:rsid w:val="00E443A7"/>
    <w:rsid w:val="00E45904"/>
    <w:rsid w:val="00E60192"/>
    <w:rsid w:val="00E63DE5"/>
    <w:rsid w:val="00E647AF"/>
    <w:rsid w:val="00E647C7"/>
    <w:rsid w:val="00E65A37"/>
    <w:rsid w:val="00E65EF7"/>
    <w:rsid w:val="00E6791D"/>
    <w:rsid w:val="00E74AF0"/>
    <w:rsid w:val="00E77B48"/>
    <w:rsid w:val="00E857FB"/>
    <w:rsid w:val="00E91799"/>
    <w:rsid w:val="00E94D53"/>
    <w:rsid w:val="00E95AFF"/>
    <w:rsid w:val="00E97DF8"/>
    <w:rsid w:val="00EA21FE"/>
    <w:rsid w:val="00EA34E3"/>
    <w:rsid w:val="00EB7538"/>
    <w:rsid w:val="00EC1868"/>
    <w:rsid w:val="00ED750D"/>
    <w:rsid w:val="00EE6468"/>
    <w:rsid w:val="00EF2682"/>
    <w:rsid w:val="00F1299B"/>
    <w:rsid w:val="00F16FF6"/>
    <w:rsid w:val="00F207A4"/>
    <w:rsid w:val="00F22BCD"/>
    <w:rsid w:val="00F25173"/>
    <w:rsid w:val="00F355AC"/>
    <w:rsid w:val="00F40CF7"/>
    <w:rsid w:val="00F42C07"/>
    <w:rsid w:val="00F44194"/>
    <w:rsid w:val="00F57D60"/>
    <w:rsid w:val="00F71A5A"/>
    <w:rsid w:val="00F73A1A"/>
    <w:rsid w:val="00F769E0"/>
    <w:rsid w:val="00F86FC0"/>
    <w:rsid w:val="00FA141E"/>
    <w:rsid w:val="00FA4A46"/>
    <w:rsid w:val="00FA75FE"/>
    <w:rsid w:val="00FB1032"/>
    <w:rsid w:val="00FB39BC"/>
    <w:rsid w:val="00FB6A53"/>
    <w:rsid w:val="00FC11CA"/>
    <w:rsid w:val="00FC1655"/>
    <w:rsid w:val="00FC6BDE"/>
    <w:rsid w:val="00FD0F2A"/>
    <w:rsid w:val="00FD1CE3"/>
    <w:rsid w:val="00FD443A"/>
    <w:rsid w:val="00FD643D"/>
    <w:rsid w:val="00FE2A35"/>
    <w:rsid w:val="00FE5DCA"/>
    <w:rsid w:val="00FF2BD6"/>
    <w:rsid w:val="00FF5461"/>
    <w:rsid w:val="00FF6138"/>
    <w:rsid w:val="00FF63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B5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B00AA5"/>
    <w:pPr>
      <w:spacing w:after="120"/>
    </w:pPr>
  </w:style>
  <w:style w:type="character" w:customStyle="1" w:styleId="BodyTextChar">
    <w:name w:val="Body Text Char"/>
    <w:link w:val="BodyText"/>
    <w:rsid w:val="00B00AA5"/>
    <w:rPr>
      <w:sz w:val="24"/>
      <w:szCs w:val="24"/>
    </w:rPr>
  </w:style>
  <w:style w:type="paragraph" w:styleId="NoSpacing">
    <w:name w:val="No Spacing"/>
    <w:uiPriority w:val="1"/>
    <w:qFormat/>
    <w:rsid w:val="00992DB4"/>
    <w:rPr>
      <w:rFonts w:ascii="Calibri" w:eastAsia="Calibri" w:hAnsi="Calibri"/>
      <w:sz w:val="22"/>
      <w:szCs w:val="22"/>
    </w:rPr>
  </w:style>
  <w:style w:type="paragraph" w:styleId="Revision">
    <w:name w:val="Revision"/>
    <w:hidden/>
    <w:uiPriority w:val="99"/>
    <w:semiHidden/>
    <w:rsid w:val="003A0B9A"/>
    <w:rPr>
      <w:sz w:val="24"/>
      <w:szCs w:val="24"/>
    </w:rPr>
  </w:style>
  <w:style w:type="character" w:styleId="CommentReference">
    <w:name w:val="annotation reference"/>
    <w:basedOn w:val="DefaultParagraphFont"/>
    <w:rsid w:val="000D436A"/>
    <w:rPr>
      <w:sz w:val="16"/>
      <w:szCs w:val="16"/>
    </w:rPr>
  </w:style>
  <w:style w:type="paragraph" w:styleId="CommentText">
    <w:name w:val="annotation text"/>
    <w:basedOn w:val="Normal"/>
    <w:link w:val="CommentTextChar"/>
    <w:rsid w:val="000D436A"/>
    <w:rPr>
      <w:sz w:val="20"/>
      <w:szCs w:val="20"/>
    </w:rPr>
  </w:style>
  <w:style w:type="character" w:customStyle="1" w:styleId="CommentTextChar">
    <w:name w:val="Comment Text Char"/>
    <w:basedOn w:val="DefaultParagraphFont"/>
    <w:link w:val="CommentText"/>
    <w:rsid w:val="000D436A"/>
  </w:style>
  <w:style w:type="paragraph" w:styleId="CommentSubject">
    <w:name w:val="annotation subject"/>
    <w:basedOn w:val="CommentText"/>
    <w:next w:val="CommentText"/>
    <w:link w:val="CommentSubjectChar"/>
    <w:rsid w:val="000D436A"/>
    <w:rPr>
      <w:b/>
      <w:bCs/>
    </w:rPr>
  </w:style>
  <w:style w:type="character" w:customStyle="1" w:styleId="CommentSubjectChar">
    <w:name w:val="Comment Subject Char"/>
    <w:basedOn w:val="CommentTextChar"/>
    <w:link w:val="CommentSubject"/>
    <w:rsid w:val="000D436A"/>
    <w:rPr>
      <w:b/>
      <w:bCs/>
    </w:rPr>
  </w:style>
  <w:style w:type="table" w:customStyle="1" w:styleId="TableGrid0">
    <w:name w:val="TableGrid"/>
    <w:rsid w:val="0035773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gkelc">
    <w:name w:val="hgkelc"/>
    <w:basedOn w:val="DefaultParagraphFont"/>
    <w:rsid w:val="004F2987"/>
  </w:style>
  <w:style w:type="paragraph" w:styleId="FootnoteText">
    <w:name w:val="footnote text"/>
    <w:basedOn w:val="Normal"/>
    <w:link w:val="FootnoteTextChar"/>
    <w:uiPriority w:val="99"/>
    <w:unhideWhenUsed/>
    <w:rsid w:val="005A28E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A28EC"/>
    <w:rPr>
      <w:rFonts w:asciiTheme="minorHAnsi" w:eastAsiaTheme="minorHAnsi" w:hAnsiTheme="minorHAnsi" w:cstheme="minorBidi"/>
    </w:rPr>
  </w:style>
  <w:style w:type="character" w:styleId="FootnoteReference">
    <w:name w:val="footnote reference"/>
    <w:basedOn w:val="DefaultParagraphFont"/>
    <w:uiPriority w:val="99"/>
    <w:unhideWhenUsed/>
    <w:rsid w:val="005A28EC"/>
    <w:rPr>
      <w:vertAlign w:val="superscript"/>
    </w:rPr>
  </w:style>
  <w:style w:type="character" w:styleId="Strong">
    <w:name w:val="Strong"/>
    <w:basedOn w:val="DefaultParagraphFont"/>
    <w:uiPriority w:val="22"/>
    <w:qFormat/>
    <w:rsid w:val="005A2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regulatory-information/search-fda-guidance-documents/time-and-extent-applications-nonprescription-drug-products" TargetMode="External" /><Relationship Id="rId7" Type="http://schemas.openxmlformats.org/officeDocument/2006/relationships/hyperlink" Target="https://dps.fda.gov/omu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21/pa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ED44-FCF4-45CA-B8CC-87AE6409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2023-11-29T16:45:00Z</dcterms:created>
  <dcterms:modified xsi:type="dcterms:W3CDTF">2023-11-29T16:45:00Z</dcterms:modified>
</cp:coreProperties>
</file>