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A31C02" w14:paraId="276DB201" w14:textId="0BB31F83">
      <w:pPr>
        <w:jc w:val="center"/>
        <w:rPr>
          <w:rFonts w:eastAsia="Calibri"/>
        </w:rPr>
      </w:pPr>
      <w:r w:rsidRPr="00357C8A">
        <w:rPr>
          <w:rFonts w:eastAsia="Calibri"/>
        </w:rPr>
        <w:t>United States Food and Drug Administration</w:t>
      </w:r>
    </w:p>
    <w:p w:rsidR="00DA6B7D" w:rsidRPr="00DA6B7D" w:rsidP="00193077" w14:paraId="58F812BD" w14:textId="77777777">
      <w:pPr>
        <w:rPr>
          <w:rFonts w:eastAsia="Calibri"/>
        </w:rPr>
      </w:pPr>
    </w:p>
    <w:p w:rsidR="00DA6B7D" w:rsidRPr="00DA6B7D" w:rsidP="00DA6B7D" w14:paraId="3FF3B4DA" w14:textId="77777777">
      <w:pPr>
        <w:jc w:val="center"/>
        <w:rPr>
          <w:rFonts w:eastAsia="Calibri"/>
        </w:rPr>
      </w:pPr>
      <w:r w:rsidRPr="00DA6B7D">
        <w:rPr>
          <w:rFonts w:eastAsia="Calibri"/>
        </w:rPr>
        <w:t>State Petitions for Exemptions from Preemption</w:t>
      </w:r>
    </w:p>
    <w:p w:rsidR="00357C8A" w:rsidP="00357C8A" w14:paraId="410AEB14" w14:textId="77777777">
      <w:pPr>
        <w:jc w:val="center"/>
        <w:rPr>
          <w:rFonts w:eastAsia="Calibri"/>
        </w:rPr>
      </w:pPr>
    </w:p>
    <w:p w:rsidR="00357C8A" w:rsidP="00357C8A" w14:paraId="5AE92A77" w14:textId="3907E88B">
      <w:pPr>
        <w:jc w:val="center"/>
        <w:rPr>
          <w:rFonts w:eastAsia="Calibri"/>
        </w:rPr>
      </w:pPr>
      <w:r w:rsidRPr="00357C8A">
        <w:rPr>
          <w:rFonts w:eastAsia="Calibri"/>
        </w:rPr>
        <w:t>OMB Control No. 0910-</w:t>
      </w:r>
      <w:r w:rsidR="00DA6B7D">
        <w:rPr>
          <w:rFonts w:eastAsia="Calibri"/>
        </w:rPr>
        <w:t>0277</w:t>
      </w:r>
      <w:r w:rsidR="003828D5">
        <w:rPr>
          <w:rFonts w:eastAsia="Calibri"/>
        </w:rPr>
        <w:t xml:space="preserve"> - EXTENSION</w:t>
      </w:r>
    </w:p>
    <w:p w:rsidR="00357C8A" w:rsidP="00357C8A" w14:paraId="3E0F0D05" w14:textId="77777777">
      <w:pPr>
        <w:jc w:val="center"/>
        <w:rPr>
          <w:rFonts w:eastAsia="Calibri"/>
        </w:rPr>
      </w:pPr>
    </w:p>
    <w:p w:rsidR="00357C8A" w:rsidP="00357C8A" w14:paraId="627340F8" w14:textId="2EFFA98C">
      <w:pPr>
        <w:jc w:val="center"/>
        <w:rPr>
          <w:rFonts w:eastAsia="Calibri"/>
        </w:rPr>
      </w:pPr>
      <w:r w:rsidRPr="00357C8A">
        <w:rPr>
          <w:rFonts w:eastAsia="Calibri"/>
        </w:rPr>
        <w:t>SUPPORTING STATEMENT</w:t>
      </w:r>
    </w:p>
    <w:p w:rsidR="009B4DF2" w:rsidP="00357C8A" w14:paraId="7A906739" w14:textId="77777777">
      <w:pPr>
        <w:jc w:val="center"/>
        <w:rPr>
          <w:rFonts w:eastAsia="Calibri"/>
        </w:rPr>
      </w:pPr>
    </w:p>
    <w:p w:rsidR="00357C8A" w:rsidP="000D79CC" w14:paraId="3378B6A5" w14:textId="77777777">
      <w:pPr>
        <w:rPr>
          <w:rFonts w:eastAsia="Calibri"/>
        </w:rPr>
      </w:pPr>
      <w:r w:rsidRPr="00357C8A">
        <w:rPr>
          <w:rFonts w:eastAsia="Calibri"/>
          <w:b/>
        </w:rPr>
        <w:t>Part A:  Justification</w:t>
      </w:r>
      <w:r w:rsidRPr="00357C8A">
        <w:rPr>
          <w:rFonts w:eastAsia="Calibri"/>
        </w:rPr>
        <w:t>:</w:t>
      </w:r>
    </w:p>
    <w:p w:rsidR="000D79CC" w:rsidRPr="00357C8A" w:rsidP="000D79CC" w14:paraId="39039682" w14:textId="77777777">
      <w:pPr>
        <w:rPr>
          <w:rFonts w:eastAsia="Calibri"/>
        </w:rPr>
      </w:pPr>
    </w:p>
    <w:p w:rsidR="00357C8A" w:rsidRPr="00357C8A" w:rsidP="006705EA" w14:paraId="59B1C667"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886967" w:rsidP="00FF1AA5" w14:paraId="0D25FF82" w14:textId="7DF97C98">
      <w:pPr>
        <w:rPr>
          <w:rFonts w:eastAsia="Calibri"/>
        </w:rPr>
      </w:pPr>
      <w:r w:rsidRPr="00DA6B7D">
        <w:rPr>
          <w:rFonts w:eastAsia="Calibri"/>
        </w:rPr>
        <w:t xml:space="preserve">This information collection supports Food and Drug Administration (FDA, us, or we) regulations.  Under section 403A(b) of the Federal Food, Drug, and Cosmetic Act (the FD&amp;C Act) (21 U.S.C. 343-1(b)), States may petition </w:t>
      </w:r>
      <w:r w:rsidR="005B1F2F">
        <w:rPr>
          <w:rFonts w:eastAsia="Calibri"/>
        </w:rPr>
        <w:t xml:space="preserve">FDA </w:t>
      </w:r>
      <w:r w:rsidRPr="00DA6B7D">
        <w:rPr>
          <w:rFonts w:eastAsia="Calibri"/>
        </w:rPr>
        <w:t xml:space="preserve">for exemption from Federal preemption of </w:t>
      </w:r>
      <w:r w:rsidR="009328FC">
        <w:rPr>
          <w:rFonts w:eastAsia="Calibri"/>
        </w:rPr>
        <w:t>S</w:t>
      </w:r>
      <w:r w:rsidRPr="00DA6B7D">
        <w:rPr>
          <w:rFonts w:eastAsia="Calibri"/>
        </w:rPr>
        <w:t>tate food labeling and standard</w:t>
      </w:r>
      <w:r w:rsidR="009328FC">
        <w:rPr>
          <w:rFonts w:eastAsia="Calibri"/>
        </w:rPr>
        <w:t>-</w:t>
      </w:r>
      <w:r w:rsidRPr="00DA6B7D">
        <w:rPr>
          <w:rFonts w:eastAsia="Calibri"/>
        </w:rPr>
        <w:t>of</w:t>
      </w:r>
      <w:r w:rsidR="009328FC">
        <w:rPr>
          <w:rFonts w:eastAsia="Calibri"/>
        </w:rPr>
        <w:t>-</w:t>
      </w:r>
      <w:r w:rsidRPr="00DA6B7D">
        <w:rPr>
          <w:rFonts w:eastAsia="Calibri"/>
        </w:rPr>
        <w:t xml:space="preserve">identity requirements.  </w:t>
      </w:r>
      <w:r w:rsidRPr="008B79D3" w:rsidR="008B79D3">
        <w:rPr>
          <w:rFonts w:eastAsia="Calibri"/>
        </w:rPr>
        <w:t>Section 100.1(c) (21 CFR 100.1(c)) provides prerequisites a petition must satisfy for an exemption from preemption.</w:t>
      </w:r>
      <w:r w:rsidR="008B79D3">
        <w:rPr>
          <w:rFonts w:eastAsia="Calibri"/>
        </w:rPr>
        <w:t xml:space="preserve">  S</w:t>
      </w:r>
      <w:r w:rsidRPr="00DA6B7D">
        <w:rPr>
          <w:rFonts w:eastAsia="Calibri"/>
        </w:rPr>
        <w:t>ection 100.1(d) set</w:t>
      </w:r>
      <w:r w:rsidR="00446852">
        <w:rPr>
          <w:rFonts w:eastAsia="Calibri"/>
        </w:rPr>
        <w:t>s</w:t>
      </w:r>
      <w:r w:rsidRPr="00DA6B7D">
        <w:rPr>
          <w:rFonts w:eastAsia="Calibri"/>
        </w:rPr>
        <w:t xml:space="preserve"> forth the information a State is required to </w:t>
      </w:r>
      <w:r w:rsidR="00446852">
        <w:rPr>
          <w:rFonts w:eastAsia="Calibri"/>
        </w:rPr>
        <w:t>submit</w:t>
      </w:r>
      <w:r w:rsidRPr="00DA6B7D" w:rsidR="00446852">
        <w:rPr>
          <w:rFonts w:eastAsia="Calibri"/>
        </w:rPr>
        <w:t xml:space="preserve"> </w:t>
      </w:r>
      <w:r w:rsidRPr="00DA6B7D">
        <w:rPr>
          <w:rFonts w:eastAsia="Calibri"/>
        </w:rPr>
        <w:t>in such a petition</w:t>
      </w:r>
      <w:r w:rsidR="00A510FD">
        <w:rPr>
          <w:rFonts w:eastAsia="Calibri"/>
        </w:rPr>
        <w:t xml:space="preserve">. </w:t>
      </w:r>
      <w:r w:rsidRPr="00DA6B7D">
        <w:rPr>
          <w:rFonts w:eastAsia="Calibri"/>
        </w:rPr>
        <w:t xml:space="preserve">The information required under § 100.1 enables us to determine whether the </w:t>
      </w:r>
      <w:r w:rsidR="00F12178">
        <w:rPr>
          <w:rFonts w:eastAsia="Calibri"/>
        </w:rPr>
        <w:t>S</w:t>
      </w:r>
      <w:r w:rsidRPr="00DA6B7D">
        <w:rPr>
          <w:rFonts w:eastAsia="Calibri"/>
        </w:rPr>
        <w:t>tate food labeling or standard</w:t>
      </w:r>
      <w:r w:rsidR="00F12178">
        <w:rPr>
          <w:rFonts w:eastAsia="Calibri"/>
        </w:rPr>
        <w:t>-</w:t>
      </w:r>
      <w:r w:rsidRPr="00DA6B7D">
        <w:rPr>
          <w:rFonts w:eastAsia="Calibri"/>
        </w:rPr>
        <w:t>of</w:t>
      </w:r>
      <w:r w:rsidR="00F12178">
        <w:rPr>
          <w:rFonts w:eastAsia="Calibri"/>
        </w:rPr>
        <w:t>-</w:t>
      </w:r>
      <w:r w:rsidRPr="00DA6B7D">
        <w:rPr>
          <w:rFonts w:eastAsia="Calibri"/>
        </w:rPr>
        <w:t xml:space="preserve">identity requirement satisfies the criteria of section 403A(b) of the FD&amp;C Act for granting exemption from Federal preemption.  </w:t>
      </w:r>
    </w:p>
    <w:p w:rsidR="00886967" w:rsidP="00423272" w14:paraId="20B2459B" w14:textId="77777777">
      <w:pPr>
        <w:rPr>
          <w:rFonts w:eastAsia="Calibri"/>
        </w:rPr>
      </w:pPr>
    </w:p>
    <w:p w:rsidR="00DA6B7D" w:rsidP="00423272" w14:paraId="05DF4A89" w14:textId="48630402">
      <w:pPr>
        <w:rPr>
          <w:rFonts w:eastAsia="Calibri"/>
        </w:rPr>
      </w:pPr>
      <w:r w:rsidRPr="00DA6B7D">
        <w:rPr>
          <w:rFonts w:eastAsia="Calibri"/>
        </w:rPr>
        <w:t xml:space="preserve">We therefore request extension of OMB approval of </w:t>
      </w:r>
      <w:r w:rsidR="00E76F08">
        <w:rPr>
          <w:rFonts w:eastAsia="Calibri"/>
        </w:rPr>
        <w:t>S</w:t>
      </w:r>
      <w:r w:rsidRPr="00DA6B7D">
        <w:rPr>
          <w:rFonts w:eastAsia="Calibri"/>
        </w:rPr>
        <w:t>tate petitions for exemptions from preemption found in 21 CFR 100</w:t>
      </w:r>
      <w:r w:rsidR="007960BD">
        <w:rPr>
          <w:rFonts w:eastAsia="Calibri"/>
        </w:rPr>
        <w:t>.1</w:t>
      </w:r>
      <w:r w:rsidRPr="00DA6B7D">
        <w:rPr>
          <w:rFonts w:eastAsia="Calibri"/>
        </w:rPr>
        <w:t xml:space="preserve"> and discussed in this supporting statement.</w:t>
      </w:r>
    </w:p>
    <w:p w:rsidR="00357C8A" w:rsidRPr="00AC1916" w:rsidP="00193077" w14:paraId="7908AC8D" w14:textId="56032AD2">
      <w:pPr>
        <w:rPr>
          <w:rFonts w:eastAsia="Calibri"/>
          <w:color w:val="000000" w:themeColor="text1"/>
        </w:rPr>
      </w:pPr>
    </w:p>
    <w:p w:rsidR="00357C8A" w:rsidRPr="00357C8A" w:rsidP="006705EA" w14:paraId="5CD09ACD"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DA6B7D" w:rsidP="00DA6B7D" w14:paraId="02E291EB" w14:textId="65704BA9">
      <w:pPr>
        <w:rPr>
          <w:rFonts w:eastAsia="Calibri"/>
        </w:rPr>
      </w:pPr>
      <w:r w:rsidRPr="0054583A">
        <w:rPr>
          <w:rFonts w:eastAsia="Calibri"/>
        </w:rPr>
        <w:t xml:space="preserve">States seeking exemption from Federal preemption of </w:t>
      </w:r>
      <w:r w:rsidR="0069229B">
        <w:rPr>
          <w:rFonts w:eastAsia="Calibri"/>
        </w:rPr>
        <w:t>S</w:t>
      </w:r>
      <w:r w:rsidRPr="0054583A">
        <w:rPr>
          <w:rFonts w:eastAsia="Calibri"/>
        </w:rPr>
        <w:t>tate food labeling and standard</w:t>
      </w:r>
      <w:r w:rsidR="0069229B">
        <w:rPr>
          <w:rFonts w:eastAsia="Calibri"/>
        </w:rPr>
        <w:t>-</w:t>
      </w:r>
      <w:r w:rsidRPr="0054583A">
        <w:rPr>
          <w:rFonts w:eastAsia="Calibri"/>
        </w:rPr>
        <w:t>of</w:t>
      </w:r>
      <w:r w:rsidR="0069229B">
        <w:rPr>
          <w:rFonts w:eastAsia="Calibri"/>
        </w:rPr>
        <w:t>-</w:t>
      </w:r>
      <w:r w:rsidRPr="0054583A">
        <w:rPr>
          <w:rFonts w:eastAsia="Calibri"/>
        </w:rPr>
        <w:t>identity requirements may submit a petition to us under § 100.1.  The information required under §</w:t>
      </w:r>
      <w:r>
        <w:rPr>
          <w:rFonts w:eastAsia="Calibri"/>
        </w:rPr>
        <w:t> </w:t>
      </w:r>
      <w:r w:rsidRPr="0054583A">
        <w:rPr>
          <w:rFonts w:eastAsia="Calibri"/>
        </w:rPr>
        <w:t xml:space="preserve">100.1 enables us to determine whether the </w:t>
      </w:r>
      <w:r w:rsidR="00243058">
        <w:rPr>
          <w:rFonts w:eastAsia="Calibri"/>
        </w:rPr>
        <w:t>S</w:t>
      </w:r>
      <w:r w:rsidRPr="0054583A">
        <w:rPr>
          <w:rFonts w:eastAsia="Calibri"/>
        </w:rPr>
        <w:t>tate food labeling or standard</w:t>
      </w:r>
      <w:r w:rsidR="00243058">
        <w:rPr>
          <w:rFonts w:eastAsia="Calibri"/>
        </w:rPr>
        <w:t>-</w:t>
      </w:r>
      <w:r w:rsidRPr="0054583A">
        <w:rPr>
          <w:rFonts w:eastAsia="Calibri"/>
        </w:rPr>
        <w:t>of</w:t>
      </w:r>
      <w:r w:rsidR="00243058">
        <w:rPr>
          <w:rFonts w:eastAsia="Calibri"/>
        </w:rPr>
        <w:t>-</w:t>
      </w:r>
      <w:r w:rsidRPr="0054583A">
        <w:rPr>
          <w:rFonts w:eastAsia="Calibri"/>
        </w:rPr>
        <w:t xml:space="preserve">identify requirement satisfies the criteria of section 403A(b) of the FD&amp;C Act for granting exemption from preemption.  </w:t>
      </w:r>
    </w:p>
    <w:p w:rsidR="00567848" w:rsidP="00DA6B7D" w14:paraId="55998E2F" w14:textId="77777777">
      <w:pPr>
        <w:rPr>
          <w:rFonts w:eastAsia="Calibri"/>
        </w:rPr>
      </w:pPr>
    </w:p>
    <w:p w:rsidR="00301855" w:rsidP="00905596" w14:paraId="23A1A06E" w14:textId="1DE74F0C">
      <w:pPr>
        <w:tabs>
          <w:tab w:val="left" w:pos="3960"/>
        </w:tabs>
        <w:rPr>
          <w:rFonts w:eastAsia="Calibri"/>
        </w:rPr>
      </w:pPr>
      <w:bookmarkStart w:id="0" w:name="_Hlk149133459"/>
      <w:r w:rsidRPr="00A62FC2">
        <w:rPr>
          <w:rFonts w:eastAsia="Calibri"/>
          <w:i/>
        </w:rPr>
        <w:t>Description of Respondents</w:t>
      </w:r>
      <w:r w:rsidRPr="0054583A">
        <w:rPr>
          <w:rFonts w:eastAsia="Calibri"/>
        </w:rPr>
        <w:t>:</w:t>
      </w:r>
      <w:r>
        <w:rPr>
          <w:rFonts w:eastAsia="Calibri"/>
        </w:rPr>
        <w:t xml:space="preserve">  </w:t>
      </w:r>
      <w:r w:rsidRPr="00905596" w:rsidR="00905596">
        <w:rPr>
          <w:rFonts w:eastAsia="Calibri"/>
        </w:rPr>
        <w:t>The</w:t>
      </w:r>
      <w:r w:rsidR="00905596">
        <w:rPr>
          <w:rFonts w:eastAsia="Calibri"/>
        </w:rPr>
        <w:t xml:space="preserve"> </w:t>
      </w:r>
      <w:r w:rsidRPr="00905596" w:rsidR="00905596">
        <w:rPr>
          <w:rFonts w:eastAsia="Calibri"/>
        </w:rPr>
        <w:t>respondents to this collection of</w:t>
      </w:r>
      <w:r w:rsidR="00905596">
        <w:rPr>
          <w:rFonts w:eastAsia="Calibri"/>
        </w:rPr>
        <w:t xml:space="preserve"> </w:t>
      </w:r>
      <w:r w:rsidRPr="00905596" w:rsidR="00905596">
        <w:rPr>
          <w:rFonts w:eastAsia="Calibri"/>
        </w:rPr>
        <w:t>information are State and local</w:t>
      </w:r>
      <w:r w:rsidR="00905596">
        <w:rPr>
          <w:rFonts w:eastAsia="Calibri"/>
        </w:rPr>
        <w:t xml:space="preserve"> </w:t>
      </w:r>
      <w:r w:rsidRPr="00905596" w:rsidR="00905596">
        <w:rPr>
          <w:rFonts w:eastAsia="Calibri"/>
        </w:rPr>
        <w:t>governments who regulate food labeling</w:t>
      </w:r>
      <w:r w:rsidR="00905596">
        <w:rPr>
          <w:rFonts w:eastAsia="Calibri"/>
        </w:rPr>
        <w:t xml:space="preserve"> </w:t>
      </w:r>
      <w:r w:rsidRPr="00905596" w:rsidR="00905596">
        <w:rPr>
          <w:rFonts w:eastAsia="Calibri"/>
        </w:rPr>
        <w:t>and standards</w:t>
      </w:r>
      <w:r>
        <w:rPr>
          <w:rFonts w:eastAsia="Calibri"/>
        </w:rPr>
        <w:t>-</w:t>
      </w:r>
      <w:r w:rsidRPr="00905596" w:rsidR="00905596">
        <w:rPr>
          <w:rFonts w:eastAsia="Calibri"/>
        </w:rPr>
        <w:t>of</w:t>
      </w:r>
      <w:r>
        <w:rPr>
          <w:rFonts w:eastAsia="Calibri"/>
        </w:rPr>
        <w:t>-</w:t>
      </w:r>
      <w:r w:rsidRPr="00905596" w:rsidR="00905596">
        <w:rPr>
          <w:rFonts w:eastAsia="Calibri"/>
        </w:rPr>
        <w:t>identity.</w:t>
      </w:r>
    </w:p>
    <w:bookmarkEnd w:id="0"/>
    <w:p w:rsidR="00357C8A" w:rsidRPr="00AC1916" w:rsidP="00193077" w14:paraId="3B8C2649" w14:textId="4D4A1342">
      <w:pPr>
        <w:tabs>
          <w:tab w:val="left" w:pos="3960"/>
        </w:tabs>
        <w:rPr>
          <w:rFonts w:eastAsia="Calibri"/>
          <w:color w:val="000000" w:themeColor="text1"/>
        </w:rPr>
      </w:pPr>
    </w:p>
    <w:p w:rsidR="00357C8A" w:rsidRPr="00357C8A" w:rsidP="006705EA" w14:paraId="0AA57FA3"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2073" w:rsidP="0022425B" w14:paraId="06B328A8" w14:textId="77777777">
      <w:pPr>
        <w:spacing w:after="200"/>
        <w:rPr>
          <w:rFonts w:eastAsia="Calibri"/>
        </w:rPr>
      </w:pPr>
      <w:r w:rsidRPr="00FF1AA5">
        <w:rPr>
          <w:rFonts w:eastAsia="Calibri"/>
        </w:rPr>
        <w:t>The</w:t>
      </w:r>
      <w:r>
        <w:rPr>
          <w:rFonts w:eastAsia="Calibri"/>
        </w:rPr>
        <w:t xml:space="preserve"> </w:t>
      </w:r>
      <w:r w:rsidRPr="00FF1AA5">
        <w:rPr>
          <w:rFonts w:eastAsia="Calibri"/>
        </w:rPr>
        <w:t xml:space="preserve">petition may be submitted </w:t>
      </w:r>
      <w:r>
        <w:rPr>
          <w:rFonts w:eastAsia="Calibri"/>
        </w:rPr>
        <w:t xml:space="preserve">by mail </w:t>
      </w:r>
      <w:r w:rsidRPr="00FF1AA5">
        <w:rPr>
          <w:rFonts w:eastAsia="Calibri"/>
        </w:rPr>
        <w:t>either as: (1)</w:t>
      </w:r>
      <w:r>
        <w:rPr>
          <w:rFonts w:eastAsia="Calibri"/>
        </w:rPr>
        <w:t xml:space="preserve"> </w:t>
      </w:r>
      <w:r w:rsidRPr="00FF1AA5">
        <w:rPr>
          <w:rFonts w:eastAsia="Calibri"/>
        </w:rPr>
        <w:t>an original and one copy or (2) an</w:t>
      </w:r>
      <w:r>
        <w:rPr>
          <w:rFonts w:eastAsia="Calibri"/>
        </w:rPr>
        <w:t xml:space="preserve"> </w:t>
      </w:r>
      <w:r w:rsidRPr="00FF1AA5">
        <w:rPr>
          <w:rFonts w:eastAsia="Calibri"/>
        </w:rPr>
        <w:t>original and a computer-readable disk</w:t>
      </w:r>
      <w:r>
        <w:rPr>
          <w:rFonts w:eastAsia="Calibri"/>
        </w:rPr>
        <w:t xml:space="preserve"> </w:t>
      </w:r>
      <w:r w:rsidRPr="00FF1AA5">
        <w:rPr>
          <w:rFonts w:eastAsia="Calibri"/>
        </w:rPr>
        <w:t xml:space="preserve">containing the petition. </w:t>
      </w:r>
      <w:r>
        <w:rPr>
          <w:rFonts w:eastAsia="Calibri"/>
        </w:rPr>
        <w:t xml:space="preserve"> </w:t>
      </w:r>
      <w:r w:rsidRPr="00D568FC" w:rsidR="00D568FC">
        <w:rPr>
          <w:rFonts w:eastAsia="Calibri"/>
        </w:rPr>
        <w:t>Contents of the disk should be in a standard format.</w:t>
      </w:r>
      <w:r w:rsidR="00D568FC">
        <w:rPr>
          <w:rFonts w:eastAsia="Calibri"/>
        </w:rPr>
        <w:t xml:space="preserve">  </w:t>
      </w:r>
      <w:r>
        <w:rPr>
          <w:rFonts w:eastAsia="Calibri"/>
        </w:rPr>
        <w:t xml:space="preserve">Petitions may be </w:t>
      </w:r>
      <w:r w:rsidRPr="00352073">
        <w:rPr>
          <w:rFonts w:eastAsia="Calibri"/>
        </w:rPr>
        <w:t>mailed or delivered to the Division of Dockets Management Staff, Food and Drug Administration, 5630 Fishers Lane, Rm. 1061, Rockville, MD 20852</w:t>
      </w:r>
      <w:r>
        <w:rPr>
          <w:rFonts w:eastAsia="Calibri"/>
        </w:rPr>
        <w:t>.</w:t>
      </w:r>
    </w:p>
    <w:p w:rsidR="00A10D5A" w:rsidP="0022425B" w14:paraId="299F9214" w14:textId="10965733">
      <w:pPr>
        <w:spacing w:after="200"/>
        <w:rPr>
          <w:rFonts w:eastAsia="Calibri"/>
        </w:rPr>
      </w:pPr>
      <w:r>
        <w:rPr>
          <w:rFonts w:eastAsia="Calibri"/>
        </w:rPr>
        <w:t>FDA</w:t>
      </w:r>
      <w:r w:rsidR="00732462">
        <w:rPr>
          <w:rFonts w:eastAsia="Calibri"/>
        </w:rPr>
        <w:t xml:space="preserve"> currently does not accept e-mailed petitions.  Petitions can be sent electronically to FDA via </w:t>
      </w:r>
      <w:hyperlink r:id="rId5" w:history="1">
        <w:r w:rsidRPr="00C1081E" w:rsidR="006411FF">
          <w:rPr>
            <w:rStyle w:val="Hyperlink"/>
            <w:rFonts w:eastAsia="Calibri"/>
          </w:rPr>
          <w:t>www.regulations.gov</w:t>
        </w:r>
      </w:hyperlink>
      <w:r>
        <w:rPr>
          <w:rFonts w:eastAsia="Calibri"/>
        </w:rPr>
        <w:t xml:space="preserve">.  </w:t>
      </w:r>
    </w:p>
    <w:p w:rsidR="00357C8A" w:rsidRPr="00AC1916" w:rsidP="0022425B" w14:paraId="45349930" w14:textId="3606DAE6">
      <w:pPr>
        <w:spacing w:after="200"/>
        <w:rPr>
          <w:rFonts w:eastAsia="Calibri"/>
          <w:color w:val="000000" w:themeColor="text1"/>
        </w:rPr>
      </w:pPr>
      <w:r w:rsidRPr="00567848">
        <w:rPr>
          <w:rFonts w:eastAsia="Calibri"/>
        </w:rPr>
        <w:t xml:space="preserve">Section 100.1 does not prescribe the use of automated, electronic, mechanical, or other technological techniques of other forms of information technology as necessary for use by the </w:t>
      </w:r>
      <w:r w:rsidR="00131C24">
        <w:rPr>
          <w:rFonts w:eastAsia="Calibri"/>
        </w:rPr>
        <w:t>S</w:t>
      </w:r>
      <w:r w:rsidRPr="00567848">
        <w:rPr>
          <w:rFonts w:eastAsia="Calibri"/>
        </w:rPr>
        <w:t xml:space="preserve">tates.  States are free to use whatever form of information technology may best assist them in the development of their petition.  We estimate that </w:t>
      </w:r>
      <w:r w:rsidR="00352073">
        <w:rPr>
          <w:rFonts w:eastAsia="Calibri"/>
        </w:rPr>
        <w:t>one-hundred</w:t>
      </w:r>
      <w:r w:rsidR="00DF43F8">
        <w:rPr>
          <w:rFonts w:eastAsia="Calibri"/>
        </w:rPr>
        <w:t xml:space="preserve"> </w:t>
      </w:r>
      <w:r w:rsidR="00352073">
        <w:rPr>
          <w:rFonts w:eastAsia="Calibri"/>
        </w:rPr>
        <w:t>p</w:t>
      </w:r>
      <w:r w:rsidRPr="00567848">
        <w:rPr>
          <w:rFonts w:eastAsia="Calibri"/>
        </w:rPr>
        <w:t>ercent (</w:t>
      </w:r>
      <w:r w:rsidR="00352073">
        <w:rPr>
          <w:rFonts w:eastAsia="Calibri"/>
        </w:rPr>
        <w:t>100</w:t>
      </w:r>
      <w:r w:rsidRPr="00567848">
        <w:rPr>
          <w:rFonts w:eastAsia="Calibri"/>
        </w:rPr>
        <w:t>%) of the petitions seeking exemption from Federal preemption of state food labeling and standard</w:t>
      </w:r>
      <w:r w:rsidR="009E3653">
        <w:rPr>
          <w:rFonts w:eastAsia="Calibri"/>
        </w:rPr>
        <w:t>-</w:t>
      </w:r>
      <w:r w:rsidRPr="00567848">
        <w:rPr>
          <w:rFonts w:eastAsia="Calibri"/>
        </w:rPr>
        <w:t>of</w:t>
      </w:r>
      <w:r w:rsidR="009E3653">
        <w:rPr>
          <w:rFonts w:eastAsia="Calibri"/>
        </w:rPr>
        <w:t>-</w:t>
      </w:r>
      <w:r w:rsidRPr="00567848">
        <w:rPr>
          <w:rFonts w:eastAsia="Calibri"/>
        </w:rPr>
        <w:t>identity requirements will be submitted electronically in the next three years.</w:t>
      </w:r>
    </w:p>
    <w:p w:rsidR="00357C8A" w:rsidRPr="00357C8A" w:rsidP="006705EA" w14:paraId="0DE5B27D"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AC1916" w:rsidP="0053380B" w14:paraId="6B43530C" w14:textId="13407582">
      <w:pPr>
        <w:spacing w:after="200"/>
        <w:rPr>
          <w:rFonts w:eastAsia="Calibri"/>
          <w:color w:val="000000" w:themeColor="text1"/>
        </w:rPr>
      </w:pPr>
      <w:r w:rsidRPr="00567848">
        <w:t>We are unaware of duplicative information collection.</w:t>
      </w:r>
    </w:p>
    <w:p w:rsidR="00357C8A" w:rsidRPr="00357C8A" w:rsidP="006705EA" w14:paraId="10D5F643"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0CFBDCE0" w14:textId="6D1A2737">
      <w:pPr>
        <w:spacing w:after="200"/>
        <w:rPr>
          <w:rFonts w:eastAsia="Calibri"/>
        </w:rPr>
      </w:pPr>
      <w:r w:rsidRPr="00567848">
        <w:rPr>
          <w:rFonts w:eastAsia="Calibri"/>
        </w:rPr>
        <w:t xml:space="preserve">The provisions of this regulation are specific to </w:t>
      </w:r>
      <w:r w:rsidR="00511A47">
        <w:rPr>
          <w:rFonts w:eastAsia="Calibri"/>
        </w:rPr>
        <w:t>S</w:t>
      </w:r>
      <w:r w:rsidRPr="00567848">
        <w:rPr>
          <w:rFonts w:eastAsia="Calibri"/>
        </w:rPr>
        <w:t>tate and local governments and are not applicable to small businesses.  No small businesses will be involved in this information collection.</w:t>
      </w:r>
    </w:p>
    <w:p w:rsidR="00357C8A" w:rsidRPr="00357C8A" w:rsidP="006705EA" w14:paraId="35552EC1"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710711" w:rsidRPr="00710711" w:rsidP="00710711" w14:paraId="39128733" w14:textId="77777777">
      <w:pPr>
        <w:rPr>
          <w:rFonts w:eastAsia="Calibri"/>
        </w:rPr>
      </w:pPr>
      <w:r w:rsidRPr="00710711">
        <w:rPr>
          <w:rFonts w:eastAsia="Calibri"/>
        </w:rPr>
        <w:t>The information collection schedule is consistent with statutory and regulatory requirements.</w:t>
      </w:r>
    </w:p>
    <w:p w:rsidR="00357C8A" w:rsidRPr="00B70F42" w:rsidP="00193077" w14:paraId="3FBB451A" w14:textId="29680487">
      <w:pPr>
        <w:rPr>
          <w:rFonts w:eastAsia="Calibri"/>
          <w:color w:val="000000" w:themeColor="text1"/>
        </w:rPr>
      </w:pPr>
    </w:p>
    <w:p w:rsidR="00357C8A" w:rsidRPr="00357C8A" w:rsidP="006705EA" w14:paraId="0E56BA2F"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B70F42" w:rsidP="0022425B" w14:paraId="30315858" w14:textId="5F0F5CCD">
      <w:pPr>
        <w:spacing w:after="200"/>
        <w:rPr>
          <w:rFonts w:eastAsia="Calibri"/>
          <w:color w:val="000000" w:themeColor="text1"/>
        </w:rPr>
      </w:pPr>
      <w:r w:rsidRPr="00B70F42">
        <w:rPr>
          <w:rFonts w:eastAsia="Calibri"/>
          <w:color w:val="000000" w:themeColor="text1"/>
        </w:rPr>
        <w:t xml:space="preserve">There are no </w:t>
      </w:r>
      <w:r w:rsidRPr="00B70F42">
        <w:rPr>
          <w:rFonts w:eastAsia="Calibri"/>
          <w:color w:val="000000" w:themeColor="text1"/>
        </w:rPr>
        <w:t>special circumstances</w:t>
      </w:r>
      <w:r w:rsidRPr="00B70F42">
        <w:rPr>
          <w:rFonts w:eastAsia="Calibri"/>
          <w:color w:val="000000" w:themeColor="text1"/>
        </w:rPr>
        <w:t xml:space="preserve"> associated with this collection of information.</w:t>
      </w:r>
    </w:p>
    <w:p w:rsidR="00357C8A" w:rsidRPr="00357C8A" w:rsidP="006705EA" w14:paraId="7016F571"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AC1916" w:rsidP="00357C8A" w14:paraId="16D2ABB4" w14:textId="783D997A">
      <w:pPr>
        <w:spacing w:after="200"/>
        <w:rPr>
          <w:rFonts w:eastAsia="Calibri"/>
          <w:color w:val="000000" w:themeColor="text1"/>
        </w:rPr>
      </w:pPr>
      <w:r w:rsidRPr="00567848">
        <w:rPr>
          <w:rFonts w:eastAsia="Calibri"/>
        </w:rPr>
        <w:t xml:space="preserve">In accordance with 5 CFR 1320.8(d), we published a 60-day notice for public comment in the </w:t>
      </w:r>
      <w:r w:rsidRPr="00193077">
        <w:rPr>
          <w:rFonts w:eastAsia="Calibri"/>
          <w:i/>
          <w:iCs/>
        </w:rPr>
        <w:t>Federal Register</w:t>
      </w:r>
      <w:r w:rsidRPr="00567848">
        <w:rPr>
          <w:rFonts w:eastAsia="Calibri"/>
        </w:rPr>
        <w:t xml:space="preserve"> of </w:t>
      </w:r>
      <w:r>
        <w:rPr>
          <w:rFonts w:eastAsia="Calibri"/>
        </w:rPr>
        <w:t>July</w:t>
      </w:r>
      <w:r w:rsidRPr="00567848">
        <w:rPr>
          <w:rFonts w:eastAsia="Calibri"/>
        </w:rPr>
        <w:t xml:space="preserve"> </w:t>
      </w:r>
      <w:r>
        <w:rPr>
          <w:rFonts w:eastAsia="Calibri"/>
        </w:rPr>
        <w:t>31</w:t>
      </w:r>
      <w:r w:rsidRPr="00567848">
        <w:rPr>
          <w:rFonts w:eastAsia="Calibri"/>
        </w:rPr>
        <w:t>, 202</w:t>
      </w:r>
      <w:r>
        <w:rPr>
          <w:rFonts w:eastAsia="Calibri"/>
        </w:rPr>
        <w:t>3</w:t>
      </w:r>
      <w:r w:rsidRPr="00567848">
        <w:rPr>
          <w:rFonts w:eastAsia="Calibri"/>
        </w:rPr>
        <w:t xml:space="preserve"> (8</w:t>
      </w:r>
      <w:r>
        <w:rPr>
          <w:rFonts w:eastAsia="Calibri"/>
        </w:rPr>
        <w:t>8</w:t>
      </w:r>
      <w:r w:rsidRPr="00567848">
        <w:rPr>
          <w:rFonts w:eastAsia="Calibri"/>
        </w:rPr>
        <w:t xml:space="preserve"> FR </w:t>
      </w:r>
      <w:r>
        <w:rPr>
          <w:rFonts w:eastAsia="Calibri"/>
        </w:rPr>
        <w:t>4946</w:t>
      </w:r>
      <w:r w:rsidR="004614E7">
        <w:rPr>
          <w:rFonts w:eastAsia="Calibri"/>
        </w:rPr>
        <w:t>9</w:t>
      </w:r>
      <w:r w:rsidRPr="00567848">
        <w:rPr>
          <w:rFonts w:eastAsia="Calibri"/>
        </w:rPr>
        <w:t xml:space="preserve">).  </w:t>
      </w:r>
      <w:bookmarkStart w:id="1" w:name="_Hlk149126725"/>
      <w:r w:rsidR="00996C40">
        <w:rPr>
          <w:rFonts w:eastAsia="Calibri"/>
        </w:rPr>
        <w:t>One</w:t>
      </w:r>
      <w:r w:rsidRPr="00996C40" w:rsidR="00996C40">
        <w:rPr>
          <w:rFonts w:eastAsia="Calibri"/>
        </w:rPr>
        <w:t xml:space="preserve"> comment w</w:t>
      </w:r>
      <w:r w:rsidR="005560FA">
        <w:rPr>
          <w:rFonts w:eastAsia="Calibri"/>
        </w:rPr>
        <w:t>as received, which was</w:t>
      </w:r>
      <w:r w:rsidRPr="00996C40" w:rsidR="00996C40">
        <w:rPr>
          <w:rFonts w:eastAsia="Calibri"/>
        </w:rPr>
        <w:t xml:space="preserve"> non-responsive to the four PRA topics, </w:t>
      </w:r>
      <w:bookmarkEnd w:id="1"/>
      <w:r w:rsidRPr="00996C40" w:rsidR="00996C40">
        <w:rPr>
          <w:rFonts w:eastAsia="Calibri"/>
        </w:rPr>
        <w:t>so we will not address them in this document</w:t>
      </w:r>
      <w:r w:rsidRPr="00567848">
        <w:rPr>
          <w:rFonts w:eastAsia="Calibri"/>
        </w:rPr>
        <w:t>.</w:t>
      </w:r>
    </w:p>
    <w:p w:rsidR="00357C8A" w:rsidRPr="00357C8A" w:rsidP="006705EA" w14:paraId="2B11D648"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AC1916" w:rsidP="00357C8A" w14:paraId="1B2E02FC" w14:textId="0C21A00A">
      <w:pPr>
        <w:spacing w:after="200"/>
        <w:rPr>
          <w:rFonts w:eastAsia="Calibri"/>
          <w:color w:val="000000" w:themeColor="text1"/>
        </w:rPr>
      </w:pPr>
      <w:r w:rsidRPr="00567848">
        <w:rPr>
          <w:rFonts w:eastAsia="Calibri"/>
        </w:rPr>
        <w:t>There are no incentives, payments, or gifts associated with this information collection.</w:t>
      </w:r>
    </w:p>
    <w:p w:rsidR="00357C8A" w:rsidRPr="00357C8A" w:rsidP="006705EA" w14:paraId="4F35331F"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267399" w:rsidP="00267399" w14:paraId="0F4DFEA8" w14:textId="322318FB">
      <w:pPr>
        <w:rPr>
          <w:rFonts w:eastAsia="Calibri"/>
        </w:rPr>
      </w:pPr>
      <w:r w:rsidRPr="003D1CF5">
        <w:rPr>
          <w:rFonts w:eastAsia="Calibri"/>
        </w:rPr>
        <w:t>Data will be kept private to the extent allowed by law</w:t>
      </w:r>
      <w:r w:rsidRPr="003D1CF5">
        <w:rPr>
          <w:rFonts w:eastAsia="Calibri"/>
        </w:rPr>
        <w:t xml:space="preserve">. </w:t>
      </w:r>
      <w:r w:rsidR="005C7FEE">
        <w:rPr>
          <w:rFonts w:eastAsia="Calibri"/>
        </w:rPr>
        <w:t xml:space="preserve"> </w:t>
      </w:r>
      <w:r w:rsidRPr="00267399">
        <w:rPr>
          <w:rFonts w:eastAsia="Calibri"/>
        </w:rPr>
        <w:t xml:space="preserve">In preparing this supporting statement, we consulted </w:t>
      </w:r>
      <w:r w:rsidR="00BD134C">
        <w:rPr>
          <w:rFonts w:eastAsia="Calibri"/>
        </w:rPr>
        <w:t>the FDA</w:t>
      </w:r>
      <w:r w:rsidRPr="00267399">
        <w:rPr>
          <w:rFonts w:eastAsia="Calibri"/>
        </w:rPr>
        <w:t xml:space="preserve"> Privacy Office to ensure appropriate identification and handling of information collected.</w:t>
      </w:r>
    </w:p>
    <w:p w:rsidR="003D1CF5" w:rsidP="00267399" w14:paraId="56A34B0B" w14:textId="5182CA13">
      <w:pPr>
        <w:rPr>
          <w:rFonts w:eastAsia="Calibri"/>
        </w:rPr>
      </w:pPr>
    </w:p>
    <w:p w:rsidR="003D1CF5" w:rsidRPr="003D1CF5" w:rsidP="003D1CF5" w14:paraId="53EB2432" w14:textId="4EEAFD16">
      <w:pPr>
        <w:ind w:firstLine="720"/>
        <w:rPr>
          <w:rFonts w:eastAsia="Calibri"/>
          <w:u w:val="single"/>
        </w:rPr>
      </w:pPr>
      <w:r w:rsidRPr="003D1CF5">
        <w:rPr>
          <w:rFonts w:eastAsia="Calibri"/>
          <w:i/>
          <w:u w:val="single"/>
        </w:rPr>
        <w:t>Privacy Act</w:t>
      </w:r>
    </w:p>
    <w:p w:rsidR="003D1CF5" w:rsidRPr="00267399" w:rsidP="00267399" w14:paraId="218F1604" w14:textId="7ED866C1">
      <w:pPr>
        <w:rPr>
          <w:rFonts w:eastAsia="Calibri"/>
        </w:rPr>
      </w:pPr>
    </w:p>
    <w:p w:rsidR="00267399" w:rsidP="00267399" w14:paraId="31248391" w14:textId="3A4ABBD8">
      <w:pPr>
        <w:rPr>
          <w:rFonts w:eastAsia="Calibri"/>
        </w:rPr>
      </w:pPr>
      <w:r w:rsidRPr="00267399">
        <w:rPr>
          <w:rFonts w:eastAsia="Calibri"/>
        </w:rPr>
        <w:t xml:space="preserve">This ICR collects personally identifiable information (PII).  PII is collected in the context of the subject individuals’ professional capacity and the FDA-related work they perform for their employer (e.g., point of contact at a regulated entity).  The PII collected is name, address, and phone number. </w:t>
      </w:r>
      <w:r w:rsidR="004C27D1">
        <w:rPr>
          <w:rFonts w:eastAsia="Calibri"/>
        </w:rPr>
        <w:t xml:space="preserve"> </w:t>
      </w:r>
      <w:r w:rsidRPr="00267399">
        <w:rPr>
          <w:rFonts w:eastAsia="Calibri"/>
        </w:rPr>
        <w:t>FDA determined that although PII is collected, the collection is not subject to the Privacy Act of 1974</w:t>
      </w:r>
      <w:r w:rsidR="00173AA8">
        <w:rPr>
          <w:rFonts w:eastAsia="Calibri"/>
        </w:rPr>
        <w:t>,</w:t>
      </w:r>
      <w:r w:rsidRPr="00267399">
        <w:rPr>
          <w:rFonts w:eastAsia="Calibri"/>
        </w:rPr>
        <w:t xml:space="preserve"> and the particular notice and other requirements of the </w:t>
      </w:r>
      <w:r w:rsidR="00C21C02">
        <w:rPr>
          <w:rFonts w:eastAsia="Calibri"/>
        </w:rPr>
        <w:t xml:space="preserve">Privacy </w:t>
      </w:r>
      <w:r w:rsidRPr="00267399">
        <w:rPr>
          <w:rFonts w:eastAsia="Calibri"/>
        </w:rPr>
        <w:t xml:space="preserve">Act </w:t>
      </w:r>
      <w:r w:rsidR="00C21C02">
        <w:rPr>
          <w:rFonts w:eastAsia="Calibri"/>
        </w:rPr>
        <w:t xml:space="preserve">of 1974 </w:t>
      </w:r>
      <w:r w:rsidRPr="00267399">
        <w:rPr>
          <w:rFonts w:eastAsia="Calibri"/>
        </w:rPr>
        <w:t xml:space="preserve">do not apply. </w:t>
      </w:r>
      <w:r w:rsidR="00173AA8">
        <w:rPr>
          <w:rFonts w:eastAsia="Calibri"/>
        </w:rPr>
        <w:t xml:space="preserve"> </w:t>
      </w:r>
      <w:r w:rsidRPr="00267399">
        <w:rPr>
          <w:rFonts w:eastAsia="Calibri"/>
        </w:rPr>
        <w:t xml:space="preserve">Specifically, FDA does not use name or any other personal identifier to retrieve records from the information collected. </w:t>
      </w:r>
      <w:r w:rsidR="00173AA8">
        <w:rPr>
          <w:rFonts w:eastAsia="Calibri"/>
        </w:rPr>
        <w:t xml:space="preserve"> </w:t>
      </w:r>
      <w:r w:rsidRPr="00267399">
        <w:rPr>
          <w:rFonts w:eastAsia="Calibri"/>
        </w:rPr>
        <w:t>Through appropriate webpage design, FDA limited submission fields and minimized the PII collected to protect the privacy of the individuals.</w:t>
      </w:r>
    </w:p>
    <w:p w:rsidR="00AB00A3" w:rsidP="00267399" w14:paraId="2FDA0000" w14:textId="43CB9173">
      <w:pPr>
        <w:rPr>
          <w:rFonts w:eastAsia="Calibri"/>
        </w:rPr>
      </w:pPr>
    </w:p>
    <w:p w:rsidR="00AB00A3" w:rsidRPr="005F1E7E" w:rsidP="007B4346" w14:paraId="7397B5F3" w14:textId="67253E07">
      <w:pPr>
        <w:ind w:firstLine="720"/>
        <w:rPr>
          <w:rFonts w:eastAsia="Calibri"/>
          <w:i/>
          <w:iCs/>
          <w:u w:val="single"/>
        </w:rPr>
      </w:pPr>
      <w:r w:rsidRPr="005F1E7E">
        <w:rPr>
          <w:rFonts w:eastAsia="Calibri"/>
          <w:i/>
          <w:iCs/>
          <w:u w:val="single"/>
        </w:rPr>
        <w:t>Freedom of Information Act</w:t>
      </w:r>
    </w:p>
    <w:p w:rsidR="00267399" w:rsidRPr="00267399" w:rsidP="00267399" w14:paraId="60D80C45" w14:textId="77777777">
      <w:pPr>
        <w:rPr>
          <w:rFonts w:eastAsia="Calibri"/>
        </w:rPr>
      </w:pPr>
    </w:p>
    <w:p w:rsidR="00567848" w:rsidP="00567848" w14:paraId="48C62B9B" w14:textId="4B73FF45">
      <w:pPr>
        <w:rPr>
          <w:rFonts w:eastAsia="Calibri"/>
        </w:rPr>
      </w:pPr>
      <w:r w:rsidRPr="00267399">
        <w:rPr>
          <w:rFonts w:eastAsia="Calibri"/>
        </w:rPr>
        <w:t xml:space="preserve">Under the Freedom of Information Act (FOIA) (5 U.S.C. 552), the public has broad access to government documents. </w:t>
      </w:r>
      <w:r w:rsidR="00EC2ADE">
        <w:rPr>
          <w:rFonts w:eastAsia="Calibri"/>
        </w:rPr>
        <w:t xml:space="preserve"> </w:t>
      </w:r>
      <w:r w:rsidRPr="00267399">
        <w:rPr>
          <w:rFonts w:eastAsia="Calibri"/>
        </w:rPr>
        <w:t>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w:t>
      </w:r>
      <w:r w:rsidR="005A1205">
        <w:rPr>
          <w:rFonts w:eastAsia="Calibri"/>
        </w:rPr>
        <w:t>n.</w:t>
      </w:r>
    </w:p>
    <w:p w:rsidR="00BD02AD" w:rsidP="00567848" w14:paraId="3C14D555" w14:textId="62BCB91D">
      <w:pPr>
        <w:rPr>
          <w:rFonts w:eastAsia="Calibri"/>
        </w:rPr>
      </w:pPr>
    </w:p>
    <w:p w:rsidR="00BD02AD" w:rsidRPr="0054583A" w:rsidP="00567848" w14:paraId="7D166C64" w14:textId="77777777">
      <w:pPr>
        <w:rPr>
          <w:rFonts w:eastAsia="Calibri"/>
        </w:rPr>
      </w:pPr>
    </w:p>
    <w:p w:rsidR="001075D3" w:rsidRPr="001075D3" w:rsidP="001075D3" w14:paraId="1ED24CEE" w14:textId="77777777">
      <w:pPr>
        <w:ind w:left="720"/>
      </w:pPr>
    </w:p>
    <w:p w:rsidR="00357C8A" w:rsidRPr="00357C8A" w:rsidP="006705EA" w14:paraId="04DE1105" w14:textId="77777777">
      <w:pPr>
        <w:numPr>
          <w:ilvl w:val="0"/>
          <w:numId w:val="6"/>
        </w:numPr>
        <w:spacing w:after="200" w:line="276" w:lineRule="auto"/>
        <w:rPr>
          <w:rFonts w:eastAsia="Calibri"/>
        </w:rPr>
      </w:pPr>
      <w:r w:rsidRPr="00357C8A">
        <w:rPr>
          <w:rFonts w:eastAsia="Calibri"/>
          <w:u w:val="single"/>
        </w:rPr>
        <w:t>Justification for Sensitive Questions</w:t>
      </w:r>
    </w:p>
    <w:p w:rsidR="00567848" w:rsidP="00567848" w14:paraId="06BBD4B2" w14:textId="0079263F">
      <w:pPr>
        <w:rPr>
          <w:rFonts w:eastAsia="Calibri"/>
        </w:rPr>
      </w:pPr>
      <w:r w:rsidRPr="0054583A">
        <w:rPr>
          <w:rFonts w:eastAsia="Calibri"/>
        </w:rPr>
        <w:t>Th</w:t>
      </w:r>
      <w:r w:rsidR="001C7035">
        <w:rPr>
          <w:rFonts w:eastAsia="Calibri"/>
        </w:rPr>
        <w:t xml:space="preserve">e </w:t>
      </w:r>
      <w:r w:rsidRPr="0054583A">
        <w:rPr>
          <w:rFonts w:eastAsia="Calibri"/>
        </w:rPr>
        <w:t xml:space="preserve">collection </w:t>
      </w:r>
      <w:r w:rsidR="001C7035">
        <w:rPr>
          <w:rFonts w:eastAsia="Calibri"/>
        </w:rPr>
        <w:t xml:space="preserve">of information </w:t>
      </w:r>
      <w:r w:rsidRPr="0054583A">
        <w:rPr>
          <w:rFonts w:eastAsia="Calibri"/>
        </w:rPr>
        <w:t xml:space="preserve">does not involve </w:t>
      </w:r>
      <w:r w:rsidR="001C7035">
        <w:rPr>
          <w:rFonts w:eastAsia="Calibri"/>
        </w:rPr>
        <w:t>sensitive</w:t>
      </w:r>
      <w:r w:rsidRPr="0054583A">
        <w:rPr>
          <w:rFonts w:eastAsia="Calibri"/>
        </w:rPr>
        <w:t xml:space="preserve"> questions.</w:t>
      </w:r>
    </w:p>
    <w:p w:rsidR="00357C8A" w:rsidRPr="00AC1916" w:rsidP="0022425B" w14:paraId="606B60A2" w14:textId="19891C98">
      <w:pPr>
        <w:spacing w:after="200"/>
        <w:rPr>
          <w:rFonts w:eastAsia="Calibri"/>
          <w:color w:val="000000" w:themeColor="text1"/>
        </w:rPr>
      </w:pPr>
    </w:p>
    <w:p w:rsidR="00357C8A" w:rsidRPr="00357C8A" w:rsidP="006705EA" w14:paraId="12671BBE"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193077" w14:paraId="18A0094A" w14:textId="77777777">
      <w:pPr>
        <w:ind w:left="360"/>
        <w:rPr>
          <w:rFonts w:eastAsia="Calibri"/>
        </w:rPr>
      </w:pPr>
      <w:r w:rsidRPr="005C71CA">
        <w:rPr>
          <w:rFonts w:eastAsia="Calibri"/>
        </w:rPr>
        <w:t>12a.  Annualized Hour Burden Estimate</w:t>
      </w:r>
    </w:p>
    <w:p w:rsidR="00567848" w:rsidRPr="0054583A" w:rsidP="00567848" w14:paraId="46C006DA" w14:textId="77777777"/>
    <w:tbl>
      <w:tblPr>
        <w:tblW w:w="521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8"/>
        <w:gridCol w:w="1239"/>
        <w:gridCol w:w="2039"/>
        <w:gridCol w:w="1318"/>
        <w:gridCol w:w="1587"/>
        <w:gridCol w:w="867"/>
      </w:tblGrid>
      <w:tr w14:paraId="080C6BFF" w14:textId="77777777" w:rsidTr="00193077">
        <w:tblPrEx>
          <w:tblW w:w="521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trPr>
        <w:tc>
          <w:tcPr>
            <w:tcW w:w="5000" w:type="pct"/>
            <w:gridSpan w:val="6"/>
            <w:shd w:val="clear" w:color="auto" w:fill="auto"/>
          </w:tcPr>
          <w:p w:rsidR="00567848" w:rsidRPr="00193077" w:rsidP="00D57FDE" w14:paraId="4FD3B67B" w14:textId="42BCE2DA">
            <w:pPr>
              <w:jc w:val="center"/>
              <w:rPr>
                <w:sz w:val="20"/>
                <w:szCs w:val="20"/>
              </w:rPr>
            </w:pPr>
            <w:r w:rsidRPr="00193077">
              <w:rPr>
                <w:sz w:val="20"/>
                <w:szCs w:val="20"/>
              </w:rPr>
              <w:t xml:space="preserve">Table </w:t>
            </w:r>
            <w:r w:rsidRPr="00193077" w:rsidR="00B70F42">
              <w:rPr>
                <w:sz w:val="20"/>
                <w:szCs w:val="20"/>
              </w:rPr>
              <w:t>1.--</w:t>
            </w:r>
            <w:r w:rsidRPr="00193077">
              <w:rPr>
                <w:sz w:val="20"/>
                <w:szCs w:val="20"/>
              </w:rPr>
              <w:t>Estimated Annual Reporting Burden</w:t>
            </w:r>
          </w:p>
        </w:tc>
      </w:tr>
      <w:tr w14:paraId="77103FC8" w14:textId="77777777" w:rsidTr="00193077">
        <w:tblPrEx>
          <w:tblW w:w="5213" w:type="pct"/>
          <w:tblInd w:w="355" w:type="dxa"/>
          <w:tblLook w:val="01E0"/>
        </w:tblPrEx>
        <w:trPr>
          <w:cantSplit/>
          <w:trHeight w:val="20"/>
          <w:tblHeader/>
        </w:trPr>
        <w:tc>
          <w:tcPr>
            <w:tcW w:w="1455" w:type="pct"/>
            <w:shd w:val="clear" w:color="auto" w:fill="auto"/>
          </w:tcPr>
          <w:p w:rsidR="00567848" w:rsidRPr="00193077" w:rsidP="00193077" w14:paraId="5F97CAE9" w14:textId="3490ECFE">
            <w:pPr>
              <w:jc w:val="center"/>
              <w:rPr>
                <w:sz w:val="20"/>
                <w:szCs w:val="20"/>
              </w:rPr>
            </w:pPr>
            <w:r w:rsidRPr="00193077">
              <w:rPr>
                <w:sz w:val="20"/>
                <w:szCs w:val="20"/>
              </w:rPr>
              <w:t>21 CFR</w:t>
            </w:r>
            <w:r w:rsidR="00410BBC">
              <w:rPr>
                <w:sz w:val="20"/>
                <w:szCs w:val="20"/>
              </w:rPr>
              <w:t xml:space="preserve"> </w:t>
            </w:r>
            <w:r w:rsidR="005F1E7E">
              <w:rPr>
                <w:sz w:val="20"/>
                <w:szCs w:val="20"/>
              </w:rPr>
              <w:t>S</w:t>
            </w:r>
            <w:r w:rsidRPr="00193077">
              <w:rPr>
                <w:sz w:val="20"/>
                <w:szCs w:val="20"/>
              </w:rPr>
              <w:t>ection; Activity</w:t>
            </w:r>
          </w:p>
        </w:tc>
        <w:tc>
          <w:tcPr>
            <w:tcW w:w="545" w:type="pct"/>
            <w:shd w:val="clear" w:color="auto" w:fill="auto"/>
          </w:tcPr>
          <w:p w:rsidR="00567848" w:rsidRPr="00193077" w:rsidP="00193077" w14:paraId="5D502C1A" w14:textId="77777777">
            <w:pPr>
              <w:jc w:val="center"/>
              <w:rPr>
                <w:sz w:val="20"/>
                <w:szCs w:val="20"/>
              </w:rPr>
            </w:pPr>
            <w:r w:rsidRPr="00193077">
              <w:rPr>
                <w:sz w:val="20"/>
                <w:szCs w:val="20"/>
              </w:rPr>
              <w:t>Number of Respondents</w:t>
            </w:r>
          </w:p>
        </w:tc>
        <w:tc>
          <w:tcPr>
            <w:tcW w:w="1046" w:type="pct"/>
            <w:shd w:val="clear" w:color="auto" w:fill="auto"/>
          </w:tcPr>
          <w:p w:rsidR="00567848" w:rsidRPr="00193077" w:rsidP="00193077" w14:paraId="67B8CB04" w14:textId="77777777">
            <w:pPr>
              <w:jc w:val="center"/>
              <w:rPr>
                <w:sz w:val="20"/>
                <w:szCs w:val="20"/>
              </w:rPr>
            </w:pPr>
            <w:r w:rsidRPr="00193077">
              <w:rPr>
                <w:sz w:val="20"/>
                <w:szCs w:val="20"/>
              </w:rPr>
              <w:t>Number of Responses per Respondent</w:t>
            </w:r>
          </w:p>
        </w:tc>
        <w:tc>
          <w:tcPr>
            <w:tcW w:w="682" w:type="pct"/>
            <w:shd w:val="clear" w:color="auto" w:fill="auto"/>
          </w:tcPr>
          <w:p w:rsidR="00567848" w:rsidRPr="00193077" w:rsidP="00193077" w14:paraId="37515609" w14:textId="77777777">
            <w:pPr>
              <w:jc w:val="center"/>
              <w:rPr>
                <w:sz w:val="20"/>
                <w:szCs w:val="20"/>
              </w:rPr>
            </w:pPr>
            <w:r w:rsidRPr="00193077">
              <w:rPr>
                <w:sz w:val="20"/>
                <w:szCs w:val="20"/>
              </w:rPr>
              <w:t>Total Annual Responses</w:t>
            </w:r>
          </w:p>
        </w:tc>
        <w:tc>
          <w:tcPr>
            <w:tcW w:w="818" w:type="pct"/>
            <w:shd w:val="clear" w:color="auto" w:fill="auto"/>
          </w:tcPr>
          <w:p w:rsidR="00567848" w:rsidRPr="00193077" w:rsidP="00193077" w14:paraId="465E5B3B" w14:textId="77777777">
            <w:pPr>
              <w:jc w:val="center"/>
              <w:rPr>
                <w:sz w:val="20"/>
                <w:szCs w:val="20"/>
              </w:rPr>
            </w:pPr>
            <w:r w:rsidRPr="00193077">
              <w:rPr>
                <w:sz w:val="20"/>
                <w:szCs w:val="20"/>
              </w:rPr>
              <w:t>Average Burden per Response</w:t>
            </w:r>
          </w:p>
        </w:tc>
        <w:tc>
          <w:tcPr>
            <w:tcW w:w="454" w:type="pct"/>
            <w:shd w:val="clear" w:color="auto" w:fill="auto"/>
          </w:tcPr>
          <w:p w:rsidR="00567848" w:rsidRPr="00193077" w:rsidP="00193077" w14:paraId="2CDEB69C" w14:textId="77777777">
            <w:pPr>
              <w:jc w:val="center"/>
              <w:rPr>
                <w:sz w:val="20"/>
                <w:szCs w:val="20"/>
              </w:rPr>
            </w:pPr>
            <w:r w:rsidRPr="00193077">
              <w:rPr>
                <w:sz w:val="20"/>
                <w:szCs w:val="20"/>
              </w:rPr>
              <w:t>Total Hours</w:t>
            </w:r>
          </w:p>
        </w:tc>
      </w:tr>
      <w:tr w14:paraId="23E2F488" w14:textId="77777777" w:rsidTr="00193077">
        <w:tblPrEx>
          <w:tblW w:w="5213" w:type="pct"/>
          <w:tblInd w:w="355" w:type="dxa"/>
          <w:tblLook w:val="01E0"/>
        </w:tblPrEx>
        <w:trPr>
          <w:cantSplit/>
          <w:trHeight w:val="20"/>
        </w:trPr>
        <w:tc>
          <w:tcPr>
            <w:tcW w:w="1455" w:type="pct"/>
            <w:shd w:val="clear" w:color="auto" w:fill="auto"/>
          </w:tcPr>
          <w:p w:rsidR="00567848" w:rsidRPr="00193077" w:rsidP="00D57FDE" w14:paraId="456BD5F0" w14:textId="529CB642">
            <w:pPr>
              <w:rPr>
                <w:sz w:val="20"/>
                <w:szCs w:val="20"/>
              </w:rPr>
            </w:pPr>
            <w:r w:rsidRPr="00193077">
              <w:rPr>
                <w:sz w:val="20"/>
                <w:szCs w:val="20"/>
              </w:rPr>
              <w:t>100.1; petition</w:t>
            </w:r>
            <w:r w:rsidR="00414C8C">
              <w:rPr>
                <w:sz w:val="20"/>
                <w:szCs w:val="20"/>
              </w:rPr>
              <w:t xml:space="preserve"> for</w:t>
            </w:r>
            <w:r w:rsidRPr="00193077">
              <w:rPr>
                <w:sz w:val="20"/>
                <w:szCs w:val="20"/>
              </w:rPr>
              <w:t xml:space="preserve"> exemption from preemption </w:t>
            </w:r>
          </w:p>
        </w:tc>
        <w:tc>
          <w:tcPr>
            <w:tcW w:w="545" w:type="pct"/>
            <w:shd w:val="clear" w:color="auto" w:fill="auto"/>
          </w:tcPr>
          <w:p w:rsidR="00567848" w:rsidRPr="00193077" w:rsidP="00B70F42" w14:paraId="54FB42CF" w14:textId="77777777">
            <w:pPr>
              <w:jc w:val="center"/>
              <w:rPr>
                <w:sz w:val="20"/>
                <w:szCs w:val="20"/>
              </w:rPr>
            </w:pPr>
            <w:r w:rsidRPr="00193077">
              <w:rPr>
                <w:sz w:val="20"/>
                <w:szCs w:val="20"/>
              </w:rPr>
              <w:t>1</w:t>
            </w:r>
          </w:p>
        </w:tc>
        <w:tc>
          <w:tcPr>
            <w:tcW w:w="1046" w:type="pct"/>
            <w:shd w:val="clear" w:color="auto" w:fill="auto"/>
          </w:tcPr>
          <w:p w:rsidR="00567848" w:rsidRPr="00193077" w:rsidP="00B70F42" w14:paraId="463EEB3F" w14:textId="77777777">
            <w:pPr>
              <w:jc w:val="center"/>
              <w:rPr>
                <w:sz w:val="20"/>
                <w:szCs w:val="20"/>
              </w:rPr>
            </w:pPr>
            <w:r w:rsidRPr="00193077">
              <w:rPr>
                <w:sz w:val="20"/>
                <w:szCs w:val="20"/>
              </w:rPr>
              <w:t>1</w:t>
            </w:r>
          </w:p>
        </w:tc>
        <w:tc>
          <w:tcPr>
            <w:tcW w:w="682" w:type="pct"/>
            <w:shd w:val="clear" w:color="auto" w:fill="auto"/>
          </w:tcPr>
          <w:p w:rsidR="00567848" w:rsidRPr="00193077" w:rsidP="00B70F42" w14:paraId="76D3A6E0" w14:textId="77777777">
            <w:pPr>
              <w:jc w:val="center"/>
              <w:rPr>
                <w:sz w:val="20"/>
                <w:szCs w:val="20"/>
              </w:rPr>
            </w:pPr>
            <w:r w:rsidRPr="00193077">
              <w:rPr>
                <w:sz w:val="20"/>
                <w:szCs w:val="20"/>
              </w:rPr>
              <w:t>1</w:t>
            </w:r>
          </w:p>
        </w:tc>
        <w:tc>
          <w:tcPr>
            <w:tcW w:w="818" w:type="pct"/>
            <w:shd w:val="clear" w:color="auto" w:fill="auto"/>
          </w:tcPr>
          <w:p w:rsidR="00567848" w:rsidRPr="00193077" w:rsidP="00B70F42" w14:paraId="30B5DB28" w14:textId="77777777">
            <w:pPr>
              <w:jc w:val="center"/>
              <w:rPr>
                <w:sz w:val="20"/>
                <w:szCs w:val="20"/>
              </w:rPr>
            </w:pPr>
            <w:r w:rsidRPr="00193077">
              <w:rPr>
                <w:sz w:val="20"/>
                <w:szCs w:val="20"/>
              </w:rPr>
              <w:t>40</w:t>
            </w:r>
          </w:p>
        </w:tc>
        <w:tc>
          <w:tcPr>
            <w:tcW w:w="454" w:type="pct"/>
            <w:shd w:val="clear" w:color="auto" w:fill="auto"/>
          </w:tcPr>
          <w:p w:rsidR="00567848" w:rsidRPr="00193077" w:rsidP="00B70F42" w14:paraId="4BA56A11" w14:textId="77777777">
            <w:pPr>
              <w:jc w:val="center"/>
              <w:rPr>
                <w:sz w:val="20"/>
                <w:szCs w:val="20"/>
              </w:rPr>
            </w:pPr>
            <w:r w:rsidRPr="00193077">
              <w:rPr>
                <w:sz w:val="20"/>
                <w:szCs w:val="20"/>
              </w:rPr>
              <w:t>40</w:t>
            </w:r>
          </w:p>
        </w:tc>
      </w:tr>
    </w:tbl>
    <w:p w:rsidR="00567848" w:rsidRPr="0054583A" w:rsidP="00B70F42" w14:paraId="2732BFC2" w14:textId="77777777">
      <w:pPr>
        <w:ind w:left="360"/>
      </w:pPr>
    </w:p>
    <w:p w:rsidR="007B4346" w:rsidP="00B70F42" w14:paraId="081815D3" w14:textId="04222DF3">
      <w:pPr>
        <w:ind w:left="360"/>
      </w:pPr>
      <w:r w:rsidRPr="007B4346">
        <w:t xml:space="preserve">The total burden for this information collection is </w:t>
      </w:r>
      <w:r>
        <w:t>40 hours</w:t>
      </w:r>
      <w:r w:rsidRPr="007B4346">
        <w:t>.</w:t>
      </w:r>
    </w:p>
    <w:p w:rsidR="007B4346" w:rsidP="00B70F42" w14:paraId="4F3D869D" w14:textId="77777777">
      <w:pPr>
        <w:ind w:left="360"/>
      </w:pPr>
    </w:p>
    <w:p w:rsidR="00567848" w:rsidRPr="0054583A" w:rsidP="00B70F42" w14:paraId="60F3358A" w14:textId="68E90A50">
      <w:pPr>
        <w:ind w:left="360"/>
      </w:pPr>
      <w:r w:rsidRPr="0054583A">
        <w:t xml:space="preserve">The reporting burden for § 100.1 is minimal because petitions for exemption from preemption are seldom submitted by </w:t>
      </w:r>
      <w:r w:rsidR="008F0CFC">
        <w:t>S</w:t>
      </w:r>
      <w:r w:rsidRPr="0054583A">
        <w:t xml:space="preserve">tates.  In the </w:t>
      </w:r>
      <w:r w:rsidRPr="00FA075A" w:rsidR="00FA075A">
        <w:t>next 3 years, we estimate that one or fewer petitions will be submitted annually</w:t>
      </w:r>
      <w:r w:rsidRPr="0054583A">
        <w:t xml:space="preserve">.  </w:t>
      </w:r>
    </w:p>
    <w:p w:rsidR="00567848" w:rsidRPr="0054583A" w:rsidP="00B70F42" w14:paraId="6D59D495" w14:textId="77777777">
      <w:pPr>
        <w:ind w:left="360"/>
      </w:pPr>
    </w:p>
    <w:p w:rsidR="00357C8A" w:rsidRPr="005C71CA" w:rsidP="00DC371B" w14:paraId="0CBBEE19" w14:textId="77777777">
      <w:pPr>
        <w:spacing w:after="200"/>
        <w:ind w:left="360"/>
        <w:rPr>
          <w:rFonts w:eastAsia="Calibri"/>
        </w:rPr>
      </w:pPr>
      <w:r w:rsidRPr="005C71CA">
        <w:rPr>
          <w:rFonts w:eastAsia="Calibri"/>
        </w:rPr>
        <w:t>12b.  Annualized Cost Burden Estimate</w:t>
      </w:r>
    </w:p>
    <w:p w:rsidR="00B70F42" w:rsidRPr="00B70F42" w:rsidP="00B70F42" w14:paraId="6728AEF3" w14:textId="05E82E47">
      <w:pPr>
        <w:ind w:left="360"/>
        <w:rPr>
          <w:rFonts w:eastAsia="Calibri"/>
        </w:rPr>
      </w:pPr>
      <w:r w:rsidRPr="00B70F42">
        <w:rPr>
          <w:rFonts w:eastAsia="Calibri"/>
        </w:rPr>
        <w:t>The annual hour cost burden to respondents is approximately $3,</w:t>
      </w:r>
      <w:r w:rsidR="00630240">
        <w:rPr>
          <w:rFonts w:eastAsia="Calibri"/>
        </w:rPr>
        <w:t>611</w:t>
      </w:r>
      <w:r w:rsidRPr="00B70F42">
        <w:rPr>
          <w:rFonts w:eastAsia="Calibri"/>
        </w:rPr>
        <w:t>.</w:t>
      </w:r>
      <w:r w:rsidR="00630240">
        <w:rPr>
          <w:rFonts w:eastAsia="Calibri"/>
        </w:rPr>
        <w:t>20</w:t>
      </w:r>
      <w:r w:rsidRPr="00B70F42" w:rsidR="00630240">
        <w:rPr>
          <w:rFonts w:eastAsia="Calibri"/>
        </w:rPr>
        <w:t xml:space="preserve"> </w:t>
      </w:r>
      <w:r w:rsidRPr="00B70F42">
        <w:rPr>
          <w:rFonts w:eastAsia="Calibri"/>
        </w:rPr>
        <w:t xml:space="preserve">per year.  We estimate that the average hourly wage for the employee preparing and submitting a petition for an exemption from preemption would be equivalent to a GS-12/Step-1 level in the locality pay area of Washington-Baltimore in </w:t>
      </w:r>
      <w:r w:rsidR="00A9580F">
        <w:rPr>
          <w:rFonts w:eastAsia="Calibri"/>
        </w:rPr>
        <w:t>2023</w:t>
      </w:r>
      <w:r w:rsidRPr="00B70F42">
        <w:rPr>
          <w:rFonts w:eastAsia="Calibri"/>
        </w:rPr>
        <w:t>, or $</w:t>
      </w:r>
      <w:r w:rsidR="00A9580F">
        <w:rPr>
          <w:rFonts w:eastAsia="Calibri"/>
        </w:rPr>
        <w:t>45</w:t>
      </w:r>
      <w:r w:rsidRPr="00B70F42">
        <w:rPr>
          <w:rFonts w:eastAsia="Calibri"/>
        </w:rPr>
        <w:t>.</w:t>
      </w:r>
      <w:r w:rsidR="00A9580F">
        <w:rPr>
          <w:rFonts w:eastAsia="Calibri"/>
        </w:rPr>
        <w:t>14</w:t>
      </w:r>
      <w:r w:rsidRPr="00B70F42">
        <w:rPr>
          <w:rFonts w:eastAsia="Calibri"/>
        </w:rPr>
        <w:t>/hour.  Doubling this wage to account for overhead costs, we estimate the average hourly cost to respondents to be $</w:t>
      </w:r>
      <w:r w:rsidR="00A9580F">
        <w:rPr>
          <w:rFonts w:eastAsia="Calibri"/>
        </w:rPr>
        <w:t>90</w:t>
      </w:r>
      <w:r w:rsidRPr="00B70F42">
        <w:rPr>
          <w:rFonts w:eastAsia="Calibri"/>
        </w:rPr>
        <w:t>.</w:t>
      </w:r>
      <w:r w:rsidR="00A9580F">
        <w:rPr>
          <w:rFonts w:eastAsia="Calibri"/>
        </w:rPr>
        <w:t>28</w:t>
      </w:r>
      <w:r w:rsidRPr="00B70F42">
        <w:rPr>
          <w:rFonts w:eastAsia="Calibri"/>
        </w:rPr>
        <w:t>/hour.  Thus, the overall estimated cost incurred by the respondents is $3,</w:t>
      </w:r>
      <w:r w:rsidR="00630240">
        <w:rPr>
          <w:rFonts w:eastAsia="Calibri"/>
        </w:rPr>
        <w:t>611</w:t>
      </w:r>
      <w:r w:rsidRPr="00B70F42">
        <w:rPr>
          <w:rFonts w:eastAsia="Calibri"/>
        </w:rPr>
        <w:t>.</w:t>
      </w:r>
      <w:r w:rsidR="00630240">
        <w:rPr>
          <w:rFonts w:eastAsia="Calibri"/>
        </w:rPr>
        <w:t>20</w:t>
      </w:r>
      <w:r w:rsidRPr="00B70F42" w:rsidR="00630240">
        <w:rPr>
          <w:rFonts w:eastAsia="Calibri"/>
        </w:rPr>
        <w:t xml:space="preserve"> </w:t>
      </w:r>
      <w:r w:rsidRPr="00B70F42">
        <w:rPr>
          <w:rFonts w:eastAsia="Calibri"/>
        </w:rPr>
        <w:t>(40 burden hours x $</w:t>
      </w:r>
      <w:r w:rsidR="001A18AB">
        <w:rPr>
          <w:rFonts w:eastAsia="Calibri"/>
        </w:rPr>
        <w:t>90</w:t>
      </w:r>
      <w:r w:rsidRPr="00B70F42">
        <w:rPr>
          <w:rFonts w:eastAsia="Calibri"/>
        </w:rPr>
        <w:t>.</w:t>
      </w:r>
      <w:r w:rsidR="001A18AB">
        <w:rPr>
          <w:rFonts w:eastAsia="Calibri"/>
        </w:rPr>
        <w:t>28</w:t>
      </w:r>
      <w:r w:rsidRPr="00B70F42">
        <w:rPr>
          <w:rFonts w:eastAsia="Calibri"/>
        </w:rPr>
        <w:t>/</w:t>
      </w:r>
      <w:r w:rsidRPr="00B70F42">
        <w:rPr>
          <w:rFonts w:eastAsia="Calibri"/>
        </w:rPr>
        <w:t>hr</w:t>
      </w:r>
      <w:r w:rsidRPr="00B70F42">
        <w:rPr>
          <w:rFonts w:eastAsia="Calibri"/>
        </w:rPr>
        <w:t>).</w:t>
      </w:r>
    </w:p>
    <w:p w:rsidR="00B70F42" w:rsidRPr="00B70F42" w:rsidP="00B70F42" w14:paraId="1ECC95C4" w14:textId="77777777">
      <w:pPr>
        <w:ind w:left="360"/>
        <w:rPr>
          <w:rFonts w:eastAsia="Calibri"/>
        </w:rPr>
      </w:pPr>
    </w:p>
    <w:p w:rsidR="00B70F42" w:rsidRPr="00193077" w:rsidP="00B70F42" w14:paraId="299A52DA" w14:textId="37441417">
      <w:pPr>
        <w:ind w:left="360"/>
        <w:jc w:val="center"/>
        <w:rPr>
          <w:rFonts w:eastAsia="Calibri"/>
          <w:sz w:val="20"/>
          <w:szCs w:val="20"/>
        </w:rPr>
      </w:pPr>
      <w:r w:rsidRPr="00193077">
        <w:rPr>
          <w:rFonts w:eastAsia="Calibri"/>
          <w:sz w:val="20"/>
          <w:szCs w:val="20"/>
        </w:rPr>
        <w:t>Table 2.--Estimated Annual Cost Burden</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3"/>
        <w:gridCol w:w="1957"/>
        <w:gridCol w:w="2340"/>
        <w:gridCol w:w="1800"/>
      </w:tblGrid>
      <w:tr w14:paraId="13824E2C" w14:textId="77777777" w:rsidTr="00193077">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21"/>
        </w:trPr>
        <w:tc>
          <w:tcPr>
            <w:tcW w:w="2993" w:type="dxa"/>
            <w:shd w:val="clear" w:color="auto" w:fill="auto"/>
          </w:tcPr>
          <w:p w:rsidR="00B70F42" w:rsidRPr="00193077" w:rsidP="00193077" w14:paraId="20693616" w14:textId="2E66767E">
            <w:pPr>
              <w:ind w:left="90"/>
              <w:jc w:val="center"/>
              <w:rPr>
                <w:rFonts w:eastAsia="Calibri"/>
                <w:sz w:val="20"/>
                <w:szCs w:val="20"/>
              </w:rPr>
            </w:pPr>
            <w:r>
              <w:rPr>
                <w:rFonts w:eastAsia="Calibri"/>
                <w:sz w:val="20"/>
                <w:szCs w:val="20"/>
              </w:rPr>
              <w:t>21 CFR</w:t>
            </w:r>
            <w:r w:rsidR="007B4346">
              <w:rPr>
                <w:rFonts w:eastAsia="Calibri"/>
                <w:sz w:val="20"/>
                <w:szCs w:val="20"/>
              </w:rPr>
              <w:t xml:space="preserve"> </w:t>
            </w:r>
            <w:r w:rsidR="005F1E7E">
              <w:rPr>
                <w:rFonts w:eastAsia="Calibri"/>
                <w:sz w:val="20"/>
                <w:szCs w:val="20"/>
              </w:rPr>
              <w:t>Section</w:t>
            </w:r>
            <w:r w:rsidR="00410BBC">
              <w:rPr>
                <w:rFonts w:eastAsia="Calibri"/>
                <w:sz w:val="20"/>
                <w:szCs w:val="20"/>
              </w:rPr>
              <w:t xml:space="preserve">; </w:t>
            </w:r>
            <w:r w:rsidRPr="00193077">
              <w:rPr>
                <w:rFonts w:eastAsia="Calibri"/>
                <w:sz w:val="20"/>
                <w:szCs w:val="20"/>
              </w:rPr>
              <w:t>Activity</w:t>
            </w:r>
          </w:p>
        </w:tc>
        <w:tc>
          <w:tcPr>
            <w:tcW w:w="1957" w:type="dxa"/>
            <w:shd w:val="clear" w:color="auto" w:fill="auto"/>
          </w:tcPr>
          <w:p w:rsidR="00B70F42" w:rsidRPr="00193077" w:rsidP="00B70F42" w14:paraId="02FABF88" w14:textId="77777777">
            <w:pPr>
              <w:jc w:val="center"/>
              <w:rPr>
                <w:rFonts w:eastAsia="Calibri"/>
                <w:sz w:val="20"/>
                <w:szCs w:val="20"/>
              </w:rPr>
            </w:pPr>
            <w:r w:rsidRPr="00193077">
              <w:rPr>
                <w:rFonts w:eastAsia="Calibri"/>
                <w:sz w:val="20"/>
                <w:szCs w:val="20"/>
              </w:rPr>
              <w:t xml:space="preserve">Total Burden </w:t>
            </w:r>
          </w:p>
          <w:p w:rsidR="00B70F42" w:rsidRPr="00193077" w:rsidP="00B70F42" w14:paraId="7F4CA901" w14:textId="2C3EDEEC">
            <w:pPr>
              <w:jc w:val="center"/>
              <w:rPr>
                <w:rFonts w:eastAsia="Calibri"/>
                <w:sz w:val="20"/>
                <w:szCs w:val="20"/>
              </w:rPr>
            </w:pPr>
            <w:r w:rsidRPr="00193077">
              <w:rPr>
                <w:rFonts w:eastAsia="Calibri"/>
                <w:sz w:val="20"/>
                <w:szCs w:val="20"/>
              </w:rPr>
              <w:t>Hours</w:t>
            </w:r>
          </w:p>
        </w:tc>
        <w:tc>
          <w:tcPr>
            <w:tcW w:w="2340" w:type="dxa"/>
            <w:shd w:val="clear" w:color="auto" w:fill="auto"/>
          </w:tcPr>
          <w:p w:rsidR="00B70F42" w:rsidRPr="00193077" w:rsidP="00B70F42" w14:paraId="3AFC825A" w14:textId="77777777">
            <w:pPr>
              <w:ind w:left="1"/>
              <w:jc w:val="center"/>
              <w:rPr>
                <w:rFonts w:eastAsia="Calibri"/>
                <w:sz w:val="20"/>
                <w:szCs w:val="20"/>
              </w:rPr>
            </w:pPr>
            <w:r w:rsidRPr="00193077">
              <w:rPr>
                <w:rFonts w:eastAsia="Calibri"/>
                <w:sz w:val="20"/>
                <w:szCs w:val="20"/>
              </w:rPr>
              <w:t>Hourly Wage Rate</w:t>
            </w:r>
          </w:p>
        </w:tc>
        <w:tc>
          <w:tcPr>
            <w:tcW w:w="1800" w:type="dxa"/>
            <w:shd w:val="clear" w:color="auto" w:fill="auto"/>
          </w:tcPr>
          <w:p w:rsidR="00B70F42" w:rsidRPr="00193077" w:rsidP="00B70F42" w14:paraId="04217B42" w14:textId="0AE138DC">
            <w:pPr>
              <w:ind w:left="1"/>
              <w:jc w:val="center"/>
              <w:rPr>
                <w:rFonts w:eastAsia="Calibri"/>
                <w:sz w:val="20"/>
                <w:szCs w:val="20"/>
              </w:rPr>
            </w:pPr>
            <w:r w:rsidRPr="00193077">
              <w:rPr>
                <w:rFonts w:eastAsia="Calibri"/>
                <w:sz w:val="20"/>
                <w:szCs w:val="20"/>
              </w:rPr>
              <w:t>Total Respondent Costs</w:t>
            </w:r>
          </w:p>
        </w:tc>
      </w:tr>
      <w:tr w14:paraId="10B149C3" w14:textId="77777777" w:rsidTr="00193077">
        <w:tblPrEx>
          <w:tblW w:w="0" w:type="auto"/>
          <w:tblInd w:w="355" w:type="dxa"/>
          <w:tblLook w:val="01E0"/>
        </w:tblPrEx>
        <w:tc>
          <w:tcPr>
            <w:tcW w:w="2993" w:type="dxa"/>
            <w:shd w:val="clear" w:color="auto" w:fill="auto"/>
          </w:tcPr>
          <w:p w:rsidR="00B70F42" w:rsidRPr="00193077" w:rsidP="00B70F42" w14:paraId="08FDB47F" w14:textId="19D4C63A">
            <w:pPr>
              <w:rPr>
                <w:rFonts w:eastAsia="Calibri"/>
                <w:sz w:val="20"/>
                <w:szCs w:val="20"/>
              </w:rPr>
            </w:pPr>
            <w:r>
              <w:rPr>
                <w:rFonts w:eastAsia="Calibri"/>
                <w:sz w:val="20"/>
                <w:szCs w:val="20"/>
              </w:rPr>
              <w:t xml:space="preserve">100.1; </w:t>
            </w:r>
            <w:r w:rsidRPr="00193077">
              <w:rPr>
                <w:rFonts w:eastAsia="Calibri"/>
                <w:sz w:val="20"/>
                <w:szCs w:val="20"/>
              </w:rPr>
              <w:t>Preparing and submitting a petition for an exemption from preemption</w:t>
            </w:r>
          </w:p>
        </w:tc>
        <w:tc>
          <w:tcPr>
            <w:tcW w:w="1957" w:type="dxa"/>
            <w:shd w:val="clear" w:color="auto" w:fill="auto"/>
          </w:tcPr>
          <w:p w:rsidR="00B70F42" w:rsidRPr="00193077" w:rsidP="00B70F42" w14:paraId="08021CB2" w14:textId="77777777">
            <w:pPr>
              <w:ind w:left="1"/>
              <w:jc w:val="center"/>
              <w:rPr>
                <w:rFonts w:eastAsia="Calibri"/>
                <w:sz w:val="20"/>
                <w:szCs w:val="20"/>
              </w:rPr>
            </w:pPr>
            <w:r w:rsidRPr="00193077">
              <w:rPr>
                <w:rFonts w:eastAsia="Calibri"/>
                <w:sz w:val="20"/>
                <w:szCs w:val="20"/>
              </w:rPr>
              <w:t>40</w:t>
            </w:r>
          </w:p>
        </w:tc>
        <w:tc>
          <w:tcPr>
            <w:tcW w:w="2340" w:type="dxa"/>
            <w:shd w:val="clear" w:color="auto" w:fill="auto"/>
          </w:tcPr>
          <w:p w:rsidR="00B70F42" w:rsidRPr="00193077" w:rsidP="00B70F42" w14:paraId="541380C0" w14:textId="52C390C7">
            <w:pPr>
              <w:ind w:left="91"/>
              <w:jc w:val="center"/>
              <w:rPr>
                <w:rFonts w:eastAsia="Calibri"/>
                <w:sz w:val="20"/>
                <w:szCs w:val="20"/>
              </w:rPr>
            </w:pPr>
            <w:r w:rsidRPr="00193077">
              <w:rPr>
                <w:rFonts w:eastAsia="Calibri"/>
                <w:sz w:val="20"/>
                <w:szCs w:val="20"/>
              </w:rPr>
              <w:t>$</w:t>
            </w:r>
            <w:r w:rsidRPr="00193077" w:rsidR="00630240">
              <w:rPr>
                <w:rFonts w:eastAsia="Calibri"/>
                <w:sz w:val="20"/>
                <w:szCs w:val="20"/>
              </w:rPr>
              <w:t>90</w:t>
            </w:r>
            <w:r w:rsidRPr="00193077">
              <w:rPr>
                <w:rFonts w:eastAsia="Calibri"/>
                <w:sz w:val="20"/>
                <w:szCs w:val="20"/>
              </w:rPr>
              <w:t>.</w:t>
            </w:r>
            <w:r w:rsidRPr="00193077" w:rsidR="00630240">
              <w:rPr>
                <w:rFonts w:eastAsia="Calibri"/>
                <w:sz w:val="20"/>
                <w:szCs w:val="20"/>
              </w:rPr>
              <w:t>28</w:t>
            </w:r>
          </w:p>
        </w:tc>
        <w:tc>
          <w:tcPr>
            <w:tcW w:w="1800" w:type="dxa"/>
            <w:shd w:val="clear" w:color="auto" w:fill="auto"/>
          </w:tcPr>
          <w:p w:rsidR="00B70F42" w:rsidRPr="00193077" w:rsidP="00B70F42" w14:paraId="0B3F2669" w14:textId="5354EF18">
            <w:pPr>
              <w:jc w:val="center"/>
              <w:rPr>
                <w:rFonts w:eastAsia="Calibri"/>
                <w:sz w:val="20"/>
                <w:szCs w:val="20"/>
              </w:rPr>
            </w:pPr>
            <w:r w:rsidRPr="00193077">
              <w:rPr>
                <w:rFonts w:eastAsia="Calibri"/>
                <w:sz w:val="20"/>
                <w:szCs w:val="20"/>
              </w:rPr>
              <w:t>$3,</w:t>
            </w:r>
            <w:r w:rsidRPr="00193077" w:rsidR="00933DE7">
              <w:rPr>
                <w:rFonts w:eastAsia="Calibri"/>
                <w:sz w:val="20"/>
                <w:szCs w:val="20"/>
              </w:rPr>
              <w:t>611</w:t>
            </w:r>
            <w:r w:rsidRPr="00193077">
              <w:rPr>
                <w:rFonts w:eastAsia="Calibri"/>
                <w:sz w:val="20"/>
                <w:szCs w:val="20"/>
              </w:rPr>
              <w:t>.</w:t>
            </w:r>
            <w:r w:rsidRPr="00193077" w:rsidR="00933DE7">
              <w:rPr>
                <w:rFonts w:eastAsia="Calibri"/>
                <w:sz w:val="20"/>
                <w:szCs w:val="20"/>
              </w:rPr>
              <w:t>20</w:t>
            </w:r>
          </w:p>
        </w:tc>
      </w:tr>
    </w:tbl>
    <w:p w:rsidR="00357C8A" w:rsidRPr="00357C8A" w:rsidP="00357C8A" w14:paraId="5E773F09" w14:textId="77777777">
      <w:pPr>
        <w:rPr>
          <w:rFonts w:eastAsia="Calibri"/>
        </w:rPr>
      </w:pPr>
    </w:p>
    <w:p w:rsidR="00357C8A" w:rsidRPr="00357C8A" w:rsidP="006705EA" w14:paraId="1FBA36A1"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D60FBB" w:rsidRPr="0054583A" w:rsidP="00B70F42" w14:paraId="3EC9B54C" w14:textId="475AB285">
      <w:pPr>
        <w:rPr>
          <w:rFonts w:eastAsia="Calibri"/>
        </w:rPr>
      </w:pPr>
      <w:r w:rsidRPr="0054583A">
        <w:rPr>
          <w:rFonts w:eastAsia="Calibri"/>
        </w:rPr>
        <w:t xml:space="preserve">There </w:t>
      </w:r>
      <w:r w:rsidRPr="0054583A">
        <w:rPr>
          <w:rFonts w:eastAsia="Calibri"/>
        </w:rPr>
        <w:t>are</w:t>
      </w:r>
      <w:r w:rsidRPr="0054583A">
        <w:rPr>
          <w:rFonts w:eastAsia="Calibri"/>
        </w:rPr>
        <w:t xml:space="preserve"> no capital, start-up, operating, or maintenance costs associated with this collection.</w:t>
      </w:r>
    </w:p>
    <w:p w:rsidR="0022425B" w:rsidP="00193077" w14:paraId="1F861969" w14:textId="48795D98">
      <w:pPr>
        <w:rPr>
          <w:rFonts w:eastAsia="Calibri"/>
          <w:u w:val="single"/>
        </w:rPr>
      </w:pPr>
    </w:p>
    <w:p w:rsidR="00357C8A" w:rsidRPr="00357C8A" w:rsidP="006705EA" w14:paraId="76898225"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5F1E7E" w:rsidP="00B70F42" w14:paraId="7709E2A4" w14:textId="47EC3D5E">
      <w:pPr>
        <w:rPr>
          <w:rFonts w:eastAsia="Calibri"/>
        </w:rPr>
      </w:pPr>
      <w:r w:rsidRPr="0054583A">
        <w:rPr>
          <w:rFonts w:eastAsia="Calibri"/>
        </w:rPr>
        <w:t xml:space="preserve">If a petition is submitted under § 100.1, we </w:t>
      </w:r>
      <w:r>
        <w:rPr>
          <w:rFonts w:eastAsia="Calibri"/>
        </w:rPr>
        <w:t xml:space="preserve">assume an </w:t>
      </w:r>
      <w:r w:rsidRPr="0054583A">
        <w:rPr>
          <w:rFonts w:eastAsia="Calibri"/>
        </w:rPr>
        <w:t>annualized cost to the Federal government for the review and evaluation of a petition</w:t>
      </w:r>
      <w:r>
        <w:rPr>
          <w:rFonts w:eastAsia="Calibri"/>
        </w:rPr>
        <w:t xml:space="preserve"> of</w:t>
      </w:r>
      <w:r w:rsidRPr="0054583A">
        <w:rPr>
          <w:rFonts w:eastAsia="Calibri"/>
        </w:rPr>
        <w:t xml:space="preserve"> $</w:t>
      </w:r>
      <w:r w:rsidR="00CA0902">
        <w:rPr>
          <w:rFonts w:eastAsia="Calibri"/>
        </w:rPr>
        <w:t>4</w:t>
      </w:r>
      <w:r w:rsidRPr="0054583A">
        <w:rPr>
          <w:rFonts w:eastAsia="Calibri"/>
        </w:rPr>
        <w:t>,</w:t>
      </w:r>
      <w:r w:rsidR="004733A4">
        <w:rPr>
          <w:rFonts w:eastAsia="Calibri"/>
        </w:rPr>
        <w:t>293</w:t>
      </w:r>
      <w:r w:rsidRPr="0054583A">
        <w:rPr>
          <w:rFonts w:eastAsia="Calibri"/>
        </w:rPr>
        <w:t>.</w:t>
      </w:r>
      <w:r w:rsidR="004733A4">
        <w:rPr>
          <w:rFonts w:eastAsia="Calibri"/>
        </w:rPr>
        <w:t>60</w:t>
      </w:r>
      <w:r w:rsidRPr="0054583A">
        <w:rPr>
          <w:rFonts w:eastAsia="Calibri"/>
        </w:rPr>
        <w:t>.  The cost is</w:t>
      </w:r>
      <w:r>
        <w:rPr>
          <w:rFonts w:eastAsia="Calibri"/>
        </w:rPr>
        <w:t xml:space="preserve"> based on </w:t>
      </w:r>
      <w:r w:rsidRPr="0054583A">
        <w:rPr>
          <w:rFonts w:eastAsia="Calibri"/>
        </w:rPr>
        <w:t xml:space="preserve">40 hours of review and evaluation per year by an employee at a GS-13/Step-1 </w:t>
      </w:r>
      <w:r w:rsidR="009006AA">
        <w:rPr>
          <w:rFonts w:eastAsia="Calibri"/>
        </w:rPr>
        <w:t>level</w:t>
      </w:r>
      <w:r w:rsidRPr="0054583A" w:rsidR="009006AA">
        <w:rPr>
          <w:rFonts w:eastAsia="Calibri"/>
        </w:rPr>
        <w:t xml:space="preserve"> </w:t>
      </w:r>
      <w:r w:rsidR="009602CA">
        <w:rPr>
          <w:rFonts w:eastAsia="Calibri"/>
        </w:rPr>
        <w:t xml:space="preserve">in the </w:t>
      </w:r>
      <w:r w:rsidRPr="009602CA" w:rsidR="009602CA">
        <w:rPr>
          <w:rFonts w:eastAsia="Calibri"/>
        </w:rPr>
        <w:t>locality pay area</w:t>
      </w:r>
      <w:r w:rsidRPr="009602CA" w:rsidR="009602CA">
        <w:rPr>
          <w:rFonts w:eastAsia="Calibri"/>
        </w:rPr>
        <w:t xml:space="preserve"> </w:t>
      </w:r>
      <w:r w:rsidR="009602CA">
        <w:rPr>
          <w:rFonts w:eastAsia="Calibri"/>
        </w:rPr>
        <w:t>of</w:t>
      </w:r>
      <w:r w:rsidRPr="0054583A">
        <w:rPr>
          <w:rFonts w:eastAsia="Calibri"/>
        </w:rPr>
        <w:t xml:space="preserve"> Washington-Baltimore </w:t>
      </w:r>
      <w:r w:rsidR="00BD2425">
        <w:rPr>
          <w:rFonts w:eastAsia="Calibri"/>
        </w:rPr>
        <w:t>in</w:t>
      </w:r>
      <w:r w:rsidRPr="0054583A">
        <w:rPr>
          <w:rFonts w:eastAsia="Calibri"/>
        </w:rPr>
        <w:t xml:space="preserve"> 202</w:t>
      </w:r>
      <w:r w:rsidR="005C04E3">
        <w:rPr>
          <w:rFonts w:eastAsia="Calibri"/>
        </w:rPr>
        <w:t>3</w:t>
      </w:r>
      <w:r w:rsidR="00807B49">
        <w:rPr>
          <w:rFonts w:eastAsia="Calibri"/>
        </w:rPr>
        <w:t xml:space="preserve">, or </w:t>
      </w:r>
      <w:r w:rsidRPr="00807B49" w:rsidR="00807B49">
        <w:rPr>
          <w:rFonts w:eastAsia="Calibri"/>
        </w:rPr>
        <w:t>$53.67/hour</w:t>
      </w:r>
      <w:r w:rsidR="00797291">
        <w:rPr>
          <w:rFonts w:eastAsia="Calibri"/>
        </w:rPr>
        <w:t>, which equals</w:t>
      </w:r>
      <w:r w:rsidRPr="0054583A">
        <w:rPr>
          <w:rFonts w:eastAsia="Calibri"/>
        </w:rPr>
        <w:t xml:space="preserve"> </w:t>
      </w:r>
      <w:r w:rsidRPr="00E6586C" w:rsidR="00E6586C">
        <w:rPr>
          <w:rFonts w:eastAsia="Calibri"/>
        </w:rPr>
        <w:t xml:space="preserve">$2,146.80 </w:t>
      </w:r>
      <w:r w:rsidRPr="0054583A">
        <w:rPr>
          <w:rFonts w:eastAsia="Calibri"/>
        </w:rPr>
        <w:t>(40 hours x $</w:t>
      </w:r>
      <w:r w:rsidR="005C04E3">
        <w:rPr>
          <w:rFonts w:eastAsia="Calibri"/>
        </w:rPr>
        <w:t>53</w:t>
      </w:r>
      <w:r w:rsidRPr="0054583A">
        <w:rPr>
          <w:rFonts w:eastAsia="Calibri"/>
        </w:rPr>
        <w:t>.</w:t>
      </w:r>
      <w:r w:rsidR="005C04E3">
        <w:rPr>
          <w:rFonts w:eastAsia="Calibri"/>
        </w:rPr>
        <w:t>67</w:t>
      </w:r>
      <w:r w:rsidR="00807B49">
        <w:rPr>
          <w:rFonts w:eastAsia="Calibri"/>
        </w:rPr>
        <w:t>/</w:t>
      </w:r>
      <w:r w:rsidRPr="0054583A">
        <w:rPr>
          <w:rFonts w:eastAsia="Calibri"/>
        </w:rPr>
        <w:t xml:space="preserve">hour).  </w:t>
      </w:r>
      <w:r w:rsidRPr="0054583A">
        <w:rPr>
          <w:rFonts w:eastAsia="Calibri"/>
        </w:rPr>
        <w:t>To account for overhead, this cost is increased by 100 percent, making the estimated cost to the Federal government $</w:t>
      </w:r>
      <w:r w:rsidR="00CA0902">
        <w:rPr>
          <w:rFonts w:eastAsia="Calibri"/>
        </w:rPr>
        <w:t>4</w:t>
      </w:r>
      <w:r w:rsidRPr="0054583A">
        <w:rPr>
          <w:rFonts w:eastAsia="Calibri"/>
        </w:rPr>
        <w:t>,</w:t>
      </w:r>
      <w:r w:rsidR="00CA0902">
        <w:rPr>
          <w:rFonts w:eastAsia="Calibri"/>
        </w:rPr>
        <w:t>293</w:t>
      </w:r>
      <w:r w:rsidRPr="0054583A">
        <w:rPr>
          <w:rFonts w:eastAsia="Calibri"/>
        </w:rPr>
        <w:t>.</w:t>
      </w:r>
      <w:r w:rsidR="00CA0902">
        <w:rPr>
          <w:rFonts w:eastAsia="Calibri"/>
        </w:rPr>
        <w:t>60</w:t>
      </w:r>
      <w:r w:rsidRPr="0054583A">
        <w:rPr>
          <w:rFonts w:eastAsia="Calibri"/>
        </w:rPr>
        <w:t>.</w:t>
      </w:r>
    </w:p>
    <w:p w:rsidR="00C84AE2" w:rsidRPr="0054583A" w:rsidP="00B70F42" w14:paraId="09742641" w14:textId="77777777">
      <w:pPr>
        <w:rPr>
          <w:rFonts w:eastAsia="Calibri"/>
        </w:rPr>
      </w:pPr>
    </w:p>
    <w:p w:rsidR="00357C8A" w:rsidP="006705EA" w14:paraId="6CB293E2" w14:textId="32C0C4D1">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P="00AC1916" w14:paraId="391BC573" w14:textId="6566E345">
      <w:pPr>
        <w:rPr>
          <w:rFonts w:eastAsia="Calibri"/>
        </w:rPr>
      </w:pPr>
      <w:r w:rsidRPr="0054583A">
        <w:rPr>
          <w:rFonts w:eastAsia="Calibri"/>
        </w:rPr>
        <w:t>Based on a review of the information collection since our last request for OMB approval, we have made no adjustments to our burden estimate.</w:t>
      </w:r>
    </w:p>
    <w:p w:rsidR="004733A4" w:rsidRPr="00AC1916" w:rsidP="00AC1916" w14:paraId="3729CC52" w14:textId="77777777">
      <w:pPr>
        <w:rPr>
          <w:rFonts w:eastAsia="Calibri"/>
          <w:color w:val="000000" w:themeColor="text1"/>
        </w:rPr>
      </w:pPr>
    </w:p>
    <w:p w:rsidR="00357C8A" w:rsidRPr="00357C8A" w:rsidP="006705EA" w14:paraId="7972A6EA"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P="00AC1916" w14:paraId="51C81919" w14:textId="34FBB065">
      <w:r w:rsidRPr="0054583A">
        <w:t>The information</w:t>
      </w:r>
      <w:r w:rsidR="00410BBC">
        <w:t xml:space="preserve"> collected will not be published or tabulated</w:t>
      </w:r>
      <w:r w:rsidRPr="0054583A">
        <w:t>.</w:t>
      </w:r>
    </w:p>
    <w:p w:rsidR="0073221D" w:rsidRPr="00AC1916" w:rsidP="00AC1916" w14:paraId="34ACA89F" w14:textId="77777777">
      <w:pPr>
        <w:rPr>
          <w:rFonts w:eastAsia="Calibri"/>
          <w:color w:val="000000" w:themeColor="text1"/>
        </w:rPr>
      </w:pPr>
    </w:p>
    <w:p w:rsidR="00357C8A" w:rsidRPr="00357C8A" w:rsidP="006705EA" w14:paraId="0477A90E"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410BBC" w:rsidP="00410BBC" w14:paraId="7F87A407" w14:textId="457FA5DB">
      <w:pPr>
        <w:rPr>
          <w:rFonts w:eastAsia="Calibri"/>
        </w:rPr>
      </w:pPr>
      <w:r w:rsidRPr="00410BBC">
        <w:rPr>
          <w:rFonts w:eastAsia="Calibri"/>
        </w:rPr>
        <w:t>FDA will display the OMB expiration date as required by 5 CFR 1320.8</w:t>
      </w:r>
      <w:r w:rsidRPr="00410BBC" w:rsidR="00B70F42">
        <w:rPr>
          <w:rFonts w:eastAsia="Calibri"/>
        </w:rPr>
        <w:t>.</w:t>
      </w:r>
    </w:p>
    <w:p w:rsidR="0073221D" w:rsidRPr="00AC1916" w:rsidP="00AC1916" w14:paraId="28D53F2C" w14:textId="77777777">
      <w:pPr>
        <w:rPr>
          <w:rFonts w:eastAsia="Calibri"/>
          <w:color w:val="000000" w:themeColor="text1"/>
        </w:rPr>
      </w:pPr>
    </w:p>
    <w:p w:rsidR="00357C8A" w:rsidRPr="00357C8A" w:rsidP="006705EA" w14:paraId="11AC9163"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B70F42" w:rsidRPr="0054583A" w:rsidP="00B70F42" w14:paraId="64147788" w14:textId="77777777">
      <w:pPr>
        <w:rPr>
          <w:rFonts w:eastAsia="Calibri"/>
        </w:rPr>
      </w:pPr>
      <w:r w:rsidRPr="0054583A">
        <w:rPr>
          <w:rFonts w:eastAsia="Calibri"/>
        </w:rPr>
        <w:t>There are no exceptions to the certification.</w:t>
      </w:r>
    </w:p>
    <w:p w:rsidR="00544138" w:rsidRPr="00C20690" w:rsidP="00B70F42" w14:paraId="628DDDEA" w14:textId="69E70379">
      <w:pPr>
        <w:spacing w:after="200"/>
        <w:rPr>
          <w:rFonts w:eastAsia="Calibri"/>
        </w:rPr>
      </w:pPr>
    </w:p>
    <w:sectPr w:rsidSect="005C71CA">
      <w:footerReference w:type="even" r:id="rId6"/>
      <w:footerReference w:type="default" r:id="rId7"/>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57B3806" w14:textId="6B026B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6B7D">
      <w:rPr>
        <w:rStyle w:val="PageNumber"/>
        <w:noProof/>
      </w:rPr>
      <w:t>2</w:t>
    </w:r>
    <w:r>
      <w:rPr>
        <w:rStyle w:val="PageNumber"/>
      </w:rPr>
      <w:fldChar w:fldCharType="end"/>
    </w:r>
  </w:p>
  <w:p w:rsidR="00E63DE5" w14:paraId="43211E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667B80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2AF12D8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17862050">
    <w:abstractNumId w:val="5"/>
  </w:num>
  <w:num w:numId="2" w16cid:durableId="1724866462">
    <w:abstractNumId w:val="1"/>
  </w:num>
  <w:num w:numId="3" w16cid:durableId="230846500">
    <w:abstractNumId w:val="6"/>
  </w:num>
  <w:num w:numId="4" w16cid:durableId="1956015525">
    <w:abstractNumId w:val="3"/>
  </w:num>
  <w:num w:numId="5" w16cid:durableId="551429633">
    <w:abstractNumId w:val="7"/>
  </w:num>
  <w:num w:numId="6" w16cid:durableId="919365425">
    <w:abstractNumId w:val="0"/>
  </w:num>
  <w:num w:numId="7" w16cid:durableId="387151634">
    <w:abstractNumId w:val="2"/>
  </w:num>
  <w:num w:numId="8" w16cid:durableId="83750517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2B93"/>
    <w:rsid w:val="00043C7F"/>
    <w:rsid w:val="000467A8"/>
    <w:rsid w:val="0005339A"/>
    <w:rsid w:val="0006570F"/>
    <w:rsid w:val="00075DE8"/>
    <w:rsid w:val="00087439"/>
    <w:rsid w:val="000C1260"/>
    <w:rsid w:val="000C560C"/>
    <w:rsid w:val="000D080B"/>
    <w:rsid w:val="000D48FD"/>
    <w:rsid w:val="000D6CA7"/>
    <w:rsid w:val="000D79CC"/>
    <w:rsid w:val="000E06A3"/>
    <w:rsid w:val="000E1C64"/>
    <w:rsid w:val="000F7119"/>
    <w:rsid w:val="00100739"/>
    <w:rsid w:val="0010493E"/>
    <w:rsid w:val="001075D3"/>
    <w:rsid w:val="00107885"/>
    <w:rsid w:val="00114FC4"/>
    <w:rsid w:val="0012329C"/>
    <w:rsid w:val="00131C24"/>
    <w:rsid w:val="00134FA7"/>
    <w:rsid w:val="00137950"/>
    <w:rsid w:val="00152F29"/>
    <w:rsid w:val="00173AA8"/>
    <w:rsid w:val="00174D54"/>
    <w:rsid w:val="0017702C"/>
    <w:rsid w:val="00185270"/>
    <w:rsid w:val="00193077"/>
    <w:rsid w:val="001A18AB"/>
    <w:rsid w:val="001A3B5A"/>
    <w:rsid w:val="001A4438"/>
    <w:rsid w:val="001A458C"/>
    <w:rsid w:val="001B7CE9"/>
    <w:rsid w:val="001C7035"/>
    <w:rsid w:val="001D495A"/>
    <w:rsid w:val="001E244C"/>
    <w:rsid w:val="001F1437"/>
    <w:rsid w:val="00206799"/>
    <w:rsid w:val="002074FE"/>
    <w:rsid w:val="0022425B"/>
    <w:rsid w:val="002259EF"/>
    <w:rsid w:val="00237302"/>
    <w:rsid w:val="00242ED1"/>
    <w:rsid w:val="00243058"/>
    <w:rsid w:val="002444BB"/>
    <w:rsid w:val="00254069"/>
    <w:rsid w:val="00266D34"/>
    <w:rsid w:val="00267399"/>
    <w:rsid w:val="00270748"/>
    <w:rsid w:val="002734E5"/>
    <w:rsid w:val="002746DB"/>
    <w:rsid w:val="00280CAF"/>
    <w:rsid w:val="00282F09"/>
    <w:rsid w:val="00285A6E"/>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01855"/>
    <w:rsid w:val="003113FF"/>
    <w:rsid w:val="00312622"/>
    <w:rsid w:val="0032277F"/>
    <w:rsid w:val="00336B69"/>
    <w:rsid w:val="0034302B"/>
    <w:rsid w:val="00350523"/>
    <w:rsid w:val="0035189D"/>
    <w:rsid w:val="00352073"/>
    <w:rsid w:val="00355B62"/>
    <w:rsid w:val="00357C8A"/>
    <w:rsid w:val="003656EF"/>
    <w:rsid w:val="00373483"/>
    <w:rsid w:val="003740BC"/>
    <w:rsid w:val="0037456B"/>
    <w:rsid w:val="003771E2"/>
    <w:rsid w:val="003801A3"/>
    <w:rsid w:val="003828D5"/>
    <w:rsid w:val="00383D90"/>
    <w:rsid w:val="003870AE"/>
    <w:rsid w:val="003925E7"/>
    <w:rsid w:val="0039641E"/>
    <w:rsid w:val="003A1A27"/>
    <w:rsid w:val="003A50CC"/>
    <w:rsid w:val="003B42B3"/>
    <w:rsid w:val="003B6384"/>
    <w:rsid w:val="003C0FE2"/>
    <w:rsid w:val="003C4EBB"/>
    <w:rsid w:val="003D1531"/>
    <w:rsid w:val="003D1CF5"/>
    <w:rsid w:val="003D37C0"/>
    <w:rsid w:val="003E4EC6"/>
    <w:rsid w:val="003E527E"/>
    <w:rsid w:val="003E553E"/>
    <w:rsid w:val="003E7078"/>
    <w:rsid w:val="003F3DF5"/>
    <w:rsid w:val="003F73B8"/>
    <w:rsid w:val="0040297E"/>
    <w:rsid w:val="00410BBC"/>
    <w:rsid w:val="00411D11"/>
    <w:rsid w:val="00414494"/>
    <w:rsid w:val="00414C8C"/>
    <w:rsid w:val="00415E23"/>
    <w:rsid w:val="0041670D"/>
    <w:rsid w:val="00423272"/>
    <w:rsid w:val="00424061"/>
    <w:rsid w:val="00435699"/>
    <w:rsid w:val="00442A3C"/>
    <w:rsid w:val="00443969"/>
    <w:rsid w:val="00446852"/>
    <w:rsid w:val="00447D74"/>
    <w:rsid w:val="00450A74"/>
    <w:rsid w:val="004546BF"/>
    <w:rsid w:val="004614E7"/>
    <w:rsid w:val="00465350"/>
    <w:rsid w:val="00465DE8"/>
    <w:rsid w:val="004733A4"/>
    <w:rsid w:val="00476B91"/>
    <w:rsid w:val="004846BF"/>
    <w:rsid w:val="00494912"/>
    <w:rsid w:val="004A5323"/>
    <w:rsid w:val="004A5A99"/>
    <w:rsid w:val="004C27D1"/>
    <w:rsid w:val="004C6979"/>
    <w:rsid w:val="004C7D92"/>
    <w:rsid w:val="004D13A2"/>
    <w:rsid w:val="004D3E7A"/>
    <w:rsid w:val="004F594B"/>
    <w:rsid w:val="004F61E1"/>
    <w:rsid w:val="00511A47"/>
    <w:rsid w:val="0053380B"/>
    <w:rsid w:val="00543194"/>
    <w:rsid w:val="00544138"/>
    <w:rsid w:val="0054583A"/>
    <w:rsid w:val="00545B67"/>
    <w:rsid w:val="00554E34"/>
    <w:rsid w:val="005560FA"/>
    <w:rsid w:val="00567848"/>
    <w:rsid w:val="00584583"/>
    <w:rsid w:val="00590E90"/>
    <w:rsid w:val="00590EEB"/>
    <w:rsid w:val="005923DE"/>
    <w:rsid w:val="005A1205"/>
    <w:rsid w:val="005A4099"/>
    <w:rsid w:val="005B1F2F"/>
    <w:rsid w:val="005B31D1"/>
    <w:rsid w:val="005C04E3"/>
    <w:rsid w:val="005C38B2"/>
    <w:rsid w:val="005C5029"/>
    <w:rsid w:val="005C55C2"/>
    <w:rsid w:val="005C71CA"/>
    <w:rsid w:val="005C745C"/>
    <w:rsid w:val="005C7FEE"/>
    <w:rsid w:val="005D4DF5"/>
    <w:rsid w:val="005D7C50"/>
    <w:rsid w:val="005E42BA"/>
    <w:rsid w:val="005E796A"/>
    <w:rsid w:val="005F1E7E"/>
    <w:rsid w:val="00605313"/>
    <w:rsid w:val="00611D6B"/>
    <w:rsid w:val="00612C1E"/>
    <w:rsid w:val="00625CFD"/>
    <w:rsid w:val="00630240"/>
    <w:rsid w:val="006326EC"/>
    <w:rsid w:val="006411FF"/>
    <w:rsid w:val="00652B73"/>
    <w:rsid w:val="006572A7"/>
    <w:rsid w:val="00663A42"/>
    <w:rsid w:val="006641C7"/>
    <w:rsid w:val="006705EA"/>
    <w:rsid w:val="00670BE2"/>
    <w:rsid w:val="00673BDD"/>
    <w:rsid w:val="006916D9"/>
    <w:rsid w:val="0069229B"/>
    <w:rsid w:val="006A0E05"/>
    <w:rsid w:val="006A26C6"/>
    <w:rsid w:val="006A465A"/>
    <w:rsid w:val="006A5179"/>
    <w:rsid w:val="006A6571"/>
    <w:rsid w:val="006A7D5D"/>
    <w:rsid w:val="006B670B"/>
    <w:rsid w:val="006C44A2"/>
    <w:rsid w:val="006D0C12"/>
    <w:rsid w:val="006D5D57"/>
    <w:rsid w:val="006E2538"/>
    <w:rsid w:val="006E302F"/>
    <w:rsid w:val="006F4D6D"/>
    <w:rsid w:val="00705086"/>
    <w:rsid w:val="00707D79"/>
    <w:rsid w:val="00710711"/>
    <w:rsid w:val="00722001"/>
    <w:rsid w:val="0072605D"/>
    <w:rsid w:val="0073221D"/>
    <w:rsid w:val="00732462"/>
    <w:rsid w:val="00744525"/>
    <w:rsid w:val="00751E66"/>
    <w:rsid w:val="00754497"/>
    <w:rsid w:val="00766972"/>
    <w:rsid w:val="0077235C"/>
    <w:rsid w:val="00773201"/>
    <w:rsid w:val="00783345"/>
    <w:rsid w:val="00787C39"/>
    <w:rsid w:val="00792947"/>
    <w:rsid w:val="00795DF3"/>
    <w:rsid w:val="007960BD"/>
    <w:rsid w:val="00797291"/>
    <w:rsid w:val="007A373C"/>
    <w:rsid w:val="007B225C"/>
    <w:rsid w:val="007B4346"/>
    <w:rsid w:val="007C75B1"/>
    <w:rsid w:val="007D3DFC"/>
    <w:rsid w:val="007E2F07"/>
    <w:rsid w:val="007E59A8"/>
    <w:rsid w:val="0080776D"/>
    <w:rsid w:val="00807B49"/>
    <w:rsid w:val="00810145"/>
    <w:rsid w:val="008108FA"/>
    <w:rsid w:val="00810FF1"/>
    <w:rsid w:val="00822336"/>
    <w:rsid w:val="00823DFA"/>
    <w:rsid w:val="00842DB7"/>
    <w:rsid w:val="00843752"/>
    <w:rsid w:val="0084479F"/>
    <w:rsid w:val="00854C86"/>
    <w:rsid w:val="0085725E"/>
    <w:rsid w:val="00860DF8"/>
    <w:rsid w:val="00873D4F"/>
    <w:rsid w:val="0087509F"/>
    <w:rsid w:val="00885B09"/>
    <w:rsid w:val="00886967"/>
    <w:rsid w:val="00892400"/>
    <w:rsid w:val="008A209D"/>
    <w:rsid w:val="008A22BB"/>
    <w:rsid w:val="008B035D"/>
    <w:rsid w:val="008B0E29"/>
    <w:rsid w:val="008B0EFA"/>
    <w:rsid w:val="008B30AB"/>
    <w:rsid w:val="008B79D3"/>
    <w:rsid w:val="008C3BB8"/>
    <w:rsid w:val="008C4B65"/>
    <w:rsid w:val="008E2EB1"/>
    <w:rsid w:val="008E5F55"/>
    <w:rsid w:val="008F0CFC"/>
    <w:rsid w:val="009006AA"/>
    <w:rsid w:val="009009E7"/>
    <w:rsid w:val="00905596"/>
    <w:rsid w:val="00905DEF"/>
    <w:rsid w:val="00906056"/>
    <w:rsid w:val="009122AE"/>
    <w:rsid w:val="00913B43"/>
    <w:rsid w:val="00930203"/>
    <w:rsid w:val="009311D2"/>
    <w:rsid w:val="009311E6"/>
    <w:rsid w:val="00931275"/>
    <w:rsid w:val="009328FC"/>
    <w:rsid w:val="00933DE7"/>
    <w:rsid w:val="00936AC7"/>
    <w:rsid w:val="00953B64"/>
    <w:rsid w:val="009602CA"/>
    <w:rsid w:val="009646A7"/>
    <w:rsid w:val="00970A88"/>
    <w:rsid w:val="009818A1"/>
    <w:rsid w:val="00996C40"/>
    <w:rsid w:val="009A1674"/>
    <w:rsid w:val="009B38BE"/>
    <w:rsid w:val="009B4DF2"/>
    <w:rsid w:val="009C684F"/>
    <w:rsid w:val="009D074C"/>
    <w:rsid w:val="009D6E73"/>
    <w:rsid w:val="009E3653"/>
    <w:rsid w:val="009E366D"/>
    <w:rsid w:val="009F1F1D"/>
    <w:rsid w:val="009F2B4F"/>
    <w:rsid w:val="009F3C63"/>
    <w:rsid w:val="009F66B5"/>
    <w:rsid w:val="00A02F10"/>
    <w:rsid w:val="00A1060C"/>
    <w:rsid w:val="00A10D5A"/>
    <w:rsid w:val="00A16221"/>
    <w:rsid w:val="00A20A7D"/>
    <w:rsid w:val="00A31C02"/>
    <w:rsid w:val="00A35D42"/>
    <w:rsid w:val="00A379B5"/>
    <w:rsid w:val="00A46CCF"/>
    <w:rsid w:val="00A506DE"/>
    <w:rsid w:val="00A510FD"/>
    <w:rsid w:val="00A53451"/>
    <w:rsid w:val="00A62FC2"/>
    <w:rsid w:val="00A70426"/>
    <w:rsid w:val="00A707CC"/>
    <w:rsid w:val="00A71410"/>
    <w:rsid w:val="00A91E9A"/>
    <w:rsid w:val="00A93ED9"/>
    <w:rsid w:val="00A9580F"/>
    <w:rsid w:val="00A96221"/>
    <w:rsid w:val="00AB00A3"/>
    <w:rsid w:val="00AC1916"/>
    <w:rsid w:val="00AC2DBB"/>
    <w:rsid w:val="00AC4548"/>
    <w:rsid w:val="00AC6A99"/>
    <w:rsid w:val="00AD6048"/>
    <w:rsid w:val="00B012C5"/>
    <w:rsid w:val="00B055EF"/>
    <w:rsid w:val="00B06B5B"/>
    <w:rsid w:val="00B23769"/>
    <w:rsid w:val="00B41789"/>
    <w:rsid w:val="00B70F42"/>
    <w:rsid w:val="00B81808"/>
    <w:rsid w:val="00B86DFA"/>
    <w:rsid w:val="00B936D0"/>
    <w:rsid w:val="00BA4A7C"/>
    <w:rsid w:val="00BB15FB"/>
    <w:rsid w:val="00BD02AD"/>
    <w:rsid w:val="00BD134C"/>
    <w:rsid w:val="00BD2425"/>
    <w:rsid w:val="00BD3D5B"/>
    <w:rsid w:val="00BD7D0B"/>
    <w:rsid w:val="00BE3600"/>
    <w:rsid w:val="00C01F6F"/>
    <w:rsid w:val="00C041EA"/>
    <w:rsid w:val="00C1081E"/>
    <w:rsid w:val="00C13BBD"/>
    <w:rsid w:val="00C149AB"/>
    <w:rsid w:val="00C16929"/>
    <w:rsid w:val="00C20690"/>
    <w:rsid w:val="00C21C02"/>
    <w:rsid w:val="00C36020"/>
    <w:rsid w:val="00C40694"/>
    <w:rsid w:val="00C4702E"/>
    <w:rsid w:val="00C479BF"/>
    <w:rsid w:val="00C5124B"/>
    <w:rsid w:val="00C70542"/>
    <w:rsid w:val="00C72ED6"/>
    <w:rsid w:val="00C75CBF"/>
    <w:rsid w:val="00C84AE2"/>
    <w:rsid w:val="00C96977"/>
    <w:rsid w:val="00CA0902"/>
    <w:rsid w:val="00CA28F8"/>
    <w:rsid w:val="00CC2894"/>
    <w:rsid w:val="00CC5898"/>
    <w:rsid w:val="00CD77C3"/>
    <w:rsid w:val="00CE112C"/>
    <w:rsid w:val="00CF55D4"/>
    <w:rsid w:val="00D1732F"/>
    <w:rsid w:val="00D406C4"/>
    <w:rsid w:val="00D568FC"/>
    <w:rsid w:val="00D57FDE"/>
    <w:rsid w:val="00D608DA"/>
    <w:rsid w:val="00D60FBB"/>
    <w:rsid w:val="00D730BF"/>
    <w:rsid w:val="00D852F4"/>
    <w:rsid w:val="00DA6B7D"/>
    <w:rsid w:val="00DB1110"/>
    <w:rsid w:val="00DB3730"/>
    <w:rsid w:val="00DB5F89"/>
    <w:rsid w:val="00DC371B"/>
    <w:rsid w:val="00DC3788"/>
    <w:rsid w:val="00DC76C7"/>
    <w:rsid w:val="00DD09F5"/>
    <w:rsid w:val="00DD0E02"/>
    <w:rsid w:val="00DD2D53"/>
    <w:rsid w:val="00DD4201"/>
    <w:rsid w:val="00DD5E9F"/>
    <w:rsid w:val="00DE5711"/>
    <w:rsid w:val="00DF0D39"/>
    <w:rsid w:val="00DF43F8"/>
    <w:rsid w:val="00E00EA0"/>
    <w:rsid w:val="00E021CB"/>
    <w:rsid w:val="00E138F1"/>
    <w:rsid w:val="00E2309D"/>
    <w:rsid w:val="00E26758"/>
    <w:rsid w:val="00E418C9"/>
    <w:rsid w:val="00E4357B"/>
    <w:rsid w:val="00E443A7"/>
    <w:rsid w:val="00E45904"/>
    <w:rsid w:val="00E63DE5"/>
    <w:rsid w:val="00E647AF"/>
    <w:rsid w:val="00E647C7"/>
    <w:rsid w:val="00E6586C"/>
    <w:rsid w:val="00E65A37"/>
    <w:rsid w:val="00E65EF7"/>
    <w:rsid w:val="00E76F08"/>
    <w:rsid w:val="00E77B48"/>
    <w:rsid w:val="00E857FB"/>
    <w:rsid w:val="00E876A1"/>
    <w:rsid w:val="00E9007C"/>
    <w:rsid w:val="00E91799"/>
    <w:rsid w:val="00E94FF7"/>
    <w:rsid w:val="00E959D4"/>
    <w:rsid w:val="00E97DF8"/>
    <w:rsid w:val="00EA21FE"/>
    <w:rsid w:val="00EA34E3"/>
    <w:rsid w:val="00EB7538"/>
    <w:rsid w:val="00EC1868"/>
    <w:rsid w:val="00EC2ADE"/>
    <w:rsid w:val="00ED3B2D"/>
    <w:rsid w:val="00EE6468"/>
    <w:rsid w:val="00EF03A5"/>
    <w:rsid w:val="00F12178"/>
    <w:rsid w:val="00F1299B"/>
    <w:rsid w:val="00F16174"/>
    <w:rsid w:val="00F207A4"/>
    <w:rsid w:val="00F25173"/>
    <w:rsid w:val="00F355AC"/>
    <w:rsid w:val="00F40CF7"/>
    <w:rsid w:val="00F44194"/>
    <w:rsid w:val="00F71A5A"/>
    <w:rsid w:val="00F73A1A"/>
    <w:rsid w:val="00F769E0"/>
    <w:rsid w:val="00FA075A"/>
    <w:rsid w:val="00FA4A46"/>
    <w:rsid w:val="00FA75FE"/>
    <w:rsid w:val="00FB1032"/>
    <w:rsid w:val="00FB39BC"/>
    <w:rsid w:val="00FB6A53"/>
    <w:rsid w:val="00FC11CA"/>
    <w:rsid w:val="00FC6BDE"/>
    <w:rsid w:val="00FF1AA5"/>
    <w:rsid w:val="00FF4646"/>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500674"/>
  <w15:docId w15:val="{C2818E3A-D391-4B33-A16B-805B954D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DA6B7D"/>
    <w:rPr>
      <w:sz w:val="24"/>
      <w:szCs w:val="24"/>
    </w:rPr>
  </w:style>
  <w:style w:type="character" w:styleId="CommentReference">
    <w:name w:val="annotation reference"/>
    <w:basedOn w:val="DefaultParagraphFont"/>
    <w:rsid w:val="006A6571"/>
    <w:rPr>
      <w:sz w:val="16"/>
      <w:szCs w:val="16"/>
    </w:rPr>
  </w:style>
  <w:style w:type="paragraph" w:styleId="CommentText">
    <w:name w:val="annotation text"/>
    <w:basedOn w:val="Normal"/>
    <w:link w:val="CommentTextChar"/>
    <w:rsid w:val="006A6571"/>
    <w:rPr>
      <w:sz w:val="20"/>
      <w:szCs w:val="20"/>
    </w:rPr>
  </w:style>
  <w:style w:type="character" w:customStyle="1" w:styleId="CommentTextChar">
    <w:name w:val="Comment Text Char"/>
    <w:basedOn w:val="DefaultParagraphFont"/>
    <w:link w:val="CommentText"/>
    <w:rsid w:val="006A6571"/>
  </w:style>
  <w:style w:type="paragraph" w:styleId="CommentSubject">
    <w:name w:val="annotation subject"/>
    <w:basedOn w:val="CommentText"/>
    <w:next w:val="CommentText"/>
    <w:link w:val="CommentSubjectChar"/>
    <w:rsid w:val="006A6571"/>
    <w:rPr>
      <w:b/>
      <w:bCs/>
    </w:rPr>
  </w:style>
  <w:style w:type="character" w:customStyle="1" w:styleId="CommentSubjectChar">
    <w:name w:val="Comment Subject Char"/>
    <w:basedOn w:val="CommentTextChar"/>
    <w:link w:val="CommentSubject"/>
    <w:rsid w:val="006A65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ulations.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2398B-8ABB-4BAC-A93E-E07E2AD1B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Showalter, Rachel</cp:lastModifiedBy>
  <cp:revision>3</cp:revision>
  <cp:lastPrinted>2019-07-03T16:25:00Z</cp:lastPrinted>
  <dcterms:created xsi:type="dcterms:W3CDTF">2023-11-29T18:53:00Z</dcterms:created>
  <dcterms:modified xsi:type="dcterms:W3CDTF">2023-11-29T18:53:00Z</dcterms:modified>
</cp:coreProperties>
</file>