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5CEC" w:rsidRPr="008678EC" w:rsidP="00B94F91" w14:paraId="02315169" w14:textId="77777777">
      <w:pPr>
        <w:autoSpaceDE w:val="0"/>
        <w:autoSpaceDN w:val="0"/>
        <w:adjustRightInd w:val="0"/>
        <w:spacing w:line="240" w:lineRule="exact"/>
        <w:jc w:val="center"/>
        <w:rPr>
          <w:b/>
          <w:bCs/>
        </w:rPr>
      </w:pPr>
      <w:r w:rsidRPr="008678EC">
        <w:rPr>
          <w:noProof/>
        </w:rPr>
        <mc:AlternateContent>
          <mc:Choice Requires="wps">
            <w:drawing>
              <wp:anchor distT="0" distB="0" distL="114300" distR="114300" simplePos="0" relativeHeight="251658240" behindDoc="1" locked="0" layoutInCell="1" allowOverlap="1">
                <wp:simplePos x="0" y="0"/>
                <wp:positionH relativeFrom="column">
                  <wp:posOffset>7189470</wp:posOffset>
                </wp:positionH>
                <wp:positionV relativeFrom="paragraph">
                  <wp:posOffset>-1178560</wp:posOffset>
                </wp:positionV>
                <wp:extent cx="75565" cy="1443355"/>
                <wp:effectExtent l="0" t="0" r="0" b="0"/>
                <wp:wrapNone/>
                <wp:docPr id="7"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75565"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6B82" w:rsidRPr="005C465D" w14:paraId="74A8FEFF" w14:textId="77777777">
                            <w:pPr>
                              <w:rPr>
                                <w:outline/>
                                <w:color w:val="FF1515"/>
                                <w:sz w:val="192"/>
                                <w:szCs w:val="192"/>
                                <w14:textOutline w14:w="9525">
                                  <w14:solidFill>
                                    <w14:srgbClr w14:val="FF1515"/>
                                  </w14:solidFill>
                                  <w14:prstDash w14:val="solid"/>
                                  <w14:round/>
                                </w14:textOutline>
                                <w14:textFill>
                                  <w14:noFill/>
                                </w14:textFil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5.95pt;height:113.65pt;margin-top:-92.8pt;margin-left:566.1pt;flip:x;mso-height-percent:0;mso-height-relative:page;mso-width-percent:0;mso-width-relative:page;mso-wrap-distance-bottom:0;mso-wrap-distance-left:9pt;mso-wrap-distance-right:9pt;mso-wrap-distance-top:0;mso-wrap-style:square;position:absolute;visibility:visible;v-text-anchor:top;z-index:-251657216" stroked="f">
                <v:textbox>
                  <w:txbxContent>
                    <w:p w:rsidR="007E6B82" w:rsidRPr="005C465D" w14:paraId="1F6D4D9E" w14:textId="77777777">
                      <w:pPr>
                        <w:rPr>
                          <w:outline/>
                          <w:color w:val="FF1515"/>
                          <w:sz w:val="192"/>
                          <w:szCs w:val="192"/>
                          <w14:textOutline w14:w="9525">
                            <w14:solidFill>
                              <w14:srgbClr w14:val="FF1515"/>
                            </w14:solidFill>
                            <w14:prstDash w14:val="solid"/>
                            <w14:round/>
                          </w14:textOutline>
                          <w14:textFill>
                            <w14:noFill/>
                          </w14:textFill>
                        </w:rPr>
                      </w:pPr>
                    </w:p>
                  </w:txbxContent>
                </v:textbox>
              </v:rect>
            </w:pict>
          </mc:Fallback>
        </mc:AlternateContent>
      </w:r>
      <w:r w:rsidRPr="008678EC" w:rsidR="00F5226B">
        <w:rPr>
          <w:b/>
          <w:bCs/>
        </w:rPr>
        <w:t xml:space="preserve">Supporting Statement for the </w:t>
      </w:r>
      <w:r w:rsidRPr="008678EC" w:rsidR="001F510C">
        <w:rPr>
          <w:b/>
          <w:bCs/>
        </w:rPr>
        <w:t>988 Cooperative Agreements Monitoring</w:t>
      </w:r>
      <w:r w:rsidRPr="008678EC" w:rsidR="00F5226B">
        <w:rPr>
          <w:b/>
          <w:bCs/>
        </w:rPr>
        <w:t xml:space="preserve"> Program</w:t>
      </w:r>
    </w:p>
    <w:p w:rsidR="005E5CEC" w:rsidRPr="008678EC" w:rsidP="00B94F91" w14:paraId="390CEBD5" w14:textId="77777777">
      <w:pPr>
        <w:autoSpaceDE w:val="0"/>
        <w:autoSpaceDN w:val="0"/>
        <w:adjustRightInd w:val="0"/>
        <w:spacing w:line="240" w:lineRule="exact"/>
      </w:pPr>
    </w:p>
    <w:p w:rsidR="00B0334E" w:rsidRPr="008678EC" w:rsidP="00B94F91" w14:paraId="3FC0172F" w14:textId="77777777">
      <w:pPr>
        <w:autoSpaceDE w:val="0"/>
        <w:autoSpaceDN w:val="0"/>
        <w:adjustRightInd w:val="0"/>
        <w:spacing w:line="240" w:lineRule="exact"/>
      </w:pPr>
    </w:p>
    <w:p w:rsidR="005E5CEC" w:rsidRPr="008678EC" w:rsidP="00B94F91" w14:paraId="47463785" w14:textId="77777777">
      <w:pPr>
        <w:autoSpaceDE w:val="0"/>
        <w:autoSpaceDN w:val="0"/>
        <w:adjustRightInd w:val="0"/>
        <w:spacing w:line="302" w:lineRule="exact"/>
        <w:rPr>
          <w:b/>
          <w:bCs/>
        </w:rPr>
      </w:pPr>
      <w:r w:rsidRPr="008678EC">
        <w:rPr>
          <w:b/>
          <w:bCs/>
        </w:rPr>
        <w:t>A.</w:t>
      </w:r>
      <w:r w:rsidRPr="008678EC" w:rsidR="000955E6">
        <w:rPr>
          <w:b/>
          <w:bCs/>
        </w:rPr>
        <w:tab/>
      </w:r>
      <w:r w:rsidRPr="008678EC" w:rsidR="00F5226B">
        <w:rPr>
          <w:b/>
          <w:bCs/>
        </w:rPr>
        <w:t>Justification</w:t>
      </w:r>
    </w:p>
    <w:p w:rsidR="006F4220" w:rsidRPr="008678EC" w:rsidP="00B94F91" w14:paraId="6BCCD429" w14:textId="77777777">
      <w:pPr>
        <w:autoSpaceDE w:val="0"/>
        <w:autoSpaceDN w:val="0"/>
        <w:adjustRightInd w:val="0"/>
        <w:spacing w:line="259" w:lineRule="exact"/>
        <w:rPr>
          <w:b/>
          <w:bCs/>
        </w:rPr>
      </w:pPr>
    </w:p>
    <w:p w:rsidR="005E5CEC" w:rsidRPr="008678EC" w:rsidP="00B94F91" w14:paraId="2BF429D9" w14:textId="77777777">
      <w:pPr>
        <w:autoSpaceDE w:val="0"/>
        <w:autoSpaceDN w:val="0"/>
        <w:adjustRightInd w:val="0"/>
        <w:spacing w:line="259" w:lineRule="exact"/>
        <w:rPr>
          <w:b/>
          <w:bCs/>
        </w:rPr>
      </w:pPr>
      <w:r w:rsidRPr="008678EC">
        <w:rPr>
          <w:b/>
          <w:bCs/>
        </w:rPr>
        <w:t>1.</w:t>
      </w:r>
      <w:r w:rsidRPr="008678EC">
        <w:rPr>
          <w:b/>
          <w:bCs/>
        </w:rPr>
        <w:tab/>
      </w:r>
      <w:r w:rsidRPr="008678EC">
        <w:rPr>
          <w:b/>
          <w:bCs/>
          <w:u w:val="single"/>
        </w:rPr>
        <w:t>Circumstances of Information Collection</w:t>
      </w:r>
      <w:r w:rsidRPr="008678EC">
        <w:rPr>
          <w:b/>
          <w:bCs/>
        </w:rPr>
        <w:t xml:space="preserve"> </w:t>
      </w:r>
    </w:p>
    <w:p w:rsidR="005E5CEC" w:rsidRPr="008678EC" w:rsidP="00B94F91" w14:paraId="50F63489" w14:textId="77777777">
      <w:pPr>
        <w:autoSpaceDE w:val="0"/>
        <w:autoSpaceDN w:val="0"/>
        <w:adjustRightInd w:val="0"/>
        <w:spacing w:line="259" w:lineRule="exact"/>
      </w:pPr>
    </w:p>
    <w:p w:rsidR="00454021" w:rsidRPr="008678EC" w:rsidP="00D948CA" w14:paraId="104A4949" w14:textId="77777777">
      <w:r w:rsidRPr="008678EC">
        <w:t>Th</w:t>
      </w:r>
      <w:r w:rsidRPr="008678EC" w:rsidR="004878E2">
        <w:t xml:space="preserve">e Substance Abuse and Mental Health Services Administration (SAMHSA) is seeking </w:t>
      </w:r>
      <w:r w:rsidRPr="008678EC">
        <w:t>Office of Management and Budget (OMB)</w:t>
      </w:r>
      <w:r w:rsidRPr="008678EC" w:rsidR="00F5226B">
        <w:t xml:space="preserve"> Emergency</w:t>
      </w:r>
      <w:r w:rsidRPr="008678EC" w:rsidR="00582663">
        <w:t xml:space="preserve"> </w:t>
      </w:r>
      <w:r w:rsidRPr="008678EC">
        <w:t xml:space="preserve">approval </w:t>
      </w:r>
      <w:r w:rsidRPr="008678EC" w:rsidR="004878E2">
        <w:t>for</w:t>
      </w:r>
      <w:r w:rsidRPr="008678EC" w:rsidR="001233B4">
        <w:t xml:space="preserve"> </w:t>
      </w:r>
      <w:r w:rsidRPr="008678EC" w:rsidR="001E1252">
        <w:t>new</w:t>
      </w:r>
      <w:r w:rsidRPr="008678EC" w:rsidR="004878E2">
        <w:t xml:space="preserve"> </w:t>
      </w:r>
      <w:r w:rsidRPr="008678EC" w:rsidR="00F5226B">
        <w:t>information</w:t>
      </w:r>
      <w:r w:rsidRPr="008678EC" w:rsidR="004878E2">
        <w:t xml:space="preserve"> collection activities for</w:t>
      </w:r>
      <w:r w:rsidRPr="008678EC">
        <w:t xml:space="preserve"> </w:t>
      </w:r>
      <w:r w:rsidRPr="008678EC" w:rsidR="00153D3A">
        <w:t xml:space="preserve">monitoring </w:t>
      </w:r>
      <w:r w:rsidRPr="008678EC" w:rsidR="001C7B8B">
        <w:t xml:space="preserve">all of </w:t>
      </w:r>
      <w:r w:rsidRPr="008678EC" w:rsidR="005977DA">
        <w:t xml:space="preserve">SAMHSA’s </w:t>
      </w:r>
      <w:r w:rsidRPr="008678EC" w:rsidR="001F510C">
        <w:t>988 Cooperative Agreements</w:t>
      </w:r>
      <w:r w:rsidRPr="008678EC" w:rsidR="001C7B8B">
        <w:t xml:space="preserve">. The collection of this information is critical to successfully oversee operational response and quality of service through the 988 Suicide and Crisis Lifeline to ensure connections to care for individuals in suicidal crisis or emotional distress contacting in for 988 phone, chat and text support for connecting local, state/territory and national outcomes and monitoring contractual obligations for current and future 988 grant programs. Much of this information is already embedded in the current 988 Suicide and Crisis Lifeline network administrator grants, the 988 state and </w:t>
      </w:r>
      <w:r w:rsidR="00827845">
        <w:t>t</w:t>
      </w:r>
      <w:r w:rsidRPr="008678EC" w:rsidR="001C7B8B">
        <w:t xml:space="preserve">erritory grant program, or the 988 Tribal Response grant program. </w:t>
      </w:r>
    </w:p>
    <w:p w:rsidR="00454021" w:rsidRPr="008678EC" w:rsidP="00D948CA" w14:paraId="0CEA1D03" w14:textId="77777777"/>
    <w:p w:rsidR="00D948CA" w:rsidRPr="004553E3" w:rsidP="00D948CA" w14:paraId="0C67A501" w14:textId="77777777">
      <w:r w:rsidRPr="004553E3">
        <w:rPr>
          <w:shd w:val="clear" w:color="auto" w:fill="FFFFFF"/>
        </w:rPr>
        <w:t xml:space="preserve">Congress designated 988 in 2020 and the Lifeline transitioned to the 3-digit number in July 2022. As a part of the federal government’s commitment to addressing the mental health crisis in America, unprecedented federal resources have been invested to scale up crisis centers in support of 988. In </w:t>
      </w:r>
      <w:hyperlink r:id="rId6" w:history="1">
        <w:r w:rsidRPr="008678EC">
          <w:rPr>
            <w:rStyle w:val="Hyperlink"/>
            <w:shd w:val="clear" w:color="auto" w:fill="FFFFFF"/>
          </w:rPr>
          <w:t>2023 appropriations funding</w:t>
        </w:r>
      </w:hyperlink>
      <w:r w:rsidRPr="004553E3">
        <w:rPr>
          <w:shd w:val="clear" w:color="auto" w:fill="FFFFFF"/>
        </w:rPr>
        <w:t xml:space="preserve">, Congress called for enhanced program evaluation, including performance measures to assess program response and improve readiness and performance of the service, including review of each contact to ensure timely connection of service and quality provision in line with evidence-based care. In order to help meet the standards and requirements set forth in legislation, ongoing communication of key outcomes within this OMB request must be received and reviewed </w:t>
      </w:r>
      <w:r w:rsidRPr="004553E3" w:rsidR="0024622A">
        <w:rPr>
          <w:shd w:val="clear" w:color="auto" w:fill="FFFFFF"/>
        </w:rPr>
        <w:t xml:space="preserve">to ensure connection and quality of care through 988. </w:t>
      </w:r>
      <w:r w:rsidRPr="004553E3">
        <w:rPr>
          <w:shd w:val="clear" w:color="auto" w:fill="FFFFFF"/>
        </w:rPr>
        <w:t xml:space="preserve"> </w:t>
      </w:r>
    </w:p>
    <w:p w:rsidR="00001F77" w:rsidRPr="008678EC" w:rsidP="00D948CA" w14:paraId="7F31D194" w14:textId="77777777"/>
    <w:p w:rsidR="00D36878" w:rsidRPr="008678EC" w:rsidP="00B24FA2" w14:paraId="35422024" w14:textId="77777777">
      <w:pPr>
        <w:autoSpaceDE w:val="0"/>
        <w:autoSpaceDN w:val="0"/>
        <w:adjustRightInd w:val="0"/>
        <w:spacing w:line="273" w:lineRule="exact"/>
      </w:pPr>
      <w:r w:rsidRPr="008678EC">
        <w:t xml:space="preserve"> </w:t>
      </w:r>
    </w:p>
    <w:p w:rsidR="00D66C27" w:rsidRPr="008678EC" w:rsidP="00B94F91" w14:paraId="44D7C4D8" w14:textId="77777777">
      <w:pPr>
        <w:autoSpaceDE w:val="0"/>
        <w:autoSpaceDN w:val="0"/>
        <w:adjustRightInd w:val="0"/>
        <w:spacing w:line="268" w:lineRule="exact"/>
      </w:pPr>
    </w:p>
    <w:p w:rsidR="005E5CEC" w:rsidRPr="008678EC" w:rsidP="00B94F91" w14:paraId="24A75C0D" w14:textId="77777777">
      <w:pPr>
        <w:autoSpaceDE w:val="0"/>
        <w:autoSpaceDN w:val="0"/>
        <w:adjustRightInd w:val="0"/>
        <w:spacing w:line="302" w:lineRule="exact"/>
        <w:rPr>
          <w:u w:val="single"/>
        </w:rPr>
      </w:pPr>
      <w:r w:rsidRPr="008678EC">
        <w:rPr>
          <w:b/>
          <w:bCs/>
        </w:rPr>
        <w:t>2.</w:t>
      </w:r>
      <w:r w:rsidRPr="008678EC">
        <w:t xml:space="preserve"> </w:t>
      </w:r>
      <w:r w:rsidRPr="008678EC" w:rsidR="00A07BF7">
        <w:tab/>
      </w:r>
      <w:r w:rsidRPr="008678EC">
        <w:rPr>
          <w:b/>
          <w:bCs/>
          <w:u w:val="single"/>
        </w:rPr>
        <w:t>Purpose and Use of Information</w:t>
      </w:r>
      <w:r w:rsidRPr="008678EC">
        <w:rPr>
          <w:u w:val="single"/>
        </w:rPr>
        <w:t xml:space="preserve"> </w:t>
      </w:r>
    </w:p>
    <w:p w:rsidR="001C7B8B" w:rsidRPr="008678EC" w:rsidP="00B94F91" w14:paraId="4383206F" w14:textId="77777777">
      <w:pPr>
        <w:autoSpaceDE w:val="0"/>
        <w:autoSpaceDN w:val="0"/>
        <w:adjustRightInd w:val="0"/>
        <w:spacing w:line="259" w:lineRule="exact"/>
        <w:rPr>
          <w:color w:val="4A4A4A"/>
          <w:shd w:val="clear" w:color="auto" w:fill="FFFFFF"/>
        </w:rPr>
      </w:pPr>
    </w:p>
    <w:p w:rsidR="00454021" w:rsidRPr="004553E3" w:rsidP="00454021" w14:paraId="188027A1" w14:textId="77777777">
      <w:pPr>
        <w:pStyle w:val="NormalWeb"/>
        <w:shd w:val="clear" w:color="auto" w:fill="FFFFFF"/>
        <w:spacing w:after="180"/>
      </w:pPr>
      <w:r w:rsidRPr="004553E3">
        <w:rPr>
          <w:shd w:val="clear" w:color="auto" w:fill="FFFFFF"/>
        </w:rPr>
        <w:t>The</w:t>
      </w:r>
      <w:r w:rsidRPr="008678EC">
        <w:rPr>
          <w:color w:val="4A4A4A"/>
          <w:shd w:val="clear" w:color="auto" w:fill="FFFFFF"/>
        </w:rPr>
        <w:t> </w:t>
      </w:r>
      <w:hyperlink r:id="rId7" w:history="1">
        <w:r w:rsidRPr="008678EC">
          <w:rPr>
            <w:rStyle w:val="Hyperlink"/>
            <w:color w:val="1F419A"/>
            <w:shd w:val="clear" w:color="auto" w:fill="FFFFFF"/>
          </w:rPr>
          <w:t>988 Suicide &amp; Crisis Lifeline</w:t>
        </w:r>
      </w:hyperlink>
      <w:r w:rsidRPr="008678EC">
        <w:rPr>
          <w:color w:val="4A4A4A"/>
          <w:shd w:val="clear" w:color="auto" w:fill="FFFFFF"/>
        </w:rPr>
        <w:t> </w:t>
      </w:r>
      <w:r w:rsidRPr="004553E3">
        <w:rPr>
          <w:shd w:val="clear" w:color="auto" w:fill="FFFFFF"/>
        </w:rPr>
        <w:t>(formerly known as the National Suicide Prevention Lifeline) offers 24/7 call, text and chat access to trained crisis counselors who can help people experiencing suicidal, substance use, and/or mental health crisis, or any other kind of emotional distress. People can also dial 988 if they are worried about a loved one who may need crisis support.</w:t>
      </w:r>
      <w:r w:rsidRPr="004553E3">
        <w:t xml:space="preserve"> </w:t>
      </w:r>
    </w:p>
    <w:p w:rsidR="00454021" w:rsidRPr="004553E3" w:rsidP="00454021" w14:paraId="077D1526" w14:textId="77777777">
      <w:pPr>
        <w:pStyle w:val="NormalWeb"/>
        <w:shd w:val="clear" w:color="auto" w:fill="FFFFFF"/>
        <w:spacing w:after="180"/>
      </w:pPr>
      <w:r w:rsidRPr="004553E3">
        <w:t>Too many people are experiencing suicidal crisis or mental health-related distress without the support and care they need, and sadly, the pandemic only made a bad situation worse when it comes to mental health and wellness in America.</w:t>
      </w:r>
    </w:p>
    <w:p w:rsidR="00454021" w:rsidRPr="004553E3" w:rsidP="00454021" w14:paraId="64A0F51F" w14:textId="77777777">
      <w:pPr>
        <w:shd w:val="clear" w:color="auto" w:fill="FFFFFF"/>
        <w:spacing w:after="180"/>
      </w:pPr>
      <w:r w:rsidRPr="004553E3">
        <w:t>There are urgent realities driving the need for crisis service transformation across our country. </w:t>
      </w:r>
    </w:p>
    <w:p w:rsidR="00454021" w:rsidRPr="004553E3" w:rsidP="00454021" w14:paraId="0DE88772" w14:textId="77777777">
      <w:pPr>
        <w:shd w:val="clear" w:color="auto" w:fill="FFFFFF"/>
        <w:spacing w:after="180"/>
      </w:pPr>
      <w:r w:rsidRPr="004553E3">
        <w:t>In 2020, the U.S. had one death by suicide about every 11 minutes. In 2021:</w:t>
      </w:r>
    </w:p>
    <w:p w:rsidR="00454021" w:rsidRPr="004553E3" w:rsidP="00454021" w14:paraId="2CA0EA72" w14:textId="77777777">
      <w:pPr>
        <w:numPr>
          <w:ilvl w:val="0"/>
          <w:numId w:val="42"/>
        </w:numPr>
        <w:shd w:val="clear" w:color="auto" w:fill="FFFFFF"/>
        <w:spacing w:before="100" w:beforeAutospacing="1" w:after="120"/>
        <w:ind w:left="1320"/>
      </w:pPr>
      <w:r w:rsidRPr="004553E3">
        <w:t>For people aged 10–14 and 25–34 years, suicide was the second-leading cause of death</w:t>
      </w:r>
    </w:p>
    <w:p w:rsidR="00454021" w:rsidRPr="004553E3" w:rsidP="00454021" w14:paraId="344EDC93" w14:textId="77777777">
      <w:pPr>
        <w:numPr>
          <w:ilvl w:val="0"/>
          <w:numId w:val="42"/>
        </w:numPr>
        <w:shd w:val="clear" w:color="auto" w:fill="FFFFFF"/>
        <w:spacing w:before="100" w:beforeAutospacing="1" w:after="120"/>
        <w:ind w:left="1320"/>
      </w:pPr>
      <w:r w:rsidRPr="004553E3">
        <w:t>Suicide rates increased significantly among non-Hispanic Black &amp; American Indian and Alaska Native people</w:t>
      </w:r>
    </w:p>
    <w:p w:rsidR="00454021" w:rsidRPr="004553E3" w:rsidP="00454021" w14:paraId="5070BFFA" w14:textId="77777777">
      <w:pPr>
        <w:numPr>
          <w:ilvl w:val="0"/>
          <w:numId w:val="42"/>
        </w:numPr>
        <w:shd w:val="clear" w:color="auto" w:fill="FFFFFF"/>
        <w:spacing w:before="100" w:beforeAutospacing="1" w:after="120"/>
        <w:ind w:left="1320"/>
      </w:pPr>
      <w:r w:rsidRPr="004553E3">
        <w:t>More than 105,000 people died from drug overdoses</w:t>
      </w:r>
    </w:p>
    <w:p w:rsidR="00454021" w:rsidRPr="004553E3" w:rsidP="00454021" w14:paraId="1081CC17" w14:textId="77777777">
      <w:pPr>
        <w:numPr>
          <w:ilvl w:val="0"/>
          <w:numId w:val="42"/>
        </w:numPr>
        <w:shd w:val="clear" w:color="auto" w:fill="FFFFFF"/>
        <w:spacing w:before="100" w:beforeAutospacing="1" w:after="120"/>
        <w:ind w:left="1320"/>
      </w:pPr>
      <w:r w:rsidRPr="004553E3">
        <w:t>Nearly 900,000 youth aged 12-17 and 1.7 million adults attempted suicide</w:t>
      </w:r>
    </w:p>
    <w:p w:rsidR="005E5CEC" w:rsidRPr="004553E3" w:rsidP="00B94F91" w14:paraId="5E7F41E8" w14:textId="77777777">
      <w:pPr>
        <w:autoSpaceDE w:val="0"/>
        <w:autoSpaceDN w:val="0"/>
        <w:adjustRightInd w:val="0"/>
        <w:spacing w:line="259" w:lineRule="exact"/>
      </w:pPr>
    </w:p>
    <w:p w:rsidR="00454021" w:rsidRPr="004553E3" w:rsidP="00970926" w14:paraId="531039EC" w14:textId="77777777">
      <w:pPr>
        <w:autoSpaceDE w:val="0"/>
        <w:autoSpaceDN w:val="0"/>
        <w:adjustRightInd w:val="0"/>
        <w:spacing w:line="259" w:lineRule="exact"/>
      </w:pPr>
      <w:r w:rsidRPr="004553E3">
        <w:t xml:space="preserve">The information being collected will be used by SAMHSA to </w:t>
      </w:r>
      <w:r w:rsidRPr="004553E3" w:rsidR="00D727D5">
        <w:t>ensure individuals in suicidal crisis can contact</w:t>
      </w:r>
      <w:r w:rsidRPr="004553E3">
        <w:t xml:space="preserve"> 988 Suicide and Crisis Lifeline </w:t>
      </w:r>
      <w:r w:rsidRPr="004553E3" w:rsidR="00D727D5">
        <w:t xml:space="preserve">and </w:t>
      </w:r>
      <w:r w:rsidRPr="004553E3">
        <w:t>are connected</w:t>
      </w:r>
      <w:r w:rsidRPr="004553E3" w:rsidR="00D727D5">
        <w:t xml:space="preserve"> to crisis centers</w:t>
      </w:r>
      <w:r w:rsidRPr="004553E3">
        <w:t xml:space="preserve"> provided evidence-based care and </w:t>
      </w:r>
      <w:r w:rsidRPr="004553E3" w:rsidR="00D727D5">
        <w:t>able to receive</w:t>
      </w:r>
      <w:r w:rsidRPr="004553E3">
        <w:t xml:space="preserve"> critical resource</w:t>
      </w:r>
      <w:r w:rsidRPr="004553E3" w:rsidR="00D727D5">
        <w:t xml:space="preserve"> referral and linkage</w:t>
      </w:r>
      <w:r w:rsidRPr="004553E3">
        <w:t>, including opportunities for mobile crisis support</w:t>
      </w:r>
      <w:r w:rsidRPr="004553E3" w:rsidR="00970926">
        <w:t xml:space="preserve">, </w:t>
      </w:r>
      <w:r w:rsidRPr="004553E3" w:rsidR="00D727D5">
        <w:t>c</w:t>
      </w:r>
      <w:r w:rsidRPr="004553E3" w:rsidR="00970926">
        <w:t xml:space="preserve">risis </w:t>
      </w:r>
      <w:r w:rsidRPr="004553E3" w:rsidR="00D727D5">
        <w:t>r</w:t>
      </w:r>
      <w:r w:rsidRPr="004553E3" w:rsidR="00970926">
        <w:t>eceiving and </w:t>
      </w:r>
      <w:r w:rsidRPr="004553E3" w:rsidR="00D727D5">
        <w:t>s</w:t>
      </w:r>
      <w:r w:rsidRPr="004553E3" w:rsidR="00970926">
        <w:t xml:space="preserve">tabilizing </w:t>
      </w:r>
      <w:r w:rsidRPr="004553E3" w:rsidR="00D727D5">
        <w:t>f</w:t>
      </w:r>
      <w:r w:rsidRPr="004553E3" w:rsidR="00970926">
        <w:t>acilities</w:t>
      </w:r>
      <w:r w:rsidRPr="004553E3" w:rsidR="00D727D5">
        <w:t>, p</w:t>
      </w:r>
      <w:r w:rsidRPr="004553E3" w:rsidR="00970926">
        <w:t xml:space="preserve">eer </w:t>
      </w:r>
      <w:r w:rsidRPr="004553E3" w:rsidR="00D727D5">
        <w:t>r</w:t>
      </w:r>
      <w:r w:rsidRPr="004553E3" w:rsidR="00970926">
        <w:t xml:space="preserve">espite </w:t>
      </w:r>
      <w:r w:rsidRPr="004553E3" w:rsidR="00D727D5">
        <w:t>c</w:t>
      </w:r>
      <w:r w:rsidRPr="004553E3" w:rsidR="00970926">
        <w:t>enters</w:t>
      </w:r>
      <w:r w:rsidRPr="004553E3" w:rsidR="00D727D5">
        <w:t xml:space="preserve"> and withdrawal management services. </w:t>
      </w:r>
    </w:p>
    <w:p w:rsidR="0070303B" w:rsidRPr="008678EC" w:rsidP="008A7977" w14:paraId="308AE801" w14:textId="77777777"/>
    <w:p w:rsidR="0070303B" w:rsidRPr="008678EC" w:rsidP="00B94F91" w14:paraId="5BF33CF6" w14:textId="77777777">
      <w:pPr>
        <w:autoSpaceDE w:val="0"/>
        <w:autoSpaceDN w:val="0"/>
        <w:adjustRightInd w:val="0"/>
        <w:spacing w:line="268" w:lineRule="exact"/>
        <w:rPr>
          <w:b/>
          <w:bCs/>
        </w:rPr>
      </w:pPr>
    </w:p>
    <w:p w:rsidR="003C48C7" w:rsidRPr="008678EC" w:rsidP="00B94F91" w14:paraId="1D7697F7" w14:textId="77777777">
      <w:pPr>
        <w:rPr>
          <w:b/>
          <w:bCs/>
          <w:u w:val="single"/>
        </w:rPr>
      </w:pPr>
      <w:r w:rsidRPr="008678EC">
        <w:rPr>
          <w:b/>
          <w:bCs/>
          <w:u w:val="single"/>
        </w:rPr>
        <w:t xml:space="preserve">Description of </w:t>
      </w:r>
      <w:r w:rsidRPr="008678EC" w:rsidR="007746F8">
        <w:rPr>
          <w:b/>
          <w:bCs/>
          <w:u w:val="single"/>
        </w:rPr>
        <w:t xml:space="preserve">Information </w:t>
      </w:r>
      <w:r w:rsidRPr="008678EC">
        <w:rPr>
          <w:b/>
          <w:bCs/>
          <w:u w:val="single"/>
        </w:rPr>
        <w:t>Collection and Purposes</w:t>
      </w:r>
    </w:p>
    <w:p w:rsidR="007746F8" w:rsidRPr="008678EC" w:rsidP="00F82E19" w14:paraId="69B0961A" w14:textId="77777777">
      <w:pPr>
        <w:rPr>
          <w:b/>
          <w:bCs/>
        </w:rPr>
      </w:pPr>
    </w:p>
    <w:p w:rsidR="00F82E19" w:rsidRPr="008678EC" w:rsidP="00F82E19" w14:paraId="367B4634" w14:textId="77777777">
      <w:pPr>
        <w:rPr>
          <w:b/>
          <w:bCs/>
        </w:rPr>
      </w:pPr>
      <w:r w:rsidRPr="008678EC">
        <w:rPr>
          <w:b/>
          <w:bCs/>
        </w:rPr>
        <w:t>Tribal Cooperative Agreements</w:t>
      </w:r>
    </w:p>
    <w:p w:rsidR="0067749C" w:rsidRPr="008678EC" w:rsidP="0067749C" w14:paraId="3240FBCE" w14:textId="77777777"/>
    <w:p w:rsidR="0067749C" w:rsidRPr="008678EC" w:rsidP="0067749C" w14:paraId="0208C92F" w14:textId="77777777">
      <w:r w:rsidRPr="008678EC">
        <w:t xml:space="preserve">The purpose of these cooperative agreements is to provide resources to improve response to 988 contacts (including calls, chats, and texts) originating in Tribal communities and/or activated by American Indians/Alaska Natives. This program aims to: (1) ensure American Indians/Alaska Natives have access to culturally competent, trained 988 crisis center support; (2) improve integration and support of 988 crisis centers, Tribal nations, and Tribal organizations to ensure there is navigation and follow-up care; and (3) facilitate collaborations with Tribal, state and territory health providers, Urban Indian Organizations, law enforcement, and other first responders in a manner which respects Tribal sovereignty. </w:t>
      </w:r>
      <w:bookmarkStart w:id="0" w:name="_Hlk133236941"/>
      <w:r w:rsidRPr="008678EC">
        <w:t>The information collection instruments include:</w:t>
      </w:r>
    </w:p>
    <w:p w:rsidR="0067749C" w:rsidRPr="008678EC" w:rsidP="0067749C" w14:paraId="261ABE28" w14:textId="77777777"/>
    <w:p w:rsidR="0067749C" w:rsidRPr="008678EC" w:rsidP="0067749C" w14:paraId="6AFDD335" w14:textId="77777777">
      <w:pPr>
        <w:numPr>
          <w:ilvl w:val="0"/>
          <w:numId w:val="37"/>
        </w:numPr>
      </w:pPr>
      <w:r w:rsidRPr="008678EC">
        <w:t>Tribal Gov</w:t>
      </w:r>
      <w:r w:rsidR="009D1759">
        <w:t>ernmen</w:t>
      </w:r>
      <w:r w:rsidRPr="008678EC">
        <w:t xml:space="preserve">t: Semi Annual Progress Report </w:t>
      </w:r>
    </w:p>
    <w:p w:rsidR="0067749C" w:rsidRPr="008678EC" w:rsidP="0067749C" w14:paraId="269C7E75" w14:textId="77777777">
      <w:pPr>
        <w:numPr>
          <w:ilvl w:val="0"/>
          <w:numId w:val="37"/>
        </w:numPr>
      </w:pPr>
      <w:r w:rsidRPr="008678EC">
        <w:t>Tribal Gov</w:t>
      </w:r>
      <w:r w:rsidR="009D1759">
        <w:t>ernmen</w:t>
      </w:r>
      <w:r w:rsidRPr="008678EC">
        <w:t xml:space="preserve">t: Monthly Meeting Agenda </w:t>
      </w:r>
    </w:p>
    <w:p w:rsidR="0067749C" w:rsidRPr="008678EC" w:rsidP="0067749C" w14:paraId="5CAC1F0D" w14:textId="77777777">
      <w:pPr>
        <w:numPr>
          <w:ilvl w:val="0"/>
          <w:numId w:val="37"/>
        </w:numPr>
      </w:pPr>
      <w:r w:rsidRPr="008678EC">
        <w:t>Tribal Gov</w:t>
      </w:r>
      <w:r w:rsidR="009D1759">
        <w:t>ernmen</w:t>
      </w:r>
      <w:r w:rsidRPr="008678EC">
        <w:t>t: Quality Improvement Plan</w:t>
      </w:r>
    </w:p>
    <w:bookmarkEnd w:id="0"/>
    <w:p w:rsidR="00A15CFA" w:rsidRPr="008678EC" w:rsidP="00B94F91" w14:paraId="523019AD" w14:textId="77777777"/>
    <w:p w:rsidR="0067749C" w:rsidRPr="008678EC" w:rsidP="0067749C" w14:paraId="1A55E787" w14:textId="77777777">
      <w:pPr>
        <w:rPr>
          <w:b/>
          <w:bCs/>
        </w:rPr>
      </w:pPr>
      <w:r w:rsidRPr="008678EC">
        <w:rPr>
          <w:b/>
          <w:bCs/>
        </w:rPr>
        <w:t>State and Territory Cooperative Agreements</w:t>
      </w:r>
    </w:p>
    <w:p w:rsidR="0067749C" w:rsidRPr="008678EC" w:rsidP="0067749C" w14:paraId="6C9FEC2C" w14:textId="77777777"/>
    <w:p w:rsidR="0067749C" w:rsidRPr="008678EC" w:rsidP="0067749C" w14:paraId="4E3454C9" w14:textId="77777777">
      <w:r w:rsidRPr="008678EC">
        <w:t>The purpose of these cooperative agreements is to improve state and territory response to 988 contacts (including calls, chats, and texts) originating in the state/territory by: (1) recruiting, hiring and training behavioral health workforce to staff local 988/Lifeline centers to respond, intervene, and provide follow-up to individuals experiencing a behavioral health crisis; (2) engaging Lifeline crisis centers to unify 988 response across states/territories; and (3) expanding the crisis center staffing and response structure needed for the successful implementation of 988. It is expected that these grants will: (1) ensure all calls originating in a state/territory first route to a local, regional and/or statewide Lifeline crisis call center; (2) improve state/territory response rates to meet minimum key performance indicators; and (3) increase state/territory support capacity to meet 988 crisis contact demand. The information collection instruments include:</w:t>
      </w:r>
    </w:p>
    <w:p w:rsidR="0067749C" w:rsidRPr="008678EC" w:rsidP="0067749C" w14:paraId="48A58626" w14:textId="77777777"/>
    <w:p w:rsidR="0067749C" w:rsidRPr="008678EC" w:rsidP="0067749C" w14:paraId="1118458F" w14:textId="77777777">
      <w:pPr>
        <w:numPr>
          <w:ilvl w:val="0"/>
          <w:numId w:val="37"/>
        </w:numPr>
      </w:pPr>
      <w:r w:rsidRPr="008678EC">
        <w:t xml:space="preserve">State/Territory: Monthly Key Metrics </w:t>
      </w:r>
    </w:p>
    <w:p w:rsidR="0067749C" w:rsidRPr="008678EC" w:rsidP="0067749C" w14:paraId="6B314C0C" w14:textId="77777777">
      <w:pPr>
        <w:numPr>
          <w:ilvl w:val="0"/>
          <w:numId w:val="37"/>
        </w:numPr>
      </w:pPr>
      <w:r w:rsidRPr="008678EC">
        <w:t>State/Territory: Quarterly Report Template</w:t>
      </w:r>
    </w:p>
    <w:p w:rsidR="0067749C" w:rsidRPr="008678EC" w:rsidP="0067749C" w14:paraId="5D3F650A" w14:textId="77777777">
      <w:pPr>
        <w:numPr>
          <w:ilvl w:val="0"/>
          <w:numId w:val="37"/>
        </w:numPr>
      </w:pPr>
      <w:r w:rsidRPr="008678EC">
        <w:rPr>
          <w:bCs/>
        </w:rPr>
        <w:t>State/Territory: Programmatic QI Plan (Annual Collection)</w:t>
      </w:r>
    </w:p>
    <w:p w:rsidR="0067749C" w:rsidRPr="008678EC" w:rsidP="0067749C" w14:paraId="64141410" w14:textId="77777777">
      <w:pPr>
        <w:numPr>
          <w:ilvl w:val="0"/>
          <w:numId w:val="37"/>
        </w:numPr>
      </w:pPr>
      <w:r w:rsidRPr="008678EC">
        <w:rPr>
          <w:bCs/>
        </w:rPr>
        <w:t>State/Territory: Monthly Meeting Call Agenda</w:t>
      </w:r>
    </w:p>
    <w:p w:rsidR="0067749C" w:rsidRPr="008678EC" w:rsidP="0067749C" w14:paraId="71528513" w14:textId="77777777">
      <w:pPr>
        <w:numPr>
          <w:ilvl w:val="0"/>
          <w:numId w:val="37"/>
        </w:numPr>
      </w:pPr>
      <w:r w:rsidRPr="008678EC">
        <w:rPr>
          <w:bCs/>
        </w:rPr>
        <w:t>State/Territory: Chat and Text Report (Annual Collection)</w:t>
      </w:r>
    </w:p>
    <w:p w:rsidR="0067749C" w:rsidRPr="008678EC" w:rsidP="0067749C" w14:paraId="05C80CE3" w14:textId="77777777">
      <w:pPr>
        <w:numPr>
          <w:ilvl w:val="0"/>
          <w:numId w:val="37"/>
        </w:numPr>
      </w:pPr>
      <w:r w:rsidRPr="008678EC">
        <w:rPr>
          <w:bCs/>
        </w:rPr>
        <w:t>State/Territory: Communications Plan</w:t>
      </w:r>
      <w:r w:rsidRPr="008678EC">
        <w:rPr>
          <w:b/>
        </w:rPr>
        <w:t xml:space="preserve"> </w:t>
      </w:r>
      <w:r w:rsidRPr="008678EC">
        <w:rPr>
          <w:bCs/>
        </w:rPr>
        <w:t>(Annual Collection)</w:t>
      </w:r>
    </w:p>
    <w:p w:rsidR="0067749C" w:rsidRPr="008678EC" w:rsidP="0067749C" w14:paraId="66A311FE" w14:textId="77777777">
      <w:pPr>
        <w:numPr>
          <w:ilvl w:val="0"/>
          <w:numId w:val="37"/>
        </w:numPr>
      </w:pPr>
      <w:r w:rsidRPr="008678EC">
        <w:rPr>
          <w:bCs/>
        </w:rPr>
        <w:t>State/Territory: Sustainability Plan (Annual Collection)</w:t>
      </w:r>
    </w:p>
    <w:p w:rsidR="0067749C" w:rsidRPr="008678EC" w:rsidP="00FB3CA7" w14:paraId="18F61996" w14:textId="77777777">
      <w:pPr>
        <w:numPr>
          <w:ilvl w:val="0"/>
          <w:numId w:val="37"/>
        </w:numPr>
      </w:pPr>
      <w:r w:rsidRPr="008678EC">
        <w:rPr>
          <w:bCs/>
        </w:rPr>
        <w:t>State/Territory: Mobile Crisis and 988-911 reports (Annual Collection)</w:t>
      </w:r>
    </w:p>
    <w:p w:rsidR="00FF02BC" w:rsidRPr="008678EC" w:rsidP="00B94F91" w14:paraId="344060F1" w14:textId="77777777">
      <w:r w:rsidRPr="008678EC">
        <w:t xml:space="preserve"> </w:t>
      </w:r>
    </w:p>
    <w:p w:rsidR="0067749C" w:rsidRPr="008678EC" w:rsidP="0067749C" w14:paraId="24D3C20A" w14:textId="77777777">
      <w:pPr>
        <w:rPr>
          <w:b/>
          <w:bCs/>
        </w:rPr>
      </w:pPr>
      <w:r w:rsidRPr="008678EC">
        <w:rPr>
          <w:b/>
          <w:bCs/>
        </w:rPr>
        <w:t>988 Crisis Center Follow Up Cooperative Agreements</w:t>
      </w:r>
    </w:p>
    <w:p w:rsidR="0067749C" w:rsidRPr="008678EC" w:rsidP="0067749C" w14:paraId="6AC7ADDB" w14:textId="77777777">
      <w:r w:rsidRPr="008678EC">
        <w:t xml:space="preserve"> </w:t>
      </w:r>
    </w:p>
    <w:p w:rsidR="0067749C" w:rsidRPr="008678EC" w:rsidP="0067749C" w14:paraId="09659B8E" w14:textId="77777777">
      <w:r w:rsidRPr="008678EC">
        <w:t>The purpose of this program is to provide a crisis center response that: (1) ensures the systematic follow-up of suicidal persons who contact a 988 Suicide and Crisis Lifeline (988 Lifeline) Crisis Center; (2) provides enhanced coordination of crisis stabilization, crisis respite, mobile crisis outreach (MCO) response services and other services on the crisis continuum of care; (3) reduces unnecessary police engagement and; (4) improves connections for high-risk populations.  It is expected that this program will significantly enhance continuity of care with engagement of hospitals, behavioral health organizations and services, as well as 911/Public Safety Answering Points</w:t>
      </w:r>
      <w:r w:rsidR="00BC7295">
        <w:t xml:space="preserve"> (PSAPS)</w:t>
      </w:r>
      <w:r w:rsidRPr="008678EC">
        <w:t xml:space="preserve">, MCO and police, to safeguard and ultimately improve the well-being of individuals who are at risk of suicide. </w:t>
      </w:r>
      <w:bookmarkStart w:id="1" w:name="_Hlk133237200"/>
      <w:r w:rsidRPr="008678EC">
        <w:t>The information collection instruments include:</w:t>
      </w:r>
    </w:p>
    <w:p w:rsidR="0067749C" w:rsidRPr="008678EC" w:rsidP="0067749C" w14:paraId="1A0D46C4" w14:textId="77777777"/>
    <w:p w:rsidR="0067749C" w:rsidRPr="008678EC" w:rsidP="0067749C" w14:paraId="0A609F2E" w14:textId="77777777">
      <w:pPr>
        <w:numPr>
          <w:ilvl w:val="0"/>
          <w:numId w:val="37"/>
        </w:numPr>
      </w:pPr>
      <w:r w:rsidRPr="008678EC">
        <w:t xml:space="preserve">Crisis Center Data Reporting Elements </w:t>
      </w:r>
    </w:p>
    <w:p w:rsidR="0067749C" w:rsidRPr="008678EC" w:rsidP="0067749C" w14:paraId="37C7503F" w14:textId="77777777">
      <w:pPr>
        <w:numPr>
          <w:ilvl w:val="0"/>
          <w:numId w:val="37"/>
        </w:numPr>
      </w:pPr>
      <w:r w:rsidRPr="008678EC">
        <w:t>Crisis Center Monthly Agenda Template</w:t>
      </w:r>
    </w:p>
    <w:bookmarkEnd w:id="1"/>
    <w:p w:rsidR="0067749C" w:rsidRPr="008678EC" w:rsidP="0067749C" w14:paraId="745E64FD" w14:textId="77777777"/>
    <w:p w:rsidR="0067749C" w:rsidRPr="008678EC" w:rsidP="0067749C" w14:paraId="64553186" w14:textId="77777777">
      <w:pPr>
        <w:rPr>
          <w:b/>
          <w:bCs/>
        </w:rPr>
      </w:pPr>
      <w:r w:rsidRPr="008678EC">
        <w:rPr>
          <w:b/>
          <w:bCs/>
        </w:rPr>
        <w:t>988 Lifeline Administrator</w:t>
      </w:r>
    </w:p>
    <w:p w:rsidR="0067749C" w:rsidRPr="008678EC" w:rsidP="0067749C" w14:paraId="3359C603" w14:textId="77777777">
      <w:pPr>
        <w:rPr>
          <w:bCs/>
        </w:rPr>
      </w:pPr>
    </w:p>
    <w:p w:rsidR="0067749C" w:rsidRPr="008678EC" w:rsidP="0067749C" w14:paraId="160E1CE3" w14:textId="77777777">
      <w:r w:rsidRPr="008678EC">
        <w:rPr>
          <w:bCs/>
        </w:rPr>
        <w:t>The purpose of this program is to manage, enhance, and strengthen the 988 Lifeline network that routes individuals in the United States to a network of certified crisis centers that link to local emergency, mental health, and social services resources. The 988 Lifeline is a 24/7 confidential suicide and crisis hotline providing phone, chat, and text services for anyone in the United States experiencing a suicidal crisis or in emotional distress. This funding will support the continuation of all active services, expand access for high-risk populations, improve services to ensure equity of access, and support infrastructure to ensure stability, safety, privacy, and connection of service.</w:t>
      </w:r>
      <w:r w:rsidRPr="008678EC">
        <w:t xml:space="preserve"> The information collection instruments include:</w:t>
      </w:r>
    </w:p>
    <w:p w:rsidR="0067749C" w:rsidRPr="008678EC" w:rsidP="0067749C" w14:paraId="3676E1FE" w14:textId="77777777"/>
    <w:p w:rsidR="0067749C" w:rsidRPr="008678EC" w:rsidP="0067749C" w14:paraId="09C8A997" w14:textId="77777777">
      <w:pPr>
        <w:numPr>
          <w:ilvl w:val="0"/>
          <w:numId w:val="37"/>
        </w:numPr>
      </w:pPr>
      <w:r w:rsidRPr="008678EC">
        <w:t>Instrument 1: Lifeline Key Metrics (Monthly)</w:t>
      </w:r>
    </w:p>
    <w:p w:rsidR="0067749C" w:rsidRPr="008678EC" w:rsidP="00FB3CA7" w14:paraId="721EB0F0" w14:textId="77777777">
      <w:pPr>
        <w:numPr>
          <w:ilvl w:val="0"/>
          <w:numId w:val="37"/>
        </w:numPr>
      </w:pPr>
      <w:r w:rsidRPr="008678EC">
        <w:t>Instrument 2: Monthly Progress Reports</w:t>
      </w:r>
    </w:p>
    <w:p w:rsidR="00E16830" w:rsidRPr="008678EC" w:rsidP="00B94F91" w14:paraId="1E76D20A" w14:textId="77777777"/>
    <w:p w:rsidR="00124B8B" w:rsidRPr="008678EC" w:rsidP="00B94F91" w14:paraId="4F647E02" w14:textId="77777777"/>
    <w:p w:rsidR="0070497D" w:rsidRPr="008678EC" w:rsidP="00B94F91" w14:paraId="5D42EB4A" w14:textId="77777777">
      <w:pPr>
        <w:autoSpaceDE w:val="0"/>
        <w:autoSpaceDN w:val="0"/>
        <w:adjustRightInd w:val="0"/>
        <w:spacing w:line="302" w:lineRule="exact"/>
        <w:rPr>
          <w:b/>
          <w:bCs/>
        </w:rPr>
      </w:pPr>
    </w:p>
    <w:p w:rsidR="005E5CEC" w:rsidRPr="008678EC" w:rsidP="00B94F91" w14:paraId="6B496A8B" w14:textId="77777777">
      <w:pPr>
        <w:autoSpaceDE w:val="0"/>
        <w:autoSpaceDN w:val="0"/>
        <w:adjustRightInd w:val="0"/>
        <w:spacing w:line="302" w:lineRule="exact"/>
        <w:rPr>
          <w:b/>
          <w:bCs/>
          <w:u w:val="single"/>
        </w:rPr>
      </w:pPr>
      <w:r w:rsidRPr="008678EC">
        <w:rPr>
          <w:b/>
          <w:bCs/>
        </w:rPr>
        <w:t xml:space="preserve">3. </w:t>
      </w:r>
      <w:r w:rsidRPr="008678EC" w:rsidR="007171B7">
        <w:rPr>
          <w:b/>
          <w:bCs/>
        </w:rPr>
        <w:tab/>
      </w:r>
      <w:r w:rsidRPr="008678EC">
        <w:rPr>
          <w:b/>
          <w:bCs/>
          <w:u w:val="single"/>
        </w:rPr>
        <w:t xml:space="preserve">Use of Information </w:t>
      </w:r>
      <w:r w:rsidRPr="008678EC" w:rsidR="00962C60">
        <w:rPr>
          <w:b/>
          <w:bCs/>
          <w:u w:val="single"/>
        </w:rPr>
        <w:t>Technology</w:t>
      </w:r>
      <w:r w:rsidRPr="008678EC">
        <w:rPr>
          <w:b/>
          <w:bCs/>
          <w:u w:val="single"/>
        </w:rPr>
        <w:t xml:space="preserve"> </w:t>
      </w:r>
    </w:p>
    <w:p w:rsidR="005E5CEC" w:rsidRPr="008678EC" w:rsidP="00B94F91" w14:paraId="7A894F94" w14:textId="77777777">
      <w:pPr>
        <w:autoSpaceDE w:val="0"/>
        <w:autoSpaceDN w:val="0"/>
        <w:adjustRightInd w:val="0"/>
        <w:spacing w:line="259" w:lineRule="exact"/>
      </w:pPr>
    </w:p>
    <w:p w:rsidR="003C6574" w:rsidRPr="008678EC" w:rsidP="003C6574" w14:paraId="00BECEFD" w14:textId="77777777">
      <w:r w:rsidRPr="008678EC">
        <w:t xml:space="preserve">All </w:t>
      </w:r>
      <w:r w:rsidRPr="008678EC" w:rsidR="00CD0EAA">
        <w:t xml:space="preserve">performance monitoring reports for all </w:t>
      </w:r>
      <w:r w:rsidRPr="008678EC" w:rsidR="001F510C">
        <w:t xml:space="preserve">988 Cooperative Agreements </w:t>
      </w:r>
      <w:r w:rsidRPr="008678EC" w:rsidR="008901A5">
        <w:t xml:space="preserve">will be </w:t>
      </w:r>
      <w:r w:rsidRPr="008678EC">
        <w:t xml:space="preserve">administered online. This includes </w:t>
      </w:r>
      <w:r w:rsidRPr="008678EC" w:rsidR="00CD0EAA">
        <w:t xml:space="preserve">all annual or one-time collection reports and plans, along with monthly and quarterly program outcome reports </w:t>
      </w:r>
      <w:r w:rsidRPr="008678EC">
        <w:t xml:space="preserve">that </w:t>
      </w:r>
      <w:r w:rsidRPr="008678EC" w:rsidR="008901A5">
        <w:t xml:space="preserve">will be </w:t>
      </w:r>
      <w:r w:rsidRPr="008678EC">
        <w:t xml:space="preserve">distributed to consenting participants via electronic mail.  </w:t>
      </w:r>
      <w:r w:rsidRPr="008678EC" w:rsidR="00CD0EAA">
        <w:t xml:space="preserve">All </w:t>
      </w:r>
      <w:r w:rsidRPr="008678EC" w:rsidR="00536C3F">
        <w:t xml:space="preserve">GPRA required data will be collected via SAMHSA’s SPARS system, and other data elements will be submitted through ERA or via email to the grantee’s Government Project Officer. </w:t>
      </w:r>
    </w:p>
    <w:p w:rsidR="003C6574" w:rsidRPr="008678EC" w:rsidP="003C6574" w14:paraId="33177AE1" w14:textId="77777777">
      <w:pPr>
        <w:rPr>
          <w:highlight w:val="cyan"/>
        </w:rPr>
      </w:pPr>
    </w:p>
    <w:p w:rsidR="003C6574" w:rsidRPr="008678EC" w:rsidP="003C6574" w14:paraId="26D1E1B5" w14:textId="77777777">
      <w:r w:rsidRPr="008678EC">
        <w:t>All data collected will be managed in electronic databases</w:t>
      </w:r>
      <w:r w:rsidRPr="008678EC" w:rsidR="00536C3F">
        <w:t xml:space="preserve"> or submitted via email</w:t>
      </w:r>
      <w:r w:rsidRPr="008678EC">
        <w:t xml:space="preserve">. The </w:t>
      </w:r>
      <w:r w:rsidRPr="008678EC" w:rsidR="001F510C">
        <w:t xml:space="preserve">988 </w:t>
      </w:r>
      <w:r w:rsidRPr="008678EC" w:rsidR="00B0334E">
        <w:t xml:space="preserve">Cooperative Agreements </w:t>
      </w:r>
      <w:r w:rsidRPr="008678EC">
        <w:t xml:space="preserve">are responsible for data collection and entry for their events. Data collected on all the instruments are entered/transferred into the online database maintained by SAMHSA's contractor. Once </w:t>
      </w:r>
      <w:r w:rsidRPr="008678EC">
        <w:t xml:space="preserve">data are entered into the system, they are available to SAMHSA for review. These data can also be downloaded by the </w:t>
      </w:r>
      <w:r w:rsidRPr="008678EC" w:rsidR="001F510C">
        <w:t xml:space="preserve">988 </w:t>
      </w:r>
      <w:r w:rsidRPr="008678EC" w:rsidR="00B0334E">
        <w:t xml:space="preserve">Cooperative Agreements </w:t>
      </w:r>
      <w:r w:rsidRPr="008678EC">
        <w:t xml:space="preserve">for their use. </w:t>
      </w:r>
    </w:p>
    <w:p w:rsidR="003C6574" w:rsidRPr="008678EC" w:rsidP="00B94F91" w14:paraId="5CCCA52C" w14:textId="77777777">
      <w:pPr>
        <w:autoSpaceDE w:val="0"/>
        <w:autoSpaceDN w:val="0"/>
        <w:adjustRightInd w:val="0"/>
        <w:spacing w:line="268" w:lineRule="exact"/>
      </w:pPr>
    </w:p>
    <w:p w:rsidR="005E5CEC" w:rsidRPr="008678EC" w:rsidP="00B94F91" w14:paraId="31E964F6" w14:textId="77777777">
      <w:pPr>
        <w:autoSpaceDE w:val="0"/>
        <w:autoSpaceDN w:val="0"/>
        <w:adjustRightInd w:val="0"/>
        <w:spacing w:line="278" w:lineRule="exact"/>
        <w:rPr>
          <w:b/>
          <w:bCs/>
          <w:u w:val="single"/>
        </w:rPr>
      </w:pPr>
      <w:r w:rsidRPr="008678EC">
        <w:rPr>
          <w:b/>
          <w:bCs/>
        </w:rPr>
        <w:t>4.</w:t>
      </w:r>
      <w:r w:rsidRPr="008678EC">
        <w:rPr>
          <w:b/>
          <w:bCs/>
        </w:rPr>
        <w:tab/>
      </w:r>
      <w:r w:rsidRPr="008678EC">
        <w:rPr>
          <w:b/>
          <w:bCs/>
          <w:u w:val="single"/>
        </w:rPr>
        <w:t xml:space="preserve">Efforts to Identify Duplication </w:t>
      </w:r>
    </w:p>
    <w:p w:rsidR="005E5CEC" w:rsidRPr="008678EC" w:rsidP="00B94F91" w14:paraId="61D2F699" w14:textId="77777777">
      <w:pPr>
        <w:autoSpaceDE w:val="0"/>
        <w:autoSpaceDN w:val="0"/>
        <w:adjustRightInd w:val="0"/>
        <w:spacing w:line="259" w:lineRule="exact"/>
      </w:pPr>
      <w:r w:rsidRPr="008678EC">
        <w:rPr>
          <w:noProof/>
        </w:rPr>
        <mc:AlternateContent>
          <mc:Choice Requires="wps">
            <w:drawing>
              <wp:anchor distT="0" distB="0" distL="114300" distR="114300" simplePos="0" relativeHeight="251660288" behindDoc="1" locked="0" layoutInCell="1" allowOverlap="1">
                <wp:simplePos x="0" y="0"/>
                <wp:positionH relativeFrom="column">
                  <wp:posOffset>7023735</wp:posOffset>
                </wp:positionH>
                <wp:positionV relativeFrom="paragraph">
                  <wp:posOffset>-1102360</wp:posOffset>
                </wp:positionV>
                <wp:extent cx="304800" cy="1443355"/>
                <wp:effectExtent l="0" t="0" r="0" b="0"/>
                <wp:wrapNone/>
                <wp:docPr id="4"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304800"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6B82" w:rsidRPr="004878E2" w:rsidP="004878E2" w14:paraId="70D985B3"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6" style="width:24pt;height:113.65pt;margin-top:-86.8pt;margin-left:553.05pt;flip:x;mso-height-percent:0;mso-height-relative:page;mso-width-percent:0;mso-width-relative:page;mso-wrap-distance-bottom:0;mso-wrap-distance-left:9pt;mso-wrap-distance-right:9pt;mso-wrap-distance-top:0;mso-wrap-style:square;position:absolute;visibility:visible;v-text-anchor:top;z-index:-251655168" stroked="f">
                <v:textbox>
                  <w:txbxContent>
                    <w:p w:rsidR="007E6B82" w:rsidRPr="004878E2" w:rsidP="004878E2" w14:paraId="1F61004D" w14:textId="77777777"/>
                  </w:txbxContent>
                </v:textbox>
              </v:rect>
            </w:pict>
          </mc:Fallback>
        </mc:AlternateContent>
      </w:r>
    </w:p>
    <w:p w:rsidR="005E5CEC" w:rsidRPr="008678EC" w:rsidP="00B94F91" w14:paraId="754B457D" w14:textId="77777777">
      <w:pPr>
        <w:autoSpaceDE w:val="0"/>
        <w:autoSpaceDN w:val="0"/>
        <w:adjustRightInd w:val="0"/>
        <w:spacing w:line="259" w:lineRule="exact"/>
      </w:pPr>
      <w:r w:rsidRPr="008678EC">
        <w:t xml:space="preserve">The data to be collected are unique and are not otherwise available. </w:t>
      </w:r>
    </w:p>
    <w:p w:rsidR="005E5CEC" w:rsidRPr="008678EC" w:rsidP="00B94F91" w14:paraId="63B5BA8E" w14:textId="77777777">
      <w:pPr>
        <w:autoSpaceDE w:val="0"/>
        <w:autoSpaceDN w:val="0"/>
        <w:adjustRightInd w:val="0"/>
        <w:spacing w:line="259" w:lineRule="exact"/>
      </w:pPr>
    </w:p>
    <w:p w:rsidR="005E5CEC" w:rsidRPr="008678EC" w:rsidP="00B94F91" w14:paraId="4DC2B406" w14:textId="77777777">
      <w:pPr>
        <w:autoSpaceDE w:val="0"/>
        <w:autoSpaceDN w:val="0"/>
        <w:adjustRightInd w:val="0"/>
        <w:spacing w:line="278" w:lineRule="exact"/>
        <w:rPr>
          <w:b/>
          <w:bCs/>
        </w:rPr>
      </w:pPr>
      <w:r w:rsidRPr="008678EC">
        <w:rPr>
          <w:b/>
          <w:bCs/>
        </w:rPr>
        <w:t xml:space="preserve">5. </w:t>
      </w:r>
      <w:r w:rsidRPr="008678EC" w:rsidR="00A30FB6">
        <w:rPr>
          <w:b/>
          <w:bCs/>
        </w:rPr>
        <w:tab/>
      </w:r>
      <w:r w:rsidRPr="008678EC">
        <w:rPr>
          <w:b/>
          <w:bCs/>
          <w:u w:val="single"/>
        </w:rPr>
        <w:t>Involvement of Small Entities</w:t>
      </w:r>
      <w:r w:rsidRPr="008678EC">
        <w:rPr>
          <w:b/>
          <w:bCs/>
        </w:rPr>
        <w:t xml:space="preserve"> </w:t>
      </w:r>
    </w:p>
    <w:p w:rsidR="005E5CEC" w:rsidRPr="008678EC" w:rsidP="00B94F91" w14:paraId="41812D3C" w14:textId="77777777">
      <w:pPr>
        <w:autoSpaceDE w:val="0"/>
        <w:autoSpaceDN w:val="0"/>
        <w:adjustRightInd w:val="0"/>
        <w:spacing w:line="259" w:lineRule="exact"/>
      </w:pPr>
    </w:p>
    <w:p w:rsidR="008F450E" w:rsidRPr="008678EC" w:rsidP="00B94F91" w14:paraId="13B13596" w14:textId="77777777">
      <w:r w:rsidRPr="008678EC">
        <w:t xml:space="preserve">Participation in the </w:t>
      </w:r>
      <w:r w:rsidRPr="008678EC" w:rsidR="001F510C">
        <w:t>988 Cooperative Agreements program</w:t>
      </w:r>
      <w:r w:rsidRPr="008678EC" w:rsidR="001D0EB8">
        <w:t xml:space="preserve"> monitoring</w:t>
      </w:r>
      <w:r w:rsidRPr="008678EC">
        <w:t xml:space="preserve"> will not be a significant burden on small businesses or small entities or on their workforces.</w:t>
      </w:r>
    </w:p>
    <w:p w:rsidR="005E5CEC" w:rsidRPr="008678EC" w:rsidP="00B94F91" w14:paraId="1061665B" w14:textId="77777777">
      <w:pPr>
        <w:autoSpaceDE w:val="0"/>
        <w:autoSpaceDN w:val="0"/>
        <w:adjustRightInd w:val="0"/>
        <w:spacing w:line="259" w:lineRule="exact"/>
      </w:pPr>
      <w:r w:rsidRPr="008678EC">
        <w:t xml:space="preserve"> </w:t>
      </w:r>
    </w:p>
    <w:p w:rsidR="005E5CEC" w:rsidRPr="008678EC" w:rsidP="00B94F91" w14:paraId="03A060A4" w14:textId="77777777">
      <w:pPr>
        <w:autoSpaceDE w:val="0"/>
        <w:autoSpaceDN w:val="0"/>
        <w:adjustRightInd w:val="0"/>
        <w:spacing w:line="278" w:lineRule="exact"/>
        <w:rPr>
          <w:b/>
          <w:bCs/>
          <w:u w:val="single"/>
        </w:rPr>
      </w:pPr>
      <w:r w:rsidRPr="008678EC">
        <w:rPr>
          <w:b/>
          <w:bCs/>
        </w:rPr>
        <w:t xml:space="preserve">6. </w:t>
      </w:r>
      <w:r w:rsidRPr="008678EC" w:rsidR="00A30FB6">
        <w:rPr>
          <w:b/>
          <w:bCs/>
        </w:rPr>
        <w:tab/>
      </w:r>
      <w:r w:rsidRPr="008678EC">
        <w:rPr>
          <w:b/>
          <w:bCs/>
          <w:u w:val="single"/>
        </w:rPr>
        <w:t>Conse</w:t>
      </w:r>
      <w:r w:rsidRPr="008678EC" w:rsidR="00A30FB6">
        <w:rPr>
          <w:b/>
          <w:bCs/>
          <w:u w:val="single"/>
        </w:rPr>
        <w:t>q</w:t>
      </w:r>
      <w:r w:rsidRPr="008678EC">
        <w:rPr>
          <w:b/>
          <w:bCs/>
          <w:u w:val="single"/>
        </w:rPr>
        <w:t>uences If Information Collected Less Fre</w:t>
      </w:r>
      <w:r w:rsidRPr="008678EC" w:rsidR="00A30FB6">
        <w:rPr>
          <w:b/>
          <w:bCs/>
          <w:u w:val="single"/>
        </w:rPr>
        <w:t>quently</w:t>
      </w:r>
      <w:r w:rsidRPr="008678EC">
        <w:rPr>
          <w:b/>
          <w:bCs/>
          <w:u w:val="single"/>
        </w:rPr>
        <w:t xml:space="preserve"> </w:t>
      </w:r>
    </w:p>
    <w:p w:rsidR="005E5CEC" w:rsidRPr="008678EC" w:rsidP="00B94F91" w14:paraId="3AA8342B" w14:textId="77777777">
      <w:pPr>
        <w:autoSpaceDE w:val="0"/>
        <w:autoSpaceDN w:val="0"/>
        <w:adjustRightInd w:val="0"/>
        <w:spacing w:line="259" w:lineRule="exact"/>
      </w:pPr>
    </w:p>
    <w:p w:rsidR="002B450A" w:rsidRPr="008678EC" w:rsidP="002B450A" w14:paraId="61E61F20" w14:textId="77777777">
      <w:pPr>
        <w:numPr>
          <w:ilvl w:val="12"/>
          <w:numId w:val="0"/>
        </w:numPr>
        <w:spacing w:after="240"/>
      </w:pPr>
      <w:r w:rsidRPr="008678EC">
        <w:t>All report items requested from 988 cooperative agreement grantees have been identified as critical to ensuring suicide prevention and crisis care services are provide through all 988 lines of services (phone, chat, and text) and that individuals in crisis are aware and access 988. The items collected are necessary not only to assess grantee performance, but due to national backup services for 988</w:t>
      </w:r>
      <w:r w:rsidR="00BC7295">
        <w:t xml:space="preserve"> and</w:t>
      </w:r>
      <w:r w:rsidRPr="008678EC">
        <w:t xml:space="preserve"> </w:t>
      </w:r>
      <w:r w:rsidR="00BC7295">
        <w:t xml:space="preserve">to </w:t>
      </w:r>
      <w:r w:rsidRPr="008678EC">
        <w:t xml:space="preserve">form individual </w:t>
      </w:r>
      <w:r w:rsidRPr="008678EC" w:rsidR="007B268A">
        <w:t>outcome pieces for a national system as a whole</w:t>
      </w:r>
      <w:r w:rsidRPr="008678EC">
        <w:t xml:space="preserve">.  </w:t>
      </w:r>
      <w:r w:rsidRPr="008678EC" w:rsidR="007B268A">
        <w:t xml:space="preserve">A delay in information communication may lead to inability for individuals in crisis to reach 988 services, including potential linkage in emergency intervention through 911 PSAPs. </w:t>
      </w:r>
      <w:r w:rsidRPr="008678EC">
        <w:t xml:space="preserve">SAMHSA is </w:t>
      </w:r>
      <w:r w:rsidRPr="008678EC" w:rsidR="007B268A">
        <w:t xml:space="preserve">also </w:t>
      </w:r>
      <w:r w:rsidRPr="008678EC">
        <w:t>promoting the use of consistent performance and outcomes measures across all programs; this effort will result in less overlap and duplication,</w:t>
      </w:r>
      <w:r w:rsidRPr="008678EC" w:rsidR="007B268A">
        <w:t xml:space="preserve"> will result in similar comparisons of impact and service, </w:t>
      </w:r>
      <w:r w:rsidRPr="008678EC">
        <w:t xml:space="preserve">and will substantially reduce the burden on grantees that results from data demands associated with individual programs. </w:t>
      </w:r>
    </w:p>
    <w:p w:rsidR="002B450A" w:rsidRPr="008678EC" w:rsidP="002B450A" w14:paraId="5444EFBB" w14:textId="77777777">
      <w:pPr>
        <w:numPr>
          <w:ilvl w:val="12"/>
          <w:numId w:val="0"/>
        </w:numPr>
        <w:spacing w:after="240"/>
      </w:pPr>
      <w:r w:rsidRPr="008678EC">
        <w:t xml:space="preserve">A program-level review of current measures and methods of data collection was conducted to identify duplication of these data collection efforts.  With the goal of creating standardized indicators and methods for monitoring grantee performance across the Center, existing measures were considered for use where appropriate.  </w:t>
      </w:r>
      <w:r w:rsidRPr="008678EC" w:rsidR="007B268A">
        <w:t xml:space="preserve">Data collection elements were chosen by SAMHSA approved SPARS indicators, 988 Suicide and Crisis Lifeline outcome measures, and </w:t>
      </w:r>
      <w:r w:rsidRPr="008678EC" w:rsidR="005310D5">
        <w:t xml:space="preserve">information needed for effectiveness evaluation of 988 and referral services. </w:t>
      </w:r>
    </w:p>
    <w:p w:rsidR="009B5CAC" w:rsidRPr="008678EC" w:rsidP="00A20E56" w14:paraId="73ADC25B" w14:textId="77777777">
      <w:pPr>
        <w:numPr>
          <w:ilvl w:val="12"/>
          <w:numId w:val="0"/>
        </w:numPr>
        <w:spacing w:after="240"/>
      </w:pPr>
      <w:r w:rsidRPr="008678EC">
        <w:t>SAMHSA will work closely with grantees to identify whether other data are being collected by the grantee, which may be redundant to the GPRA instrument.  When duplication is identified, SAMHSA and the grantees will identify a priority action plan to leverage the duplicative efforts, and streamline the data items to reduce client burden.</w:t>
      </w:r>
    </w:p>
    <w:p w:rsidR="005E5CEC" w:rsidRPr="008678EC" w:rsidP="00B94F91" w14:paraId="6C060CB3" w14:textId="77777777">
      <w:pPr>
        <w:autoSpaceDE w:val="0"/>
        <w:autoSpaceDN w:val="0"/>
        <w:adjustRightInd w:val="0"/>
        <w:spacing w:line="211" w:lineRule="exact"/>
      </w:pPr>
    </w:p>
    <w:p w:rsidR="005E5CEC" w:rsidRPr="008678EC" w:rsidP="00B94F91" w14:paraId="3F2221BE" w14:textId="789CFBD9">
      <w:pPr>
        <w:autoSpaceDE w:val="0"/>
        <w:autoSpaceDN w:val="0"/>
        <w:adjustRightInd w:val="0"/>
        <w:spacing w:line="259" w:lineRule="exact"/>
        <w:rPr>
          <w:b/>
          <w:bCs/>
          <w:i/>
          <w:iCs/>
          <w:u w:val="single"/>
        </w:rPr>
      </w:pPr>
      <w:r w:rsidRPr="008678EC">
        <w:rPr>
          <w:b/>
          <w:bCs/>
        </w:rPr>
        <w:t>7.</w:t>
      </w:r>
      <w:r w:rsidRPr="008678EC">
        <w:rPr>
          <w:b/>
          <w:bCs/>
        </w:rPr>
        <w:tab/>
      </w:r>
      <w:r w:rsidRPr="008678EC">
        <w:rPr>
          <w:b/>
          <w:bCs/>
          <w:u w:val="single"/>
        </w:rPr>
        <w:t xml:space="preserve">Consistency with the Guidelines in 5 </w:t>
      </w:r>
      <w:smartTag w:uri="urn:schemas-microsoft-com:office:smarttags" w:element="stockticker">
        <w:r w:rsidRPr="008678EC">
          <w:rPr>
            <w:b/>
            <w:bCs/>
            <w:u w:val="single"/>
          </w:rPr>
          <w:t>CFR</w:t>
        </w:r>
      </w:smartTag>
      <w:r w:rsidRPr="008678EC">
        <w:rPr>
          <w:b/>
          <w:bCs/>
          <w:u w:val="single"/>
        </w:rPr>
        <w:t xml:space="preserve"> 1320.5</w:t>
      </w:r>
      <w:r w:rsidR="00B66F81">
        <w:rPr>
          <w:b/>
          <w:bCs/>
          <w:u w:val="single"/>
        </w:rPr>
        <w:t>(</w:t>
      </w:r>
      <w:r w:rsidRPr="008678EC">
        <w:rPr>
          <w:b/>
          <w:bCs/>
          <w:u w:val="single"/>
        </w:rPr>
        <w:t>d</w:t>
      </w:r>
      <w:r w:rsidR="00B66F81">
        <w:rPr>
          <w:b/>
          <w:bCs/>
          <w:u w:val="single"/>
        </w:rPr>
        <w:t>)(</w:t>
      </w:r>
      <w:r w:rsidRPr="008678EC">
        <w:rPr>
          <w:b/>
          <w:bCs/>
          <w:u w:val="single"/>
        </w:rPr>
        <w:t>2</w:t>
      </w:r>
      <w:r w:rsidR="00B66F81">
        <w:rPr>
          <w:b/>
          <w:bCs/>
          <w:u w:val="single"/>
        </w:rPr>
        <w:t>)</w:t>
      </w:r>
      <w:r w:rsidRPr="008678EC">
        <w:rPr>
          <w:b/>
          <w:bCs/>
          <w:i/>
          <w:iCs/>
          <w:u w:val="single"/>
        </w:rPr>
        <w:t xml:space="preserve"> </w:t>
      </w:r>
    </w:p>
    <w:p w:rsidR="005E5CEC" w:rsidRPr="008678EC" w:rsidP="00B94F91" w14:paraId="1B755376" w14:textId="77777777">
      <w:pPr>
        <w:autoSpaceDE w:val="0"/>
        <w:autoSpaceDN w:val="0"/>
        <w:adjustRightInd w:val="0"/>
        <w:spacing w:line="259" w:lineRule="exact"/>
      </w:pPr>
    </w:p>
    <w:p w:rsidR="008F450E" w:rsidP="00B94F91" w14:paraId="7F0F9CBF" w14:textId="77777777">
      <w:r w:rsidRPr="008678EC">
        <w:t xml:space="preserve">This information collection fully complies with the guidelines in 5 </w:t>
      </w:r>
      <w:smartTag w:uri="urn:schemas-microsoft-com:office:smarttags" w:element="stockticker">
        <w:r w:rsidRPr="008678EC">
          <w:t>CFR</w:t>
        </w:r>
      </w:smartTag>
      <w:r w:rsidRPr="008678EC">
        <w:t xml:space="preserve"> 1320.5(d)(2).</w:t>
      </w:r>
    </w:p>
    <w:p w:rsidR="002F5500" w:rsidRPr="008678EC" w:rsidP="00B94F91" w14:paraId="14FD4526" w14:textId="77777777"/>
    <w:p w:rsidR="00351B28" w:rsidRPr="008678EC" w:rsidP="00B94F91" w14:paraId="53527CB9" w14:textId="77777777">
      <w:pPr>
        <w:autoSpaceDE w:val="0"/>
        <w:autoSpaceDN w:val="0"/>
        <w:adjustRightInd w:val="0"/>
        <w:spacing w:line="259" w:lineRule="exact"/>
        <w:rPr>
          <w:b/>
          <w:bCs/>
        </w:rPr>
      </w:pPr>
    </w:p>
    <w:p w:rsidR="005E5CEC" w:rsidRPr="008678EC" w:rsidP="00B94F91" w14:paraId="1E87AEB5" w14:textId="77777777">
      <w:pPr>
        <w:autoSpaceDE w:val="0"/>
        <w:autoSpaceDN w:val="0"/>
        <w:adjustRightInd w:val="0"/>
        <w:spacing w:line="259" w:lineRule="exact"/>
        <w:rPr>
          <w:b/>
          <w:bCs/>
          <w:u w:val="single"/>
        </w:rPr>
      </w:pPr>
      <w:r w:rsidRPr="008678EC">
        <w:rPr>
          <w:b/>
          <w:bCs/>
        </w:rPr>
        <w:t xml:space="preserve">8. </w:t>
      </w:r>
      <w:r w:rsidRPr="008678EC" w:rsidR="00377E5F">
        <w:rPr>
          <w:b/>
          <w:bCs/>
        </w:rPr>
        <w:tab/>
      </w:r>
      <w:r w:rsidRPr="008678EC">
        <w:rPr>
          <w:b/>
          <w:bCs/>
          <w:u w:val="single"/>
        </w:rPr>
        <w:t>Consultation Outside the A</w:t>
      </w:r>
      <w:r w:rsidRPr="008678EC" w:rsidR="00377E5F">
        <w:rPr>
          <w:b/>
          <w:bCs/>
          <w:u w:val="single"/>
        </w:rPr>
        <w:t>g</w:t>
      </w:r>
      <w:r w:rsidRPr="008678EC">
        <w:rPr>
          <w:b/>
          <w:bCs/>
          <w:u w:val="single"/>
        </w:rPr>
        <w:t xml:space="preserve">ency </w:t>
      </w:r>
    </w:p>
    <w:p w:rsidR="005E5CEC" w:rsidRPr="008678EC" w:rsidP="00B94F91" w14:paraId="56462600" w14:textId="77777777">
      <w:pPr>
        <w:autoSpaceDE w:val="0"/>
        <w:autoSpaceDN w:val="0"/>
        <w:adjustRightInd w:val="0"/>
        <w:spacing w:line="259" w:lineRule="exact"/>
        <w:rPr>
          <w:b/>
          <w:bCs/>
        </w:rPr>
      </w:pPr>
    </w:p>
    <w:p w:rsidR="00582663" w:rsidRPr="008678EC" w:rsidP="00B94F91" w14:paraId="5C2CBC71" w14:textId="32E87D2D">
      <w:pPr>
        <w:autoSpaceDE w:val="0"/>
        <w:autoSpaceDN w:val="0"/>
        <w:adjustRightInd w:val="0"/>
        <w:spacing w:line="288" w:lineRule="exact"/>
      </w:pPr>
      <w:r>
        <w:t xml:space="preserve">This is an emergency clearance request. When the agency submits its regular approval request, it will provide the opportunity for notice and comment as </w:t>
      </w:r>
      <w:r w:rsidRPr="008678EC" w:rsidR="00AF0CDB">
        <w:t xml:space="preserve">required </w:t>
      </w:r>
      <w:r w:rsidRPr="008678EC" w:rsidR="001D0EB8">
        <w:t>by</w:t>
      </w:r>
      <w:r w:rsidRPr="008678EC" w:rsidR="00AF0CDB">
        <w:t xml:space="preserve"> 5 </w:t>
      </w:r>
      <w:smartTag w:uri="urn:schemas-microsoft-com:office:smarttags" w:element="stockticker">
        <w:r w:rsidRPr="008678EC" w:rsidR="00AF0CDB">
          <w:t>CFR</w:t>
        </w:r>
      </w:smartTag>
      <w:r w:rsidRPr="008678EC" w:rsidR="00AF0CDB">
        <w:t xml:space="preserve"> 1320.8(d)</w:t>
      </w:r>
      <w:r>
        <w:t>.</w:t>
      </w:r>
    </w:p>
    <w:p w:rsidR="00892F24" w:rsidRPr="008678EC" w:rsidP="00B94F91" w14:paraId="3B463137" w14:textId="77777777">
      <w:pPr>
        <w:autoSpaceDE w:val="0"/>
        <w:autoSpaceDN w:val="0"/>
        <w:adjustRightInd w:val="0"/>
        <w:spacing w:line="288" w:lineRule="exact"/>
      </w:pPr>
    </w:p>
    <w:p w:rsidR="005E5CEC" w:rsidRPr="008678EC" w:rsidP="00B94F91" w14:paraId="0EDACF9E" w14:textId="77777777">
      <w:pPr>
        <w:autoSpaceDE w:val="0"/>
        <w:autoSpaceDN w:val="0"/>
        <w:adjustRightInd w:val="0"/>
        <w:spacing w:line="259" w:lineRule="exact"/>
        <w:rPr>
          <w:b/>
          <w:bCs/>
          <w:u w:val="single"/>
        </w:rPr>
      </w:pPr>
      <w:r w:rsidRPr="008678EC">
        <w:rPr>
          <w:b/>
          <w:bCs/>
        </w:rPr>
        <w:t xml:space="preserve">9. </w:t>
      </w:r>
      <w:r w:rsidRPr="008678EC" w:rsidR="00377E5F">
        <w:rPr>
          <w:b/>
          <w:bCs/>
        </w:rPr>
        <w:tab/>
      </w:r>
      <w:r w:rsidRPr="008678EC">
        <w:rPr>
          <w:b/>
          <w:bCs/>
          <w:u w:val="single"/>
        </w:rPr>
        <w:t>Payment to Res</w:t>
      </w:r>
      <w:r w:rsidRPr="008678EC" w:rsidR="00377E5F">
        <w:rPr>
          <w:b/>
          <w:bCs/>
          <w:u w:val="single"/>
        </w:rPr>
        <w:t>p</w:t>
      </w:r>
      <w:r w:rsidRPr="008678EC">
        <w:rPr>
          <w:b/>
          <w:bCs/>
          <w:u w:val="single"/>
        </w:rPr>
        <w:t xml:space="preserve">ondents </w:t>
      </w:r>
    </w:p>
    <w:p w:rsidR="005E5CEC" w:rsidRPr="008678EC" w:rsidP="00B94F91" w14:paraId="7B5BA28F" w14:textId="77777777">
      <w:pPr>
        <w:autoSpaceDE w:val="0"/>
        <w:autoSpaceDN w:val="0"/>
        <w:adjustRightInd w:val="0"/>
        <w:spacing w:line="259" w:lineRule="exact"/>
      </w:pPr>
    </w:p>
    <w:p w:rsidR="00FF6256" w:rsidRPr="008678EC" w:rsidP="00FF6256" w14:paraId="057830B4" w14:textId="77777777">
      <w:pPr>
        <w:outlineLvl w:val="0"/>
      </w:pPr>
      <w:r w:rsidRPr="008678EC">
        <w:t>Respondents will not receive any type of payment for completing the annual report forms.</w:t>
      </w:r>
    </w:p>
    <w:p w:rsidR="005E5CEC" w:rsidRPr="008678EC" w:rsidP="00B94F91" w14:paraId="6EF11A77" w14:textId="77777777">
      <w:pPr>
        <w:autoSpaceDE w:val="0"/>
        <w:autoSpaceDN w:val="0"/>
        <w:adjustRightInd w:val="0"/>
        <w:spacing w:line="259" w:lineRule="exact"/>
      </w:pPr>
    </w:p>
    <w:p w:rsidR="005E5CEC" w:rsidRPr="008678EC" w:rsidP="00B94F91" w14:paraId="32914676" w14:textId="77777777">
      <w:pPr>
        <w:autoSpaceDE w:val="0"/>
        <w:autoSpaceDN w:val="0"/>
        <w:adjustRightInd w:val="0"/>
        <w:spacing w:line="278" w:lineRule="exact"/>
        <w:rPr>
          <w:b/>
          <w:bCs/>
          <w:u w:val="single"/>
        </w:rPr>
      </w:pPr>
      <w:r w:rsidRPr="008678EC">
        <w:rPr>
          <w:b/>
          <w:bCs/>
        </w:rPr>
        <w:t xml:space="preserve">10. </w:t>
      </w:r>
      <w:r w:rsidRPr="008678EC" w:rsidR="00377E5F">
        <w:rPr>
          <w:b/>
          <w:bCs/>
        </w:rPr>
        <w:tab/>
      </w:r>
      <w:r w:rsidRPr="008678EC">
        <w:rPr>
          <w:b/>
          <w:bCs/>
          <w:u w:val="single"/>
        </w:rPr>
        <w:t xml:space="preserve">Assurance of Confidentiality </w:t>
      </w:r>
    </w:p>
    <w:p w:rsidR="005E5CEC" w:rsidRPr="008678EC" w:rsidP="00B94F91" w14:paraId="0A48E0D5" w14:textId="77777777">
      <w:pPr>
        <w:autoSpaceDE w:val="0"/>
        <w:autoSpaceDN w:val="0"/>
        <w:adjustRightInd w:val="0"/>
        <w:spacing w:line="259" w:lineRule="exact"/>
      </w:pPr>
    </w:p>
    <w:p w:rsidR="00FF6256" w:rsidRPr="008678EC" w:rsidP="00FF6256" w14:paraId="28E5F531" w14:textId="77777777">
      <w:pPr>
        <w:autoSpaceDE w:val="0"/>
        <w:autoSpaceDN w:val="0"/>
        <w:adjustRightInd w:val="0"/>
        <w:spacing w:line="268" w:lineRule="exact"/>
      </w:pPr>
      <w:r>
        <w:t xml:space="preserve">Client level data will not be collected. </w:t>
      </w:r>
      <w:r w:rsidRPr="008678EC">
        <w:t>The information from grantees and all other potential respondents will be kept private through all points in the data collection and reporting processes</w:t>
      </w:r>
      <w:r w:rsidR="003B3747">
        <w:t xml:space="preserve">. </w:t>
      </w:r>
      <w:r w:rsidRPr="008678EC">
        <w:t>All data will be closely safeguarded, and no institutional or individual identifiers will be used in reports.  Only aggregated data will be reported.  SAMHSA and its contractors will not receive identifiable client records.  Provider-level information will be aggregated to, at least, the level of the grant funding announcement.</w:t>
      </w:r>
    </w:p>
    <w:p w:rsidR="00FF6256" w:rsidRPr="008678EC" w:rsidP="00FF6256" w14:paraId="18FC19EB" w14:textId="77777777">
      <w:pPr>
        <w:autoSpaceDE w:val="0"/>
        <w:autoSpaceDN w:val="0"/>
        <w:adjustRightInd w:val="0"/>
        <w:spacing w:line="268" w:lineRule="exact"/>
      </w:pPr>
    </w:p>
    <w:p w:rsidR="00EE46CE" w:rsidRPr="008678EC" w:rsidP="00B94F91" w14:paraId="1A7AF9EE" w14:textId="77777777">
      <w:pPr>
        <w:autoSpaceDE w:val="0"/>
        <w:autoSpaceDN w:val="0"/>
        <w:adjustRightInd w:val="0"/>
        <w:spacing w:line="259" w:lineRule="exact"/>
        <w:rPr>
          <w:b/>
          <w:bCs/>
        </w:rPr>
      </w:pPr>
    </w:p>
    <w:p w:rsidR="005E5CEC" w:rsidRPr="008678EC" w:rsidP="00B94F91" w14:paraId="7AD2E3B8" w14:textId="77777777">
      <w:pPr>
        <w:autoSpaceDE w:val="0"/>
        <w:autoSpaceDN w:val="0"/>
        <w:adjustRightInd w:val="0"/>
        <w:spacing w:line="259" w:lineRule="exact"/>
        <w:rPr>
          <w:b/>
          <w:bCs/>
          <w:u w:val="single"/>
        </w:rPr>
      </w:pPr>
      <w:r w:rsidRPr="008678EC">
        <w:rPr>
          <w:b/>
          <w:bCs/>
        </w:rPr>
        <w:t xml:space="preserve">11. </w:t>
      </w:r>
      <w:r w:rsidRPr="008678EC" w:rsidR="00377E5F">
        <w:rPr>
          <w:b/>
          <w:bCs/>
        </w:rPr>
        <w:tab/>
      </w:r>
      <w:r w:rsidRPr="008678EC">
        <w:rPr>
          <w:b/>
          <w:bCs/>
          <w:u w:val="single"/>
        </w:rPr>
        <w:t xml:space="preserve">Questions of a Sensitive Nature </w:t>
      </w:r>
    </w:p>
    <w:p w:rsidR="005E5CEC" w:rsidRPr="008678EC" w:rsidP="00B94F91" w14:paraId="0776F5E5" w14:textId="77777777">
      <w:pPr>
        <w:autoSpaceDE w:val="0"/>
        <w:autoSpaceDN w:val="0"/>
        <w:adjustRightInd w:val="0"/>
        <w:spacing w:line="259" w:lineRule="exact"/>
      </w:pPr>
    </w:p>
    <w:p w:rsidR="00FF6256" w:rsidRPr="008678EC" w:rsidP="00FF6256" w14:paraId="79C402F7" w14:textId="77777777">
      <w:pPr>
        <w:autoSpaceDE w:val="0"/>
        <w:autoSpaceDN w:val="0"/>
        <w:adjustRightInd w:val="0"/>
        <w:spacing w:line="259" w:lineRule="exact"/>
      </w:pPr>
      <w:r w:rsidRPr="008678EC">
        <w:t xml:space="preserve">SAMHSA’s mission is to improve the quality and availability of prevention, early intervention, treatment, and rehabilitation services for substance abuse and mental illnesses, including co-occurring disorders, in order to improve health and reduce illness, death, disability, and cost to society.  In carrying out this mission, it is necessary for service providers to collect sensitive items such as criminal justice involvement as well as issues of mental health.  The data that will be submitted by each </w:t>
      </w:r>
      <w:r w:rsidRPr="008678EC" w:rsidR="00E05F9D">
        <w:t xml:space="preserve">988 </w:t>
      </w:r>
      <w:r w:rsidRPr="008678EC">
        <w:t>grantee will be based in large part on data that most of the programs are already routinely collecting</w:t>
      </w:r>
      <w:r w:rsidRPr="008678EC" w:rsidR="00E05F9D">
        <w:t xml:space="preserve"> and reporting</w:t>
      </w:r>
      <w:r w:rsidRPr="008678EC">
        <w:t xml:space="preserve">.  This primarily includes data on consumer demographics, </w:t>
      </w:r>
      <w:r w:rsidRPr="008678EC" w:rsidR="00E05F9D">
        <w:t xml:space="preserve">services requested, </w:t>
      </w:r>
      <w:r w:rsidRPr="008678EC">
        <w:t>mental health condition/illness</w:t>
      </w:r>
      <w:r w:rsidRPr="008678EC" w:rsidR="00E05F9D">
        <w:t>, reasons for contact</w:t>
      </w:r>
      <w:r w:rsidRPr="008678EC">
        <w:t xml:space="preserve"> and </w:t>
      </w:r>
      <w:r w:rsidRPr="008678EC" w:rsidR="00E05F9D">
        <w:t xml:space="preserve">service </w:t>
      </w:r>
      <w:r w:rsidRPr="008678EC">
        <w:t>history, services received, and consumer outcomes</w:t>
      </w:r>
      <w:r w:rsidRPr="008678EC" w:rsidR="00E05F9D">
        <w:t xml:space="preserve"> and referrals</w:t>
      </w:r>
      <w:r w:rsidRPr="008678EC">
        <w:t xml:space="preserve">.  These issues are essential to the </w:t>
      </w:r>
      <w:r w:rsidRPr="008678EC" w:rsidR="00E05F9D">
        <w:t xml:space="preserve">988 </w:t>
      </w:r>
      <w:r w:rsidRPr="008678EC">
        <w:t>service context.</w:t>
      </w:r>
    </w:p>
    <w:p w:rsidR="00FF6256" w:rsidRPr="008678EC" w:rsidP="00FF6256" w14:paraId="6FB2C772" w14:textId="77777777">
      <w:pPr>
        <w:autoSpaceDE w:val="0"/>
        <w:autoSpaceDN w:val="0"/>
        <w:adjustRightInd w:val="0"/>
        <w:spacing w:line="259" w:lineRule="exact"/>
      </w:pPr>
      <w:r w:rsidRPr="008678EC">
        <w:t xml:space="preserve">Grant projects use informed consent forms as required and as viewed appropriate by their individual organizations.  They use the appropriate forms for minor/adolescent participants requiring parental approval.  </w:t>
      </w:r>
      <w:r w:rsidRPr="008678EC" w:rsidR="00E05F9D">
        <w:t>If collected for services beyond initial 988 contact, c</w:t>
      </w:r>
      <w:r w:rsidRPr="008678EC">
        <w:t xml:space="preserve">lient data </w:t>
      </w:r>
      <w:r w:rsidRPr="008678EC" w:rsidR="00E05F9D">
        <w:t>is</w:t>
      </w:r>
      <w:r w:rsidRPr="008678EC">
        <w:t xml:space="preserve"> subject to the Federal Regulations on Human Subject Protection (45 CFR Part 46; OMB No. 0925-0404).  Alcohol and drug abuse client records in federally supported programs are also protected by 42 CFR Part 2. </w:t>
      </w:r>
    </w:p>
    <w:p w:rsidR="005E5CEC" w:rsidRPr="008678EC" w:rsidP="00B94F91" w14:paraId="389A5B39" w14:textId="77777777">
      <w:pPr>
        <w:autoSpaceDE w:val="0"/>
        <w:autoSpaceDN w:val="0"/>
        <w:adjustRightInd w:val="0"/>
        <w:spacing w:line="259" w:lineRule="exact"/>
      </w:pPr>
    </w:p>
    <w:p w:rsidR="005E5CEC" w:rsidRPr="008678EC" w:rsidP="00B94F91" w14:paraId="14AA6876" w14:textId="77777777">
      <w:pPr>
        <w:autoSpaceDE w:val="0"/>
        <w:autoSpaceDN w:val="0"/>
        <w:adjustRightInd w:val="0"/>
        <w:spacing w:line="259" w:lineRule="exact"/>
      </w:pPr>
    </w:p>
    <w:p w:rsidR="005E5CEC" w:rsidRPr="008678EC" w:rsidP="00B94F91" w14:paraId="687626AB" w14:textId="77777777">
      <w:pPr>
        <w:autoSpaceDE w:val="0"/>
        <w:autoSpaceDN w:val="0"/>
        <w:adjustRightInd w:val="0"/>
        <w:spacing w:line="278" w:lineRule="exact"/>
        <w:rPr>
          <w:b/>
          <w:bCs/>
          <w:u w:val="single"/>
        </w:rPr>
      </w:pPr>
      <w:r w:rsidRPr="008678EC">
        <w:rPr>
          <w:b/>
          <w:bCs/>
        </w:rPr>
        <w:t xml:space="preserve">12. </w:t>
      </w:r>
      <w:r w:rsidRPr="008678EC" w:rsidR="001E1FB5">
        <w:rPr>
          <w:b/>
          <w:bCs/>
        </w:rPr>
        <w:tab/>
      </w:r>
      <w:r w:rsidRPr="008678EC">
        <w:rPr>
          <w:b/>
          <w:bCs/>
          <w:u w:val="single"/>
        </w:rPr>
        <w:t xml:space="preserve">Estimates of Annualized Hour Burden </w:t>
      </w:r>
    </w:p>
    <w:p w:rsidR="005E5CEC" w:rsidRPr="008678EC" w:rsidP="00B94F91" w14:paraId="17B669FB" w14:textId="77777777">
      <w:pPr>
        <w:autoSpaceDE w:val="0"/>
        <w:autoSpaceDN w:val="0"/>
        <w:adjustRightInd w:val="0"/>
        <w:spacing w:line="259" w:lineRule="exact"/>
      </w:pPr>
    </w:p>
    <w:p w:rsidR="005E5CEC" w:rsidRPr="008678EC" w:rsidP="00B94F91" w14:paraId="4C0C7F53" w14:textId="77777777">
      <w:pPr>
        <w:autoSpaceDE w:val="0"/>
        <w:autoSpaceDN w:val="0"/>
        <w:adjustRightInd w:val="0"/>
        <w:spacing w:line="268" w:lineRule="exact"/>
      </w:pPr>
      <w:r w:rsidRPr="008678EC">
        <w:t xml:space="preserve">The total annualized burden to </w:t>
      </w:r>
      <w:r w:rsidRPr="008678EC" w:rsidR="007502CF">
        <w:t>a</w:t>
      </w:r>
      <w:r w:rsidRPr="008678EC" w:rsidR="000F6B16">
        <w:t>n estimated</w:t>
      </w:r>
      <w:r w:rsidRPr="008678EC" w:rsidR="007502CF">
        <w:t xml:space="preserve"> </w:t>
      </w:r>
      <w:r w:rsidRPr="008678EC" w:rsidR="001F510C">
        <w:t>529</w:t>
      </w:r>
      <w:r w:rsidRPr="008678EC" w:rsidR="00351B28">
        <w:t xml:space="preserve"> </w:t>
      </w:r>
      <w:r w:rsidRPr="008678EC">
        <w:t xml:space="preserve">respondents for the </w:t>
      </w:r>
      <w:r w:rsidRPr="008678EC" w:rsidR="001F510C">
        <w:t>988 Cooperative Agreements programs</w:t>
      </w:r>
      <w:r w:rsidRPr="008678EC" w:rsidR="00713999">
        <w:t xml:space="preserve"> combined</w:t>
      </w:r>
      <w:r w:rsidRPr="008678EC" w:rsidR="007502CF">
        <w:t xml:space="preserve"> monitoring</w:t>
      </w:r>
      <w:r w:rsidRPr="008678EC">
        <w:t xml:space="preserve"> is estimated to be </w:t>
      </w:r>
      <w:r w:rsidRPr="008678EC" w:rsidR="00E05F9D">
        <w:t>2,944</w:t>
      </w:r>
      <w:r w:rsidRPr="008678EC" w:rsidR="00BD4DE5">
        <w:t xml:space="preserve"> </w:t>
      </w:r>
      <w:r w:rsidRPr="008678EC">
        <w:t>hours. Burden estimates are based on</w:t>
      </w:r>
      <w:r w:rsidRPr="008678EC" w:rsidR="00E05F9D">
        <w:t xml:space="preserve"> the data collection </w:t>
      </w:r>
      <w:r w:rsidRPr="008678EC" w:rsidR="001229F4">
        <w:t>requirements and the amount of respondents</w:t>
      </w:r>
      <w:r w:rsidRPr="008678EC">
        <w:t xml:space="preserve">. </w:t>
      </w:r>
      <w:r w:rsidRPr="008678EC" w:rsidR="007502CF">
        <w:t>The</w:t>
      </w:r>
      <w:r w:rsidRPr="008678EC" w:rsidR="00872B40">
        <w:t xml:space="preserve"> annualized hourly costs to respondents are estimated to be</w:t>
      </w:r>
      <w:r w:rsidRPr="008678EC" w:rsidR="007502CF">
        <w:t xml:space="preserve"> </w:t>
      </w:r>
      <w:r w:rsidRPr="008678EC" w:rsidR="00BD4DE5">
        <w:t>$</w:t>
      </w:r>
      <w:r w:rsidRPr="008678EC" w:rsidR="001229F4">
        <w:t>76,544</w:t>
      </w:r>
      <w:r w:rsidRPr="008678EC" w:rsidR="007502CF">
        <w:t xml:space="preserve">. </w:t>
      </w:r>
    </w:p>
    <w:p w:rsidR="001E1FB5" w:rsidRPr="008678EC" w:rsidP="00B94F91" w14:paraId="167D7563" w14:textId="77777777">
      <w:pPr>
        <w:autoSpaceDE w:val="0"/>
        <w:autoSpaceDN w:val="0"/>
        <w:adjustRightInd w:val="0"/>
        <w:spacing w:before="4" w:line="259" w:lineRule="exact"/>
      </w:pPr>
    </w:p>
    <w:p w:rsidR="0058669D" w:rsidRPr="008678EC" w:rsidP="00B94F91" w14:paraId="660D0F75" w14:textId="77777777">
      <w:pPr>
        <w:autoSpaceDE w:val="0"/>
        <w:autoSpaceDN w:val="0"/>
        <w:adjustRightInd w:val="0"/>
        <w:spacing w:line="259" w:lineRule="exact"/>
      </w:pPr>
    </w:p>
    <w:tbl>
      <w:tblPr>
        <w:tblW w:w="10350"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1E0"/>
      </w:tblPr>
      <w:tblGrid>
        <w:gridCol w:w="1710"/>
        <w:gridCol w:w="1380"/>
        <w:gridCol w:w="1260"/>
        <w:gridCol w:w="1350"/>
        <w:gridCol w:w="1080"/>
        <w:gridCol w:w="1080"/>
        <w:gridCol w:w="1170"/>
        <w:gridCol w:w="1320"/>
      </w:tblGrid>
      <w:tr w14:paraId="5CECBC54" w14:textId="77777777" w:rsidTr="003B7C5A">
        <w:tblPrEx>
          <w:tblW w:w="10350"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1E0"/>
        </w:tblPrEx>
        <w:trPr>
          <w:cantSplit/>
          <w:trHeight w:val="578"/>
          <w:tblHeader/>
        </w:trPr>
        <w:tc>
          <w:tcPr>
            <w:tcW w:w="1710" w:type="dxa"/>
            <w:tcBorders>
              <w:bottom w:val="thinThickSmallGap" w:sz="12" w:space="0" w:color="auto"/>
            </w:tcBorders>
            <w:vAlign w:val="bottom"/>
          </w:tcPr>
          <w:p w:rsidR="00607A5D" w:rsidRPr="008678EC" w:rsidP="00607A5D" w14:paraId="1E16FA0F" w14:textId="77777777">
            <w:pPr>
              <w:autoSpaceDE w:val="0"/>
              <w:autoSpaceDN w:val="0"/>
              <w:adjustRightInd w:val="0"/>
              <w:rPr>
                <w:b/>
              </w:rPr>
            </w:pPr>
            <w:bookmarkStart w:id="2" w:name="_Hlk133240212"/>
          </w:p>
          <w:p w:rsidR="00607A5D" w:rsidRPr="008678EC" w:rsidP="00607A5D" w14:paraId="7283E345" w14:textId="77777777">
            <w:pPr>
              <w:autoSpaceDE w:val="0"/>
              <w:autoSpaceDN w:val="0"/>
              <w:adjustRightInd w:val="0"/>
              <w:rPr>
                <w:b/>
              </w:rPr>
            </w:pPr>
            <w:r w:rsidRPr="008678EC">
              <w:rPr>
                <w:b/>
              </w:rPr>
              <w:t>SAMHSA Tool</w:t>
            </w:r>
          </w:p>
        </w:tc>
        <w:tc>
          <w:tcPr>
            <w:tcW w:w="1380" w:type="dxa"/>
            <w:tcBorders>
              <w:bottom w:val="thinThickSmallGap" w:sz="12" w:space="0" w:color="auto"/>
            </w:tcBorders>
            <w:vAlign w:val="bottom"/>
          </w:tcPr>
          <w:p w:rsidR="00607A5D" w:rsidRPr="008678EC" w:rsidP="00607A5D" w14:paraId="48B2B564" w14:textId="77777777">
            <w:pPr>
              <w:autoSpaceDE w:val="0"/>
              <w:autoSpaceDN w:val="0"/>
              <w:adjustRightInd w:val="0"/>
              <w:jc w:val="center"/>
              <w:rPr>
                <w:b/>
              </w:rPr>
            </w:pPr>
            <w:r w:rsidRPr="008678EC">
              <w:rPr>
                <w:b/>
              </w:rPr>
              <w:t>Number of Respondents</w:t>
            </w:r>
          </w:p>
        </w:tc>
        <w:tc>
          <w:tcPr>
            <w:tcW w:w="1260" w:type="dxa"/>
            <w:tcBorders>
              <w:bottom w:val="thinThickSmallGap" w:sz="12" w:space="0" w:color="auto"/>
            </w:tcBorders>
            <w:vAlign w:val="bottom"/>
          </w:tcPr>
          <w:p w:rsidR="00607A5D" w:rsidRPr="008678EC" w:rsidP="00607A5D" w14:paraId="0AE5A9C1" w14:textId="77777777">
            <w:pPr>
              <w:autoSpaceDE w:val="0"/>
              <w:autoSpaceDN w:val="0"/>
              <w:adjustRightInd w:val="0"/>
              <w:jc w:val="center"/>
              <w:rPr>
                <w:b/>
              </w:rPr>
            </w:pPr>
            <w:r w:rsidRPr="008678EC">
              <w:rPr>
                <w:b/>
              </w:rPr>
              <w:t>Responses per Respondent</w:t>
            </w:r>
          </w:p>
        </w:tc>
        <w:tc>
          <w:tcPr>
            <w:tcW w:w="1350" w:type="dxa"/>
            <w:tcBorders>
              <w:bottom w:val="thinThickSmallGap" w:sz="12" w:space="0" w:color="auto"/>
            </w:tcBorders>
            <w:vAlign w:val="bottom"/>
          </w:tcPr>
          <w:p w:rsidR="00607A5D" w:rsidRPr="008678EC" w:rsidP="00607A5D" w14:paraId="27ADFE39" w14:textId="77777777">
            <w:pPr>
              <w:autoSpaceDE w:val="0"/>
              <w:autoSpaceDN w:val="0"/>
              <w:adjustRightInd w:val="0"/>
              <w:jc w:val="center"/>
              <w:rPr>
                <w:b/>
              </w:rPr>
            </w:pPr>
            <w:r w:rsidRPr="008678EC">
              <w:rPr>
                <w:b/>
              </w:rPr>
              <w:t>Total Responses</w:t>
            </w:r>
          </w:p>
        </w:tc>
        <w:tc>
          <w:tcPr>
            <w:tcW w:w="1080" w:type="dxa"/>
            <w:tcBorders>
              <w:bottom w:val="thinThickSmallGap" w:sz="12" w:space="0" w:color="auto"/>
            </w:tcBorders>
            <w:vAlign w:val="bottom"/>
          </w:tcPr>
          <w:p w:rsidR="00607A5D" w:rsidRPr="008678EC" w:rsidP="00607A5D" w14:paraId="58FE9185" w14:textId="77777777">
            <w:pPr>
              <w:autoSpaceDE w:val="0"/>
              <w:autoSpaceDN w:val="0"/>
              <w:adjustRightInd w:val="0"/>
              <w:jc w:val="center"/>
              <w:rPr>
                <w:b/>
              </w:rPr>
            </w:pPr>
            <w:r w:rsidRPr="008678EC">
              <w:rPr>
                <w:b/>
              </w:rPr>
              <w:t>Hours per Response</w:t>
            </w:r>
          </w:p>
        </w:tc>
        <w:tc>
          <w:tcPr>
            <w:tcW w:w="1080" w:type="dxa"/>
            <w:tcBorders>
              <w:bottom w:val="thinThickSmallGap" w:sz="12" w:space="0" w:color="auto"/>
            </w:tcBorders>
            <w:vAlign w:val="bottom"/>
          </w:tcPr>
          <w:p w:rsidR="00607A5D" w:rsidRPr="008678EC" w:rsidP="00607A5D" w14:paraId="392179BA" w14:textId="77777777">
            <w:pPr>
              <w:autoSpaceDE w:val="0"/>
              <w:autoSpaceDN w:val="0"/>
              <w:adjustRightInd w:val="0"/>
              <w:jc w:val="center"/>
              <w:rPr>
                <w:b/>
              </w:rPr>
            </w:pPr>
            <w:r w:rsidRPr="008678EC">
              <w:rPr>
                <w:b/>
              </w:rPr>
              <w:t>Total Hour Burden</w:t>
            </w:r>
          </w:p>
        </w:tc>
        <w:tc>
          <w:tcPr>
            <w:tcW w:w="1170" w:type="dxa"/>
            <w:tcBorders>
              <w:bottom w:val="thinThickSmallGap" w:sz="12" w:space="0" w:color="auto"/>
            </w:tcBorders>
            <w:vAlign w:val="bottom"/>
          </w:tcPr>
          <w:p w:rsidR="00607A5D" w:rsidRPr="008678EC" w:rsidP="00607A5D" w14:paraId="5447A950" w14:textId="77777777">
            <w:pPr>
              <w:autoSpaceDE w:val="0"/>
              <w:autoSpaceDN w:val="0"/>
              <w:adjustRightInd w:val="0"/>
              <w:jc w:val="center"/>
              <w:rPr>
                <w:b/>
              </w:rPr>
            </w:pPr>
            <w:r w:rsidRPr="008678EC">
              <w:rPr>
                <w:b/>
              </w:rPr>
              <w:t>Hourly</w:t>
            </w:r>
          </w:p>
          <w:p w:rsidR="00607A5D" w:rsidRPr="008678EC" w:rsidP="00607A5D" w14:paraId="5C374C9C" w14:textId="77777777">
            <w:pPr>
              <w:autoSpaceDE w:val="0"/>
              <w:autoSpaceDN w:val="0"/>
              <w:adjustRightInd w:val="0"/>
              <w:jc w:val="center"/>
              <w:rPr>
                <w:b/>
              </w:rPr>
            </w:pPr>
            <w:r w:rsidRPr="008678EC">
              <w:rPr>
                <w:b/>
              </w:rPr>
              <w:t>Wage Cost</w:t>
            </w:r>
          </w:p>
        </w:tc>
        <w:tc>
          <w:tcPr>
            <w:tcW w:w="1320" w:type="dxa"/>
            <w:tcBorders>
              <w:bottom w:val="single" w:sz="4" w:space="0" w:color="auto"/>
            </w:tcBorders>
            <w:vAlign w:val="bottom"/>
          </w:tcPr>
          <w:p w:rsidR="00607A5D" w:rsidRPr="008678EC" w:rsidP="00607A5D" w14:paraId="5082E1C0" w14:textId="77777777">
            <w:pPr>
              <w:autoSpaceDE w:val="0"/>
              <w:autoSpaceDN w:val="0"/>
              <w:adjustRightInd w:val="0"/>
              <w:jc w:val="center"/>
              <w:rPr>
                <w:b/>
              </w:rPr>
            </w:pPr>
            <w:r w:rsidRPr="008678EC">
              <w:rPr>
                <w:b/>
              </w:rPr>
              <w:t>Total Hour</w:t>
            </w:r>
          </w:p>
          <w:p w:rsidR="00607A5D" w:rsidRPr="008678EC" w:rsidP="00607A5D" w14:paraId="481B5DDD" w14:textId="77777777">
            <w:pPr>
              <w:autoSpaceDE w:val="0"/>
              <w:autoSpaceDN w:val="0"/>
              <w:adjustRightInd w:val="0"/>
              <w:jc w:val="center"/>
              <w:rPr>
                <w:b/>
              </w:rPr>
            </w:pPr>
            <w:r w:rsidRPr="008678EC">
              <w:rPr>
                <w:b/>
              </w:rPr>
              <w:t>Cost</w:t>
            </w:r>
          </w:p>
        </w:tc>
      </w:tr>
      <w:tr w14:paraId="32EE7F90" w14:textId="77777777" w:rsidTr="003B7C5A">
        <w:tblPrEx>
          <w:tblW w:w="10350" w:type="dxa"/>
          <w:tblInd w:w="-503" w:type="dxa"/>
          <w:tblLayout w:type="fixed"/>
          <w:tblCellMar>
            <w:top w:w="115" w:type="dxa"/>
            <w:left w:w="115" w:type="dxa"/>
            <w:bottom w:w="115" w:type="dxa"/>
            <w:right w:w="115" w:type="dxa"/>
          </w:tblCellMar>
          <w:tblLook w:val="01E0"/>
        </w:tblPrEx>
        <w:trPr>
          <w:cantSplit/>
          <w:trHeight w:val="578"/>
        </w:trPr>
        <w:tc>
          <w:tcPr>
            <w:tcW w:w="1710" w:type="dxa"/>
          </w:tcPr>
          <w:p w:rsidR="005C2A19" w:rsidRPr="008678EC" w:rsidP="005C2A19" w14:paraId="0101C294" w14:textId="77777777">
            <w:pPr>
              <w:autoSpaceDE w:val="0"/>
              <w:autoSpaceDN w:val="0"/>
              <w:adjustRightInd w:val="0"/>
            </w:pPr>
            <w:r w:rsidRPr="008678EC">
              <w:t>Tribal Govt: Semi Annual Progress Report</w:t>
            </w:r>
          </w:p>
        </w:tc>
        <w:tc>
          <w:tcPr>
            <w:tcW w:w="1380" w:type="dxa"/>
            <w:vAlign w:val="center"/>
          </w:tcPr>
          <w:p w:rsidR="005C2A19" w:rsidRPr="008678EC" w:rsidP="005C2A19" w14:paraId="3B9255FF" w14:textId="77777777">
            <w:pPr>
              <w:autoSpaceDE w:val="0"/>
              <w:autoSpaceDN w:val="0"/>
              <w:adjustRightInd w:val="0"/>
              <w:jc w:val="center"/>
            </w:pPr>
            <w:r w:rsidRPr="008678EC">
              <w:t>25</w:t>
            </w:r>
          </w:p>
        </w:tc>
        <w:tc>
          <w:tcPr>
            <w:tcW w:w="1260" w:type="dxa"/>
            <w:vAlign w:val="center"/>
          </w:tcPr>
          <w:p w:rsidR="005C2A19" w:rsidRPr="008678EC" w:rsidP="005C2A19" w14:paraId="77F9F43F" w14:textId="77777777">
            <w:pPr>
              <w:autoSpaceDE w:val="0"/>
              <w:autoSpaceDN w:val="0"/>
              <w:adjustRightInd w:val="0"/>
              <w:jc w:val="center"/>
            </w:pPr>
            <w:r w:rsidRPr="008678EC">
              <w:t>2</w:t>
            </w:r>
          </w:p>
        </w:tc>
        <w:tc>
          <w:tcPr>
            <w:tcW w:w="1350" w:type="dxa"/>
            <w:vAlign w:val="center"/>
          </w:tcPr>
          <w:p w:rsidR="005C2A19" w:rsidRPr="008678EC" w:rsidP="005C2A19" w14:paraId="4B1C0DAC" w14:textId="77777777">
            <w:pPr>
              <w:autoSpaceDE w:val="0"/>
              <w:autoSpaceDN w:val="0"/>
              <w:adjustRightInd w:val="0"/>
              <w:jc w:val="center"/>
            </w:pPr>
            <w:r w:rsidRPr="008678EC">
              <w:t>50</w:t>
            </w:r>
          </w:p>
        </w:tc>
        <w:tc>
          <w:tcPr>
            <w:tcW w:w="1080" w:type="dxa"/>
            <w:vAlign w:val="center"/>
          </w:tcPr>
          <w:p w:rsidR="005C2A19" w:rsidRPr="008678EC" w:rsidP="005C2A19" w14:paraId="0E4551D5" w14:textId="77777777">
            <w:pPr>
              <w:autoSpaceDE w:val="0"/>
              <w:autoSpaceDN w:val="0"/>
              <w:adjustRightInd w:val="0"/>
              <w:jc w:val="center"/>
            </w:pPr>
            <w:r w:rsidRPr="008678EC">
              <w:t>2</w:t>
            </w:r>
          </w:p>
        </w:tc>
        <w:tc>
          <w:tcPr>
            <w:tcW w:w="1080" w:type="dxa"/>
            <w:vAlign w:val="center"/>
          </w:tcPr>
          <w:p w:rsidR="005C2A19" w:rsidRPr="008678EC" w:rsidP="005C2A19" w14:paraId="146123C2" w14:textId="77777777">
            <w:pPr>
              <w:autoSpaceDE w:val="0"/>
              <w:autoSpaceDN w:val="0"/>
              <w:adjustRightInd w:val="0"/>
              <w:jc w:val="center"/>
            </w:pPr>
            <w:r w:rsidRPr="008678EC">
              <w:t>100</w:t>
            </w:r>
          </w:p>
        </w:tc>
        <w:tc>
          <w:tcPr>
            <w:tcW w:w="1170" w:type="dxa"/>
            <w:vAlign w:val="center"/>
          </w:tcPr>
          <w:p w:rsidR="005C2A19" w:rsidRPr="008678EC" w:rsidP="005C2A19" w14:paraId="6DA598F9" w14:textId="77777777">
            <w:pPr>
              <w:jc w:val="center"/>
            </w:pPr>
            <w:r w:rsidRPr="008678EC">
              <w:t>$26.00</w:t>
            </w:r>
          </w:p>
        </w:tc>
        <w:tc>
          <w:tcPr>
            <w:tcW w:w="1320" w:type="dxa"/>
            <w:tcBorders>
              <w:top w:val="single" w:sz="4" w:space="0" w:color="auto"/>
              <w:left w:val="nil"/>
              <w:bottom w:val="single" w:sz="4" w:space="0" w:color="auto"/>
              <w:right w:val="single" w:sz="4" w:space="0" w:color="auto"/>
            </w:tcBorders>
          </w:tcPr>
          <w:p w:rsidR="005C2A19" w:rsidRPr="008678EC" w:rsidP="005C2A19" w14:paraId="04EA7DF3" w14:textId="77777777">
            <w:pPr>
              <w:autoSpaceDE w:val="0"/>
              <w:autoSpaceDN w:val="0"/>
              <w:adjustRightInd w:val="0"/>
              <w:jc w:val="center"/>
            </w:pPr>
            <w:r w:rsidRPr="008678EC">
              <w:rPr>
                <w:color w:val="000000"/>
              </w:rPr>
              <w:t>$2,600.00</w:t>
            </w:r>
          </w:p>
        </w:tc>
      </w:tr>
      <w:tr w14:paraId="001335B5" w14:textId="77777777" w:rsidTr="003B7C5A">
        <w:tblPrEx>
          <w:tblW w:w="10350" w:type="dxa"/>
          <w:tblInd w:w="-503" w:type="dxa"/>
          <w:tblLayout w:type="fixed"/>
          <w:tblCellMar>
            <w:top w:w="115" w:type="dxa"/>
            <w:left w:w="115" w:type="dxa"/>
            <w:bottom w:w="115" w:type="dxa"/>
            <w:right w:w="115" w:type="dxa"/>
          </w:tblCellMar>
          <w:tblLook w:val="01E0"/>
        </w:tblPrEx>
        <w:trPr>
          <w:cantSplit/>
          <w:trHeight w:val="779"/>
        </w:trPr>
        <w:tc>
          <w:tcPr>
            <w:tcW w:w="1710" w:type="dxa"/>
          </w:tcPr>
          <w:p w:rsidR="005C2A19" w:rsidRPr="008678EC" w:rsidP="005C2A19" w14:paraId="02A07834" w14:textId="77777777">
            <w:pPr>
              <w:autoSpaceDE w:val="0"/>
              <w:autoSpaceDN w:val="0"/>
              <w:adjustRightInd w:val="0"/>
            </w:pPr>
            <w:r w:rsidRPr="008678EC">
              <w:t>Tribal Govt: Monthly Meeting Agenda</w:t>
            </w:r>
          </w:p>
        </w:tc>
        <w:tc>
          <w:tcPr>
            <w:tcW w:w="1380" w:type="dxa"/>
            <w:vAlign w:val="center"/>
          </w:tcPr>
          <w:p w:rsidR="005C2A19" w:rsidRPr="008678EC" w:rsidP="005C2A19" w14:paraId="613021E7" w14:textId="77777777">
            <w:pPr>
              <w:autoSpaceDE w:val="0"/>
              <w:autoSpaceDN w:val="0"/>
              <w:adjustRightInd w:val="0"/>
              <w:jc w:val="center"/>
            </w:pPr>
            <w:r w:rsidRPr="008678EC">
              <w:t>25</w:t>
            </w:r>
          </w:p>
        </w:tc>
        <w:tc>
          <w:tcPr>
            <w:tcW w:w="1260" w:type="dxa"/>
            <w:vAlign w:val="center"/>
          </w:tcPr>
          <w:p w:rsidR="005C2A19" w:rsidRPr="008678EC" w:rsidP="005C2A19" w14:paraId="0E9191E9" w14:textId="77777777">
            <w:pPr>
              <w:autoSpaceDE w:val="0"/>
              <w:autoSpaceDN w:val="0"/>
              <w:adjustRightInd w:val="0"/>
              <w:jc w:val="center"/>
            </w:pPr>
            <w:r w:rsidRPr="008678EC">
              <w:t>12</w:t>
            </w:r>
          </w:p>
        </w:tc>
        <w:tc>
          <w:tcPr>
            <w:tcW w:w="1350" w:type="dxa"/>
            <w:vAlign w:val="center"/>
          </w:tcPr>
          <w:p w:rsidR="005C2A19" w:rsidRPr="008678EC" w:rsidP="005C2A19" w14:paraId="01974CD9" w14:textId="77777777">
            <w:pPr>
              <w:autoSpaceDE w:val="0"/>
              <w:autoSpaceDN w:val="0"/>
              <w:adjustRightInd w:val="0"/>
              <w:jc w:val="center"/>
            </w:pPr>
            <w:r w:rsidRPr="008678EC">
              <w:t>300</w:t>
            </w:r>
          </w:p>
        </w:tc>
        <w:tc>
          <w:tcPr>
            <w:tcW w:w="1080" w:type="dxa"/>
            <w:vAlign w:val="center"/>
          </w:tcPr>
          <w:p w:rsidR="005C2A19" w:rsidRPr="008678EC" w:rsidP="005C2A19" w14:paraId="246BD2F6" w14:textId="77777777">
            <w:pPr>
              <w:autoSpaceDE w:val="0"/>
              <w:autoSpaceDN w:val="0"/>
              <w:adjustRightInd w:val="0"/>
              <w:jc w:val="center"/>
            </w:pPr>
            <w:r w:rsidRPr="008678EC">
              <w:t>1</w:t>
            </w:r>
          </w:p>
        </w:tc>
        <w:tc>
          <w:tcPr>
            <w:tcW w:w="1080" w:type="dxa"/>
            <w:vAlign w:val="center"/>
          </w:tcPr>
          <w:p w:rsidR="005C2A19" w:rsidRPr="008678EC" w:rsidP="005C2A19" w14:paraId="5788EEB3" w14:textId="77777777">
            <w:pPr>
              <w:autoSpaceDE w:val="0"/>
              <w:autoSpaceDN w:val="0"/>
              <w:adjustRightInd w:val="0"/>
              <w:jc w:val="center"/>
            </w:pPr>
            <w:r w:rsidRPr="008678EC">
              <w:t>300</w:t>
            </w:r>
          </w:p>
        </w:tc>
        <w:tc>
          <w:tcPr>
            <w:tcW w:w="1170" w:type="dxa"/>
            <w:vAlign w:val="center"/>
          </w:tcPr>
          <w:p w:rsidR="005C2A19" w:rsidRPr="008678EC" w:rsidP="005C2A19" w14:paraId="3B3A2B5F" w14:textId="77777777">
            <w:pPr>
              <w:autoSpaceDE w:val="0"/>
              <w:autoSpaceDN w:val="0"/>
              <w:adjustRightInd w:val="0"/>
              <w:jc w:val="center"/>
            </w:pPr>
            <w:r w:rsidRPr="008678EC">
              <w:t>$26.00</w:t>
            </w:r>
          </w:p>
        </w:tc>
        <w:tc>
          <w:tcPr>
            <w:tcW w:w="1320" w:type="dxa"/>
            <w:tcBorders>
              <w:top w:val="single" w:sz="4" w:space="0" w:color="auto"/>
              <w:left w:val="nil"/>
              <w:bottom w:val="single" w:sz="4" w:space="0" w:color="auto"/>
              <w:right w:val="single" w:sz="4" w:space="0" w:color="auto"/>
            </w:tcBorders>
          </w:tcPr>
          <w:p w:rsidR="005C2A19" w:rsidRPr="008678EC" w:rsidP="005C2A19" w14:paraId="419EB1AE" w14:textId="77777777">
            <w:pPr>
              <w:autoSpaceDE w:val="0"/>
              <w:autoSpaceDN w:val="0"/>
              <w:adjustRightInd w:val="0"/>
              <w:jc w:val="center"/>
            </w:pPr>
            <w:r w:rsidRPr="008678EC">
              <w:rPr>
                <w:color w:val="000000"/>
              </w:rPr>
              <w:t>$7,800.00</w:t>
            </w:r>
          </w:p>
        </w:tc>
      </w:tr>
      <w:tr w14:paraId="6E9DBDEA" w14:textId="77777777" w:rsidTr="003B7C5A">
        <w:tblPrEx>
          <w:tblW w:w="10350" w:type="dxa"/>
          <w:tblInd w:w="-503" w:type="dxa"/>
          <w:tblLayout w:type="fixed"/>
          <w:tblCellMar>
            <w:top w:w="115" w:type="dxa"/>
            <w:left w:w="115" w:type="dxa"/>
            <w:bottom w:w="115" w:type="dxa"/>
            <w:right w:w="115" w:type="dxa"/>
          </w:tblCellMar>
          <w:tblLook w:val="01E0"/>
        </w:tblPrEx>
        <w:trPr>
          <w:cantSplit/>
          <w:trHeight w:val="620"/>
        </w:trPr>
        <w:tc>
          <w:tcPr>
            <w:tcW w:w="1710" w:type="dxa"/>
          </w:tcPr>
          <w:p w:rsidR="005C2A19" w:rsidRPr="008678EC" w:rsidP="005C2A19" w14:paraId="7C001DE4" w14:textId="77777777">
            <w:pPr>
              <w:autoSpaceDE w:val="0"/>
              <w:autoSpaceDN w:val="0"/>
              <w:adjustRightInd w:val="0"/>
            </w:pPr>
            <w:r w:rsidRPr="008678EC">
              <w:t xml:space="preserve">Tribal Govt: </w:t>
            </w:r>
            <w:r w:rsidRPr="008678EC">
              <w:rPr>
                <w:bCs/>
              </w:rPr>
              <w:t>Quality Improvement Plan</w:t>
            </w:r>
          </w:p>
        </w:tc>
        <w:tc>
          <w:tcPr>
            <w:tcW w:w="1380" w:type="dxa"/>
            <w:vAlign w:val="center"/>
          </w:tcPr>
          <w:p w:rsidR="005C2A19" w:rsidRPr="008678EC" w:rsidP="005C2A19" w14:paraId="2B87BC6D" w14:textId="77777777">
            <w:pPr>
              <w:autoSpaceDE w:val="0"/>
              <w:autoSpaceDN w:val="0"/>
              <w:adjustRightInd w:val="0"/>
              <w:jc w:val="center"/>
            </w:pPr>
            <w:r w:rsidRPr="008678EC">
              <w:t>25</w:t>
            </w:r>
          </w:p>
        </w:tc>
        <w:tc>
          <w:tcPr>
            <w:tcW w:w="1260" w:type="dxa"/>
            <w:vAlign w:val="center"/>
          </w:tcPr>
          <w:p w:rsidR="005C2A19" w:rsidRPr="008678EC" w:rsidP="005C2A19" w14:paraId="115467CF" w14:textId="77777777">
            <w:pPr>
              <w:autoSpaceDE w:val="0"/>
              <w:autoSpaceDN w:val="0"/>
              <w:adjustRightInd w:val="0"/>
              <w:jc w:val="center"/>
            </w:pPr>
            <w:r w:rsidRPr="008678EC">
              <w:t>1</w:t>
            </w:r>
          </w:p>
        </w:tc>
        <w:tc>
          <w:tcPr>
            <w:tcW w:w="1350" w:type="dxa"/>
            <w:vAlign w:val="center"/>
          </w:tcPr>
          <w:p w:rsidR="005C2A19" w:rsidRPr="008678EC" w:rsidP="005C2A19" w14:paraId="6E1F2B3D" w14:textId="77777777">
            <w:pPr>
              <w:autoSpaceDE w:val="0"/>
              <w:autoSpaceDN w:val="0"/>
              <w:adjustRightInd w:val="0"/>
              <w:jc w:val="center"/>
            </w:pPr>
            <w:r w:rsidRPr="008678EC">
              <w:t>25</w:t>
            </w:r>
          </w:p>
        </w:tc>
        <w:tc>
          <w:tcPr>
            <w:tcW w:w="1080" w:type="dxa"/>
            <w:vAlign w:val="center"/>
          </w:tcPr>
          <w:p w:rsidR="005C2A19" w:rsidRPr="008678EC" w:rsidP="005C2A19" w14:paraId="3CCAC875" w14:textId="77777777">
            <w:pPr>
              <w:autoSpaceDE w:val="0"/>
              <w:autoSpaceDN w:val="0"/>
              <w:adjustRightInd w:val="0"/>
              <w:jc w:val="center"/>
            </w:pPr>
            <w:r w:rsidRPr="008678EC">
              <w:t>2</w:t>
            </w:r>
          </w:p>
        </w:tc>
        <w:tc>
          <w:tcPr>
            <w:tcW w:w="1080" w:type="dxa"/>
            <w:vAlign w:val="center"/>
          </w:tcPr>
          <w:p w:rsidR="005C2A19" w:rsidRPr="008678EC" w:rsidP="005C2A19" w14:paraId="4A790FBD" w14:textId="77777777">
            <w:pPr>
              <w:autoSpaceDE w:val="0"/>
              <w:autoSpaceDN w:val="0"/>
              <w:adjustRightInd w:val="0"/>
              <w:jc w:val="center"/>
            </w:pPr>
            <w:r w:rsidRPr="008678EC">
              <w:t>50</w:t>
            </w:r>
          </w:p>
        </w:tc>
        <w:tc>
          <w:tcPr>
            <w:tcW w:w="1170" w:type="dxa"/>
          </w:tcPr>
          <w:p w:rsidR="005C2A19" w:rsidRPr="008678EC" w:rsidP="005C2A19" w14:paraId="215D9A55" w14:textId="77777777">
            <w:pPr>
              <w:autoSpaceDE w:val="0"/>
              <w:autoSpaceDN w:val="0"/>
              <w:adjustRightInd w:val="0"/>
              <w:jc w:val="center"/>
            </w:pPr>
            <w:r w:rsidRPr="008678EC">
              <w:t>$26.00</w:t>
            </w:r>
          </w:p>
        </w:tc>
        <w:tc>
          <w:tcPr>
            <w:tcW w:w="1320" w:type="dxa"/>
            <w:tcBorders>
              <w:top w:val="single" w:sz="4" w:space="0" w:color="auto"/>
              <w:left w:val="nil"/>
              <w:bottom w:val="single" w:sz="4" w:space="0" w:color="auto"/>
              <w:right w:val="single" w:sz="4" w:space="0" w:color="auto"/>
            </w:tcBorders>
          </w:tcPr>
          <w:p w:rsidR="005C2A19" w:rsidRPr="008678EC" w:rsidP="005C2A19" w14:paraId="1EF66C19" w14:textId="77777777">
            <w:pPr>
              <w:autoSpaceDE w:val="0"/>
              <w:autoSpaceDN w:val="0"/>
              <w:adjustRightInd w:val="0"/>
              <w:jc w:val="center"/>
            </w:pPr>
            <w:r w:rsidRPr="008678EC">
              <w:rPr>
                <w:color w:val="000000"/>
              </w:rPr>
              <w:t>$1,300.00</w:t>
            </w:r>
          </w:p>
        </w:tc>
      </w:tr>
      <w:tr w14:paraId="2977E0FE" w14:textId="77777777" w:rsidTr="003B7C5A">
        <w:tblPrEx>
          <w:tblW w:w="10350" w:type="dxa"/>
          <w:tblInd w:w="-503" w:type="dxa"/>
          <w:tblLayout w:type="fixed"/>
          <w:tblCellMar>
            <w:top w:w="115" w:type="dxa"/>
            <w:left w:w="115" w:type="dxa"/>
            <w:bottom w:w="115" w:type="dxa"/>
            <w:right w:w="115" w:type="dxa"/>
          </w:tblCellMar>
          <w:tblLook w:val="01E0"/>
        </w:tblPrEx>
        <w:trPr>
          <w:cantSplit/>
          <w:trHeight w:val="620"/>
        </w:trPr>
        <w:tc>
          <w:tcPr>
            <w:tcW w:w="1710" w:type="dxa"/>
          </w:tcPr>
          <w:p w:rsidR="005C2A19" w:rsidRPr="008678EC" w:rsidP="005C2A19" w14:paraId="348BBB1C" w14:textId="77777777">
            <w:pPr>
              <w:autoSpaceDE w:val="0"/>
              <w:autoSpaceDN w:val="0"/>
              <w:adjustRightInd w:val="0"/>
            </w:pPr>
            <w:r w:rsidRPr="008678EC">
              <w:t>State/Territory: Monthly Key Metrics</w:t>
            </w:r>
          </w:p>
        </w:tc>
        <w:tc>
          <w:tcPr>
            <w:tcW w:w="1380" w:type="dxa"/>
            <w:vAlign w:val="center"/>
          </w:tcPr>
          <w:p w:rsidR="005C2A19" w:rsidRPr="008678EC" w:rsidP="005C2A19" w14:paraId="6F95F9CF" w14:textId="77777777">
            <w:pPr>
              <w:autoSpaceDE w:val="0"/>
              <w:autoSpaceDN w:val="0"/>
              <w:adjustRightInd w:val="0"/>
              <w:jc w:val="center"/>
            </w:pPr>
            <w:r w:rsidRPr="008678EC">
              <w:t>54</w:t>
            </w:r>
          </w:p>
        </w:tc>
        <w:tc>
          <w:tcPr>
            <w:tcW w:w="1260" w:type="dxa"/>
            <w:vAlign w:val="center"/>
          </w:tcPr>
          <w:p w:rsidR="005C2A19" w:rsidRPr="008678EC" w:rsidP="005C2A19" w14:paraId="679D75D4" w14:textId="77777777">
            <w:pPr>
              <w:autoSpaceDE w:val="0"/>
              <w:autoSpaceDN w:val="0"/>
              <w:adjustRightInd w:val="0"/>
              <w:jc w:val="center"/>
            </w:pPr>
            <w:r w:rsidRPr="008678EC">
              <w:t>12</w:t>
            </w:r>
          </w:p>
        </w:tc>
        <w:tc>
          <w:tcPr>
            <w:tcW w:w="1350" w:type="dxa"/>
            <w:vAlign w:val="center"/>
          </w:tcPr>
          <w:p w:rsidR="005C2A19" w:rsidRPr="008678EC" w:rsidP="005C2A19" w14:paraId="1EBE3B22" w14:textId="77777777">
            <w:pPr>
              <w:autoSpaceDE w:val="0"/>
              <w:autoSpaceDN w:val="0"/>
              <w:adjustRightInd w:val="0"/>
              <w:jc w:val="center"/>
            </w:pPr>
            <w:r w:rsidRPr="008678EC">
              <w:t>648</w:t>
            </w:r>
          </w:p>
        </w:tc>
        <w:tc>
          <w:tcPr>
            <w:tcW w:w="1080" w:type="dxa"/>
            <w:vAlign w:val="center"/>
          </w:tcPr>
          <w:p w:rsidR="005C2A19" w:rsidRPr="008678EC" w:rsidP="005C2A19" w14:paraId="02EF3729" w14:textId="77777777">
            <w:pPr>
              <w:autoSpaceDE w:val="0"/>
              <w:autoSpaceDN w:val="0"/>
              <w:adjustRightInd w:val="0"/>
              <w:jc w:val="center"/>
            </w:pPr>
            <w:r w:rsidRPr="008678EC">
              <w:t>1</w:t>
            </w:r>
          </w:p>
        </w:tc>
        <w:tc>
          <w:tcPr>
            <w:tcW w:w="1080" w:type="dxa"/>
            <w:vAlign w:val="center"/>
          </w:tcPr>
          <w:p w:rsidR="005C2A19" w:rsidRPr="008678EC" w:rsidP="005C2A19" w14:paraId="2E23CF07" w14:textId="77777777">
            <w:pPr>
              <w:autoSpaceDE w:val="0"/>
              <w:autoSpaceDN w:val="0"/>
              <w:adjustRightInd w:val="0"/>
              <w:jc w:val="center"/>
            </w:pPr>
            <w:r w:rsidRPr="008678EC">
              <w:t>648</w:t>
            </w:r>
          </w:p>
        </w:tc>
        <w:tc>
          <w:tcPr>
            <w:tcW w:w="1170" w:type="dxa"/>
          </w:tcPr>
          <w:p w:rsidR="005C2A19" w:rsidRPr="008678EC" w:rsidP="005C2A19" w14:paraId="2EC9FCB0" w14:textId="77777777">
            <w:pPr>
              <w:jc w:val="center"/>
            </w:pPr>
            <w:r w:rsidRPr="008678EC">
              <w:t>$26.00</w:t>
            </w:r>
          </w:p>
        </w:tc>
        <w:tc>
          <w:tcPr>
            <w:tcW w:w="1320" w:type="dxa"/>
            <w:tcBorders>
              <w:top w:val="single" w:sz="4" w:space="0" w:color="auto"/>
              <w:left w:val="nil"/>
              <w:bottom w:val="single" w:sz="4" w:space="0" w:color="auto"/>
              <w:right w:val="single" w:sz="4" w:space="0" w:color="auto"/>
            </w:tcBorders>
          </w:tcPr>
          <w:p w:rsidR="005C2A19" w:rsidRPr="008678EC" w:rsidP="005C2A19" w14:paraId="15EFBED0" w14:textId="77777777">
            <w:pPr>
              <w:autoSpaceDE w:val="0"/>
              <w:autoSpaceDN w:val="0"/>
              <w:adjustRightInd w:val="0"/>
              <w:jc w:val="center"/>
            </w:pPr>
            <w:r w:rsidRPr="008678EC">
              <w:rPr>
                <w:color w:val="000000"/>
              </w:rPr>
              <w:t>$16,848.00</w:t>
            </w:r>
          </w:p>
        </w:tc>
      </w:tr>
      <w:tr w14:paraId="5763A087" w14:textId="77777777" w:rsidTr="003B7C5A">
        <w:tblPrEx>
          <w:tblW w:w="10350" w:type="dxa"/>
          <w:tblInd w:w="-503" w:type="dxa"/>
          <w:tblLayout w:type="fixed"/>
          <w:tblCellMar>
            <w:top w:w="115" w:type="dxa"/>
            <w:left w:w="115" w:type="dxa"/>
            <w:bottom w:w="115" w:type="dxa"/>
            <w:right w:w="115" w:type="dxa"/>
          </w:tblCellMar>
          <w:tblLook w:val="01E0"/>
        </w:tblPrEx>
        <w:trPr>
          <w:cantSplit/>
          <w:trHeight w:val="620"/>
        </w:trPr>
        <w:tc>
          <w:tcPr>
            <w:tcW w:w="1710" w:type="dxa"/>
          </w:tcPr>
          <w:p w:rsidR="005C2A19" w:rsidRPr="008678EC" w:rsidP="005C2A19" w14:paraId="76FF4949" w14:textId="77777777">
            <w:pPr>
              <w:autoSpaceDE w:val="0"/>
              <w:autoSpaceDN w:val="0"/>
              <w:adjustRightInd w:val="0"/>
            </w:pPr>
            <w:r w:rsidRPr="008678EC">
              <w:t>State/Territory: Quarterly Report Template</w:t>
            </w:r>
          </w:p>
        </w:tc>
        <w:tc>
          <w:tcPr>
            <w:tcW w:w="1380" w:type="dxa"/>
          </w:tcPr>
          <w:p w:rsidR="005C2A19" w:rsidRPr="008678EC" w:rsidP="005C2A19" w14:paraId="3AAB6DA1" w14:textId="77777777">
            <w:pPr>
              <w:autoSpaceDE w:val="0"/>
              <w:autoSpaceDN w:val="0"/>
              <w:adjustRightInd w:val="0"/>
              <w:jc w:val="center"/>
            </w:pPr>
          </w:p>
          <w:p w:rsidR="005C2A19" w:rsidRPr="008678EC" w:rsidP="005C2A19" w14:paraId="5D9999EB" w14:textId="77777777">
            <w:pPr>
              <w:autoSpaceDE w:val="0"/>
              <w:autoSpaceDN w:val="0"/>
              <w:adjustRightInd w:val="0"/>
              <w:jc w:val="center"/>
            </w:pPr>
            <w:r w:rsidRPr="008678EC">
              <w:t>54</w:t>
            </w:r>
          </w:p>
        </w:tc>
        <w:tc>
          <w:tcPr>
            <w:tcW w:w="1260" w:type="dxa"/>
            <w:vAlign w:val="center"/>
          </w:tcPr>
          <w:p w:rsidR="005C2A19" w:rsidRPr="008678EC" w:rsidP="005C2A19" w14:paraId="68B2C3CE" w14:textId="77777777">
            <w:pPr>
              <w:autoSpaceDE w:val="0"/>
              <w:autoSpaceDN w:val="0"/>
              <w:adjustRightInd w:val="0"/>
              <w:jc w:val="center"/>
            </w:pPr>
            <w:r w:rsidRPr="008678EC">
              <w:t>3</w:t>
            </w:r>
          </w:p>
        </w:tc>
        <w:tc>
          <w:tcPr>
            <w:tcW w:w="1350" w:type="dxa"/>
            <w:vAlign w:val="center"/>
          </w:tcPr>
          <w:p w:rsidR="005C2A19" w:rsidRPr="008678EC" w:rsidP="005C2A19" w14:paraId="2D0EA435" w14:textId="77777777">
            <w:pPr>
              <w:autoSpaceDE w:val="0"/>
              <w:autoSpaceDN w:val="0"/>
              <w:adjustRightInd w:val="0"/>
              <w:jc w:val="center"/>
            </w:pPr>
            <w:r w:rsidRPr="008678EC">
              <w:t>162</w:t>
            </w:r>
          </w:p>
        </w:tc>
        <w:tc>
          <w:tcPr>
            <w:tcW w:w="1080" w:type="dxa"/>
            <w:vAlign w:val="center"/>
          </w:tcPr>
          <w:p w:rsidR="005C2A19" w:rsidRPr="008678EC" w:rsidP="005C2A19" w14:paraId="25BE4E16" w14:textId="77777777">
            <w:pPr>
              <w:autoSpaceDE w:val="0"/>
              <w:autoSpaceDN w:val="0"/>
              <w:adjustRightInd w:val="0"/>
              <w:jc w:val="center"/>
            </w:pPr>
            <w:r w:rsidRPr="008678EC">
              <w:t>2</w:t>
            </w:r>
          </w:p>
        </w:tc>
        <w:tc>
          <w:tcPr>
            <w:tcW w:w="1080" w:type="dxa"/>
            <w:vAlign w:val="center"/>
          </w:tcPr>
          <w:p w:rsidR="005C2A19" w:rsidRPr="008678EC" w:rsidP="005C2A19" w14:paraId="10C66AC0" w14:textId="77777777">
            <w:pPr>
              <w:autoSpaceDE w:val="0"/>
              <w:autoSpaceDN w:val="0"/>
              <w:adjustRightInd w:val="0"/>
              <w:jc w:val="center"/>
            </w:pPr>
            <w:r w:rsidRPr="008678EC">
              <w:t>324</w:t>
            </w:r>
          </w:p>
        </w:tc>
        <w:tc>
          <w:tcPr>
            <w:tcW w:w="1170" w:type="dxa"/>
          </w:tcPr>
          <w:p w:rsidR="005C2A19" w:rsidRPr="008678EC" w:rsidP="005C2A19" w14:paraId="26FA098A" w14:textId="77777777">
            <w:pPr>
              <w:jc w:val="center"/>
            </w:pPr>
            <w:r w:rsidRPr="008678EC">
              <w:t>$26.00</w:t>
            </w:r>
          </w:p>
        </w:tc>
        <w:tc>
          <w:tcPr>
            <w:tcW w:w="1320" w:type="dxa"/>
            <w:tcBorders>
              <w:top w:val="single" w:sz="4" w:space="0" w:color="auto"/>
              <w:left w:val="nil"/>
              <w:bottom w:val="single" w:sz="4" w:space="0" w:color="auto"/>
              <w:right w:val="single" w:sz="4" w:space="0" w:color="auto"/>
            </w:tcBorders>
          </w:tcPr>
          <w:p w:rsidR="005C2A19" w:rsidRPr="008678EC" w:rsidP="005C2A19" w14:paraId="614CB90A" w14:textId="77777777">
            <w:pPr>
              <w:autoSpaceDE w:val="0"/>
              <w:autoSpaceDN w:val="0"/>
              <w:adjustRightInd w:val="0"/>
              <w:jc w:val="center"/>
            </w:pPr>
            <w:r w:rsidRPr="008678EC">
              <w:rPr>
                <w:color w:val="000000"/>
              </w:rPr>
              <w:t>$8,424.00</w:t>
            </w:r>
          </w:p>
        </w:tc>
      </w:tr>
      <w:tr w14:paraId="2DF9201A" w14:textId="77777777" w:rsidTr="003B7C5A">
        <w:tblPrEx>
          <w:tblW w:w="10350" w:type="dxa"/>
          <w:tblInd w:w="-503" w:type="dxa"/>
          <w:tblLayout w:type="fixed"/>
          <w:tblCellMar>
            <w:top w:w="115" w:type="dxa"/>
            <w:left w:w="115" w:type="dxa"/>
            <w:bottom w:w="115" w:type="dxa"/>
            <w:right w:w="115" w:type="dxa"/>
          </w:tblCellMar>
          <w:tblLook w:val="01E0"/>
        </w:tblPrEx>
        <w:trPr>
          <w:cantSplit/>
          <w:trHeight w:val="620"/>
        </w:trPr>
        <w:tc>
          <w:tcPr>
            <w:tcW w:w="1710" w:type="dxa"/>
          </w:tcPr>
          <w:p w:rsidR="005C2A19" w:rsidRPr="008678EC" w:rsidP="005C2A19" w14:paraId="24124A77" w14:textId="77777777">
            <w:pPr>
              <w:autoSpaceDE w:val="0"/>
              <w:autoSpaceDN w:val="0"/>
              <w:adjustRightInd w:val="0"/>
              <w:rPr>
                <w:b/>
              </w:rPr>
            </w:pPr>
            <w:r w:rsidRPr="008678EC">
              <w:rPr>
                <w:bCs/>
              </w:rPr>
              <w:t>State/Territory: Programmatic QI Plan (Annual Collection)</w:t>
            </w:r>
          </w:p>
        </w:tc>
        <w:tc>
          <w:tcPr>
            <w:tcW w:w="1380" w:type="dxa"/>
          </w:tcPr>
          <w:p w:rsidR="005C2A19" w:rsidRPr="008678EC" w:rsidP="005C2A19" w14:paraId="6CBF6E86" w14:textId="77777777">
            <w:pPr>
              <w:autoSpaceDE w:val="0"/>
              <w:autoSpaceDN w:val="0"/>
              <w:adjustRightInd w:val="0"/>
              <w:jc w:val="center"/>
            </w:pPr>
          </w:p>
          <w:p w:rsidR="005C2A19" w:rsidRPr="008678EC" w:rsidP="005C2A19" w14:paraId="07000CD5" w14:textId="77777777">
            <w:pPr>
              <w:autoSpaceDE w:val="0"/>
              <w:autoSpaceDN w:val="0"/>
              <w:adjustRightInd w:val="0"/>
              <w:jc w:val="center"/>
              <w:rPr>
                <w:b/>
              </w:rPr>
            </w:pPr>
            <w:r w:rsidRPr="008678EC">
              <w:t>54</w:t>
            </w:r>
          </w:p>
        </w:tc>
        <w:tc>
          <w:tcPr>
            <w:tcW w:w="1260" w:type="dxa"/>
            <w:vAlign w:val="center"/>
          </w:tcPr>
          <w:p w:rsidR="005C2A19" w:rsidRPr="008678EC" w:rsidP="005C2A19" w14:paraId="27F90E7D" w14:textId="77777777">
            <w:pPr>
              <w:autoSpaceDE w:val="0"/>
              <w:autoSpaceDN w:val="0"/>
              <w:adjustRightInd w:val="0"/>
              <w:jc w:val="center"/>
              <w:rPr>
                <w:b/>
                <w:bCs/>
                <w:color w:val="000000"/>
              </w:rPr>
            </w:pPr>
            <w:r w:rsidRPr="008678EC">
              <w:t>1</w:t>
            </w:r>
          </w:p>
        </w:tc>
        <w:tc>
          <w:tcPr>
            <w:tcW w:w="1350" w:type="dxa"/>
            <w:vAlign w:val="center"/>
          </w:tcPr>
          <w:p w:rsidR="005C2A19" w:rsidRPr="008678EC" w:rsidP="005C2A19" w14:paraId="18AD935A" w14:textId="77777777">
            <w:pPr>
              <w:autoSpaceDE w:val="0"/>
              <w:autoSpaceDN w:val="0"/>
              <w:adjustRightInd w:val="0"/>
              <w:jc w:val="center"/>
              <w:rPr>
                <w:b/>
              </w:rPr>
            </w:pPr>
            <w:r w:rsidRPr="008678EC">
              <w:t>54</w:t>
            </w:r>
          </w:p>
        </w:tc>
        <w:tc>
          <w:tcPr>
            <w:tcW w:w="1080" w:type="dxa"/>
            <w:vAlign w:val="center"/>
          </w:tcPr>
          <w:p w:rsidR="005C2A19" w:rsidRPr="008678EC" w:rsidP="005C2A19" w14:paraId="55FA912D" w14:textId="77777777">
            <w:pPr>
              <w:autoSpaceDE w:val="0"/>
              <w:autoSpaceDN w:val="0"/>
              <w:adjustRightInd w:val="0"/>
              <w:jc w:val="center"/>
              <w:rPr>
                <w:b/>
                <w:bCs/>
                <w:color w:val="000000"/>
              </w:rPr>
            </w:pPr>
            <w:r w:rsidRPr="008678EC">
              <w:t>2</w:t>
            </w:r>
          </w:p>
        </w:tc>
        <w:tc>
          <w:tcPr>
            <w:tcW w:w="1080" w:type="dxa"/>
            <w:vAlign w:val="center"/>
          </w:tcPr>
          <w:p w:rsidR="005C2A19" w:rsidRPr="008678EC" w:rsidP="005C2A19" w14:paraId="08A04F02" w14:textId="77777777">
            <w:pPr>
              <w:autoSpaceDE w:val="0"/>
              <w:autoSpaceDN w:val="0"/>
              <w:adjustRightInd w:val="0"/>
              <w:jc w:val="center"/>
              <w:rPr>
                <w:b/>
              </w:rPr>
            </w:pPr>
            <w:r w:rsidRPr="008678EC">
              <w:t>108</w:t>
            </w:r>
          </w:p>
        </w:tc>
        <w:tc>
          <w:tcPr>
            <w:tcW w:w="1170" w:type="dxa"/>
          </w:tcPr>
          <w:p w:rsidR="005C2A19" w:rsidRPr="008678EC" w:rsidP="005C2A19" w14:paraId="0903A32C" w14:textId="77777777">
            <w:pPr>
              <w:autoSpaceDE w:val="0"/>
              <w:autoSpaceDN w:val="0"/>
              <w:adjustRightInd w:val="0"/>
              <w:jc w:val="center"/>
              <w:rPr>
                <w:b/>
                <w:bCs/>
                <w:color w:val="000000"/>
              </w:rPr>
            </w:pPr>
            <w:r w:rsidRPr="008678EC">
              <w:t>$26.00</w:t>
            </w:r>
          </w:p>
        </w:tc>
        <w:tc>
          <w:tcPr>
            <w:tcW w:w="1320" w:type="dxa"/>
            <w:tcBorders>
              <w:top w:val="single" w:sz="4" w:space="0" w:color="auto"/>
              <w:left w:val="nil"/>
              <w:bottom w:val="single" w:sz="4" w:space="0" w:color="auto"/>
              <w:right w:val="single" w:sz="4" w:space="0" w:color="auto"/>
            </w:tcBorders>
          </w:tcPr>
          <w:p w:rsidR="005C2A19" w:rsidRPr="008678EC" w:rsidP="005C2A19" w14:paraId="6B977F3C" w14:textId="77777777">
            <w:pPr>
              <w:autoSpaceDE w:val="0"/>
              <w:autoSpaceDN w:val="0"/>
              <w:adjustRightInd w:val="0"/>
              <w:jc w:val="center"/>
              <w:rPr>
                <w:b/>
                <w:bCs/>
                <w:color w:val="000000"/>
              </w:rPr>
            </w:pPr>
            <w:r w:rsidRPr="008678EC">
              <w:rPr>
                <w:color w:val="000000"/>
              </w:rPr>
              <w:t>$2,808.00</w:t>
            </w:r>
          </w:p>
        </w:tc>
      </w:tr>
      <w:tr w14:paraId="1E36D463" w14:textId="77777777" w:rsidTr="003B7C5A">
        <w:tblPrEx>
          <w:tblW w:w="10350" w:type="dxa"/>
          <w:tblInd w:w="-503" w:type="dxa"/>
          <w:tblLayout w:type="fixed"/>
          <w:tblCellMar>
            <w:top w:w="115" w:type="dxa"/>
            <w:left w:w="115" w:type="dxa"/>
            <w:bottom w:w="115" w:type="dxa"/>
            <w:right w:w="115" w:type="dxa"/>
          </w:tblCellMar>
          <w:tblLook w:val="01E0"/>
        </w:tblPrEx>
        <w:trPr>
          <w:cantSplit/>
          <w:trHeight w:val="101"/>
        </w:trPr>
        <w:tc>
          <w:tcPr>
            <w:tcW w:w="1710" w:type="dxa"/>
          </w:tcPr>
          <w:p w:rsidR="005C2A19" w:rsidRPr="008678EC" w:rsidP="005C2A19" w14:paraId="4951504C" w14:textId="77777777">
            <w:pPr>
              <w:autoSpaceDE w:val="0"/>
              <w:autoSpaceDN w:val="0"/>
              <w:adjustRightInd w:val="0"/>
            </w:pPr>
            <w:r w:rsidRPr="008678EC">
              <w:rPr>
                <w:bCs/>
              </w:rPr>
              <w:t>State/Territory: Monthly Meeting Call Agenda</w:t>
            </w:r>
          </w:p>
        </w:tc>
        <w:tc>
          <w:tcPr>
            <w:tcW w:w="1380" w:type="dxa"/>
          </w:tcPr>
          <w:p w:rsidR="005C2A19" w:rsidRPr="008678EC" w:rsidP="005C2A19" w14:paraId="4F825F0E" w14:textId="77777777">
            <w:pPr>
              <w:autoSpaceDE w:val="0"/>
              <w:autoSpaceDN w:val="0"/>
              <w:adjustRightInd w:val="0"/>
              <w:jc w:val="center"/>
            </w:pPr>
          </w:p>
          <w:p w:rsidR="005C2A19" w:rsidRPr="008678EC" w:rsidP="005C2A19" w14:paraId="5785880E" w14:textId="77777777">
            <w:pPr>
              <w:autoSpaceDE w:val="0"/>
              <w:autoSpaceDN w:val="0"/>
              <w:adjustRightInd w:val="0"/>
              <w:jc w:val="center"/>
            </w:pPr>
            <w:r w:rsidRPr="008678EC">
              <w:t>54</w:t>
            </w:r>
          </w:p>
        </w:tc>
        <w:tc>
          <w:tcPr>
            <w:tcW w:w="1260" w:type="dxa"/>
            <w:vAlign w:val="center"/>
          </w:tcPr>
          <w:p w:rsidR="005C2A19" w:rsidRPr="008678EC" w:rsidP="005C2A19" w14:paraId="38C17779" w14:textId="77777777">
            <w:pPr>
              <w:autoSpaceDE w:val="0"/>
              <w:autoSpaceDN w:val="0"/>
              <w:adjustRightInd w:val="0"/>
              <w:jc w:val="center"/>
            </w:pPr>
            <w:r w:rsidRPr="008678EC">
              <w:t>12</w:t>
            </w:r>
          </w:p>
        </w:tc>
        <w:tc>
          <w:tcPr>
            <w:tcW w:w="1350" w:type="dxa"/>
            <w:vAlign w:val="center"/>
          </w:tcPr>
          <w:p w:rsidR="005C2A19" w:rsidRPr="008678EC" w:rsidP="005C2A19" w14:paraId="7111367E" w14:textId="77777777">
            <w:pPr>
              <w:autoSpaceDE w:val="0"/>
              <w:autoSpaceDN w:val="0"/>
              <w:adjustRightInd w:val="0"/>
              <w:jc w:val="center"/>
            </w:pPr>
            <w:r w:rsidRPr="008678EC">
              <w:t>648</w:t>
            </w:r>
          </w:p>
        </w:tc>
        <w:tc>
          <w:tcPr>
            <w:tcW w:w="1080" w:type="dxa"/>
            <w:vAlign w:val="center"/>
          </w:tcPr>
          <w:p w:rsidR="005C2A19" w:rsidRPr="008678EC" w:rsidP="005C2A19" w14:paraId="3C64824D" w14:textId="77777777">
            <w:pPr>
              <w:autoSpaceDE w:val="0"/>
              <w:autoSpaceDN w:val="0"/>
              <w:adjustRightInd w:val="0"/>
              <w:jc w:val="center"/>
            </w:pPr>
            <w:r w:rsidRPr="008678EC">
              <w:t>1</w:t>
            </w:r>
          </w:p>
        </w:tc>
        <w:tc>
          <w:tcPr>
            <w:tcW w:w="1080" w:type="dxa"/>
            <w:vAlign w:val="center"/>
          </w:tcPr>
          <w:p w:rsidR="005C2A19" w:rsidRPr="008678EC" w:rsidP="005C2A19" w14:paraId="76E787A1" w14:textId="77777777">
            <w:pPr>
              <w:autoSpaceDE w:val="0"/>
              <w:autoSpaceDN w:val="0"/>
              <w:adjustRightInd w:val="0"/>
              <w:jc w:val="center"/>
            </w:pPr>
            <w:r w:rsidRPr="008678EC">
              <w:t>648</w:t>
            </w:r>
          </w:p>
        </w:tc>
        <w:tc>
          <w:tcPr>
            <w:tcW w:w="1170" w:type="dxa"/>
          </w:tcPr>
          <w:p w:rsidR="005C2A19" w:rsidRPr="008678EC" w:rsidP="005C2A19" w14:paraId="2B4B2C84" w14:textId="77777777">
            <w:pPr>
              <w:autoSpaceDE w:val="0"/>
              <w:autoSpaceDN w:val="0"/>
              <w:adjustRightInd w:val="0"/>
              <w:jc w:val="center"/>
            </w:pPr>
            <w:r w:rsidRPr="008678EC">
              <w:t>$26.00</w:t>
            </w:r>
          </w:p>
        </w:tc>
        <w:tc>
          <w:tcPr>
            <w:tcW w:w="1320" w:type="dxa"/>
            <w:tcBorders>
              <w:top w:val="single" w:sz="4" w:space="0" w:color="auto"/>
              <w:left w:val="nil"/>
              <w:bottom w:val="single" w:sz="4" w:space="0" w:color="auto"/>
              <w:right w:val="single" w:sz="4" w:space="0" w:color="auto"/>
            </w:tcBorders>
          </w:tcPr>
          <w:p w:rsidR="005C2A19" w:rsidRPr="008678EC" w:rsidP="005C2A19" w14:paraId="7DF795B2" w14:textId="77777777">
            <w:pPr>
              <w:autoSpaceDE w:val="0"/>
              <w:autoSpaceDN w:val="0"/>
              <w:adjustRightInd w:val="0"/>
              <w:jc w:val="center"/>
            </w:pPr>
            <w:r w:rsidRPr="008678EC">
              <w:rPr>
                <w:color w:val="000000"/>
              </w:rPr>
              <w:t>$16,848.00</w:t>
            </w:r>
          </w:p>
        </w:tc>
      </w:tr>
      <w:tr w14:paraId="49970D88" w14:textId="77777777" w:rsidTr="003B7C5A">
        <w:tblPrEx>
          <w:tblW w:w="10350" w:type="dxa"/>
          <w:tblInd w:w="-503" w:type="dxa"/>
          <w:tblLayout w:type="fixed"/>
          <w:tblCellMar>
            <w:top w:w="115" w:type="dxa"/>
            <w:left w:w="115" w:type="dxa"/>
            <w:bottom w:w="115" w:type="dxa"/>
            <w:right w:w="115" w:type="dxa"/>
          </w:tblCellMar>
          <w:tblLook w:val="01E0"/>
        </w:tblPrEx>
        <w:trPr>
          <w:cantSplit/>
          <w:trHeight w:val="101"/>
        </w:trPr>
        <w:tc>
          <w:tcPr>
            <w:tcW w:w="1710" w:type="dxa"/>
          </w:tcPr>
          <w:p w:rsidR="005C2A19" w:rsidRPr="008678EC" w:rsidP="005C2A19" w14:paraId="387EA438" w14:textId="77777777">
            <w:pPr>
              <w:autoSpaceDE w:val="0"/>
              <w:autoSpaceDN w:val="0"/>
              <w:adjustRightInd w:val="0"/>
              <w:rPr>
                <w:b/>
              </w:rPr>
            </w:pPr>
            <w:r w:rsidRPr="008678EC">
              <w:rPr>
                <w:bCs/>
              </w:rPr>
              <w:t>State/Territory: Chat and Text Report (Annual Collection)</w:t>
            </w:r>
          </w:p>
        </w:tc>
        <w:tc>
          <w:tcPr>
            <w:tcW w:w="1380" w:type="dxa"/>
          </w:tcPr>
          <w:p w:rsidR="005C2A19" w:rsidRPr="008678EC" w:rsidP="005C2A19" w14:paraId="6D6ED268" w14:textId="77777777">
            <w:pPr>
              <w:autoSpaceDE w:val="0"/>
              <w:autoSpaceDN w:val="0"/>
              <w:adjustRightInd w:val="0"/>
              <w:jc w:val="center"/>
            </w:pPr>
          </w:p>
          <w:p w:rsidR="005C2A19" w:rsidRPr="008678EC" w:rsidP="005C2A19" w14:paraId="4F8AC65C" w14:textId="77777777">
            <w:pPr>
              <w:autoSpaceDE w:val="0"/>
              <w:autoSpaceDN w:val="0"/>
              <w:adjustRightInd w:val="0"/>
              <w:jc w:val="center"/>
              <w:rPr>
                <w:b/>
              </w:rPr>
            </w:pPr>
            <w:r w:rsidRPr="008678EC">
              <w:t>54</w:t>
            </w:r>
          </w:p>
        </w:tc>
        <w:tc>
          <w:tcPr>
            <w:tcW w:w="1260" w:type="dxa"/>
            <w:vAlign w:val="center"/>
          </w:tcPr>
          <w:p w:rsidR="005C2A19" w:rsidRPr="008678EC" w:rsidP="005C2A19" w14:paraId="19E88487" w14:textId="77777777">
            <w:pPr>
              <w:autoSpaceDE w:val="0"/>
              <w:autoSpaceDN w:val="0"/>
              <w:adjustRightInd w:val="0"/>
              <w:jc w:val="center"/>
              <w:rPr>
                <w:b/>
              </w:rPr>
            </w:pPr>
            <w:r w:rsidRPr="008678EC">
              <w:t>1</w:t>
            </w:r>
          </w:p>
        </w:tc>
        <w:tc>
          <w:tcPr>
            <w:tcW w:w="1350" w:type="dxa"/>
            <w:vAlign w:val="center"/>
          </w:tcPr>
          <w:p w:rsidR="005C2A19" w:rsidRPr="008678EC" w:rsidP="005C2A19" w14:paraId="0830DF00" w14:textId="77777777">
            <w:pPr>
              <w:autoSpaceDE w:val="0"/>
              <w:autoSpaceDN w:val="0"/>
              <w:adjustRightInd w:val="0"/>
              <w:jc w:val="center"/>
              <w:rPr>
                <w:b/>
              </w:rPr>
            </w:pPr>
            <w:r w:rsidRPr="008678EC">
              <w:t>54</w:t>
            </w:r>
          </w:p>
        </w:tc>
        <w:tc>
          <w:tcPr>
            <w:tcW w:w="1080" w:type="dxa"/>
            <w:vAlign w:val="center"/>
          </w:tcPr>
          <w:p w:rsidR="005C2A19" w:rsidRPr="008678EC" w:rsidP="005C2A19" w14:paraId="55E7C011" w14:textId="77777777">
            <w:pPr>
              <w:autoSpaceDE w:val="0"/>
              <w:autoSpaceDN w:val="0"/>
              <w:adjustRightInd w:val="0"/>
              <w:jc w:val="center"/>
              <w:rPr>
                <w:b/>
              </w:rPr>
            </w:pPr>
            <w:r w:rsidRPr="008678EC">
              <w:t>1</w:t>
            </w:r>
          </w:p>
        </w:tc>
        <w:tc>
          <w:tcPr>
            <w:tcW w:w="1080" w:type="dxa"/>
            <w:vAlign w:val="center"/>
          </w:tcPr>
          <w:p w:rsidR="005C2A19" w:rsidRPr="008678EC" w:rsidP="005C2A19" w14:paraId="36C02770" w14:textId="77777777">
            <w:pPr>
              <w:autoSpaceDE w:val="0"/>
              <w:autoSpaceDN w:val="0"/>
              <w:adjustRightInd w:val="0"/>
              <w:jc w:val="center"/>
              <w:rPr>
                <w:b/>
              </w:rPr>
            </w:pPr>
            <w:r w:rsidRPr="008678EC">
              <w:t>54</w:t>
            </w:r>
          </w:p>
        </w:tc>
        <w:tc>
          <w:tcPr>
            <w:tcW w:w="1170" w:type="dxa"/>
          </w:tcPr>
          <w:p w:rsidR="005C2A19" w:rsidRPr="008678EC" w:rsidP="005C2A19" w14:paraId="04B5D6AC" w14:textId="77777777">
            <w:pPr>
              <w:autoSpaceDE w:val="0"/>
              <w:autoSpaceDN w:val="0"/>
              <w:adjustRightInd w:val="0"/>
              <w:jc w:val="center"/>
              <w:rPr>
                <w:b/>
              </w:rPr>
            </w:pPr>
            <w:r w:rsidRPr="008678EC">
              <w:t>$26.00</w:t>
            </w:r>
          </w:p>
        </w:tc>
        <w:tc>
          <w:tcPr>
            <w:tcW w:w="1320" w:type="dxa"/>
            <w:tcBorders>
              <w:top w:val="single" w:sz="4" w:space="0" w:color="auto"/>
              <w:left w:val="nil"/>
              <w:bottom w:val="single" w:sz="4" w:space="0" w:color="auto"/>
              <w:right w:val="single" w:sz="4" w:space="0" w:color="auto"/>
            </w:tcBorders>
          </w:tcPr>
          <w:p w:rsidR="005C2A19" w:rsidRPr="008678EC" w:rsidP="005C2A19" w14:paraId="4EF935F0" w14:textId="77777777">
            <w:pPr>
              <w:autoSpaceDE w:val="0"/>
              <w:autoSpaceDN w:val="0"/>
              <w:adjustRightInd w:val="0"/>
              <w:jc w:val="center"/>
              <w:rPr>
                <w:b/>
              </w:rPr>
            </w:pPr>
            <w:r w:rsidRPr="008678EC">
              <w:rPr>
                <w:color w:val="000000"/>
              </w:rPr>
              <w:t>$1,404.00</w:t>
            </w:r>
          </w:p>
        </w:tc>
      </w:tr>
      <w:tr w14:paraId="7A21C88A" w14:textId="77777777" w:rsidTr="003B7C5A">
        <w:tblPrEx>
          <w:tblW w:w="10350" w:type="dxa"/>
          <w:tblInd w:w="-503" w:type="dxa"/>
          <w:tblLayout w:type="fixed"/>
          <w:tblCellMar>
            <w:top w:w="115" w:type="dxa"/>
            <w:left w:w="115" w:type="dxa"/>
            <w:bottom w:w="115" w:type="dxa"/>
            <w:right w:w="115" w:type="dxa"/>
          </w:tblCellMar>
          <w:tblLook w:val="01E0"/>
        </w:tblPrEx>
        <w:trPr>
          <w:cantSplit/>
          <w:trHeight w:val="101"/>
        </w:trPr>
        <w:tc>
          <w:tcPr>
            <w:tcW w:w="1710" w:type="dxa"/>
          </w:tcPr>
          <w:p w:rsidR="005C2A19" w:rsidRPr="008678EC" w:rsidP="005C2A19" w14:paraId="42EEEFF9" w14:textId="77777777">
            <w:pPr>
              <w:autoSpaceDE w:val="0"/>
              <w:autoSpaceDN w:val="0"/>
              <w:adjustRightInd w:val="0"/>
              <w:rPr>
                <w:b/>
              </w:rPr>
            </w:pPr>
            <w:r w:rsidRPr="008678EC">
              <w:rPr>
                <w:bCs/>
              </w:rPr>
              <w:t>State/Territory: Communications Plan</w:t>
            </w:r>
            <w:r w:rsidRPr="008678EC">
              <w:rPr>
                <w:b/>
              </w:rPr>
              <w:t xml:space="preserve"> </w:t>
            </w:r>
            <w:r w:rsidRPr="008678EC">
              <w:rPr>
                <w:bCs/>
              </w:rPr>
              <w:t>(Annual Collection)</w:t>
            </w:r>
          </w:p>
        </w:tc>
        <w:tc>
          <w:tcPr>
            <w:tcW w:w="1380" w:type="dxa"/>
          </w:tcPr>
          <w:p w:rsidR="005C2A19" w:rsidRPr="008678EC" w:rsidP="005C2A19" w14:paraId="63790DEE" w14:textId="77777777">
            <w:pPr>
              <w:autoSpaceDE w:val="0"/>
              <w:autoSpaceDN w:val="0"/>
              <w:adjustRightInd w:val="0"/>
              <w:jc w:val="center"/>
            </w:pPr>
          </w:p>
          <w:p w:rsidR="005C2A19" w:rsidRPr="008678EC" w:rsidP="005C2A19" w14:paraId="36184192" w14:textId="77777777">
            <w:pPr>
              <w:autoSpaceDE w:val="0"/>
              <w:autoSpaceDN w:val="0"/>
              <w:adjustRightInd w:val="0"/>
              <w:jc w:val="center"/>
              <w:rPr>
                <w:b/>
              </w:rPr>
            </w:pPr>
            <w:r w:rsidRPr="008678EC">
              <w:t>54</w:t>
            </w:r>
          </w:p>
        </w:tc>
        <w:tc>
          <w:tcPr>
            <w:tcW w:w="1260" w:type="dxa"/>
            <w:vAlign w:val="center"/>
          </w:tcPr>
          <w:p w:rsidR="005C2A19" w:rsidRPr="008678EC" w:rsidP="005C2A19" w14:paraId="5B985D46" w14:textId="77777777">
            <w:pPr>
              <w:autoSpaceDE w:val="0"/>
              <w:autoSpaceDN w:val="0"/>
              <w:adjustRightInd w:val="0"/>
              <w:jc w:val="center"/>
              <w:rPr>
                <w:b/>
              </w:rPr>
            </w:pPr>
            <w:r w:rsidRPr="008678EC">
              <w:t>1</w:t>
            </w:r>
          </w:p>
        </w:tc>
        <w:tc>
          <w:tcPr>
            <w:tcW w:w="1350" w:type="dxa"/>
            <w:vAlign w:val="center"/>
          </w:tcPr>
          <w:p w:rsidR="005C2A19" w:rsidRPr="008678EC" w:rsidP="005C2A19" w14:paraId="7F3F1B18" w14:textId="77777777">
            <w:pPr>
              <w:autoSpaceDE w:val="0"/>
              <w:autoSpaceDN w:val="0"/>
              <w:adjustRightInd w:val="0"/>
              <w:jc w:val="center"/>
              <w:rPr>
                <w:b/>
              </w:rPr>
            </w:pPr>
            <w:r w:rsidRPr="008678EC">
              <w:t>54</w:t>
            </w:r>
          </w:p>
        </w:tc>
        <w:tc>
          <w:tcPr>
            <w:tcW w:w="1080" w:type="dxa"/>
            <w:vAlign w:val="center"/>
          </w:tcPr>
          <w:p w:rsidR="005C2A19" w:rsidRPr="008678EC" w:rsidP="005C2A19" w14:paraId="32FF71AA" w14:textId="77777777">
            <w:pPr>
              <w:autoSpaceDE w:val="0"/>
              <w:autoSpaceDN w:val="0"/>
              <w:adjustRightInd w:val="0"/>
              <w:jc w:val="center"/>
              <w:rPr>
                <w:b/>
              </w:rPr>
            </w:pPr>
            <w:r w:rsidRPr="008678EC">
              <w:t>1</w:t>
            </w:r>
          </w:p>
        </w:tc>
        <w:tc>
          <w:tcPr>
            <w:tcW w:w="1080" w:type="dxa"/>
            <w:vAlign w:val="center"/>
          </w:tcPr>
          <w:p w:rsidR="005C2A19" w:rsidRPr="008678EC" w:rsidP="005C2A19" w14:paraId="0CB849AC" w14:textId="77777777">
            <w:pPr>
              <w:autoSpaceDE w:val="0"/>
              <w:autoSpaceDN w:val="0"/>
              <w:adjustRightInd w:val="0"/>
              <w:jc w:val="center"/>
              <w:rPr>
                <w:b/>
              </w:rPr>
            </w:pPr>
            <w:r w:rsidRPr="008678EC">
              <w:t>54</w:t>
            </w:r>
          </w:p>
        </w:tc>
        <w:tc>
          <w:tcPr>
            <w:tcW w:w="1170" w:type="dxa"/>
          </w:tcPr>
          <w:p w:rsidR="005C2A19" w:rsidRPr="008678EC" w:rsidP="005C2A19" w14:paraId="14EF06D5" w14:textId="77777777">
            <w:pPr>
              <w:autoSpaceDE w:val="0"/>
              <w:autoSpaceDN w:val="0"/>
              <w:adjustRightInd w:val="0"/>
              <w:jc w:val="center"/>
              <w:rPr>
                <w:b/>
              </w:rPr>
            </w:pPr>
            <w:r w:rsidRPr="008678EC">
              <w:t>$26.00</w:t>
            </w:r>
          </w:p>
        </w:tc>
        <w:tc>
          <w:tcPr>
            <w:tcW w:w="1320" w:type="dxa"/>
            <w:tcBorders>
              <w:top w:val="single" w:sz="4" w:space="0" w:color="auto"/>
              <w:left w:val="nil"/>
              <w:bottom w:val="single" w:sz="4" w:space="0" w:color="auto"/>
              <w:right w:val="single" w:sz="4" w:space="0" w:color="auto"/>
            </w:tcBorders>
          </w:tcPr>
          <w:p w:rsidR="005C2A19" w:rsidRPr="008678EC" w:rsidP="005C2A19" w14:paraId="30E5C776" w14:textId="77777777">
            <w:pPr>
              <w:autoSpaceDE w:val="0"/>
              <w:autoSpaceDN w:val="0"/>
              <w:adjustRightInd w:val="0"/>
              <w:jc w:val="center"/>
              <w:rPr>
                <w:b/>
              </w:rPr>
            </w:pPr>
            <w:r w:rsidRPr="008678EC">
              <w:rPr>
                <w:color w:val="000000"/>
              </w:rPr>
              <w:t>$1,404.00</w:t>
            </w:r>
          </w:p>
        </w:tc>
      </w:tr>
      <w:tr w14:paraId="0F68405D" w14:textId="77777777" w:rsidTr="003B7C5A">
        <w:tblPrEx>
          <w:tblW w:w="10350" w:type="dxa"/>
          <w:tblInd w:w="-503" w:type="dxa"/>
          <w:tblLayout w:type="fixed"/>
          <w:tblCellMar>
            <w:top w:w="115" w:type="dxa"/>
            <w:left w:w="115" w:type="dxa"/>
            <w:bottom w:w="115" w:type="dxa"/>
            <w:right w:w="115" w:type="dxa"/>
          </w:tblCellMar>
          <w:tblLook w:val="01E0"/>
        </w:tblPrEx>
        <w:trPr>
          <w:cantSplit/>
          <w:trHeight w:val="101"/>
        </w:trPr>
        <w:tc>
          <w:tcPr>
            <w:tcW w:w="1710" w:type="dxa"/>
          </w:tcPr>
          <w:p w:rsidR="005C2A19" w:rsidRPr="008678EC" w:rsidP="005C2A19" w14:paraId="7D174BB1" w14:textId="77777777">
            <w:pPr>
              <w:autoSpaceDE w:val="0"/>
              <w:autoSpaceDN w:val="0"/>
              <w:adjustRightInd w:val="0"/>
              <w:rPr>
                <w:b/>
              </w:rPr>
            </w:pPr>
            <w:r w:rsidRPr="008678EC">
              <w:rPr>
                <w:bCs/>
              </w:rPr>
              <w:t>State/Territory: Sustainability Plan (Annual Collection)</w:t>
            </w:r>
          </w:p>
        </w:tc>
        <w:tc>
          <w:tcPr>
            <w:tcW w:w="1380" w:type="dxa"/>
          </w:tcPr>
          <w:p w:rsidR="005C2A19" w:rsidRPr="008678EC" w:rsidP="005C2A19" w14:paraId="01BFC55B" w14:textId="77777777">
            <w:pPr>
              <w:autoSpaceDE w:val="0"/>
              <w:autoSpaceDN w:val="0"/>
              <w:adjustRightInd w:val="0"/>
              <w:jc w:val="center"/>
            </w:pPr>
          </w:p>
          <w:p w:rsidR="005C2A19" w:rsidRPr="008678EC" w:rsidP="005C2A19" w14:paraId="3502F7DF" w14:textId="77777777">
            <w:pPr>
              <w:autoSpaceDE w:val="0"/>
              <w:autoSpaceDN w:val="0"/>
              <w:adjustRightInd w:val="0"/>
              <w:jc w:val="center"/>
              <w:rPr>
                <w:b/>
              </w:rPr>
            </w:pPr>
            <w:r w:rsidRPr="008678EC">
              <w:t>54</w:t>
            </w:r>
          </w:p>
        </w:tc>
        <w:tc>
          <w:tcPr>
            <w:tcW w:w="1260" w:type="dxa"/>
            <w:vAlign w:val="center"/>
          </w:tcPr>
          <w:p w:rsidR="005C2A19" w:rsidRPr="008678EC" w:rsidP="005C2A19" w14:paraId="4DEBE840" w14:textId="77777777">
            <w:pPr>
              <w:autoSpaceDE w:val="0"/>
              <w:autoSpaceDN w:val="0"/>
              <w:adjustRightInd w:val="0"/>
              <w:jc w:val="center"/>
              <w:rPr>
                <w:b/>
              </w:rPr>
            </w:pPr>
            <w:r w:rsidRPr="008678EC">
              <w:t>1</w:t>
            </w:r>
          </w:p>
        </w:tc>
        <w:tc>
          <w:tcPr>
            <w:tcW w:w="1350" w:type="dxa"/>
            <w:vAlign w:val="center"/>
          </w:tcPr>
          <w:p w:rsidR="005C2A19" w:rsidRPr="008678EC" w:rsidP="005C2A19" w14:paraId="6E39BF9B" w14:textId="77777777">
            <w:pPr>
              <w:autoSpaceDE w:val="0"/>
              <w:autoSpaceDN w:val="0"/>
              <w:adjustRightInd w:val="0"/>
              <w:jc w:val="center"/>
              <w:rPr>
                <w:b/>
              </w:rPr>
            </w:pPr>
            <w:r w:rsidRPr="008678EC">
              <w:t>54</w:t>
            </w:r>
          </w:p>
        </w:tc>
        <w:tc>
          <w:tcPr>
            <w:tcW w:w="1080" w:type="dxa"/>
            <w:vAlign w:val="center"/>
          </w:tcPr>
          <w:p w:rsidR="005C2A19" w:rsidRPr="008678EC" w:rsidP="005C2A19" w14:paraId="38788DC7" w14:textId="77777777">
            <w:pPr>
              <w:autoSpaceDE w:val="0"/>
              <w:autoSpaceDN w:val="0"/>
              <w:adjustRightInd w:val="0"/>
              <w:jc w:val="center"/>
              <w:rPr>
                <w:b/>
              </w:rPr>
            </w:pPr>
            <w:r w:rsidRPr="008678EC">
              <w:t>2</w:t>
            </w:r>
          </w:p>
        </w:tc>
        <w:tc>
          <w:tcPr>
            <w:tcW w:w="1080" w:type="dxa"/>
            <w:vAlign w:val="center"/>
          </w:tcPr>
          <w:p w:rsidR="005C2A19" w:rsidRPr="008678EC" w:rsidP="005C2A19" w14:paraId="03E3D780" w14:textId="77777777">
            <w:pPr>
              <w:autoSpaceDE w:val="0"/>
              <w:autoSpaceDN w:val="0"/>
              <w:adjustRightInd w:val="0"/>
              <w:jc w:val="center"/>
              <w:rPr>
                <w:b/>
              </w:rPr>
            </w:pPr>
            <w:r w:rsidRPr="008678EC">
              <w:t>108</w:t>
            </w:r>
          </w:p>
        </w:tc>
        <w:tc>
          <w:tcPr>
            <w:tcW w:w="1170" w:type="dxa"/>
          </w:tcPr>
          <w:p w:rsidR="005C2A19" w:rsidRPr="008678EC" w:rsidP="005C2A19" w14:paraId="56CEF28F" w14:textId="77777777">
            <w:pPr>
              <w:autoSpaceDE w:val="0"/>
              <w:autoSpaceDN w:val="0"/>
              <w:adjustRightInd w:val="0"/>
              <w:jc w:val="center"/>
              <w:rPr>
                <w:b/>
              </w:rPr>
            </w:pPr>
            <w:r w:rsidRPr="008678EC">
              <w:t>$26.00</w:t>
            </w:r>
          </w:p>
        </w:tc>
        <w:tc>
          <w:tcPr>
            <w:tcW w:w="1320" w:type="dxa"/>
            <w:tcBorders>
              <w:top w:val="single" w:sz="4" w:space="0" w:color="auto"/>
              <w:left w:val="nil"/>
              <w:bottom w:val="single" w:sz="4" w:space="0" w:color="auto"/>
              <w:right w:val="single" w:sz="4" w:space="0" w:color="auto"/>
            </w:tcBorders>
          </w:tcPr>
          <w:p w:rsidR="005C2A19" w:rsidRPr="008678EC" w:rsidP="005C2A19" w14:paraId="5C3C4678" w14:textId="77777777">
            <w:pPr>
              <w:autoSpaceDE w:val="0"/>
              <w:autoSpaceDN w:val="0"/>
              <w:adjustRightInd w:val="0"/>
              <w:jc w:val="center"/>
              <w:rPr>
                <w:b/>
              </w:rPr>
            </w:pPr>
            <w:r w:rsidRPr="008678EC">
              <w:rPr>
                <w:color w:val="000000"/>
              </w:rPr>
              <w:t>$2,808.00</w:t>
            </w:r>
          </w:p>
        </w:tc>
      </w:tr>
      <w:tr w14:paraId="42180F1D" w14:textId="77777777" w:rsidTr="003B7C5A">
        <w:tblPrEx>
          <w:tblW w:w="10350" w:type="dxa"/>
          <w:tblInd w:w="-503" w:type="dxa"/>
          <w:tblLayout w:type="fixed"/>
          <w:tblCellMar>
            <w:top w:w="115" w:type="dxa"/>
            <w:left w:w="115" w:type="dxa"/>
            <w:bottom w:w="115" w:type="dxa"/>
            <w:right w:w="115" w:type="dxa"/>
          </w:tblCellMar>
          <w:tblLook w:val="01E0"/>
        </w:tblPrEx>
        <w:trPr>
          <w:cantSplit/>
          <w:trHeight w:val="101"/>
        </w:trPr>
        <w:tc>
          <w:tcPr>
            <w:tcW w:w="1710" w:type="dxa"/>
          </w:tcPr>
          <w:p w:rsidR="005C2A19" w:rsidRPr="008678EC" w:rsidP="005C2A19" w14:paraId="2D79F04D" w14:textId="77777777">
            <w:pPr>
              <w:autoSpaceDE w:val="0"/>
              <w:autoSpaceDN w:val="0"/>
              <w:adjustRightInd w:val="0"/>
              <w:rPr>
                <w:b/>
              </w:rPr>
            </w:pPr>
            <w:r w:rsidRPr="008678EC">
              <w:rPr>
                <w:bCs/>
              </w:rPr>
              <w:t>State/Territory: Mobile Crisis and 988-911 reports (Annual Collection)</w:t>
            </w:r>
          </w:p>
        </w:tc>
        <w:tc>
          <w:tcPr>
            <w:tcW w:w="1380" w:type="dxa"/>
          </w:tcPr>
          <w:p w:rsidR="005C2A19" w:rsidRPr="008678EC" w:rsidP="005C2A19" w14:paraId="3A047C82" w14:textId="77777777">
            <w:pPr>
              <w:autoSpaceDE w:val="0"/>
              <w:autoSpaceDN w:val="0"/>
              <w:adjustRightInd w:val="0"/>
              <w:jc w:val="center"/>
            </w:pPr>
          </w:p>
          <w:p w:rsidR="005C2A19" w:rsidRPr="008678EC" w:rsidP="005C2A19" w14:paraId="59296C74" w14:textId="77777777">
            <w:pPr>
              <w:autoSpaceDE w:val="0"/>
              <w:autoSpaceDN w:val="0"/>
              <w:adjustRightInd w:val="0"/>
              <w:jc w:val="center"/>
              <w:rPr>
                <w:b/>
              </w:rPr>
            </w:pPr>
            <w:r w:rsidRPr="008678EC">
              <w:t>54</w:t>
            </w:r>
          </w:p>
        </w:tc>
        <w:tc>
          <w:tcPr>
            <w:tcW w:w="1260" w:type="dxa"/>
            <w:vAlign w:val="center"/>
          </w:tcPr>
          <w:p w:rsidR="005C2A19" w:rsidRPr="008678EC" w:rsidP="005C2A19" w14:paraId="25328731" w14:textId="77777777">
            <w:pPr>
              <w:autoSpaceDE w:val="0"/>
              <w:autoSpaceDN w:val="0"/>
              <w:adjustRightInd w:val="0"/>
              <w:jc w:val="center"/>
              <w:rPr>
                <w:b/>
              </w:rPr>
            </w:pPr>
            <w:r w:rsidRPr="008678EC">
              <w:t>1</w:t>
            </w:r>
          </w:p>
        </w:tc>
        <w:tc>
          <w:tcPr>
            <w:tcW w:w="1350" w:type="dxa"/>
            <w:vAlign w:val="center"/>
          </w:tcPr>
          <w:p w:rsidR="005C2A19" w:rsidRPr="008678EC" w:rsidP="005C2A19" w14:paraId="1E792F9B" w14:textId="77777777">
            <w:pPr>
              <w:autoSpaceDE w:val="0"/>
              <w:autoSpaceDN w:val="0"/>
              <w:adjustRightInd w:val="0"/>
              <w:jc w:val="center"/>
              <w:rPr>
                <w:b/>
              </w:rPr>
            </w:pPr>
            <w:r w:rsidRPr="008678EC">
              <w:t>54</w:t>
            </w:r>
          </w:p>
        </w:tc>
        <w:tc>
          <w:tcPr>
            <w:tcW w:w="1080" w:type="dxa"/>
            <w:vAlign w:val="center"/>
          </w:tcPr>
          <w:p w:rsidR="005C2A19" w:rsidRPr="008678EC" w:rsidP="005C2A19" w14:paraId="2A2407C1" w14:textId="77777777">
            <w:pPr>
              <w:autoSpaceDE w:val="0"/>
              <w:autoSpaceDN w:val="0"/>
              <w:adjustRightInd w:val="0"/>
              <w:jc w:val="center"/>
              <w:rPr>
                <w:b/>
              </w:rPr>
            </w:pPr>
            <w:r w:rsidRPr="008678EC">
              <w:t>6</w:t>
            </w:r>
          </w:p>
        </w:tc>
        <w:tc>
          <w:tcPr>
            <w:tcW w:w="1080" w:type="dxa"/>
            <w:vAlign w:val="center"/>
          </w:tcPr>
          <w:p w:rsidR="005C2A19" w:rsidRPr="008678EC" w:rsidP="005C2A19" w14:paraId="434A44AA" w14:textId="77777777">
            <w:pPr>
              <w:autoSpaceDE w:val="0"/>
              <w:autoSpaceDN w:val="0"/>
              <w:adjustRightInd w:val="0"/>
              <w:jc w:val="center"/>
              <w:rPr>
                <w:b/>
              </w:rPr>
            </w:pPr>
            <w:r w:rsidRPr="008678EC">
              <w:t>324</w:t>
            </w:r>
          </w:p>
        </w:tc>
        <w:tc>
          <w:tcPr>
            <w:tcW w:w="1170" w:type="dxa"/>
          </w:tcPr>
          <w:p w:rsidR="005C2A19" w:rsidRPr="008678EC" w:rsidP="005C2A19" w14:paraId="13390786" w14:textId="77777777">
            <w:pPr>
              <w:autoSpaceDE w:val="0"/>
              <w:autoSpaceDN w:val="0"/>
              <w:adjustRightInd w:val="0"/>
              <w:jc w:val="center"/>
              <w:rPr>
                <w:b/>
              </w:rPr>
            </w:pPr>
            <w:r w:rsidRPr="008678EC">
              <w:t>$26.00</w:t>
            </w:r>
          </w:p>
        </w:tc>
        <w:tc>
          <w:tcPr>
            <w:tcW w:w="1320" w:type="dxa"/>
            <w:tcBorders>
              <w:top w:val="single" w:sz="4" w:space="0" w:color="auto"/>
              <w:left w:val="nil"/>
              <w:bottom w:val="single" w:sz="4" w:space="0" w:color="auto"/>
              <w:right w:val="single" w:sz="4" w:space="0" w:color="auto"/>
            </w:tcBorders>
          </w:tcPr>
          <w:p w:rsidR="005C2A19" w:rsidRPr="008678EC" w:rsidP="005C2A19" w14:paraId="0DE26A63" w14:textId="77777777">
            <w:pPr>
              <w:autoSpaceDE w:val="0"/>
              <w:autoSpaceDN w:val="0"/>
              <w:adjustRightInd w:val="0"/>
              <w:jc w:val="center"/>
              <w:rPr>
                <w:b/>
              </w:rPr>
            </w:pPr>
            <w:r w:rsidRPr="008678EC">
              <w:rPr>
                <w:color w:val="000000"/>
              </w:rPr>
              <w:t>$8,424.00</w:t>
            </w:r>
          </w:p>
        </w:tc>
      </w:tr>
      <w:tr w14:paraId="5E48487C" w14:textId="77777777" w:rsidTr="003B7C5A">
        <w:tblPrEx>
          <w:tblW w:w="10350" w:type="dxa"/>
          <w:tblInd w:w="-503" w:type="dxa"/>
          <w:tblLayout w:type="fixed"/>
          <w:tblCellMar>
            <w:top w:w="115" w:type="dxa"/>
            <w:left w:w="115" w:type="dxa"/>
            <w:bottom w:w="115" w:type="dxa"/>
            <w:right w:w="115" w:type="dxa"/>
          </w:tblCellMar>
          <w:tblLook w:val="01E0"/>
        </w:tblPrEx>
        <w:trPr>
          <w:cantSplit/>
          <w:trHeight w:val="101"/>
        </w:trPr>
        <w:tc>
          <w:tcPr>
            <w:tcW w:w="1710" w:type="dxa"/>
          </w:tcPr>
          <w:p w:rsidR="005C2A19" w:rsidRPr="008678EC" w:rsidP="005C2A19" w14:paraId="30089963" w14:textId="77777777">
            <w:pPr>
              <w:autoSpaceDE w:val="0"/>
              <w:autoSpaceDN w:val="0"/>
              <w:adjustRightInd w:val="0"/>
              <w:rPr>
                <w:b/>
              </w:rPr>
            </w:pPr>
            <w:r w:rsidRPr="008678EC">
              <w:t>Crisis Center Data Reporting Elements</w:t>
            </w:r>
          </w:p>
        </w:tc>
        <w:tc>
          <w:tcPr>
            <w:tcW w:w="1380" w:type="dxa"/>
          </w:tcPr>
          <w:p w:rsidR="005C2A19" w:rsidRPr="008678EC" w:rsidP="005C2A19" w14:paraId="54F13A3D" w14:textId="77777777">
            <w:pPr>
              <w:autoSpaceDE w:val="0"/>
              <w:autoSpaceDN w:val="0"/>
              <w:adjustRightInd w:val="0"/>
              <w:jc w:val="center"/>
            </w:pPr>
          </w:p>
          <w:p w:rsidR="005C2A19" w:rsidRPr="008678EC" w:rsidP="005C2A19" w14:paraId="455416BE" w14:textId="77777777">
            <w:pPr>
              <w:autoSpaceDE w:val="0"/>
              <w:autoSpaceDN w:val="0"/>
              <w:adjustRightInd w:val="0"/>
              <w:jc w:val="center"/>
              <w:rPr>
                <w:b/>
              </w:rPr>
            </w:pPr>
            <w:r w:rsidRPr="008678EC">
              <w:t>10</w:t>
            </w:r>
          </w:p>
        </w:tc>
        <w:tc>
          <w:tcPr>
            <w:tcW w:w="1260" w:type="dxa"/>
            <w:vAlign w:val="center"/>
          </w:tcPr>
          <w:p w:rsidR="005C2A19" w:rsidRPr="008678EC" w:rsidP="005C2A19" w14:paraId="45F95608" w14:textId="77777777">
            <w:pPr>
              <w:autoSpaceDE w:val="0"/>
              <w:autoSpaceDN w:val="0"/>
              <w:adjustRightInd w:val="0"/>
              <w:jc w:val="center"/>
              <w:rPr>
                <w:b/>
              </w:rPr>
            </w:pPr>
            <w:r w:rsidRPr="008678EC">
              <w:t>1</w:t>
            </w:r>
          </w:p>
        </w:tc>
        <w:tc>
          <w:tcPr>
            <w:tcW w:w="1350" w:type="dxa"/>
            <w:vAlign w:val="center"/>
          </w:tcPr>
          <w:p w:rsidR="005C2A19" w:rsidRPr="008678EC" w:rsidP="005C2A19" w14:paraId="0966570A" w14:textId="77777777">
            <w:pPr>
              <w:autoSpaceDE w:val="0"/>
              <w:autoSpaceDN w:val="0"/>
              <w:adjustRightInd w:val="0"/>
              <w:jc w:val="center"/>
              <w:rPr>
                <w:b/>
              </w:rPr>
            </w:pPr>
            <w:r w:rsidRPr="008678EC">
              <w:t>10</w:t>
            </w:r>
          </w:p>
        </w:tc>
        <w:tc>
          <w:tcPr>
            <w:tcW w:w="1080" w:type="dxa"/>
            <w:vAlign w:val="center"/>
          </w:tcPr>
          <w:p w:rsidR="005C2A19" w:rsidRPr="008678EC" w:rsidP="005C2A19" w14:paraId="3625BDDA" w14:textId="77777777">
            <w:pPr>
              <w:autoSpaceDE w:val="0"/>
              <w:autoSpaceDN w:val="0"/>
              <w:adjustRightInd w:val="0"/>
              <w:jc w:val="center"/>
              <w:rPr>
                <w:b/>
              </w:rPr>
            </w:pPr>
            <w:r w:rsidRPr="008678EC">
              <w:t>2</w:t>
            </w:r>
          </w:p>
        </w:tc>
        <w:tc>
          <w:tcPr>
            <w:tcW w:w="1080" w:type="dxa"/>
            <w:vAlign w:val="center"/>
          </w:tcPr>
          <w:p w:rsidR="005C2A19" w:rsidRPr="008678EC" w:rsidP="005C2A19" w14:paraId="60F115E8" w14:textId="77777777">
            <w:pPr>
              <w:autoSpaceDE w:val="0"/>
              <w:autoSpaceDN w:val="0"/>
              <w:adjustRightInd w:val="0"/>
              <w:jc w:val="center"/>
              <w:rPr>
                <w:b/>
              </w:rPr>
            </w:pPr>
            <w:r w:rsidRPr="008678EC">
              <w:t>20</w:t>
            </w:r>
          </w:p>
        </w:tc>
        <w:tc>
          <w:tcPr>
            <w:tcW w:w="1170" w:type="dxa"/>
          </w:tcPr>
          <w:p w:rsidR="005C2A19" w:rsidRPr="008678EC" w:rsidP="005C2A19" w14:paraId="1BE24A96" w14:textId="77777777">
            <w:pPr>
              <w:autoSpaceDE w:val="0"/>
              <w:autoSpaceDN w:val="0"/>
              <w:adjustRightInd w:val="0"/>
              <w:jc w:val="center"/>
              <w:rPr>
                <w:b/>
              </w:rPr>
            </w:pPr>
            <w:r w:rsidRPr="008678EC">
              <w:t>$26.00</w:t>
            </w:r>
          </w:p>
        </w:tc>
        <w:tc>
          <w:tcPr>
            <w:tcW w:w="1320" w:type="dxa"/>
            <w:tcBorders>
              <w:top w:val="single" w:sz="4" w:space="0" w:color="auto"/>
              <w:left w:val="nil"/>
              <w:bottom w:val="single" w:sz="4" w:space="0" w:color="auto"/>
              <w:right w:val="single" w:sz="4" w:space="0" w:color="auto"/>
            </w:tcBorders>
          </w:tcPr>
          <w:p w:rsidR="005C2A19" w:rsidRPr="008678EC" w:rsidP="005C2A19" w14:paraId="53542625" w14:textId="77777777">
            <w:pPr>
              <w:autoSpaceDE w:val="0"/>
              <w:autoSpaceDN w:val="0"/>
              <w:adjustRightInd w:val="0"/>
              <w:jc w:val="center"/>
              <w:rPr>
                <w:b/>
              </w:rPr>
            </w:pPr>
            <w:r w:rsidRPr="008678EC">
              <w:rPr>
                <w:color w:val="000000"/>
              </w:rPr>
              <w:t>$520.00</w:t>
            </w:r>
          </w:p>
        </w:tc>
      </w:tr>
      <w:tr w14:paraId="5171101B" w14:textId="77777777" w:rsidTr="003B7C5A">
        <w:tblPrEx>
          <w:tblW w:w="10350" w:type="dxa"/>
          <w:tblInd w:w="-503" w:type="dxa"/>
          <w:tblLayout w:type="fixed"/>
          <w:tblCellMar>
            <w:top w:w="115" w:type="dxa"/>
            <w:left w:w="115" w:type="dxa"/>
            <w:bottom w:w="115" w:type="dxa"/>
            <w:right w:w="115" w:type="dxa"/>
          </w:tblCellMar>
          <w:tblLook w:val="01E0"/>
        </w:tblPrEx>
        <w:trPr>
          <w:cantSplit/>
          <w:trHeight w:val="101"/>
        </w:trPr>
        <w:tc>
          <w:tcPr>
            <w:tcW w:w="1710" w:type="dxa"/>
          </w:tcPr>
          <w:p w:rsidR="005C2A19" w:rsidRPr="008678EC" w:rsidP="005C2A19" w14:paraId="16119E3B" w14:textId="77777777">
            <w:pPr>
              <w:autoSpaceDE w:val="0"/>
              <w:autoSpaceDN w:val="0"/>
              <w:adjustRightInd w:val="0"/>
              <w:rPr>
                <w:b/>
              </w:rPr>
            </w:pPr>
            <w:r w:rsidRPr="008678EC">
              <w:t>Crisis Center Monthly Agenda Template</w:t>
            </w:r>
          </w:p>
        </w:tc>
        <w:tc>
          <w:tcPr>
            <w:tcW w:w="1380" w:type="dxa"/>
          </w:tcPr>
          <w:p w:rsidR="005C2A19" w:rsidRPr="008678EC" w:rsidP="005C2A19" w14:paraId="3CF00777" w14:textId="77777777">
            <w:pPr>
              <w:autoSpaceDE w:val="0"/>
              <w:autoSpaceDN w:val="0"/>
              <w:adjustRightInd w:val="0"/>
              <w:jc w:val="center"/>
            </w:pPr>
          </w:p>
          <w:p w:rsidR="005C2A19" w:rsidRPr="008678EC" w:rsidP="005C2A19" w14:paraId="5F5B2563" w14:textId="77777777">
            <w:pPr>
              <w:autoSpaceDE w:val="0"/>
              <w:autoSpaceDN w:val="0"/>
              <w:adjustRightInd w:val="0"/>
              <w:jc w:val="center"/>
              <w:rPr>
                <w:b/>
              </w:rPr>
            </w:pPr>
            <w:r w:rsidRPr="008678EC">
              <w:t>10</w:t>
            </w:r>
          </w:p>
        </w:tc>
        <w:tc>
          <w:tcPr>
            <w:tcW w:w="1260" w:type="dxa"/>
            <w:vAlign w:val="center"/>
          </w:tcPr>
          <w:p w:rsidR="00861830" w:rsidRPr="008678EC" w:rsidP="005C2A19" w14:paraId="46B639E8" w14:textId="77777777">
            <w:pPr>
              <w:autoSpaceDE w:val="0"/>
              <w:autoSpaceDN w:val="0"/>
              <w:adjustRightInd w:val="0"/>
              <w:jc w:val="center"/>
              <w:rPr>
                <w:b/>
              </w:rPr>
            </w:pPr>
            <w:r w:rsidRPr="008678EC">
              <w:t>1</w:t>
            </w:r>
          </w:p>
        </w:tc>
        <w:tc>
          <w:tcPr>
            <w:tcW w:w="1350" w:type="dxa"/>
            <w:vAlign w:val="center"/>
          </w:tcPr>
          <w:p w:rsidR="00861830" w:rsidRPr="008678EC" w:rsidP="005C2A19" w14:paraId="57D8452F" w14:textId="77777777">
            <w:pPr>
              <w:autoSpaceDE w:val="0"/>
              <w:autoSpaceDN w:val="0"/>
              <w:adjustRightInd w:val="0"/>
              <w:jc w:val="center"/>
              <w:rPr>
                <w:b/>
              </w:rPr>
            </w:pPr>
            <w:r w:rsidRPr="008678EC">
              <w:t>10</w:t>
            </w:r>
          </w:p>
        </w:tc>
        <w:tc>
          <w:tcPr>
            <w:tcW w:w="1080" w:type="dxa"/>
            <w:vAlign w:val="center"/>
          </w:tcPr>
          <w:p w:rsidR="005C2A19" w:rsidRPr="008678EC" w:rsidP="005C2A19" w14:paraId="1EE2F5FE" w14:textId="77777777">
            <w:pPr>
              <w:autoSpaceDE w:val="0"/>
              <w:autoSpaceDN w:val="0"/>
              <w:adjustRightInd w:val="0"/>
              <w:jc w:val="center"/>
              <w:rPr>
                <w:b/>
              </w:rPr>
            </w:pPr>
            <w:r w:rsidRPr="008678EC">
              <w:t>2</w:t>
            </w:r>
          </w:p>
        </w:tc>
        <w:tc>
          <w:tcPr>
            <w:tcW w:w="1080" w:type="dxa"/>
            <w:vAlign w:val="center"/>
          </w:tcPr>
          <w:p w:rsidR="00861830" w:rsidRPr="008678EC" w:rsidP="005C2A19" w14:paraId="0403C38E" w14:textId="77777777">
            <w:pPr>
              <w:autoSpaceDE w:val="0"/>
              <w:autoSpaceDN w:val="0"/>
              <w:adjustRightInd w:val="0"/>
              <w:jc w:val="center"/>
              <w:rPr>
                <w:b/>
              </w:rPr>
            </w:pPr>
            <w:r w:rsidRPr="008678EC">
              <w:t>20</w:t>
            </w:r>
          </w:p>
        </w:tc>
        <w:tc>
          <w:tcPr>
            <w:tcW w:w="1170" w:type="dxa"/>
          </w:tcPr>
          <w:p w:rsidR="005C2A19" w:rsidRPr="008678EC" w:rsidP="005C2A19" w14:paraId="1F71CD7E" w14:textId="77777777">
            <w:pPr>
              <w:autoSpaceDE w:val="0"/>
              <w:autoSpaceDN w:val="0"/>
              <w:adjustRightInd w:val="0"/>
              <w:jc w:val="center"/>
              <w:rPr>
                <w:b/>
              </w:rPr>
            </w:pPr>
            <w:r w:rsidRPr="008678EC">
              <w:t>$26.00</w:t>
            </w:r>
          </w:p>
        </w:tc>
        <w:tc>
          <w:tcPr>
            <w:tcW w:w="1320" w:type="dxa"/>
            <w:tcBorders>
              <w:top w:val="single" w:sz="4" w:space="0" w:color="auto"/>
              <w:left w:val="nil"/>
              <w:bottom w:val="single" w:sz="4" w:space="0" w:color="auto"/>
              <w:right w:val="single" w:sz="4" w:space="0" w:color="auto"/>
            </w:tcBorders>
          </w:tcPr>
          <w:p w:rsidR="00861830" w:rsidRPr="008678EC" w:rsidP="005C2A19" w14:paraId="6BE5295F" w14:textId="77777777">
            <w:pPr>
              <w:autoSpaceDE w:val="0"/>
              <w:autoSpaceDN w:val="0"/>
              <w:adjustRightInd w:val="0"/>
              <w:jc w:val="center"/>
              <w:rPr>
                <w:b/>
              </w:rPr>
            </w:pPr>
            <w:r w:rsidRPr="008678EC">
              <w:rPr>
                <w:color w:val="000000"/>
              </w:rPr>
              <w:t>$520.00</w:t>
            </w:r>
          </w:p>
        </w:tc>
      </w:tr>
      <w:tr w14:paraId="04F5E331" w14:textId="77777777" w:rsidTr="003B7C5A">
        <w:tblPrEx>
          <w:tblW w:w="10350" w:type="dxa"/>
          <w:tblInd w:w="-503" w:type="dxa"/>
          <w:tblLayout w:type="fixed"/>
          <w:tblCellMar>
            <w:top w:w="115" w:type="dxa"/>
            <w:left w:w="115" w:type="dxa"/>
            <w:bottom w:w="115" w:type="dxa"/>
            <w:right w:w="115" w:type="dxa"/>
          </w:tblCellMar>
          <w:tblLook w:val="01E0"/>
        </w:tblPrEx>
        <w:trPr>
          <w:cantSplit/>
          <w:trHeight w:val="101"/>
        </w:trPr>
        <w:tc>
          <w:tcPr>
            <w:tcW w:w="1710" w:type="dxa"/>
          </w:tcPr>
          <w:p w:rsidR="005C2A19" w:rsidRPr="008678EC" w:rsidP="005C2A19" w14:paraId="7983B98A" w14:textId="77777777">
            <w:pPr>
              <w:autoSpaceDE w:val="0"/>
              <w:autoSpaceDN w:val="0"/>
              <w:adjustRightInd w:val="0"/>
              <w:rPr>
                <w:b/>
              </w:rPr>
            </w:pPr>
            <w:r w:rsidRPr="008678EC">
              <w:t>Instrument 1: Lifeline Key Metrics (Monthly)</w:t>
            </w:r>
          </w:p>
        </w:tc>
        <w:tc>
          <w:tcPr>
            <w:tcW w:w="1380" w:type="dxa"/>
          </w:tcPr>
          <w:p w:rsidR="005C2A19" w:rsidRPr="008678EC" w:rsidP="005C2A19" w14:paraId="4D71EC40" w14:textId="77777777">
            <w:pPr>
              <w:autoSpaceDE w:val="0"/>
              <w:autoSpaceDN w:val="0"/>
              <w:adjustRightInd w:val="0"/>
              <w:jc w:val="center"/>
            </w:pPr>
          </w:p>
          <w:p w:rsidR="005C2A19" w:rsidRPr="008678EC" w:rsidP="005C2A19" w14:paraId="26813CAD" w14:textId="77777777">
            <w:pPr>
              <w:autoSpaceDE w:val="0"/>
              <w:autoSpaceDN w:val="0"/>
              <w:adjustRightInd w:val="0"/>
              <w:jc w:val="center"/>
              <w:rPr>
                <w:b/>
              </w:rPr>
            </w:pPr>
            <w:r w:rsidRPr="008678EC">
              <w:t>1</w:t>
            </w:r>
          </w:p>
        </w:tc>
        <w:tc>
          <w:tcPr>
            <w:tcW w:w="1260" w:type="dxa"/>
            <w:vAlign w:val="center"/>
          </w:tcPr>
          <w:p w:rsidR="005C2A19" w:rsidRPr="008678EC" w:rsidP="005C2A19" w14:paraId="47018221" w14:textId="77777777">
            <w:pPr>
              <w:autoSpaceDE w:val="0"/>
              <w:autoSpaceDN w:val="0"/>
              <w:adjustRightInd w:val="0"/>
              <w:jc w:val="center"/>
              <w:rPr>
                <w:b/>
              </w:rPr>
            </w:pPr>
            <w:r w:rsidRPr="008678EC">
              <w:t>12</w:t>
            </w:r>
          </w:p>
        </w:tc>
        <w:tc>
          <w:tcPr>
            <w:tcW w:w="1350" w:type="dxa"/>
            <w:vAlign w:val="center"/>
          </w:tcPr>
          <w:p w:rsidR="005C2A19" w:rsidRPr="008678EC" w:rsidP="005C2A19" w14:paraId="1FE9F831" w14:textId="77777777">
            <w:pPr>
              <w:autoSpaceDE w:val="0"/>
              <w:autoSpaceDN w:val="0"/>
              <w:adjustRightInd w:val="0"/>
              <w:jc w:val="center"/>
              <w:rPr>
                <w:b/>
              </w:rPr>
            </w:pPr>
            <w:r w:rsidRPr="008678EC">
              <w:t>12</w:t>
            </w:r>
          </w:p>
        </w:tc>
        <w:tc>
          <w:tcPr>
            <w:tcW w:w="1080" w:type="dxa"/>
            <w:vAlign w:val="center"/>
          </w:tcPr>
          <w:p w:rsidR="005C2A19" w:rsidRPr="008678EC" w:rsidP="005C2A19" w14:paraId="6DE33F39" w14:textId="77777777">
            <w:pPr>
              <w:autoSpaceDE w:val="0"/>
              <w:autoSpaceDN w:val="0"/>
              <w:adjustRightInd w:val="0"/>
              <w:jc w:val="center"/>
              <w:rPr>
                <w:b/>
              </w:rPr>
            </w:pPr>
            <w:r w:rsidRPr="008678EC">
              <w:t>11.50</w:t>
            </w:r>
          </w:p>
        </w:tc>
        <w:tc>
          <w:tcPr>
            <w:tcW w:w="1080" w:type="dxa"/>
            <w:vAlign w:val="center"/>
          </w:tcPr>
          <w:p w:rsidR="005C2A19" w:rsidRPr="008678EC" w:rsidP="005C2A19" w14:paraId="41FD5C3A" w14:textId="77777777">
            <w:pPr>
              <w:autoSpaceDE w:val="0"/>
              <w:autoSpaceDN w:val="0"/>
              <w:adjustRightInd w:val="0"/>
              <w:jc w:val="center"/>
              <w:rPr>
                <w:b/>
              </w:rPr>
            </w:pPr>
            <w:r w:rsidRPr="008678EC">
              <w:t>138</w:t>
            </w:r>
          </w:p>
        </w:tc>
        <w:tc>
          <w:tcPr>
            <w:tcW w:w="1170" w:type="dxa"/>
          </w:tcPr>
          <w:p w:rsidR="005C2A19" w:rsidRPr="008678EC" w:rsidP="005C2A19" w14:paraId="2FC7F3EA" w14:textId="77777777">
            <w:pPr>
              <w:autoSpaceDE w:val="0"/>
              <w:autoSpaceDN w:val="0"/>
              <w:adjustRightInd w:val="0"/>
              <w:jc w:val="center"/>
              <w:rPr>
                <w:b/>
              </w:rPr>
            </w:pPr>
            <w:r w:rsidRPr="008678EC">
              <w:t>$26.00</w:t>
            </w:r>
          </w:p>
        </w:tc>
        <w:tc>
          <w:tcPr>
            <w:tcW w:w="1320" w:type="dxa"/>
            <w:tcBorders>
              <w:top w:val="single" w:sz="4" w:space="0" w:color="auto"/>
              <w:left w:val="nil"/>
              <w:bottom w:val="single" w:sz="4" w:space="0" w:color="auto"/>
              <w:right w:val="single" w:sz="4" w:space="0" w:color="auto"/>
            </w:tcBorders>
          </w:tcPr>
          <w:p w:rsidR="005C2A19" w:rsidRPr="008678EC" w:rsidP="005C2A19" w14:paraId="24E51F7E" w14:textId="77777777">
            <w:pPr>
              <w:autoSpaceDE w:val="0"/>
              <w:autoSpaceDN w:val="0"/>
              <w:adjustRightInd w:val="0"/>
              <w:jc w:val="center"/>
              <w:rPr>
                <w:b/>
              </w:rPr>
            </w:pPr>
            <w:r w:rsidRPr="008678EC">
              <w:rPr>
                <w:color w:val="000000"/>
              </w:rPr>
              <w:t>$3,588.00</w:t>
            </w:r>
          </w:p>
        </w:tc>
      </w:tr>
      <w:tr w14:paraId="72015553" w14:textId="77777777" w:rsidTr="003B7C5A">
        <w:tblPrEx>
          <w:tblW w:w="10350" w:type="dxa"/>
          <w:tblInd w:w="-503" w:type="dxa"/>
          <w:tblLayout w:type="fixed"/>
          <w:tblCellMar>
            <w:top w:w="115" w:type="dxa"/>
            <w:left w:w="115" w:type="dxa"/>
            <w:bottom w:w="115" w:type="dxa"/>
            <w:right w:w="115" w:type="dxa"/>
          </w:tblCellMar>
          <w:tblLook w:val="01E0"/>
        </w:tblPrEx>
        <w:trPr>
          <w:cantSplit/>
          <w:trHeight w:val="101"/>
        </w:trPr>
        <w:tc>
          <w:tcPr>
            <w:tcW w:w="1710" w:type="dxa"/>
          </w:tcPr>
          <w:p w:rsidR="005C2A19" w:rsidRPr="008678EC" w:rsidP="005C2A19" w14:paraId="68198E0A" w14:textId="77777777">
            <w:pPr>
              <w:autoSpaceDE w:val="0"/>
              <w:autoSpaceDN w:val="0"/>
              <w:adjustRightInd w:val="0"/>
              <w:rPr>
                <w:b/>
              </w:rPr>
            </w:pPr>
            <w:r w:rsidRPr="008678EC">
              <w:t>Instrument 2: Monthly Progress Reports</w:t>
            </w:r>
          </w:p>
        </w:tc>
        <w:tc>
          <w:tcPr>
            <w:tcW w:w="1380" w:type="dxa"/>
            <w:tcBorders>
              <w:bottom w:val="single" w:sz="4" w:space="0" w:color="auto"/>
            </w:tcBorders>
          </w:tcPr>
          <w:p w:rsidR="005C2A19" w:rsidRPr="008678EC" w:rsidP="005C2A19" w14:paraId="376AFB29" w14:textId="77777777">
            <w:pPr>
              <w:autoSpaceDE w:val="0"/>
              <w:autoSpaceDN w:val="0"/>
              <w:adjustRightInd w:val="0"/>
              <w:jc w:val="center"/>
            </w:pPr>
          </w:p>
          <w:p w:rsidR="005C2A19" w:rsidRPr="008678EC" w:rsidP="005C2A19" w14:paraId="1E323275" w14:textId="77777777">
            <w:pPr>
              <w:autoSpaceDE w:val="0"/>
              <w:autoSpaceDN w:val="0"/>
              <w:adjustRightInd w:val="0"/>
              <w:jc w:val="center"/>
              <w:rPr>
                <w:b/>
              </w:rPr>
            </w:pPr>
            <w:r w:rsidRPr="008678EC">
              <w:t>1</w:t>
            </w:r>
          </w:p>
        </w:tc>
        <w:tc>
          <w:tcPr>
            <w:tcW w:w="1260" w:type="dxa"/>
            <w:tcBorders>
              <w:bottom w:val="single" w:sz="4" w:space="0" w:color="auto"/>
            </w:tcBorders>
            <w:vAlign w:val="center"/>
          </w:tcPr>
          <w:p w:rsidR="005C2A19" w:rsidRPr="008678EC" w:rsidP="005C2A19" w14:paraId="06C66ED3" w14:textId="77777777">
            <w:pPr>
              <w:autoSpaceDE w:val="0"/>
              <w:autoSpaceDN w:val="0"/>
              <w:adjustRightInd w:val="0"/>
              <w:jc w:val="center"/>
              <w:rPr>
                <w:b/>
              </w:rPr>
            </w:pPr>
            <w:r w:rsidRPr="008678EC">
              <w:t>12</w:t>
            </w:r>
          </w:p>
        </w:tc>
        <w:tc>
          <w:tcPr>
            <w:tcW w:w="1350" w:type="dxa"/>
            <w:tcBorders>
              <w:bottom w:val="single" w:sz="4" w:space="0" w:color="auto"/>
            </w:tcBorders>
            <w:vAlign w:val="center"/>
          </w:tcPr>
          <w:p w:rsidR="005C2A19" w:rsidRPr="008678EC" w:rsidP="005C2A19" w14:paraId="05965099" w14:textId="77777777">
            <w:pPr>
              <w:autoSpaceDE w:val="0"/>
              <w:autoSpaceDN w:val="0"/>
              <w:adjustRightInd w:val="0"/>
              <w:jc w:val="center"/>
              <w:rPr>
                <w:b/>
              </w:rPr>
            </w:pPr>
            <w:r w:rsidRPr="008678EC">
              <w:t>12</w:t>
            </w:r>
          </w:p>
        </w:tc>
        <w:tc>
          <w:tcPr>
            <w:tcW w:w="1080" w:type="dxa"/>
            <w:tcBorders>
              <w:bottom w:val="single" w:sz="4" w:space="0" w:color="auto"/>
            </w:tcBorders>
            <w:vAlign w:val="center"/>
          </w:tcPr>
          <w:p w:rsidR="005C2A19" w:rsidRPr="008678EC" w:rsidP="005C2A19" w14:paraId="729EBD0B" w14:textId="77777777">
            <w:pPr>
              <w:autoSpaceDE w:val="0"/>
              <w:autoSpaceDN w:val="0"/>
              <w:adjustRightInd w:val="0"/>
              <w:jc w:val="center"/>
              <w:rPr>
                <w:b/>
              </w:rPr>
            </w:pPr>
            <w:r w:rsidRPr="008678EC">
              <w:t>4</w:t>
            </w:r>
          </w:p>
        </w:tc>
        <w:tc>
          <w:tcPr>
            <w:tcW w:w="1080" w:type="dxa"/>
            <w:tcBorders>
              <w:bottom w:val="single" w:sz="4" w:space="0" w:color="auto"/>
            </w:tcBorders>
            <w:vAlign w:val="center"/>
          </w:tcPr>
          <w:p w:rsidR="005C2A19" w:rsidRPr="008678EC" w:rsidP="005C2A19" w14:paraId="4EC7496E" w14:textId="77777777">
            <w:pPr>
              <w:autoSpaceDE w:val="0"/>
              <w:autoSpaceDN w:val="0"/>
              <w:adjustRightInd w:val="0"/>
              <w:jc w:val="center"/>
              <w:rPr>
                <w:b/>
              </w:rPr>
            </w:pPr>
            <w:r w:rsidRPr="008678EC">
              <w:t>48</w:t>
            </w:r>
          </w:p>
        </w:tc>
        <w:tc>
          <w:tcPr>
            <w:tcW w:w="1170" w:type="dxa"/>
          </w:tcPr>
          <w:p w:rsidR="005C2A19" w:rsidRPr="008678EC" w:rsidP="005C2A19" w14:paraId="4E58D34E" w14:textId="77777777">
            <w:pPr>
              <w:jc w:val="center"/>
            </w:pPr>
            <w:r w:rsidRPr="008678EC">
              <w:t>$26.00</w:t>
            </w:r>
            <w:r>
              <w:rPr>
                <w:rStyle w:val="FootnoteReference"/>
              </w:rPr>
              <w:footnoteReference w:id="2"/>
            </w:r>
          </w:p>
          <w:p w:rsidR="005C2A19" w:rsidRPr="008678EC" w:rsidP="005C2A19" w14:paraId="40AF4914" w14:textId="77777777">
            <w:pPr>
              <w:autoSpaceDE w:val="0"/>
              <w:autoSpaceDN w:val="0"/>
              <w:adjustRightInd w:val="0"/>
              <w:jc w:val="center"/>
              <w:rPr>
                <w:b/>
              </w:rPr>
            </w:pPr>
          </w:p>
        </w:tc>
        <w:tc>
          <w:tcPr>
            <w:tcW w:w="1320" w:type="dxa"/>
            <w:tcBorders>
              <w:top w:val="single" w:sz="4" w:space="0" w:color="auto"/>
              <w:left w:val="nil"/>
              <w:bottom w:val="single" w:sz="4" w:space="0" w:color="auto"/>
              <w:right w:val="single" w:sz="4" w:space="0" w:color="auto"/>
            </w:tcBorders>
          </w:tcPr>
          <w:p w:rsidR="005C2A19" w:rsidRPr="008678EC" w:rsidP="005C2A19" w14:paraId="1F9353C4" w14:textId="77777777">
            <w:pPr>
              <w:autoSpaceDE w:val="0"/>
              <w:autoSpaceDN w:val="0"/>
              <w:adjustRightInd w:val="0"/>
              <w:jc w:val="center"/>
              <w:rPr>
                <w:b/>
              </w:rPr>
            </w:pPr>
            <w:r w:rsidRPr="008678EC">
              <w:rPr>
                <w:color w:val="000000"/>
              </w:rPr>
              <w:t>$1,248.00</w:t>
            </w:r>
          </w:p>
        </w:tc>
      </w:tr>
      <w:tr w14:paraId="0F730E5C" w14:textId="77777777" w:rsidTr="003B7C5A">
        <w:tblPrEx>
          <w:tblW w:w="10350" w:type="dxa"/>
          <w:tblInd w:w="-503" w:type="dxa"/>
          <w:tblLayout w:type="fixed"/>
          <w:tblCellMar>
            <w:top w:w="115" w:type="dxa"/>
            <w:left w:w="115" w:type="dxa"/>
            <w:bottom w:w="115" w:type="dxa"/>
            <w:right w:w="115" w:type="dxa"/>
          </w:tblCellMar>
          <w:tblLook w:val="01E0"/>
        </w:tblPrEx>
        <w:trPr>
          <w:cantSplit/>
          <w:trHeight w:val="101"/>
        </w:trPr>
        <w:tc>
          <w:tcPr>
            <w:tcW w:w="1710" w:type="dxa"/>
            <w:vAlign w:val="center"/>
          </w:tcPr>
          <w:p w:rsidR="005C2A19" w:rsidRPr="008678EC" w:rsidP="005C2A19" w14:paraId="38334A2A" w14:textId="77777777">
            <w:pPr>
              <w:autoSpaceDE w:val="0"/>
              <w:autoSpaceDN w:val="0"/>
              <w:adjustRightInd w:val="0"/>
              <w:rPr>
                <w:b/>
              </w:rPr>
            </w:pPr>
            <w:r w:rsidRPr="008678EC">
              <w:rPr>
                <w:b/>
              </w:rPr>
              <w:t>Total</w:t>
            </w:r>
          </w:p>
        </w:tc>
        <w:tc>
          <w:tcPr>
            <w:tcW w:w="1380" w:type="dxa"/>
            <w:tcBorders>
              <w:top w:val="single" w:sz="4" w:space="0" w:color="auto"/>
              <w:left w:val="nil"/>
              <w:bottom w:val="single" w:sz="4" w:space="0" w:color="auto"/>
              <w:right w:val="single" w:sz="4" w:space="0" w:color="auto"/>
            </w:tcBorders>
            <w:shd w:val="clear" w:color="auto" w:fill="auto"/>
            <w:vAlign w:val="bottom"/>
          </w:tcPr>
          <w:p w:rsidR="005C2A19" w:rsidRPr="008678EC" w:rsidP="005C2A19" w14:paraId="22B0EE39" w14:textId="77777777">
            <w:pPr>
              <w:autoSpaceDE w:val="0"/>
              <w:autoSpaceDN w:val="0"/>
              <w:adjustRightInd w:val="0"/>
              <w:jc w:val="center"/>
              <w:rPr>
                <w:b/>
                <w:bCs/>
              </w:rPr>
            </w:pPr>
            <w:r w:rsidRPr="008678EC">
              <w:rPr>
                <w:b/>
                <w:bCs/>
                <w:color w:val="000000"/>
              </w:rPr>
              <w:t>529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61830" w:rsidRPr="008678EC" w:rsidP="005C2A19" w14:paraId="78AFC6B0" w14:textId="77777777">
            <w:pPr>
              <w:autoSpaceDE w:val="0"/>
              <w:autoSpaceDN w:val="0"/>
              <w:adjustRightInd w:val="0"/>
              <w:jc w:val="center"/>
              <w:rPr>
                <w:b/>
              </w:rPr>
            </w:pPr>
            <w:r w:rsidRPr="008678EC">
              <w:rPr>
                <w:color w:val="000000"/>
              </w:rPr>
              <w:t>73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861830" w:rsidRPr="008678EC" w:rsidP="005C2A19" w14:paraId="0A6640CE" w14:textId="77777777">
            <w:pPr>
              <w:autoSpaceDE w:val="0"/>
              <w:autoSpaceDN w:val="0"/>
              <w:adjustRightInd w:val="0"/>
              <w:jc w:val="center"/>
              <w:rPr>
                <w:b/>
              </w:rPr>
            </w:pPr>
            <w:r w:rsidRPr="008678EC">
              <w:rPr>
                <w:color w:val="000000"/>
              </w:rPr>
              <w:t>2147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5C2A19" w:rsidRPr="008678EC" w:rsidP="005C2A19" w14:paraId="0FD0E3D9" w14:textId="77777777">
            <w:pPr>
              <w:autoSpaceDE w:val="0"/>
              <w:autoSpaceDN w:val="0"/>
              <w:adjustRightInd w:val="0"/>
              <w:jc w:val="center"/>
              <w:rPr>
                <w:b/>
              </w:rPr>
            </w:pPr>
          </w:p>
        </w:tc>
        <w:tc>
          <w:tcPr>
            <w:tcW w:w="1080" w:type="dxa"/>
            <w:tcBorders>
              <w:top w:val="single" w:sz="4" w:space="0" w:color="auto"/>
              <w:left w:val="single" w:sz="4" w:space="0" w:color="auto"/>
              <w:bottom w:val="single" w:sz="4" w:space="0" w:color="auto"/>
              <w:right w:val="nil"/>
            </w:tcBorders>
            <w:shd w:val="clear" w:color="auto" w:fill="auto"/>
            <w:vAlign w:val="bottom"/>
          </w:tcPr>
          <w:p w:rsidR="00861830" w:rsidRPr="008678EC" w:rsidP="005C2A19" w14:paraId="5BC1BA79" w14:textId="77777777">
            <w:pPr>
              <w:autoSpaceDE w:val="0"/>
              <w:autoSpaceDN w:val="0"/>
              <w:adjustRightInd w:val="0"/>
              <w:jc w:val="center"/>
              <w:rPr>
                <w:b/>
                <w:bCs/>
              </w:rPr>
            </w:pPr>
            <w:r w:rsidRPr="008678EC">
              <w:rPr>
                <w:b/>
                <w:bCs/>
                <w:color w:val="000000"/>
              </w:rPr>
              <w:t>2944</w:t>
            </w:r>
          </w:p>
        </w:tc>
        <w:tc>
          <w:tcPr>
            <w:tcW w:w="1170" w:type="dxa"/>
            <w:vAlign w:val="center"/>
          </w:tcPr>
          <w:p w:rsidR="005C2A19" w:rsidRPr="008678EC" w:rsidP="005C2A19" w14:paraId="321B881A" w14:textId="77777777">
            <w:pPr>
              <w:autoSpaceDE w:val="0"/>
              <w:autoSpaceDN w:val="0"/>
              <w:adjustRightInd w:val="0"/>
              <w:jc w:val="center"/>
              <w:rPr>
                <w:b/>
              </w:rPr>
            </w:pPr>
          </w:p>
        </w:tc>
        <w:tc>
          <w:tcPr>
            <w:tcW w:w="1320" w:type="dxa"/>
            <w:tcBorders>
              <w:top w:val="single" w:sz="4" w:space="0" w:color="auto"/>
              <w:left w:val="nil"/>
              <w:bottom w:val="single" w:sz="4" w:space="0" w:color="auto"/>
              <w:right w:val="single" w:sz="4" w:space="0" w:color="auto"/>
            </w:tcBorders>
          </w:tcPr>
          <w:p w:rsidR="00861830" w:rsidRPr="008678EC" w:rsidP="005C2A19" w14:paraId="6541269C" w14:textId="77777777">
            <w:pPr>
              <w:autoSpaceDE w:val="0"/>
              <w:autoSpaceDN w:val="0"/>
              <w:adjustRightInd w:val="0"/>
              <w:jc w:val="center"/>
              <w:rPr>
                <w:b/>
              </w:rPr>
            </w:pPr>
            <w:r w:rsidRPr="008678EC">
              <w:rPr>
                <w:color w:val="000000"/>
              </w:rPr>
              <w:t>$76,544.00</w:t>
            </w:r>
          </w:p>
        </w:tc>
      </w:tr>
      <w:bookmarkEnd w:id="2"/>
    </w:tbl>
    <w:p w:rsidR="00607A5D" w:rsidRPr="008678EC" w:rsidP="00B94F91" w14:paraId="4BFA912D" w14:textId="77777777">
      <w:pPr>
        <w:autoSpaceDE w:val="0"/>
        <w:autoSpaceDN w:val="0"/>
        <w:adjustRightInd w:val="0"/>
        <w:spacing w:line="259" w:lineRule="exact"/>
      </w:pPr>
    </w:p>
    <w:p w:rsidR="0058669D" w:rsidRPr="008678EC" w:rsidP="00B94F91" w14:paraId="66A03633" w14:textId="77777777">
      <w:pPr>
        <w:autoSpaceDE w:val="0"/>
        <w:autoSpaceDN w:val="0"/>
        <w:adjustRightInd w:val="0"/>
        <w:spacing w:line="259" w:lineRule="exact"/>
      </w:pPr>
    </w:p>
    <w:p w:rsidR="00053530" w:rsidRPr="008678EC" w:rsidP="00B94F91" w14:paraId="2B4C2DFA" w14:textId="77777777">
      <w:pPr>
        <w:autoSpaceDE w:val="0"/>
        <w:autoSpaceDN w:val="0"/>
        <w:adjustRightInd w:val="0"/>
        <w:spacing w:line="259" w:lineRule="exact"/>
        <w:rPr>
          <w:b/>
          <w:bCs/>
        </w:rPr>
      </w:pPr>
    </w:p>
    <w:p w:rsidR="00B33574" w:rsidRPr="008678EC" w:rsidP="00B94F91" w14:paraId="248C956E" w14:textId="77777777">
      <w:pPr>
        <w:autoSpaceDE w:val="0"/>
        <w:autoSpaceDN w:val="0"/>
        <w:adjustRightInd w:val="0"/>
        <w:spacing w:line="259" w:lineRule="exact"/>
        <w:rPr>
          <w:b/>
          <w:bCs/>
          <w:u w:val="single"/>
        </w:rPr>
      </w:pPr>
      <w:r w:rsidRPr="008678EC">
        <w:rPr>
          <w:b/>
          <w:bCs/>
        </w:rPr>
        <w:t>13.</w:t>
      </w:r>
      <w:r w:rsidRPr="008678EC">
        <w:rPr>
          <w:b/>
          <w:bCs/>
        </w:rPr>
        <w:tab/>
      </w:r>
      <w:r w:rsidRPr="008678EC">
        <w:rPr>
          <w:b/>
          <w:bCs/>
          <w:u w:val="single"/>
        </w:rPr>
        <w:t>Estimates of Annualized Cost Burden to Respondents</w:t>
      </w:r>
    </w:p>
    <w:p w:rsidR="00B33574" w:rsidRPr="008678EC" w:rsidP="00B94F91" w14:paraId="404D6CFC" w14:textId="77777777">
      <w:pPr>
        <w:autoSpaceDE w:val="0"/>
        <w:autoSpaceDN w:val="0"/>
        <w:adjustRightInd w:val="0"/>
        <w:spacing w:line="259" w:lineRule="exact"/>
      </w:pPr>
    </w:p>
    <w:p w:rsidR="00121F3E" w:rsidRPr="008678EC" w:rsidP="00B94F91" w14:paraId="755AD915" w14:textId="77777777">
      <w:r w:rsidRPr="008678EC">
        <w:t>There are neither capital or startup costs nor are there any operation and maintenance costs.</w:t>
      </w:r>
    </w:p>
    <w:p w:rsidR="00121F3E" w:rsidRPr="008678EC" w:rsidP="00B94F91" w14:paraId="3946FD28" w14:textId="77777777">
      <w:pPr>
        <w:autoSpaceDE w:val="0"/>
        <w:autoSpaceDN w:val="0"/>
        <w:adjustRightInd w:val="0"/>
        <w:spacing w:line="278" w:lineRule="exact"/>
        <w:rPr>
          <w:b/>
          <w:bCs/>
        </w:rPr>
      </w:pPr>
    </w:p>
    <w:p w:rsidR="005E5CEC" w:rsidRPr="008678EC" w:rsidP="00B94F91" w14:paraId="736AAB30" w14:textId="77777777">
      <w:pPr>
        <w:autoSpaceDE w:val="0"/>
        <w:autoSpaceDN w:val="0"/>
        <w:adjustRightInd w:val="0"/>
        <w:spacing w:line="278" w:lineRule="exact"/>
        <w:rPr>
          <w:b/>
          <w:bCs/>
          <w:u w:val="single"/>
        </w:rPr>
      </w:pPr>
      <w:r w:rsidRPr="008678EC">
        <w:rPr>
          <w:b/>
          <w:bCs/>
        </w:rPr>
        <w:t xml:space="preserve">14. </w:t>
      </w:r>
      <w:r w:rsidRPr="008678EC" w:rsidR="001E1FB5">
        <w:rPr>
          <w:b/>
          <w:bCs/>
        </w:rPr>
        <w:tab/>
      </w:r>
      <w:r w:rsidRPr="008678EC">
        <w:rPr>
          <w:b/>
          <w:bCs/>
          <w:u w:val="single"/>
        </w:rPr>
        <w:t xml:space="preserve">Estimates of Annualized Cost to the Government </w:t>
      </w:r>
    </w:p>
    <w:p w:rsidR="005E5CEC" w:rsidRPr="008678EC" w:rsidP="00B94F91" w14:paraId="5E365176" w14:textId="77777777">
      <w:pPr>
        <w:autoSpaceDE w:val="0"/>
        <w:autoSpaceDN w:val="0"/>
        <w:adjustRightInd w:val="0"/>
        <w:spacing w:line="259" w:lineRule="exact"/>
      </w:pPr>
    </w:p>
    <w:p w:rsidR="00654A5C" w:rsidRPr="008678EC" w:rsidP="00B94F91" w14:paraId="64E013FA" w14:textId="77777777">
      <w:r w:rsidRPr="008678EC">
        <w:t xml:space="preserve">The </w:t>
      </w:r>
      <w:r w:rsidRPr="008678EC" w:rsidR="00115E50">
        <w:t xml:space="preserve">annual </w:t>
      </w:r>
      <w:r w:rsidRPr="008678EC">
        <w:t xml:space="preserve">estimated cost to the government for the </w:t>
      </w:r>
      <w:r w:rsidRPr="008678EC" w:rsidR="001F510C">
        <w:t>988 Cooperative Agreements programs</w:t>
      </w:r>
      <w:r w:rsidRPr="008678EC" w:rsidR="00B1794F">
        <w:t xml:space="preserve"> </w:t>
      </w:r>
      <w:r w:rsidRPr="008678EC" w:rsidR="00906987">
        <w:t>is</w:t>
      </w:r>
      <w:r w:rsidRPr="008678EC">
        <w:t xml:space="preserve"> $</w:t>
      </w:r>
      <w:r w:rsidRPr="008678EC" w:rsidR="00A20E56">
        <w:t>96,421</w:t>
      </w:r>
      <w:r w:rsidRPr="008678EC" w:rsidR="00582663">
        <w:t>.</w:t>
      </w:r>
      <w:r w:rsidRPr="008678EC">
        <w:t xml:space="preserve"> This includes </w:t>
      </w:r>
      <w:r w:rsidRPr="008678EC" w:rsidR="00906987">
        <w:t xml:space="preserve">grants and </w:t>
      </w:r>
      <w:r w:rsidRPr="008678EC">
        <w:t>cooperative agreement</w:t>
      </w:r>
      <w:r w:rsidRPr="008678EC" w:rsidR="00115E50">
        <w:t>s</w:t>
      </w:r>
      <w:r w:rsidRPr="008678EC">
        <w:t xml:space="preserve"> for </w:t>
      </w:r>
      <w:r w:rsidRPr="008678EC" w:rsidR="00906987">
        <w:t>single or multiple years</w:t>
      </w:r>
      <w:r w:rsidRPr="008678EC">
        <w:t xml:space="preserve">. </w:t>
      </w:r>
      <w:r w:rsidRPr="008678EC" w:rsidR="001229F4">
        <w:t>Each grant was calculated on the average annual salary of the Government Project Officers managing/</w:t>
      </w:r>
      <w:r w:rsidRPr="008678EC" w:rsidR="00E8538B">
        <w:t>administering</w:t>
      </w:r>
      <w:r w:rsidRPr="008678EC" w:rsidR="001229F4">
        <w:t xml:space="preserve"> the 988 Cooperative Agreements programs individually (GS-13 for 988 state/Territory, Tribal, and Crisis Center Follow Up, and GS-15 for 988 Lifeline Administrator). </w:t>
      </w:r>
    </w:p>
    <w:p w:rsidR="00654A5C" w:rsidRPr="008678EC" w:rsidP="00B94F91" w14:paraId="036B3E2F" w14:textId="77777777"/>
    <w:p w:rsidR="005E5CEC" w:rsidRPr="008678EC" w:rsidP="00B94F91" w14:paraId="443D34D1" w14:textId="77777777">
      <w:pPr>
        <w:autoSpaceDE w:val="0"/>
        <w:autoSpaceDN w:val="0"/>
        <w:adjustRightInd w:val="0"/>
        <w:spacing w:line="264" w:lineRule="exact"/>
        <w:rPr>
          <w:b/>
          <w:bCs/>
          <w:u w:val="single"/>
        </w:rPr>
      </w:pPr>
      <w:r w:rsidRPr="008678EC">
        <w:rPr>
          <w:noProof/>
        </w:rPr>
        <mc:AlternateContent>
          <mc:Choice Requires="wps">
            <w:drawing>
              <wp:anchor distT="0" distB="0" distL="114300" distR="114300" simplePos="0" relativeHeight="251662336" behindDoc="1" locked="0" layoutInCell="1" allowOverlap="1">
                <wp:simplePos x="0" y="0"/>
                <wp:positionH relativeFrom="column">
                  <wp:posOffset>7023735</wp:posOffset>
                </wp:positionH>
                <wp:positionV relativeFrom="paragraph">
                  <wp:posOffset>-1270000</wp:posOffset>
                </wp:positionV>
                <wp:extent cx="152400" cy="1443355"/>
                <wp:effectExtent l="0" t="0" r="0" b="0"/>
                <wp:wrapNone/>
                <wp:docPr id="2"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152400"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6B82" w:rsidRPr="004878E2" w:rsidP="004878E2" w14:paraId="4E5E22AA"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7" style="width:12pt;height:113.65pt;margin-top:-100pt;margin-left:553.05pt;flip:x;mso-height-percent:0;mso-height-relative:page;mso-width-percent:0;mso-width-relative:page;mso-wrap-distance-bottom:0;mso-wrap-distance-left:9pt;mso-wrap-distance-right:9pt;mso-wrap-distance-top:0;mso-wrap-style:square;position:absolute;visibility:visible;v-text-anchor:top;z-index:-251653120" stroked="f">
                <v:textbox>
                  <w:txbxContent>
                    <w:p w:rsidR="007E6B82" w:rsidRPr="004878E2" w:rsidP="004878E2" w14:paraId="4DAA7370" w14:textId="77777777"/>
                  </w:txbxContent>
                </v:textbox>
              </v:rect>
            </w:pict>
          </mc:Fallback>
        </mc:AlternateContent>
      </w:r>
      <w:r w:rsidRPr="008678EC" w:rsidR="005E5CEC">
        <w:rPr>
          <w:b/>
          <w:bCs/>
        </w:rPr>
        <w:t xml:space="preserve">15. </w:t>
      </w:r>
      <w:r w:rsidRPr="008678EC" w:rsidR="001E1FB5">
        <w:rPr>
          <w:b/>
          <w:bCs/>
        </w:rPr>
        <w:tab/>
      </w:r>
      <w:r w:rsidRPr="008678EC" w:rsidR="005E5CEC">
        <w:rPr>
          <w:b/>
          <w:bCs/>
          <w:u w:val="single"/>
        </w:rPr>
        <w:t>Chan</w:t>
      </w:r>
      <w:r w:rsidRPr="008678EC" w:rsidR="001E1FB5">
        <w:rPr>
          <w:b/>
          <w:bCs/>
          <w:u w:val="single"/>
        </w:rPr>
        <w:t>g</w:t>
      </w:r>
      <w:r w:rsidRPr="008678EC" w:rsidR="005E5CEC">
        <w:rPr>
          <w:b/>
          <w:bCs/>
          <w:u w:val="single"/>
        </w:rPr>
        <w:t xml:space="preserve">es in Burden </w:t>
      </w:r>
    </w:p>
    <w:p w:rsidR="00DB3C9D" w:rsidRPr="008678EC" w:rsidP="00B94F91" w14:paraId="7B20020D" w14:textId="77777777">
      <w:pPr>
        <w:autoSpaceDE w:val="0"/>
        <w:autoSpaceDN w:val="0"/>
        <w:adjustRightInd w:val="0"/>
        <w:spacing w:line="254" w:lineRule="exact"/>
      </w:pPr>
    </w:p>
    <w:p w:rsidR="00053530" w:rsidRPr="008678EC" w:rsidP="00053530" w14:paraId="15FB9B8B" w14:textId="77777777">
      <w:pPr>
        <w:autoSpaceDE w:val="0"/>
        <w:autoSpaceDN w:val="0"/>
        <w:adjustRightInd w:val="0"/>
        <w:spacing w:line="254" w:lineRule="exact"/>
      </w:pPr>
      <w:r w:rsidRPr="008678EC">
        <w:t>This is a new data collection</w:t>
      </w:r>
      <w:r w:rsidRPr="008678EC" w:rsidR="00CB3633">
        <w:t>.</w:t>
      </w:r>
    </w:p>
    <w:p w:rsidR="00DB3C9D" w:rsidRPr="008678EC" w:rsidP="00B94F91" w14:paraId="708AEFD8" w14:textId="77777777">
      <w:pPr>
        <w:autoSpaceDE w:val="0"/>
        <w:autoSpaceDN w:val="0"/>
        <w:adjustRightInd w:val="0"/>
        <w:spacing w:line="254" w:lineRule="exact"/>
      </w:pPr>
    </w:p>
    <w:p w:rsidR="005E5CEC" w:rsidRPr="008678EC" w:rsidP="00B94F91" w14:paraId="1D203532" w14:textId="77777777">
      <w:pPr>
        <w:autoSpaceDE w:val="0"/>
        <w:autoSpaceDN w:val="0"/>
        <w:adjustRightInd w:val="0"/>
        <w:spacing w:line="259" w:lineRule="exact"/>
        <w:rPr>
          <w:b/>
          <w:bCs/>
          <w:u w:val="single"/>
        </w:rPr>
      </w:pPr>
      <w:r w:rsidRPr="008678EC">
        <w:rPr>
          <w:b/>
          <w:bCs/>
        </w:rPr>
        <w:t xml:space="preserve">16. </w:t>
      </w:r>
      <w:r w:rsidRPr="008678EC" w:rsidR="001E1FB5">
        <w:rPr>
          <w:b/>
          <w:bCs/>
        </w:rPr>
        <w:tab/>
      </w:r>
      <w:r w:rsidRPr="008678EC">
        <w:rPr>
          <w:b/>
          <w:bCs/>
          <w:u w:val="single"/>
        </w:rPr>
        <w:t xml:space="preserve">Time Schedule. Publication and Analysis Plans </w:t>
      </w:r>
    </w:p>
    <w:p w:rsidR="005E5CEC" w:rsidRPr="008678EC" w:rsidP="00B94F91" w14:paraId="77A57F3A" w14:textId="77777777">
      <w:pPr>
        <w:autoSpaceDE w:val="0"/>
        <w:autoSpaceDN w:val="0"/>
        <w:adjustRightInd w:val="0"/>
        <w:spacing w:line="259" w:lineRule="exact"/>
      </w:pPr>
    </w:p>
    <w:p w:rsidR="00F21568" w:rsidRPr="008678EC" w:rsidP="00E8538B" w14:paraId="230EB986" w14:textId="77777777">
      <w:pPr>
        <w:autoSpaceDE w:val="0"/>
        <w:autoSpaceDN w:val="0"/>
        <w:adjustRightInd w:val="0"/>
        <w:spacing w:line="264" w:lineRule="exact"/>
      </w:pPr>
      <w:r w:rsidRPr="008678EC">
        <w:t xml:space="preserve">Data collection will occur </w:t>
      </w:r>
      <w:r w:rsidRPr="008678EC" w:rsidR="001229F4">
        <w:t xml:space="preserve">across the grant award timeframe </w:t>
      </w:r>
      <w:r w:rsidRPr="008678EC">
        <w:t>as individuals participate in</w:t>
      </w:r>
      <w:r w:rsidRPr="008678EC" w:rsidR="00AE68A6">
        <w:t xml:space="preserve"> </w:t>
      </w:r>
      <w:r w:rsidRPr="008678EC" w:rsidR="001F510C">
        <w:t xml:space="preserve">988 </w:t>
      </w:r>
      <w:r w:rsidRPr="008678EC" w:rsidR="00A20E56">
        <w:t>Cooperative Agreement</w:t>
      </w:r>
      <w:r w:rsidRPr="008678EC" w:rsidR="001229F4">
        <w:t xml:space="preserve"> grant activities</w:t>
      </w:r>
      <w:r w:rsidRPr="008678EC">
        <w:t xml:space="preserve">. Because this assessment is used to monitor and improve upon the quality of </w:t>
      </w:r>
      <w:r w:rsidRPr="008678EC" w:rsidR="001F510C">
        <w:t>988 Cooperative Agreements program</w:t>
      </w:r>
      <w:r w:rsidRPr="008678EC" w:rsidR="00F41F62">
        <w:t xml:space="preserve"> </w:t>
      </w:r>
      <w:r w:rsidRPr="008678EC">
        <w:t xml:space="preserve">services, ongoing </w:t>
      </w:r>
      <w:r w:rsidRPr="008678EC" w:rsidR="00996A64">
        <w:t>examination</w:t>
      </w:r>
      <w:r w:rsidRPr="008678EC">
        <w:t xml:space="preserve"> </w:t>
      </w:r>
      <w:r w:rsidRPr="008678EC" w:rsidR="00996A64">
        <w:t>is</w:t>
      </w:r>
      <w:r w:rsidRPr="008678EC">
        <w:t xml:space="preserve"> critical. </w:t>
      </w:r>
      <w:r w:rsidRPr="008678EC" w:rsidR="00996A64">
        <w:t xml:space="preserve">Fortunately, </w:t>
      </w:r>
      <w:r w:rsidRPr="008678EC" w:rsidR="00A303FB">
        <w:t>SAMHSA</w:t>
      </w:r>
      <w:r w:rsidRPr="008678EC" w:rsidR="00996A64">
        <w:t xml:space="preserve">’s </w:t>
      </w:r>
      <w:r w:rsidRPr="008678EC" w:rsidR="001229F4">
        <w:t xml:space="preserve">SPARS </w:t>
      </w:r>
      <w:r w:rsidRPr="008678EC" w:rsidR="00996A64">
        <w:t>electronic da</w:t>
      </w:r>
      <w:r w:rsidRPr="008678EC" w:rsidR="00FD5787">
        <w:t>tabase in which the data will be</w:t>
      </w:r>
      <w:r w:rsidRPr="008678EC" w:rsidR="00996A64">
        <w:t xml:space="preserve"> entered allows reports to be run on the data</w:t>
      </w:r>
      <w:r w:rsidRPr="008678EC" w:rsidR="00A303FB">
        <w:t xml:space="preserve"> in a quick and timely manner. </w:t>
      </w:r>
      <w:r w:rsidRPr="008678EC" w:rsidR="001F510C">
        <w:t>988 Cooperative Agreements program</w:t>
      </w:r>
      <w:r w:rsidRPr="008678EC" w:rsidR="00F41F62">
        <w:t xml:space="preserve"> </w:t>
      </w:r>
      <w:r w:rsidRPr="008678EC" w:rsidR="00996A64">
        <w:t xml:space="preserve">sites will, therefore, periodically run such reports to examine their </w:t>
      </w:r>
      <w:r w:rsidRPr="008678EC" w:rsidR="00A303FB">
        <w:t xml:space="preserve">data. Furthermore, each </w:t>
      </w:r>
      <w:r w:rsidRPr="008678EC" w:rsidR="001F510C">
        <w:t>988 Cooperative Agreements sites</w:t>
      </w:r>
      <w:r w:rsidRPr="008678EC" w:rsidR="00996A64">
        <w:t xml:space="preserve"> must, according to funding requirements, prepare</w:t>
      </w:r>
      <w:r w:rsidRPr="008678EC" w:rsidR="00A303FB">
        <w:t xml:space="preserve"> </w:t>
      </w:r>
      <w:r w:rsidRPr="008678EC" w:rsidR="001229F4">
        <w:t xml:space="preserve">quarterly reports and </w:t>
      </w:r>
      <w:r w:rsidRPr="008678EC" w:rsidR="00A303FB">
        <w:t xml:space="preserve">an </w:t>
      </w:r>
      <w:r w:rsidRPr="008678EC" w:rsidR="00351B28">
        <w:t>annual</w:t>
      </w:r>
      <w:r w:rsidRPr="008678EC" w:rsidR="00A303FB">
        <w:t xml:space="preserve"> report</w:t>
      </w:r>
      <w:r w:rsidRPr="008678EC" w:rsidR="00996A64">
        <w:t xml:space="preserve"> each fisca</w:t>
      </w:r>
      <w:r w:rsidRPr="008678EC" w:rsidR="00A303FB">
        <w:t xml:space="preserve">l year. In these reports, each </w:t>
      </w:r>
      <w:r w:rsidRPr="008678EC" w:rsidR="001F510C">
        <w:t>988 Cooperative Agreements sites</w:t>
      </w:r>
      <w:r w:rsidRPr="008678EC" w:rsidR="00F41F62">
        <w:t xml:space="preserve"> are</w:t>
      </w:r>
      <w:r w:rsidRPr="008678EC" w:rsidR="00996A64">
        <w:t xml:space="preserve"> required to include a summary report of its performance monitoring data </w:t>
      </w:r>
      <w:r w:rsidRPr="008678EC" w:rsidR="008226A9">
        <w:t xml:space="preserve">describing whether the site is meeting its </w:t>
      </w:r>
      <w:r w:rsidRPr="008678EC" w:rsidR="001229F4">
        <w:t>required grant activities and</w:t>
      </w:r>
      <w:r w:rsidRPr="008678EC" w:rsidR="008226A9">
        <w:t xml:space="preserve"> targets as well as maintaining a response rate </w:t>
      </w:r>
      <w:r w:rsidR="00864302">
        <w:t>f</w:t>
      </w:r>
      <w:r w:rsidRPr="008678EC" w:rsidR="001229F4">
        <w:t>or 988 contacts. All</w:t>
      </w:r>
      <w:r w:rsidRPr="008678EC">
        <w:t xml:space="preserve"> reports </w:t>
      </w:r>
      <w:r w:rsidRPr="008678EC" w:rsidR="00996A64">
        <w:t>are</w:t>
      </w:r>
      <w:r w:rsidRPr="008678EC">
        <w:t xml:space="preserve"> completed by </w:t>
      </w:r>
      <w:r w:rsidRPr="008678EC" w:rsidR="001F510C">
        <w:t>988 Cooperative Agreements program</w:t>
      </w:r>
      <w:r w:rsidRPr="008678EC" w:rsidR="00F41F62">
        <w:t xml:space="preserve"> </w:t>
      </w:r>
      <w:r w:rsidRPr="008678EC" w:rsidR="00996A64">
        <w:t>staff</w:t>
      </w:r>
      <w:r w:rsidRPr="008678EC">
        <w:t xml:space="preserve"> and Directors, and</w:t>
      </w:r>
      <w:r w:rsidRPr="008678EC" w:rsidR="00996A64">
        <w:t xml:space="preserve"> are</w:t>
      </w:r>
      <w:r w:rsidRPr="008678EC">
        <w:t xml:space="preserve"> sent to </w:t>
      </w:r>
      <w:r w:rsidRPr="008678EC" w:rsidR="00A303FB">
        <w:t xml:space="preserve">SAMHSA </w:t>
      </w:r>
      <w:r w:rsidRPr="008678EC" w:rsidR="00996A64">
        <w:t>electronically</w:t>
      </w:r>
      <w:r w:rsidRPr="008678EC" w:rsidR="001229F4">
        <w:t xml:space="preserve">. </w:t>
      </w:r>
      <w:r w:rsidRPr="008678EC" w:rsidR="00F41F62">
        <w:t xml:space="preserve"> </w:t>
      </w:r>
    </w:p>
    <w:p w:rsidR="00DA446A" w:rsidRPr="008678EC" w:rsidP="00F11DCB" w14:paraId="06F0216D" w14:textId="77777777">
      <w:pPr>
        <w:autoSpaceDE w:val="0"/>
        <w:autoSpaceDN w:val="0"/>
        <w:adjustRightInd w:val="0"/>
        <w:spacing w:line="264" w:lineRule="exact"/>
        <w:ind w:left="720"/>
      </w:pPr>
    </w:p>
    <w:p w:rsidR="005E5CEC" w:rsidRPr="008678EC" w:rsidP="00B94F91" w14:paraId="453EFA9C" w14:textId="77777777">
      <w:pPr>
        <w:autoSpaceDE w:val="0"/>
        <w:autoSpaceDN w:val="0"/>
        <w:adjustRightInd w:val="0"/>
        <w:spacing w:line="278" w:lineRule="exact"/>
        <w:rPr>
          <w:b/>
          <w:bCs/>
          <w:u w:val="single"/>
        </w:rPr>
      </w:pPr>
      <w:r w:rsidRPr="008678EC">
        <w:rPr>
          <w:b/>
          <w:bCs/>
        </w:rPr>
        <w:t xml:space="preserve">17. </w:t>
      </w:r>
      <w:r w:rsidRPr="008678EC" w:rsidR="002113E7">
        <w:rPr>
          <w:b/>
          <w:bCs/>
        </w:rPr>
        <w:tab/>
      </w:r>
      <w:r w:rsidRPr="008678EC">
        <w:rPr>
          <w:b/>
          <w:bCs/>
          <w:u w:val="single"/>
        </w:rPr>
        <w:t>Display of Ex</w:t>
      </w:r>
      <w:r w:rsidRPr="008678EC" w:rsidR="002113E7">
        <w:rPr>
          <w:b/>
          <w:bCs/>
          <w:u w:val="single"/>
        </w:rPr>
        <w:t>p</w:t>
      </w:r>
      <w:r w:rsidRPr="008678EC">
        <w:rPr>
          <w:b/>
          <w:bCs/>
          <w:u w:val="single"/>
        </w:rPr>
        <w:t xml:space="preserve">iration Date </w:t>
      </w:r>
    </w:p>
    <w:p w:rsidR="005E5CEC" w:rsidRPr="008678EC" w:rsidP="00B94F91" w14:paraId="1C210C5D" w14:textId="77777777">
      <w:pPr>
        <w:autoSpaceDE w:val="0"/>
        <w:autoSpaceDN w:val="0"/>
        <w:adjustRightInd w:val="0"/>
        <w:spacing w:line="259" w:lineRule="exact"/>
      </w:pPr>
    </w:p>
    <w:p w:rsidR="005E5CEC" w:rsidRPr="008678EC" w:rsidP="00B94F91" w14:paraId="3AE40F85" w14:textId="77777777">
      <w:pPr>
        <w:autoSpaceDE w:val="0"/>
        <w:autoSpaceDN w:val="0"/>
        <w:adjustRightInd w:val="0"/>
        <w:spacing w:line="259" w:lineRule="exact"/>
      </w:pPr>
      <w:r w:rsidRPr="008678EC">
        <w:t xml:space="preserve">The expiration date </w:t>
      </w:r>
      <w:r w:rsidRPr="008678EC" w:rsidR="00115E50">
        <w:t xml:space="preserve">for OMB approval </w:t>
      </w:r>
      <w:r w:rsidRPr="008678EC">
        <w:t>will be displayed</w:t>
      </w:r>
      <w:r w:rsidRPr="008678EC" w:rsidR="00115E50">
        <w:t xml:space="preserve"> on all data collection instruments for which approval is being sought</w:t>
      </w:r>
      <w:r w:rsidRPr="008678EC">
        <w:t xml:space="preserve">. </w:t>
      </w:r>
    </w:p>
    <w:p w:rsidR="005E5CEC" w:rsidRPr="008678EC" w:rsidP="00B94F91" w14:paraId="5A3442F2" w14:textId="77777777">
      <w:pPr>
        <w:autoSpaceDE w:val="0"/>
        <w:autoSpaceDN w:val="0"/>
        <w:adjustRightInd w:val="0"/>
        <w:spacing w:line="240" w:lineRule="exact"/>
      </w:pPr>
      <w:r w:rsidRPr="008678EC">
        <w:rPr>
          <w:noProof/>
        </w:rPr>
        <mc:AlternateContent>
          <mc:Choice Requires="wps">
            <w:drawing>
              <wp:anchor distT="0" distB="0" distL="114300" distR="114300" simplePos="0" relativeHeight="251664384" behindDoc="1" locked="0" layoutInCell="1" allowOverlap="1">
                <wp:simplePos x="0" y="0"/>
                <wp:positionH relativeFrom="column">
                  <wp:posOffset>7099935</wp:posOffset>
                </wp:positionH>
                <wp:positionV relativeFrom="paragraph">
                  <wp:posOffset>-1102360</wp:posOffset>
                </wp:positionV>
                <wp:extent cx="76200" cy="1443355"/>
                <wp:effectExtent l="0" t="0" r="0" b="0"/>
                <wp:wrapNone/>
                <wp:docPr id="1"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1443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E6B82" w:rsidRPr="004878E2" w:rsidP="004878E2" w14:paraId="10E29009"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8" style="width:6pt;height:113.65pt;margin-top:-86.8pt;margin-left:559.05pt;mso-height-percent:0;mso-height-relative:page;mso-width-percent:0;mso-width-relative:page;mso-wrap-distance-bottom:0;mso-wrap-distance-left:9pt;mso-wrap-distance-right:9pt;mso-wrap-distance-top:0;mso-wrap-style:square;position:absolute;visibility:visible;v-text-anchor:top;z-index:-251651072" stroked="f">
                <v:textbox>
                  <w:txbxContent>
                    <w:p w:rsidR="007E6B82" w:rsidRPr="004878E2" w:rsidP="004878E2" w14:paraId="77E32646" w14:textId="77777777"/>
                  </w:txbxContent>
                </v:textbox>
              </v:rect>
            </w:pict>
          </mc:Fallback>
        </mc:AlternateContent>
      </w:r>
    </w:p>
    <w:p w:rsidR="005E5CEC" w:rsidRPr="008678EC" w:rsidP="00B94F91" w14:paraId="21F931C1" w14:textId="77777777">
      <w:pPr>
        <w:autoSpaceDE w:val="0"/>
        <w:autoSpaceDN w:val="0"/>
        <w:adjustRightInd w:val="0"/>
        <w:spacing w:line="259" w:lineRule="exact"/>
        <w:rPr>
          <w:b/>
          <w:bCs/>
          <w:u w:val="single"/>
        </w:rPr>
      </w:pPr>
      <w:r w:rsidRPr="008678EC">
        <w:rPr>
          <w:b/>
          <w:bCs/>
        </w:rPr>
        <w:t>18</w:t>
      </w:r>
      <w:r w:rsidRPr="008678EC" w:rsidR="002113E7">
        <w:rPr>
          <w:b/>
          <w:bCs/>
        </w:rPr>
        <w:t>.</w:t>
      </w:r>
      <w:r w:rsidRPr="008678EC" w:rsidR="002113E7">
        <w:rPr>
          <w:b/>
          <w:bCs/>
        </w:rPr>
        <w:tab/>
      </w:r>
      <w:r w:rsidRPr="008678EC">
        <w:rPr>
          <w:b/>
          <w:bCs/>
          <w:u w:val="single"/>
        </w:rPr>
        <w:t xml:space="preserve">Exceptions to Certification Statement </w:t>
      </w:r>
    </w:p>
    <w:p w:rsidR="005E5CEC" w:rsidRPr="008678EC" w:rsidP="00B94F91" w14:paraId="6FF68BE8" w14:textId="77777777">
      <w:pPr>
        <w:autoSpaceDE w:val="0"/>
        <w:autoSpaceDN w:val="0"/>
        <w:adjustRightInd w:val="0"/>
        <w:spacing w:line="259" w:lineRule="exact"/>
      </w:pPr>
    </w:p>
    <w:p w:rsidR="005E5CEC" w:rsidRPr="008678EC" w:rsidP="00F11DCB" w14:paraId="60623878" w14:textId="77777777">
      <w:pPr>
        <w:autoSpaceDE w:val="0"/>
        <w:autoSpaceDN w:val="0"/>
        <w:adjustRightInd w:val="0"/>
        <w:spacing w:line="259" w:lineRule="exact"/>
      </w:pPr>
      <w:r w:rsidRPr="008678EC">
        <w:t xml:space="preserve">There are no exceptions to the certification statement. </w:t>
      </w:r>
    </w:p>
    <w:sectPr w:rsidSect="001F510C">
      <w:footerReference w:type="even" r:id="rId8"/>
      <w:footerReference w:type="default" r:id="rId9"/>
      <w:type w:val="continuous"/>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6B82" w:rsidP="009F3C0B" w14:paraId="1893D23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FE5D87">
      <w:rPr>
        <w:rStyle w:val="PageNumber"/>
      </w:rPr>
      <w:fldChar w:fldCharType="separate"/>
    </w:r>
    <w:r>
      <w:rPr>
        <w:rStyle w:val="PageNumber"/>
      </w:rPr>
      <w:fldChar w:fldCharType="end"/>
    </w:r>
  </w:p>
  <w:p w:rsidR="007E6B82" w14:paraId="79F555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6B82" w:rsidP="00425BCA" w14:paraId="24414B9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6D57">
      <w:rPr>
        <w:rStyle w:val="PageNumber"/>
        <w:noProof/>
      </w:rPr>
      <w:t>1</w:t>
    </w:r>
    <w:r>
      <w:rPr>
        <w:rStyle w:val="PageNumber"/>
      </w:rPr>
      <w:fldChar w:fldCharType="end"/>
    </w:r>
  </w:p>
  <w:p w:rsidR="007E6B82" w14:paraId="77FDF75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E5D87" w14:paraId="5A0FF2CD" w14:textId="77777777">
      <w:r>
        <w:separator/>
      </w:r>
    </w:p>
  </w:footnote>
  <w:footnote w:type="continuationSeparator" w:id="1">
    <w:p w:rsidR="00FE5D87" w14:paraId="7F45D283" w14:textId="77777777">
      <w:r>
        <w:continuationSeparator/>
      </w:r>
    </w:p>
  </w:footnote>
  <w:footnote w:id="2">
    <w:p w:rsidR="005C2A19" w:rsidP="001F510C" w14:paraId="6743A2D2" w14:textId="77777777">
      <w:pPr>
        <w:pStyle w:val="FootnoteText"/>
      </w:pPr>
      <w:r>
        <w:rPr>
          <w:rStyle w:val="FootnoteReference"/>
          <w:rFonts w:ascii="Calibri" w:hAnsi="Calibri"/>
        </w:rPr>
        <w:footnoteRef/>
      </w:r>
      <w:r>
        <w:t xml:space="preserve"> The hourly wage of $26.00 was calculated based on rounding a $25.94 hourly wage based on the Occupational Employment and Wages, Mean Hourly Wage rate for Community and Social Service Occupations (https://www.bls.gov).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7EA63374"/>
    <w:lvl w:ilvl="0">
      <w:start w:val="1"/>
      <w:numFmt w:val="bullet"/>
      <w:lvlText w:val=""/>
      <w:lvlJc w:val="left"/>
      <w:pPr>
        <w:tabs>
          <w:tab w:val="num" w:pos="360"/>
        </w:tabs>
        <w:ind w:left="360" w:hanging="360"/>
      </w:pPr>
      <w:rPr>
        <w:rFonts w:ascii="Symbol" w:hAnsi="Symbol" w:hint="default"/>
      </w:rPr>
    </w:lvl>
  </w:abstractNum>
  <w:abstractNum w:abstractNumId="1">
    <w:nsid w:val="048C2439"/>
    <w:multiLevelType w:val="hybridMultilevel"/>
    <w:tmpl w:val="9F8EBBC4"/>
    <w:lvl w:ilvl="0">
      <w:start w:val="1"/>
      <w:numFmt w:val="bullet"/>
      <w:pStyle w:val="List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71735C3"/>
    <w:multiLevelType w:val="hybridMultilevel"/>
    <w:tmpl w:val="7E02B614"/>
    <w:lvl w:ilvl="0">
      <w:start w:val="3"/>
      <w:numFmt w:val="decimal"/>
      <w:lvlText w:val="%1."/>
      <w:lvlJc w:val="left"/>
      <w:pPr>
        <w:tabs>
          <w:tab w:val="num" w:pos="1080"/>
        </w:tabs>
        <w:ind w:left="1080" w:hanging="720"/>
      </w:pPr>
      <w:rPr>
        <w:rFonts w:cs="Times New Roman" w:hint="default"/>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7712B84"/>
    <w:multiLevelType w:val="hybridMultilevel"/>
    <w:tmpl w:val="6A0A9B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94120B1"/>
    <w:multiLevelType w:val="hybridMultilevel"/>
    <w:tmpl w:val="D8D88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547F76"/>
    <w:multiLevelType w:val="hybridMultilevel"/>
    <w:tmpl w:val="7F1853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4F12588"/>
    <w:multiLevelType w:val="hybridMultilevel"/>
    <w:tmpl w:val="1F9633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7903176"/>
    <w:multiLevelType w:val="hybridMultilevel"/>
    <w:tmpl w:val="837A4B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A2E1ACB"/>
    <w:multiLevelType w:val="hybridMultilevel"/>
    <w:tmpl w:val="3452A7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EB373E7"/>
    <w:multiLevelType w:val="hybridMultilevel"/>
    <w:tmpl w:val="A6488B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F7216BA"/>
    <w:multiLevelType w:val="hybridMultilevel"/>
    <w:tmpl w:val="523639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1D232DF"/>
    <w:multiLevelType w:val="singleLevel"/>
    <w:tmpl w:val="3E5EF076"/>
    <w:lvl w:ilvl="0">
      <w:start w:val="1"/>
      <w:numFmt w:val="bullet"/>
      <w:pStyle w:val="ListSub-Bullet"/>
      <w:lvlText w:val=""/>
      <w:lvlJc w:val="left"/>
      <w:pPr>
        <w:tabs>
          <w:tab w:val="num" w:pos="360"/>
        </w:tabs>
        <w:ind w:left="360" w:hanging="360"/>
      </w:pPr>
      <w:rPr>
        <w:rFonts w:ascii="Wingdings" w:hAnsi="Wingdings" w:hint="default"/>
      </w:rPr>
    </w:lvl>
  </w:abstractNum>
  <w:abstractNum w:abstractNumId="12">
    <w:nsid w:val="2F923385"/>
    <w:multiLevelType w:val="hybridMultilevel"/>
    <w:tmpl w:val="01546D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70F756C"/>
    <w:multiLevelType w:val="hybridMultilevel"/>
    <w:tmpl w:val="1C2E52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8393272"/>
    <w:multiLevelType w:val="hybridMultilevel"/>
    <w:tmpl w:val="F3827D1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A395AD5"/>
    <w:multiLevelType w:val="hybridMultilevel"/>
    <w:tmpl w:val="EF0407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F4452B8"/>
    <w:multiLevelType w:val="multilevel"/>
    <w:tmpl w:val="F3827D1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FDC0D91"/>
    <w:multiLevelType w:val="hybridMultilevel"/>
    <w:tmpl w:val="3806CA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5FC11AE"/>
    <w:multiLevelType w:val="hybridMultilevel"/>
    <w:tmpl w:val="D36EBB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213688E"/>
    <w:multiLevelType w:val="multilevel"/>
    <w:tmpl w:val="A4E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EE3651F"/>
    <w:multiLevelType w:val="hybridMultilevel"/>
    <w:tmpl w:val="626AE0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0D1057C"/>
    <w:multiLevelType w:val="hybridMultilevel"/>
    <w:tmpl w:val="343AF0B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1E84DEB"/>
    <w:multiLevelType w:val="hybridMultilevel"/>
    <w:tmpl w:val="EAB2466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643A5710"/>
    <w:multiLevelType w:val="hybridMultilevel"/>
    <w:tmpl w:val="8D241C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61D450A"/>
    <w:multiLevelType w:val="hybridMultilevel"/>
    <w:tmpl w:val="96D046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9B22F3D"/>
    <w:multiLevelType w:val="hybridMultilevel"/>
    <w:tmpl w:val="E1A622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1510700"/>
    <w:multiLevelType w:val="hybridMultilevel"/>
    <w:tmpl w:val="8D36C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4B6300D"/>
    <w:multiLevelType w:val="hybridMultilevel"/>
    <w:tmpl w:val="C33E99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9"/>
  </w:num>
  <w:num w:numId="17">
    <w:abstractNumId w:val="1"/>
  </w:num>
  <w:num w:numId="18">
    <w:abstractNumId w:val="18"/>
  </w:num>
  <w:num w:numId="19">
    <w:abstractNumId w:val="5"/>
  </w:num>
  <w:num w:numId="20">
    <w:abstractNumId w:val="25"/>
  </w:num>
  <w:num w:numId="21">
    <w:abstractNumId w:val="13"/>
  </w:num>
  <w:num w:numId="22">
    <w:abstractNumId w:val="3"/>
  </w:num>
  <w:num w:numId="23">
    <w:abstractNumId w:val="15"/>
  </w:num>
  <w:num w:numId="24">
    <w:abstractNumId w:val="17"/>
  </w:num>
  <w:num w:numId="25">
    <w:abstractNumId w:val="8"/>
  </w:num>
  <w:num w:numId="26">
    <w:abstractNumId w:val="20"/>
  </w:num>
  <w:num w:numId="27">
    <w:abstractNumId w:val="10"/>
  </w:num>
  <w:num w:numId="28">
    <w:abstractNumId w:val="12"/>
  </w:num>
  <w:num w:numId="29">
    <w:abstractNumId w:val="2"/>
  </w:num>
  <w:num w:numId="30">
    <w:abstractNumId w:val="24"/>
  </w:num>
  <w:num w:numId="31">
    <w:abstractNumId w:val="14"/>
  </w:num>
  <w:num w:numId="32">
    <w:abstractNumId w:val="11"/>
  </w:num>
  <w:num w:numId="33">
    <w:abstractNumId w:val="16"/>
  </w:num>
  <w:num w:numId="34">
    <w:abstractNumId w:val="6"/>
  </w:num>
  <w:num w:numId="35">
    <w:abstractNumId w:val="23"/>
  </w:num>
  <w:num w:numId="36">
    <w:abstractNumId w:val="27"/>
  </w:num>
  <w:num w:numId="37">
    <w:abstractNumId w:val="21"/>
  </w:num>
  <w:num w:numId="38">
    <w:abstractNumId w:val="7"/>
  </w:num>
  <w:num w:numId="39">
    <w:abstractNumId w:val="26"/>
  </w:num>
  <w:num w:numId="40">
    <w:abstractNumId w:val="4"/>
  </w:num>
  <w:num w:numId="41">
    <w:abstractNumId w:val="22"/>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pos w:val="sectEnd"/>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4E"/>
    <w:rsid w:val="00000098"/>
    <w:rsid w:val="00001F77"/>
    <w:rsid w:val="000149CE"/>
    <w:rsid w:val="000161CD"/>
    <w:rsid w:val="00016FCF"/>
    <w:rsid w:val="000269DF"/>
    <w:rsid w:val="0003264E"/>
    <w:rsid w:val="00033DBE"/>
    <w:rsid w:val="00040BC2"/>
    <w:rsid w:val="000429C1"/>
    <w:rsid w:val="00044FFB"/>
    <w:rsid w:val="00053530"/>
    <w:rsid w:val="0006235E"/>
    <w:rsid w:val="00064549"/>
    <w:rsid w:val="0007048E"/>
    <w:rsid w:val="00074ED2"/>
    <w:rsid w:val="000756D7"/>
    <w:rsid w:val="0007677C"/>
    <w:rsid w:val="0009162A"/>
    <w:rsid w:val="00093199"/>
    <w:rsid w:val="000955E6"/>
    <w:rsid w:val="000957F0"/>
    <w:rsid w:val="00096B1B"/>
    <w:rsid w:val="00097A69"/>
    <w:rsid w:val="000A472C"/>
    <w:rsid w:val="000B4222"/>
    <w:rsid w:val="000B5301"/>
    <w:rsid w:val="000C13B8"/>
    <w:rsid w:val="000C5558"/>
    <w:rsid w:val="000C733E"/>
    <w:rsid w:val="000D0680"/>
    <w:rsid w:val="000D5985"/>
    <w:rsid w:val="000D7E5E"/>
    <w:rsid w:val="000E1E89"/>
    <w:rsid w:val="000F1291"/>
    <w:rsid w:val="000F6B16"/>
    <w:rsid w:val="000F7AA8"/>
    <w:rsid w:val="00105881"/>
    <w:rsid w:val="001068B5"/>
    <w:rsid w:val="00107D89"/>
    <w:rsid w:val="00111990"/>
    <w:rsid w:val="001126F7"/>
    <w:rsid w:val="00115E50"/>
    <w:rsid w:val="00121F3E"/>
    <w:rsid w:val="001229F4"/>
    <w:rsid w:val="0012321C"/>
    <w:rsid w:val="001233B4"/>
    <w:rsid w:val="00124B8B"/>
    <w:rsid w:val="001250B0"/>
    <w:rsid w:val="00127B2A"/>
    <w:rsid w:val="001372DF"/>
    <w:rsid w:val="00141D2C"/>
    <w:rsid w:val="00142146"/>
    <w:rsid w:val="00142896"/>
    <w:rsid w:val="00146CEB"/>
    <w:rsid w:val="00150D94"/>
    <w:rsid w:val="001524C0"/>
    <w:rsid w:val="00153D3A"/>
    <w:rsid w:val="00155DDF"/>
    <w:rsid w:val="0016282B"/>
    <w:rsid w:val="00163D18"/>
    <w:rsid w:val="001742C1"/>
    <w:rsid w:val="00187EE1"/>
    <w:rsid w:val="001A2365"/>
    <w:rsid w:val="001B3CE0"/>
    <w:rsid w:val="001B4BE4"/>
    <w:rsid w:val="001C4305"/>
    <w:rsid w:val="001C472A"/>
    <w:rsid w:val="001C489D"/>
    <w:rsid w:val="001C7B8B"/>
    <w:rsid w:val="001D0EB8"/>
    <w:rsid w:val="001D3299"/>
    <w:rsid w:val="001D6DF9"/>
    <w:rsid w:val="001E1252"/>
    <w:rsid w:val="001E1FB5"/>
    <w:rsid w:val="001E2A3F"/>
    <w:rsid w:val="001E3ECA"/>
    <w:rsid w:val="001E530B"/>
    <w:rsid w:val="001F0D74"/>
    <w:rsid w:val="001F46B4"/>
    <w:rsid w:val="001F510C"/>
    <w:rsid w:val="00204474"/>
    <w:rsid w:val="00210245"/>
    <w:rsid w:val="002113E7"/>
    <w:rsid w:val="00214D34"/>
    <w:rsid w:val="0021653E"/>
    <w:rsid w:val="00231E3A"/>
    <w:rsid w:val="0024622A"/>
    <w:rsid w:val="002651B0"/>
    <w:rsid w:val="00267936"/>
    <w:rsid w:val="0027637E"/>
    <w:rsid w:val="00276FBD"/>
    <w:rsid w:val="0027749F"/>
    <w:rsid w:val="00277DDA"/>
    <w:rsid w:val="00290791"/>
    <w:rsid w:val="00294214"/>
    <w:rsid w:val="002A002A"/>
    <w:rsid w:val="002A6CA9"/>
    <w:rsid w:val="002A7BA8"/>
    <w:rsid w:val="002B2D18"/>
    <w:rsid w:val="002B36C1"/>
    <w:rsid w:val="002B450A"/>
    <w:rsid w:val="002C010B"/>
    <w:rsid w:val="002C3580"/>
    <w:rsid w:val="002C3A74"/>
    <w:rsid w:val="002D0C6B"/>
    <w:rsid w:val="002D6CDF"/>
    <w:rsid w:val="002E3773"/>
    <w:rsid w:val="002F4A2C"/>
    <w:rsid w:val="002F5500"/>
    <w:rsid w:val="002F7D49"/>
    <w:rsid w:val="00304517"/>
    <w:rsid w:val="0030518B"/>
    <w:rsid w:val="003052F8"/>
    <w:rsid w:val="003055BF"/>
    <w:rsid w:val="0030703F"/>
    <w:rsid w:val="003103F5"/>
    <w:rsid w:val="003142F9"/>
    <w:rsid w:val="00314757"/>
    <w:rsid w:val="0032762F"/>
    <w:rsid w:val="00330494"/>
    <w:rsid w:val="00330A1E"/>
    <w:rsid w:val="00332196"/>
    <w:rsid w:val="00334279"/>
    <w:rsid w:val="00342986"/>
    <w:rsid w:val="00344F70"/>
    <w:rsid w:val="00351B28"/>
    <w:rsid w:val="003555D6"/>
    <w:rsid w:val="003602E5"/>
    <w:rsid w:val="00365829"/>
    <w:rsid w:val="00367CC7"/>
    <w:rsid w:val="00372C58"/>
    <w:rsid w:val="00372FC2"/>
    <w:rsid w:val="003769A9"/>
    <w:rsid w:val="00377410"/>
    <w:rsid w:val="00377E5F"/>
    <w:rsid w:val="00383F92"/>
    <w:rsid w:val="003840AE"/>
    <w:rsid w:val="003878F1"/>
    <w:rsid w:val="00395AF9"/>
    <w:rsid w:val="003A2441"/>
    <w:rsid w:val="003A5680"/>
    <w:rsid w:val="003B18F3"/>
    <w:rsid w:val="003B2EB3"/>
    <w:rsid w:val="003B3747"/>
    <w:rsid w:val="003B7C5A"/>
    <w:rsid w:val="003C3F0F"/>
    <w:rsid w:val="003C48C7"/>
    <w:rsid w:val="003C5775"/>
    <w:rsid w:val="003C6574"/>
    <w:rsid w:val="003D18A5"/>
    <w:rsid w:val="003D261A"/>
    <w:rsid w:val="003D4845"/>
    <w:rsid w:val="003E034C"/>
    <w:rsid w:val="003E3BE3"/>
    <w:rsid w:val="003F286E"/>
    <w:rsid w:val="003F3A14"/>
    <w:rsid w:val="003F6EF6"/>
    <w:rsid w:val="004137D5"/>
    <w:rsid w:val="00416AB0"/>
    <w:rsid w:val="00425BCA"/>
    <w:rsid w:val="0042649C"/>
    <w:rsid w:val="00433212"/>
    <w:rsid w:val="00436C9E"/>
    <w:rsid w:val="00436D67"/>
    <w:rsid w:val="0044556D"/>
    <w:rsid w:val="00451558"/>
    <w:rsid w:val="00454021"/>
    <w:rsid w:val="004553E3"/>
    <w:rsid w:val="004604E7"/>
    <w:rsid w:val="0047593C"/>
    <w:rsid w:val="00476D57"/>
    <w:rsid w:val="00481235"/>
    <w:rsid w:val="00483861"/>
    <w:rsid w:val="004878E2"/>
    <w:rsid w:val="00493C7B"/>
    <w:rsid w:val="0049548C"/>
    <w:rsid w:val="00496FEE"/>
    <w:rsid w:val="004A3D23"/>
    <w:rsid w:val="004A67F3"/>
    <w:rsid w:val="004B43BD"/>
    <w:rsid w:val="004B52EB"/>
    <w:rsid w:val="004B69A4"/>
    <w:rsid w:val="004B7BB9"/>
    <w:rsid w:val="004C2105"/>
    <w:rsid w:val="004C24B7"/>
    <w:rsid w:val="004C48E8"/>
    <w:rsid w:val="004C595F"/>
    <w:rsid w:val="004E0783"/>
    <w:rsid w:val="004F3C0D"/>
    <w:rsid w:val="004F7790"/>
    <w:rsid w:val="004F7E66"/>
    <w:rsid w:val="0050379A"/>
    <w:rsid w:val="00506A8C"/>
    <w:rsid w:val="00511724"/>
    <w:rsid w:val="0051266E"/>
    <w:rsid w:val="00512E98"/>
    <w:rsid w:val="00515F8E"/>
    <w:rsid w:val="0052153A"/>
    <w:rsid w:val="00522C64"/>
    <w:rsid w:val="0052439E"/>
    <w:rsid w:val="005310D5"/>
    <w:rsid w:val="00535913"/>
    <w:rsid w:val="00536C3F"/>
    <w:rsid w:val="005419FA"/>
    <w:rsid w:val="00562540"/>
    <w:rsid w:val="00563C9F"/>
    <w:rsid w:val="005706E6"/>
    <w:rsid w:val="0057383C"/>
    <w:rsid w:val="00574289"/>
    <w:rsid w:val="00580D21"/>
    <w:rsid w:val="00582663"/>
    <w:rsid w:val="0058669D"/>
    <w:rsid w:val="005922E4"/>
    <w:rsid w:val="005977DA"/>
    <w:rsid w:val="005979D6"/>
    <w:rsid w:val="005A3F6E"/>
    <w:rsid w:val="005A3FDA"/>
    <w:rsid w:val="005B3357"/>
    <w:rsid w:val="005C1514"/>
    <w:rsid w:val="005C2A19"/>
    <w:rsid w:val="005C465D"/>
    <w:rsid w:val="005C7D65"/>
    <w:rsid w:val="005D1482"/>
    <w:rsid w:val="005D1587"/>
    <w:rsid w:val="005D20DA"/>
    <w:rsid w:val="005D27CD"/>
    <w:rsid w:val="005E03B9"/>
    <w:rsid w:val="005E25EE"/>
    <w:rsid w:val="005E5CEC"/>
    <w:rsid w:val="005E76B4"/>
    <w:rsid w:val="005F567D"/>
    <w:rsid w:val="00603C77"/>
    <w:rsid w:val="00607A5D"/>
    <w:rsid w:val="0061076C"/>
    <w:rsid w:val="0062144E"/>
    <w:rsid w:val="00626E6F"/>
    <w:rsid w:val="00631EA2"/>
    <w:rsid w:val="0063626D"/>
    <w:rsid w:val="006433C2"/>
    <w:rsid w:val="006462EB"/>
    <w:rsid w:val="00650AA3"/>
    <w:rsid w:val="0065339D"/>
    <w:rsid w:val="00654A5C"/>
    <w:rsid w:val="006572E1"/>
    <w:rsid w:val="00657587"/>
    <w:rsid w:val="0066007C"/>
    <w:rsid w:val="0067749C"/>
    <w:rsid w:val="0068000F"/>
    <w:rsid w:val="00684CFA"/>
    <w:rsid w:val="00684F7E"/>
    <w:rsid w:val="0068510B"/>
    <w:rsid w:val="00686013"/>
    <w:rsid w:val="006A2D2F"/>
    <w:rsid w:val="006A3057"/>
    <w:rsid w:val="006A4B4E"/>
    <w:rsid w:val="006A7F4B"/>
    <w:rsid w:val="006B042C"/>
    <w:rsid w:val="006B273F"/>
    <w:rsid w:val="006C7796"/>
    <w:rsid w:val="006C7A42"/>
    <w:rsid w:val="006D3202"/>
    <w:rsid w:val="006E11E4"/>
    <w:rsid w:val="006F21F0"/>
    <w:rsid w:val="006F4220"/>
    <w:rsid w:val="006F7EAD"/>
    <w:rsid w:val="0070303B"/>
    <w:rsid w:val="0070497D"/>
    <w:rsid w:val="007062DC"/>
    <w:rsid w:val="007131C8"/>
    <w:rsid w:val="00713999"/>
    <w:rsid w:val="00715273"/>
    <w:rsid w:val="007171B7"/>
    <w:rsid w:val="00717D04"/>
    <w:rsid w:val="00723FE9"/>
    <w:rsid w:val="0073010F"/>
    <w:rsid w:val="00730284"/>
    <w:rsid w:val="00730403"/>
    <w:rsid w:val="00735D77"/>
    <w:rsid w:val="00740C8A"/>
    <w:rsid w:val="007422CD"/>
    <w:rsid w:val="0074291A"/>
    <w:rsid w:val="00746907"/>
    <w:rsid w:val="007501F0"/>
    <w:rsid w:val="007502CF"/>
    <w:rsid w:val="00753DCC"/>
    <w:rsid w:val="00760C5E"/>
    <w:rsid w:val="0076233A"/>
    <w:rsid w:val="007633BD"/>
    <w:rsid w:val="00763D19"/>
    <w:rsid w:val="00765D2E"/>
    <w:rsid w:val="00770B07"/>
    <w:rsid w:val="007746F8"/>
    <w:rsid w:val="007758A9"/>
    <w:rsid w:val="00777A38"/>
    <w:rsid w:val="00780BFA"/>
    <w:rsid w:val="00781C23"/>
    <w:rsid w:val="00782613"/>
    <w:rsid w:val="0078280B"/>
    <w:rsid w:val="00795029"/>
    <w:rsid w:val="007A218C"/>
    <w:rsid w:val="007A25F7"/>
    <w:rsid w:val="007A30AA"/>
    <w:rsid w:val="007B268A"/>
    <w:rsid w:val="007B492B"/>
    <w:rsid w:val="007C2551"/>
    <w:rsid w:val="007C76C0"/>
    <w:rsid w:val="007C787A"/>
    <w:rsid w:val="007D54ED"/>
    <w:rsid w:val="007E2154"/>
    <w:rsid w:val="007E6B82"/>
    <w:rsid w:val="00800219"/>
    <w:rsid w:val="008102E2"/>
    <w:rsid w:val="0081404F"/>
    <w:rsid w:val="008148F4"/>
    <w:rsid w:val="008226A9"/>
    <w:rsid w:val="00825581"/>
    <w:rsid w:val="00827845"/>
    <w:rsid w:val="00833D2A"/>
    <w:rsid w:val="00851E38"/>
    <w:rsid w:val="0085309B"/>
    <w:rsid w:val="00860713"/>
    <w:rsid w:val="00861830"/>
    <w:rsid w:val="00864302"/>
    <w:rsid w:val="008678EC"/>
    <w:rsid w:val="00872B40"/>
    <w:rsid w:val="00885338"/>
    <w:rsid w:val="008867A6"/>
    <w:rsid w:val="00886D72"/>
    <w:rsid w:val="008901A5"/>
    <w:rsid w:val="00892F24"/>
    <w:rsid w:val="0089495A"/>
    <w:rsid w:val="00895CF6"/>
    <w:rsid w:val="008A1814"/>
    <w:rsid w:val="008A5C0F"/>
    <w:rsid w:val="008A7977"/>
    <w:rsid w:val="008B0F5A"/>
    <w:rsid w:val="008C04F0"/>
    <w:rsid w:val="008C607D"/>
    <w:rsid w:val="008C68CF"/>
    <w:rsid w:val="008D131B"/>
    <w:rsid w:val="008F0A73"/>
    <w:rsid w:val="008F450E"/>
    <w:rsid w:val="008F576E"/>
    <w:rsid w:val="0090204B"/>
    <w:rsid w:val="009047C4"/>
    <w:rsid w:val="00906987"/>
    <w:rsid w:val="0090743F"/>
    <w:rsid w:val="00912CAF"/>
    <w:rsid w:val="00913E64"/>
    <w:rsid w:val="009224CC"/>
    <w:rsid w:val="00924279"/>
    <w:rsid w:val="009279F1"/>
    <w:rsid w:val="00933207"/>
    <w:rsid w:val="009364E9"/>
    <w:rsid w:val="00936A33"/>
    <w:rsid w:val="00937319"/>
    <w:rsid w:val="009420DB"/>
    <w:rsid w:val="00943077"/>
    <w:rsid w:val="009444F0"/>
    <w:rsid w:val="00947FB5"/>
    <w:rsid w:val="009517BE"/>
    <w:rsid w:val="009524D5"/>
    <w:rsid w:val="0096113E"/>
    <w:rsid w:val="00961B41"/>
    <w:rsid w:val="00962C60"/>
    <w:rsid w:val="00970926"/>
    <w:rsid w:val="00977783"/>
    <w:rsid w:val="00980A2A"/>
    <w:rsid w:val="0098136C"/>
    <w:rsid w:val="009843EA"/>
    <w:rsid w:val="00993145"/>
    <w:rsid w:val="00996A64"/>
    <w:rsid w:val="00997345"/>
    <w:rsid w:val="009A05AA"/>
    <w:rsid w:val="009A4865"/>
    <w:rsid w:val="009A4D11"/>
    <w:rsid w:val="009A6636"/>
    <w:rsid w:val="009A7885"/>
    <w:rsid w:val="009B0D76"/>
    <w:rsid w:val="009B2300"/>
    <w:rsid w:val="009B5CAC"/>
    <w:rsid w:val="009B6CE3"/>
    <w:rsid w:val="009C47D6"/>
    <w:rsid w:val="009C6E58"/>
    <w:rsid w:val="009D1759"/>
    <w:rsid w:val="009D2110"/>
    <w:rsid w:val="009E1B34"/>
    <w:rsid w:val="009E37F8"/>
    <w:rsid w:val="009E6257"/>
    <w:rsid w:val="009F105F"/>
    <w:rsid w:val="009F3C0B"/>
    <w:rsid w:val="009F5089"/>
    <w:rsid w:val="009F6368"/>
    <w:rsid w:val="00A01142"/>
    <w:rsid w:val="00A052B4"/>
    <w:rsid w:val="00A0692C"/>
    <w:rsid w:val="00A07BF7"/>
    <w:rsid w:val="00A15CFA"/>
    <w:rsid w:val="00A20580"/>
    <w:rsid w:val="00A20E56"/>
    <w:rsid w:val="00A23637"/>
    <w:rsid w:val="00A303FB"/>
    <w:rsid w:val="00A30FB6"/>
    <w:rsid w:val="00A34890"/>
    <w:rsid w:val="00A37BDB"/>
    <w:rsid w:val="00A4477A"/>
    <w:rsid w:val="00A520B3"/>
    <w:rsid w:val="00A52E4B"/>
    <w:rsid w:val="00A606CB"/>
    <w:rsid w:val="00A619AE"/>
    <w:rsid w:val="00A6275C"/>
    <w:rsid w:val="00A64266"/>
    <w:rsid w:val="00A67B4E"/>
    <w:rsid w:val="00A7120E"/>
    <w:rsid w:val="00A71D48"/>
    <w:rsid w:val="00A8248B"/>
    <w:rsid w:val="00A87C8A"/>
    <w:rsid w:val="00A925C3"/>
    <w:rsid w:val="00A9696A"/>
    <w:rsid w:val="00AA31EF"/>
    <w:rsid w:val="00AA3F84"/>
    <w:rsid w:val="00AA7028"/>
    <w:rsid w:val="00AB2C1B"/>
    <w:rsid w:val="00AB3B75"/>
    <w:rsid w:val="00AB5679"/>
    <w:rsid w:val="00AB76C2"/>
    <w:rsid w:val="00AC3E05"/>
    <w:rsid w:val="00AD60B3"/>
    <w:rsid w:val="00AE10F6"/>
    <w:rsid w:val="00AE4393"/>
    <w:rsid w:val="00AE4A73"/>
    <w:rsid w:val="00AE68A6"/>
    <w:rsid w:val="00AF0CDB"/>
    <w:rsid w:val="00AF1A9B"/>
    <w:rsid w:val="00AF2A08"/>
    <w:rsid w:val="00AF47DB"/>
    <w:rsid w:val="00AF6BFD"/>
    <w:rsid w:val="00B0334E"/>
    <w:rsid w:val="00B11FCE"/>
    <w:rsid w:val="00B14D5E"/>
    <w:rsid w:val="00B15E06"/>
    <w:rsid w:val="00B15F2F"/>
    <w:rsid w:val="00B1794F"/>
    <w:rsid w:val="00B24FA2"/>
    <w:rsid w:val="00B33574"/>
    <w:rsid w:val="00B44AA6"/>
    <w:rsid w:val="00B56BFD"/>
    <w:rsid w:val="00B57724"/>
    <w:rsid w:val="00B60487"/>
    <w:rsid w:val="00B629DF"/>
    <w:rsid w:val="00B66F81"/>
    <w:rsid w:val="00B7654C"/>
    <w:rsid w:val="00B8134B"/>
    <w:rsid w:val="00B8636A"/>
    <w:rsid w:val="00B9094C"/>
    <w:rsid w:val="00B9302A"/>
    <w:rsid w:val="00B935FE"/>
    <w:rsid w:val="00B94203"/>
    <w:rsid w:val="00B94F91"/>
    <w:rsid w:val="00BA5EA6"/>
    <w:rsid w:val="00BB60E9"/>
    <w:rsid w:val="00BB7339"/>
    <w:rsid w:val="00BC09FE"/>
    <w:rsid w:val="00BC2990"/>
    <w:rsid w:val="00BC3952"/>
    <w:rsid w:val="00BC7295"/>
    <w:rsid w:val="00BD1DC2"/>
    <w:rsid w:val="00BD1ED7"/>
    <w:rsid w:val="00BD246B"/>
    <w:rsid w:val="00BD369C"/>
    <w:rsid w:val="00BD4DE5"/>
    <w:rsid w:val="00BD582E"/>
    <w:rsid w:val="00BD7A36"/>
    <w:rsid w:val="00BE1209"/>
    <w:rsid w:val="00BF051B"/>
    <w:rsid w:val="00BF19D9"/>
    <w:rsid w:val="00C010D6"/>
    <w:rsid w:val="00C064DF"/>
    <w:rsid w:val="00C06859"/>
    <w:rsid w:val="00C11FC6"/>
    <w:rsid w:val="00C13D81"/>
    <w:rsid w:val="00C335BC"/>
    <w:rsid w:val="00C354A5"/>
    <w:rsid w:val="00C37D0D"/>
    <w:rsid w:val="00C41D50"/>
    <w:rsid w:val="00C5528F"/>
    <w:rsid w:val="00C61B83"/>
    <w:rsid w:val="00C61F90"/>
    <w:rsid w:val="00C65B06"/>
    <w:rsid w:val="00C7465B"/>
    <w:rsid w:val="00C8306D"/>
    <w:rsid w:val="00C8559F"/>
    <w:rsid w:val="00C90648"/>
    <w:rsid w:val="00CA0F9A"/>
    <w:rsid w:val="00CA2045"/>
    <w:rsid w:val="00CA5876"/>
    <w:rsid w:val="00CA5C76"/>
    <w:rsid w:val="00CB0E05"/>
    <w:rsid w:val="00CB3633"/>
    <w:rsid w:val="00CC1E7F"/>
    <w:rsid w:val="00CC6109"/>
    <w:rsid w:val="00CC6D8D"/>
    <w:rsid w:val="00CC71D6"/>
    <w:rsid w:val="00CD0EAA"/>
    <w:rsid w:val="00CD31EB"/>
    <w:rsid w:val="00CD6567"/>
    <w:rsid w:val="00CE30E8"/>
    <w:rsid w:val="00CE57A7"/>
    <w:rsid w:val="00CF4961"/>
    <w:rsid w:val="00CF7BE3"/>
    <w:rsid w:val="00D056A6"/>
    <w:rsid w:val="00D15A04"/>
    <w:rsid w:val="00D22ADE"/>
    <w:rsid w:val="00D23492"/>
    <w:rsid w:val="00D27C64"/>
    <w:rsid w:val="00D32B33"/>
    <w:rsid w:val="00D332ED"/>
    <w:rsid w:val="00D33756"/>
    <w:rsid w:val="00D36878"/>
    <w:rsid w:val="00D37BD3"/>
    <w:rsid w:val="00D43AB0"/>
    <w:rsid w:val="00D44076"/>
    <w:rsid w:val="00D463C4"/>
    <w:rsid w:val="00D63775"/>
    <w:rsid w:val="00D66C27"/>
    <w:rsid w:val="00D72601"/>
    <w:rsid w:val="00D727D5"/>
    <w:rsid w:val="00D75545"/>
    <w:rsid w:val="00D8205F"/>
    <w:rsid w:val="00D87AA6"/>
    <w:rsid w:val="00D90F3E"/>
    <w:rsid w:val="00D948CA"/>
    <w:rsid w:val="00D95982"/>
    <w:rsid w:val="00D9797A"/>
    <w:rsid w:val="00DA0D9B"/>
    <w:rsid w:val="00DA1B4E"/>
    <w:rsid w:val="00DA446A"/>
    <w:rsid w:val="00DA614C"/>
    <w:rsid w:val="00DB3C9D"/>
    <w:rsid w:val="00DB79AE"/>
    <w:rsid w:val="00DC3A30"/>
    <w:rsid w:val="00DE2365"/>
    <w:rsid w:val="00DE395B"/>
    <w:rsid w:val="00DE454D"/>
    <w:rsid w:val="00DE6AC6"/>
    <w:rsid w:val="00DE72A4"/>
    <w:rsid w:val="00DE781D"/>
    <w:rsid w:val="00E05F9D"/>
    <w:rsid w:val="00E07409"/>
    <w:rsid w:val="00E1179E"/>
    <w:rsid w:val="00E13065"/>
    <w:rsid w:val="00E13B3A"/>
    <w:rsid w:val="00E15A0B"/>
    <w:rsid w:val="00E16830"/>
    <w:rsid w:val="00E16EF1"/>
    <w:rsid w:val="00E2066B"/>
    <w:rsid w:val="00E23912"/>
    <w:rsid w:val="00E24DB9"/>
    <w:rsid w:val="00E3575D"/>
    <w:rsid w:val="00E35822"/>
    <w:rsid w:val="00E40282"/>
    <w:rsid w:val="00E53328"/>
    <w:rsid w:val="00E534EA"/>
    <w:rsid w:val="00E56062"/>
    <w:rsid w:val="00E563AC"/>
    <w:rsid w:val="00E603C7"/>
    <w:rsid w:val="00E6190E"/>
    <w:rsid w:val="00E740CB"/>
    <w:rsid w:val="00E753BE"/>
    <w:rsid w:val="00E75BA6"/>
    <w:rsid w:val="00E80BDD"/>
    <w:rsid w:val="00E8538B"/>
    <w:rsid w:val="00E9167A"/>
    <w:rsid w:val="00EA6012"/>
    <w:rsid w:val="00EA621C"/>
    <w:rsid w:val="00EA6AAF"/>
    <w:rsid w:val="00EB578A"/>
    <w:rsid w:val="00EC3CBD"/>
    <w:rsid w:val="00ED136D"/>
    <w:rsid w:val="00EE03CD"/>
    <w:rsid w:val="00EE3542"/>
    <w:rsid w:val="00EE46CE"/>
    <w:rsid w:val="00EE5EE4"/>
    <w:rsid w:val="00EE7EEC"/>
    <w:rsid w:val="00EF0A65"/>
    <w:rsid w:val="00EF13AA"/>
    <w:rsid w:val="00EF2574"/>
    <w:rsid w:val="00EF425B"/>
    <w:rsid w:val="00F062E3"/>
    <w:rsid w:val="00F075A8"/>
    <w:rsid w:val="00F11362"/>
    <w:rsid w:val="00F11DCB"/>
    <w:rsid w:val="00F17850"/>
    <w:rsid w:val="00F21568"/>
    <w:rsid w:val="00F27ECC"/>
    <w:rsid w:val="00F30FA6"/>
    <w:rsid w:val="00F367EB"/>
    <w:rsid w:val="00F41F62"/>
    <w:rsid w:val="00F428CB"/>
    <w:rsid w:val="00F460A1"/>
    <w:rsid w:val="00F46C14"/>
    <w:rsid w:val="00F5226B"/>
    <w:rsid w:val="00F568AA"/>
    <w:rsid w:val="00F654AD"/>
    <w:rsid w:val="00F7043F"/>
    <w:rsid w:val="00F707BA"/>
    <w:rsid w:val="00F82E19"/>
    <w:rsid w:val="00F837BB"/>
    <w:rsid w:val="00F86F86"/>
    <w:rsid w:val="00F900C6"/>
    <w:rsid w:val="00F901E9"/>
    <w:rsid w:val="00F9123A"/>
    <w:rsid w:val="00F92508"/>
    <w:rsid w:val="00FA5B1B"/>
    <w:rsid w:val="00FA5BE6"/>
    <w:rsid w:val="00FA679E"/>
    <w:rsid w:val="00FB375E"/>
    <w:rsid w:val="00FB3CA7"/>
    <w:rsid w:val="00FB6D62"/>
    <w:rsid w:val="00FD0432"/>
    <w:rsid w:val="00FD070A"/>
    <w:rsid w:val="00FD5787"/>
    <w:rsid w:val="00FD6A1D"/>
    <w:rsid w:val="00FE55B4"/>
    <w:rsid w:val="00FE5D87"/>
    <w:rsid w:val="00FE7059"/>
    <w:rsid w:val="00FF02BC"/>
    <w:rsid w:val="00FF09F2"/>
    <w:rsid w:val="00FF6256"/>
    <w:rsid w:val="00FF6C9E"/>
    <w:rsid w:val="00FF79F7"/>
    <w:rsid w:val="00FF7A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464FB5"/>
  <w15:chartTrackingRefBased/>
  <w15:docId w15:val="{DE78E23B-346C-4256-AC82-F2D85276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9">
    <w:name w:val="heading 9"/>
    <w:basedOn w:val="Normal"/>
    <w:next w:val="Normal"/>
    <w:link w:val="Heading9Char"/>
    <w:uiPriority w:val="9"/>
    <w:qFormat/>
    <w:rsid w:val="0014289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
    <w:semiHidden/>
    <w:rPr>
      <w:rFonts w:ascii="Cambria" w:eastAsia="Times New Roman" w:hAnsi="Cambria" w:cs="Times New Roman"/>
    </w:rPr>
  </w:style>
  <w:style w:type="table" w:styleId="TableGrid">
    <w:name w:val="Table Grid"/>
    <w:basedOn w:val="TableNormal"/>
    <w:uiPriority w:val="99"/>
    <w:rsid w:val="00076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3D3A"/>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styleId="Footer">
    <w:name w:val="footer"/>
    <w:basedOn w:val="Normal"/>
    <w:link w:val="FooterChar"/>
    <w:uiPriority w:val="99"/>
    <w:rsid w:val="003F286E"/>
    <w:pPr>
      <w:tabs>
        <w:tab w:val="center" w:pos="4320"/>
        <w:tab w:val="right" w:pos="8640"/>
      </w:tabs>
    </w:pPr>
    <w:rPr>
      <w:lang w:val="x-none" w:eastAsia="x-none"/>
    </w:rPr>
  </w:style>
  <w:style w:type="character" w:customStyle="1" w:styleId="FooterChar">
    <w:name w:val="Footer Char"/>
    <w:link w:val="Footer"/>
    <w:uiPriority w:val="99"/>
    <w:semiHidden/>
    <w:rPr>
      <w:sz w:val="24"/>
      <w:szCs w:val="24"/>
    </w:rPr>
  </w:style>
  <w:style w:type="character" w:styleId="PageNumber">
    <w:name w:val="page number"/>
    <w:uiPriority w:val="99"/>
    <w:rsid w:val="003F286E"/>
    <w:rPr>
      <w:rFonts w:cs="Times New Roman"/>
    </w:rPr>
  </w:style>
  <w:style w:type="paragraph" w:customStyle="1" w:styleId="ListSub-Bullet">
    <w:name w:val="List Sub-Bullet"/>
    <w:basedOn w:val="ListBullet"/>
    <w:uiPriority w:val="99"/>
    <w:rsid w:val="003F286E"/>
    <w:pPr>
      <w:numPr>
        <w:numId w:val="32"/>
      </w:numPr>
      <w:tabs>
        <w:tab w:val="left" w:pos="1080"/>
      </w:tabs>
      <w:spacing w:after="240"/>
    </w:pPr>
    <w:rPr>
      <w:color w:val="000000"/>
    </w:rPr>
  </w:style>
  <w:style w:type="paragraph" w:styleId="ListBullet">
    <w:name w:val="List Bullet"/>
    <w:basedOn w:val="Normal"/>
    <w:uiPriority w:val="99"/>
    <w:rsid w:val="003F286E"/>
    <w:pPr>
      <w:numPr>
        <w:numId w:val="17"/>
      </w:numPr>
      <w:ind w:left="360"/>
    </w:pPr>
  </w:style>
  <w:style w:type="character" w:styleId="Hyperlink">
    <w:name w:val="Hyperlink"/>
    <w:uiPriority w:val="99"/>
    <w:rsid w:val="00872B40"/>
    <w:rPr>
      <w:rFonts w:cs="Times New Roman"/>
      <w:color w:val="0000FF"/>
      <w:u w:val="single"/>
    </w:rPr>
  </w:style>
  <w:style w:type="paragraph" w:styleId="HTMLPreformatted">
    <w:name w:val="HTML Preformatted"/>
    <w:basedOn w:val="Normal"/>
    <w:link w:val="HTMLPreformattedChar1"/>
    <w:rsid w:val="00351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1">
    <w:name w:val="HTML Preformatted Char1"/>
    <w:link w:val="HTMLPreformatted"/>
    <w:rsid w:val="00351B28"/>
    <w:rPr>
      <w:rFonts w:ascii="Courier New" w:eastAsia="Courier New" w:hAnsi="Courier New" w:cs="Courier New"/>
    </w:rPr>
  </w:style>
  <w:style w:type="character" w:styleId="FollowedHyperlink">
    <w:name w:val="FollowedHyperlink"/>
    <w:uiPriority w:val="99"/>
    <w:semiHidden/>
    <w:unhideWhenUsed/>
    <w:rsid w:val="00E15A0B"/>
    <w:rPr>
      <w:color w:val="800080"/>
      <w:u w:val="single"/>
    </w:rPr>
  </w:style>
  <w:style w:type="character" w:customStyle="1" w:styleId="HTMLPreformattedChar">
    <w:name w:val="HTML Preformatted Char"/>
    <w:rsid w:val="00AF1A9B"/>
    <w:rPr>
      <w:rFonts w:ascii="Consolas" w:hAnsi="Consolas" w:hint="default"/>
    </w:rPr>
  </w:style>
  <w:style w:type="character" w:styleId="CommentReference">
    <w:name w:val="annotation reference"/>
    <w:uiPriority w:val="99"/>
    <w:semiHidden/>
    <w:unhideWhenUsed/>
    <w:rsid w:val="00A15CFA"/>
    <w:rPr>
      <w:sz w:val="16"/>
      <w:szCs w:val="16"/>
    </w:rPr>
  </w:style>
  <w:style w:type="paragraph" w:styleId="CommentText">
    <w:name w:val="annotation text"/>
    <w:basedOn w:val="Normal"/>
    <w:link w:val="CommentTextChar"/>
    <w:uiPriority w:val="99"/>
    <w:semiHidden/>
    <w:unhideWhenUsed/>
    <w:rsid w:val="00A15CFA"/>
    <w:rPr>
      <w:sz w:val="20"/>
      <w:szCs w:val="20"/>
    </w:rPr>
  </w:style>
  <w:style w:type="character" w:customStyle="1" w:styleId="CommentTextChar">
    <w:name w:val="Comment Text Char"/>
    <w:basedOn w:val="DefaultParagraphFont"/>
    <w:link w:val="CommentText"/>
    <w:uiPriority w:val="99"/>
    <w:semiHidden/>
    <w:rsid w:val="00A15CFA"/>
  </w:style>
  <w:style w:type="paragraph" w:styleId="CommentSubject">
    <w:name w:val="annotation subject"/>
    <w:basedOn w:val="CommentText"/>
    <w:next w:val="CommentText"/>
    <w:link w:val="CommentSubjectChar"/>
    <w:uiPriority w:val="99"/>
    <w:semiHidden/>
    <w:unhideWhenUsed/>
    <w:rsid w:val="00A15CFA"/>
    <w:rPr>
      <w:b/>
      <w:bCs/>
      <w:lang w:val="x-none" w:eastAsia="x-none"/>
    </w:rPr>
  </w:style>
  <w:style w:type="character" w:customStyle="1" w:styleId="CommentSubjectChar">
    <w:name w:val="Comment Subject Char"/>
    <w:link w:val="CommentSubject"/>
    <w:uiPriority w:val="99"/>
    <w:semiHidden/>
    <w:rsid w:val="00A15CFA"/>
    <w:rPr>
      <w:b/>
      <w:bCs/>
    </w:rPr>
  </w:style>
  <w:style w:type="paragraph" w:styleId="NormalWeb">
    <w:name w:val="Normal (Web)"/>
    <w:basedOn w:val="Normal"/>
    <w:uiPriority w:val="99"/>
    <w:semiHidden/>
    <w:unhideWhenUsed/>
    <w:rsid w:val="00947FB5"/>
  </w:style>
  <w:style w:type="character" w:styleId="UnresolvedMention">
    <w:name w:val="Unresolved Mention"/>
    <w:uiPriority w:val="99"/>
    <w:semiHidden/>
    <w:unhideWhenUsed/>
    <w:rsid w:val="0081404F"/>
    <w:rPr>
      <w:color w:val="605E5C"/>
      <w:shd w:val="clear" w:color="auto" w:fill="E1DFDD"/>
    </w:rPr>
  </w:style>
  <w:style w:type="paragraph" w:styleId="Revision">
    <w:name w:val="Revision"/>
    <w:hidden/>
    <w:uiPriority w:val="99"/>
    <w:semiHidden/>
    <w:rsid w:val="009B5CAC"/>
    <w:rPr>
      <w:sz w:val="24"/>
      <w:szCs w:val="24"/>
    </w:rPr>
  </w:style>
  <w:style w:type="paragraph" w:styleId="FootnoteText">
    <w:name w:val="footnote text"/>
    <w:basedOn w:val="Normal"/>
    <w:link w:val="FootnoteTextChar"/>
    <w:uiPriority w:val="99"/>
    <w:semiHidden/>
    <w:unhideWhenUsed/>
    <w:rsid w:val="00B935FE"/>
    <w:rPr>
      <w:rFonts w:ascii="Calibri" w:hAnsi="Calibri"/>
      <w:sz w:val="20"/>
      <w:szCs w:val="20"/>
    </w:rPr>
  </w:style>
  <w:style w:type="character" w:customStyle="1" w:styleId="FootnoteTextChar">
    <w:name w:val="Footnote Text Char"/>
    <w:basedOn w:val="DefaultParagraphFont"/>
    <w:link w:val="FootnoteText"/>
    <w:uiPriority w:val="99"/>
    <w:semiHidden/>
    <w:rsid w:val="00B935FE"/>
    <w:rPr>
      <w:rFonts w:ascii="Calibri" w:hAnsi="Calibri"/>
    </w:rPr>
  </w:style>
  <w:style w:type="character" w:styleId="FootnoteReference">
    <w:name w:val="footnote reference"/>
    <w:basedOn w:val="DefaultParagraphFont"/>
    <w:uiPriority w:val="99"/>
    <w:semiHidden/>
    <w:unhideWhenUsed/>
    <w:rsid w:val="00B935FE"/>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appropriations.senate.gov/imo/media/doc/JRQ121922.PDF" TargetMode="External" /><Relationship Id="rId7" Type="http://schemas.openxmlformats.org/officeDocument/2006/relationships/hyperlink" Target="https://988lifeline.org/"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1A814-310D-419E-BE86-5188246DD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2599</Words>
  <Characters>14817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SAMHSA</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proth</dc:creator>
  <cp:lastModifiedBy>Eliseo, Matthew S. EOP/OMB</cp:lastModifiedBy>
  <cp:revision>6</cp:revision>
  <cp:lastPrinted>2018-09-07T11:15:00Z</cp:lastPrinted>
  <dcterms:created xsi:type="dcterms:W3CDTF">2023-05-08T18:24:00Z</dcterms:created>
  <dcterms:modified xsi:type="dcterms:W3CDTF">2023-05-26T14:50:00Z</dcterms:modified>
</cp:coreProperties>
</file>