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50EDDD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10C1D">
        <w:t>Kelsi Felz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F3B03A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EB7923" w:rsidR="00EB7923">
        <w:t>Joel Polanco</w:t>
      </w:r>
    </w:p>
    <w:p w:rsidR="0005680D" w:rsidP="0005680D" w14:paraId="48DB0716" w14:textId="5CDFB1D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763DA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E33403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E75A44" w:rsidR="00764CCB">
        <w:t>M</w:t>
      </w:r>
      <w:r w:rsidR="00410C1D">
        <w:t xml:space="preserve">ay </w:t>
      </w:r>
      <w:r w:rsidR="00CE5A9D">
        <w:t>24</w:t>
      </w:r>
      <w:r w:rsidRPr="00E75A44" w:rsidR="00BF696B">
        <w:t>,</w:t>
      </w:r>
      <w:r w:rsidRPr="00E75A44">
        <w:t xml:space="preserve"> 20</w:t>
      </w:r>
      <w:r w:rsidRPr="00E75A44" w:rsidR="00E75A44">
        <w:t>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36F05D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1C4445" w:rsidR="00A27097">
        <w:rPr>
          <w:i/>
          <w:iCs/>
          <w:color w:val="000000" w:themeColor="text1"/>
        </w:rPr>
        <w:t>Immigration Legal Services for Afghan Arrivals</w:t>
      </w:r>
      <w:r w:rsidRPr="005804EC" w:rsidR="00A27097">
        <w:rPr>
          <w:i/>
          <w:iCs/>
        </w:rPr>
        <w:t xml:space="preserve"> Event Registration </w:t>
      </w:r>
      <w:r w:rsidR="00A27097">
        <w:rPr>
          <w:i/>
          <w:iCs/>
        </w:rPr>
        <w:t xml:space="preserve">and Event Feedback </w:t>
      </w:r>
      <w:r w:rsidRPr="005804EC" w:rsidR="00A27097">
        <w:rPr>
          <w:i/>
          <w:iCs/>
        </w:rPr>
        <w:t>Form</w:t>
      </w:r>
      <w:r w:rsidR="00A27097">
        <w:rPr>
          <w:i/>
          <w:iCs/>
        </w:rPr>
        <w:t>s</w:t>
      </w:r>
      <w:r w:rsidRPr="005804EC" w:rsidR="00A27097">
        <w:rPr>
          <w:i/>
          <w:iCs/>
        </w:rPr>
        <w:t xml:space="preserve"> </w:t>
      </w:r>
      <w:r>
        <w:t>(OMB #0970-</w:t>
      </w:r>
      <w:r w:rsidR="00764CCB">
        <w:t>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38F8C013">
      <w:r>
        <w:t xml:space="preserve">This memo requests approval of nonsubstantive changes to the approved information collection, </w:t>
      </w:r>
      <w:r w:rsidRPr="001C4445" w:rsidR="00A27097">
        <w:rPr>
          <w:i/>
          <w:iCs/>
          <w:color w:val="000000" w:themeColor="text1"/>
        </w:rPr>
        <w:t>Immigration Legal Services for Afghan Arrivals</w:t>
      </w:r>
      <w:r w:rsidRPr="005804EC" w:rsidR="00A27097">
        <w:rPr>
          <w:i/>
          <w:iCs/>
        </w:rPr>
        <w:t xml:space="preserve"> </w:t>
      </w:r>
      <w:r w:rsidR="00722234">
        <w:rPr>
          <w:i/>
          <w:iCs/>
        </w:rPr>
        <w:t xml:space="preserve">(ILSAA) </w:t>
      </w:r>
      <w:r w:rsidRPr="005804EC" w:rsidR="00A27097">
        <w:rPr>
          <w:i/>
          <w:iCs/>
        </w:rPr>
        <w:t xml:space="preserve">Event Registration </w:t>
      </w:r>
      <w:r w:rsidR="00A27097">
        <w:rPr>
          <w:i/>
          <w:iCs/>
        </w:rPr>
        <w:t xml:space="preserve">and Event Feedback </w:t>
      </w:r>
      <w:r w:rsidRPr="005804EC" w:rsidR="00A27097">
        <w:rPr>
          <w:i/>
          <w:iCs/>
        </w:rPr>
        <w:t>Form</w:t>
      </w:r>
      <w:r w:rsidR="00A27097">
        <w:rPr>
          <w:i/>
          <w:iCs/>
        </w:rPr>
        <w:t>s</w:t>
      </w:r>
      <w:r w:rsidR="00AB07E4">
        <w:rPr>
          <w:i/>
          <w:iCs/>
        </w:rPr>
        <w:t xml:space="preserve">, </w:t>
      </w:r>
      <w:r w:rsidR="00AB07E4">
        <w:t xml:space="preserve">approved under the Generic Clearance for the </w:t>
      </w:r>
      <w:r w:rsidR="00915F2B">
        <w:t>Collection of Routine Customer Feedback</w:t>
      </w:r>
      <w:r w:rsidRPr="005804EC" w:rsidR="00A27097">
        <w:rPr>
          <w:i/>
          <w:iCs/>
        </w:rPr>
        <w:t xml:space="preserve"> </w:t>
      </w:r>
      <w:r>
        <w:t>(OMB #0970-</w:t>
      </w:r>
      <w:r w:rsidR="00A27097">
        <w:t>0401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355E49" w:rsidP="00355E49" w14:paraId="5A45FF17" w14:textId="00AA00D1">
      <w:r>
        <w:t xml:space="preserve">OMB approved the ILSAA </w:t>
      </w:r>
      <w:r w:rsidR="00A3418B">
        <w:t xml:space="preserve">Event Registration and Feedback Forms on </w:t>
      </w:r>
      <w:r w:rsidR="00176CE3">
        <w:t xml:space="preserve">April 13, </w:t>
      </w:r>
      <w:r w:rsidR="00717930">
        <w:t>2023</w:t>
      </w:r>
      <w:r w:rsidR="00410C1D">
        <w:t xml:space="preserve"> under OMB #0970-0401</w:t>
      </w:r>
      <w:r w:rsidR="00717930">
        <w:t>.</w:t>
      </w:r>
      <w:r w:rsidR="00176CE3">
        <w:t xml:space="preserve"> Since </w:t>
      </w:r>
      <w:r w:rsidR="00993FB0">
        <w:t xml:space="preserve">this </w:t>
      </w:r>
      <w:r w:rsidR="00176CE3">
        <w:t>approval</w:t>
      </w:r>
      <w:r w:rsidR="00751698">
        <w:t xml:space="preserve">, </w:t>
      </w:r>
      <w:r w:rsidR="0033021C">
        <w:t xml:space="preserve">we have revised the total burden estimates based on new information and projections related to how many respondents </w:t>
      </w:r>
      <w:r w:rsidR="00A02244">
        <w:t xml:space="preserve">we expect </w:t>
      </w:r>
      <w:r w:rsidR="0033021C">
        <w:t xml:space="preserve">for each form and how many events and/or trainings </w:t>
      </w:r>
      <w:r w:rsidR="00A02244">
        <w:t>will be</w:t>
      </w:r>
      <w:r w:rsidR="0033021C">
        <w:t xml:space="preserve"> held</w:t>
      </w:r>
      <w:r w:rsidR="00484B43">
        <w:t xml:space="preserve">. </w:t>
      </w:r>
      <w:r w:rsidR="00831FD6">
        <w:t xml:space="preserve">This includes </w:t>
      </w:r>
      <w:r w:rsidR="00A02244">
        <w:t xml:space="preserve">a </w:t>
      </w:r>
      <w:r w:rsidR="00FE6059">
        <w:t xml:space="preserve">reduction in the </w:t>
      </w:r>
      <w:r w:rsidR="00A02244">
        <w:t>number of respondents</w:t>
      </w:r>
      <w:r w:rsidR="00FE6059">
        <w:t xml:space="preserve"> for legal service providers and additional </w:t>
      </w:r>
      <w:r w:rsidR="00831FD6">
        <w:t xml:space="preserve">event registrations for </w:t>
      </w:r>
      <w:r>
        <w:t>State Refugee Coordinators</w:t>
      </w:r>
      <w:r w:rsidR="00831FD6">
        <w:t xml:space="preserve"> and</w:t>
      </w:r>
      <w:r>
        <w:t xml:space="preserve"> partner organizations (e.g., legal clinics, non-governmental organizations, community-based organizations)</w:t>
      </w:r>
      <w:r w:rsidR="0074277A">
        <w:t xml:space="preserve">. This also includes feedback for events </w:t>
      </w:r>
      <w:r w:rsidR="0033021C">
        <w:t>as well as for</w:t>
      </w:r>
      <w:r w:rsidR="00BE1408">
        <w:t xml:space="preserve"> trainings of</w:t>
      </w:r>
      <w:r w:rsidRPr="00831FD6" w:rsidR="00831FD6">
        <w:t xml:space="preserve"> </w:t>
      </w:r>
      <w:r w:rsidR="00831FD6">
        <w:t>legal service provider</w:t>
      </w:r>
      <w:r w:rsidR="00BE1408">
        <w:t xml:space="preserve">s.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FE6059" w:rsidP="00BF696B" w14:paraId="56BDAE12" w14:textId="20A5F2CC">
      <w:r>
        <w:t xml:space="preserve">To account for </w:t>
      </w:r>
      <w:r w:rsidR="003626DE">
        <w:t>these burden changes</w:t>
      </w:r>
      <w:r>
        <w:t>, we have updated our submission form to reflect the following changes.</w:t>
      </w:r>
    </w:p>
    <w:p w:rsidR="00410C1D" w:rsidP="00BF696B" w14:paraId="34668D27" w14:textId="77777777"/>
    <w:p w:rsidR="00E253EE" w:rsidP="00BF696B" w14:paraId="685CB258" w14:textId="485EC666">
      <w:pPr>
        <w:rPr>
          <w:rFonts w:eastAsia="Times New Roman"/>
          <w:kern w:val="0"/>
        </w:rPr>
      </w:pPr>
      <w:r w:rsidRPr="006B3713">
        <w:rPr>
          <w:rFonts w:eastAsia="Times New Roman"/>
          <w:i/>
          <w:iCs/>
          <w:kern w:val="0"/>
        </w:rPr>
        <w:t>ILSAA Event Registration Form</w:t>
      </w:r>
      <w:r>
        <w:rPr>
          <w:rFonts w:eastAsia="Times New Roman"/>
          <w:kern w:val="0"/>
        </w:rPr>
        <w:t xml:space="preserve"> </w:t>
      </w:r>
      <w:r w:rsidR="006A59C5">
        <w:rPr>
          <w:rFonts w:eastAsia="Times New Roman"/>
          <w:kern w:val="0"/>
        </w:rPr>
        <w:t>–</w:t>
      </w:r>
      <w:r>
        <w:rPr>
          <w:rFonts w:eastAsia="Times New Roman"/>
          <w:kern w:val="0"/>
        </w:rPr>
        <w:t xml:space="preserve"> </w:t>
      </w:r>
      <w:r w:rsidR="00410C1D">
        <w:rPr>
          <w:rFonts w:eastAsia="Times New Roman"/>
          <w:kern w:val="0"/>
        </w:rPr>
        <w:t xml:space="preserve">We anticipate </w:t>
      </w:r>
      <w:r w:rsidR="00FF3016">
        <w:rPr>
          <w:rFonts w:eastAsia="Times New Roman"/>
          <w:kern w:val="0"/>
        </w:rPr>
        <w:t>a reduction in the original estimate for</w:t>
      </w:r>
      <w:r w:rsidR="00E71811">
        <w:rPr>
          <w:rFonts w:eastAsia="Times New Roman"/>
          <w:kern w:val="0"/>
        </w:rPr>
        <w:t xml:space="preserve"> the number of </w:t>
      </w:r>
      <w:r w:rsidR="00FF3016">
        <w:rPr>
          <w:rFonts w:eastAsia="Times New Roman"/>
          <w:kern w:val="0"/>
        </w:rPr>
        <w:t xml:space="preserve"> legal service providers</w:t>
      </w:r>
      <w:r w:rsidR="00E71811">
        <w:rPr>
          <w:rFonts w:eastAsia="Times New Roman"/>
          <w:kern w:val="0"/>
        </w:rPr>
        <w:t>. We have reduced the estimated number of respondents</w:t>
      </w:r>
      <w:r w:rsidR="00FF3016">
        <w:rPr>
          <w:rFonts w:eastAsia="Times New Roman"/>
          <w:kern w:val="0"/>
        </w:rPr>
        <w:t xml:space="preserve"> from 250 to 60 annually</w:t>
      </w:r>
      <w:r w:rsidR="00E71811">
        <w:rPr>
          <w:rFonts w:eastAsia="Times New Roman"/>
          <w:kern w:val="0"/>
        </w:rPr>
        <w:t>.  Additionally, we have added</w:t>
      </w:r>
      <w:r w:rsidR="00410C1D">
        <w:rPr>
          <w:rFonts w:eastAsia="Times New Roman"/>
          <w:kern w:val="0"/>
        </w:rPr>
        <w:t xml:space="preserve"> 35 </w:t>
      </w:r>
      <w:r w:rsidR="000307DC">
        <w:rPr>
          <w:rFonts w:eastAsia="Times New Roman"/>
          <w:kern w:val="0"/>
        </w:rPr>
        <w:t xml:space="preserve">respondents representing </w:t>
      </w:r>
      <w:r w:rsidR="006E7652">
        <w:rPr>
          <w:rFonts w:eastAsia="Times New Roman"/>
          <w:kern w:val="0"/>
        </w:rPr>
        <w:t>state refugee coordinators and partner organization</w:t>
      </w:r>
      <w:r w:rsidR="00115C17">
        <w:rPr>
          <w:rFonts w:eastAsia="Times New Roman"/>
          <w:kern w:val="0"/>
        </w:rPr>
        <w:t>s</w:t>
      </w:r>
      <w:r w:rsidR="00FF3016">
        <w:rPr>
          <w:rFonts w:eastAsia="Times New Roman"/>
          <w:kern w:val="0"/>
        </w:rPr>
        <w:t xml:space="preserve">. This will change the </w:t>
      </w:r>
      <w:r w:rsidR="000307DC">
        <w:rPr>
          <w:rFonts w:eastAsia="Times New Roman"/>
          <w:kern w:val="0"/>
        </w:rPr>
        <w:t xml:space="preserve">burden to </w:t>
      </w:r>
      <w:r w:rsidR="00E71811">
        <w:rPr>
          <w:rFonts w:eastAsia="Times New Roman"/>
          <w:kern w:val="0"/>
        </w:rPr>
        <w:t xml:space="preserve">reflect </w:t>
      </w:r>
      <w:r w:rsidR="000307DC">
        <w:rPr>
          <w:rFonts w:eastAsia="Times New Roman"/>
          <w:kern w:val="0"/>
        </w:rPr>
        <w:t xml:space="preserve">a total of 95 respondents </w:t>
      </w:r>
      <w:r w:rsidR="006E7652">
        <w:rPr>
          <w:rFonts w:eastAsia="Times New Roman"/>
          <w:kern w:val="0"/>
        </w:rPr>
        <w:t xml:space="preserve">completing approximately 4 </w:t>
      </w:r>
      <w:r w:rsidR="00115C17">
        <w:rPr>
          <w:rFonts w:eastAsia="Times New Roman"/>
          <w:kern w:val="0"/>
        </w:rPr>
        <w:t xml:space="preserve">forms </w:t>
      </w:r>
      <w:r w:rsidR="000307DC">
        <w:rPr>
          <w:rFonts w:eastAsia="Times New Roman"/>
          <w:kern w:val="0"/>
        </w:rPr>
        <w:t>each</w:t>
      </w:r>
      <w:r w:rsidR="00E71811">
        <w:rPr>
          <w:rFonts w:eastAsia="Times New Roman"/>
          <w:kern w:val="0"/>
        </w:rPr>
        <w:t xml:space="preserve"> annually</w:t>
      </w:r>
      <w:r w:rsidR="00410C1D">
        <w:rPr>
          <w:rFonts w:eastAsia="Times New Roman"/>
          <w:kern w:val="0"/>
        </w:rPr>
        <w:t xml:space="preserve">. </w:t>
      </w:r>
    </w:p>
    <w:p w:rsidR="00A07D26" w:rsidP="00BF696B" w14:paraId="310E5E2D" w14:textId="77777777">
      <w:pPr>
        <w:rPr>
          <w:rFonts w:eastAsia="Times New Roman"/>
          <w:kern w:val="0"/>
        </w:rPr>
      </w:pPr>
    </w:p>
    <w:p w:rsidR="00E71811" w:rsidP="00BF696B" w14:paraId="3E3DF4F4" w14:textId="0515BC12">
      <w:r w:rsidRPr="006B3713">
        <w:rPr>
          <w:rFonts w:eastAsia="Times New Roman"/>
          <w:i/>
          <w:iCs/>
          <w:kern w:val="0"/>
        </w:rPr>
        <w:t>ILSAA Event Feedback Form</w:t>
      </w:r>
      <w:r>
        <w:rPr>
          <w:rFonts w:eastAsia="Times New Roman"/>
          <w:kern w:val="0"/>
        </w:rPr>
        <w:t xml:space="preserve"> </w:t>
      </w:r>
      <w:r w:rsidR="00B36318">
        <w:rPr>
          <w:rFonts w:eastAsia="Times New Roman"/>
          <w:kern w:val="0"/>
        </w:rPr>
        <w:t xml:space="preserve">– </w:t>
      </w:r>
      <w:r w:rsidR="00BD075A">
        <w:rPr>
          <w:rFonts w:eastAsia="Times New Roman"/>
          <w:kern w:val="0"/>
        </w:rPr>
        <w:t xml:space="preserve">We </w:t>
      </w:r>
      <w:r w:rsidR="00DE5734">
        <w:rPr>
          <w:rFonts w:eastAsia="Times New Roman"/>
          <w:kern w:val="0"/>
        </w:rPr>
        <w:t>anticipate</w:t>
      </w:r>
      <w:r w:rsidR="00BD075A">
        <w:rPr>
          <w:rFonts w:eastAsia="Times New Roman"/>
          <w:kern w:val="0"/>
        </w:rPr>
        <w:t xml:space="preserve"> a reduction in the original estimate</w:t>
      </w:r>
      <w:r>
        <w:rPr>
          <w:rFonts w:eastAsia="Times New Roman"/>
          <w:kern w:val="0"/>
        </w:rPr>
        <w:t>d number of respondents from 250 to 155</w:t>
      </w:r>
      <w:r w:rsidR="00DE5734">
        <w:rPr>
          <w:rFonts w:eastAsia="Times New Roman"/>
          <w:kern w:val="0"/>
        </w:rPr>
        <w:t xml:space="preserve">. The new estimate includes </w:t>
      </w:r>
      <w:r w:rsidR="004F02AA">
        <w:rPr>
          <w:rFonts w:eastAsia="Times New Roman"/>
          <w:kern w:val="0"/>
        </w:rPr>
        <w:t>95 respondents who</w:t>
      </w:r>
      <w:r>
        <w:rPr>
          <w:rFonts w:eastAsia="Times New Roman"/>
          <w:kern w:val="0"/>
        </w:rPr>
        <w:t xml:space="preserve"> will</w:t>
      </w:r>
      <w:r w:rsidR="004F02AA">
        <w:rPr>
          <w:rFonts w:eastAsia="Times New Roman"/>
          <w:kern w:val="0"/>
        </w:rPr>
        <w:t xml:space="preserve"> participate in up to 4 events annually</w:t>
      </w:r>
      <w:r w:rsidR="00D06E59">
        <w:rPr>
          <w:rFonts w:eastAsia="Times New Roman"/>
          <w:kern w:val="0"/>
        </w:rPr>
        <w:t xml:space="preserve"> (as described in the event registration burden</w:t>
      </w:r>
      <w:r>
        <w:rPr>
          <w:rFonts w:eastAsia="Times New Roman"/>
          <w:kern w:val="0"/>
        </w:rPr>
        <w:t xml:space="preserve"> above</w:t>
      </w:r>
      <w:r w:rsidR="00D06E59">
        <w:rPr>
          <w:rFonts w:eastAsia="Times New Roman"/>
          <w:kern w:val="0"/>
        </w:rPr>
        <w:t>)</w:t>
      </w:r>
      <w:r w:rsidR="004F02AA">
        <w:rPr>
          <w:rFonts w:eastAsia="Times New Roman"/>
          <w:kern w:val="0"/>
        </w:rPr>
        <w:t xml:space="preserve"> and 60 respondents who participate in up to 4 trainings</w:t>
      </w:r>
      <w:r w:rsidR="00F87E73">
        <w:rPr>
          <w:rFonts w:eastAsia="Times New Roman"/>
          <w:kern w:val="0"/>
        </w:rPr>
        <w:t xml:space="preserve"> annually. </w:t>
      </w:r>
      <w:r>
        <w:rPr>
          <w:rFonts w:eastAsia="Times New Roman"/>
          <w:kern w:val="0"/>
        </w:rPr>
        <w:t>R</w:t>
      </w:r>
      <w:r w:rsidR="00F87E73">
        <w:rPr>
          <w:rFonts w:eastAsia="Times New Roman"/>
          <w:kern w:val="0"/>
        </w:rPr>
        <w:t xml:space="preserve">espondents </w:t>
      </w:r>
      <w:r>
        <w:rPr>
          <w:rFonts w:eastAsia="Times New Roman"/>
          <w:kern w:val="0"/>
        </w:rPr>
        <w:t xml:space="preserve">will </w:t>
      </w:r>
      <w:r w:rsidR="00F87E73">
        <w:rPr>
          <w:rFonts w:eastAsia="Times New Roman"/>
          <w:kern w:val="0"/>
        </w:rPr>
        <w:t>complet</w:t>
      </w:r>
      <w:r>
        <w:rPr>
          <w:rFonts w:eastAsia="Times New Roman"/>
          <w:kern w:val="0"/>
        </w:rPr>
        <w:t>e</w:t>
      </w:r>
      <w:r w:rsidR="00F87E73">
        <w:rPr>
          <w:rFonts w:eastAsia="Times New Roman"/>
          <w:kern w:val="0"/>
        </w:rPr>
        <w:t xml:space="preserve"> the feedback form up to 4 times annually</w:t>
      </w:r>
      <w:r w:rsidR="00D84400">
        <w:rPr>
          <w:rFonts w:eastAsia="Times New Roman"/>
          <w:kern w:val="0"/>
        </w:rPr>
        <w:t xml:space="preserve"> though there may be overlap in individuals</w:t>
      </w:r>
      <w:r w:rsidR="001C7BF2">
        <w:rPr>
          <w:rFonts w:eastAsia="Times New Roman"/>
          <w:kern w:val="0"/>
        </w:rPr>
        <w:t xml:space="preserve"> from events and trainings</w:t>
      </w:r>
      <w:r>
        <w:rPr>
          <w:rFonts w:eastAsia="Times New Roman"/>
          <w:kern w:val="0"/>
        </w:rPr>
        <w:t>.</w:t>
      </w:r>
    </w:p>
    <w:p w:rsidR="00C76C13" w:rsidP="00BF696B" w14:paraId="43759791" w14:textId="77777777"/>
    <w:p w:rsidR="00FC1BCE" w:rsidP="00BF696B" w14:paraId="25A83E47" w14:textId="42797199">
      <w:pPr>
        <w:rPr>
          <w:rFonts w:eastAsia="Times New Roman"/>
          <w:kern w:val="0"/>
        </w:rPr>
      </w:pPr>
      <w:r>
        <w:rPr>
          <w:rFonts w:eastAsia="Times New Roman"/>
          <w:i/>
          <w:iCs/>
          <w:kern w:val="0"/>
        </w:rPr>
        <w:t>Federal Cost</w:t>
      </w:r>
      <w:r>
        <w:rPr>
          <w:rFonts w:eastAsia="Times New Roman"/>
          <w:kern w:val="0"/>
        </w:rPr>
        <w:t xml:space="preserve"> – We have adjusted the cost to the federal government to fix a mistake in </w:t>
      </w:r>
      <w:r>
        <w:rPr>
          <w:rFonts w:eastAsia="Times New Roman"/>
          <w:kern w:val="0"/>
        </w:rPr>
        <w:t xml:space="preserve">calculations in the original submission. </w:t>
      </w:r>
    </w:p>
    <w:p w:rsidR="00E71811" w:rsidP="00BF696B" w14:paraId="4807C85C" w14:textId="141D7B09">
      <w:pPr>
        <w:rPr>
          <w:rFonts w:eastAsia="Times New Roman"/>
          <w:kern w:val="0"/>
        </w:rPr>
      </w:pPr>
    </w:p>
    <w:p w:rsidR="00E71811" w:rsidP="00BF696B" w14:paraId="4A05C722" w14:textId="7C980DF6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The following updates have been made to the submission form. </w:t>
      </w:r>
    </w:p>
    <w:p w:rsidR="00E71811" w:rsidP="00BF696B" w14:paraId="7B1828E6" w14:textId="6EF39C28">
      <w:pPr>
        <w:rPr>
          <w:rFonts w:eastAsia="Times New Roman"/>
          <w:kern w:val="0"/>
        </w:rPr>
      </w:pPr>
    </w:p>
    <w:p w:rsidR="00E71811" w:rsidRPr="00E71811" w:rsidP="00BF696B" w14:paraId="12BAA498" w14:textId="77777777"/>
    <w:p w:rsidR="00FC1BCE" w:rsidRPr="00FC1BCE" w:rsidP="00FC1BCE" w14:paraId="41C4E5EE" w14:textId="77777777">
      <w:pPr>
        <w:widowControl/>
        <w:suppressAutoHyphens w:val="0"/>
        <w:rPr>
          <w:rFonts w:eastAsia="Times New Roman"/>
          <w:i/>
          <w:kern w:val="0"/>
        </w:rPr>
      </w:pPr>
      <w:r w:rsidRPr="00FC1BCE">
        <w:rPr>
          <w:rFonts w:eastAsia="Times New Roman"/>
          <w:b/>
          <w:kern w:val="0"/>
        </w:rPr>
        <w:t>BURDEN HOURS</w:t>
      </w:r>
      <w:r w:rsidRPr="00FC1BCE">
        <w:rPr>
          <w:rFonts w:eastAsia="Times New Roman"/>
          <w:kern w:val="0"/>
        </w:rPr>
        <w:t xml:space="preserve"> </w:t>
      </w:r>
    </w:p>
    <w:p w:rsidR="00FC1BCE" w:rsidRPr="00FC1BCE" w:rsidP="00FC1BCE" w14:paraId="39B5BE24" w14:textId="77777777">
      <w:pPr>
        <w:keepNext/>
        <w:keepLines/>
        <w:widowControl/>
        <w:suppressAutoHyphens w:val="0"/>
        <w:rPr>
          <w:rFonts w:eastAsia="Times New Roman"/>
          <w:b/>
          <w:kern w:val="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1890"/>
        <w:gridCol w:w="1530"/>
        <w:gridCol w:w="1710"/>
        <w:gridCol w:w="1710"/>
        <w:gridCol w:w="1003"/>
      </w:tblGrid>
      <w:tr w14:paraId="2BCDCE69" w14:textId="77777777" w:rsidTr="007E153F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25" w:type="dxa"/>
          </w:tcPr>
          <w:p w:rsidR="00FC1BCE" w:rsidRPr="00FC1BCE" w:rsidP="00FC1BCE" w14:paraId="0C4C4D63" w14:textId="77777777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  <w:r w:rsidRPr="00FC1BCE">
              <w:rPr>
                <w:rFonts w:eastAsia="Times New Roman"/>
                <w:b/>
                <w:kern w:val="0"/>
              </w:rPr>
              <w:t>Information Collection</w:t>
            </w:r>
          </w:p>
        </w:tc>
        <w:tc>
          <w:tcPr>
            <w:tcW w:w="1890" w:type="dxa"/>
          </w:tcPr>
          <w:p w:rsidR="00FC1BCE" w:rsidRPr="00FC1BCE" w:rsidP="00953EF0" w14:paraId="66418E6D" w14:textId="55D642D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FC1BCE">
              <w:rPr>
                <w:rFonts w:eastAsia="Times New Roman"/>
                <w:b/>
                <w:kern w:val="0"/>
              </w:rPr>
              <w:t>Category of Respondent</w:t>
            </w:r>
          </w:p>
        </w:tc>
        <w:tc>
          <w:tcPr>
            <w:tcW w:w="1530" w:type="dxa"/>
          </w:tcPr>
          <w:p w:rsidR="00FC1BCE" w:rsidRPr="00FC1BCE" w:rsidP="00953EF0" w14:paraId="7C01E607" w14:textId="22EA9D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 xml:space="preserve">Annual </w:t>
            </w:r>
            <w:r w:rsidRPr="00FC1BCE">
              <w:rPr>
                <w:rFonts w:eastAsia="Times New Roman"/>
                <w:b/>
                <w:kern w:val="0"/>
              </w:rPr>
              <w:t>No. of Respondents</w:t>
            </w:r>
          </w:p>
        </w:tc>
        <w:tc>
          <w:tcPr>
            <w:tcW w:w="1710" w:type="dxa"/>
          </w:tcPr>
          <w:p w:rsidR="00FC1BCE" w:rsidRPr="00FC1BCE" w:rsidP="00953EF0" w14:paraId="6FE2931A" w14:textId="67737C22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 xml:space="preserve">Annual </w:t>
            </w:r>
            <w:r w:rsidRPr="00FC1BCE">
              <w:rPr>
                <w:rFonts w:eastAsia="Times New Roman"/>
                <w:b/>
                <w:kern w:val="0"/>
              </w:rPr>
              <w:t>No.</w:t>
            </w:r>
            <w:r>
              <w:rPr>
                <w:rFonts w:eastAsia="Times New Roman"/>
                <w:b/>
                <w:kern w:val="0"/>
              </w:rPr>
              <w:t xml:space="preserve"> </w:t>
            </w:r>
            <w:r w:rsidRPr="00FC1BCE">
              <w:rPr>
                <w:rFonts w:eastAsia="Times New Roman"/>
                <w:b/>
                <w:kern w:val="0"/>
              </w:rPr>
              <w:t>of Response</w:t>
            </w:r>
            <w:r>
              <w:rPr>
                <w:rFonts w:eastAsia="Times New Roman"/>
                <w:b/>
                <w:kern w:val="0"/>
              </w:rPr>
              <w:t>s</w:t>
            </w:r>
            <w:r w:rsidRPr="00FC1BCE">
              <w:rPr>
                <w:rFonts w:eastAsia="Times New Roman"/>
                <w:b/>
                <w:kern w:val="0"/>
              </w:rPr>
              <w:t xml:space="preserve"> per Respondent</w:t>
            </w:r>
          </w:p>
        </w:tc>
        <w:tc>
          <w:tcPr>
            <w:tcW w:w="1710" w:type="dxa"/>
          </w:tcPr>
          <w:p w:rsidR="00FC1BCE" w:rsidRPr="00FC1BCE" w:rsidP="00953EF0" w14:paraId="62323053" w14:textId="17CF29C5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FC1BCE">
              <w:rPr>
                <w:rFonts w:eastAsia="Times New Roman"/>
                <w:b/>
                <w:kern w:val="0"/>
              </w:rPr>
              <w:t>Estimated Time per Response</w:t>
            </w:r>
          </w:p>
        </w:tc>
        <w:tc>
          <w:tcPr>
            <w:tcW w:w="1003" w:type="dxa"/>
          </w:tcPr>
          <w:p w:rsidR="00FC1BCE" w:rsidRPr="00FC1BCE" w:rsidP="00953EF0" w14:paraId="3A74BEF0" w14:textId="77777777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FC1BCE">
              <w:rPr>
                <w:rFonts w:eastAsia="Times New Roman"/>
                <w:b/>
                <w:kern w:val="0"/>
              </w:rPr>
              <w:t>Annual Burden Hours</w:t>
            </w:r>
          </w:p>
        </w:tc>
      </w:tr>
      <w:tr w14:paraId="61A34BF9" w14:textId="77777777" w:rsidTr="007E153F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Merge w:val="restart"/>
          </w:tcPr>
          <w:p w:rsidR="00FC1BCE" w:rsidRPr="00FC1BCE" w:rsidP="00FC1BCE" w14:paraId="11746817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ILSAA Event Registration Form</w:t>
            </w:r>
          </w:p>
        </w:tc>
        <w:tc>
          <w:tcPr>
            <w:tcW w:w="1890" w:type="dxa"/>
            <w:vAlign w:val="center"/>
          </w:tcPr>
          <w:p w:rsidR="00FC1BCE" w:rsidRPr="00FC1BCE" w:rsidP="00FC1BCE" w14:paraId="39C9FAF2" w14:textId="01A23B81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 xml:space="preserve">Individuals </w:t>
            </w:r>
            <w:r w:rsidR="006E2E86">
              <w:rPr>
                <w:rFonts w:eastAsia="Times New Roman"/>
                <w:kern w:val="0"/>
              </w:rPr>
              <w:t>(</w:t>
            </w:r>
            <w:r w:rsidR="005008B3">
              <w:rPr>
                <w:rFonts w:eastAsia="Times New Roman"/>
                <w:kern w:val="0"/>
              </w:rPr>
              <w:t>Original)</w:t>
            </w:r>
          </w:p>
        </w:tc>
        <w:tc>
          <w:tcPr>
            <w:tcW w:w="1530" w:type="dxa"/>
            <w:vAlign w:val="center"/>
          </w:tcPr>
          <w:p w:rsidR="00FC1BCE" w:rsidRPr="00FC1BCE" w:rsidP="00FC1BCE" w14:paraId="14ACDF6C" w14:textId="77777777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250</w:t>
            </w:r>
          </w:p>
        </w:tc>
        <w:tc>
          <w:tcPr>
            <w:tcW w:w="1710" w:type="dxa"/>
            <w:vAlign w:val="center"/>
          </w:tcPr>
          <w:p w:rsidR="00FC1BCE" w:rsidRPr="00FC1BCE" w:rsidP="00FC1BCE" w14:paraId="4703ECFA" w14:textId="77777777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3</w:t>
            </w:r>
          </w:p>
        </w:tc>
        <w:tc>
          <w:tcPr>
            <w:tcW w:w="1710" w:type="dxa"/>
            <w:vAlign w:val="center"/>
          </w:tcPr>
          <w:p w:rsidR="00FC1BCE" w:rsidRPr="00FC1BCE" w:rsidP="00FC1BCE" w14:paraId="7CA71C3E" w14:textId="77777777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0.017</w:t>
            </w:r>
          </w:p>
        </w:tc>
        <w:tc>
          <w:tcPr>
            <w:tcW w:w="1003" w:type="dxa"/>
            <w:vAlign w:val="center"/>
          </w:tcPr>
          <w:p w:rsidR="00FC1BCE" w:rsidRPr="00FC1BCE" w:rsidP="00FC1BCE" w14:paraId="31F3662B" w14:textId="77777777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12.75</w:t>
            </w:r>
          </w:p>
        </w:tc>
      </w:tr>
      <w:tr w14:paraId="1EEC57EE" w14:textId="77777777" w:rsidTr="007E153F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Merge/>
          </w:tcPr>
          <w:p w:rsidR="00953EF0" w:rsidRPr="00FC1BCE" w:rsidP="00953EF0" w14:paraId="50A66CD1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:rsidR="00953EF0" w:rsidRPr="009E46A5" w:rsidP="00953EF0" w14:paraId="1BA97435" w14:textId="104CD0A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 xml:space="preserve">Individuals </w:t>
            </w:r>
            <w:r w:rsidRPr="009E46A5" w:rsidR="005008B3">
              <w:rPr>
                <w:rFonts w:eastAsia="Times New Roman"/>
                <w:b/>
                <w:bCs/>
                <w:kern w:val="0"/>
              </w:rPr>
              <w:t>(</w:t>
            </w:r>
            <w:r w:rsidRPr="009E46A5" w:rsidR="001C4B81">
              <w:rPr>
                <w:rFonts w:eastAsia="Times New Roman"/>
                <w:b/>
                <w:bCs/>
                <w:kern w:val="0"/>
              </w:rPr>
              <w:t>revised</w:t>
            </w:r>
            <w:r w:rsidRPr="009E46A5" w:rsidR="005008B3">
              <w:rPr>
                <w:rFonts w:eastAsia="Times New Roman"/>
                <w:b/>
                <w:bCs/>
                <w:kern w:val="0"/>
              </w:rPr>
              <w:t>)</w:t>
            </w:r>
          </w:p>
        </w:tc>
        <w:tc>
          <w:tcPr>
            <w:tcW w:w="1530" w:type="dxa"/>
            <w:vAlign w:val="center"/>
          </w:tcPr>
          <w:p w:rsidR="00953EF0" w:rsidRPr="009E46A5" w:rsidP="00953EF0" w14:paraId="4EDBC668" w14:textId="6DEC48D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95</w:t>
            </w:r>
          </w:p>
        </w:tc>
        <w:tc>
          <w:tcPr>
            <w:tcW w:w="1710" w:type="dxa"/>
            <w:vAlign w:val="center"/>
          </w:tcPr>
          <w:p w:rsidR="00953EF0" w:rsidRPr="009E46A5" w:rsidP="00953EF0" w14:paraId="6057639D" w14:textId="467D603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4</w:t>
            </w:r>
          </w:p>
        </w:tc>
        <w:tc>
          <w:tcPr>
            <w:tcW w:w="1710" w:type="dxa"/>
            <w:vAlign w:val="center"/>
          </w:tcPr>
          <w:p w:rsidR="00953EF0" w:rsidRPr="009E46A5" w:rsidP="00953EF0" w14:paraId="13956417" w14:textId="465E11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0.017</w:t>
            </w:r>
          </w:p>
        </w:tc>
        <w:tc>
          <w:tcPr>
            <w:tcW w:w="1003" w:type="dxa"/>
            <w:vAlign w:val="center"/>
          </w:tcPr>
          <w:p w:rsidR="00953EF0" w:rsidRPr="009E46A5" w:rsidP="00953EF0" w14:paraId="652D88F7" w14:textId="22F3A86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6.46</w:t>
            </w:r>
          </w:p>
        </w:tc>
      </w:tr>
      <w:tr w14:paraId="73D88690" w14:textId="77777777" w:rsidTr="007E153F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Merge w:val="restart"/>
          </w:tcPr>
          <w:p w:rsidR="006D04A0" w:rsidRPr="00FC1BCE" w:rsidP="00FC1BCE" w14:paraId="7492EB4A" w14:textId="652026A4">
            <w:pPr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ILSAA Event Feedback Form</w:t>
            </w:r>
          </w:p>
        </w:tc>
        <w:tc>
          <w:tcPr>
            <w:tcW w:w="1890" w:type="dxa"/>
            <w:vAlign w:val="center"/>
          </w:tcPr>
          <w:p w:rsidR="006D04A0" w:rsidP="00FC1BCE" w14:paraId="087A5D3D" w14:textId="77777777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C1BCE">
              <w:rPr>
                <w:rFonts w:eastAsia="Times New Roman"/>
                <w:kern w:val="0"/>
              </w:rPr>
              <w:t>Individuals</w:t>
            </w:r>
          </w:p>
          <w:p w:rsidR="006D04A0" w:rsidRPr="00FC1BCE" w:rsidP="00FC1BCE" w14:paraId="43597B08" w14:textId="5417FF31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(original)</w:t>
            </w:r>
          </w:p>
        </w:tc>
        <w:tc>
          <w:tcPr>
            <w:tcW w:w="1530" w:type="dxa"/>
            <w:vAlign w:val="center"/>
          </w:tcPr>
          <w:p w:rsidR="006D04A0" w:rsidRPr="00FC1BCE" w:rsidP="00FC1BCE" w14:paraId="5AD1B334" w14:textId="7E3E142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250</w:t>
            </w:r>
          </w:p>
        </w:tc>
        <w:tc>
          <w:tcPr>
            <w:tcW w:w="1710" w:type="dxa"/>
            <w:vAlign w:val="center"/>
          </w:tcPr>
          <w:p w:rsidR="006D04A0" w:rsidRPr="00FC1BCE" w:rsidP="00FC1BCE" w14:paraId="39D4AECD" w14:textId="5FA3CEE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1710" w:type="dxa"/>
            <w:vAlign w:val="center"/>
          </w:tcPr>
          <w:p w:rsidR="006D04A0" w:rsidRPr="00FC1BCE" w:rsidP="00FC1BCE" w14:paraId="2F42D14E" w14:textId="5BA37945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.05</w:t>
            </w:r>
          </w:p>
        </w:tc>
        <w:tc>
          <w:tcPr>
            <w:tcW w:w="1003" w:type="dxa"/>
            <w:vAlign w:val="center"/>
          </w:tcPr>
          <w:p w:rsidR="006D04A0" w:rsidRPr="00FC1BCE" w:rsidP="00FC1BCE" w14:paraId="31646737" w14:textId="2D5A68A3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37.5</w:t>
            </w:r>
          </w:p>
        </w:tc>
      </w:tr>
      <w:tr w14:paraId="3736E73E" w14:textId="77777777" w:rsidTr="007E153F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Merge/>
          </w:tcPr>
          <w:p w:rsidR="00685176" w:rsidRPr="00FC1BCE" w:rsidP="00685176" w14:paraId="6912A87E" w14:textId="783B8C9C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:rsidR="00685176" w:rsidRPr="00FC1BCE" w:rsidP="00685176" w14:paraId="0BD6D620" w14:textId="3D79C0C6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Individuals (revised)</w:t>
            </w:r>
          </w:p>
        </w:tc>
        <w:tc>
          <w:tcPr>
            <w:tcW w:w="1530" w:type="dxa"/>
            <w:vAlign w:val="center"/>
          </w:tcPr>
          <w:p w:rsidR="00685176" w:rsidRPr="00FC1BCE" w:rsidP="00685176" w14:paraId="4BE12FC3" w14:textId="02E5489F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b/>
                <w:bCs/>
                <w:kern w:val="0"/>
              </w:rPr>
              <w:t>15</w:t>
            </w:r>
            <w:r w:rsidRPr="009E46A5">
              <w:rPr>
                <w:rFonts w:eastAsia="Times New Roman"/>
                <w:b/>
                <w:bCs/>
                <w:kern w:val="0"/>
              </w:rPr>
              <w:t>5</w:t>
            </w:r>
          </w:p>
        </w:tc>
        <w:tc>
          <w:tcPr>
            <w:tcW w:w="1710" w:type="dxa"/>
            <w:vAlign w:val="center"/>
          </w:tcPr>
          <w:p w:rsidR="00685176" w:rsidRPr="00FC1BCE" w:rsidP="00685176" w14:paraId="18F23724" w14:textId="311FA353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4</w:t>
            </w:r>
          </w:p>
        </w:tc>
        <w:tc>
          <w:tcPr>
            <w:tcW w:w="1710" w:type="dxa"/>
            <w:vAlign w:val="center"/>
          </w:tcPr>
          <w:p w:rsidR="00685176" w:rsidRPr="00FC1BCE" w:rsidP="00685176" w14:paraId="1F3A17C1" w14:textId="25C97D66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9E46A5">
              <w:rPr>
                <w:rFonts w:eastAsia="Times New Roman"/>
                <w:b/>
                <w:bCs/>
                <w:kern w:val="0"/>
              </w:rPr>
              <w:t>0.0</w:t>
            </w:r>
            <w:r w:rsidR="006277C7">
              <w:rPr>
                <w:rFonts w:eastAsia="Times New Roman"/>
                <w:b/>
                <w:bCs/>
                <w:kern w:val="0"/>
              </w:rPr>
              <w:t>5</w:t>
            </w:r>
          </w:p>
        </w:tc>
        <w:tc>
          <w:tcPr>
            <w:tcW w:w="1003" w:type="dxa"/>
            <w:vAlign w:val="center"/>
          </w:tcPr>
          <w:p w:rsidR="00685176" w:rsidRPr="00BE7A13" w:rsidP="00685176" w14:paraId="12ADF905" w14:textId="3DDC7F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E7A13">
              <w:rPr>
                <w:rFonts w:eastAsia="Times New Roman"/>
                <w:b/>
                <w:bCs/>
                <w:kern w:val="0"/>
              </w:rPr>
              <w:t>31</w:t>
            </w:r>
          </w:p>
        </w:tc>
      </w:tr>
      <w:tr w14:paraId="41CB8F7E" w14:textId="77777777" w:rsidTr="007E153F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4315" w:type="dxa"/>
            <w:gridSpan w:val="2"/>
            <w:vAlign w:val="center"/>
          </w:tcPr>
          <w:p w:rsidR="00FC1BCE" w:rsidRPr="00FC1BCE" w:rsidP="00FC1BCE" w14:paraId="76BC4768" w14:textId="77777777">
            <w:pPr>
              <w:widowControl/>
              <w:suppressAutoHyphens w:val="0"/>
              <w:jc w:val="right"/>
              <w:rPr>
                <w:rFonts w:eastAsia="Times New Roman"/>
                <w:b/>
                <w:kern w:val="0"/>
              </w:rPr>
            </w:pPr>
            <w:r w:rsidRPr="00FC1BCE">
              <w:rPr>
                <w:rFonts w:eastAsia="Times New Roman"/>
                <w:b/>
                <w:kern w:val="0"/>
              </w:rPr>
              <w:t>Totals</w:t>
            </w:r>
          </w:p>
        </w:tc>
        <w:tc>
          <w:tcPr>
            <w:tcW w:w="1530" w:type="dxa"/>
          </w:tcPr>
          <w:p w:rsidR="00FC1BCE" w:rsidRPr="00FC1BCE" w:rsidP="00FC1BCE" w14:paraId="300C65DB" w14:textId="7777777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  <w:tc>
          <w:tcPr>
            <w:tcW w:w="1710" w:type="dxa"/>
          </w:tcPr>
          <w:p w:rsidR="00FC1BCE" w:rsidRPr="00FC1BCE" w:rsidP="00FC1BCE" w14:paraId="66AC4CCF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710" w:type="dxa"/>
          </w:tcPr>
          <w:p w:rsidR="00FC1BCE" w:rsidRPr="00FC1BCE" w:rsidP="00FC1BCE" w14:paraId="7B0BA19F" w14:textId="77777777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003" w:type="dxa"/>
          </w:tcPr>
          <w:p w:rsidR="00FC1BCE" w:rsidRPr="00FC1BCE" w:rsidP="00171BE2" w14:paraId="08445DB5" w14:textId="4F06F7D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bCs/>
                <w:kern w:val="0"/>
              </w:rPr>
              <w:t>37</w:t>
            </w:r>
          </w:p>
        </w:tc>
      </w:tr>
    </w:tbl>
    <w:p w:rsidR="00FC1BCE" w:rsidRPr="00FC1BCE" w:rsidP="00FC1BCE" w14:paraId="394CAB17" w14:textId="77777777">
      <w:pPr>
        <w:widowControl/>
        <w:suppressAutoHyphens w:val="0"/>
        <w:rPr>
          <w:rFonts w:eastAsia="Times New Roman"/>
          <w:kern w:val="0"/>
        </w:rPr>
      </w:pPr>
    </w:p>
    <w:p w:rsidR="006B3713" w:rsidRPr="0005680D" w:rsidP="006B3713" w14:paraId="4D4C74C9" w14:textId="34F36197">
      <w:pPr>
        <w:widowControl/>
        <w:suppressAutoHyphens w:val="0"/>
      </w:pPr>
      <w:r w:rsidRPr="00FC1BCE">
        <w:rPr>
          <w:rFonts w:eastAsia="Times New Roman"/>
          <w:b/>
          <w:bCs/>
          <w:kern w:val="0"/>
        </w:rPr>
        <w:t xml:space="preserve">FEDERAL COST:  </w:t>
      </w:r>
      <w:r w:rsidRPr="00FC1BCE">
        <w:rPr>
          <w:rFonts w:eastAsia="Times New Roman"/>
          <w:kern w:val="0"/>
        </w:rPr>
        <w:t xml:space="preserve">The estimated annual cost to the Federal government is </w:t>
      </w:r>
      <w:r w:rsidRPr="00FC1BCE" w:rsidR="000D2CDD">
        <w:rPr>
          <w:rFonts w:eastAsia="Times New Roman"/>
          <w:kern w:val="0"/>
          <w:u w:val="single"/>
        </w:rPr>
        <w:t>$2,238</w:t>
      </w:r>
      <w:r w:rsidR="000D2CDD">
        <w:rPr>
          <w:rFonts w:eastAsia="Times New Roman"/>
          <w:kern w:val="0"/>
          <w:u w:val="single"/>
        </w:rPr>
        <w:t>.</w:t>
      </w:r>
      <w:r w:rsidRPr="0005680D">
        <w:t xml:space="preserve"> </w:t>
      </w:r>
    </w:p>
    <w:p w:rsidR="0005680D" w:rsidRPr="0005680D" w:rsidP="00BF696B" w14:paraId="76859545" w14:textId="2175E4E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5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0FC"/>
    <w:rsid w:val="00024710"/>
    <w:rsid w:val="000307DC"/>
    <w:rsid w:val="00034744"/>
    <w:rsid w:val="00036453"/>
    <w:rsid w:val="00045F80"/>
    <w:rsid w:val="00046E6D"/>
    <w:rsid w:val="0005680D"/>
    <w:rsid w:val="00072122"/>
    <w:rsid w:val="000978CC"/>
    <w:rsid w:val="000A7579"/>
    <w:rsid w:val="000D2CDD"/>
    <w:rsid w:val="000D4AE5"/>
    <w:rsid w:val="000D7E0D"/>
    <w:rsid w:val="00115C17"/>
    <w:rsid w:val="00116024"/>
    <w:rsid w:val="0012346B"/>
    <w:rsid w:val="00136412"/>
    <w:rsid w:val="001647C9"/>
    <w:rsid w:val="00171BE2"/>
    <w:rsid w:val="00176CE3"/>
    <w:rsid w:val="00180821"/>
    <w:rsid w:val="001949B9"/>
    <w:rsid w:val="001A2081"/>
    <w:rsid w:val="001B46D5"/>
    <w:rsid w:val="001C4445"/>
    <w:rsid w:val="001C4B81"/>
    <w:rsid w:val="001C7BF2"/>
    <w:rsid w:val="001E0917"/>
    <w:rsid w:val="00200EB1"/>
    <w:rsid w:val="00201D4A"/>
    <w:rsid w:val="0021670D"/>
    <w:rsid w:val="00271FC2"/>
    <w:rsid w:val="0028192B"/>
    <w:rsid w:val="00287D4F"/>
    <w:rsid w:val="00296906"/>
    <w:rsid w:val="002A5B9C"/>
    <w:rsid w:val="002C0B89"/>
    <w:rsid w:val="002C1393"/>
    <w:rsid w:val="002E5F67"/>
    <w:rsid w:val="0030099C"/>
    <w:rsid w:val="003057F3"/>
    <w:rsid w:val="00314B6B"/>
    <w:rsid w:val="00316F7C"/>
    <w:rsid w:val="0032005F"/>
    <w:rsid w:val="00324675"/>
    <w:rsid w:val="0033021C"/>
    <w:rsid w:val="003304C1"/>
    <w:rsid w:val="00335A86"/>
    <w:rsid w:val="00351000"/>
    <w:rsid w:val="00353977"/>
    <w:rsid w:val="00354291"/>
    <w:rsid w:val="00355E49"/>
    <w:rsid w:val="003626DE"/>
    <w:rsid w:val="0038351E"/>
    <w:rsid w:val="003C0D42"/>
    <w:rsid w:val="003C3F27"/>
    <w:rsid w:val="003C5706"/>
    <w:rsid w:val="003D1F1E"/>
    <w:rsid w:val="003E68ED"/>
    <w:rsid w:val="00410C1D"/>
    <w:rsid w:val="00416E1B"/>
    <w:rsid w:val="00430033"/>
    <w:rsid w:val="00433EE4"/>
    <w:rsid w:val="004345E7"/>
    <w:rsid w:val="00443ABD"/>
    <w:rsid w:val="00450E83"/>
    <w:rsid w:val="00452E04"/>
    <w:rsid w:val="0046306D"/>
    <w:rsid w:val="00484B43"/>
    <w:rsid w:val="004903AD"/>
    <w:rsid w:val="004A08E3"/>
    <w:rsid w:val="004A390D"/>
    <w:rsid w:val="004A777C"/>
    <w:rsid w:val="004B19F6"/>
    <w:rsid w:val="004B30D2"/>
    <w:rsid w:val="004B40B8"/>
    <w:rsid w:val="004C7D75"/>
    <w:rsid w:val="004E0796"/>
    <w:rsid w:val="004E2770"/>
    <w:rsid w:val="004E45B4"/>
    <w:rsid w:val="004F02AA"/>
    <w:rsid w:val="004F73C2"/>
    <w:rsid w:val="005008B3"/>
    <w:rsid w:val="0051283C"/>
    <w:rsid w:val="00521C1A"/>
    <w:rsid w:val="005303E4"/>
    <w:rsid w:val="0054703F"/>
    <w:rsid w:val="00553D19"/>
    <w:rsid w:val="00561B2A"/>
    <w:rsid w:val="005760B5"/>
    <w:rsid w:val="00576E12"/>
    <w:rsid w:val="005804EC"/>
    <w:rsid w:val="005B18A3"/>
    <w:rsid w:val="005B1F88"/>
    <w:rsid w:val="005D1644"/>
    <w:rsid w:val="005F752B"/>
    <w:rsid w:val="00610758"/>
    <w:rsid w:val="00624BDF"/>
    <w:rsid w:val="006277C7"/>
    <w:rsid w:val="006564E8"/>
    <w:rsid w:val="00656D59"/>
    <w:rsid w:val="00671396"/>
    <w:rsid w:val="006733B3"/>
    <w:rsid w:val="006743D2"/>
    <w:rsid w:val="00675BF2"/>
    <w:rsid w:val="006763AD"/>
    <w:rsid w:val="00685176"/>
    <w:rsid w:val="006970B7"/>
    <w:rsid w:val="006A59C5"/>
    <w:rsid w:val="006B0A72"/>
    <w:rsid w:val="006B3713"/>
    <w:rsid w:val="006B5754"/>
    <w:rsid w:val="006C3F0A"/>
    <w:rsid w:val="006D04A0"/>
    <w:rsid w:val="006D13F6"/>
    <w:rsid w:val="006E2E86"/>
    <w:rsid w:val="006E7652"/>
    <w:rsid w:val="00717930"/>
    <w:rsid w:val="00721AD1"/>
    <w:rsid w:val="00722234"/>
    <w:rsid w:val="00725441"/>
    <w:rsid w:val="0074277A"/>
    <w:rsid w:val="00751698"/>
    <w:rsid w:val="00752CEE"/>
    <w:rsid w:val="00760D78"/>
    <w:rsid w:val="00764CCB"/>
    <w:rsid w:val="00774AAF"/>
    <w:rsid w:val="00784D51"/>
    <w:rsid w:val="007850B0"/>
    <w:rsid w:val="007870DF"/>
    <w:rsid w:val="0079300D"/>
    <w:rsid w:val="00796665"/>
    <w:rsid w:val="007B501D"/>
    <w:rsid w:val="007D3205"/>
    <w:rsid w:val="007D64B4"/>
    <w:rsid w:val="007E68F0"/>
    <w:rsid w:val="007F4925"/>
    <w:rsid w:val="007F7EC7"/>
    <w:rsid w:val="0081648F"/>
    <w:rsid w:val="0082213A"/>
    <w:rsid w:val="00831FD6"/>
    <w:rsid w:val="00836361"/>
    <w:rsid w:val="008B05C8"/>
    <w:rsid w:val="008B5793"/>
    <w:rsid w:val="008C1311"/>
    <w:rsid w:val="008C3BDD"/>
    <w:rsid w:val="008C492F"/>
    <w:rsid w:val="008E5354"/>
    <w:rsid w:val="008F6609"/>
    <w:rsid w:val="00915F2B"/>
    <w:rsid w:val="00925111"/>
    <w:rsid w:val="00945E6D"/>
    <w:rsid w:val="00953EF0"/>
    <w:rsid w:val="00993389"/>
    <w:rsid w:val="00993FB0"/>
    <w:rsid w:val="00994B56"/>
    <w:rsid w:val="00995018"/>
    <w:rsid w:val="009B7427"/>
    <w:rsid w:val="009D0143"/>
    <w:rsid w:val="009E38D6"/>
    <w:rsid w:val="009E4226"/>
    <w:rsid w:val="009E46A5"/>
    <w:rsid w:val="009F0EEF"/>
    <w:rsid w:val="009F1CE8"/>
    <w:rsid w:val="009F2D72"/>
    <w:rsid w:val="00A001F0"/>
    <w:rsid w:val="00A018C8"/>
    <w:rsid w:val="00A02244"/>
    <w:rsid w:val="00A0576B"/>
    <w:rsid w:val="00A07D26"/>
    <w:rsid w:val="00A1149D"/>
    <w:rsid w:val="00A1729D"/>
    <w:rsid w:val="00A27097"/>
    <w:rsid w:val="00A3418B"/>
    <w:rsid w:val="00A4082F"/>
    <w:rsid w:val="00A44387"/>
    <w:rsid w:val="00A53BD4"/>
    <w:rsid w:val="00A53C9D"/>
    <w:rsid w:val="00A640F2"/>
    <w:rsid w:val="00AB07E4"/>
    <w:rsid w:val="00AB167D"/>
    <w:rsid w:val="00AC5934"/>
    <w:rsid w:val="00AD72BD"/>
    <w:rsid w:val="00AD764B"/>
    <w:rsid w:val="00B15BB3"/>
    <w:rsid w:val="00B2265B"/>
    <w:rsid w:val="00B22B52"/>
    <w:rsid w:val="00B36318"/>
    <w:rsid w:val="00B52939"/>
    <w:rsid w:val="00B71A92"/>
    <w:rsid w:val="00B727A7"/>
    <w:rsid w:val="00B80DD1"/>
    <w:rsid w:val="00B9006D"/>
    <w:rsid w:val="00B91AA0"/>
    <w:rsid w:val="00B96FB5"/>
    <w:rsid w:val="00BB03FB"/>
    <w:rsid w:val="00BB0C62"/>
    <w:rsid w:val="00BB3609"/>
    <w:rsid w:val="00BB4A51"/>
    <w:rsid w:val="00BC2D1D"/>
    <w:rsid w:val="00BD075A"/>
    <w:rsid w:val="00BE1408"/>
    <w:rsid w:val="00BE7A13"/>
    <w:rsid w:val="00BF371C"/>
    <w:rsid w:val="00BF696B"/>
    <w:rsid w:val="00C00309"/>
    <w:rsid w:val="00C128AC"/>
    <w:rsid w:val="00C43ACB"/>
    <w:rsid w:val="00C51C5E"/>
    <w:rsid w:val="00C70929"/>
    <w:rsid w:val="00C76C13"/>
    <w:rsid w:val="00CA65A7"/>
    <w:rsid w:val="00CC3D38"/>
    <w:rsid w:val="00CC6303"/>
    <w:rsid w:val="00CD386C"/>
    <w:rsid w:val="00CD44FA"/>
    <w:rsid w:val="00CE5A9D"/>
    <w:rsid w:val="00D038ED"/>
    <w:rsid w:val="00D06E59"/>
    <w:rsid w:val="00D25C53"/>
    <w:rsid w:val="00D41BEC"/>
    <w:rsid w:val="00D548BB"/>
    <w:rsid w:val="00D57FB0"/>
    <w:rsid w:val="00D84400"/>
    <w:rsid w:val="00D86298"/>
    <w:rsid w:val="00D927AE"/>
    <w:rsid w:val="00D92914"/>
    <w:rsid w:val="00DE038C"/>
    <w:rsid w:val="00DE328B"/>
    <w:rsid w:val="00DE5734"/>
    <w:rsid w:val="00DF7639"/>
    <w:rsid w:val="00E048D4"/>
    <w:rsid w:val="00E23692"/>
    <w:rsid w:val="00E24F8D"/>
    <w:rsid w:val="00E253EE"/>
    <w:rsid w:val="00E25C0E"/>
    <w:rsid w:val="00E2737D"/>
    <w:rsid w:val="00E40FA4"/>
    <w:rsid w:val="00E414D8"/>
    <w:rsid w:val="00E426CB"/>
    <w:rsid w:val="00E44459"/>
    <w:rsid w:val="00E525D4"/>
    <w:rsid w:val="00E55FA4"/>
    <w:rsid w:val="00E6014E"/>
    <w:rsid w:val="00E71811"/>
    <w:rsid w:val="00E75A44"/>
    <w:rsid w:val="00E76192"/>
    <w:rsid w:val="00E763DA"/>
    <w:rsid w:val="00E90C65"/>
    <w:rsid w:val="00E9237B"/>
    <w:rsid w:val="00EB206D"/>
    <w:rsid w:val="00EB266F"/>
    <w:rsid w:val="00EB7923"/>
    <w:rsid w:val="00EF55D4"/>
    <w:rsid w:val="00F07BF9"/>
    <w:rsid w:val="00F406E6"/>
    <w:rsid w:val="00F43A0D"/>
    <w:rsid w:val="00F7439F"/>
    <w:rsid w:val="00F74CB4"/>
    <w:rsid w:val="00F87E73"/>
    <w:rsid w:val="00FA0CAA"/>
    <w:rsid w:val="00FA14A3"/>
    <w:rsid w:val="00FB76F5"/>
    <w:rsid w:val="00FC1BCE"/>
    <w:rsid w:val="00FD0FE0"/>
    <w:rsid w:val="00FD416F"/>
    <w:rsid w:val="00FE6059"/>
    <w:rsid w:val="00FF3016"/>
    <w:rsid w:val="00FF6B3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9B37268E-7F6F-4DA3-8269-0FC07755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D7E0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4082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3C3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36184-d8fc-44e3-8de7-b32367b9c1f2" xsi:nil="true"/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3" ma:contentTypeDescription="Create a new document." ma:contentTypeScope="" ma:versionID="7c80ac1ad4edff65c530686365895323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eb837a95f468512325523ab099c9d74f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bfe36184-d8fc-44e3-8de7-b32367b9c1f2"/>
    <ds:schemaRef ds:uri="7bc33af3-a508-4494-93c6-f445514b0cc8"/>
  </ds:schemaRefs>
</ds:datastoreItem>
</file>

<file path=customXml/itemProps3.xml><?xml version="1.0" encoding="utf-8"?>
<ds:datastoreItem xmlns:ds="http://schemas.openxmlformats.org/officeDocument/2006/customXml" ds:itemID="{5E0AD936-BD24-45B9-BFAA-9B7605E2C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640A5-9BEE-4AAE-81EB-F969B0AC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3</cp:revision>
  <dcterms:created xsi:type="dcterms:W3CDTF">2023-05-24T01:36:00Z</dcterms:created>
  <dcterms:modified xsi:type="dcterms:W3CDTF">2023-05-24T13:07:00Z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