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0472D3" w14:paraId="4C554728" w14:textId="77777777">
      <w:pPr>
        <w:widowControl/>
        <w:tabs>
          <w:tab w:val="left" w:pos="720"/>
        </w:tabs>
        <w:ind w:left="720" w:hanging="1440"/>
        <w:jc w:val="center"/>
        <w:rPr>
          <w:rFonts w:ascii="Times New Roman" w:hAnsi="Times New Roman"/>
          <w:b/>
          <w:bCs/>
        </w:rPr>
      </w:pPr>
    </w:p>
    <w:p w:rsidR="000472D3" w:rsidRPr="000472D3" w:rsidP="000472D3" w14:paraId="48ABF077" w14:textId="09C38458">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r>
        <w:rPr>
          <w:rFonts w:ascii="Times New Roman" w:hAnsi="Times New Roman"/>
          <w:b/>
          <w:bCs/>
        </w:rPr>
        <w:t xml:space="preserve"> </w:t>
      </w:r>
      <w:r w:rsidRPr="000472D3">
        <w:rPr>
          <w:rFonts w:ascii="Times New Roman" w:hAnsi="Times New Roman"/>
          <w:b/>
          <w:bCs/>
        </w:rPr>
        <w:t>E</w:t>
      </w:r>
      <w:r>
        <w:rPr>
          <w:rFonts w:ascii="Times New Roman" w:hAnsi="Times New Roman"/>
          <w:b/>
          <w:bCs/>
        </w:rPr>
        <w:t xml:space="preserve">LDER </w:t>
      </w:r>
      <w:r w:rsidR="004357B4">
        <w:rPr>
          <w:rFonts w:ascii="Times New Roman" w:hAnsi="Times New Roman"/>
          <w:b/>
          <w:bCs/>
        </w:rPr>
        <w:t xml:space="preserve">JUSTICE </w:t>
      </w:r>
      <w:r w:rsidRPr="000472D3">
        <w:rPr>
          <w:rFonts w:ascii="Times New Roman" w:hAnsi="Times New Roman"/>
          <w:b/>
          <w:bCs/>
        </w:rPr>
        <w:t>V</w:t>
      </w:r>
      <w:r w:rsidR="00D5277A">
        <w:rPr>
          <w:rFonts w:ascii="Times New Roman" w:hAnsi="Times New Roman"/>
          <w:b/>
          <w:bCs/>
        </w:rPr>
        <w:t xml:space="preserve">ICTIM </w:t>
      </w:r>
      <w:r w:rsidRPr="000472D3">
        <w:rPr>
          <w:rFonts w:ascii="Times New Roman" w:hAnsi="Times New Roman"/>
          <w:b/>
          <w:bCs/>
        </w:rPr>
        <w:t>N</w:t>
      </w:r>
      <w:r w:rsidR="00D5277A">
        <w:rPr>
          <w:rFonts w:ascii="Times New Roman" w:hAnsi="Times New Roman"/>
          <w:b/>
          <w:bCs/>
        </w:rPr>
        <w:t>EEDS</w:t>
      </w:r>
      <w:r w:rsidRPr="000472D3">
        <w:rPr>
          <w:rFonts w:ascii="Times New Roman" w:hAnsi="Times New Roman"/>
          <w:b/>
          <w:bCs/>
        </w:rPr>
        <w:t xml:space="preserve"> A</w:t>
      </w:r>
      <w:r w:rsidR="00D5277A">
        <w:rPr>
          <w:rFonts w:ascii="Times New Roman" w:hAnsi="Times New Roman"/>
          <w:b/>
          <w:bCs/>
        </w:rPr>
        <w:t>SSESSMENT</w:t>
      </w:r>
    </w:p>
    <w:p w:rsidR="00116CD5" w:rsidRPr="00871CA6" w:rsidP="00E674A9" w14:paraId="2523DF68" w14:textId="256C4F74">
      <w:pPr>
        <w:widowControl/>
        <w:jc w:val="center"/>
        <w:rPr>
          <w:rFonts w:ascii="Times New Roman" w:hAnsi="Times New Roman"/>
          <w:b/>
          <w:bCs/>
        </w:rPr>
      </w:pP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269D" w:rsidP="001C269D" w14:paraId="4554CAC9" w14:textId="77777777">
      <w:pPr>
        <w:spacing w:before="100" w:beforeAutospacing="1" w:after="100" w:afterAutospacing="1"/>
        <w:textAlignment w:val="baseline"/>
        <w:rPr>
          <w:rFonts w:ascii="Times New Roman" w:hAnsi="Times New Roman"/>
          <w:color w:val="000000"/>
        </w:rPr>
      </w:pPr>
      <w:r>
        <w:rPr>
          <w:rFonts w:ascii="Times New Roman" w:hAnsi="Times New Roman"/>
          <w:color w:val="000000"/>
        </w:rPr>
        <w:t xml:space="preserve">At least 11% of older Americans are victims of some type of elder abuse each year, and an additional 5.4% experience financial fraud. The consequences of elder abuse victimization include psychological, social, health, and financial outcomes that are devastating and often lead to diminished quality of life. To ameliorate the effects of elder abuse, federal, </w:t>
      </w:r>
      <w:r>
        <w:rPr>
          <w:rFonts w:ascii="Times New Roman" w:hAnsi="Times New Roman"/>
          <w:color w:val="000000"/>
        </w:rPr>
        <w:t>state</w:t>
      </w:r>
      <w:r>
        <w:rPr>
          <w:rFonts w:ascii="Times New Roman" w:hAnsi="Times New Roman"/>
          <w:color w:val="000000"/>
        </w:rPr>
        <w:t xml:space="preserve"> and local governments as well as community-based organizations provide services to older victims. The Elder Abuse Prevention and Prosecution Act (EAPPA) of 2017 (Sec. 101(b)(2)) instructs the US Department of Justice to identify best practices for individuals working in victim services responding to the needs of elder abuse victims. However, the Office for Victims of Crime (2013) concludes that little is known about victim services generally. Further, even less is known about the service needs of older victims (OVC, 2015), with the Office for Victims of Crime designating victims of elder abuse an underserved class (OVC, 2016). An exhaustive review of published and unpublished works determined that a comprehensive needs assessment of services specifically for elder abuse victims does not exist. </w:t>
      </w:r>
    </w:p>
    <w:p w:rsidR="001C269D" w:rsidP="001C269D" w14:paraId="60F45503" w14:textId="77777777">
      <w:pPr>
        <w:spacing w:before="100" w:beforeAutospacing="1" w:after="100" w:afterAutospacing="1"/>
        <w:textAlignment w:val="baseline"/>
        <w:rPr>
          <w:rFonts w:ascii="Times New Roman" w:hAnsi="Times New Roman"/>
          <w:color w:val="000000"/>
        </w:rPr>
      </w:pPr>
      <w:r>
        <w:rPr>
          <w:rFonts w:ascii="Times New Roman" w:hAnsi="Times New Roman"/>
          <w:color w:val="000000"/>
        </w:rPr>
        <w:t xml:space="preserve">The Elder Justice Initiative intends to support a contractor, ICF International LLC in conducting a </w:t>
      </w:r>
      <w:r>
        <w:rPr>
          <w:rFonts w:ascii="Times New Roman" w:hAnsi="Times New Roman"/>
          <w:color w:val="000000"/>
        </w:rPr>
        <w:t>national elder abuse victim services</w:t>
      </w:r>
      <w:r>
        <w:rPr>
          <w:rFonts w:ascii="Times New Roman" w:hAnsi="Times New Roman"/>
          <w:color w:val="000000"/>
        </w:rPr>
        <w:t xml:space="preserve"> needs assessment across successive stages of the justice process, from initial incident through investigation, prosecution (if any), and long-term recovery for each type of elder abuse (physical abuse, psychological abuse, sexual abuse, caregiver neglect, financial exploitation, financial fraud). To accomplish this goal, ICF will 1) conduct national surveys with elder justice professionals (including federal staff) and older victims and their family and friends; and 2) conduct a series of focus groups with elder justice professionals (including federal staff) and older victims and their family and friends. A targeted dissemination strategy featuring the results and recommendations will aid in elder abuse services program planning.</w:t>
      </w:r>
    </w:p>
    <w:p w:rsidR="001C269D" w:rsidRPr="001C269D" w:rsidP="001C269D" w14:paraId="186E45AF" w14:textId="2F66DD91">
      <w:pPr>
        <w:rPr>
          <w:rFonts w:ascii="Times New Roman" w:hAnsi="Times New Roman"/>
        </w:rPr>
      </w:pPr>
      <w:r w:rsidRPr="001C269D">
        <w:rPr>
          <w:rFonts w:ascii="Times New Roman" w:hAnsi="Times New Roman"/>
        </w:rPr>
        <w:t xml:space="preserve">Elder justice-related information collection activity undertaken by the Elder Justice Initiative includes garnering qualitative stakeholder feedback in an efficient, timely manner.  Qualitative feedback is not intended to yield generalizable results, but rather to provide useful insights on perceptions and opinions of our stakeholders. Information collection may include brief surveys, registration for convenings, webform requests on the Elder Justice Website, and other elder justice-related information collection activities. These information collections will provide insights into stakeholder perceptions, </w:t>
      </w:r>
      <w:r w:rsidRPr="001C269D">
        <w:rPr>
          <w:rFonts w:ascii="Times New Roman" w:hAnsi="Times New Roman"/>
        </w:rPr>
        <w:t>experiences,</w:t>
      </w:r>
      <w:r w:rsidRPr="001C269D">
        <w:rPr>
          <w:rFonts w:ascii="Times New Roman" w:hAnsi="Times New Roman"/>
        </w:rPr>
        <w:t xml:space="preserve"> and expectations, focus attention on areas where communication and training are needed, and identify needed changes in operations to improve delivery of resources and services.  These collections are necessary to facilitate </w:t>
      </w:r>
      <w:r w:rsidRPr="001C269D">
        <w:rPr>
          <w:rFonts w:ascii="Times New Roman" w:hAnsi="Times New Roman"/>
        </w:rPr>
        <w:t xml:space="preserve">ongoing, </w:t>
      </w:r>
      <w:r w:rsidRPr="001C269D">
        <w:rPr>
          <w:rFonts w:ascii="Times New Roman" w:hAnsi="Times New Roman"/>
        </w:rPr>
        <w:t>collaborative,</w:t>
      </w:r>
      <w:r w:rsidRPr="001C269D">
        <w:rPr>
          <w:rFonts w:ascii="Times New Roman" w:hAnsi="Times New Roman"/>
        </w:rPr>
        <w:t xml:space="preserve"> and actionable communications between the Elder Justice Initiative and its various stakeholders and contribute directly to the improvement of program management.  </w:t>
      </w:r>
    </w:p>
    <w:p w:rsidR="001C269D" w:rsidP="001C269D" w14:paraId="6FDFF23B" w14:textId="77777777">
      <w:pPr>
        <w:rPr>
          <w:rFonts w:ascii="Times New Roman" w:hAnsi="Times New Roman"/>
          <w:color w:val="FF0000"/>
        </w:rPr>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724C56" w:rsidRPr="00724C56" w:rsidP="00724C56" w14:paraId="084C6915" w14:textId="77777777">
      <w:pPr>
        <w:widowControl/>
        <w:rPr>
          <w:rFonts w:ascii="Times New Roman" w:hAnsi="Times New Roman"/>
        </w:rPr>
      </w:pPr>
      <w:r w:rsidRPr="00724C56">
        <w:rPr>
          <w:rFonts w:ascii="Times New Roman" w:hAnsi="Times New Roman"/>
        </w:rPr>
        <w:t>Although it is ideal to identify existing sources that would yield the information we seek (</w:t>
      </w:r>
      <w:r w:rsidRPr="00724C56">
        <w:rPr>
          <w:rFonts w:ascii="Times New Roman" w:hAnsi="Times New Roman"/>
        </w:rPr>
        <w:t>Barbazette</w:t>
      </w:r>
      <w:r w:rsidRPr="00724C56">
        <w:rPr>
          <w:rFonts w:ascii="Times New Roman" w:hAnsi="Times New Roman"/>
        </w:rPr>
        <w:t xml:space="preserve">, 2006), as reviewed, no national elder abuse victim services </w:t>
      </w:r>
      <w:r w:rsidRPr="00724C56">
        <w:rPr>
          <w:rFonts w:ascii="Times New Roman" w:hAnsi="Times New Roman"/>
        </w:rPr>
        <w:t>needs</w:t>
      </w:r>
      <w:r w:rsidRPr="00724C56">
        <w:rPr>
          <w:rFonts w:ascii="Times New Roman" w:hAnsi="Times New Roman"/>
        </w:rPr>
        <w:t xml:space="preserve"> assessment has been undertaken. This effort fills that gap. The goal of the national elder abuse victim services needs assessment is to gain insight in to how to best meet the needs of older victims of crime, and ultimately promote healing and better outcomes for older victims. In addition, it will reduce the need for unnecessary services thereby potentially reducing costs to local, </w:t>
      </w:r>
      <w:r w:rsidRPr="00724C56">
        <w:rPr>
          <w:rFonts w:ascii="Times New Roman" w:hAnsi="Times New Roman"/>
        </w:rPr>
        <w:t>state</w:t>
      </w:r>
      <w:r w:rsidRPr="00724C56">
        <w:rPr>
          <w:rFonts w:ascii="Times New Roman" w:hAnsi="Times New Roman"/>
        </w:rPr>
        <w:t xml:space="preserve"> and federal governments. This information will be solicited from victims themselves, professionals who serve those older victims, representatives of federal agencies with elder justice programming, and family and friends who are oftentimes instrumental in recovery and have a unique window into the needs of older victims. In addition, there are substantial and meaningful differences across subtypes of elder abuse in terms of prevalence (</w:t>
      </w:r>
      <w:r w:rsidRPr="00724C56">
        <w:rPr>
          <w:rFonts w:ascii="Times New Roman" w:hAnsi="Times New Roman"/>
        </w:rPr>
        <w:t>Acierno</w:t>
      </w:r>
      <w:r w:rsidRPr="00724C56">
        <w:rPr>
          <w:rFonts w:ascii="Times New Roman" w:hAnsi="Times New Roman"/>
        </w:rPr>
        <w:t xml:space="preserve"> et al., 2010; </w:t>
      </w:r>
      <w:r w:rsidRPr="00724C56">
        <w:rPr>
          <w:rFonts w:ascii="Times New Roman" w:hAnsi="Times New Roman"/>
        </w:rPr>
        <w:t>Laumann</w:t>
      </w:r>
      <w:r w:rsidRPr="00724C56">
        <w:rPr>
          <w:rFonts w:ascii="Times New Roman" w:hAnsi="Times New Roman"/>
        </w:rPr>
        <w:t xml:space="preserve"> et al., 2008; Williams et al., 2017), etiology (NIJ, 2013), risk factors (</w:t>
      </w:r>
      <w:r w:rsidRPr="00724C56">
        <w:rPr>
          <w:rFonts w:ascii="Times New Roman" w:hAnsi="Times New Roman"/>
        </w:rPr>
        <w:t>Acierno</w:t>
      </w:r>
      <w:r w:rsidRPr="00724C56">
        <w:rPr>
          <w:rFonts w:ascii="Times New Roman" w:hAnsi="Times New Roman"/>
        </w:rPr>
        <w:t xml:space="preserve"> et al., 2010; Dong, Simon, &amp; Evans, 2012; Gil et al., 2015), and services associated with adult protective services outcomes (Liu et al., 2022). Therefore, this study will identify the service needs of older victims for each subtype of elder abuse. Finally, victim needs vary from the incident to the investigation and prosecution phase (if any), and through to the recovery phase thereby necessitating the need to examine short- and long-term service needs (</w:t>
      </w:r>
      <w:r w:rsidRPr="00724C56">
        <w:rPr>
          <w:rFonts w:ascii="Times New Roman" w:hAnsi="Times New Roman"/>
        </w:rPr>
        <w:t>Olomi</w:t>
      </w:r>
      <w:r w:rsidRPr="00724C56">
        <w:rPr>
          <w:rFonts w:ascii="Times New Roman" w:hAnsi="Times New Roman"/>
        </w:rPr>
        <w:t xml:space="preserve">, Wright, </w:t>
      </w:r>
      <w:r w:rsidRPr="00724C56">
        <w:rPr>
          <w:rFonts w:ascii="Times New Roman" w:hAnsi="Times New Roman"/>
        </w:rPr>
        <w:t>Hasche</w:t>
      </w:r>
      <w:r w:rsidRPr="00724C56">
        <w:rPr>
          <w:rFonts w:ascii="Times New Roman" w:hAnsi="Times New Roman"/>
        </w:rPr>
        <w:t xml:space="preserve">, &amp; </w:t>
      </w:r>
      <w:r w:rsidRPr="00724C56">
        <w:rPr>
          <w:rFonts w:ascii="Times New Roman" w:hAnsi="Times New Roman"/>
        </w:rPr>
        <w:t>DePrince</w:t>
      </w:r>
      <w:r w:rsidRPr="00724C56">
        <w:rPr>
          <w:rFonts w:ascii="Times New Roman" w:hAnsi="Times New Roman"/>
        </w:rPr>
        <w:t xml:space="preserve">, 2019). Therefore, specific service needs across these three phases will be assessed.  </w:t>
      </w:r>
    </w:p>
    <w:p w:rsidR="00690F56" w:rsidRPr="00802A30" w:rsidP="0033578D" w14:paraId="6EBE63D5" w14:textId="6E488BF0">
      <w:pPr>
        <w:widowControl/>
        <w:rPr>
          <w:rFonts w:ascii="Times New Roman" w:hAnsi="Times New Roman"/>
        </w:rPr>
      </w:pPr>
      <w:r w:rsidRPr="00724C56">
        <w:rPr>
          <w:rFonts w:ascii="Times New Roman" w:hAnsi="Times New Roman"/>
        </w:rPr>
        <w:t xml:space="preserve">Upon completion of the project, a final report along with a set of recommendations will be made publicly available, in addition to research and practitioner briefs, webinars, and journal publications to ensure wide dissemination, enabling federal, </w:t>
      </w:r>
      <w:r w:rsidRPr="00724C56">
        <w:rPr>
          <w:rFonts w:ascii="Times New Roman" w:hAnsi="Times New Roman"/>
        </w:rPr>
        <w:t>state</w:t>
      </w:r>
      <w:r w:rsidRPr="00724C56">
        <w:rPr>
          <w:rFonts w:ascii="Times New Roman" w:hAnsi="Times New Roman"/>
        </w:rPr>
        <w:t xml:space="preserve"> and local entities to use this information to design or enhance their service delivery system for older victims. </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45D2D" w:rsidRPr="00A45D2D" w:rsidP="00A45D2D" w14:paraId="5C844D1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5D2D">
        <w:rPr>
          <w:rFonts w:ascii="Times New Roman" w:hAnsi="Times New Roman"/>
        </w:rPr>
        <w:t xml:space="preserve">As reviewed in Section A.1, this collection of information does not duplicate or collect similar information to other studies. In consulting with organizations and research partners with which the Elder Justice Initiative frequently interacts, and including a review of the existing literature, it has been determined that the information outlined in this data collection effort does not currently exist in a way that would serve the purpose of this information collection. The Bureau of Justice Statistics is undertaking a </w:t>
      </w:r>
      <w:hyperlink r:id="rId5" w:history="1">
        <w:r w:rsidRPr="00A45D2D">
          <w:rPr>
            <w:rStyle w:val="Hyperlink"/>
            <w:rFonts w:ascii="Times New Roman" w:hAnsi="Times New Roman"/>
          </w:rPr>
          <w:t>National Census of Victim Service Providers</w:t>
        </w:r>
      </w:hyperlink>
      <w:r w:rsidRPr="00A45D2D">
        <w:rPr>
          <w:rFonts w:ascii="Times New Roman" w:hAnsi="Times New Roman"/>
        </w:rPr>
        <w:t xml:space="preserve"> which is collecting data on all programs and organizations that serve victims of crime or abuse, and will include organizations serving elder abuse victims, but the data collection is at the organizational level and does not collect data on specific services nor what victims want in terms of services.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4B681FA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25F39" w:rsidRPr="00725F39" w:rsidP="00725F39" w14:paraId="46146D8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25F39">
        <w:rPr>
          <w:rFonts w:ascii="Times New Roman" w:hAnsi="Times New Roman"/>
        </w:rPr>
        <w:t xml:space="preserve">The survey of elder justice professionals and older victims and their family and friends will utilize survey software to disseminate the survey instrument and collect responses. The survey software selected will reduce the participation time burden for respondents, as it will allow them to respond remotely, during time that is convenient for them, and/or over multiple visits (i.e., respondents will not need to complete the survey in one session). The use of information technology for the surveys will reduce the financial burden because respondents will not incur any travel expenses in completing the tasks. The focus groups will be virtual, facilitating ease of participation.  </w:t>
      </w:r>
    </w:p>
    <w:p w:rsidR="00BF4A5F" w:rsidRPr="00A47DA7" w:rsidP="00690F56" w14:paraId="7493752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5EB5690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rPr>
      </w:pPr>
      <w:r w:rsidRPr="00CF66E2">
        <w:rPr>
          <w:rFonts w:ascii="Times New Roman" w:hAnsi="Times New Roman"/>
          <w:color w:val="000000"/>
        </w:rPr>
        <w:t xml:space="preserve">Data from surveys and focus groups will be collected only once, although survey respondents will be given a wide window in which to respond (e.g., up to 4 weeks), along with a weekly reminder.        </w:t>
      </w:r>
    </w:p>
    <w:p w:rsidR="00353EB5" w:rsidRPr="00A47DA7" w:rsidP="00690F56" w14:paraId="708C201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441E6A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76BBB">
        <w:rPr>
          <w:rFonts w:ascii="Times New Roman" w:hAnsi="Times New Roman"/>
        </w:rPr>
        <w:t>The information collection outlined herein contains no special circumstances and thus fully complies with the guidelines set forth in 5 CFR 1320.5.</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4431664E">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4E2D3F">
        <w:rPr>
          <w:rFonts w:ascii="Times New Roman" w:hAnsi="Times New Roman"/>
        </w:rPr>
        <w:t>October 5, 2022</w:t>
      </w:r>
      <w:r w:rsidRPr="00A2391E">
        <w:rPr>
          <w:rFonts w:ascii="Times New Roman" w:hAnsi="Times New Roman"/>
        </w:rPr>
        <w:t xml:space="preserve"> (</w:t>
      </w:r>
      <w:r w:rsidR="004E2D3F">
        <w:rPr>
          <w:rFonts w:ascii="Times New Roman" w:hAnsi="Times New Roman"/>
        </w:rPr>
        <w:t>87 FR 60709</w:t>
      </w:r>
      <w:r w:rsidRPr="00A2391E">
        <w:rPr>
          <w:rFonts w:ascii="Times New Roman" w:hAnsi="Times New Roman"/>
        </w:rPr>
        <w:t>). The comment period ended on</w:t>
      </w:r>
      <w:r w:rsidR="00EF4003">
        <w:rPr>
          <w:rFonts w:ascii="Times New Roman" w:hAnsi="Times New Roman"/>
        </w:rPr>
        <w:t xml:space="preserve"> December 5, 2022</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5CBF6F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06FEE">
        <w:rPr>
          <w:rFonts w:ascii="Times New Roman" w:hAnsi="Times New Roman"/>
        </w:rPr>
        <w:t xml:space="preserve">Elder justice professionals and older victims will receive a $5 gift card for participating in the survey and a $30 gift card for participating in a focus group in appreciation of their time. It is anticipated that 1000 elder justice professionals and 1500 older victims will participate in the surveys, for a total of $12,500 in gift cards. Up to 150 elder justice professionals and up to 150 </w:t>
      </w:r>
      <w:r w:rsidRPr="00306FEE">
        <w:rPr>
          <w:rFonts w:ascii="Times New Roman" w:hAnsi="Times New Roman"/>
        </w:rPr>
        <w:t>older victims will participate in focus groups, for a total of $9,000 in gift cards. No other participants (i.e., federal staff) in the national needs assessment will be compensated</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A779E" w:rsidP="00CA779E" w14:paraId="2C58770B" w14:textId="1F0C9E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A779E">
        <w:rPr>
          <w:rFonts w:ascii="Times New Roman" w:hAnsi="Times New Roman"/>
        </w:rPr>
        <w:t xml:space="preserve">Recruitment of elder justice professionals and older victims and their family and friends for surveys or focus groups will not be publicly advertised. Elder justice professionals identified through the Advisory Board networks will be provided with guidance, strategies, and protocols on engaging their clients in the study, determining eligibility, and implementing the referral process for interested clients. These referrals will include family and friends of older victims who supported the victim as they received services. </w:t>
      </w:r>
    </w:p>
    <w:p w:rsidR="0024284F" w:rsidRPr="00CA779E" w:rsidP="00CA779E" w14:paraId="421E76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A779E" w:rsidP="00CA779E" w14:paraId="58DBA9C1" w14:textId="25A5A0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A779E">
        <w:rPr>
          <w:rFonts w:ascii="Times New Roman" w:hAnsi="Times New Roman"/>
        </w:rPr>
        <w:t xml:space="preserve">Participants completing surveys will remain anonymous. Consent to participate is embedded in the recruitment correspondence. Survey respondents will not be asked to submit any personally identifying information connected to their response. All personally identifying information is voluntary and captured in a separate collector on the survey platform. All participants in the national elder abuse victim services needs assessment will be made fully aware of these parameters, confidentiality assurances, and will receive contact information for the Project Coordinator. No participant will be personally contacted after the conclusion of the project. All survey consent procedures are detailed in Appendix A and B. </w:t>
      </w:r>
    </w:p>
    <w:p w:rsidR="0024284F" w:rsidRPr="00CA779E" w:rsidP="00CA779E" w14:paraId="5E02C60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735B0" w:rsidP="00D735B0" w14:paraId="0AD89F5C" w14:textId="45F4A52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A779E">
        <w:rPr>
          <w:rFonts w:ascii="Times New Roman" w:hAnsi="Times New Roman"/>
        </w:rPr>
        <w:t xml:space="preserve">Focus group participants will read (or have read to them) and acknowledge informed consent forms. Focus group responses will be captured through an audio recording (if all participants agree), notetaking, and later transcribed. The transcriptions and notes will be saved on project drives with restricted access behind ICF’s firewall and, if relevant, locked in a file cabinet in a locked office at ICF for 5 years, at which time they will be destroyed. Transcripts will be retained in a similar </w:t>
      </w:r>
      <w:r w:rsidRPr="00CA779E">
        <w:rPr>
          <w:rFonts w:ascii="Times New Roman" w:hAnsi="Times New Roman"/>
        </w:rPr>
        <w:t>manner, but</w:t>
      </w:r>
      <w:r w:rsidRPr="00CA779E">
        <w:rPr>
          <w:rFonts w:ascii="Times New Roman" w:hAnsi="Times New Roman"/>
        </w:rPr>
        <w:t xml:space="preserve"> will contain no names or any personally identifying information (only a participant number) and will not be available to the public. Only project staff will have access to the transcriptions. The final report will only present aggregate information. All focus group consent procedures are detailed in Appendix C and D</w:t>
      </w:r>
      <w:r w:rsidRPr="00D735B0">
        <w:rPr>
          <w:rFonts w:ascii="Times New Roman" w:hAnsi="Times New Roman"/>
        </w:rPr>
        <w:t>.</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7D604B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256A7D" w:rsidP="00690F56" w14:paraId="724DF1FA" w14:textId="334902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56A7D" w:rsidRPr="00131841" w:rsidP="00690F56" w14:paraId="12E72F09" w14:textId="24289AC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31841">
        <w:rPr>
          <w:rFonts w:ascii="Times New Roman" w:hAnsi="Times New Roman"/>
        </w:rPr>
        <w:t>The best way to learn from victims about what they need to recover from their victimization is to ask them, their loved ones, and the professionals responsible for assisting them (</w:t>
      </w:r>
      <w:r w:rsidRPr="00131841">
        <w:rPr>
          <w:rFonts w:ascii="Times New Roman" w:hAnsi="Times New Roman"/>
        </w:rPr>
        <w:t>Olomi</w:t>
      </w:r>
      <w:r w:rsidRPr="00131841">
        <w:rPr>
          <w:rFonts w:ascii="Times New Roman" w:hAnsi="Times New Roman"/>
        </w:rPr>
        <w:t xml:space="preserve"> et al., 2019; Pritchard, 2000). ICF staff has extensive experience interviewing vulnerable populations as defined by Institutional Review Board guidelines. Victims often appreciate the opportunity to express their feelings about these sensitive issues and to be heard rather than feeling invisible. Empirical evidence supports the willingness of older adults to discuss these experiences </w:t>
      </w:r>
      <w:r w:rsidRPr="00131841">
        <w:rPr>
          <w:rFonts w:ascii="Times New Roman" w:hAnsi="Times New Roman"/>
        </w:rPr>
        <w:t xml:space="preserve">(Gagnon, </w:t>
      </w:r>
      <w:r w:rsidRPr="00131841">
        <w:rPr>
          <w:rFonts w:ascii="Times New Roman" w:hAnsi="Times New Roman"/>
        </w:rPr>
        <w:t>DePrince</w:t>
      </w:r>
      <w:r w:rsidRPr="00131841">
        <w:rPr>
          <w:rFonts w:ascii="Times New Roman" w:hAnsi="Times New Roman"/>
        </w:rPr>
        <w:t xml:space="preserve">, Srinivas, &amp; </w:t>
      </w:r>
      <w:r w:rsidRPr="00131841">
        <w:rPr>
          <w:rFonts w:ascii="Times New Roman" w:hAnsi="Times New Roman"/>
        </w:rPr>
        <w:t>Hasche</w:t>
      </w:r>
      <w:r w:rsidRPr="00131841">
        <w:rPr>
          <w:rFonts w:ascii="Times New Roman" w:hAnsi="Times New Roman"/>
        </w:rPr>
        <w:t xml:space="preserve">, 2015). Whether the experience of participating in a survey or focus group is perceived as distressing is anticipated to differ across the various samples participating in the study. Therefore, targeted responses to potential distress will be implemented. Older adults and their family and friends may find the questions regarding needed services </w:t>
      </w:r>
      <w:r w:rsidRPr="00131841">
        <w:rPr>
          <w:rFonts w:ascii="Times New Roman" w:hAnsi="Times New Roman"/>
        </w:rPr>
        <w:t>sensitive</w:t>
      </w:r>
      <w:r w:rsidRPr="00131841">
        <w:rPr>
          <w:rFonts w:ascii="Times New Roman" w:hAnsi="Times New Roman"/>
        </w:rPr>
        <w:t xml:space="preserve"> or it may trigger negative emotions. To address these concerns, as mentioned, recruitment of victims will occur through elder justice professionals. As part of this recruitment process, elder justice professionals are sensitive to who will be willing and able to participate and will limit their recruiting to those individuals. Further, older victims who might find participation overwhelming will likely decline to participate, but safeguards will be in place for those who agree to participate but find the experience upsetting (see Appendix B and D). For older adults, family and friends taking the survey, a link to the Elder Justice </w:t>
      </w:r>
      <w:hyperlink r:id="rId6" w:history="1">
        <w:r w:rsidRPr="00131841">
          <w:rPr>
            <w:rStyle w:val="Hyperlink"/>
            <w:rFonts w:ascii="Times New Roman" w:hAnsi="Times New Roman"/>
          </w:rPr>
          <w:t>Find Help or Report Abuse</w:t>
        </w:r>
      </w:hyperlink>
      <w:r w:rsidRPr="00131841">
        <w:rPr>
          <w:rFonts w:ascii="Times New Roman" w:hAnsi="Times New Roman"/>
        </w:rPr>
        <w:t xml:space="preserve"> webpage will be provided in the instructions, along with a clause indicating that they can stop the survey at any time for any reason. For older adults, family and friends participating in the focus group, the name and phone number of a victim specialist will be provided for their use at any time. Further, all participants will be reminded that they are free to end their participation at any point for any reason. Elder justice professionals completing the survey are not expected to perceive the questions as sensitiv</w:t>
      </w:r>
      <w:r w:rsidR="00524262">
        <w:rPr>
          <w:rFonts w:ascii="Times New Roman" w:hAnsi="Times New Roman"/>
        </w:rPr>
        <w:t>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02BD4AD4">
      <w:pPr>
        <w:ind w:left="720"/>
        <w:jc w:val="center"/>
        <w:rPr>
          <w:rFonts w:ascii="Times New Roman" w:hAnsi="Times New Roman"/>
          <w:i/>
        </w:rPr>
      </w:pPr>
      <w:r w:rsidRPr="00E60FB0">
        <w:rPr>
          <w:rFonts w:ascii="Times New Roman" w:hAnsi="Times New Roman"/>
          <w:b/>
        </w:rPr>
        <w:t xml:space="preserve"> Annualized Respondent Cost and Hour Burden</w:t>
      </w:r>
    </w:p>
    <w:tbl>
      <w:tblPr>
        <w:tblStyle w:val="TableGrid"/>
        <w:tblW w:w="7359" w:type="dxa"/>
        <w:jc w:val="center"/>
        <w:tblLook w:val="04A0"/>
      </w:tblPr>
      <w:tblGrid>
        <w:gridCol w:w="2590"/>
        <w:gridCol w:w="1415"/>
        <w:gridCol w:w="1219"/>
        <w:gridCol w:w="1182"/>
        <w:gridCol w:w="1097"/>
        <w:gridCol w:w="1005"/>
      </w:tblGrid>
      <w:tr w14:paraId="4AA59B92" w14:textId="77777777" w:rsidTr="00A11CC9">
        <w:tblPrEx>
          <w:tblW w:w="7359" w:type="dxa"/>
          <w:jc w:val="center"/>
          <w:tblLook w:val="04A0"/>
        </w:tblPrEx>
        <w:trPr>
          <w:jc w:val="center"/>
        </w:trPr>
        <w:tc>
          <w:tcPr>
            <w:tcW w:w="1496" w:type="dxa"/>
            <w:shd w:val="clear" w:color="auto" w:fill="ADB9CA" w:themeFill="text2" w:themeFillTint="66"/>
          </w:tcPr>
          <w:p w:rsidR="00A11CC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A11CC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A11CC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A11CC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A11CC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A11CC9" w:rsidRPr="008F47CB" w:rsidP="008C6A87" w14:paraId="4756C3F4" w14:textId="29A8C9A0">
            <w:pPr>
              <w:rPr>
                <w:rFonts w:ascii="Times New Roman" w:hAnsi="Times New Roman"/>
                <w:b/>
                <w:sz w:val="22"/>
                <w:szCs w:val="22"/>
              </w:rPr>
            </w:pPr>
            <w:r>
              <w:rPr>
                <w:rFonts w:ascii="Times New Roman" w:hAnsi="Times New Roman"/>
                <w:b/>
                <w:sz w:val="22"/>
                <w:szCs w:val="22"/>
              </w:rPr>
              <w:t>\</w:t>
            </w:r>
            <w:r w:rsidRPr="008F47CB">
              <w:rPr>
                <w:rFonts w:ascii="Times New Roman" w:hAnsi="Times New Roman"/>
                <w:b/>
                <w:sz w:val="22"/>
                <w:szCs w:val="22"/>
              </w:rPr>
              <w:t xml:space="preserve">Total Annual Burden </w:t>
            </w:r>
            <w:r w:rsidRPr="008F47CB">
              <w:rPr>
                <w:rFonts w:ascii="Times New Roman" w:hAnsi="Times New Roman"/>
                <w:b/>
                <w:sz w:val="22"/>
                <w:szCs w:val="22"/>
              </w:rPr>
              <w:t>(Hours)</w:t>
            </w:r>
          </w:p>
        </w:tc>
      </w:tr>
      <w:tr w14:paraId="079EF15D" w14:textId="77777777" w:rsidTr="00A11CC9">
        <w:tblPrEx>
          <w:tblW w:w="7359" w:type="dxa"/>
          <w:jc w:val="center"/>
          <w:tblLook w:val="04A0"/>
        </w:tblPrEx>
        <w:trPr>
          <w:jc w:val="center"/>
        </w:trPr>
        <w:tc>
          <w:tcPr>
            <w:tcW w:w="1496" w:type="dxa"/>
            <w:vAlign w:val="bottom"/>
          </w:tcPr>
          <w:p w:rsidR="00A11CC9" w:rsidRPr="008F47CB" w:rsidP="00220B96" w14:paraId="4E4E0FA6" w14:textId="444EE90B">
            <w:pPr>
              <w:rPr>
                <w:rFonts w:ascii="Times New Roman" w:hAnsi="Times New Roman"/>
                <w:sz w:val="22"/>
                <w:szCs w:val="22"/>
              </w:rPr>
            </w:pPr>
            <w:r w:rsidRPr="00CF66E2">
              <w:rPr>
                <w:rFonts w:ascii="Times New Roman" w:hAnsi="Times New Roman"/>
                <w:color w:val="000000"/>
              </w:rPr>
              <w:t>Surveys of Professionals</w:t>
            </w:r>
            <w:r w:rsidR="008E7177">
              <w:rPr>
                <w:rFonts w:ascii="Times New Roman" w:hAnsi="Times New Roman"/>
                <w:color w:val="000000"/>
              </w:rPr>
              <w:t xml:space="preserve"> </w:t>
            </w:r>
            <w:r w:rsidR="006502FD">
              <w:rPr>
                <w:rFonts w:ascii="Times New Roman" w:hAnsi="Times New Roman"/>
                <w:color w:val="000000"/>
              </w:rPr>
              <w:t>(Private Sector)</w:t>
            </w:r>
          </w:p>
        </w:tc>
        <w:tc>
          <w:tcPr>
            <w:tcW w:w="1415" w:type="dxa"/>
            <w:vAlign w:val="bottom"/>
          </w:tcPr>
          <w:p w:rsidR="00A11CC9" w:rsidRPr="008F47CB" w:rsidP="008C6A87" w14:paraId="23BB2474" w14:textId="75A9BF81">
            <w:pPr>
              <w:jc w:val="right"/>
              <w:rPr>
                <w:rFonts w:ascii="Times New Roman" w:hAnsi="Times New Roman"/>
                <w:sz w:val="22"/>
                <w:szCs w:val="22"/>
              </w:rPr>
            </w:pPr>
            <w:r>
              <w:rPr>
                <w:rFonts w:ascii="Times New Roman" w:hAnsi="Times New Roman"/>
                <w:sz w:val="22"/>
                <w:szCs w:val="22"/>
              </w:rPr>
              <w:t>1,000</w:t>
            </w:r>
          </w:p>
        </w:tc>
        <w:tc>
          <w:tcPr>
            <w:tcW w:w="1219" w:type="dxa"/>
            <w:vAlign w:val="bottom"/>
          </w:tcPr>
          <w:p w:rsidR="00A11CC9" w:rsidRPr="008F47CB" w:rsidP="00CC2127" w14:paraId="5D72451D" w14:textId="2626FAFD">
            <w:pPr>
              <w:jc w:val="center"/>
              <w:rPr>
                <w:rFonts w:ascii="Times New Roman" w:hAnsi="Times New Roman"/>
                <w:sz w:val="22"/>
                <w:szCs w:val="22"/>
              </w:rPr>
            </w:pPr>
            <w:r>
              <w:rPr>
                <w:rFonts w:ascii="Times New Roman" w:hAnsi="Times New Roman"/>
                <w:sz w:val="22"/>
                <w:szCs w:val="22"/>
              </w:rPr>
              <w:t>1</w:t>
            </w:r>
          </w:p>
        </w:tc>
        <w:tc>
          <w:tcPr>
            <w:tcW w:w="1182" w:type="dxa"/>
            <w:vAlign w:val="bottom"/>
          </w:tcPr>
          <w:p w:rsidR="00A11CC9" w:rsidRPr="008F47CB" w:rsidP="008C6A87" w14:paraId="03D2549D" w14:textId="0723D5BE">
            <w:pPr>
              <w:jc w:val="right"/>
              <w:rPr>
                <w:rFonts w:ascii="Times New Roman" w:hAnsi="Times New Roman"/>
                <w:sz w:val="22"/>
                <w:szCs w:val="22"/>
              </w:rPr>
            </w:pPr>
            <w:r>
              <w:rPr>
                <w:rFonts w:ascii="Times New Roman" w:hAnsi="Times New Roman"/>
                <w:sz w:val="22"/>
                <w:szCs w:val="22"/>
              </w:rPr>
              <w:t>1,000</w:t>
            </w:r>
          </w:p>
        </w:tc>
        <w:tc>
          <w:tcPr>
            <w:tcW w:w="1097" w:type="dxa"/>
            <w:vAlign w:val="bottom"/>
          </w:tcPr>
          <w:p w:rsidR="00A11CC9" w:rsidRPr="008F47CB" w:rsidP="008C6A87" w14:paraId="3704ADCE" w14:textId="1898C275">
            <w:pPr>
              <w:jc w:val="right"/>
              <w:rPr>
                <w:rFonts w:ascii="Times New Roman" w:hAnsi="Times New Roman"/>
                <w:sz w:val="22"/>
                <w:szCs w:val="22"/>
              </w:rPr>
            </w:pPr>
            <w:r>
              <w:rPr>
                <w:rFonts w:ascii="Times New Roman" w:hAnsi="Times New Roman"/>
                <w:sz w:val="22"/>
                <w:szCs w:val="22"/>
              </w:rPr>
              <w:t>20min</w:t>
            </w:r>
          </w:p>
        </w:tc>
        <w:tc>
          <w:tcPr>
            <w:tcW w:w="950" w:type="dxa"/>
            <w:vAlign w:val="bottom"/>
          </w:tcPr>
          <w:p w:rsidR="00A11CC9" w:rsidRPr="008F47CB" w:rsidP="008C6A87" w14:paraId="498C761A" w14:textId="06B0F7A8">
            <w:pPr>
              <w:jc w:val="right"/>
              <w:rPr>
                <w:rFonts w:ascii="Times New Roman" w:hAnsi="Times New Roman"/>
                <w:sz w:val="22"/>
                <w:szCs w:val="22"/>
              </w:rPr>
            </w:pPr>
            <w:r>
              <w:rPr>
                <w:rFonts w:ascii="Times New Roman" w:hAnsi="Times New Roman"/>
                <w:sz w:val="22"/>
                <w:szCs w:val="22"/>
              </w:rPr>
              <w:t>333hrs</w:t>
            </w:r>
          </w:p>
        </w:tc>
      </w:tr>
      <w:tr w14:paraId="28A27403" w14:textId="77777777" w:rsidTr="00A11CC9">
        <w:tblPrEx>
          <w:tblW w:w="7359" w:type="dxa"/>
          <w:jc w:val="center"/>
          <w:tblLook w:val="04A0"/>
        </w:tblPrEx>
        <w:trPr>
          <w:jc w:val="center"/>
        </w:trPr>
        <w:tc>
          <w:tcPr>
            <w:tcW w:w="1496" w:type="dxa"/>
            <w:vAlign w:val="bottom"/>
          </w:tcPr>
          <w:p w:rsidR="00A11CC9" w:rsidRPr="008F47CB" w:rsidP="00220B96" w14:paraId="779E4025" w14:textId="16A4A47A">
            <w:pPr>
              <w:rPr>
                <w:rFonts w:ascii="Times New Roman" w:hAnsi="Times New Roman"/>
                <w:sz w:val="22"/>
                <w:szCs w:val="22"/>
              </w:rPr>
            </w:pPr>
            <w:r w:rsidRPr="00CF66E2">
              <w:rPr>
                <w:rFonts w:ascii="Times New Roman" w:hAnsi="Times New Roman"/>
                <w:color w:val="000000"/>
              </w:rPr>
              <w:t>Surveys of Victi</w:t>
            </w:r>
            <w:r w:rsidR="006502FD">
              <w:rPr>
                <w:rFonts w:ascii="Times New Roman" w:hAnsi="Times New Roman"/>
                <w:color w:val="000000"/>
              </w:rPr>
              <w:t>ms (individuals/households)</w:t>
            </w:r>
          </w:p>
        </w:tc>
        <w:tc>
          <w:tcPr>
            <w:tcW w:w="1415" w:type="dxa"/>
            <w:vAlign w:val="bottom"/>
          </w:tcPr>
          <w:p w:rsidR="00A11CC9" w:rsidRPr="008F47CB" w:rsidP="008C6A87" w14:paraId="0D0FB099" w14:textId="65F88E8D">
            <w:pPr>
              <w:jc w:val="right"/>
              <w:rPr>
                <w:rFonts w:ascii="Times New Roman" w:hAnsi="Times New Roman"/>
                <w:sz w:val="22"/>
                <w:szCs w:val="22"/>
              </w:rPr>
            </w:pPr>
            <w:r>
              <w:rPr>
                <w:rFonts w:ascii="Times New Roman" w:hAnsi="Times New Roman"/>
                <w:sz w:val="22"/>
                <w:szCs w:val="22"/>
              </w:rPr>
              <w:t>1,500</w:t>
            </w:r>
          </w:p>
        </w:tc>
        <w:tc>
          <w:tcPr>
            <w:tcW w:w="1219" w:type="dxa"/>
            <w:vAlign w:val="bottom"/>
          </w:tcPr>
          <w:p w:rsidR="00A11CC9" w:rsidRPr="008F47CB" w:rsidP="00CC2127" w14:paraId="2DF69973" w14:textId="0B819DF4">
            <w:pPr>
              <w:jc w:val="center"/>
              <w:rPr>
                <w:rFonts w:ascii="Times New Roman" w:hAnsi="Times New Roman"/>
                <w:sz w:val="22"/>
                <w:szCs w:val="22"/>
              </w:rPr>
            </w:pPr>
            <w:r>
              <w:rPr>
                <w:rFonts w:ascii="Times New Roman" w:hAnsi="Times New Roman"/>
                <w:sz w:val="22"/>
                <w:szCs w:val="22"/>
              </w:rPr>
              <w:t>1</w:t>
            </w:r>
          </w:p>
        </w:tc>
        <w:tc>
          <w:tcPr>
            <w:tcW w:w="1182" w:type="dxa"/>
            <w:vAlign w:val="bottom"/>
          </w:tcPr>
          <w:p w:rsidR="00A11CC9" w:rsidRPr="008F47CB" w:rsidP="008C6A87" w14:paraId="6869AFA2" w14:textId="4DDD3291">
            <w:pPr>
              <w:jc w:val="right"/>
              <w:rPr>
                <w:rFonts w:ascii="Times New Roman" w:hAnsi="Times New Roman"/>
                <w:sz w:val="22"/>
                <w:szCs w:val="22"/>
              </w:rPr>
            </w:pPr>
            <w:r>
              <w:rPr>
                <w:rFonts w:ascii="Times New Roman" w:hAnsi="Times New Roman"/>
                <w:sz w:val="22"/>
                <w:szCs w:val="22"/>
              </w:rPr>
              <w:t>1,500</w:t>
            </w:r>
          </w:p>
        </w:tc>
        <w:tc>
          <w:tcPr>
            <w:tcW w:w="1097" w:type="dxa"/>
            <w:vAlign w:val="bottom"/>
          </w:tcPr>
          <w:p w:rsidR="00A11CC9" w:rsidRPr="008F47CB" w:rsidP="008C6A87" w14:paraId="3983D868" w14:textId="7F34196C">
            <w:pPr>
              <w:jc w:val="right"/>
              <w:rPr>
                <w:rFonts w:ascii="Times New Roman" w:hAnsi="Times New Roman"/>
                <w:sz w:val="22"/>
                <w:szCs w:val="22"/>
              </w:rPr>
            </w:pPr>
            <w:r>
              <w:rPr>
                <w:rFonts w:ascii="Times New Roman" w:hAnsi="Times New Roman"/>
                <w:sz w:val="22"/>
                <w:szCs w:val="22"/>
              </w:rPr>
              <w:t>10min</w:t>
            </w:r>
          </w:p>
        </w:tc>
        <w:tc>
          <w:tcPr>
            <w:tcW w:w="950" w:type="dxa"/>
            <w:vAlign w:val="bottom"/>
          </w:tcPr>
          <w:p w:rsidR="00A11CC9" w:rsidRPr="008F47CB" w:rsidP="008C6A87" w14:paraId="1211DF9B" w14:textId="23BE0F07">
            <w:pPr>
              <w:jc w:val="right"/>
              <w:rPr>
                <w:rFonts w:ascii="Times New Roman" w:hAnsi="Times New Roman"/>
                <w:sz w:val="22"/>
                <w:szCs w:val="22"/>
              </w:rPr>
            </w:pPr>
            <w:r>
              <w:rPr>
                <w:rFonts w:ascii="Times New Roman" w:hAnsi="Times New Roman"/>
                <w:sz w:val="22"/>
                <w:szCs w:val="22"/>
              </w:rPr>
              <w:t>250hrs</w:t>
            </w:r>
          </w:p>
        </w:tc>
      </w:tr>
      <w:tr w14:paraId="7117E8A9" w14:textId="77777777" w:rsidTr="00A11CC9">
        <w:tblPrEx>
          <w:tblW w:w="7359" w:type="dxa"/>
          <w:jc w:val="center"/>
          <w:tblLook w:val="04A0"/>
        </w:tblPrEx>
        <w:trPr>
          <w:jc w:val="center"/>
        </w:trPr>
        <w:tc>
          <w:tcPr>
            <w:tcW w:w="1496" w:type="dxa"/>
            <w:vAlign w:val="bottom"/>
          </w:tcPr>
          <w:p w:rsidR="00A11CC9" w:rsidRPr="008F47CB" w:rsidP="00220B96" w14:paraId="7B495C05" w14:textId="2E5234E6">
            <w:pPr>
              <w:rPr>
                <w:rFonts w:ascii="Times New Roman" w:hAnsi="Times New Roman"/>
                <w:sz w:val="22"/>
                <w:szCs w:val="22"/>
              </w:rPr>
            </w:pPr>
            <w:r w:rsidRPr="00CF66E2">
              <w:rPr>
                <w:rFonts w:ascii="Times New Roman" w:hAnsi="Times New Roman"/>
                <w:color w:val="000000"/>
              </w:rPr>
              <w:t>Focus Groups</w:t>
            </w:r>
            <w:r w:rsidR="00C50A35">
              <w:rPr>
                <w:rFonts w:ascii="Times New Roman" w:hAnsi="Times New Roman"/>
                <w:color w:val="000000"/>
              </w:rPr>
              <w:t xml:space="preserve"> (Private Sector</w:t>
            </w:r>
            <w:r w:rsidR="001838A7">
              <w:rPr>
                <w:rFonts w:ascii="Times New Roman" w:hAnsi="Times New Roman"/>
                <w:color w:val="000000"/>
              </w:rPr>
              <w:t>)</w:t>
            </w:r>
          </w:p>
        </w:tc>
        <w:tc>
          <w:tcPr>
            <w:tcW w:w="1415" w:type="dxa"/>
            <w:vAlign w:val="bottom"/>
          </w:tcPr>
          <w:p w:rsidR="00A11CC9" w:rsidRPr="008F47CB" w:rsidP="008C6A87" w14:paraId="485C3037" w14:textId="082D74F1">
            <w:pPr>
              <w:jc w:val="right"/>
              <w:rPr>
                <w:rFonts w:ascii="Times New Roman" w:hAnsi="Times New Roman"/>
                <w:sz w:val="22"/>
                <w:szCs w:val="22"/>
              </w:rPr>
            </w:pPr>
            <w:r>
              <w:rPr>
                <w:rFonts w:ascii="Times New Roman" w:hAnsi="Times New Roman"/>
                <w:sz w:val="22"/>
                <w:szCs w:val="22"/>
              </w:rPr>
              <w:t>10</w:t>
            </w:r>
            <w:r w:rsidR="00222799">
              <w:rPr>
                <w:rFonts w:ascii="Times New Roman" w:hAnsi="Times New Roman"/>
                <w:sz w:val="22"/>
                <w:szCs w:val="22"/>
              </w:rPr>
              <w:t>0</w:t>
            </w:r>
          </w:p>
        </w:tc>
        <w:tc>
          <w:tcPr>
            <w:tcW w:w="1219" w:type="dxa"/>
            <w:vAlign w:val="bottom"/>
          </w:tcPr>
          <w:p w:rsidR="00A11CC9" w:rsidRPr="008F47CB" w:rsidP="00CC2127" w14:paraId="13B28653" w14:textId="430A4C92">
            <w:pPr>
              <w:jc w:val="center"/>
              <w:rPr>
                <w:rFonts w:ascii="Times New Roman" w:hAnsi="Times New Roman"/>
                <w:sz w:val="22"/>
                <w:szCs w:val="22"/>
              </w:rPr>
            </w:pPr>
            <w:r>
              <w:rPr>
                <w:rFonts w:ascii="Times New Roman" w:hAnsi="Times New Roman"/>
                <w:sz w:val="22"/>
                <w:szCs w:val="22"/>
              </w:rPr>
              <w:t>1</w:t>
            </w:r>
          </w:p>
        </w:tc>
        <w:tc>
          <w:tcPr>
            <w:tcW w:w="1182" w:type="dxa"/>
            <w:vAlign w:val="bottom"/>
          </w:tcPr>
          <w:p w:rsidR="00A11CC9" w:rsidRPr="008F47CB" w:rsidP="008C6A87" w14:paraId="42D7D78C" w14:textId="5A966FBF">
            <w:pPr>
              <w:jc w:val="right"/>
              <w:rPr>
                <w:rFonts w:ascii="Times New Roman" w:hAnsi="Times New Roman"/>
                <w:sz w:val="22"/>
                <w:szCs w:val="22"/>
              </w:rPr>
            </w:pPr>
            <w:r>
              <w:rPr>
                <w:rFonts w:ascii="Times New Roman" w:hAnsi="Times New Roman"/>
                <w:sz w:val="22"/>
                <w:szCs w:val="22"/>
              </w:rPr>
              <w:t>300</w:t>
            </w:r>
          </w:p>
        </w:tc>
        <w:tc>
          <w:tcPr>
            <w:tcW w:w="1097" w:type="dxa"/>
            <w:vAlign w:val="bottom"/>
          </w:tcPr>
          <w:p w:rsidR="00A11CC9" w:rsidRPr="008F47CB" w:rsidP="008C6A87" w14:paraId="6D74F4F1" w14:textId="0B144063">
            <w:pPr>
              <w:jc w:val="right"/>
              <w:rPr>
                <w:rFonts w:ascii="Times New Roman" w:hAnsi="Times New Roman"/>
                <w:sz w:val="22"/>
                <w:szCs w:val="22"/>
              </w:rPr>
            </w:pPr>
            <w:r>
              <w:rPr>
                <w:rFonts w:ascii="Times New Roman" w:hAnsi="Times New Roman"/>
                <w:sz w:val="22"/>
                <w:szCs w:val="22"/>
              </w:rPr>
              <w:t>90min</w:t>
            </w:r>
          </w:p>
        </w:tc>
        <w:tc>
          <w:tcPr>
            <w:tcW w:w="950" w:type="dxa"/>
            <w:vAlign w:val="bottom"/>
          </w:tcPr>
          <w:p w:rsidR="00A11CC9" w:rsidRPr="008F47CB" w:rsidP="008C6A87" w14:paraId="3AE5AEA6" w14:textId="6071EBC3">
            <w:pPr>
              <w:jc w:val="right"/>
              <w:rPr>
                <w:rFonts w:ascii="Times New Roman" w:hAnsi="Times New Roman"/>
                <w:sz w:val="22"/>
                <w:szCs w:val="22"/>
              </w:rPr>
            </w:pPr>
            <w:r>
              <w:rPr>
                <w:rFonts w:ascii="Times New Roman" w:hAnsi="Times New Roman"/>
                <w:sz w:val="22"/>
                <w:szCs w:val="22"/>
              </w:rPr>
              <w:t>15</w:t>
            </w:r>
            <w:r w:rsidR="00600959">
              <w:rPr>
                <w:rFonts w:ascii="Times New Roman" w:hAnsi="Times New Roman"/>
                <w:sz w:val="22"/>
                <w:szCs w:val="22"/>
              </w:rPr>
              <w:t>0hrs</w:t>
            </w:r>
          </w:p>
        </w:tc>
      </w:tr>
      <w:tr w14:paraId="279E8741" w14:textId="77777777" w:rsidTr="00A11CC9">
        <w:tblPrEx>
          <w:tblW w:w="7359" w:type="dxa"/>
          <w:jc w:val="center"/>
          <w:tblLook w:val="04A0"/>
        </w:tblPrEx>
        <w:trPr>
          <w:jc w:val="center"/>
        </w:trPr>
        <w:tc>
          <w:tcPr>
            <w:tcW w:w="1496" w:type="dxa"/>
          </w:tcPr>
          <w:p w:rsidR="00C50A35" w:rsidRPr="008F47CB" w:rsidP="00501A15" w14:paraId="3287C64F" w14:textId="29F4586B">
            <w:pPr>
              <w:rPr>
                <w:rFonts w:ascii="Times New Roman" w:hAnsi="Times New Roman"/>
                <w:b/>
                <w:i/>
                <w:sz w:val="22"/>
                <w:szCs w:val="22"/>
              </w:rPr>
            </w:pPr>
            <w:r w:rsidRPr="00CF66E2">
              <w:rPr>
                <w:rFonts w:ascii="Times New Roman" w:hAnsi="Times New Roman"/>
                <w:color w:val="000000"/>
              </w:rPr>
              <w:t>Focus Groups</w:t>
            </w:r>
            <w:r>
              <w:rPr>
                <w:rFonts w:ascii="Times New Roman" w:hAnsi="Times New Roman"/>
                <w:color w:val="000000"/>
              </w:rPr>
              <w:t xml:space="preserve"> (individuals or households)</w:t>
            </w:r>
          </w:p>
        </w:tc>
        <w:tc>
          <w:tcPr>
            <w:tcW w:w="1415" w:type="dxa"/>
            <w:vAlign w:val="bottom"/>
          </w:tcPr>
          <w:p w:rsidR="00C50A35" w:rsidRPr="00CC2127" w:rsidP="00501A15" w14:paraId="1DCF9AF2" w14:textId="40D362D6">
            <w:pPr>
              <w:jc w:val="right"/>
              <w:rPr>
                <w:rFonts w:ascii="Times New Roman" w:hAnsi="Times New Roman"/>
                <w:bCs/>
                <w:iCs/>
                <w:sz w:val="22"/>
                <w:szCs w:val="22"/>
              </w:rPr>
            </w:pPr>
            <w:r w:rsidRPr="00CC2127">
              <w:rPr>
                <w:rFonts w:ascii="Times New Roman" w:hAnsi="Times New Roman"/>
                <w:bCs/>
                <w:iCs/>
                <w:sz w:val="22"/>
                <w:szCs w:val="22"/>
              </w:rPr>
              <w:t>200</w:t>
            </w:r>
          </w:p>
        </w:tc>
        <w:tc>
          <w:tcPr>
            <w:tcW w:w="1219" w:type="dxa"/>
            <w:vAlign w:val="bottom"/>
          </w:tcPr>
          <w:p w:rsidR="00C50A35" w:rsidRPr="00CC2127" w:rsidP="00CC2127" w14:paraId="4077EC03" w14:textId="6651A19A">
            <w:pPr>
              <w:jc w:val="center"/>
              <w:rPr>
                <w:rFonts w:ascii="Times New Roman" w:hAnsi="Times New Roman"/>
                <w:bCs/>
                <w:iCs/>
                <w:sz w:val="22"/>
                <w:szCs w:val="22"/>
              </w:rPr>
            </w:pPr>
            <w:r w:rsidRPr="00CC2127">
              <w:rPr>
                <w:rFonts w:ascii="Times New Roman" w:hAnsi="Times New Roman"/>
                <w:bCs/>
                <w:iCs/>
                <w:sz w:val="22"/>
                <w:szCs w:val="22"/>
              </w:rPr>
              <w:t>1</w:t>
            </w:r>
          </w:p>
        </w:tc>
        <w:tc>
          <w:tcPr>
            <w:tcW w:w="1182" w:type="dxa"/>
            <w:vAlign w:val="bottom"/>
          </w:tcPr>
          <w:p w:rsidR="00C50A35" w:rsidRPr="00CC2127" w:rsidP="00501A15" w14:paraId="53A60E79" w14:textId="3453C3C9">
            <w:pPr>
              <w:jc w:val="right"/>
              <w:rPr>
                <w:rFonts w:ascii="Times New Roman" w:hAnsi="Times New Roman"/>
                <w:bCs/>
                <w:iCs/>
                <w:sz w:val="22"/>
                <w:szCs w:val="22"/>
              </w:rPr>
            </w:pPr>
            <w:r w:rsidRPr="00CC2127">
              <w:rPr>
                <w:rFonts w:ascii="Times New Roman" w:hAnsi="Times New Roman"/>
                <w:bCs/>
                <w:iCs/>
                <w:sz w:val="22"/>
                <w:szCs w:val="22"/>
              </w:rPr>
              <w:t>200</w:t>
            </w:r>
          </w:p>
        </w:tc>
        <w:tc>
          <w:tcPr>
            <w:tcW w:w="1097" w:type="dxa"/>
            <w:vAlign w:val="bottom"/>
          </w:tcPr>
          <w:p w:rsidR="00C50A35" w:rsidRPr="00CC2127" w:rsidP="00501A15" w14:paraId="24861A91" w14:textId="774B83D3">
            <w:pPr>
              <w:jc w:val="right"/>
              <w:rPr>
                <w:rFonts w:ascii="Times New Roman" w:hAnsi="Times New Roman"/>
                <w:bCs/>
                <w:iCs/>
                <w:sz w:val="22"/>
                <w:szCs w:val="22"/>
              </w:rPr>
            </w:pPr>
            <w:r w:rsidRPr="00CC2127">
              <w:rPr>
                <w:rFonts w:ascii="Times New Roman" w:hAnsi="Times New Roman"/>
                <w:bCs/>
                <w:iCs/>
                <w:sz w:val="22"/>
                <w:szCs w:val="22"/>
              </w:rPr>
              <w:t>90min</w:t>
            </w:r>
          </w:p>
        </w:tc>
        <w:tc>
          <w:tcPr>
            <w:tcW w:w="950" w:type="dxa"/>
            <w:vAlign w:val="bottom"/>
          </w:tcPr>
          <w:p w:rsidR="00C50A35" w:rsidRPr="00CC2127" w:rsidP="00501A15" w14:paraId="47B5E1A6" w14:textId="27C1B678">
            <w:pPr>
              <w:jc w:val="right"/>
              <w:rPr>
                <w:rFonts w:ascii="Times New Roman" w:hAnsi="Times New Roman"/>
                <w:bCs/>
                <w:iCs/>
                <w:sz w:val="22"/>
                <w:szCs w:val="22"/>
              </w:rPr>
            </w:pPr>
            <w:r w:rsidRPr="00CC2127">
              <w:rPr>
                <w:rFonts w:ascii="Times New Roman" w:hAnsi="Times New Roman"/>
                <w:bCs/>
                <w:iCs/>
                <w:sz w:val="22"/>
                <w:szCs w:val="22"/>
              </w:rPr>
              <w:t>300hrs</w:t>
            </w:r>
          </w:p>
        </w:tc>
      </w:tr>
      <w:tr w14:paraId="578B68EB" w14:textId="77777777" w:rsidTr="00A11CC9">
        <w:tblPrEx>
          <w:tblW w:w="7359" w:type="dxa"/>
          <w:jc w:val="center"/>
          <w:tblLook w:val="04A0"/>
        </w:tblPrEx>
        <w:trPr>
          <w:jc w:val="center"/>
        </w:trPr>
        <w:tc>
          <w:tcPr>
            <w:tcW w:w="1496" w:type="dxa"/>
          </w:tcPr>
          <w:p w:rsidR="00A11CC9"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A11CC9" w:rsidRPr="008F47CB" w:rsidP="00501A15" w14:paraId="32AB6B8A" w14:textId="15031715">
            <w:pPr>
              <w:jc w:val="right"/>
              <w:rPr>
                <w:rFonts w:ascii="Times New Roman" w:hAnsi="Times New Roman"/>
                <w:b/>
                <w:i/>
                <w:sz w:val="22"/>
                <w:szCs w:val="22"/>
              </w:rPr>
            </w:pPr>
            <w:r>
              <w:rPr>
                <w:rFonts w:ascii="Times New Roman" w:hAnsi="Times New Roman"/>
                <w:b/>
                <w:i/>
                <w:sz w:val="22"/>
                <w:szCs w:val="22"/>
              </w:rPr>
              <w:t>2,800</w:t>
            </w:r>
          </w:p>
        </w:tc>
        <w:tc>
          <w:tcPr>
            <w:tcW w:w="1219" w:type="dxa"/>
            <w:vAlign w:val="bottom"/>
          </w:tcPr>
          <w:p w:rsidR="00A11CC9" w:rsidRPr="008F47CB" w:rsidP="00CC2127" w14:paraId="75495CB4" w14:textId="7C6FC44B">
            <w:pPr>
              <w:jc w:val="center"/>
              <w:rPr>
                <w:rFonts w:ascii="Times New Roman" w:hAnsi="Times New Roman"/>
                <w:b/>
                <w:i/>
                <w:sz w:val="22"/>
                <w:szCs w:val="22"/>
              </w:rPr>
            </w:pPr>
          </w:p>
        </w:tc>
        <w:tc>
          <w:tcPr>
            <w:tcW w:w="1182" w:type="dxa"/>
            <w:vAlign w:val="bottom"/>
          </w:tcPr>
          <w:p w:rsidR="00A11CC9" w:rsidRPr="008F47CB" w:rsidP="00501A15" w14:paraId="1A7661D9" w14:textId="255107FE">
            <w:pPr>
              <w:jc w:val="right"/>
              <w:rPr>
                <w:rFonts w:ascii="Times New Roman" w:hAnsi="Times New Roman"/>
                <w:b/>
                <w:i/>
                <w:sz w:val="22"/>
                <w:szCs w:val="22"/>
              </w:rPr>
            </w:pPr>
            <w:r>
              <w:rPr>
                <w:rFonts w:ascii="Times New Roman" w:hAnsi="Times New Roman"/>
                <w:b/>
                <w:i/>
                <w:sz w:val="22"/>
                <w:szCs w:val="22"/>
              </w:rPr>
              <w:t>2,800</w:t>
            </w:r>
          </w:p>
        </w:tc>
        <w:tc>
          <w:tcPr>
            <w:tcW w:w="1097" w:type="dxa"/>
            <w:vAlign w:val="bottom"/>
          </w:tcPr>
          <w:p w:rsidR="00A11CC9" w:rsidRPr="008F47CB" w:rsidP="00501A15" w14:paraId="4A94906E" w14:textId="66CA6502">
            <w:pPr>
              <w:jc w:val="right"/>
              <w:rPr>
                <w:rFonts w:ascii="Times New Roman" w:hAnsi="Times New Roman"/>
                <w:b/>
                <w:i/>
                <w:sz w:val="22"/>
                <w:szCs w:val="22"/>
              </w:rPr>
            </w:pPr>
          </w:p>
        </w:tc>
        <w:tc>
          <w:tcPr>
            <w:tcW w:w="950" w:type="dxa"/>
            <w:vAlign w:val="bottom"/>
          </w:tcPr>
          <w:p w:rsidR="00A11CC9" w:rsidRPr="008F47CB" w:rsidP="00501A15" w14:paraId="4075BA8E" w14:textId="09660C3B">
            <w:pPr>
              <w:jc w:val="right"/>
              <w:rPr>
                <w:rFonts w:ascii="Times New Roman" w:hAnsi="Times New Roman"/>
                <w:b/>
                <w:i/>
                <w:sz w:val="22"/>
                <w:szCs w:val="22"/>
              </w:rPr>
            </w:pPr>
            <w:r>
              <w:rPr>
                <w:rFonts w:ascii="Times New Roman" w:hAnsi="Times New Roman"/>
                <w:b/>
                <w:i/>
                <w:sz w:val="22"/>
                <w:szCs w:val="22"/>
              </w:rPr>
              <w:t>1,033hrs</w:t>
            </w:r>
          </w:p>
        </w:tc>
      </w:tr>
    </w:tbl>
    <w:p w:rsidR="00D472BE" w:rsidRPr="00F72D66" w:rsidP="00E60FB0" w14:paraId="1758C1F3" w14:textId="774F862F">
      <w:pPr>
        <w:widowControl/>
        <w:autoSpaceDE/>
        <w:autoSpaceDN/>
        <w:adjustRightInd/>
        <w:rPr>
          <w:rFonts w:ascii="Times New Roman" w:hAnsi="Times New Roman"/>
          <w:highlight w:val="yellow"/>
        </w:rPr>
      </w:pPr>
      <w:r>
        <w:rPr>
          <w:rFonts w:ascii="Times New Roman" w:hAnsi="Times New Roman"/>
          <w:highlight w:val="yellow"/>
        </w:rPr>
        <w:t xml:space="preserve"> </w:t>
      </w: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340BF8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70044" w:rsidP="00690F56" w14:paraId="322E54DA" w14:textId="0BE444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06FEE">
        <w:rPr>
          <w:rFonts w:ascii="Times New Roman" w:hAnsi="Times New Roman"/>
        </w:rPr>
        <w:t xml:space="preserve">Elder justice professionals and older victims will receive a $5 gift card for participating in the survey and a $30 gift card for participating in a focus group in appreciation of their time. It is </w:t>
      </w:r>
      <w:r w:rsidRPr="00306FEE">
        <w:rPr>
          <w:rFonts w:ascii="Times New Roman" w:hAnsi="Times New Roman"/>
        </w:rPr>
        <w:t>anticipated that 1000 elder justice professionals and 1500 older victims will participate in the surveys, for a total of $12,500 in gift cards. Up to 150 elder justice professionals and up to 150 older victims will participate in focus groups, for a total of $9,000 in gift cards. No other participants (i.e., federal staff) in the national needs assessment will be compensated</w:t>
      </w:r>
      <w:r w:rsidRPr="00262716">
        <w:rPr>
          <w:rFonts w:ascii="Times New Roman" w:hAnsi="Times New Roman"/>
        </w:rPr>
        <w:t>.</w:t>
      </w:r>
    </w:p>
    <w:p w:rsidR="0093663E" w:rsidP="00690F56" w14:paraId="09B1AB15" w14:textId="408970E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1956" w:rsidRPr="00E41956" w:rsidP="00E41956" w14:paraId="73BCD7F5" w14:textId="58F558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E41956">
        <w:rPr>
          <w:rFonts w:ascii="Times New Roman" w:hAnsi="Times New Roman"/>
          <w:b/>
          <w:bCs/>
        </w:rPr>
        <w:t>Total Annual Cost Burden</w:t>
      </w:r>
    </w:p>
    <w:tbl>
      <w:tblPr>
        <w:tblStyle w:val="TableGrid"/>
        <w:tblW w:w="5845" w:type="dxa"/>
        <w:jc w:val="center"/>
        <w:tblLook w:val="04A0"/>
      </w:tblPr>
      <w:tblGrid>
        <w:gridCol w:w="1441"/>
        <w:gridCol w:w="1415"/>
        <w:gridCol w:w="1097"/>
        <w:gridCol w:w="1892"/>
      </w:tblGrid>
      <w:tr w14:paraId="531FE2CF" w14:textId="77777777" w:rsidTr="00685295">
        <w:tblPrEx>
          <w:tblW w:w="5845" w:type="dxa"/>
          <w:jc w:val="center"/>
          <w:tblLook w:val="04A0"/>
        </w:tblPrEx>
        <w:trPr>
          <w:jc w:val="center"/>
        </w:trPr>
        <w:tc>
          <w:tcPr>
            <w:tcW w:w="1441" w:type="dxa"/>
            <w:shd w:val="clear" w:color="auto" w:fill="ADB9CA" w:themeFill="text2" w:themeFillTint="66"/>
          </w:tcPr>
          <w:p w:rsidR="00E37293" w:rsidRPr="008F47CB" w:rsidP="006F284A" w14:paraId="439D9F27"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E37293" w:rsidRPr="008F47CB" w:rsidP="006F284A" w14:paraId="10EF75E9"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097" w:type="dxa"/>
            <w:shd w:val="clear" w:color="auto" w:fill="ADB9CA" w:themeFill="text2" w:themeFillTint="66"/>
          </w:tcPr>
          <w:p w:rsidR="00E37293" w:rsidRPr="008F47CB" w:rsidP="006F284A" w14:paraId="6E7DD712" w14:textId="77777777">
            <w:pPr>
              <w:rPr>
                <w:rFonts w:ascii="Times New Roman" w:hAnsi="Times New Roman"/>
                <w:b/>
                <w:sz w:val="22"/>
                <w:szCs w:val="22"/>
              </w:rPr>
            </w:pPr>
            <w:r w:rsidRPr="008F47CB">
              <w:rPr>
                <w:rFonts w:ascii="Times New Roman" w:hAnsi="Times New Roman"/>
                <w:b/>
                <w:sz w:val="22"/>
                <w:szCs w:val="22"/>
              </w:rPr>
              <w:t>Time Per Response</w:t>
            </w:r>
          </w:p>
        </w:tc>
        <w:tc>
          <w:tcPr>
            <w:tcW w:w="1892" w:type="dxa"/>
            <w:shd w:val="clear" w:color="auto" w:fill="ADB9CA" w:themeFill="text2" w:themeFillTint="66"/>
          </w:tcPr>
          <w:p w:rsidR="00E37293" w:rsidRPr="008F47CB" w:rsidP="006F284A" w14:paraId="6CB0BBC2" w14:textId="571E27AF">
            <w:pPr>
              <w:rPr>
                <w:rFonts w:ascii="Times New Roman" w:hAnsi="Times New Roman"/>
                <w:b/>
                <w:sz w:val="22"/>
                <w:szCs w:val="22"/>
              </w:rPr>
            </w:pPr>
            <w:r w:rsidRPr="008F47CB">
              <w:rPr>
                <w:rFonts w:ascii="Times New Roman" w:hAnsi="Times New Roman"/>
                <w:b/>
                <w:sz w:val="22"/>
                <w:szCs w:val="22"/>
              </w:rPr>
              <w:t>Total Annual Burden (Hours)</w:t>
            </w:r>
          </w:p>
        </w:tc>
      </w:tr>
      <w:tr w14:paraId="6EEF7683" w14:textId="77777777" w:rsidTr="00685295">
        <w:tblPrEx>
          <w:tblW w:w="5845" w:type="dxa"/>
          <w:jc w:val="center"/>
          <w:tblLook w:val="04A0"/>
        </w:tblPrEx>
        <w:trPr>
          <w:jc w:val="center"/>
        </w:trPr>
        <w:tc>
          <w:tcPr>
            <w:tcW w:w="1441" w:type="dxa"/>
            <w:vAlign w:val="bottom"/>
          </w:tcPr>
          <w:p w:rsidR="00E37293" w:rsidRPr="008F47CB" w:rsidP="007825B8" w14:paraId="094CF73E" w14:textId="30AE1F2A">
            <w:pPr>
              <w:rPr>
                <w:rFonts w:ascii="Times New Roman" w:hAnsi="Times New Roman"/>
                <w:sz w:val="22"/>
                <w:szCs w:val="22"/>
              </w:rPr>
            </w:pPr>
            <w:r w:rsidRPr="00CF66E2">
              <w:rPr>
                <w:rFonts w:ascii="Times New Roman" w:hAnsi="Times New Roman"/>
                <w:color w:val="000000"/>
              </w:rPr>
              <w:t>Survey</w:t>
            </w:r>
          </w:p>
        </w:tc>
        <w:tc>
          <w:tcPr>
            <w:tcW w:w="1415" w:type="dxa"/>
            <w:vAlign w:val="bottom"/>
          </w:tcPr>
          <w:p w:rsidR="00E37293" w:rsidRPr="008F47CB" w:rsidP="006F284A" w14:paraId="68B5C968" w14:textId="77F4E810">
            <w:pPr>
              <w:jc w:val="right"/>
              <w:rPr>
                <w:rFonts w:ascii="Times New Roman" w:hAnsi="Times New Roman"/>
                <w:sz w:val="22"/>
                <w:szCs w:val="22"/>
              </w:rPr>
            </w:pPr>
            <w:r>
              <w:rPr>
                <w:rFonts w:ascii="Times New Roman" w:hAnsi="Times New Roman"/>
                <w:sz w:val="22"/>
                <w:szCs w:val="22"/>
              </w:rPr>
              <w:t>2,500</w:t>
            </w:r>
          </w:p>
        </w:tc>
        <w:tc>
          <w:tcPr>
            <w:tcW w:w="1097" w:type="dxa"/>
            <w:vAlign w:val="bottom"/>
          </w:tcPr>
          <w:p w:rsidR="00E37293" w:rsidRPr="008F47CB" w:rsidP="006F284A" w14:paraId="278A7502" w14:textId="20B45441">
            <w:pPr>
              <w:jc w:val="right"/>
              <w:rPr>
                <w:rFonts w:ascii="Times New Roman" w:hAnsi="Times New Roman"/>
                <w:sz w:val="22"/>
                <w:szCs w:val="22"/>
              </w:rPr>
            </w:pPr>
            <w:r>
              <w:rPr>
                <w:rFonts w:ascii="Times New Roman" w:hAnsi="Times New Roman"/>
                <w:sz w:val="22"/>
                <w:szCs w:val="22"/>
              </w:rPr>
              <w:t>$5</w:t>
            </w:r>
          </w:p>
        </w:tc>
        <w:tc>
          <w:tcPr>
            <w:tcW w:w="1892" w:type="dxa"/>
            <w:vAlign w:val="bottom"/>
          </w:tcPr>
          <w:p w:rsidR="00E37293" w:rsidRPr="008F47CB" w:rsidP="006F284A" w14:paraId="05B79583" w14:textId="32361FD3">
            <w:pPr>
              <w:jc w:val="right"/>
              <w:rPr>
                <w:rFonts w:ascii="Times New Roman" w:hAnsi="Times New Roman"/>
                <w:sz w:val="22"/>
                <w:szCs w:val="22"/>
              </w:rPr>
            </w:pPr>
            <w:r>
              <w:rPr>
                <w:rFonts w:ascii="Times New Roman" w:hAnsi="Times New Roman"/>
                <w:sz w:val="22"/>
                <w:szCs w:val="22"/>
              </w:rPr>
              <w:t>12,500</w:t>
            </w:r>
          </w:p>
        </w:tc>
      </w:tr>
      <w:tr w14:paraId="638300B5" w14:textId="77777777" w:rsidTr="00685295">
        <w:tblPrEx>
          <w:tblW w:w="5845" w:type="dxa"/>
          <w:jc w:val="center"/>
          <w:tblLook w:val="04A0"/>
        </w:tblPrEx>
        <w:trPr>
          <w:jc w:val="center"/>
        </w:trPr>
        <w:tc>
          <w:tcPr>
            <w:tcW w:w="1441" w:type="dxa"/>
            <w:vAlign w:val="bottom"/>
          </w:tcPr>
          <w:p w:rsidR="00E37293" w:rsidRPr="008F47CB" w:rsidP="007825B8" w14:paraId="73A27B12" w14:textId="0489C9D5">
            <w:pPr>
              <w:rPr>
                <w:rFonts w:ascii="Times New Roman" w:hAnsi="Times New Roman"/>
                <w:sz w:val="22"/>
                <w:szCs w:val="22"/>
              </w:rPr>
            </w:pPr>
            <w:r>
              <w:rPr>
                <w:rFonts w:ascii="Times New Roman" w:hAnsi="Times New Roman"/>
                <w:color w:val="000000"/>
              </w:rPr>
              <w:t>Focus Groups</w:t>
            </w:r>
          </w:p>
        </w:tc>
        <w:tc>
          <w:tcPr>
            <w:tcW w:w="1415" w:type="dxa"/>
            <w:vAlign w:val="bottom"/>
          </w:tcPr>
          <w:p w:rsidR="00E37293" w:rsidRPr="008F47CB" w:rsidP="006F284A" w14:paraId="3B584891" w14:textId="351A31F6">
            <w:pPr>
              <w:jc w:val="right"/>
              <w:rPr>
                <w:rFonts w:ascii="Times New Roman" w:hAnsi="Times New Roman"/>
                <w:sz w:val="22"/>
                <w:szCs w:val="22"/>
              </w:rPr>
            </w:pPr>
            <w:r>
              <w:rPr>
                <w:rFonts w:ascii="Times New Roman" w:hAnsi="Times New Roman"/>
                <w:sz w:val="22"/>
                <w:szCs w:val="22"/>
              </w:rPr>
              <w:t>300</w:t>
            </w:r>
          </w:p>
        </w:tc>
        <w:tc>
          <w:tcPr>
            <w:tcW w:w="1097" w:type="dxa"/>
            <w:vAlign w:val="bottom"/>
          </w:tcPr>
          <w:p w:rsidR="00E37293" w:rsidRPr="008F47CB" w:rsidP="006F284A" w14:paraId="1CFABA13" w14:textId="7F7D1939">
            <w:pPr>
              <w:jc w:val="right"/>
              <w:rPr>
                <w:rFonts w:ascii="Times New Roman" w:hAnsi="Times New Roman"/>
                <w:sz w:val="22"/>
                <w:szCs w:val="22"/>
              </w:rPr>
            </w:pPr>
            <w:r>
              <w:rPr>
                <w:rFonts w:ascii="Times New Roman" w:hAnsi="Times New Roman"/>
                <w:sz w:val="22"/>
                <w:szCs w:val="22"/>
              </w:rPr>
              <w:t>$30</w:t>
            </w:r>
          </w:p>
        </w:tc>
        <w:tc>
          <w:tcPr>
            <w:tcW w:w="1892" w:type="dxa"/>
            <w:vAlign w:val="bottom"/>
          </w:tcPr>
          <w:p w:rsidR="00E37293" w:rsidRPr="008F47CB" w:rsidP="006F284A" w14:paraId="59C13109" w14:textId="438998B3">
            <w:pPr>
              <w:jc w:val="right"/>
              <w:rPr>
                <w:rFonts w:ascii="Times New Roman" w:hAnsi="Times New Roman"/>
                <w:sz w:val="22"/>
                <w:szCs w:val="22"/>
              </w:rPr>
            </w:pPr>
            <w:r>
              <w:rPr>
                <w:rFonts w:ascii="Times New Roman" w:hAnsi="Times New Roman"/>
                <w:sz w:val="22"/>
                <w:szCs w:val="22"/>
              </w:rPr>
              <w:t>9,000</w:t>
            </w:r>
          </w:p>
        </w:tc>
      </w:tr>
      <w:tr w14:paraId="533AFAD4" w14:textId="77777777" w:rsidTr="00685295">
        <w:tblPrEx>
          <w:tblW w:w="5845" w:type="dxa"/>
          <w:jc w:val="center"/>
          <w:tblLook w:val="04A0"/>
        </w:tblPrEx>
        <w:trPr>
          <w:jc w:val="center"/>
        </w:trPr>
        <w:tc>
          <w:tcPr>
            <w:tcW w:w="1441" w:type="dxa"/>
          </w:tcPr>
          <w:p w:rsidR="00E37293" w:rsidRPr="008F47CB" w:rsidP="006F284A" w14:paraId="33BF02CF" w14:textId="327CDF43">
            <w:pPr>
              <w:jc w:val="right"/>
              <w:rPr>
                <w:rFonts w:ascii="Times New Roman" w:hAnsi="Times New Roman"/>
                <w:sz w:val="22"/>
                <w:szCs w:val="22"/>
              </w:rPr>
            </w:pPr>
            <w:r w:rsidRPr="008F47CB">
              <w:rPr>
                <w:rFonts w:ascii="Times New Roman" w:hAnsi="Times New Roman"/>
                <w:b/>
                <w:i/>
                <w:sz w:val="22"/>
                <w:szCs w:val="22"/>
              </w:rPr>
              <w:t>Unduplicated Totals</w:t>
            </w:r>
          </w:p>
        </w:tc>
        <w:tc>
          <w:tcPr>
            <w:tcW w:w="1415" w:type="dxa"/>
            <w:vAlign w:val="bottom"/>
          </w:tcPr>
          <w:p w:rsidR="00E37293" w:rsidRPr="008F47CB" w:rsidP="006F284A" w14:paraId="41DB9DFC" w14:textId="0BF957C2">
            <w:pPr>
              <w:jc w:val="right"/>
              <w:rPr>
                <w:rFonts w:ascii="Times New Roman" w:hAnsi="Times New Roman"/>
                <w:sz w:val="22"/>
                <w:szCs w:val="22"/>
              </w:rPr>
            </w:pPr>
            <w:r>
              <w:rPr>
                <w:rFonts w:ascii="Times New Roman" w:hAnsi="Times New Roman"/>
                <w:b/>
                <w:i/>
                <w:sz w:val="22"/>
                <w:szCs w:val="22"/>
              </w:rPr>
              <w:t>2,800</w:t>
            </w:r>
          </w:p>
        </w:tc>
        <w:tc>
          <w:tcPr>
            <w:tcW w:w="1097" w:type="dxa"/>
            <w:vAlign w:val="bottom"/>
          </w:tcPr>
          <w:p w:rsidR="00E37293" w:rsidRPr="008F47CB" w:rsidP="006F284A" w14:paraId="23F1B62E" w14:textId="5AF5DBFA">
            <w:pPr>
              <w:jc w:val="right"/>
              <w:rPr>
                <w:rFonts w:ascii="Times New Roman" w:hAnsi="Times New Roman"/>
                <w:sz w:val="22"/>
                <w:szCs w:val="22"/>
              </w:rPr>
            </w:pPr>
          </w:p>
        </w:tc>
        <w:tc>
          <w:tcPr>
            <w:tcW w:w="1892" w:type="dxa"/>
            <w:vAlign w:val="bottom"/>
          </w:tcPr>
          <w:p w:rsidR="00E37293" w:rsidRPr="002437C4" w:rsidP="006F284A" w14:paraId="0AE6CC5E" w14:textId="2B2EEFAB">
            <w:pPr>
              <w:jc w:val="right"/>
              <w:rPr>
                <w:rFonts w:ascii="Times New Roman" w:hAnsi="Times New Roman"/>
                <w:b/>
                <w:bCs/>
                <w:i/>
                <w:iCs/>
                <w:sz w:val="22"/>
                <w:szCs w:val="22"/>
              </w:rPr>
            </w:pPr>
            <w:r w:rsidRPr="002437C4">
              <w:rPr>
                <w:rFonts w:ascii="Times New Roman" w:hAnsi="Times New Roman"/>
                <w:b/>
                <w:bCs/>
                <w:i/>
                <w:iCs/>
                <w:sz w:val="22"/>
                <w:szCs w:val="22"/>
              </w:rPr>
              <w:t>$21,500</w:t>
            </w:r>
          </w:p>
        </w:tc>
      </w:tr>
    </w:tbl>
    <w:p w:rsidR="00567135" w:rsidP="00690F56" w14:paraId="4E4123EC" w14:textId="0C15F6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22DF1">
        <w:rPr>
          <w:rFonts w:ascii="Times New Roman" w:hAnsi="Times New Roman"/>
        </w:rPr>
        <w:t xml:space="preserve">The Elder Justice Initiative will contract with ICF International LLC to conduct this one-time only national needs assessment from conception to submission of a final report. The total time and materials estimate is based on a 78-week (18 months) timeline for a total cost of $350,000. </w:t>
      </w:r>
    </w:p>
    <w:p w:rsidR="006C76C3" w:rsidRPr="00F4518C" w:rsidP="00690F56" w14:paraId="65B8CB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3485F" w:rsidP="00690F56" w14:paraId="5AA2E8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22DF1" w:rsidP="00690F56" w14:paraId="7D3866CF" w14:textId="1C6757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22DF1">
        <w:rPr>
          <w:rFonts w:ascii="Times New Roman" w:hAnsi="Times New Roman"/>
        </w:rPr>
        <w:t xml:space="preserve">The Elder Justice Initiative will contract with ICF International LLC to conduct this one-time only national needs assessment from conception to submission of a final report. The total time and materials estimate is based on a </w:t>
      </w:r>
      <w:r w:rsidRPr="00822DF1">
        <w:rPr>
          <w:rFonts w:ascii="Times New Roman" w:hAnsi="Times New Roman"/>
        </w:rPr>
        <w:t>78 week</w:t>
      </w:r>
      <w:r w:rsidRPr="00822DF1">
        <w:rPr>
          <w:rFonts w:ascii="Times New Roman" w:hAnsi="Times New Roman"/>
        </w:rPr>
        <w:t xml:space="preserve"> (18 months) timeline for a total cost of $350,000. </w:t>
      </w:r>
    </w:p>
    <w:p w:rsidR="00EC2221" w:rsidP="00690F56" w14:paraId="438F22D6" w14:textId="105EC6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825B8" w:rsidRPr="00E41956" w:rsidP="007825B8" w14:paraId="1EFF5477" w14:textId="2A323EE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E41956">
        <w:rPr>
          <w:rFonts w:ascii="Times New Roman" w:hAnsi="Times New Roman"/>
          <w:b/>
          <w:bCs/>
        </w:rPr>
        <w:t xml:space="preserve">Cost to the Federal Government </w:t>
      </w:r>
    </w:p>
    <w:tbl>
      <w:tblPr>
        <w:tblStyle w:val="TableGrid"/>
        <w:tblW w:w="2856" w:type="dxa"/>
        <w:jc w:val="center"/>
        <w:tblLook w:val="04A0"/>
      </w:tblPr>
      <w:tblGrid>
        <w:gridCol w:w="1441"/>
        <w:gridCol w:w="1415"/>
      </w:tblGrid>
      <w:tr w14:paraId="53A0BB5F" w14:textId="77777777" w:rsidTr="006E5B3F">
        <w:tblPrEx>
          <w:tblW w:w="2856" w:type="dxa"/>
          <w:jc w:val="center"/>
          <w:tblLook w:val="04A0"/>
        </w:tblPrEx>
        <w:trPr>
          <w:jc w:val="center"/>
        </w:trPr>
        <w:tc>
          <w:tcPr>
            <w:tcW w:w="1441" w:type="dxa"/>
            <w:shd w:val="clear" w:color="auto" w:fill="ADB9CA" w:themeFill="text2" w:themeFillTint="66"/>
          </w:tcPr>
          <w:p w:rsidR="006E5B3F" w:rsidRPr="008F47CB" w:rsidP="006F284A" w14:paraId="4FE1E1CE"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6E5B3F" w:rsidRPr="008F47CB" w:rsidP="006F284A" w14:paraId="27A085B6" w14:textId="5EDA9809">
            <w:pPr>
              <w:rPr>
                <w:rFonts w:ascii="Times New Roman" w:hAnsi="Times New Roman"/>
                <w:b/>
                <w:sz w:val="22"/>
                <w:szCs w:val="22"/>
              </w:rPr>
            </w:pPr>
            <w:r>
              <w:rPr>
                <w:rFonts w:ascii="Times New Roman" w:hAnsi="Times New Roman"/>
                <w:b/>
                <w:sz w:val="22"/>
                <w:szCs w:val="22"/>
              </w:rPr>
              <w:t>Cost</w:t>
            </w:r>
          </w:p>
        </w:tc>
      </w:tr>
      <w:tr w14:paraId="770BD6F5" w14:textId="77777777" w:rsidTr="006E5B3F">
        <w:tblPrEx>
          <w:tblW w:w="2856" w:type="dxa"/>
          <w:jc w:val="center"/>
          <w:tblLook w:val="04A0"/>
        </w:tblPrEx>
        <w:trPr>
          <w:jc w:val="center"/>
        </w:trPr>
        <w:tc>
          <w:tcPr>
            <w:tcW w:w="1441" w:type="dxa"/>
            <w:vAlign w:val="bottom"/>
          </w:tcPr>
          <w:p w:rsidR="006E5B3F" w:rsidRPr="008F47CB" w:rsidP="007825B8" w14:paraId="584104E6" w14:textId="0632CBE3">
            <w:pPr>
              <w:rPr>
                <w:rFonts w:ascii="Times New Roman" w:hAnsi="Times New Roman"/>
                <w:sz w:val="22"/>
                <w:szCs w:val="22"/>
              </w:rPr>
            </w:pPr>
            <w:r>
              <w:rPr>
                <w:rFonts w:ascii="Times New Roman" w:hAnsi="Times New Roman"/>
              </w:rPr>
              <w:t>Gifts</w:t>
            </w:r>
          </w:p>
        </w:tc>
        <w:tc>
          <w:tcPr>
            <w:tcW w:w="1415" w:type="dxa"/>
            <w:vAlign w:val="bottom"/>
          </w:tcPr>
          <w:p w:rsidR="006E5B3F" w:rsidRPr="008F47CB" w:rsidP="006F284A" w14:paraId="5165E024" w14:textId="4C4355F3">
            <w:pPr>
              <w:jc w:val="righ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21,500</w:t>
            </w:r>
          </w:p>
        </w:tc>
      </w:tr>
      <w:tr w14:paraId="524296D8" w14:textId="77777777" w:rsidTr="006E5B3F">
        <w:tblPrEx>
          <w:tblW w:w="2856" w:type="dxa"/>
          <w:jc w:val="center"/>
          <w:tblLook w:val="04A0"/>
        </w:tblPrEx>
        <w:trPr>
          <w:jc w:val="center"/>
        </w:trPr>
        <w:tc>
          <w:tcPr>
            <w:tcW w:w="1441" w:type="dxa"/>
            <w:vAlign w:val="bottom"/>
          </w:tcPr>
          <w:p w:rsidR="006E5B3F" w:rsidRPr="008F47CB" w:rsidP="007825B8" w14:paraId="1C426FE4" w14:textId="6DA5D8D9">
            <w:pPr>
              <w:rPr>
                <w:rFonts w:ascii="Times New Roman" w:hAnsi="Times New Roman"/>
                <w:sz w:val="22"/>
                <w:szCs w:val="22"/>
              </w:rPr>
            </w:pPr>
            <w:r>
              <w:rPr>
                <w:rFonts w:ascii="Times New Roman" w:hAnsi="Times New Roman"/>
                <w:color w:val="000000"/>
              </w:rPr>
              <w:t>Contract Support</w:t>
            </w:r>
          </w:p>
        </w:tc>
        <w:tc>
          <w:tcPr>
            <w:tcW w:w="1415" w:type="dxa"/>
            <w:vAlign w:val="bottom"/>
          </w:tcPr>
          <w:p w:rsidR="006E5B3F" w:rsidRPr="008F47CB" w:rsidP="006F284A" w14:paraId="3BCB2D1C" w14:textId="13EED3E3">
            <w:pPr>
              <w:jc w:val="righ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350,000</w:t>
            </w:r>
          </w:p>
        </w:tc>
      </w:tr>
      <w:tr w14:paraId="0B416C14" w14:textId="77777777" w:rsidTr="006E5B3F">
        <w:tblPrEx>
          <w:tblW w:w="2856" w:type="dxa"/>
          <w:jc w:val="center"/>
          <w:tblLook w:val="04A0"/>
        </w:tblPrEx>
        <w:trPr>
          <w:jc w:val="center"/>
        </w:trPr>
        <w:tc>
          <w:tcPr>
            <w:tcW w:w="1441" w:type="dxa"/>
          </w:tcPr>
          <w:p w:rsidR="006E5B3F" w:rsidRPr="008F47CB" w:rsidP="00220B96" w14:paraId="5FA1B4A8" w14:textId="77777777">
            <w:pPr>
              <w:rPr>
                <w:rFonts w:ascii="Times New Roman" w:hAnsi="Times New Roman"/>
                <w:sz w:val="22"/>
                <w:szCs w:val="22"/>
              </w:rPr>
            </w:pPr>
            <w:r w:rsidRPr="008F47CB">
              <w:rPr>
                <w:rFonts w:ascii="Times New Roman" w:hAnsi="Times New Roman"/>
                <w:b/>
                <w:i/>
                <w:sz w:val="22"/>
                <w:szCs w:val="22"/>
              </w:rPr>
              <w:t>Unduplicated Totals</w:t>
            </w:r>
          </w:p>
        </w:tc>
        <w:tc>
          <w:tcPr>
            <w:tcW w:w="1415" w:type="dxa"/>
            <w:vAlign w:val="bottom"/>
          </w:tcPr>
          <w:p w:rsidR="006E5B3F" w:rsidRPr="008F47CB" w:rsidP="006F284A" w14:paraId="599C8937" w14:textId="73D38053">
            <w:pPr>
              <w:jc w:val="right"/>
              <w:rPr>
                <w:rFonts w:ascii="Times New Roman" w:hAnsi="Times New Roman"/>
                <w:sz w:val="22"/>
                <w:szCs w:val="22"/>
              </w:rPr>
            </w:pPr>
            <w:r>
              <w:rPr>
                <w:rFonts w:ascii="Times New Roman" w:hAnsi="Times New Roman"/>
                <w:sz w:val="22"/>
                <w:szCs w:val="22"/>
              </w:rPr>
              <w:t>$371,500</w:t>
            </w:r>
          </w:p>
        </w:tc>
      </w:tr>
    </w:tbl>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613F72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RPr="00035481" w:rsidP="00035481" w14:paraId="33AED649" w14:textId="3F948FEB">
      <w:pPr>
        <w:tabs>
          <w:tab w:val="left" w:pos="360"/>
        </w:tabs>
        <w:spacing w:line="480" w:lineRule="auto"/>
        <w:rPr>
          <w:rFonts w:ascii="Times New Roman" w:hAnsi="Times New Roman"/>
          <w:color w:val="000000"/>
        </w:rPr>
      </w:pPr>
      <w:r w:rsidRPr="00CF66E2">
        <w:rPr>
          <w:rFonts w:ascii="Times New Roman" w:hAnsi="Times New Roman"/>
          <w:color w:val="000000"/>
        </w:rPr>
        <w:t>Not applicable. This is a new collection of information.</w:t>
      </w: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C19F4" w:rsidRPr="007C19F4" w:rsidP="007C19F4" w14:paraId="56BE7C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C19F4">
        <w:rPr>
          <w:rFonts w:ascii="Times New Roman" w:hAnsi="Times New Roman"/>
        </w:rPr>
        <w:t>Project planning, the literature review, data collection instrument development, and IRB approval will be conducted over a four-month period. Surveys and focus groups will be conducted and analyzed over an eight-month period. Reporting and dissemination will be conducted over a six-month period.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5CA73064">
      <w:pPr>
        <w:rPr>
          <w:rFonts w:ascii="Times New Roman" w:hAnsi="Times New Roman"/>
        </w:rPr>
      </w:pPr>
      <w:r>
        <w:rPr>
          <w:rFonts w:ascii="Times New Roman" w:hAnsi="Times New Roman"/>
        </w:rPr>
        <w:t>This collection contain</w:t>
      </w:r>
      <w:r w:rsidR="00802605">
        <w:rPr>
          <w:rFonts w:ascii="Times New Roman" w:hAnsi="Times New Roman"/>
        </w:rPr>
        <w:t>s</w:t>
      </w:r>
      <w:r>
        <w:rPr>
          <w:rFonts w:ascii="Times New Roman" w:hAnsi="Times New Roman"/>
        </w:rPr>
        <w:t xml:space="preserve"> statistical data.</w:t>
      </w: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017A" w14:paraId="06F3EC0B" w14:textId="77777777">
    <w:pPr>
      <w:pStyle w:val="Header"/>
      <w:rPr>
        <w:rFonts w:ascii="Times New Roman" w:hAnsi="Times New Roman"/>
        <w:bCs/>
        <w:sz w:val="20"/>
        <w:szCs w:val="20"/>
      </w:rPr>
    </w:pPr>
    <w:r w:rsidRPr="00C5017A">
      <w:rPr>
        <w:rFonts w:ascii="Times New Roman" w:hAnsi="Times New Roman"/>
        <w:bCs/>
        <w:sz w:val="20"/>
        <w:szCs w:val="20"/>
      </w:rPr>
      <w:t>Elder Justice Victim Needs Assessment</w:t>
    </w:r>
  </w:p>
  <w:p w:rsidR="00956391" w14:paraId="4A63B48A" w14:textId="1B041705">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B13844">
      <w:rPr>
        <w:rFonts w:ascii="Times New Roman" w:hAnsi="Times New Roman"/>
        <w:sz w:val="20"/>
        <w:szCs w:val="20"/>
      </w:rPr>
      <w:t>1</w:t>
    </w:r>
    <w:r>
      <w:rPr>
        <w:rFonts w:ascii="Times New Roman" w:hAnsi="Times New Roman"/>
        <w:sz w:val="20"/>
        <w:szCs w:val="20"/>
      </w:rPr>
      <w:t>105-0NEW</w:t>
    </w:r>
  </w:p>
  <w:p w:rsidR="00E60FB0" w:rsidRPr="00F8164B" w14:paraId="1D1AD862" w14:textId="46649EB9">
    <w:pPr>
      <w:pStyle w:val="Header"/>
      <w:rPr>
        <w:rFonts w:ascii="Times New Roman" w:hAnsi="Times New Roman"/>
        <w:sz w:val="20"/>
        <w:szCs w:val="20"/>
      </w:rPr>
    </w:pPr>
    <w:r>
      <w:rPr>
        <w:rFonts w:ascii="Times New Roman" w:hAnsi="Times New Roman"/>
        <w:sz w:val="20"/>
        <w:szCs w:val="20"/>
      </w:rPr>
      <w:t xml:space="preserve">OMB Expiration Date: </w:t>
    </w:r>
    <w:r w:rsidR="00956391">
      <w:rPr>
        <w:rFonts w:ascii="Times New Roman" w:hAnsi="Times New Roman"/>
        <w:sz w:val="20"/>
        <w:szCs w:val="20"/>
      </w:rPr>
      <w:t>XX/XX/XXXX</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7A70E8"/>
    <w:multiLevelType w:val="hybridMultilevel"/>
    <w:tmpl w:val="B30430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0"/>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2"/>
  </w:num>
  <w:num w:numId="9" w16cid:durableId="312102842">
    <w:abstractNumId w:val="1"/>
  </w:num>
  <w:num w:numId="10" w16cid:durableId="1376466984">
    <w:abstractNumId w:val="11"/>
  </w:num>
  <w:num w:numId="11" w16cid:durableId="1904831391">
    <w:abstractNumId w:val="7"/>
  </w:num>
  <w:num w:numId="12" w16cid:durableId="1478107046">
    <w:abstractNumId w:val="9"/>
  </w:num>
  <w:num w:numId="13" w16cid:durableId="1542084800">
    <w:abstractNumId w:val="6"/>
  </w:num>
  <w:num w:numId="14" w16cid:durableId="136800702">
    <w:abstractNumId w:val="13"/>
  </w:num>
  <w:num w:numId="15" w16cid:durableId="1217090383">
    <w:abstractNumId w:val="8"/>
  </w:num>
  <w:num w:numId="16" w16cid:durableId="923419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35481"/>
    <w:rsid w:val="0004107F"/>
    <w:rsid w:val="00042CBD"/>
    <w:rsid w:val="000472D3"/>
    <w:rsid w:val="00052174"/>
    <w:rsid w:val="000560A0"/>
    <w:rsid w:val="00061F6C"/>
    <w:rsid w:val="00064E28"/>
    <w:rsid w:val="000655CC"/>
    <w:rsid w:val="0007383F"/>
    <w:rsid w:val="00076F5E"/>
    <w:rsid w:val="00094A5E"/>
    <w:rsid w:val="00095C30"/>
    <w:rsid w:val="00097C15"/>
    <w:rsid w:val="000A7853"/>
    <w:rsid w:val="000B0391"/>
    <w:rsid w:val="000B4875"/>
    <w:rsid w:val="000B6EE5"/>
    <w:rsid w:val="000B6FB6"/>
    <w:rsid w:val="000C257C"/>
    <w:rsid w:val="000C3A92"/>
    <w:rsid w:val="000C74FB"/>
    <w:rsid w:val="000D7F95"/>
    <w:rsid w:val="000E1C64"/>
    <w:rsid w:val="000F6836"/>
    <w:rsid w:val="001040D4"/>
    <w:rsid w:val="001078BB"/>
    <w:rsid w:val="00116CD5"/>
    <w:rsid w:val="00131841"/>
    <w:rsid w:val="00133C47"/>
    <w:rsid w:val="00133E3D"/>
    <w:rsid w:val="00141045"/>
    <w:rsid w:val="0014556E"/>
    <w:rsid w:val="0014601E"/>
    <w:rsid w:val="0015322B"/>
    <w:rsid w:val="0015365E"/>
    <w:rsid w:val="0015699D"/>
    <w:rsid w:val="00157A90"/>
    <w:rsid w:val="00167AD4"/>
    <w:rsid w:val="00180E5A"/>
    <w:rsid w:val="001838A7"/>
    <w:rsid w:val="00184326"/>
    <w:rsid w:val="00192711"/>
    <w:rsid w:val="001A47D9"/>
    <w:rsid w:val="001B4BB9"/>
    <w:rsid w:val="001C269D"/>
    <w:rsid w:val="001C39F6"/>
    <w:rsid w:val="001D10ED"/>
    <w:rsid w:val="001D2D09"/>
    <w:rsid w:val="001D67BB"/>
    <w:rsid w:val="001E0E7F"/>
    <w:rsid w:val="001E2932"/>
    <w:rsid w:val="001E3596"/>
    <w:rsid w:val="001E5213"/>
    <w:rsid w:val="001F2E8E"/>
    <w:rsid w:val="001F552E"/>
    <w:rsid w:val="002036A1"/>
    <w:rsid w:val="00210A61"/>
    <w:rsid w:val="002134B4"/>
    <w:rsid w:val="002203C9"/>
    <w:rsid w:val="00220B96"/>
    <w:rsid w:val="00222799"/>
    <w:rsid w:val="00234341"/>
    <w:rsid w:val="00234E93"/>
    <w:rsid w:val="00237691"/>
    <w:rsid w:val="0024284F"/>
    <w:rsid w:val="00242CA0"/>
    <w:rsid w:val="00243432"/>
    <w:rsid w:val="002437C4"/>
    <w:rsid w:val="0024438F"/>
    <w:rsid w:val="00247146"/>
    <w:rsid w:val="002517E4"/>
    <w:rsid w:val="00256A7D"/>
    <w:rsid w:val="00262716"/>
    <w:rsid w:val="00270044"/>
    <w:rsid w:val="00273D58"/>
    <w:rsid w:val="00277C1F"/>
    <w:rsid w:val="002866AD"/>
    <w:rsid w:val="00286BE3"/>
    <w:rsid w:val="00287ACB"/>
    <w:rsid w:val="0029135D"/>
    <w:rsid w:val="00292951"/>
    <w:rsid w:val="00292B86"/>
    <w:rsid w:val="00293CD1"/>
    <w:rsid w:val="002A3962"/>
    <w:rsid w:val="002A5972"/>
    <w:rsid w:val="002A6FB5"/>
    <w:rsid w:val="002C5AE9"/>
    <w:rsid w:val="002E238B"/>
    <w:rsid w:val="002E4200"/>
    <w:rsid w:val="002E6DF9"/>
    <w:rsid w:val="00304132"/>
    <w:rsid w:val="00304EAD"/>
    <w:rsid w:val="00306FEE"/>
    <w:rsid w:val="00312124"/>
    <w:rsid w:val="00313820"/>
    <w:rsid w:val="00313AC0"/>
    <w:rsid w:val="00322C1B"/>
    <w:rsid w:val="0032649A"/>
    <w:rsid w:val="00332F98"/>
    <w:rsid w:val="0033578D"/>
    <w:rsid w:val="003430A6"/>
    <w:rsid w:val="003448FC"/>
    <w:rsid w:val="00353EB5"/>
    <w:rsid w:val="003548D8"/>
    <w:rsid w:val="00363CC2"/>
    <w:rsid w:val="00370C9A"/>
    <w:rsid w:val="00371EEC"/>
    <w:rsid w:val="003876F3"/>
    <w:rsid w:val="00390426"/>
    <w:rsid w:val="003908B9"/>
    <w:rsid w:val="00394AEB"/>
    <w:rsid w:val="003A4476"/>
    <w:rsid w:val="003A6353"/>
    <w:rsid w:val="003B2F28"/>
    <w:rsid w:val="003C13C6"/>
    <w:rsid w:val="003C2324"/>
    <w:rsid w:val="003D5958"/>
    <w:rsid w:val="003D6AC7"/>
    <w:rsid w:val="003E15A0"/>
    <w:rsid w:val="003E49A6"/>
    <w:rsid w:val="003E5E34"/>
    <w:rsid w:val="003E6021"/>
    <w:rsid w:val="003F53FB"/>
    <w:rsid w:val="00400B4D"/>
    <w:rsid w:val="00401F18"/>
    <w:rsid w:val="004040D0"/>
    <w:rsid w:val="004056B7"/>
    <w:rsid w:val="00410AC8"/>
    <w:rsid w:val="00414664"/>
    <w:rsid w:val="004172C1"/>
    <w:rsid w:val="00423E3A"/>
    <w:rsid w:val="004328D9"/>
    <w:rsid w:val="004357B4"/>
    <w:rsid w:val="00435E05"/>
    <w:rsid w:val="0043771F"/>
    <w:rsid w:val="00442410"/>
    <w:rsid w:val="00443460"/>
    <w:rsid w:val="0044773C"/>
    <w:rsid w:val="0045296C"/>
    <w:rsid w:val="00461B8A"/>
    <w:rsid w:val="004672B5"/>
    <w:rsid w:val="0047631D"/>
    <w:rsid w:val="004844D1"/>
    <w:rsid w:val="0048559D"/>
    <w:rsid w:val="0049001D"/>
    <w:rsid w:val="00494A93"/>
    <w:rsid w:val="00494D75"/>
    <w:rsid w:val="004A1763"/>
    <w:rsid w:val="004B1E83"/>
    <w:rsid w:val="004D1C78"/>
    <w:rsid w:val="004D441E"/>
    <w:rsid w:val="004D46D1"/>
    <w:rsid w:val="004E1D9E"/>
    <w:rsid w:val="004E2D3F"/>
    <w:rsid w:val="004E5B39"/>
    <w:rsid w:val="00501A15"/>
    <w:rsid w:val="00503FBB"/>
    <w:rsid w:val="00511DB9"/>
    <w:rsid w:val="005164DC"/>
    <w:rsid w:val="00522B8D"/>
    <w:rsid w:val="00524262"/>
    <w:rsid w:val="0052585C"/>
    <w:rsid w:val="00530EBD"/>
    <w:rsid w:val="005622FE"/>
    <w:rsid w:val="00567135"/>
    <w:rsid w:val="00567912"/>
    <w:rsid w:val="00570098"/>
    <w:rsid w:val="005805E7"/>
    <w:rsid w:val="00583F5D"/>
    <w:rsid w:val="0058424C"/>
    <w:rsid w:val="00584F8D"/>
    <w:rsid w:val="005A0350"/>
    <w:rsid w:val="005A7D9E"/>
    <w:rsid w:val="005B2697"/>
    <w:rsid w:val="005B5990"/>
    <w:rsid w:val="005C6147"/>
    <w:rsid w:val="005D5F8C"/>
    <w:rsid w:val="005E5148"/>
    <w:rsid w:val="00600959"/>
    <w:rsid w:val="0060114B"/>
    <w:rsid w:val="00603D4A"/>
    <w:rsid w:val="00611DE2"/>
    <w:rsid w:val="00614A1C"/>
    <w:rsid w:val="006227B3"/>
    <w:rsid w:val="00627B1F"/>
    <w:rsid w:val="00642220"/>
    <w:rsid w:val="006502FD"/>
    <w:rsid w:val="0065148D"/>
    <w:rsid w:val="00652ED1"/>
    <w:rsid w:val="006626FF"/>
    <w:rsid w:val="006650A8"/>
    <w:rsid w:val="0067772C"/>
    <w:rsid w:val="00683A96"/>
    <w:rsid w:val="00685295"/>
    <w:rsid w:val="00685435"/>
    <w:rsid w:val="00687746"/>
    <w:rsid w:val="00690F56"/>
    <w:rsid w:val="006A4637"/>
    <w:rsid w:val="006B6553"/>
    <w:rsid w:val="006C39F8"/>
    <w:rsid w:val="006C76C3"/>
    <w:rsid w:val="006E1A08"/>
    <w:rsid w:val="006E4433"/>
    <w:rsid w:val="006E54FE"/>
    <w:rsid w:val="006E5B3F"/>
    <w:rsid w:val="006E604F"/>
    <w:rsid w:val="006E63C6"/>
    <w:rsid w:val="006F284A"/>
    <w:rsid w:val="006F66F9"/>
    <w:rsid w:val="006F6E13"/>
    <w:rsid w:val="007010C5"/>
    <w:rsid w:val="007011F1"/>
    <w:rsid w:val="007127A1"/>
    <w:rsid w:val="00713ACE"/>
    <w:rsid w:val="00715F82"/>
    <w:rsid w:val="0071749C"/>
    <w:rsid w:val="00721E05"/>
    <w:rsid w:val="00724C56"/>
    <w:rsid w:val="00725F39"/>
    <w:rsid w:val="007412B6"/>
    <w:rsid w:val="00753389"/>
    <w:rsid w:val="00755761"/>
    <w:rsid w:val="007636EC"/>
    <w:rsid w:val="00765FE8"/>
    <w:rsid w:val="00767D37"/>
    <w:rsid w:val="00774503"/>
    <w:rsid w:val="00777CD2"/>
    <w:rsid w:val="00780272"/>
    <w:rsid w:val="0078038F"/>
    <w:rsid w:val="007825B8"/>
    <w:rsid w:val="00785FE9"/>
    <w:rsid w:val="007868A9"/>
    <w:rsid w:val="00786E04"/>
    <w:rsid w:val="007A7F79"/>
    <w:rsid w:val="007B7E2A"/>
    <w:rsid w:val="007C124D"/>
    <w:rsid w:val="007C19F4"/>
    <w:rsid w:val="007D46C2"/>
    <w:rsid w:val="007F3B38"/>
    <w:rsid w:val="007F3C02"/>
    <w:rsid w:val="00802605"/>
    <w:rsid w:val="00802A30"/>
    <w:rsid w:val="008043E5"/>
    <w:rsid w:val="00804A1A"/>
    <w:rsid w:val="0081073D"/>
    <w:rsid w:val="00813CC0"/>
    <w:rsid w:val="0082242A"/>
    <w:rsid w:val="00822DF1"/>
    <w:rsid w:val="008323ED"/>
    <w:rsid w:val="00835955"/>
    <w:rsid w:val="00846701"/>
    <w:rsid w:val="008624D5"/>
    <w:rsid w:val="00871CA6"/>
    <w:rsid w:val="00882AB5"/>
    <w:rsid w:val="00882B1D"/>
    <w:rsid w:val="0088672C"/>
    <w:rsid w:val="008A1F0C"/>
    <w:rsid w:val="008A40D1"/>
    <w:rsid w:val="008B541B"/>
    <w:rsid w:val="008C6A87"/>
    <w:rsid w:val="008E3F15"/>
    <w:rsid w:val="008E7177"/>
    <w:rsid w:val="008F47CB"/>
    <w:rsid w:val="00901003"/>
    <w:rsid w:val="0090158E"/>
    <w:rsid w:val="00901EF6"/>
    <w:rsid w:val="0090413E"/>
    <w:rsid w:val="00923B37"/>
    <w:rsid w:val="009271B1"/>
    <w:rsid w:val="0093485F"/>
    <w:rsid w:val="0093663E"/>
    <w:rsid w:val="009407FC"/>
    <w:rsid w:val="009441E2"/>
    <w:rsid w:val="00956391"/>
    <w:rsid w:val="00963680"/>
    <w:rsid w:val="00964D3F"/>
    <w:rsid w:val="009700D9"/>
    <w:rsid w:val="00983CA7"/>
    <w:rsid w:val="00985369"/>
    <w:rsid w:val="00985C15"/>
    <w:rsid w:val="009A6DCA"/>
    <w:rsid w:val="009B00FD"/>
    <w:rsid w:val="009B38D1"/>
    <w:rsid w:val="009B4116"/>
    <w:rsid w:val="009B689F"/>
    <w:rsid w:val="009B6955"/>
    <w:rsid w:val="009C2A10"/>
    <w:rsid w:val="009C4202"/>
    <w:rsid w:val="009D0BBA"/>
    <w:rsid w:val="009D1EA2"/>
    <w:rsid w:val="009E0141"/>
    <w:rsid w:val="009E234B"/>
    <w:rsid w:val="009F52F3"/>
    <w:rsid w:val="009F7762"/>
    <w:rsid w:val="00A10441"/>
    <w:rsid w:val="00A11CC9"/>
    <w:rsid w:val="00A15094"/>
    <w:rsid w:val="00A217C3"/>
    <w:rsid w:val="00A21F98"/>
    <w:rsid w:val="00A2391E"/>
    <w:rsid w:val="00A33AAC"/>
    <w:rsid w:val="00A41C21"/>
    <w:rsid w:val="00A45D2D"/>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F2C11"/>
    <w:rsid w:val="00AF3788"/>
    <w:rsid w:val="00AF5262"/>
    <w:rsid w:val="00AF7747"/>
    <w:rsid w:val="00AF7928"/>
    <w:rsid w:val="00B13844"/>
    <w:rsid w:val="00B26E3E"/>
    <w:rsid w:val="00B35DAD"/>
    <w:rsid w:val="00B417B3"/>
    <w:rsid w:val="00B47443"/>
    <w:rsid w:val="00B5043F"/>
    <w:rsid w:val="00B5377A"/>
    <w:rsid w:val="00B6181C"/>
    <w:rsid w:val="00B64496"/>
    <w:rsid w:val="00B66231"/>
    <w:rsid w:val="00B674DE"/>
    <w:rsid w:val="00B67A3F"/>
    <w:rsid w:val="00B910B6"/>
    <w:rsid w:val="00B9439C"/>
    <w:rsid w:val="00B95022"/>
    <w:rsid w:val="00B96E43"/>
    <w:rsid w:val="00BA6A42"/>
    <w:rsid w:val="00BA6C9C"/>
    <w:rsid w:val="00BB2AA1"/>
    <w:rsid w:val="00BB3BEF"/>
    <w:rsid w:val="00BC5F22"/>
    <w:rsid w:val="00BD21CA"/>
    <w:rsid w:val="00BD34F2"/>
    <w:rsid w:val="00BF0E96"/>
    <w:rsid w:val="00BF4A5F"/>
    <w:rsid w:val="00C02E4A"/>
    <w:rsid w:val="00C05B4B"/>
    <w:rsid w:val="00C05B88"/>
    <w:rsid w:val="00C07F7F"/>
    <w:rsid w:val="00C12530"/>
    <w:rsid w:val="00C14429"/>
    <w:rsid w:val="00C247D8"/>
    <w:rsid w:val="00C25486"/>
    <w:rsid w:val="00C25E66"/>
    <w:rsid w:val="00C32974"/>
    <w:rsid w:val="00C34009"/>
    <w:rsid w:val="00C4763A"/>
    <w:rsid w:val="00C5017A"/>
    <w:rsid w:val="00C50A35"/>
    <w:rsid w:val="00C63D1E"/>
    <w:rsid w:val="00C667F3"/>
    <w:rsid w:val="00C712D2"/>
    <w:rsid w:val="00C77B5C"/>
    <w:rsid w:val="00C824C6"/>
    <w:rsid w:val="00C8275F"/>
    <w:rsid w:val="00C87068"/>
    <w:rsid w:val="00C9162F"/>
    <w:rsid w:val="00CA2F0A"/>
    <w:rsid w:val="00CA779E"/>
    <w:rsid w:val="00CB1ECE"/>
    <w:rsid w:val="00CB3579"/>
    <w:rsid w:val="00CB5C31"/>
    <w:rsid w:val="00CC0731"/>
    <w:rsid w:val="00CC2127"/>
    <w:rsid w:val="00CC770C"/>
    <w:rsid w:val="00CD215D"/>
    <w:rsid w:val="00CD4F92"/>
    <w:rsid w:val="00CD6628"/>
    <w:rsid w:val="00CF2DDE"/>
    <w:rsid w:val="00CF66E2"/>
    <w:rsid w:val="00D00B48"/>
    <w:rsid w:val="00D15E30"/>
    <w:rsid w:val="00D2331B"/>
    <w:rsid w:val="00D36BB6"/>
    <w:rsid w:val="00D4451A"/>
    <w:rsid w:val="00D472BE"/>
    <w:rsid w:val="00D5277A"/>
    <w:rsid w:val="00D53DEB"/>
    <w:rsid w:val="00D57217"/>
    <w:rsid w:val="00D57DE8"/>
    <w:rsid w:val="00D735B0"/>
    <w:rsid w:val="00D73AAD"/>
    <w:rsid w:val="00D75842"/>
    <w:rsid w:val="00D802D6"/>
    <w:rsid w:val="00D86FF7"/>
    <w:rsid w:val="00DA7DC9"/>
    <w:rsid w:val="00DB7B7C"/>
    <w:rsid w:val="00DD6DF0"/>
    <w:rsid w:val="00E0031C"/>
    <w:rsid w:val="00E0138A"/>
    <w:rsid w:val="00E06430"/>
    <w:rsid w:val="00E13D0F"/>
    <w:rsid w:val="00E13DE5"/>
    <w:rsid w:val="00E163CF"/>
    <w:rsid w:val="00E20D5B"/>
    <w:rsid w:val="00E22463"/>
    <w:rsid w:val="00E23871"/>
    <w:rsid w:val="00E322E9"/>
    <w:rsid w:val="00E37293"/>
    <w:rsid w:val="00E400EA"/>
    <w:rsid w:val="00E41956"/>
    <w:rsid w:val="00E46EE5"/>
    <w:rsid w:val="00E51A82"/>
    <w:rsid w:val="00E57F5E"/>
    <w:rsid w:val="00E60FB0"/>
    <w:rsid w:val="00E614A1"/>
    <w:rsid w:val="00E674A9"/>
    <w:rsid w:val="00E700AD"/>
    <w:rsid w:val="00E74ABD"/>
    <w:rsid w:val="00E829F2"/>
    <w:rsid w:val="00E83023"/>
    <w:rsid w:val="00E83271"/>
    <w:rsid w:val="00E833E4"/>
    <w:rsid w:val="00E909D5"/>
    <w:rsid w:val="00E92EED"/>
    <w:rsid w:val="00E93A0F"/>
    <w:rsid w:val="00EA3E66"/>
    <w:rsid w:val="00EC0B43"/>
    <w:rsid w:val="00EC2221"/>
    <w:rsid w:val="00EC4383"/>
    <w:rsid w:val="00EC5D7E"/>
    <w:rsid w:val="00ED49C1"/>
    <w:rsid w:val="00EE6AAE"/>
    <w:rsid w:val="00EF4003"/>
    <w:rsid w:val="00F11AA8"/>
    <w:rsid w:val="00F12F81"/>
    <w:rsid w:val="00F24787"/>
    <w:rsid w:val="00F27223"/>
    <w:rsid w:val="00F3623C"/>
    <w:rsid w:val="00F41116"/>
    <w:rsid w:val="00F44D20"/>
    <w:rsid w:val="00F4518C"/>
    <w:rsid w:val="00F4529D"/>
    <w:rsid w:val="00F53F09"/>
    <w:rsid w:val="00F56B20"/>
    <w:rsid w:val="00F61C3B"/>
    <w:rsid w:val="00F6219B"/>
    <w:rsid w:val="00F64E0B"/>
    <w:rsid w:val="00F72D66"/>
    <w:rsid w:val="00F76BBB"/>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js.ojp.gov/data-collection/ncvsp" TargetMode="External" /><Relationship Id="rId6" Type="http://schemas.openxmlformats.org/officeDocument/2006/relationships/hyperlink" Target="https://www.justice.gov/elderjustice/find-support-elder-abus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9</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76</cp:revision>
  <cp:lastPrinted>2020-02-19T15:46:00Z</cp:lastPrinted>
  <dcterms:created xsi:type="dcterms:W3CDTF">2023-05-02T16:56:00Z</dcterms:created>
  <dcterms:modified xsi:type="dcterms:W3CDTF">2023-05-08T19:33:00Z</dcterms:modified>
</cp:coreProperties>
</file>