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1F362A" w14:paraId="1CF8A88F" w14:textId="4B146797">
      <w:pPr>
        <w:widowControl/>
        <w:jc w:val="center"/>
        <w:rPr>
          <w:rFonts w:ascii="Times New Roman" w:hAnsi="Times New Roman"/>
          <w:b/>
          <w:bCs/>
        </w:rPr>
      </w:pPr>
      <w:r w:rsidRPr="001F362A">
        <w:rPr>
          <w:rFonts w:ascii="Times New Roman" w:hAnsi="Times New Roman"/>
          <w:b/>
          <w:bCs/>
        </w:rPr>
        <w:t>Semi-Annual Progress Report for Technical Assistance Program</w:t>
      </w:r>
    </w:p>
    <w:p w:rsidR="001F362A" w:rsidRPr="00A47DA7" w:rsidP="001F362A" w14:paraId="68D6F3C7"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F3651" w:rsidRPr="00D802D6" w:rsidP="00D802D6" w14:paraId="16C14F3B" w14:textId="0E8476F2">
      <w:pPr>
        <w:pStyle w:val="paragraph"/>
        <w:textAlignment w:val="baseline"/>
        <w:rPr>
          <w:color w:val="000000"/>
        </w:rPr>
      </w:pPr>
      <w:r w:rsidRPr="006B21E3">
        <w:t>The semi-annual progress report will be completed by all technical assistance providers receiving funds under the Office on Violence Against Women's (OVW)Technical Assistance Program. The primary purpose of the OVW Technical Assistance Program is to provide direct assistance to grantees and their subgrantees to enhance the success of local projects they are implementing with Violence Against Women Act grant funds.  In addition, OVW is focused on building the capacity of criminal justice and victim services organizations to respond effectively to sexual assault, domestic violence, dating violence, and stalking and to foster partnerships between organizations that have not traditionally worked together to address violence against women, such as faith- and community- based organizations.</w:t>
      </w:r>
      <w:r w:rsidR="005E0EE5">
        <w:t xml:space="preserve"> </w:t>
      </w:r>
      <w:r w:rsidR="00BD0A3D">
        <w:t>Th</w:t>
      </w:r>
      <w:r>
        <w:t xml:space="preserve">is collection is authorized by </w:t>
      </w:r>
      <w:r>
        <w:t xml:space="preserve">34 U.S.C. </w:t>
      </w:r>
      <w:r w:rsidRPr="00884932" w:rsidR="00884932">
        <w:t>12291(b)(11)</w:t>
      </w:r>
      <w:r>
        <w: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90D9132">
      <w:pPr>
        <w:widowControl/>
        <w:rPr>
          <w:rFonts w:ascii="Times New Roman" w:hAnsi="Times New Roman"/>
          <w:b/>
          <w:bCs/>
        </w:rPr>
      </w:pPr>
    </w:p>
    <w:p w:rsidR="00690F56" w:rsidRPr="00802A30" w:rsidP="0033578D" w14:paraId="6EBE63D5" w14:textId="1EFA5EF5">
      <w:pPr>
        <w:widowControl/>
        <w:rPr>
          <w:rFonts w:ascii="Times New Roman" w:hAnsi="Times New Roman"/>
        </w:rPr>
      </w:pPr>
      <w:r w:rsidRPr="008F5EDE">
        <w:rPr>
          <w:rFonts w:ascii="Times New Roman" w:hAnsi="Times New Roman"/>
        </w:rPr>
        <w:t xml:space="preserve">OVW uses data from the information collection1 in different ways. OVW will use the information collected from OVW TA providers to monitor their grant-funded activities and qualitatively assess those activities. </w:t>
      </w:r>
      <w:r w:rsidRPr="008F5EDE">
        <w:rPr>
          <w:rFonts w:ascii="Times New Roman" w:hAnsi="Times New Roman"/>
        </w:rPr>
        <w:t>In particular, OVW</w:t>
      </w:r>
      <w:r w:rsidRPr="008F5EDE">
        <w:rPr>
          <w:rFonts w:ascii="Times New Roman" w:hAnsi="Times New Roman"/>
        </w:rPr>
        <w:t xml:space="preserve"> is seeking data that includes baseline information to review activities supported with TA Program funds, including, for example, an increase in the number of trainings or an increase in the number of onsite technical assistance provided. OVW will review semiannual progress reports to monitor individual TA providers’ performance and ensure that the goals and objectives set forth in applications for funding and award documents are met. The TA providers collect information that addresses the following grant-funded activities (different sections on the reporting form): staff, informational materials, and training events Narrative questions at the end of these different sections enable grantees to give more detailed qualitative information about their grant-funded activities. In addition, TA providers must answer narrative questions on the most significant areas of remaining need with regard to improving services to victims/survivors of sexual assault, increasing victims/survivors safety, and enhancing community response (including offender accountability or sex offenders), what has OVW funding allowed the TA provider to do that it could not do prior to receiving funding, additional</w:t>
      </w:r>
      <w:r w:rsidR="00454101">
        <w:rPr>
          <w:rFonts w:ascii="Times New Roman" w:hAnsi="Times New Roman"/>
        </w:rPr>
        <w:t xml:space="preserve"> </w:t>
      </w:r>
      <w:r w:rsidRPr="00454101" w:rsidR="00454101">
        <w:rPr>
          <w:rFonts w:ascii="Times New Roman" w:hAnsi="Times New Roman"/>
        </w:rPr>
        <w:t xml:space="preserve">information about the TA award and/or the effectiveness of the grant and any additional information about the data submitted. In addition to the proposed information collection, OVW will continue to use </w:t>
      </w:r>
      <w:r w:rsidRPr="00454101" w:rsidR="00454101">
        <w:rPr>
          <w:rFonts w:ascii="Times New Roman" w:hAnsi="Times New Roman"/>
        </w:rPr>
        <w:t>a number of</w:t>
      </w:r>
      <w:r w:rsidRPr="00454101" w:rsidR="00454101">
        <w:rPr>
          <w:rFonts w:ascii="Times New Roman" w:hAnsi="Times New Roman"/>
        </w:rPr>
        <w:t xml:space="preserve"> other techniques to assess the performance of TA providers. These may include OVW staff attendance at site visits, grant-funded training and </w:t>
      </w:r>
      <w:r w:rsidRPr="00454101" w:rsidR="00454101">
        <w:rPr>
          <w:rFonts w:ascii="Times New Roman" w:hAnsi="Times New Roman"/>
        </w:rPr>
        <w:t>technical assistance events, staff review of products prior to dissemination, and ongoing consultation with OVW staff. OVW will aggregate data from all TA providers’ progress reports to assess the performance of the TA Program as a whole and to respond to Congressional, Department of Justice, and other inquiries about how TA funds are being used. In addition, information collected from TA providers will support the following OVW GPRA measures:</w:t>
      </w:r>
      <w:r w:rsidR="00454101">
        <w:rPr>
          <w:rFonts w:ascii="Times New Roman" w:hAnsi="Times New Roman"/>
        </w:rPr>
        <w:t xml:space="preserve"> </w:t>
      </w:r>
      <w:r w:rsidRPr="00454101" w:rsidR="00454101">
        <w:rPr>
          <w:rFonts w:ascii="Times New Roman" w:hAnsi="Times New Roman"/>
        </w:rPr>
        <w:t xml:space="preserve">Number of trainings </w:t>
      </w:r>
      <w:r w:rsidRPr="00454101" w:rsidR="00454101">
        <w:rPr>
          <w:rFonts w:ascii="Times New Roman" w:hAnsi="Times New Roman"/>
        </w:rPr>
        <w:t>held</w:t>
      </w:r>
      <w:r w:rsidRPr="00454101" w:rsidR="00454101">
        <w:rPr>
          <w:rFonts w:ascii="Times New Roman" w:hAnsi="Times New Roman"/>
        </w:rPr>
        <w:t xml:space="preserve"> and persons trained; and Number of materials developed/revised. Information collected from TA providers will enable OVW to respond to statutory requirements to report on the effectiveness of grant-funded activities. The 2016 Measuring Effectiveness Report to Congress, which includes information about how funds were expended and an assessment of the effectiveness of funded programs- see</w:t>
      </w:r>
      <w:r w:rsidR="00454101">
        <w:rPr>
          <w:rFonts w:ascii="Times New Roman" w:hAnsi="Times New Roman"/>
        </w:rPr>
        <w:t xml:space="preserve"> </w:t>
      </w:r>
      <w:hyperlink r:id="rId5" w:history="1">
        <w:r w:rsidRPr="00817795" w:rsidR="00454101">
          <w:rPr>
            <w:rStyle w:val="Hyperlink"/>
            <w:rFonts w:ascii="Times New Roman" w:hAnsi="Times New Roman"/>
          </w:rPr>
          <w:t>https://www.justice.gov/ovw/reportscongress</w:t>
        </w:r>
      </w:hyperlink>
      <w:r w:rsidR="00454101">
        <w:rPr>
          <w:rFonts w:ascii="Times New Roman" w:hAnsi="Times New Roman"/>
        </w:rPr>
        <w:t>.</w:t>
      </w:r>
      <w:r w:rsidRPr="00454101" w:rsidR="00454101">
        <w:rPr>
          <w:rFonts w:ascii="Times New Roman" w:hAnsi="Times New Roman"/>
        </w:rPr>
        <w:t xml:space="preserve"> This report is based on data submitted by TA providers reflecting TA awards made and TA Program‐funded activities engaged in during calendar years July 1, 2013- June 30, 2015. OVW is in the process of submitting the 2018 Report to Congress. The data that OVW collects on the semiannual progress reporting forms is currently not used in connection with an evaluation of the TA program. OVW is currently exploring the development of a multi-layered evaluation agenda for its grant programs.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33E41E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4D00">
        <w:rPr>
          <w:rFonts w:ascii="Times New Roman" w:hAnsi="Times New Roman"/>
        </w:rPr>
        <w:t xml:space="preserve">The collection of information will involve the use of automated, electronic, </w:t>
      </w:r>
      <w:r w:rsidRPr="003D4D00">
        <w:rPr>
          <w:rFonts w:ascii="Times New Roman" w:hAnsi="Times New Roman"/>
        </w:rPr>
        <w:t>mechanical</w:t>
      </w:r>
      <w:r w:rsidRPr="003D4D00">
        <w:rPr>
          <w:rFonts w:ascii="Times New Roman" w:hAnsi="Times New Roman"/>
        </w:rPr>
        <w:t xml:space="preserve"> or other technological collection techniques or other forms of information technology. OVW grantees are required to submit semiannual progress reports through the Grants Management System (GMS)</w:t>
      </w:r>
      <w:r>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2D46B8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4D00">
        <w:rPr>
          <w:rFonts w:ascii="Times New Roman" w:hAnsi="Times New Roman"/>
        </w:rPr>
        <w:t>There is no other mechanism by which OVW collects information about grant funded activities including number of victims served, victims seeking services who could not be served, or persons trained.</w:t>
      </w:r>
    </w:p>
    <w:p w:rsidR="003D4D00" w:rsidRPr="00A973AA" w:rsidP="00690F56" w14:paraId="0D2AAC6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1D9BE4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1258">
        <w:rPr>
          <w:rFonts w:ascii="Times New Roman" w:hAnsi="Times New Roman"/>
        </w:rPr>
        <w:t>By statute, Congress has mandated that TA providers report to the Attorney General on the effectiveness of their activities funded under VAWA. If OVW was not able to collect the information necessary to complete these reports on behalf of the Attorney General, not only would it be failing to meet a statutorily required reporting mandate, but also the existence of this important and necessary funding could be jeopardized.</w:t>
      </w:r>
    </w:p>
    <w:p w:rsidR="00A41258" w:rsidRPr="00A47DA7" w:rsidP="00690F56" w14:paraId="39649A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5831760">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D42B72">
        <w:rPr>
          <w:rFonts w:ascii="Times New Roman" w:hAnsi="Times New Roman"/>
        </w:rPr>
        <w:t>Ma</w:t>
      </w:r>
      <w:r w:rsidR="00340B52">
        <w:rPr>
          <w:rFonts w:ascii="Times New Roman" w:hAnsi="Times New Roman"/>
        </w:rPr>
        <w:t>y</w:t>
      </w:r>
      <w:r w:rsidR="00D42B72">
        <w:rPr>
          <w:rFonts w:ascii="Times New Roman" w:hAnsi="Times New Roman"/>
        </w:rPr>
        <w:t xml:space="preserve"> 15, 2023</w:t>
      </w:r>
      <w:r w:rsidRPr="00A2391E">
        <w:rPr>
          <w:rFonts w:ascii="Times New Roman" w:hAnsi="Times New Roman"/>
        </w:rPr>
        <w:t xml:space="preserve"> (</w:t>
      </w:r>
      <w:r w:rsidR="00D42B72">
        <w:rPr>
          <w:rFonts w:ascii="Times New Roman" w:hAnsi="Times New Roman"/>
        </w:rPr>
        <w:t>88</w:t>
      </w:r>
      <w:r w:rsidRPr="005B2697" w:rsidR="005B2697">
        <w:rPr>
          <w:rFonts w:ascii="Times New Roman" w:hAnsi="Times New Roman"/>
        </w:rPr>
        <w:t xml:space="preserve"> FR </w:t>
      </w:r>
      <w:r w:rsidRPr="00392865" w:rsidR="00392865">
        <w:rPr>
          <w:rFonts w:ascii="Times New Roman" w:hAnsi="Times New Roman"/>
        </w:rPr>
        <w:t>31033</w:t>
      </w:r>
      <w:r w:rsidRPr="00A2391E">
        <w:rPr>
          <w:rFonts w:ascii="Times New Roman" w:hAnsi="Times New Roman"/>
        </w:rPr>
        <w:t>). The comment period end</w:t>
      </w:r>
      <w:r w:rsidR="00340B52">
        <w:rPr>
          <w:rFonts w:ascii="Times New Roman" w:hAnsi="Times New Roman"/>
        </w:rPr>
        <w:t>s</w:t>
      </w:r>
      <w:r w:rsidRPr="00A2391E">
        <w:rPr>
          <w:rFonts w:ascii="Times New Roman" w:hAnsi="Times New Roman"/>
        </w:rPr>
        <w:t xml:space="preserve"> on</w:t>
      </w:r>
      <w:r w:rsidR="002517E4">
        <w:rPr>
          <w:rFonts w:ascii="Times New Roman" w:hAnsi="Times New Roman"/>
        </w:rPr>
        <w:t xml:space="preserve"> </w:t>
      </w:r>
      <w:r w:rsidR="00340B52">
        <w:rPr>
          <w:rFonts w:ascii="Times New Roman" w:hAnsi="Times New Roman"/>
        </w:rPr>
        <w:t>July 1</w:t>
      </w:r>
      <w:r w:rsidR="005C62B7">
        <w:rPr>
          <w:rFonts w:ascii="Times New Roman" w:hAnsi="Times New Roman"/>
        </w:rPr>
        <w:t>4</w:t>
      </w:r>
      <w:r w:rsidR="00340B52">
        <w:rPr>
          <w:rFonts w:ascii="Times New Roman" w:hAnsi="Times New Roman"/>
        </w:rPr>
        <w:t>,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3403BC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A02D1" w:rsidRPr="00CA02D1" w:rsidP="00690F56" w14:paraId="0E53D2CB" w14:textId="69CF41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A02D1">
        <w:rPr>
          <w:rFonts w:ascii="Times New Roman" w:hAnsi="Times New Roman"/>
        </w:rPr>
        <w:t>There are no special circumstances as identified in the specific instructions for a supporting statement for Paperwork Reduction Act Submissions.</w:t>
      </w:r>
    </w:p>
    <w:p w:rsidR="00690F56" w:rsidRPr="00CA02D1"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1D369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FA79BF">
        <w:tblPrEx>
          <w:tblW w:w="7302" w:type="dxa"/>
          <w:jc w:val="center"/>
          <w:tblLook w:val="04A0"/>
        </w:tblPrEx>
        <w:trPr>
          <w:jc w:val="center"/>
        </w:trPr>
        <w:tc>
          <w:tcPr>
            <w:tcW w:w="1439" w:type="dxa"/>
            <w:shd w:val="clear" w:color="auto" w:fill="ADB9CA" w:themeFill="text2" w:themeFillTint="66"/>
          </w:tcPr>
          <w:p w:rsidR="00FA79BF"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FA79BF"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FA79BF"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FA79BF"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FA79BF"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FA79BF"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FA79BF">
        <w:tblPrEx>
          <w:tblW w:w="7302" w:type="dxa"/>
          <w:jc w:val="center"/>
          <w:tblLook w:val="04A0"/>
        </w:tblPrEx>
        <w:trPr>
          <w:jc w:val="center"/>
        </w:trPr>
        <w:tc>
          <w:tcPr>
            <w:tcW w:w="1439" w:type="dxa"/>
            <w:vAlign w:val="bottom"/>
          </w:tcPr>
          <w:p w:rsidR="00FA79BF" w:rsidRPr="008F47CB" w:rsidP="008C6A87" w14:paraId="4E4E0FA6" w14:textId="2E6B1B0D">
            <w:pPr>
              <w:jc w:val="right"/>
              <w:rPr>
                <w:rFonts w:ascii="Times New Roman" w:hAnsi="Times New Roman"/>
                <w:sz w:val="22"/>
                <w:szCs w:val="22"/>
              </w:rPr>
            </w:pPr>
            <w:r w:rsidRPr="005A38D8">
              <w:rPr>
                <w:rFonts w:ascii="Times New Roman" w:hAnsi="Times New Roman"/>
                <w:sz w:val="22"/>
                <w:szCs w:val="22"/>
              </w:rPr>
              <w:t>OVW Consolidated Progress Report Template</w:t>
            </w:r>
          </w:p>
        </w:tc>
        <w:tc>
          <w:tcPr>
            <w:tcW w:w="1415" w:type="dxa"/>
            <w:vAlign w:val="bottom"/>
          </w:tcPr>
          <w:p w:rsidR="00FA79BF" w:rsidRPr="008F47CB" w:rsidP="008C6A87" w14:paraId="23BB2474" w14:textId="56B32CB5">
            <w:pPr>
              <w:jc w:val="right"/>
              <w:rPr>
                <w:rFonts w:ascii="Times New Roman" w:hAnsi="Times New Roman"/>
                <w:sz w:val="22"/>
                <w:szCs w:val="22"/>
              </w:rPr>
            </w:pPr>
            <w:r>
              <w:rPr>
                <w:rFonts w:ascii="Times New Roman" w:hAnsi="Times New Roman"/>
                <w:sz w:val="22"/>
                <w:szCs w:val="22"/>
              </w:rPr>
              <w:t>100</w:t>
            </w:r>
          </w:p>
        </w:tc>
        <w:tc>
          <w:tcPr>
            <w:tcW w:w="1219" w:type="dxa"/>
            <w:vAlign w:val="bottom"/>
          </w:tcPr>
          <w:p w:rsidR="00FA79BF" w:rsidRPr="008F47CB" w:rsidP="008C6A87" w14:paraId="5D72451D" w14:textId="18B6D824">
            <w:pPr>
              <w:jc w:val="right"/>
              <w:rPr>
                <w:rFonts w:ascii="Times New Roman" w:hAnsi="Times New Roman"/>
                <w:sz w:val="22"/>
                <w:szCs w:val="22"/>
              </w:rPr>
            </w:pPr>
            <w:r>
              <w:rPr>
                <w:rFonts w:ascii="Times New Roman" w:hAnsi="Times New Roman"/>
                <w:sz w:val="22"/>
                <w:szCs w:val="22"/>
              </w:rPr>
              <w:t>2</w:t>
            </w:r>
          </w:p>
        </w:tc>
        <w:tc>
          <w:tcPr>
            <w:tcW w:w="1182" w:type="dxa"/>
            <w:vAlign w:val="bottom"/>
          </w:tcPr>
          <w:p w:rsidR="00FA79BF" w:rsidRPr="008F47CB" w:rsidP="008C6A87" w14:paraId="03D2549D" w14:textId="0CAA2F5E">
            <w:pPr>
              <w:jc w:val="right"/>
              <w:rPr>
                <w:rFonts w:ascii="Times New Roman" w:hAnsi="Times New Roman"/>
                <w:sz w:val="22"/>
                <w:szCs w:val="22"/>
              </w:rPr>
            </w:pPr>
            <w:r>
              <w:rPr>
                <w:rFonts w:ascii="Times New Roman" w:hAnsi="Times New Roman"/>
                <w:sz w:val="22"/>
                <w:szCs w:val="22"/>
              </w:rPr>
              <w:t>2</w:t>
            </w:r>
            <w:r w:rsidR="005A38D8">
              <w:rPr>
                <w:rFonts w:ascii="Times New Roman" w:hAnsi="Times New Roman"/>
                <w:sz w:val="22"/>
                <w:szCs w:val="22"/>
              </w:rPr>
              <w:t>00</w:t>
            </w:r>
          </w:p>
        </w:tc>
        <w:tc>
          <w:tcPr>
            <w:tcW w:w="1097" w:type="dxa"/>
            <w:vAlign w:val="bottom"/>
          </w:tcPr>
          <w:p w:rsidR="00FA79BF" w:rsidRPr="008F47CB" w:rsidP="008C6A87" w14:paraId="3704ADCE" w14:textId="300F529A">
            <w:pPr>
              <w:jc w:val="right"/>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hr</w:t>
            </w:r>
          </w:p>
        </w:tc>
        <w:tc>
          <w:tcPr>
            <w:tcW w:w="950" w:type="dxa"/>
            <w:vAlign w:val="bottom"/>
          </w:tcPr>
          <w:p w:rsidR="00FA79BF" w:rsidRPr="008F47CB" w:rsidP="008C6A87" w14:paraId="498C761A" w14:textId="762C59BB">
            <w:pPr>
              <w:jc w:val="right"/>
              <w:rPr>
                <w:rFonts w:ascii="Times New Roman" w:hAnsi="Times New Roman"/>
                <w:sz w:val="22"/>
                <w:szCs w:val="22"/>
              </w:rPr>
            </w:pPr>
            <w:r>
              <w:rPr>
                <w:rFonts w:ascii="Times New Roman" w:hAnsi="Times New Roman"/>
                <w:sz w:val="22"/>
                <w:szCs w:val="22"/>
              </w:rPr>
              <w:t>200</w:t>
            </w:r>
          </w:p>
        </w:tc>
      </w:tr>
      <w:tr w14:paraId="28A27403" w14:textId="77777777" w:rsidTr="00FA79BF">
        <w:tblPrEx>
          <w:tblW w:w="7302" w:type="dxa"/>
          <w:jc w:val="center"/>
          <w:tblLook w:val="04A0"/>
        </w:tblPrEx>
        <w:trPr>
          <w:jc w:val="center"/>
        </w:trPr>
        <w:tc>
          <w:tcPr>
            <w:tcW w:w="1439" w:type="dxa"/>
            <w:vAlign w:val="bottom"/>
          </w:tcPr>
          <w:p w:rsidR="00FA79BF" w:rsidRPr="008F47CB" w:rsidP="008C6A87" w14:paraId="779E4025" w14:textId="77777777">
            <w:pPr>
              <w:jc w:val="right"/>
              <w:rPr>
                <w:rFonts w:ascii="Times New Roman" w:hAnsi="Times New Roman"/>
                <w:sz w:val="22"/>
                <w:szCs w:val="22"/>
              </w:rPr>
            </w:pPr>
          </w:p>
        </w:tc>
        <w:tc>
          <w:tcPr>
            <w:tcW w:w="1415" w:type="dxa"/>
            <w:vAlign w:val="bottom"/>
          </w:tcPr>
          <w:p w:rsidR="00FA79BF" w:rsidRPr="008F47CB" w:rsidP="008C6A87" w14:paraId="0D0FB099" w14:textId="77777777">
            <w:pPr>
              <w:jc w:val="right"/>
              <w:rPr>
                <w:rFonts w:ascii="Times New Roman" w:hAnsi="Times New Roman"/>
                <w:sz w:val="22"/>
                <w:szCs w:val="22"/>
              </w:rPr>
            </w:pPr>
          </w:p>
        </w:tc>
        <w:tc>
          <w:tcPr>
            <w:tcW w:w="1219" w:type="dxa"/>
            <w:vAlign w:val="bottom"/>
          </w:tcPr>
          <w:p w:rsidR="00FA79BF" w:rsidRPr="008F47CB" w:rsidP="008C6A87" w14:paraId="2DF69973" w14:textId="77777777">
            <w:pPr>
              <w:jc w:val="right"/>
              <w:rPr>
                <w:rFonts w:ascii="Times New Roman" w:hAnsi="Times New Roman"/>
                <w:sz w:val="22"/>
                <w:szCs w:val="22"/>
              </w:rPr>
            </w:pPr>
          </w:p>
        </w:tc>
        <w:tc>
          <w:tcPr>
            <w:tcW w:w="1182" w:type="dxa"/>
            <w:vAlign w:val="bottom"/>
          </w:tcPr>
          <w:p w:rsidR="00FA79BF" w:rsidRPr="008F47CB" w:rsidP="008C6A87" w14:paraId="6869AFA2" w14:textId="77777777">
            <w:pPr>
              <w:jc w:val="right"/>
              <w:rPr>
                <w:rFonts w:ascii="Times New Roman" w:hAnsi="Times New Roman"/>
                <w:sz w:val="22"/>
                <w:szCs w:val="22"/>
              </w:rPr>
            </w:pPr>
          </w:p>
        </w:tc>
        <w:tc>
          <w:tcPr>
            <w:tcW w:w="1097" w:type="dxa"/>
            <w:vAlign w:val="bottom"/>
          </w:tcPr>
          <w:p w:rsidR="00FA79BF" w:rsidRPr="008F47CB" w:rsidP="008C6A87" w14:paraId="3983D868" w14:textId="77777777">
            <w:pPr>
              <w:jc w:val="right"/>
              <w:rPr>
                <w:rFonts w:ascii="Times New Roman" w:hAnsi="Times New Roman"/>
                <w:sz w:val="22"/>
                <w:szCs w:val="22"/>
              </w:rPr>
            </w:pPr>
          </w:p>
        </w:tc>
        <w:tc>
          <w:tcPr>
            <w:tcW w:w="950" w:type="dxa"/>
            <w:vAlign w:val="bottom"/>
          </w:tcPr>
          <w:p w:rsidR="00FA79BF" w:rsidRPr="008F47CB" w:rsidP="008C6A87" w14:paraId="1211DF9B" w14:textId="77777777">
            <w:pPr>
              <w:jc w:val="right"/>
              <w:rPr>
                <w:rFonts w:ascii="Times New Roman" w:hAnsi="Times New Roman"/>
                <w:sz w:val="22"/>
                <w:szCs w:val="22"/>
              </w:rPr>
            </w:pPr>
          </w:p>
        </w:tc>
      </w:tr>
      <w:tr w14:paraId="578B68EB" w14:textId="77777777" w:rsidTr="00FA79BF">
        <w:tblPrEx>
          <w:tblW w:w="7302" w:type="dxa"/>
          <w:jc w:val="center"/>
          <w:tblLook w:val="04A0"/>
        </w:tblPrEx>
        <w:trPr>
          <w:jc w:val="center"/>
        </w:trPr>
        <w:tc>
          <w:tcPr>
            <w:tcW w:w="1439" w:type="dxa"/>
          </w:tcPr>
          <w:p w:rsidR="00FA79BF"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FA79BF" w:rsidRPr="008F47CB" w:rsidP="00501A15" w14:paraId="32AB6B8A" w14:textId="4FB7E007">
            <w:pPr>
              <w:jc w:val="right"/>
              <w:rPr>
                <w:rFonts w:ascii="Times New Roman" w:hAnsi="Times New Roman"/>
                <w:b/>
                <w:i/>
                <w:sz w:val="22"/>
                <w:szCs w:val="22"/>
              </w:rPr>
            </w:pPr>
            <w:r>
              <w:rPr>
                <w:rFonts w:ascii="Times New Roman" w:hAnsi="Times New Roman"/>
                <w:b/>
                <w:i/>
                <w:sz w:val="22"/>
                <w:szCs w:val="22"/>
              </w:rPr>
              <w:t>100</w:t>
            </w:r>
          </w:p>
        </w:tc>
        <w:tc>
          <w:tcPr>
            <w:tcW w:w="1219" w:type="dxa"/>
            <w:vAlign w:val="bottom"/>
          </w:tcPr>
          <w:p w:rsidR="00FA79BF" w:rsidRPr="008F47CB" w:rsidP="00627B1F" w14:paraId="75495CB4" w14:textId="7C6FC44B">
            <w:pPr>
              <w:jc w:val="center"/>
              <w:rPr>
                <w:rFonts w:ascii="Times New Roman" w:hAnsi="Times New Roman"/>
                <w:b/>
                <w:i/>
                <w:sz w:val="22"/>
                <w:szCs w:val="22"/>
              </w:rPr>
            </w:pPr>
          </w:p>
        </w:tc>
        <w:tc>
          <w:tcPr>
            <w:tcW w:w="1182" w:type="dxa"/>
            <w:vAlign w:val="bottom"/>
          </w:tcPr>
          <w:p w:rsidR="00FA79BF" w:rsidRPr="008F47CB" w:rsidP="00501A15" w14:paraId="1A7661D9" w14:textId="2C72B0C4">
            <w:pPr>
              <w:jc w:val="right"/>
              <w:rPr>
                <w:rFonts w:ascii="Times New Roman" w:hAnsi="Times New Roman"/>
                <w:b/>
                <w:i/>
                <w:sz w:val="22"/>
                <w:szCs w:val="22"/>
              </w:rPr>
            </w:pPr>
            <w:r>
              <w:rPr>
                <w:rFonts w:ascii="Times New Roman" w:hAnsi="Times New Roman"/>
                <w:b/>
                <w:i/>
                <w:sz w:val="22"/>
                <w:szCs w:val="22"/>
              </w:rPr>
              <w:t>200</w:t>
            </w:r>
          </w:p>
        </w:tc>
        <w:tc>
          <w:tcPr>
            <w:tcW w:w="1097" w:type="dxa"/>
            <w:vAlign w:val="bottom"/>
          </w:tcPr>
          <w:p w:rsidR="00FA79BF" w:rsidRPr="008F47CB" w:rsidP="00501A15" w14:paraId="4A94906E" w14:textId="7D08036C">
            <w:pPr>
              <w:jc w:val="right"/>
              <w:rPr>
                <w:rFonts w:ascii="Times New Roman" w:hAnsi="Times New Roman"/>
                <w:b/>
                <w:i/>
                <w:sz w:val="22"/>
                <w:szCs w:val="22"/>
              </w:rPr>
            </w:pPr>
          </w:p>
        </w:tc>
        <w:tc>
          <w:tcPr>
            <w:tcW w:w="950" w:type="dxa"/>
            <w:vAlign w:val="bottom"/>
          </w:tcPr>
          <w:p w:rsidR="00FA79BF" w:rsidRPr="008F47CB" w:rsidP="00501A15" w14:paraId="4075BA8E" w14:textId="2CCC753A">
            <w:pPr>
              <w:jc w:val="right"/>
              <w:rPr>
                <w:rFonts w:ascii="Times New Roman" w:hAnsi="Times New Roman"/>
                <w:b/>
                <w:i/>
                <w:sz w:val="22"/>
                <w:szCs w:val="22"/>
              </w:rPr>
            </w:pPr>
            <w:r>
              <w:rPr>
                <w:rFonts w:ascii="Times New Roman" w:hAnsi="Times New Roman"/>
                <w:b/>
                <w:i/>
                <w:sz w:val="22"/>
                <w:szCs w:val="22"/>
              </w:rPr>
              <w:t>200hr</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D53DEB">
        <w:rPr>
          <w:rFonts w:ascii="Times New Roman" w:hAnsi="Times New Roman"/>
          <w:b/>
        </w:rPr>
        <w:t xml:space="preserve">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1E7B5179">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A38D8" w:rsidP="005A38D8" w14:paraId="739F5633" w14:textId="77777777">
      <w:pPr>
        <w:pStyle w:val="ListParagraph"/>
        <w:rPr>
          <w:rFonts w:ascii="Times New Roman" w:hAnsi="Times New Roman"/>
          <w:b/>
        </w:rPr>
      </w:pPr>
    </w:p>
    <w:p w:rsidR="005A38D8" w:rsidRPr="00860417" w:rsidP="005A38D8" w14:paraId="7BF15037" w14:textId="2FC510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860417">
        <w:rPr>
          <w:rFonts w:ascii="Times New Roman" w:hAnsi="Times New Roman"/>
          <w:bCs/>
        </w:rPr>
        <w:t>OVW does not believe that there is any annual cost burden on respondents or recordkeepers resulting from the collection of this information.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2AA1" w:rsidP="00690F56" w14:paraId="2708E903" w14:textId="2C8840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5EB9">
        <w:rPr>
          <w:rFonts w:ascii="Times New Roman" w:hAnsi="Times New Roman"/>
        </w:rPr>
        <w:t>The annualized costs to the Federal Government resulting from the OVW staff review of the progress reports submitted by grantees are estimated to be $11</w:t>
      </w:r>
      <w:r w:rsidR="00F1482A">
        <w:rPr>
          <w:rFonts w:ascii="Times New Roman" w:hAnsi="Times New Roman"/>
        </w:rPr>
        <w:t>,</w:t>
      </w:r>
      <w:r w:rsidRPr="00925EB9">
        <w:rPr>
          <w:rFonts w:ascii="Times New Roman" w:hAnsi="Times New Roman"/>
        </w:rPr>
        <w:t>200.</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A516D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to this collection.</w:t>
      </w:r>
    </w:p>
    <w:p w:rsidR="00925EB9" w:rsidRPr="00F4518C" w:rsidP="00690F56" w14:paraId="30DAE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47D4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635B2" w:rsidP="00690F56" w14:paraId="74B6F32B" w14:textId="617DA5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635B2">
        <w:rPr>
          <w:rFonts w:ascii="Times New Roman" w:hAnsi="Times New Roman"/>
        </w:rPr>
        <w:t>There will be no complex analytical techniques used in connection with the publication of information collected under the request. Information will be gathered once a year at the end of the reporting periods. OVW is statutorily required to submit a report on the effectiveness of all</w:t>
      </w:r>
      <w:r>
        <w:rPr>
          <w:rFonts w:ascii="Times New Roman" w:hAnsi="Times New Roman"/>
        </w:rPr>
        <w:t xml:space="preserve"> </w:t>
      </w:r>
      <w:r w:rsidRPr="003635B2">
        <w:rPr>
          <w:rFonts w:ascii="Times New Roman" w:hAnsi="Times New Roman"/>
        </w:rPr>
        <w:t>grant-funded activities on a biennial basis.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27D3A90">
      <w:pPr>
        <w:rPr>
          <w:rFonts w:ascii="Times New Roman" w:hAnsi="Times New Roman"/>
        </w:rPr>
      </w:pPr>
      <w:r>
        <w:rPr>
          <w:rFonts w:ascii="Times New Roman" w:hAnsi="Times New Roman"/>
        </w:rPr>
        <w:t xml:space="preserve">This </w:t>
      </w:r>
      <w:r w:rsidR="003635B2">
        <w:rPr>
          <w:rFonts w:ascii="Times New Roman" w:hAnsi="Times New Roman"/>
        </w:rPr>
        <w:t>collection 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0C0E32A">
    <w:pPr>
      <w:pStyle w:val="Header"/>
      <w:rPr>
        <w:rFonts w:ascii="Times New Roman" w:hAnsi="Times New Roman"/>
        <w:bCs/>
        <w:sz w:val="20"/>
        <w:szCs w:val="20"/>
      </w:rPr>
    </w:pPr>
    <w:r w:rsidRPr="005F74AB">
      <w:rPr>
        <w:rFonts w:ascii="Times New Roman" w:hAnsi="Times New Roman"/>
        <w:bCs/>
        <w:sz w:val="20"/>
        <w:szCs w:val="20"/>
      </w:rPr>
      <w:t>Semi-Annual Progress Report for Technical Assistance Program</w:t>
    </w:r>
  </w:p>
  <w:p w:rsidR="00EC0B43" w14:paraId="52F50703" w14:textId="6D73732B">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313AC0">
      <w:rPr>
        <w:rFonts w:ascii="Times New Roman" w:hAnsi="Times New Roman"/>
        <w:sz w:val="20"/>
        <w:szCs w:val="20"/>
      </w:rPr>
      <w:t>2</w:t>
    </w:r>
    <w:r w:rsidR="005F74AB">
      <w:rPr>
        <w:rFonts w:ascii="Times New Roman" w:hAnsi="Times New Roman"/>
        <w:sz w:val="20"/>
        <w:szCs w:val="20"/>
      </w:rPr>
      <w:t>2-0017</w:t>
    </w:r>
  </w:p>
  <w:p w:rsidR="00E60FB0" w:rsidRPr="00F8164B" w14:paraId="1D1AD862" w14:textId="24301BAC">
    <w:pPr>
      <w:pStyle w:val="Header"/>
      <w:rPr>
        <w:rFonts w:ascii="Times New Roman" w:hAnsi="Times New Roman"/>
        <w:sz w:val="20"/>
        <w:szCs w:val="20"/>
      </w:rPr>
    </w:pPr>
    <w:r>
      <w:rPr>
        <w:rFonts w:ascii="Times New Roman" w:hAnsi="Times New Roman"/>
        <w:sz w:val="20"/>
        <w:szCs w:val="20"/>
      </w:rPr>
      <w:t xml:space="preserve">OMB Expiration Date: </w:t>
    </w:r>
    <w:r w:rsidR="00DA7DC9">
      <w:rPr>
        <w:rFonts w:ascii="Times New Roman" w:hAnsi="Times New Roman"/>
        <w:sz w:val="20"/>
        <w:szCs w:val="20"/>
      </w:rPr>
      <w:t>0</w:t>
    </w:r>
    <w:r w:rsidR="005F74AB">
      <w:rPr>
        <w:rFonts w:ascii="Times New Roman" w:hAnsi="Times New Roman"/>
        <w:sz w:val="20"/>
        <w:szCs w:val="20"/>
      </w:rPr>
      <w:t>5/31/2023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361CF"/>
    <w:rsid w:val="0014556E"/>
    <w:rsid w:val="0014601E"/>
    <w:rsid w:val="0015322B"/>
    <w:rsid w:val="0015365E"/>
    <w:rsid w:val="00157A90"/>
    <w:rsid w:val="00167AD4"/>
    <w:rsid w:val="00180E5A"/>
    <w:rsid w:val="00192711"/>
    <w:rsid w:val="001A2D58"/>
    <w:rsid w:val="001A47D9"/>
    <w:rsid w:val="001B4BB9"/>
    <w:rsid w:val="001C39F6"/>
    <w:rsid w:val="001D10ED"/>
    <w:rsid w:val="001D2D09"/>
    <w:rsid w:val="001D67BB"/>
    <w:rsid w:val="001E0E7F"/>
    <w:rsid w:val="001E2932"/>
    <w:rsid w:val="001E3596"/>
    <w:rsid w:val="001E5213"/>
    <w:rsid w:val="001F2E8E"/>
    <w:rsid w:val="001F362A"/>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04EAD"/>
    <w:rsid w:val="00305A17"/>
    <w:rsid w:val="00312124"/>
    <w:rsid w:val="00313820"/>
    <w:rsid w:val="00313AC0"/>
    <w:rsid w:val="00322C1B"/>
    <w:rsid w:val="0032649A"/>
    <w:rsid w:val="00332F98"/>
    <w:rsid w:val="0033578D"/>
    <w:rsid w:val="00340B52"/>
    <w:rsid w:val="003430A6"/>
    <w:rsid w:val="003448FC"/>
    <w:rsid w:val="003548D8"/>
    <w:rsid w:val="003635B2"/>
    <w:rsid w:val="00363CC2"/>
    <w:rsid w:val="00370C9A"/>
    <w:rsid w:val="00371EEC"/>
    <w:rsid w:val="003876F3"/>
    <w:rsid w:val="00390426"/>
    <w:rsid w:val="003908B9"/>
    <w:rsid w:val="00392865"/>
    <w:rsid w:val="00394AEB"/>
    <w:rsid w:val="003A4476"/>
    <w:rsid w:val="003A6353"/>
    <w:rsid w:val="003B2F28"/>
    <w:rsid w:val="003C13C6"/>
    <w:rsid w:val="003D4D00"/>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328D9"/>
    <w:rsid w:val="00435E05"/>
    <w:rsid w:val="0043771F"/>
    <w:rsid w:val="00442410"/>
    <w:rsid w:val="00443460"/>
    <w:rsid w:val="0044773C"/>
    <w:rsid w:val="00454101"/>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5399C"/>
    <w:rsid w:val="005622FE"/>
    <w:rsid w:val="00567912"/>
    <w:rsid w:val="00570098"/>
    <w:rsid w:val="005805E7"/>
    <w:rsid w:val="005825A4"/>
    <w:rsid w:val="00583F5D"/>
    <w:rsid w:val="0058424C"/>
    <w:rsid w:val="00584F8D"/>
    <w:rsid w:val="005A0350"/>
    <w:rsid w:val="005A38D8"/>
    <w:rsid w:val="005A7D9E"/>
    <w:rsid w:val="005B2697"/>
    <w:rsid w:val="005B5990"/>
    <w:rsid w:val="005C6147"/>
    <w:rsid w:val="005C62B7"/>
    <w:rsid w:val="005D5F8C"/>
    <w:rsid w:val="005E0EE5"/>
    <w:rsid w:val="005E5148"/>
    <w:rsid w:val="005F74AB"/>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B21E3"/>
    <w:rsid w:val="006C39F8"/>
    <w:rsid w:val="006E1A08"/>
    <w:rsid w:val="006E4433"/>
    <w:rsid w:val="006E54FE"/>
    <w:rsid w:val="006E604F"/>
    <w:rsid w:val="006E63C6"/>
    <w:rsid w:val="006F3651"/>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7CD2"/>
    <w:rsid w:val="00780272"/>
    <w:rsid w:val="0078038F"/>
    <w:rsid w:val="0078153B"/>
    <w:rsid w:val="00785FE9"/>
    <w:rsid w:val="00786E04"/>
    <w:rsid w:val="007A7F79"/>
    <w:rsid w:val="007C124D"/>
    <w:rsid w:val="007D46C2"/>
    <w:rsid w:val="007F3B38"/>
    <w:rsid w:val="007F3C02"/>
    <w:rsid w:val="00802605"/>
    <w:rsid w:val="00802A30"/>
    <w:rsid w:val="008043E5"/>
    <w:rsid w:val="00804A1A"/>
    <w:rsid w:val="0081073D"/>
    <w:rsid w:val="00813CC0"/>
    <w:rsid w:val="00816C3D"/>
    <w:rsid w:val="00817795"/>
    <w:rsid w:val="008323ED"/>
    <w:rsid w:val="00835955"/>
    <w:rsid w:val="00846701"/>
    <w:rsid w:val="00860417"/>
    <w:rsid w:val="008624D5"/>
    <w:rsid w:val="00871CA6"/>
    <w:rsid w:val="00882AB5"/>
    <w:rsid w:val="00882B1D"/>
    <w:rsid w:val="00884932"/>
    <w:rsid w:val="0088672C"/>
    <w:rsid w:val="008A1F0C"/>
    <w:rsid w:val="008A40D1"/>
    <w:rsid w:val="008B541B"/>
    <w:rsid w:val="008C6A87"/>
    <w:rsid w:val="008F47CB"/>
    <w:rsid w:val="008F5EDE"/>
    <w:rsid w:val="00901003"/>
    <w:rsid w:val="0090158E"/>
    <w:rsid w:val="00901EF6"/>
    <w:rsid w:val="0090413E"/>
    <w:rsid w:val="00923B37"/>
    <w:rsid w:val="00925EB9"/>
    <w:rsid w:val="009271B1"/>
    <w:rsid w:val="0093485F"/>
    <w:rsid w:val="009407FC"/>
    <w:rsid w:val="009441E2"/>
    <w:rsid w:val="00963680"/>
    <w:rsid w:val="00964D3F"/>
    <w:rsid w:val="009700D9"/>
    <w:rsid w:val="00983CA7"/>
    <w:rsid w:val="00985369"/>
    <w:rsid w:val="00985C15"/>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258"/>
    <w:rsid w:val="00A41C21"/>
    <w:rsid w:val="00A47DA7"/>
    <w:rsid w:val="00A52DE7"/>
    <w:rsid w:val="00A55023"/>
    <w:rsid w:val="00A56B86"/>
    <w:rsid w:val="00A632EF"/>
    <w:rsid w:val="00A677E9"/>
    <w:rsid w:val="00A740AB"/>
    <w:rsid w:val="00A74E81"/>
    <w:rsid w:val="00A834BF"/>
    <w:rsid w:val="00A90769"/>
    <w:rsid w:val="00A973AA"/>
    <w:rsid w:val="00AA177A"/>
    <w:rsid w:val="00AB4DC3"/>
    <w:rsid w:val="00AC775D"/>
    <w:rsid w:val="00AD022F"/>
    <w:rsid w:val="00AD113F"/>
    <w:rsid w:val="00AD75AC"/>
    <w:rsid w:val="00AE68C7"/>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0A3D"/>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02D1"/>
    <w:rsid w:val="00CA2F0A"/>
    <w:rsid w:val="00CB1ECE"/>
    <w:rsid w:val="00CB3579"/>
    <w:rsid w:val="00CB5C31"/>
    <w:rsid w:val="00CC0731"/>
    <w:rsid w:val="00CC770C"/>
    <w:rsid w:val="00CD215D"/>
    <w:rsid w:val="00CD4F92"/>
    <w:rsid w:val="00CD6628"/>
    <w:rsid w:val="00CE39D7"/>
    <w:rsid w:val="00CF7A67"/>
    <w:rsid w:val="00D00B48"/>
    <w:rsid w:val="00D2331B"/>
    <w:rsid w:val="00D36BB6"/>
    <w:rsid w:val="00D42B72"/>
    <w:rsid w:val="00D4451A"/>
    <w:rsid w:val="00D472BE"/>
    <w:rsid w:val="00D53DEB"/>
    <w:rsid w:val="00D57DE8"/>
    <w:rsid w:val="00D735B0"/>
    <w:rsid w:val="00D73AAD"/>
    <w:rsid w:val="00D75842"/>
    <w:rsid w:val="00D802D6"/>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29F2"/>
    <w:rsid w:val="00E83023"/>
    <w:rsid w:val="00E83271"/>
    <w:rsid w:val="00E833E4"/>
    <w:rsid w:val="00E909D5"/>
    <w:rsid w:val="00E92EED"/>
    <w:rsid w:val="00E93A0F"/>
    <w:rsid w:val="00EA3E66"/>
    <w:rsid w:val="00EC0B43"/>
    <w:rsid w:val="00EC4383"/>
    <w:rsid w:val="00EC5D7E"/>
    <w:rsid w:val="00ED49C1"/>
    <w:rsid w:val="00F11AA8"/>
    <w:rsid w:val="00F12F81"/>
    <w:rsid w:val="00F1482A"/>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A79BF"/>
    <w:rsid w:val="00FB026D"/>
    <w:rsid w:val="00FB2A32"/>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ovw/reportscongres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2342</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31</cp:revision>
  <cp:lastPrinted>2020-02-19T15:46:00Z</cp:lastPrinted>
  <dcterms:created xsi:type="dcterms:W3CDTF">2023-05-03T22:51:00Z</dcterms:created>
  <dcterms:modified xsi:type="dcterms:W3CDTF">2023-05-15T19:15:00Z</dcterms:modified>
</cp:coreProperties>
</file>