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C03D8B"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C03D8B" w14:paraId="60089450" w14:textId="6A22BA78">
      <w:pPr>
        <w:widowControl/>
        <w:jc w:val="center"/>
        <w:rPr>
          <w:rFonts w:ascii="Times New Roman" w:hAnsi="Times New Roman"/>
          <w:b/>
          <w:bCs/>
        </w:rPr>
      </w:pPr>
      <w:r w:rsidRPr="00C03D8B">
        <w:rPr>
          <w:rFonts w:ascii="Times New Roman" w:hAnsi="Times New Roman"/>
          <w:b/>
          <w:bCs/>
        </w:rPr>
        <w:t>30-Day Alien Suitability Request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712DA" w:rsidRPr="00B712DA" w:rsidP="00B712DA" w14:paraId="27946F50" w14:textId="3AFB264E">
      <w:pPr>
        <w:pStyle w:val="paragraph"/>
        <w:textAlignment w:val="baseline"/>
        <w:rPr>
          <w:color w:val="000000"/>
        </w:rPr>
      </w:pPr>
      <w:r w:rsidRPr="00B712DA">
        <w:rPr>
          <w:color w:val="000000"/>
        </w:rPr>
        <w:t xml:space="preserve">The Office of Field Operations, Special Operations Division, oversees and manages ATF’s Confidential Informant (CI) Program. ATF Special Agents (SAs) and Task Force Officers (TFOs), also identified as CI handlers, utilize CIs to assist in investigating criminal activity. Since the use of a CI is a sensitive matter and requires the association of CI handlers with individuals whose motivations may be suspect or ultimately challenged by courts, this investigative technique is carefully controlled and closely monitored. A CI can be utilized after properly identifying, documenting, and receiving approval from the Special Agent in Charge (SAC) or his/her designee. Individual’s that are considered illegal aliens (i.e., in the United States (U.S.) illegally) must first be approved to remain in the U.S. by the Department of Homeland Security (DHS) before the individual may be approved for use as a CI.  DHS has immigration programs that ATF may utilize to sponsor the individual to remain in the U.S. while serving in a CI capacity.  If DHS approves the individual, the CI handler may then proceed with submitting an initial suitability request for determination by the SAC.  Once approved by the SAC, the individual is registered as an active CI. </w:t>
      </w:r>
    </w:p>
    <w:p w:rsidR="00B712DA" w:rsidRPr="00B712DA" w:rsidP="00B712DA" w14:paraId="1955842F" w14:textId="0BF8A0DD">
      <w:pPr>
        <w:pStyle w:val="paragraph"/>
        <w:textAlignment w:val="baseline"/>
        <w:rPr>
          <w:color w:val="000000"/>
        </w:rPr>
      </w:pPr>
      <w:r w:rsidRPr="00B712DA">
        <w:rPr>
          <w:color w:val="000000"/>
        </w:rPr>
        <w:t>DHS requires regular, in-person contact with the sponsored CI.  The CI handler must meet with the CI at least monthly and submit a suitability request through their chain of command for continued approval to utilize the CI.</w:t>
      </w:r>
    </w:p>
    <w:p w:rsidR="00B712DA" w:rsidRPr="00B712DA" w:rsidP="00B712DA" w14:paraId="65173A7E" w14:textId="0DEBA717">
      <w:pPr>
        <w:pStyle w:val="paragraph"/>
        <w:textAlignment w:val="baseline"/>
        <w:rPr>
          <w:color w:val="000000"/>
        </w:rPr>
      </w:pPr>
      <w:r w:rsidRPr="00B712DA">
        <w:rPr>
          <w:color w:val="000000"/>
        </w:rPr>
        <w:t xml:space="preserve">The Department of Justice (DOJ), Attorney General’s Guidelines Regarding the Use of Confidential Informants or (the Guidelines) subparagraph II., A., 1. Initial Suitability Determination, mandates that the CI handler address the potential CI’s alien status.  The Guidelines further state that the CI handler must complete a continuing suitability report and recommendation, to include all factors set forth in paragraph II., A., 1. </w:t>
      </w:r>
    </w:p>
    <w:p w:rsidR="00B5043F" w:rsidP="00B712DA" w14:paraId="386CE7D5" w14:textId="33AF64D2">
      <w:pPr>
        <w:pStyle w:val="paragraph"/>
        <w:textAlignment w:val="baseline"/>
        <w:rPr>
          <w:color w:val="000000"/>
        </w:rPr>
      </w:pPr>
      <w:r w:rsidRPr="00B712DA">
        <w:rPr>
          <w:color w:val="000000"/>
        </w:rPr>
        <w:t>The CI handler will use the 30-Day Alien Suitability Request, ATF F 3252.11, to accommodate the DHS regular, in-person monthly contact requirement and comply with the Guidelines mandated by DOJ.  The 30-Day Alien Suitability Request will be maintained in the CI’s official record.</w:t>
      </w:r>
    </w:p>
    <w:p w:rsidR="00715C5B" w:rsidRPr="00D802D6" w:rsidP="00B712DA" w14:paraId="15B1F24B" w14:textId="4883D726">
      <w:pPr>
        <w:pStyle w:val="paragraph"/>
        <w:textAlignment w:val="baseline"/>
        <w:rPr>
          <w:color w:val="000000"/>
        </w:rPr>
      </w:pPr>
      <w:r>
        <w:rPr>
          <w:color w:val="000000"/>
        </w:rPr>
        <w:t xml:space="preserve">ATF </w:t>
      </w:r>
      <w:r w:rsidR="00561C6A">
        <w:rPr>
          <w:color w:val="000000"/>
        </w:rPr>
        <w:t>is authorized by 28 USC 599A</w:t>
      </w:r>
      <w:r w:rsidR="00465380">
        <w:rPr>
          <w:color w:val="000000"/>
        </w:rPr>
        <w:t>, Bureau of Alcohol, Tobacco, Firearms and Explosives and 28 CFR</w:t>
      </w:r>
      <w:r w:rsidR="00DA45FE">
        <w:rPr>
          <w:color w:val="000000"/>
        </w:rPr>
        <w:t xml:space="preserve"> 0.130, General Functions. </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690F56" w:rsidRPr="00802A30" w:rsidP="0033578D" w14:paraId="6EBE63D5" w14:textId="57412B25">
      <w:pPr>
        <w:widowControl/>
        <w:rPr>
          <w:rFonts w:ascii="Times New Roman" w:hAnsi="Times New Roman"/>
        </w:rPr>
      </w:pPr>
      <w:r w:rsidRPr="004A2E15">
        <w:rPr>
          <w:rFonts w:ascii="Times New Roman" w:hAnsi="Times New Roman"/>
        </w:rPr>
        <w:t>The information provided on ATF F 3252.11 will be collected and maintained by ATF’s Office of Field Operations. The purpose of the collection is to relay the status of an illegal alien currently sponsored by ATF and to request continued use of the individual as an ATF CI.  The CI handler must interview the CI (in-person) and conduct indices checks to complete the form.  In addition to documenting the CI’s alien status, the form will capture the CI’s contact information (i.e., telephone number(s) and current address).  The form will identify the CI by their ATF CI number.  The form will not contain the CI’s signature, name, Social Security number, date of birth, or any other personally identifiable information.  ATF F 3252.11 will be used to document the CI’s alien status and changes in their suitability (</w:t>
      </w:r>
      <w:r w:rsidRPr="004A2E15" w:rsidR="00BB3D4A">
        <w:rPr>
          <w:rFonts w:ascii="Times New Roman" w:hAnsi="Times New Roman"/>
        </w:rPr>
        <w:t>e.g.,</w:t>
      </w:r>
      <w:r w:rsidRPr="004A2E15">
        <w:rPr>
          <w:rFonts w:ascii="Times New Roman" w:hAnsi="Times New Roman"/>
        </w:rPr>
        <w:t xml:space="preserve"> criminal history, ability to follow direction, etc.).</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6397B" w:rsidRPr="0076397B" w:rsidP="0076397B" w14:paraId="0C1C621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6397B">
        <w:rPr>
          <w:rFonts w:ascii="Times New Roman" w:hAnsi="Times New Roman"/>
        </w:rPr>
        <w:t>ATF F 3252.11 will be a fillable and accessible form that will be made available to CI handlers on the ATF intra-web. However, the form will be unavailable to the wider public via the ATF website. In preparation to interview the CI in-person, the CI handler will complete portions of the form (e.g., Activation Date, Active (</w:t>
      </w:r>
      <w:r w:rsidRPr="0076397B">
        <w:rPr>
          <w:rFonts w:ascii="Times New Roman" w:hAnsi="Times New Roman"/>
        </w:rPr>
        <w:t>est</w:t>
      </w:r>
      <w:r w:rsidRPr="0076397B">
        <w:rPr>
          <w:rFonts w:ascii="Times New Roman" w:hAnsi="Times New Roman"/>
        </w:rPr>
        <w:t>) Years and Months, Investigations supported by the CI, etc.).  Once the in-person interview is completed, the CI handler will complete the remaining portions of the form (e.g., change in residential address, change in telephone number, the CI’s contact with law enforcement, etc.).</w:t>
      </w:r>
    </w:p>
    <w:p w:rsidR="0076397B" w:rsidRPr="0076397B" w:rsidP="0076397B" w14:paraId="37EC85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76397B" w14:paraId="711B75A7" w14:textId="39604CB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6397B">
        <w:rPr>
          <w:rFonts w:ascii="Times New Roman" w:hAnsi="Times New Roman"/>
        </w:rPr>
        <w:t xml:space="preserve">The form will be deemed complete when the CI handler enters the information gathered from the in-person interview, </w:t>
      </w:r>
      <w:r w:rsidR="003A4A42">
        <w:rPr>
          <w:rFonts w:ascii="Times New Roman" w:hAnsi="Times New Roman"/>
        </w:rPr>
        <w:t>into</w:t>
      </w:r>
      <w:r w:rsidRPr="0076397B">
        <w:rPr>
          <w:rFonts w:ascii="Times New Roman" w:hAnsi="Times New Roman"/>
        </w:rPr>
        <w:t xml:space="preserve"> the ATF’s Confidential Informant Master Registry and Reporting System (CIMRRS).  After completion, the ATF F 3252.11 will be scanned and stored electronically as a .pdf attachment associated with the 30-Day Alien Suitability Request action in the CI’s record within CIMRRS</w:t>
      </w:r>
      <w:r w:rsidR="00B17480">
        <w:rPr>
          <w:rFonts w:ascii="Times New Roman" w:hAnsi="Times New Roman"/>
        </w:rPr>
        <w:t>.</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P="00690F56" w14:paraId="1F4E2827" w14:textId="66E273D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F2E75">
        <w:rPr>
          <w:rFonts w:ascii="Times New Roman" w:hAnsi="Times New Roman"/>
        </w:rPr>
        <w:t>ATF uses a uniform subject classification system for forms to identify</w:t>
      </w:r>
      <w:r w:rsidR="00BC7800">
        <w:rPr>
          <w:rFonts w:ascii="Times New Roman" w:hAnsi="Times New Roman"/>
        </w:rPr>
        <w:t xml:space="preserve"> </w:t>
      </w:r>
      <w:r w:rsidR="00FE0951">
        <w:rPr>
          <w:rFonts w:ascii="Times New Roman" w:hAnsi="Times New Roman"/>
        </w:rPr>
        <w:t xml:space="preserve">the status of an illegal </w:t>
      </w:r>
      <w:r w:rsidR="00897CA0">
        <w:rPr>
          <w:rFonts w:ascii="Times New Roman" w:hAnsi="Times New Roman"/>
        </w:rPr>
        <w:t xml:space="preserve">alien currently sponsored by ATF. </w:t>
      </w:r>
      <w:r w:rsidRPr="005F2E75">
        <w:rPr>
          <w:rFonts w:ascii="Times New Roman" w:hAnsi="Times New Roman"/>
        </w:rPr>
        <w:t xml:space="preserve"> </w:t>
      </w:r>
      <w:r w:rsidR="00897CA0">
        <w:rPr>
          <w:rFonts w:ascii="Times New Roman" w:hAnsi="Times New Roman"/>
        </w:rPr>
        <w:t>No</w:t>
      </w:r>
      <w:r w:rsidRPr="005F2E75">
        <w:rPr>
          <w:rFonts w:ascii="Times New Roman" w:hAnsi="Times New Roman"/>
        </w:rPr>
        <w:t xml:space="preserve"> similar information </w:t>
      </w:r>
      <w:r w:rsidR="00897CA0">
        <w:rPr>
          <w:rFonts w:ascii="Times New Roman" w:hAnsi="Times New Roman"/>
        </w:rPr>
        <w:t xml:space="preserve">is </w:t>
      </w:r>
      <w:r w:rsidRPr="005F2E75">
        <w:rPr>
          <w:rFonts w:ascii="Times New Roman" w:hAnsi="Times New Roman"/>
        </w:rPr>
        <w:t>already available cannot be used or modified for use for the purpose of this information collection</w:t>
      </w:r>
      <w:r>
        <w:rPr>
          <w:rFonts w:ascii="Times New Roman" w:hAnsi="Times New Roman"/>
        </w:rPr>
        <w:t>.</w:t>
      </w:r>
    </w:p>
    <w:p w:rsidR="005F2E75" w:rsidRPr="00A973AA" w:rsidP="00690F56" w14:paraId="75DA8DB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5B86E4D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1780F">
        <w:rPr>
          <w:rFonts w:ascii="Times New Roman" w:hAnsi="Times New Roman"/>
        </w:rPr>
        <w:t>The consequences of not conducting this information collection would result in ATF’s non-compliance with the Guidelines document. All DOJ law enforcement organizations (except the Federal Bureau of Investigations) must comply with the Guidelines.  It is pertinent and mandatory that ATF conduct regular reviews of ATF-sponsored alien Cis</w:t>
      </w:r>
      <w:r>
        <w:rPr>
          <w:rFonts w:ascii="Times New Roman" w:hAnsi="Times New Roman"/>
        </w:rPr>
        <w:t>.</w:t>
      </w:r>
    </w:p>
    <w:p w:rsidR="00D1780F" w:rsidRPr="00A47DA7" w:rsidP="00690F56" w14:paraId="6104F00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4A3551D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w:t>
      </w:r>
      <w:r w:rsidR="00F10FCD">
        <w:rPr>
          <w:rFonts w:ascii="Times New Roman" w:hAnsi="Times New Roman"/>
        </w:rPr>
        <w:t xml:space="preserve"> </w:t>
      </w:r>
      <w:r w:rsidR="005115E9">
        <w:rPr>
          <w:rFonts w:ascii="Times New Roman" w:hAnsi="Times New Roman"/>
        </w:rPr>
        <w:t>30-</w:t>
      </w:r>
      <w:r w:rsidR="0043001F">
        <w:rPr>
          <w:rFonts w:ascii="Times New Roman" w:hAnsi="Times New Roman"/>
        </w:rPr>
        <w:t>day</w:t>
      </w:r>
      <w:r w:rsidR="005115E9">
        <w:rPr>
          <w:rFonts w:ascii="Times New Roman" w:hAnsi="Times New Roman"/>
        </w:rPr>
        <w:t xml:space="preserve"> Alien Suitability Request must be submitted</w:t>
      </w:r>
      <w:r w:rsidR="003368E0">
        <w:rPr>
          <w:rFonts w:ascii="Times New Roman" w:hAnsi="Times New Roman"/>
        </w:rPr>
        <w:t xml:space="preserve"> monthly</w:t>
      </w:r>
      <w:r w:rsidR="005115E9">
        <w:rPr>
          <w:rFonts w:ascii="Times New Roman" w:hAnsi="Times New Roman"/>
        </w:rPr>
        <w:t xml:space="preserve"> by the primary handler to begin the workflow process. </w:t>
      </w:r>
      <w:r w:rsidR="00417FA0">
        <w:rPr>
          <w:rFonts w:ascii="Times New Roman" w:hAnsi="Times New Roman"/>
        </w:rPr>
        <w:t xml:space="preserve">Once a final determination is made, a copy of the completed form must be provided to the Alien Program Manager. </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0F3A23D1">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9C2B84">
        <w:rPr>
          <w:rFonts w:ascii="Times New Roman" w:hAnsi="Times New Roman"/>
        </w:rPr>
        <w:t>February 9, 2023</w:t>
      </w:r>
      <w:r w:rsidRPr="00A2391E">
        <w:rPr>
          <w:rFonts w:ascii="Times New Roman" w:hAnsi="Times New Roman"/>
        </w:rPr>
        <w:t xml:space="preserve"> (</w:t>
      </w:r>
      <w:r w:rsidR="009C2B84">
        <w:rPr>
          <w:rFonts w:ascii="Times New Roman" w:hAnsi="Times New Roman"/>
        </w:rPr>
        <w:t>88</w:t>
      </w:r>
      <w:r w:rsidRPr="005B2697" w:rsidR="005B2697">
        <w:rPr>
          <w:rFonts w:ascii="Times New Roman" w:hAnsi="Times New Roman"/>
        </w:rPr>
        <w:t xml:space="preserve"> FR </w:t>
      </w:r>
      <w:r w:rsidRPr="009C2B84" w:rsidR="009C2B84">
        <w:rPr>
          <w:rFonts w:ascii="Times New Roman" w:hAnsi="Times New Roman"/>
        </w:rPr>
        <w:t>8458</w:t>
      </w:r>
      <w:r w:rsidRPr="00A2391E">
        <w:rPr>
          <w:rFonts w:ascii="Times New Roman" w:hAnsi="Times New Roman"/>
        </w:rPr>
        <w:t>). The comment period ended on</w:t>
      </w:r>
      <w:r w:rsidR="002517E4">
        <w:rPr>
          <w:rFonts w:ascii="Times New Roman" w:hAnsi="Times New Roman"/>
        </w:rPr>
        <w:t xml:space="preserve"> </w:t>
      </w:r>
      <w:r w:rsidR="00594AFA">
        <w:rPr>
          <w:rFonts w:ascii="Times New Roman" w:hAnsi="Times New Roman"/>
        </w:rPr>
        <w:t>April 8, 2023</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65645" w:rsidRPr="00A65645" w:rsidP="00A65645" w14:paraId="1E5070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65645">
        <w:rPr>
          <w:rFonts w:ascii="Times New Roman" w:hAnsi="Times New Roman"/>
        </w:rPr>
        <w:t xml:space="preserve">ATF F 3252.11 will be maintained in the CI’s electronic record in CIMRRS. The information contained in the CI record is protected by the Privacy Act of 1974. If CIMRRS is not readily available for any reason, the ATF F 3252.11 will be maintained in a hard copy file.  The CI file is maintained in a secure location (i.e., file room) within the ATF field division. Only authorized ATF personnel will have access to the file room, secure cabinet, and CI files. In accordance with the Federal Information Processing Standard 199 Categorization, CIMRRS is identified as a High Value Asset and determined to be a Major Application. Therefore, the information </w:t>
      </w:r>
      <w:r w:rsidRPr="00A65645">
        <w:rPr>
          <w:rFonts w:ascii="Times New Roman" w:hAnsi="Times New Roman"/>
        </w:rPr>
        <w:t>contained in CIMRRS is protected in accordance with Federal standards applicable to a Major Application.</w:t>
      </w:r>
    </w:p>
    <w:p w:rsidR="00A65645" w:rsidRPr="00A65645" w:rsidP="00A65645" w14:paraId="0EEA53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A65645" w14:paraId="27A67CE6" w14:textId="532CFB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65645">
        <w:rPr>
          <w:rFonts w:ascii="Times New Roman" w:hAnsi="Times New Roman"/>
        </w:rPr>
        <w:t>CI information is protected by ATF personnel in accordance with the Guidelines, the Privacy Act of 1974,</w:t>
      </w:r>
      <w:r w:rsidR="00D42428">
        <w:rPr>
          <w:rFonts w:ascii="Times New Roman" w:hAnsi="Times New Roman"/>
        </w:rPr>
        <w:t xml:space="preserve"> System of Records </w:t>
      </w:r>
      <w:r w:rsidRPr="00D3044C" w:rsidR="00D42428">
        <w:rPr>
          <w:rFonts w:ascii="Times New Roman" w:hAnsi="Times New Roman"/>
        </w:rPr>
        <w:t>Criminal Investigation Report System</w:t>
      </w:r>
      <w:r w:rsidR="000A7A97">
        <w:rPr>
          <w:rFonts w:ascii="Times New Roman" w:hAnsi="Times New Roman"/>
        </w:rPr>
        <w:t>,</w:t>
      </w:r>
      <w:r w:rsidR="00D42428">
        <w:rPr>
          <w:rFonts w:ascii="Times New Roman" w:hAnsi="Times New Roman"/>
        </w:rPr>
        <w:t xml:space="preserve"> 82 FR 24147,</w:t>
      </w:r>
      <w:r w:rsidRPr="00A65645">
        <w:rPr>
          <w:rFonts w:ascii="Times New Roman" w:hAnsi="Times New Roman"/>
        </w:rPr>
        <w:t xml:space="preserve"> and ATF’s policy. ATF’s internal policy, as outlined in ATF O 3252.1B, Use of Confidential Informants, aligns with the Guidelines and the Privacy Act of 1974</w:t>
      </w:r>
      <w:r>
        <w:rPr>
          <w:rFonts w:ascii="Times New Roman" w:hAnsi="Times New Roman"/>
        </w:rPr>
        <w:t>.</w:t>
      </w:r>
    </w:p>
    <w:p w:rsidR="00A65645" w:rsidRPr="00871CA6" w:rsidP="00A65645" w14:paraId="35DEE0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77777777" w:rsidTr="00955CD1">
        <w:tblPrEx>
          <w:tblW w:w="7302" w:type="dxa"/>
          <w:jc w:val="center"/>
          <w:tblLook w:val="04A0"/>
        </w:tblPrEx>
        <w:trPr>
          <w:jc w:val="center"/>
        </w:trPr>
        <w:tc>
          <w:tcPr>
            <w:tcW w:w="1439" w:type="dxa"/>
            <w:shd w:val="clear" w:color="auto" w:fill="ADB9CA" w:themeFill="text2" w:themeFillTint="66"/>
          </w:tcPr>
          <w:p w:rsidR="00955CD1"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955CD1"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955CD1"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955CD1"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955CD1"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955CD1"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955CD1">
        <w:tblPrEx>
          <w:tblW w:w="7302" w:type="dxa"/>
          <w:jc w:val="center"/>
          <w:tblLook w:val="04A0"/>
        </w:tblPrEx>
        <w:trPr>
          <w:jc w:val="center"/>
        </w:trPr>
        <w:tc>
          <w:tcPr>
            <w:tcW w:w="1439" w:type="dxa"/>
            <w:vAlign w:val="bottom"/>
          </w:tcPr>
          <w:p w:rsidR="00955CD1" w:rsidRPr="008F47CB" w:rsidP="005601D5" w14:paraId="4E4E0FA6" w14:textId="3379BDD4">
            <w:pPr>
              <w:rPr>
                <w:rFonts w:ascii="Times New Roman" w:hAnsi="Times New Roman"/>
                <w:sz w:val="22"/>
                <w:szCs w:val="22"/>
              </w:rPr>
            </w:pPr>
            <w:r w:rsidRPr="005601D5">
              <w:rPr>
                <w:rFonts w:ascii="Times New Roman" w:hAnsi="Times New Roman"/>
                <w:sz w:val="22"/>
                <w:szCs w:val="22"/>
              </w:rPr>
              <w:t>ATF Form 3252.11</w:t>
            </w:r>
          </w:p>
        </w:tc>
        <w:tc>
          <w:tcPr>
            <w:tcW w:w="1415" w:type="dxa"/>
            <w:vAlign w:val="bottom"/>
          </w:tcPr>
          <w:p w:rsidR="00955CD1" w:rsidRPr="008F47CB" w:rsidP="008C6A87" w14:paraId="23BB2474" w14:textId="5C7E003D">
            <w:pPr>
              <w:jc w:val="right"/>
              <w:rPr>
                <w:rFonts w:ascii="Times New Roman" w:hAnsi="Times New Roman"/>
                <w:sz w:val="22"/>
                <w:szCs w:val="22"/>
              </w:rPr>
            </w:pPr>
            <w:r>
              <w:rPr>
                <w:rFonts w:ascii="Times New Roman" w:hAnsi="Times New Roman"/>
                <w:sz w:val="22"/>
                <w:szCs w:val="22"/>
              </w:rPr>
              <w:t>30</w:t>
            </w:r>
          </w:p>
        </w:tc>
        <w:tc>
          <w:tcPr>
            <w:tcW w:w="1219" w:type="dxa"/>
            <w:vAlign w:val="bottom"/>
          </w:tcPr>
          <w:p w:rsidR="00955CD1" w:rsidRPr="008F47CB" w:rsidP="008C6A87" w14:paraId="5D72451D" w14:textId="7B5C7C04">
            <w:pPr>
              <w:jc w:val="right"/>
              <w:rPr>
                <w:rFonts w:ascii="Times New Roman" w:hAnsi="Times New Roman"/>
                <w:sz w:val="22"/>
                <w:szCs w:val="22"/>
              </w:rPr>
            </w:pPr>
            <w:r>
              <w:rPr>
                <w:rFonts w:ascii="Times New Roman" w:hAnsi="Times New Roman"/>
                <w:sz w:val="22"/>
                <w:szCs w:val="22"/>
              </w:rPr>
              <w:t>12</w:t>
            </w:r>
          </w:p>
        </w:tc>
        <w:tc>
          <w:tcPr>
            <w:tcW w:w="1182" w:type="dxa"/>
            <w:vAlign w:val="bottom"/>
          </w:tcPr>
          <w:p w:rsidR="00955CD1" w:rsidRPr="008F47CB" w:rsidP="008C6A87" w14:paraId="03D2549D" w14:textId="033A5CC0">
            <w:pPr>
              <w:jc w:val="right"/>
              <w:rPr>
                <w:rFonts w:ascii="Times New Roman" w:hAnsi="Times New Roman"/>
                <w:sz w:val="22"/>
                <w:szCs w:val="22"/>
              </w:rPr>
            </w:pPr>
            <w:r>
              <w:rPr>
                <w:rFonts w:ascii="Times New Roman" w:hAnsi="Times New Roman"/>
                <w:sz w:val="22"/>
                <w:szCs w:val="22"/>
              </w:rPr>
              <w:t>360</w:t>
            </w:r>
          </w:p>
        </w:tc>
        <w:tc>
          <w:tcPr>
            <w:tcW w:w="1097" w:type="dxa"/>
            <w:vAlign w:val="bottom"/>
          </w:tcPr>
          <w:p w:rsidR="00955CD1" w:rsidRPr="008F47CB" w:rsidP="008C6A87" w14:paraId="3704ADCE" w14:textId="63F77273">
            <w:pPr>
              <w:jc w:val="right"/>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5min</w:t>
            </w:r>
          </w:p>
        </w:tc>
        <w:tc>
          <w:tcPr>
            <w:tcW w:w="950" w:type="dxa"/>
            <w:vAlign w:val="bottom"/>
          </w:tcPr>
          <w:p w:rsidR="00955CD1" w:rsidRPr="008F47CB" w:rsidP="008C6A87" w14:paraId="498C761A" w14:textId="398F3127">
            <w:pPr>
              <w:jc w:val="right"/>
              <w:rPr>
                <w:rFonts w:ascii="Times New Roman" w:hAnsi="Times New Roman"/>
                <w:sz w:val="22"/>
                <w:szCs w:val="22"/>
              </w:rPr>
            </w:pPr>
            <w:r>
              <w:rPr>
                <w:rFonts w:ascii="Times New Roman" w:hAnsi="Times New Roman"/>
                <w:sz w:val="22"/>
                <w:szCs w:val="22"/>
              </w:rPr>
              <w:t>90hrs.</w:t>
            </w:r>
          </w:p>
        </w:tc>
      </w:tr>
      <w:tr w14:paraId="28A27403" w14:textId="77777777" w:rsidTr="00955CD1">
        <w:tblPrEx>
          <w:tblW w:w="7302" w:type="dxa"/>
          <w:jc w:val="center"/>
          <w:tblLook w:val="04A0"/>
        </w:tblPrEx>
        <w:trPr>
          <w:jc w:val="center"/>
        </w:trPr>
        <w:tc>
          <w:tcPr>
            <w:tcW w:w="1439" w:type="dxa"/>
            <w:vAlign w:val="bottom"/>
          </w:tcPr>
          <w:p w:rsidR="00955CD1" w:rsidRPr="008F47CB" w:rsidP="008C6A87" w14:paraId="779E4025" w14:textId="77777777">
            <w:pPr>
              <w:jc w:val="right"/>
              <w:rPr>
                <w:rFonts w:ascii="Times New Roman" w:hAnsi="Times New Roman"/>
                <w:sz w:val="22"/>
                <w:szCs w:val="22"/>
              </w:rPr>
            </w:pPr>
          </w:p>
        </w:tc>
        <w:tc>
          <w:tcPr>
            <w:tcW w:w="1415" w:type="dxa"/>
            <w:vAlign w:val="bottom"/>
          </w:tcPr>
          <w:p w:rsidR="00955CD1" w:rsidRPr="008F47CB" w:rsidP="008C6A87" w14:paraId="0D0FB099" w14:textId="77777777">
            <w:pPr>
              <w:jc w:val="right"/>
              <w:rPr>
                <w:rFonts w:ascii="Times New Roman" w:hAnsi="Times New Roman"/>
                <w:sz w:val="22"/>
                <w:szCs w:val="22"/>
              </w:rPr>
            </w:pPr>
          </w:p>
        </w:tc>
        <w:tc>
          <w:tcPr>
            <w:tcW w:w="1219" w:type="dxa"/>
            <w:vAlign w:val="bottom"/>
          </w:tcPr>
          <w:p w:rsidR="00955CD1" w:rsidRPr="008F47CB" w:rsidP="008C6A87" w14:paraId="2DF69973" w14:textId="77777777">
            <w:pPr>
              <w:jc w:val="right"/>
              <w:rPr>
                <w:rFonts w:ascii="Times New Roman" w:hAnsi="Times New Roman"/>
                <w:sz w:val="22"/>
                <w:szCs w:val="22"/>
              </w:rPr>
            </w:pPr>
          </w:p>
        </w:tc>
        <w:tc>
          <w:tcPr>
            <w:tcW w:w="1182" w:type="dxa"/>
            <w:vAlign w:val="bottom"/>
          </w:tcPr>
          <w:p w:rsidR="00955CD1" w:rsidRPr="008F47CB" w:rsidP="008C6A87" w14:paraId="6869AFA2" w14:textId="77777777">
            <w:pPr>
              <w:jc w:val="right"/>
              <w:rPr>
                <w:rFonts w:ascii="Times New Roman" w:hAnsi="Times New Roman"/>
                <w:sz w:val="22"/>
                <w:szCs w:val="22"/>
              </w:rPr>
            </w:pPr>
          </w:p>
        </w:tc>
        <w:tc>
          <w:tcPr>
            <w:tcW w:w="1097" w:type="dxa"/>
            <w:vAlign w:val="bottom"/>
          </w:tcPr>
          <w:p w:rsidR="00955CD1" w:rsidRPr="008F47CB" w:rsidP="008C6A87" w14:paraId="3983D868" w14:textId="77777777">
            <w:pPr>
              <w:jc w:val="right"/>
              <w:rPr>
                <w:rFonts w:ascii="Times New Roman" w:hAnsi="Times New Roman"/>
                <w:sz w:val="22"/>
                <w:szCs w:val="22"/>
              </w:rPr>
            </w:pPr>
          </w:p>
        </w:tc>
        <w:tc>
          <w:tcPr>
            <w:tcW w:w="950" w:type="dxa"/>
            <w:vAlign w:val="bottom"/>
          </w:tcPr>
          <w:p w:rsidR="00955CD1" w:rsidRPr="008F47CB" w:rsidP="008C6A87" w14:paraId="1211DF9B" w14:textId="77777777">
            <w:pPr>
              <w:jc w:val="right"/>
              <w:rPr>
                <w:rFonts w:ascii="Times New Roman" w:hAnsi="Times New Roman"/>
                <w:sz w:val="22"/>
                <w:szCs w:val="22"/>
              </w:rPr>
            </w:pPr>
          </w:p>
        </w:tc>
      </w:tr>
      <w:tr w14:paraId="578B68EB" w14:textId="77777777" w:rsidTr="00955CD1">
        <w:tblPrEx>
          <w:tblW w:w="7302" w:type="dxa"/>
          <w:jc w:val="center"/>
          <w:tblLook w:val="04A0"/>
        </w:tblPrEx>
        <w:trPr>
          <w:jc w:val="center"/>
        </w:trPr>
        <w:tc>
          <w:tcPr>
            <w:tcW w:w="1439" w:type="dxa"/>
          </w:tcPr>
          <w:p w:rsidR="00955CD1"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955CD1" w:rsidRPr="008F47CB" w:rsidP="00501A15" w14:paraId="32AB6B8A" w14:textId="7B4D4930">
            <w:pPr>
              <w:jc w:val="right"/>
              <w:rPr>
                <w:rFonts w:ascii="Times New Roman" w:hAnsi="Times New Roman"/>
                <w:b/>
                <w:i/>
                <w:sz w:val="22"/>
                <w:szCs w:val="22"/>
              </w:rPr>
            </w:pPr>
            <w:r>
              <w:rPr>
                <w:rFonts w:ascii="Times New Roman" w:hAnsi="Times New Roman"/>
                <w:b/>
                <w:i/>
                <w:sz w:val="22"/>
                <w:szCs w:val="22"/>
              </w:rPr>
              <w:t>30</w:t>
            </w:r>
          </w:p>
        </w:tc>
        <w:tc>
          <w:tcPr>
            <w:tcW w:w="1219" w:type="dxa"/>
            <w:vAlign w:val="bottom"/>
          </w:tcPr>
          <w:p w:rsidR="00955CD1" w:rsidRPr="008F47CB" w:rsidP="00627B1F" w14:paraId="75495CB4" w14:textId="7C6FC44B">
            <w:pPr>
              <w:jc w:val="center"/>
              <w:rPr>
                <w:rFonts w:ascii="Times New Roman" w:hAnsi="Times New Roman"/>
                <w:b/>
                <w:i/>
                <w:sz w:val="22"/>
                <w:szCs w:val="22"/>
              </w:rPr>
            </w:pPr>
          </w:p>
        </w:tc>
        <w:tc>
          <w:tcPr>
            <w:tcW w:w="1182" w:type="dxa"/>
            <w:vAlign w:val="bottom"/>
          </w:tcPr>
          <w:p w:rsidR="00955CD1" w:rsidRPr="008F47CB" w:rsidP="00501A15" w14:paraId="1A7661D9" w14:textId="394E0B27">
            <w:pPr>
              <w:jc w:val="right"/>
              <w:rPr>
                <w:rFonts w:ascii="Times New Roman" w:hAnsi="Times New Roman"/>
                <w:b/>
                <w:i/>
                <w:sz w:val="22"/>
                <w:szCs w:val="22"/>
              </w:rPr>
            </w:pPr>
            <w:r>
              <w:rPr>
                <w:rFonts w:ascii="Times New Roman" w:hAnsi="Times New Roman"/>
                <w:b/>
                <w:i/>
                <w:sz w:val="22"/>
                <w:szCs w:val="22"/>
              </w:rPr>
              <w:t>360</w:t>
            </w:r>
          </w:p>
        </w:tc>
        <w:tc>
          <w:tcPr>
            <w:tcW w:w="1097" w:type="dxa"/>
            <w:vAlign w:val="bottom"/>
          </w:tcPr>
          <w:p w:rsidR="00955CD1" w:rsidRPr="008F47CB" w:rsidP="00501A15" w14:paraId="4A94906E" w14:textId="66CA6502">
            <w:pPr>
              <w:jc w:val="right"/>
              <w:rPr>
                <w:rFonts w:ascii="Times New Roman" w:hAnsi="Times New Roman"/>
                <w:b/>
                <w:i/>
                <w:sz w:val="22"/>
                <w:szCs w:val="22"/>
              </w:rPr>
            </w:pPr>
          </w:p>
        </w:tc>
        <w:tc>
          <w:tcPr>
            <w:tcW w:w="950" w:type="dxa"/>
            <w:vAlign w:val="bottom"/>
          </w:tcPr>
          <w:p w:rsidR="00955CD1" w:rsidRPr="008F47CB" w:rsidP="00501A15" w14:paraId="4075BA8E" w14:textId="22CF2DDB">
            <w:pPr>
              <w:jc w:val="right"/>
              <w:rPr>
                <w:rFonts w:ascii="Times New Roman" w:hAnsi="Times New Roman"/>
                <w:b/>
                <w:i/>
                <w:sz w:val="22"/>
                <w:szCs w:val="22"/>
              </w:rPr>
            </w:pPr>
            <w:r>
              <w:rPr>
                <w:rFonts w:ascii="Times New Roman" w:hAnsi="Times New Roman"/>
                <w:b/>
                <w:i/>
                <w:sz w:val="22"/>
                <w:szCs w:val="22"/>
              </w:rPr>
              <w:t>90hrs.</w:t>
            </w:r>
          </w:p>
        </w:tc>
      </w:tr>
    </w:tbl>
    <w:p w:rsidR="00EE2223" w:rsidRPr="00EE2223" w:rsidP="00E60FB0" w14:paraId="51C113BE" w14:textId="011EFC9C">
      <w:pPr>
        <w:widowControl/>
        <w:autoSpaceDE/>
        <w:autoSpaceDN/>
        <w:adjustRightInd/>
        <w:rPr>
          <w:rFonts w:ascii="Times New Roman" w:hAnsi="Times New Roman"/>
          <w:i/>
          <w:iCs/>
        </w:rPr>
      </w:pP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B3128" w:rsidP="00690F56" w14:paraId="1AC5F133" w14:textId="36C2E8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6E4E03BB" w14:textId="314DFCC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annual IC cost burden for this collection is $</w:t>
      </w:r>
      <w:r w:rsidR="00630388">
        <w:rPr>
          <w:rFonts w:ascii="Times New Roman" w:hAnsi="Times New Roman"/>
        </w:rPr>
        <w:t>0.</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A4D84" w:rsidP="001376D3" w14:paraId="2F9F030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A3017" w:rsidP="001A3017" w14:paraId="76285E5D" w14:textId="6626B9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costs to the federal government is $0.</w:t>
      </w:r>
    </w:p>
    <w:p w:rsidR="00F96885" w:rsidRPr="00871CA6" w:rsidP="00690F56" w14:paraId="1A15C4F0" w14:textId="171452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4A6E5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A5E65" w:rsidP="00690F56" w14:paraId="31C424BC" w14:textId="7B7856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5E65">
        <w:rPr>
          <w:rFonts w:ascii="Times New Roman" w:hAnsi="Times New Roman"/>
        </w:rPr>
        <w:t>There are no changes associated with this submission</w:t>
      </w:r>
      <w:r>
        <w:rPr>
          <w:rFonts w:ascii="Times New Roman" w:hAnsi="Times New Roman"/>
        </w:rPr>
        <w:t xml:space="preserve"> as this is a new collection.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73F40CE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A4D84" w:rsidP="00690F56" w14:paraId="749FA73F" w14:textId="66AB524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D84">
        <w:rPr>
          <w:rFonts w:ascii="Times New Roman" w:hAnsi="Times New Roman"/>
        </w:rPr>
        <w:t>The results of this collection will not be published.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3FE2426A">
    <w:pPr>
      <w:pStyle w:val="Header"/>
      <w:rPr>
        <w:rFonts w:ascii="Times New Roman" w:hAnsi="Times New Roman"/>
        <w:bCs/>
        <w:sz w:val="20"/>
        <w:szCs w:val="20"/>
      </w:rPr>
    </w:pPr>
    <w:r w:rsidRPr="00C03D8B">
      <w:rPr>
        <w:rFonts w:ascii="Times New Roman" w:hAnsi="Times New Roman"/>
        <w:bCs/>
        <w:sz w:val="20"/>
        <w:szCs w:val="20"/>
      </w:rPr>
      <w:t>30-Day Alien Suitability Request</w:t>
    </w:r>
  </w:p>
  <w:p w:rsidR="00EC0B43" w14:paraId="52F50703" w14:textId="285BFD3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C03D8B">
      <w:rPr>
        <w:rFonts w:ascii="Times New Roman" w:hAnsi="Times New Roman"/>
        <w:sz w:val="20"/>
        <w:szCs w:val="20"/>
      </w:rPr>
      <w:t>1140-0NEW</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5E65"/>
    <w:rsid w:val="000A7853"/>
    <w:rsid w:val="000A7A97"/>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92711"/>
    <w:rsid w:val="001A3017"/>
    <w:rsid w:val="001A47D9"/>
    <w:rsid w:val="001B4BB9"/>
    <w:rsid w:val="001C39F6"/>
    <w:rsid w:val="001D10ED"/>
    <w:rsid w:val="001D2D09"/>
    <w:rsid w:val="001D67BB"/>
    <w:rsid w:val="001E0E7F"/>
    <w:rsid w:val="001E2932"/>
    <w:rsid w:val="001E3596"/>
    <w:rsid w:val="001E5213"/>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2800"/>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368E0"/>
    <w:rsid w:val="003430A6"/>
    <w:rsid w:val="003448FC"/>
    <w:rsid w:val="003548D8"/>
    <w:rsid w:val="00363CC2"/>
    <w:rsid w:val="00370C9A"/>
    <w:rsid w:val="00371EEC"/>
    <w:rsid w:val="003876F3"/>
    <w:rsid w:val="00390426"/>
    <w:rsid w:val="003908B9"/>
    <w:rsid w:val="00394AEB"/>
    <w:rsid w:val="003A4476"/>
    <w:rsid w:val="003A4A42"/>
    <w:rsid w:val="003A6353"/>
    <w:rsid w:val="003B2F28"/>
    <w:rsid w:val="003C13C6"/>
    <w:rsid w:val="003D5958"/>
    <w:rsid w:val="003D6AC7"/>
    <w:rsid w:val="003E15A0"/>
    <w:rsid w:val="003E49A6"/>
    <w:rsid w:val="003E5E34"/>
    <w:rsid w:val="003E6021"/>
    <w:rsid w:val="003F53FB"/>
    <w:rsid w:val="00400B4D"/>
    <w:rsid w:val="004018A3"/>
    <w:rsid w:val="00401F18"/>
    <w:rsid w:val="00403B06"/>
    <w:rsid w:val="004056B7"/>
    <w:rsid w:val="00410AC8"/>
    <w:rsid w:val="00414664"/>
    <w:rsid w:val="004172C1"/>
    <w:rsid w:val="00417FA0"/>
    <w:rsid w:val="00423E3A"/>
    <w:rsid w:val="0043001F"/>
    <w:rsid w:val="004328D9"/>
    <w:rsid w:val="00435E05"/>
    <w:rsid w:val="0043771F"/>
    <w:rsid w:val="00442410"/>
    <w:rsid w:val="00443460"/>
    <w:rsid w:val="0044773C"/>
    <w:rsid w:val="00461B8A"/>
    <w:rsid w:val="00465380"/>
    <w:rsid w:val="004672B5"/>
    <w:rsid w:val="004844D1"/>
    <w:rsid w:val="0048559D"/>
    <w:rsid w:val="0049001D"/>
    <w:rsid w:val="00494A93"/>
    <w:rsid w:val="00494D75"/>
    <w:rsid w:val="004A1763"/>
    <w:rsid w:val="004A2E15"/>
    <w:rsid w:val="004B1E83"/>
    <w:rsid w:val="004D1C78"/>
    <w:rsid w:val="004D441E"/>
    <w:rsid w:val="004D46D1"/>
    <w:rsid w:val="004E1D9E"/>
    <w:rsid w:val="004E5B39"/>
    <w:rsid w:val="00501A15"/>
    <w:rsid w:val="005115E9"/>
    <w:rsid w:val="005164DC"/>
    <w:rsid w:val="00522B8D"/>
    <w:rsid w:val="0052585C"/>
    <w:rsid w:val="00530EBD"/>
    <w:rsid w:val="005601D5"/>
    <w:rsid w:val="00561C6A"/>
    <w:rsid w:val="005622FE"/>
    <w:rsid w:val="00567912"/>
    <w:rsid w:val="00570098"/>
    <w:rsid w:val="005805E7"/>
    <w:rsid w:val="005825A4"/>
    <w:rsid w:val="00583F5D"/>
    <w:rsid w:val="0058424C"/>
    <w:rsid w:val="00584F8D"/>
    <w:rsid w:val="00594AFA"/>
    <w:rsid w:val="005A0350"/>
    <w:rsid w:val="005A7D9E"/>
    <w:rsid w:val="005B2697"/>
    <w:rsid w:val="005B5990"/>
    <w:rsid w:val="005C6147"/>
    <w:rsid w:val="005D5F8C"/>
    <w:rsid w:val="005E5148"/>
    <w:rsid w:val="005F2E75"/>
    <w:rsid w:val="0060114B"/>
    <w:rsid w:val="00603D4A"/>
    <w:rsid w:val="00611DE2"/>
    <w:rsid w:val="00614A1C"/>
    <w:rsid w:val="006227B3"/>
    <w:rsid w:val="00627B1F"/>
    <w:rsid w:val="00630388"/>
    <w:rsid w:val="00642220"/>
    <w:rsid w:val="0065148D"/>
    <w:rsid w:val="00652ED1"/>
    <w:rsid w:val="006626FF"/>
    <w:rsid w:val="006650A8"/>
    <w:rsid w:val="0067772C"/>
    <w:rsid w:val="00683A96"/>
    <w:rsid w:val="00685435"/>
    <w:rsid w:val="00687746"/>
    <w:rsid w:val="00690F56"/>
    <w:rsid w:val="006A4637"/>
    <w:rsid w:val="006A4D84"/>
    <w:rsid w:val="006C39F8"/>
    <w:rsid w:val="006E1A08"/>
    <w:rsid w:val="006E4433"/>
    <w:rsid w:val="006E5204"/>
    <w:rsid w:val="006E54FE"/>
    <w:rsid w:val="006E604F"/>
    <w:rsid w:val="006E63C6"/>
    <w:rsid w:val="006F2132"/>
    <w:rsid w:val="006F66F9"/>
    <w:rsid w:val="006F6E13"/>
    <w:rsid w:val="007010C5"/>
    <w:rsid w:val="007011F1"/>
    <w:rsid w:val="007127A1"/>
    <w:rsid w:val="00713ACE"/>
    <w:rsid w:val="00715C5B"/>
    <w:rsid w:val="00715F82"/>
    <w:rsid w:val="0071749C"/>
    <w:rsid w:val="00721E05"/>
    <w:rsid w:val="007412B6"/>
    <w:rsid w:val="00753389"/>
    <w:rsid w:val="00755761"/>
    <w:rsid w:val="007636EC"/>
    <w:rsid w:val="0076397B"/>
    <w:rsid w:val="00767D37"/>
    <w:rsid w:val="00774503"/>
    <w:rsid w:val="007754A0"/>
    <w:rsid w:val="00777CD2"/>
    <w:rsid w:val="00780272"/>
    <w:rsid w:val="0078038F"/>
    <w:rsid w:val="0078153B"/>
    <w:rsid w:val="00785FE9"/>
    <w:rsid w:val="00786E04"/>
    <w:rsid w:val="007A7F79"/>
    <w:rsid w:val="007C124D"/>
    <w:rsid w:val="007D46C2"/>
    <w:rsid w:val="007E3065"/>
    <w:rsid w:val="007E5B7D"/>
    <w:rsid w:val="007F3B38"/>
    <w:rsid w:val="007F3C02"/>
    <w:rsid w:val="00802605"/>
    <w:rsid w:val="00802A30"/>
    <w:rsid w:val="008043E5"/>
    <w:rsid w:val="00804A1A"/>
    <w:rsid w:val="0081073D"/>
    <w:rsid w:val="00811EA7"/>
    <w:rsid w:val="00813CC0"/>
    <w:rsid w:val="008323ED"/>
    <w:rsid w:val="00835955"/>
    <w:rsid w:val="00846701"/>
    <w:rsid w:val="008624D5"/>
    <w:rsid w:val="00871CA6"/>
    <w:rsid w:val="00882AB5"/>
    <w:rsid w:val="00882B1D"/>
    <w:rsid w:val="0088672C"/>
    <w:rsid w:val="00897CA0"/>
    <w:rsid w:val="008A1F0C"/>
    <w:rsid w:val="008A40D1"/>
    <w:rsid w:val="008B3128"/>
    <w:rsid w:val="008B541B"/>
    <w:rsid w:val="008C67C6"/>
    <w:rsid w:val="008C6A87"/>
    <w:rsid w:val="008F47CB"/>
    <w:rsid w:val="00901003"/>
    <w:rsid w:val="0090158E"/>
    <w:rsid w:val="00901EF6"/>
    <w:rsid w:val="0090413E"/>
    <w:rsid w:val="00923B37"/>
    <w:rsid w:val="009271B1"/>
    <w:rsid w:val="0093485F"/>
    <w:rsid w:val="009407FC"/>
    <w:rsid w:val="009441E2"/>
    <w:rsid w:val="00955CD1"/>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C2B84"/>
    <w:rsid w:val="009D0BBA"/>
    <w:rsid w:val="009D1EA2"/>
    <w:rsid w:val="009E0141"/>
    <w:rsid w:val="009E234B"/>
    <w:rsid w:val="009F52F3"/>
    <w:rsid w:val="00A10441"/>
    <w:rsid w:val="00A15094"/>
    <w:rsid w:val="00A217C3"/>
    <w:rsid w:val="00A21F98"/>
    <w:rsid w:val="00A2391E"/>
    <w:rsid w:val="00A33AAC"/>
    <w:rsid w:val="00A41795"/>
    <w:rsid w:val="00A41C21"/>
    <w:rsid w:val="00A47DA7"/>
    <w:rsid w:val="00A52DE7"/>
    <w:rsid w:val="00A55023"/>
    <w:rsid w:val="00A56B86"/>
    <w:rsid w:val="00A632EF"/>
    <w:rsid w:val="00A65645"/>
    <w:rsid w:val="00A677E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17480"/>
    <w:rsid w:val="00B26E3E"/>
    <w:rsid w:val="00B35DAD"/>
    <w:rsid w:val="00B417B3"/>
    <w:rsid w:val="00B47443"/>
    <w:rsid w:val="00B5043F"/>
    <w:rsid w:val="00B5377A"/>
    <w:rsid w:val="00B6181C"/>
    <w:rsid w:val="00B64496"/>
    <w:rsid w:val="00B66231"/>
    <w:rsid w:val="00B674DE"/>
    <w:rsid w:val="00B67A3F"/>
    <w:rsid w:val="00B712DA"/>
    <w:rsid w:val="00B9439C"/>
    <w:rsid w:val="00B96E43"/>
    <w:rsid w:val="00BA6A42"/>
    <w:rsid w:val="00BA6C9C"/>
    <w:rsid w:val="00BB2AA1"/>
    <w:rsid w:val="00BB3BEF"/>
    <w:rsid w:val="00BB3D4A"/>
    <w:rsid w:val="00BC5F22"/>
    <w:rsid w:val="00BC7800"/>
    <w:rsid w:val="00BD21CA"/>
    <w:rsid w:val="00BD34F2"/>
    <w:rsid w:val="00BF0E96"/>
    <w:rsid w:val="00C02E4A"/>
    <w:rsid w:val="00C03D8B"/>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D00B48"/>
    <w:rsid w:val="00D10310"/>
    <w:rsid w:val="00D1780F"/>
    <w:rsid w:val="00D2331B"/>
    <w:rsid w:val="00D3044C"/>
    <w:rsid w:val="00D3099A"/>
    <w:rsid w:val="00D36BB6"/>
    <w:rsid w:val="00D42428"/>
    <w:rsid w:val="00D4451A"/>
    <w:rsid w:val="00D472BE"/>
    <w:rsid w:val="00D53DEB"/>
    <w:rsid w:val="00D57DE8"/>
    <w:rsid w:val="00D735B0"/>
    <w:rsid w:val="00D73AAD"/>
    <w:rsid w:val="00D75842"/>
    <w:rsid w:val="00D802D6"/>
    <w:rsid w:val="00D86A15"/>
    <w:rsid w:val="00D86FF7"/>
    <w:rsid w:val="00D928B2"/>
    <w:rsid w:val="00DA45FE"/>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4300"/>
    <w:rsid w:val="00E86973"/>
    <w:rsid w:val="00E909D5"/>
    <w:rsid w:val="00E92EED"/>
    <w:rsid w:val="00E93A0F"/>
    <w:rsid w:val="00EA3E66"/>
    <w:rsid w:val="00EC0B43"/>
    <w:rsid w:val="00EC4383"/>
    <w:rsid w:val="00EC5D7E"/>
    <w:rsid w:val="00ED49C1"/>
    <w:rsid w:val="00EE2223"/>
    <w:rsid w:val="00EF70DB"/>
    <w:rsid w:val="00F10FCD"/>
    <w:rsid w:val="00F11AA8"/>
    <w:rsid w:val="00F12F81"/>
    <w:rsid w:val="00F24787"/>
    <w:rsid w:val="00F27223"/>
    <w:rsid w:val="00F3623C"/>
    <w:rsid w:val="00F41116"/>
    <w:rsid w:val="00F44D20"/>
    <w:rsid w:val="00F4518C"/>
    <w:rsid w:val="00F4529D"/>
    <w:rsid w:val="00F53F09"/>
    <w:rsid w:val="00F56B20"/>
    <w:rsid w:val="00F6219B"/>
    <w:rsid w:val="00F64E0B"/>
    <w:rsid w:val="00F706B4"/>
    <w:rsid w:val="00F72D66"/>
    <w:rsid w:val="00F8164B"/>
    <w:rsid w:val="00F935EE"/>
    <w:rsid w:val="00F96885"/>
    <w:rsid w:val="00FA3D8C"/>
    <w:rsid w:val="00FB026D"/>
    <w:rsid w:val="00FB587F"/>
    <w:rsid w:val="00FD35DD"/>
    <w:rsid w:val="00FD5326"/>
    <w:rsid w:val="00FE0951"/>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2488</Words>
  <Characters>13796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43</cp:revision>
  <cp:lastPrinted>2020-02-19T15:46:00Z</cp:lastPrinted>
  <dcterms:created xsi:type="dcterms:W3CDTF">2023-05-17T18:51:00Z</dcterms:created>
  <dcterms:modified xsi:type="dcterms:W3CDTF">2023-05-18T20:04:00Z</dcterms:modified>
</cp:coreProperties>
</file>