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0B6FB6" w:rsidP="009D6553" w14:paraId="1CF8A88F" w14:textId="1E15288E">
      <w:pPr>
        <w:widowControl/>
        <w:jc w:val="center"/>
        <w:rPr>
          <w:rFonts w:ascii="Times New Roman" w:hAnsi="Times New Roman"/>
          <w:b/>
          <w:bCs/>
        </w:rPr>
      </w:pPr>
      <w:r w:rsidRPr="009D6553">
        <w:rPr>
          <w:rFonts w:ascii="Times New Roman" w:hAnsi="Times New Roman"/>
          <w:b/>
          <w:bCs/>
        </w:rPr>
        <w:t>Adverse Information Suitability Request</w:t>
      </w:r>
    </w:p>
    <w:p w:rsidR="009D6553" w:rsidRPr="00A47DA7" w:rsidP="009D6553" w14:paraId="2CC1A0F6" w14:textId="77777777">
      <w:pPr>
        <w:widowControl/>
        <w:jc w:val="center"/>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1C2F1D" w:rsidRPr="001C2F1D" w:rsidP="001C2F1D" w14:paraId="73D37124" w14:textId="5B0B453B">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2F1D" w:rsidRPr="001C2F1D" w:rsidP="001C2F1D" w14:paraId="06A240FE" w14:textId="4A404178">
      <w:pPr>
        <w:pStyle w:val="paragraph"/>
        <w:textAlignment w:val="baseline"/>
        <w:rPr>
          <w:color w:val="000000"/>
        </w:rPr>
      </w:pPr>
      <w:r w:rsidRPr="001C2F1D">
        <w:rPr>
          <w:color w:val="000000"/>
        </w:rPr>
        <w:t>The Office of Field Operations, Special Operations Division, oversees and manages ATF’s Confidential Informant (CI) Program. ATF Special Agents (SAs) and Task Force Officers (TFOs), also identified as CI handlers, utilize CIs to assist in investigating criminal activity. Since the use of a CI is a sensitive matter and requires the association of CI handlers with individuals whose motivations may be suspect or ultimately challenged by courts, this investigative technique is carefully controlled and closely monitored. A CI can be utilized after properly identifying, documenting, and receiving approval from the Special Agent in Charge (SAC) or his/her designee.</w:t>
      </w:r>
    </w:p>
    <w:p w:rsidR="001C2F1D" w:rsidRPr="001C2F1D" w:rsidP="001C2F1D" w14:paraId="44B2089A" w14:textId="2CD33691">
      <w:pPr>
        <w:pStyle w:val="paragraph"/>
        <w:textAlignment w:val="baseline"/>
        <w:rPr>
          <w:color w:val="000000"/>
        </w:rPr>
      </w:pPr>
      <w:r w:rsidRPr="001C2F1D">
        <w:rPr>
          <w:color w:val="000000"/>
        </w:rPr>
        <w:t>The Department of Justice (DOJ), Attorney General’s Guidelines Regarding the Use of Confidential Informants or (the Guidelines) subparagraph II., A., 2. Continuing Suitability Review, mandates that each DOJ law enforcement agency shall establish systems to ensure that all available information that might materially alter a prior suitability determination, including, but not limited to, information pertaining to unauthorized illegal activity by the CI, is promptly reported to a manager and then recorded and maintained in the CI’s file.  Upon receipt of any such information, the manager shall ensure that a new continuing suitability report and recommendation is promptly prepared considering such new information.</w:t>
      </w:r>
    </w:p>
    <w:p w:rsidR="001C2F1D" w:rsidRPr="001C2F1D" w:rsidP="001C2F1D" w14:paraId="24F9677A" w14:textId="675A35BE">
      <w:pPr>
        <w:pStyle w:val="paragraph"/>
        <w:textAlignment w:val="baseline"/>
        <w:rPr>
          <w:color w:val="000000"/>
        </w:rPr>
      </w:pPr>
      <w:r w:rsidRPr="001C2F1D">
        <w:rPr>
          <w:color w:val="000000"/>
        </w:rPr>
        <w:t xml:space="preserve">When derogatory, disparaging, or potentially disqualifying information is received, ATF policy requires the CI handler gather facts and details regarding the information to discuss with his/her manager.  If a preliminary determination is made to retain the CI, the CI handler will use the Adverse Information Suitability Request, ATF F 3252.12, to document such information and request approval to retain the CI.  The ATF F 3252.12 is prepared by the CI handler and submitted through his/her chain of command.  The final determination for an Adverse Information Suitability Request must be made by the SAC.  The determination cannot be made by the SAC’s designee.  If a preliminary determination is made to discontinue use of the CI (i.e., deactivate or remove for cause), a different official ATF form will be utilized.  </w:t>
      </w:r>
    </w:p>
    <w:p w:rsidR="00B5043F" w:rsidP="001C2F1D" w14:paraId="386CE7D5" w14:textId="1C828B2C">
      <w:pPr>
        <w:pStyle w:val="paragraph"/>
        <w:textAlignment w:val="baseline"/>
        <w:rPr>
          <w:color w:val="000000"/>
        </w:rPr>
      </w:pPr>
      <w:r w:rsidRPr="001C2F1D">
        <w:rPr>
          <w:color w:val="000000"/>
        </w:rPr>
        <w:t>The ATF F 3252.12 is used to conduct a continuing suitability review after receipt of information that may materially alter a prior suitability determination.  This enables ATF to comply with the Guidelines mandated by DOJ.  The Adverse Information Suitability Request will be maintained in the CI’s official record.</w:t>
      </w:r>
    </w:p>
    <w:p w:rsidR="00124E70" w:rsidRPr="00D802D6" w:rsidP="001C2F1D" w14:paraId="5721C716" w14:textId="25962CBF">
      <w:pPr>
        <w:pStyle w:val="paragraph"/>
        <w:textAlignment w:val="baseline"/>
        <w:rPr>
          <w:color w:val="000000"/>
        </w:rPr>
      </w:pPr>
      <w:r>
        <w:rPr>
          <w:color w:val="000000"/>
        </w:rPr>
        <w:t xml:space="preserve">ATF is authorized by 28 USC 599A, Bureau of Alcohol, Tobacco, Firearms and Explosives and 28 CFR 0.130, General Functions. </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D21297" w:rsidRPr="00D21297" w:rsidP="00D21297" w14:paraId="005CD3CE" w14:textId="77777777">
      <w:pPr>
        <w:widowControl/>
        <w:rPr>
          <w:rFonts w:ascii="Times New Roman" w:hAnsi="Times New Roman"/>
        </w:rPr>
      </w:pPr>
      <w:r w:rsidRPr="00D21297">
        <w:rPr>
          <w:rFonts w:ascii="Times New Roman" w:hAnsi="Times New Roman"/>
        </w:rPr>
        <w:t>The information provided on ATF F 3252.12 will be collected and maintained by ATF’s Office of Field Operations. The purpose of the collection is to conduct a continuing suitability review after receipt of information that may materially alter a prior suitability determination. The CI handler must interview the CI (in-person) and conduct indices checks to complete the form.  The CI’s personally identifiable information previously documented by ATF will be utilized to conduct the indices checks.  The results of the indices checks must be attached to the ATF F 3252.12.</w:t>
      </w:r>
    </w:p>
    <w:p w:rsidR="00D21297" w:rsidRPr="00D21297" w:rsidP="00D21297" w14:paraId="043624B6" w14:textId="77777777">
      <w:pPr>
        <w:widowControl/>
        <w:rPr>
          <w:rFonts w:ascii="Times New Roman" w:hAnsi="Times New Roman"/>
        </w:rPr>
      </w:pPr>
    </w:p>
    <w:p w:rsidR="00690F56" w:rsidRPr="00802A30" w:rsidP="00D21297" w14:paraId="6EBE63D5" w14:textId="405B41B5">
      <w:pPr>
        <w:widowControl/>
        <w:rPr>
          <w:rFonts w:ascii="Times New Roman" w:hAnsi="Times New Roman"/>
        </w:rPr>
      </w:pPr>
      <w:r w:rsidRPr="00D21297">
        <w:rPr>
          <w:rFonts w:ascii="Times New Roman" w:hAnsi="Times New Roman"/>
        </w:rPr>
        <w:t xml:space="preserve">In addition to documenting the derogatory, disparaging, or potentially disqualifying information received, the form will capture the CI’s activation date, the origin of the information received, </w:t>
      </w:r>
      <w:r w:rsidR="004D35F5">
        <w:rPr>
          <w:rFonts w:ascii="Times New Roman" w:hAnsi="Times New Roman"/>
        </w:rPr>
        <w:t xml:space="preserve">and </w:t>
      </w:r>
      <w:r w:rsidRPr="00D21297">
        <w:rPr>
          <w:rFonts w:ascii="Times New Roman" w:hAnsi="Times New Roman"/>
        </w:rPr>
        <w:t>the results of the in-person interview</w:t>
      </w:r>
      <w:r w:rsidR="004D35F5">
        <w:rPr>
          <w:rFonts w:ascii="Times New Roman" w:hAnsi="Times New Roman"/>
        </w:rPr>
        <w:t>, t</w:t>
      </w:r>
      <w:r w:rsidRPr="00D21297">
        <w:rPr>
          <w:rFonts w:ascii="Times New Roman" w:hAnsi="Times New Roman"/>
        </w:rPr>
        <w:t>he form will identify the CI by their ATF CI number.  The form will not contain the CI’s signature, name, Social Security number (SSN), date of birth, or any other personally identifiable information.  Attachments required by the form may contain the CI’s personally identifiable information, including, but not limited to the CI’s name, date of birth, place of birth, and SSN.  ATF F 3252.12 will be used to document derogatory, disparaging, or potentially disqualifying information received regarding a CI and to request continued use of the individual as an ATF CI.</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24495" w:rsidRPr="00624495" w:rsidP="00624495" w14:paraId="7EB8316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24495">
        <w:rPr>
          <w:rFonts w:ascii="Times New Roman" w:hAnsi="Times New Roman"/>
        </w:rPr>
        <w:t>ATF F 3252.12 will be a fillable and accessible form that will be made available to CI handlers on the ATF intra-web. However, the form will be unavailable to the wider public via the ATF website. In preparation to interview the CI in-person, the CI handler will complete portions of the form (e.g., Activation Date, Active (est.) Years and Months, Investigations supported by the CI, etc.). Once the in-person interview is completed, the CI handler will record details of the interview on the form.  Details of the interview include but are not limited to: How did the CI respond to the information; Did the CI provide an explanation or specifics; and Did the CI admit to the information presented.</w:t>
      </w:r>
    </w:p>
    <w:p w:rsidR="00624495" w:rsidRPr="00624495" w:rsidP="00624495" w14:paraId="7B4B5F8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24495" w14:paraId="711B75A7" w14:textId="7BA5135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24495">
        <w:rPr>
          <w:rFonts w:ascii="Times New Roman" w:hAnsi="Times New Roman"/>
        </w:rPr>
        <w:t xml:space="preserve">The form will be deemed complete when the CI handler enters the information gathered from the in-person interview, </w:t>
      </w:r>
      <w:r>
        <w:rPr>
          <w:rFonts w:ascii="Times New Roman" w:hAnsi="Times New Roman"/>
        </w:rPr>
        <w:t>into</w:t>
      </w:r>
      <w:r w:rsidRPr="00624495">
        <w:rPr>
          <w:rFonts w:ascii="Times New Roman" w:hAnsi="Times New Roman"/>
        </w:rPr>
        <w:t xml:space="preserve"> ATF’s Confidential Informant Master Registry and Reporting System (CIMRRS).  After completion, the ATF F 3252.12 will be scanned and stored electronically as a .pdf attachment associated with the Adverse Information Suitability Request action in the CI’s record within CIMRRS.</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777732D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43EB8">
        <w:rPr>
          <w:rFonts w:ascii="Times New Roman" w:hAnsi="Times New Roman"/>
        </w:rPr>
        <w:t>The consequences of not conducting this information collection would result in ATF’s non-compliance with the Guidelines document. All DOJ law enforcement organizations (except the Federal Bureau of Investigations) must comply with the Guidelines.  It is pertinent and mandatory that ATF conduct regular reviews of CIs when information received may materially alter a prior suitability determination.</w:t>
      </w:r>
    </w:p>
    <w:p w:rsidR="00743EB8" w:rsidRPr="00A47DA7" w:rsidP="00690F56" w14:paraId="32E5E96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447A8E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r w:rsidR="00370BF5">
        <w:rPr>
          <w:rFonts w:ascii="Times New Roman" w:hAnsi="Times New Roman"/>
        </w:rPr>
        <w:t xml:space="preserve"> The special agent or task force officer serving as the primary handler for the CI </w:t>
      </w:r>
      <w:r w:rsidR="002021E3">
        <w:rPr>
          <w:rFonts w:ascii="Times New Roman" w:hAnsi="Times New Roman"/>
        </w:rPr>
        <w:t>must notify the Resident Agent</w:t>
      </w:r>
      <w:r w:rsidR="00DF4159">
        <w:rPr>
          <w:rFonts w:ascii="Times New Roman" w:hAnsi="Times New Roman"/>
        </w:rPr>
        <w:t xml:space="preserve"> within seven days</w:t>
      </w:r>
      <w:r w:rsidR="002021E3">
        <w:rPr>
          <w:rFonts w:ascii="Times New Roman" w:hAnsi="Times New Roman"/>
        </w:rPr>
        <w:t xml:space="preserve"> of any derogatory, </w:t>
      </w:r>
      <w:r w:rsidR="00003177">
        <w:rPr>
          <w:rFonts w:ascii="Times New Roman" w:hAnsi="Times New Roman"/>
        </w:rPr>
        <w:t xml:space="preserve">or potentially disqualifying information about a CI is received, uncovered or otherwise </w:t>
      </w:r>
      <w:r w:rsidR="00DF4159">
        <w:rPr>
          <w:rFonts w:ascii="Times New Roman" w:hAnsi="Times New Roman"/>
        </w:rPr>
        <w:t>obtained.</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73A39350">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FF0897">
        <w:rPr>
          <w:rFonts w:ascii="Times New Roman" w:hAnsi="Times New Roman"/>
        </w:rPr>
        <w:t>February 9, 2023</w:t>
      </w:r>
      <w:r w:rsidRPr="00A2391E">
        <w:rPr>
          <w:rFonts w:ascii="Times New Roman" w:hAnsi="Times New Roman"/>
        </w:rPr>
        <w:t xml:space="preserve"> (</w:t>
      </w:r>
      <w:r w:rsidR="00FF0897">
        <w:rPr>
          <w:rFonts w:ascii="Times New Roman" w:hAnsi="Times New Roman"/>
        </w:rPr>
        <w:t>88</w:t>
      </w:r>
      <w:r w:rsidRPr="005B2697" w:rsidR="005B2697">
        <w:rPr>
          <w:rFonts w:ascii="Times New Roman" w:hAnsi="Times New Roman"/>
        </w:rPr>
        <w:t xml:space="preserve"> FR </w:t>
      </w:r>
      <w:r w:rsidRPr="00FF0897" w:rsidR="00FF0897">
        <w:rPr>
          <w:rFonts w:ascii="Times New Roman" w:hAnsi="Times New Roman"/>
        </w:rPr>
        <w:t>8458</w:t>
      </w:r>
      <w:r w:rsidRPr="00A2391E">
        <w:rPr>
          <w:rFonts w:ascii="Times New Roman" w:hAnsi="Times New Roman"/>
        </w:rPr>
        <w:t>). The comment period ended on</w:t>
      </w:r>
      <w:r w:rsidR="002517E4">
        <w:rPr>
          <w:rFonts w:ascii="Times New Roman" w:hAnsi="Times New Roman"/>
        </w:rPr>
        <w:t xml:space="preserve"> </w:t>
      </w:r>
      <w:r w:rsidR="00FF0897">
        <w:rPr>
          <w:rFonts w:ascii="Times New Roman" w:hAnsi="Times New Roman"/>
        </w:rPr>
        <w:t>April 8,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26A06" w:rsidRPr="00126A06" w:rsidP="00126A06" w14:paraId="1B1B02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6A06">
        <w:rPr>
          <w:rFonts w:ascii="Times New Roman" w:hAnsi="Times New Roman"/>
        </w:rPr>
        <w:t>ATF F 3252.12 will be maintained in the CI’s electronic record in CIMRRS. The information contained in the CI record is protected by the Privacy Act of 1974. If CIMRRS is not readily available for any reason, the ATF F 3252.12 will be maintained in a hard copy file.  The CI file is maintained in a secure location (i.e., file room) within the ATF field division. Only authorized ATF personnel will have access to the file room, secure cabinet, and CI files. In accordance with the Federal Information Processing Standard 199 Categorization, CIMRRS is identified as a High Value Asset and determined to be a Major Application. Therefore, the information contained in CIMRRS is protected in accordance with Federal standards applicable to a Major Application.</w:t>
      </w:r>
    </w:p>
    <w:p w:rsidR="00126A06" w:rsidRPr="00126A06" w:rsidP="00126A06" w14:paraId="763E64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735B0" w:rsidP="00126A06" w14:paraId="0AD89F5C" w14:textId="171DBA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6A06">
        <w:rPr>
          <w:rFonts w:ascii="Times New Roman" w:hAnsi="Times New Roman"/>
        </w:rPr>
        <w:t xml:space="preserve">CI information is protected by ATF personnel in accordance with the Guidelines, the Privacy Act of 1974, and ATF’s policy. ATF’s internal policy, as outlined in ATF O 3252.1B, Use of </w:t>
      </w:r>
      <w:r w:rsidRPr="00126A06">
        <w:rPr>
          <w:rFonts w:ascii="Times New Roman" w:hAnsi="Times New Roman"/>
        </w:rPr>
        <w:t>Confidential Informants, aligns with the Guidelines and the Privacy Act of 1974, System of Records- Criminal Investigation Report System</w:t>
      </w:r>
      <w:r w:rsidRPr="00D735B0">
        <w:rPr>
          <w:rFonts w:ascii="Times New Roman" w:hAnsi="Times New Roman"/>
        </w:rPr>
        <w:t>.</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1BE57A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6616">
        <w:rPr>
          <w:rFonts w:ascii="Times New Roman" w:hAnsi="Times New Roman"/>
        </w:rPr>
        <w:t>The form does not contain sensitive questions.</w:t>
      </w:r>
    </w:p>
    <w:p w:rsidR="00296616" w:rsidRPr="00871CA6" w:rsidP="00690F56" w14:paraId="4D9B3D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296616">
        <w:tblPrEx>
          <w:tblW w:w="7302" w:type="dxa"/>
          <w:jc w:val="center"/>
          <w:tblLook w:val="04A0"/>
        </w:tblPrEx>
        <w:trPr>
          <w:jc w:val="center"/>
        </w:trPr>
        <w:tc>
          <w:tcPr>
            <w:tcW w:w="1439" w:type="dxa"/>
            <w:shd w:val="clear" w:color="auto" w:fill="ADB9CA" w:themeFill="text2" w:themeFillTint="66"/>
          </w:tcPr>
          <w:p w:rsidR="00296616"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296616"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296616"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296616"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296616"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296616"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296616">
        <w:tblPrEx>
          <w:tblW w:w="7302" w:type="dxa"/>
          <w:jc w:val="center"/>
          <w:tblLook w:val="04A0"/>
        </w:tblPrEx>
        <w:trPr>
          <w:jc w:val="center"/>
        </w:trPr>
        <w:tc>
          <w:tcPr>
            <w:tcW w:w="1439" w:type="dxa"/>
            <w:vAlign w:val="bottom"/>
          </w:tcPr>
          <w:p w:rsidR="00296616" w:rsidRPr="008F47CB" w:rsidP="00D90EDA" w14:paraId="4E4E0FA6" w14:textId="73842B81">
            <w:pPr>
              <w:rPr>
                <w:rFonts w:ascii="Times New Roman" w:hAnsi="Times New Roman"/>
                <w:sz w:val="22"/>
                <w:szCs w:val="22"/>
              </w:rPr>
            </w:pPr>
            <w:r w:rsidRPr="00D90EDA">
              <w:rPr>
                <w:rFonts w:ascii="Times New Roman" w:hAnsi="Times New Roman"/>
                <w:sz w:val="22"/>
                <w:szCs w:val="22"/>
              </w:rPr>
              <w:t>ATF Form 3252.12</w:t>
            </w:r>
          </w:p>
        </w:tc>
        <w:tc>
          <w:tcPr>
            <w:tcW w:w="1415" w:type="dxa"/>
            <w:vAlign w:val="bottom"/>
          </w:tcPr>
          <w:p w:rsidR="00296616" w:rsidRPr="008F47CB" w:rsidP="008C6A87" w14:paraId="23BB2474" w14:textId="56F6AFEA">
            <w:pPr>
              <w:jc w:val="right"/>
              <w:rPr>
                <w:rFonts w:ascii="Times New Roman" w:hAnsi="Times New Roman"/>
                <w:sz w:val="22"/>
                <w:szCs w:val="22"/>
              </w:rPr>
            </w:pPr>
            <w:r>
              <w:rPr>
                <w:rFonts w:ascii="Times New Roman" w:hAnsi="Times New Roman"/>
                <w:sz w:val="22"/>
                <w:szCs w:val="22"/>
              </w:rPr>
              <w:t>300</w:t>
            </w:r>
          </w:p>
        </w:tc>
        <w:tc>
          <w:tcPr>
            <w:tcW w:w="1219" w:type="dxa"/>
            <w:vAlign w:val="bottom"/>
          </w:tcPr>
          <w:p w:rsidR="00296616"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296616" w:rsidRPr="008F47CB" w:rsidP="008C6A87" w14:paraId="03D2549D" w14:textId="6CD5B4CD">
            <w:pPr>
              <w:jc w:val="right"/>
              <w:rPr>
                <w:rFonts w:ascii="Times New Roman" w:hAnsi="Times New Roman"/>
                <w:sz w:val="22"/>
                <w:szCs w:val="22"/>
              </w:rPr>
            </w:pPr>
            <w:r>
              <w:rPr>
                <w:rFonts w:ascii="Times New Roman" w:hAnsi="Times New Roman"/>
                <w:sz w:val="22"/>
                <w:szCs w:val="22"/>
              </w:rPr>
              <w:t>300</w:t>
            </w:r>
          </w:p>
        </w:tc>
        <w:tc>
          <w:tcPr>
            <w:tcW w:w="1097" w:type="dxa"/>
            <w:vAlign w:val="bottom"/>
          </w:tcPr>
          <w:p w:rsidR="00296616" w:rsidRPr="008F47CB" w:rsidP="008C6A87" w14:paraId="3704ADCE" w14:textId="5BC94233">
            <w:pPr>
              <w:jc w:val="right"/>
              <w:rPr>
                <w:rFonts w:ascii="Times New Roman" w:hAnsi="Times New Roman"/>
                <w:sz w:val="22"/>
                <w:szCs w:val="22"/>
              </w:rPr>
            </w:pPr>
            <w:r>
              <w:rPr>
                <w:rFonts w:ascii="Times New Roman" w:hAnsi="Times New Roman"/>
                <w:sz w:val="22"/>
                <w:szCs w:val="22"/>
              </w:rPr>
              <w:t>20min</w:t>
            </w:r>
          </w:p>
        </w:tc>
        <w:tc>
          <w:tcPr>
            <w:tcW w:w="950" w:type="dxa"/>
            <w:vAlign w:val="bottom"/>
          </w:tcPr>
          <w:p w:rsidR="00296616" w:rsidRPr="008F47CB" w:rsidP="008C6A87" w14:paraId="498C761A" w14:textId="77A4302C">
            <w:pPr>
              <w:jc w:val="right"/>
              <w:rPr>
                <w:rFonts w:ascii="Times New Roman" w:hAnsi="Times New Roman"/>
                <w:sz w:val="22"/>
                <w:szCs w:val="22"/>
              </w:rPr>
            </w:pPr>
            <w:r>
              <w:rPr>
                <w:rFonts w:ascii="Times New Roman" w:hAnsi="Times New Roman"/>
                <w:sz w:val="22"/>
                <w:szCs w:val="22"/>
              </w:rPr>
              <w:t>100</w:t>
            </w:r>
            <w:r w:rsidR="00833D9F">
              <w:rPr>
                <w:rFonts w:ascii="Times New Roman" w:hAnsi="Times New Roman"/>
                <w:sz w:val="22"/>
                <w:szCs w:val="22"/>
              </w:rPr>
              <w:t>hrs</w:t>
            </w:r>
          </w:p>
        </w:tc>
      </w:tr>
      <w:tr w14:paraId="28A27403" w14:textId="77777777" w:rsidTr="00296616">
        <w:tblPrEx>
          <w:tblW w:w="7302" w:type="dxa"/>
          <w:jc w:val="center"/>
          <w:tblLook w:val="04A0"/>
        </w:tblPrEx>
        <w:trPr>
          <w:jc w:val="center"/>
        </w:trPr>
        <w:tc>
          <w:tcPr>
            <w:tcW w:w="1439" w:type="dxa"/>
            <w:vAlign w:val="bottom"/>
          </w:tcPr>
          <w:p w:rsidR="00296616" w:rsidRPr="008F47CB" w:rsidP="008C6A87" w14:paraId="779E4025" w14:textId="77777777">
            <w:pPr>
              <w:jc w:val="right"/>
              <w:rPr>
                <w:rFonts w:ascii="Times New Roman" w:hAnsi="Times New Roman"/>
                <w:sz w:val="22"/>
                <w:szCs w:val="22"/>
              </w:rPr>
            </w:pPr>
          </w:p>
        </w:tc>
        <w:tc>
          <w:tcPr>
            <w:tcW w:w="1415" w:type="dxa"/>
            <w:vAlign w:val="bottom"/>
          </w:tcPr>
          <w:p w:rsidR="00296616" w:rsidRPr="008F47CB" w:rsidP="008C6A87" w14:paraId="0D0FB099" w14:textId="77777777">
            <w:pPr>
              <w:jc w:val="right"/>
              <w:rPr>
                <w:rFonts w:ascii="Times New Roman" w:hAnsi="Times New Roman"/>
                <w:sz w:val="22"/>
                <w:szCs w:val="22"/>
              </w:rPr>
            </w:pPr>
          </w:p>
        </w:tc>
        <w:tc>
          <w:tcPr>
            <w:tcW w:w="1219" w:type="dxa"/>
            <w:vAlign w:val="bottom"/>
          </w:tcPr>
          <w:p w:rsidR="00296616" w:rsidRPr="008F47CB" w:rsidP="008C6A87" w14:paraId="2DF69973" w14:textId="77777777">
            <w:pPr>
              <w:jc w:val="right"/>
              <w:rPr>
                <w:rFonts w:ascii="Times New Roman" w:hAnsi="Times New Roman"/>
                <w:sz w:val="22"/>
                <w:szCs w:val="22"/>
              </w:rPr>
            </w:pPr>
          </w:p>
        </w:tc>
        <w:tc>
          <w:tcPr>
            <w:tcW w:w="1182" w:type="dxa"/>
            <w:vAlign w:val="bottom"/>
          </w:tcPr>
          <w:p w:rsidR="00296616" w:rsidRPr="008F47CB" w:rsidP="008C6A87" w14:paraId="6869AFA2" w14:textId="77777777">
            <w:pPr>
              <w:jc w:val="right"/>
              <w:rPr>
                <w:rFonts w:ascii="Times New Roman" w:hAnsi="Times New Roman"/>
                <w:sz w:val="22"/>
                <w:szCs w:val="22"/>
              </w:rPr>
            </w:pPr>
          </w:p>
        </w:tc>
        <w:tc>
          <w:tcPr>
            <w:tcW w:w="1097" w:type="dxa"/>
            <w:vAlign w:val="bottom"/>
          </w:tcPr>
          <w:p w:rsidR="00296616" w:rsidRPr="008F47CB" w:rsidP="008C6A87" w14:paraId="3983D868" w14:textId="77777777">
            <w:pPr>
              <w:jc w:val="right"/>
              <w:rPr>
                <w:rFonts w:ascii="Times New Roman" w:hAnsi="Times New Roman"/>
                <w:sz w:val="22"/>
                <w:szCs w:val="22"/>
              </w:rPr>
            </w:pPr>
          </w:p>
        </w:tc>
        <w:tc>
          <w:tcPr>
            <w:tcW w:w="950" w:type="dxa"/>
            <w:vAlign w:val="bottom"/>
          </w:tcPr>
          <w:p w:rsidR="00296616" w:rsidRPr="008F47CB" w:rsidP="008C6A87" w14:paraId="1211DF9B" w14:textId="77777777">
            <w:pPr>
              <w:jc w:val="right"/>
              <w:rPr>
                <w:rFonts w:ascii="Times New Roman" w:hAnsi="Times New Roman"/>
                <w:sz w:val="22"/>
                <w:szCs w:val="22"/>
              </w:rPr>
            </w:pPr>
          </w:p>
        </w:tc>
      </w:tr>
      <w:tr w14:paraId="578B68EB" w14:textId="77777777" w:rsidTr="00296616">
        <w:tblPrEx>
          <w:tblW w:w="7302" w:type="dxa"/>
          <w:jc w:val="center"/>
          <w:tblLook w:val="04A0"/>
        </w:tblPrEx>
        <w:trPr>
          <w:jc w:val="center"/>
        </w:trPr>
        <w:tc>
          <w:tcPr>
            <w:tcW w:w="1439" w:type="dxa"/>
          </w:tcPr>
          <w:p w:rsidR="00296616"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296616" w:rsidRPr="008F47CB" w:rsidP="00501A15" w14:paraId="32AB6B8A" w14:textId="0DB437E3">
            <w:pPr>
              <w:jc w:val="right"/>
              <w:rPr>
                <w:rFonts w:ascii="Times New Roman" w:hAnsi="Times New Roman"/>
                <w:b/>
                <w:i/>
                <w:sz w:val="22"/>
                <w:szCs w:val="22"/>
              </w:rPr>
            </w:pPr>
            <w:r>
              <w:rPr>
                <w:rFonts w:ascii="Times New Roman" w:hAnsi="Times New Roman"/>
                <w:b/>
                <w:i/>
                <w:sz w:val="22"/>
                <w:szCs w:val="22"/>
              </w:rPr>
              <w:t>300</w:t>
            </w:r>
          </w:p>
        </w:tc>
        <w:tc>
          <w:tcPr>
            <w:tcW w:w="1219" w:type="dxa"/>
            <w:vAlign w:val="bottom"/>
          </w:tcPr>
          <w:p w:rsidR="00296616" w:rsidRPr="008F47CB" w:rsidP="00627B1F" w14:paraId="75495CB4" w14:textId="7C6FC44B">
            <w:pPr>
              <w:jc w:val="center"/>
              <w:rPr>
                <w:rFonts w:ascii="Times New Roman" w:hAnsi="Times New Roman"/>
                <w:b/>
                <w:i/>
                <w:sz w:val="22"/>
                <w:szCs w:val="22"/>
              </w:rPr>
            </w:pPr>
          </w:p>
        </w:tc>
        <w:tc>
          <w:tcPr>
            <w:tcW w:w="1182" w:type="dxa"/>
            <w:vAlign w:val="bottom"/>
          </w:tcPr>
          <w:p w:rsidR="00296616" w:rsidRPr="008F47CB" w:rsidP="00501A15" w14:paraId="1A7661D9" w14:textId="4C6F36C5">
            <w:pPr>
              <w:jc w:val="right"/>
              <w:rPr>
                <w:rFonts w:ascii="Times New Roman" w:hAnsi="Times New Roman"/>
                <w:b/>
                <w:i/>
                <w:sz w:val="22"/>
                <w:szCs w:val="22"/>
              </w:rPr>
            </w:pPr>
            <w:r>
              <w:rPr>
                <w:rFonts w:ascii="Times New Roman" w:hAnsi="Times New Roman"/>
                <w:b/>
                <w:i/>
                <w:sz w:val="22"/>
                <w:szCs w:val="22"/>
              </w:rPr>
              <w:t>300</w:t>
            </w:r>
          </w:p>
        </w:tc>
        <w:tc>
          <w:tcPr>
            <w:tcW w:w="1097" w:type="dxa"/>
            <w:vAlign w:val="bottom"/>
          </w:tcPr>
          <w:p w:rsidR="00296616" w:rsidRPr="008F47CB" w:rsidP="00501A15" w14:paraId="4A94906E" w14:textId="66CA6502">
            <w:pPr>
              <w:jc w:val="right"/>
              <w:rPr>
                <w:rFonts w:ascii="Times New Roman" w:hAnsi="Times New Roman"/>
                <w:b/>
                <w:i/>
                <w:sz w:val="22"/>
                <w:szCs w:val="22"/>
              </w:rPr>
            </w:pPr>
          </w:p>
        </w:tc>
        <w:tc>
          <w:tcPr>
            <w:tcW w:w="950" w:type="dxa"/>
            <w:vAlign w:val="bottom"/>
          </w:tcPr>
          <w:p w:rsidR="00296616" w:rsidRPr="008F47CB" w:rsidP="00501A15" w14:paraId="4075BA8E" w14:textId="78F331C6">
            <w:pPr>
              <w:jc w:val="right"/>
              <w:rPr>
                <w:rFonts w:ascii="Times New Roman" w:hAnsi="Times New Roman"/>
                <w:b/>
                <w:i/>
                <w:sz w:val="22"/>
                <w:szCs w:val="22"/>
              </w:rPr>
            </w:pPr>
            <w:r>
              <w:rPr>
                <w:rFonts w:ascii="Times New Roman" w:hAnsi="Times New Roman"/>
                <w:b/>
                <w:i/>
                <w:sz w:val="22"/>
                <w:szCs w:val="22"/>
              </w:rPr>
              <w:t>100hrs.</w:t>
            </w: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RPr="00285A57" w:rsidP="00690F56" w14:paraId="7BB374DD" w14:textId="7348127F">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5991362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annual IC cost burden for this collection is $</w:t>
      </w:r>
      <w:r w:rsidR="00285A57">
        <w:rPr>
          <w:rFonts w:ascii="Times New Roman" w:hAnsi="Times New Roman"/>
        </w:rPr>
        <w:t>0.</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965911" w:rsidP="00965911" w14:paraId="3E51DCE9" w14:textId="7D7166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is no costs to the federal government. </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062351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1B53">
        <w:rPr>
          <w:rFonts w:ascii="Times New Roman" w:hAnsi="Times New Roman"/>
        </w:rPr>
        <w:t>There are no changes associated with this submission</w:t>
      </w:r>
      <w:r>
        <w:rPr>
          <w:rFonts w:ascii="Times New Roman" w:hAnsi="Times New Roman"/>
        </w:rPr>
        <w:t xml:space="preserve"> as this is a new collection. </w:t>
      </w:r>
    </w:p>
    <w:p w:rsidR="001C1B53" w:rsidRPr="00F4518C" w:rsidP="00690F56" w14:paraId="13E981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505CF3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6202F">
        <w:rPr>
          <w:rFonts w:ascii="Times New Roman" w:hAnsi="Times New Roman"/>
        </w:rPr>
        <w:t>The results of this collection will not be published.</w:t>
      </w:r>
    </w:p>
    <w:p w:rsidR="0016202F" w:rsidRPr="00871CA6" w:rsidP="00690F56" w14:paraId="190606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77A9719A">
    <w:pPr>
      <w:pStyle w:val="Header"/>
      <w:rPr>
        <w:rFonts w:ascii="Times New Roman" w:hAnsi="Times New Roman"/>
        <w:bCs/>
        <w:sz w:val="20"/>
        <w:szCs w:val="20"/>
      </w:rPr>
    </w:pPr>
    <w:r>
      <w:rPr>
        <w:rFonts w:ascii="Times New Roman" w:hAnsi="Times New Roman"/>
        <w:bCs/>
        <w:sz w:val="20"/>
        <w:szCs w:val="20"/>
      </w:rPr>
      <w:t>Adverse Information Suitability Request</w:t>
    </w:r>
  </w:p>
  <w:p w:rsidR="00EC0B43" w14:paraId="52F50703" w14:textId="6CE03A64">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D6553">
      <w:rPr>
        <w:rFonts w:ascii="Times New Roman" w:hAnsi="Times New Roman"/>
        <w:sz w:val="20"/>
        <w:szCs w:val="20"/>
      </w:rPr>
      <w:t>1140</w:t>
    </w:r>
    <w:r w:rsidR="00996A5D">
      <w:rPr>
        <w:rFonts w:ascii="Times New Roman" w:hAnsi="Times New Roman"/>
        <w:sz w:val="20"/>
        <w:szCs w:val="20"/>
      </w:rPr>
      <w:t>-</w:t>
    </w:r>
    <w:r w:rsidR="009D6553">
      <w:rPr>
        <w:rFonts w:ascii="Times New Roman" w:hAnsi="Times New Roman"/>
        <w:sz w:val="20"/>
        <w:szCs w:val="20"/>
      </w:rPr>
      <w:t>0NEW</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177"/>
    <w:rsid w:val="0000482B"/>
    <w:rsid w:val="00007F1C"/>
    <w:rsid w:val="000114C0"/>
    <w:rsid w:val="00012A2F"/>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514E"/>
    <w:rsid w:val="000B6FB6"/>
    <w:rsid w:val="000C257C"/>
    <w:rsid w:val="000C3A92"/>
    <w:rsid w:val="000C74FB"/>
    <w:rsid w:val="000D7F95"/>
    <w:rsid w:val="000E1C64"/>
    <w:rsid w:val="000F6836"/>
    <w:rsid w:val="001040D4"/>
    <w:rsid w:val="001078BB"/>
    <w:rsid w:val="00116CD5"/>
    <w:rsid w:val="00117CA5"/>
    <w:rsid w:val="00124E70"/>
    <w:rsid w:val="00126A06"/>
    <w:rsid w:val="00133C47"/>
    <w:rsid w:val="00133E3D"/>
    <w:rsid w:val="001376D3"/>
    <w:rsid w:val="0014556E"/>
    <w:rsid w:val="0014601E"/>
    <w:rsid w:val="0015322B"/>
    <w:rsid w:val="0015365E"/>
    <w:rsid w:val="00157A90"/>
    <w:rsid w:val="0016202F"/>
    <w:rsid w:val="00167AD4"/>
    <w:rsid w:val="00180E5A"/>
    <w:rsid w:val="00192711"/>
    <w:rsid w:val="001A47D9"/>
    <w:rsid w:val="001A48B3"/>
    <w:rsid w:val="001B4BB9"/>
    <w:rsid w:val="001C1B53"/>
    <w:rsid w:val="001C2F1D"/>
    <w:rsid w:val="001C39F6"/>
    <w:rsid w:val="001D10ED"/>
    <w:rsid w:val="001D2D09"/>
    <w:rsid w:val="001D67BB"/>
    <w:rsid w:val="001E0E7F"/>
    <w:rsid w:val="001E2932"/>
    <w:rsid w:val="001E3596"/>
    <w:rsid w:val="001E5213"/>
    <w:rsid w:val="001F2E8E"/>
    <w:rsid w:val="001F552E"/>
    <w:rsid w:val="002021E3"/>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5A57"/>
    <w:rsid w:val="002866AD"/>
    <w:rsid w:val="00286BE3"/>
    <w:rsid w:val="00287ACB"/>
    <w:rsid w:val="00287B7D"/>
    <w:rsid w:val="0029135D"/>
    <w:rsid w:val="00292951"/>
    <w:rsid w:val="00293CD1"/>
    <w:rsid w:val="00296616"/>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BF5"/>
    <w:rsid w:val="00370C9A"/>
    <w:rsid w:val="00371EEC"/>
    <w:rsid w:val="00377116"/>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35F5"/>
    <w:rsid w:val="004D441E"/>
    <w:rsid w:val="004D46D1"/>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4495"/>
    <w:rsid w:val="00627B1F"/>
    <w:rsid w:val="00642220"/>
    <w:rsid w:val="0065148D"/>
    <w:rsid w:val="00652ED1"/>
    <w:rsid w:val="006568EC"/>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36FBD"/>
    <w:rsid w:val="007412B6"/>
    <w:rsid w:val="00743EB8"/>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0DF"/>
    <w:rsid w:val="007F3B38"/>
    <w:rsid w:val="007F3C02"/>
    <w:rsid w:val="00802605"/>
    <w:rsid w:val="00802A30"/>
    <w:rsid w:val="008043E5"/>
    <w:rsid w:val="00804A1A"/>
    <w:rsid w:val="0081073D"/>
    <w:rsid w:val="00813CC0"/>
    <w:rsid w:val="008323ED"/>
    <w:rsid w:val="00833D9F"/>
    <w:rsid w:val="00835955"/>
    <w:rsid w:val="00846701"/>
    <w:rsid w:val="008624D5"/>
    <w:rsid w:val="008717E3"/>
    <w:rsid w:val="00871CA6"/>
    <w:rsid w:val="00882AB5"/>
    <w:rsid w:val="00882B1D"/>
    <w:rsid w:val="0088672C"/>
    <w:rsid w:val="008A1F0C"/>
    <w:rsid w:val="008A40D1"/>
    <w:rsid w:val="008B3128"/>
    <w:rsid w:val="008B541B"/>
    <w:rsid w:val="008C6A87"/>
    <w:rsid w:val="008F47CB"/>
    <w:rsid w:val="00901003"/>
    <w:rsid w:val="0090158E"/>
    <w:rsid w:val="00901EF6"/>
    <w:rsid w:val="0090413E"/>
    <w:rsid w:val="00923B37"/>
    <w:rsid w:val="009271B1"/>
    <w:rsid w:val="0093485F"/>
    <w:rsid w:val="009407FC"/>
    <w:rsid w:val="009441E2"/>
    <w:rsid w:val="00963680"/>
    <w:rsid w:val="00964D3F"/>
    <w:rsid w:val="00965911"/>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D6553"/>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B5CB3"/>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21297"/>
    <w:rsid w:val="00D2331B"/>
    <w:rsid w:val="00D36BB6"/>
    <w:rsid w:val="00D4451A"/>
    <w:rsid w:val="00D472BE"/>
    <w:rsid w:val="00D53DEB"/>
    <w:rsid w:val="00D57DE8"/>
    <w:rsid w:val="00D735B0"/>
    <w:rsid w:val="00D73AAD"/>
    <w:rsid w:val="00D75842"/>
    <w:rsid w:val="00D802D6"/>
    <w:rsid w:val="00D86A15"/>
    <w:rsid w:val="00D86FF7"/>
    <w:rsid w:val="00D90EDA"/>
    <w:rsid w:val="00DA7DC9"/>
    <w:rsid w:val="00DB7B7C"/>
    <w:rsid w:val="00DD4356"/>
    <w:rsid w:val="00DD6DF0"/>
    <w:rsid w:val="00DF4159"/>
    <w:rsid w:val="00E0031C"/>
    <w:rsid w:val="00E0138A"/>
    <w:rsid w:val="00E06430"/>
    <w:rsid w:val="00E13DE5"/>
    <w:rsid w:val="00E163CF"/>
    <w:rsid w:val="00E20D5B"/>
    <w:rsid w:val="00E22463"/>
    <w:rsid w:val="00E23871"/>
    <w:rsid w:val="00E322E9"/>
    <w:rsid w:val="00E37C27"/>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032"/>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771C5"/>
    <w:rsid w:val="00F8164B"/>
    <w:rsid w:val="00F935EE"/>
    <w:rsid w:val="00F96885"/>
    <w:rsid w:val="00FA3D8C"/>
    <w:rsid w:val="00FB026D"/>
    <w:rsid w:val="00FB587F"/>
    <w:rsid w:val="00FD35DD"/>
    <w:rsid w:val="00FD5326"/>
    <w:rsid w:val="00FF0897"/>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2591</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33</cp:revision>
  <cp:lastPrinted>2020-02-19T15:46:00Z</cp:lastPrinted>
  <dcterms:created xsi:type="dcterms:W3CDTF">2023-05-17T20:31:00Z</dcterms:created>
  <dcterms:modified xsi:type="dcterms:W3CDTF">2023-05-18T20:02:00Z</dcterms:modified>
</cp:coreProperties>
</file>