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5A70C82F">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Pr="00A47DA7">
        <w:rPr>
          <w:rFonts w:ascii="Times New Roman" w:hAnsi="Times New Roman"/>
          <w:b/>
          <w:bCs/>
        </w:rPr>
        <w:t>STATEMENT</w:t>
      </w:r>
      <w:r w:rsidR="00F203CE">
        <w:rPr>
          <w:rFonts w:ascii="Times New Roman" w:hAnsi="Times New Roman"/>
          <w:b/>
          <w:bCs/>
        </w:rPr>
        <w:t xml:space="preserve"> A</w:t>
      </w:r>
      <w:r w:rsidRPr="00A47DA7">
        <w:rPr>
          <w:rFonts w:ascii="Times New Roman" w:hAnsi="Times New Roman"/>
          <w:b/>
          <w:bCs/>
        </w:rPr>
        <w:t xml:space="preserve"> FOR</w:t>
      </w:r>
    </w:p>
    <w:p w:rsidR="00E86973" w:rsidRPr="00871CA6" w:rsidP="00E86973" w14:paraId="60089450" w14:textId="43961BAF">
      <w:pPr>
        <w:widowControl/>
        <w:jc w:val="center"/>
        <w:rPr>
          <w:rFonts w:ascii="Times New Roman" w:hAnsi="Times New Roman"/>
          <w:b/>
          <w:bCs/>
        </w:rPr>
      </w:pPr>
      <w:r w:rsidRPr="00EA3B60">
        <w:rPr>
          <w:rFonts w:ascii="Times New Roman" w:hAnsi="Times New Roman"/>
          <w:b/>
          <w:bCs/>
        </w:rPr>
        <w:t>Complaint Form, Federal Coordination and Compliance Section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9E6265" w:rsidP="00D802D6" w14:paraId="386CE7D5" w14:textId="54184A1D">
      <w:pPr>
        <w:pStyle w:val="paragraph"/>
        <w:textAlignment w:val="baseline"/>
        <w:rPr>
          <w:color w:val="000000"/>
        </w:rPr>
      </w:pPr>
      <w:r w:rsidRPr="00D9150A">
        <w:rPr>
          <w:color w:val="000000"/>
        </w:rPr>
        <w:t>Pursuant to (I) Title VI of the Civil Rights Act of 1964, as amended, 42 U.S.C. §§ 2000d et</w:t>
      </w:r>
      <w:r w:rsidRPr="009E6265" w:rsidR="009E6265">
        <w:rPr>
          <w:color w:val="000000"/>
        </w:rPr>
        <w:t xml:space="preserve"> </w:t>
      </w:r>
      <w:r w:rsidRPr="00D9150A">
        <w:rPr>
          <w:color w:val="000000"/>
        </w:rPr>
        <w:t>seq., and its implementing regulations, 28 C.F.R. § 42.101 et seq, and (II) anti-discrimination</w:t>
      </w:r>
      <w:r w:rsidRPr="009E6265">
        <w:rPr>
          <w:color w:val="000000"/>
        </w:rPr>
        <w:t xml:space="preserve"> </w:t>
      </w:r>
      <w:r w:rsidRPr="00D9150A">
        <w:rPr>
          <w:color w:val="000000"/>
        </w:rPr>
        <w:t xml:space="preserve">provisions in the Omnibus Crime Control and Safe Streets Act, 42 U.S.C. § 3789d, and its implementing regulations at 28 C.F.R. § 42.201 et seq., the Department of Justice has the authority to investigate certain allegations </w:t>
      </w:r>
      <w:r w:rsidRPr="00D9150A" w:rsidR="00957312">
        <w:rPr>
          <w:color w:val="000000"/>
        </w:rPr>
        <w:t>of</w:t>
      </w:r>
      <w:r w:rsidRPr="00D9150A">
        <w:rPr>
          <w:color w:val="000000"/>
        </w:rPr>
        <w:t xml:space="preserve"> discrimination on the basis of race, color, national origin, religion, or gender by recipients of Federal financial assistance.  See 28 C.F.R. § 42.107 and 28 C.F.R. § 42.205.  The Department’s Civil Rights Division, Federal Coordination and Compliance Section (FCS) serves as a clearinghouse for receipt of complaints alleging discrimination.  Following receipt of a complaint, FCS must determine whether the Department or another Federal agency has jurisdiction to investigate the complaint.   If the Department has jurisdiction to investigate the complaint, it must undertake an investigation of the complaint, attempt to achieve informal resolution or the complaint and, if informal resolution is not achieved, issue a Letter of Findings that must include findings of fact and conclusions of law.  If the Department does not have jurisdiction, FCS must forward the complaint to the applicable Federal agency.</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F247E8" w:rsidRPr="00F247E8" w:rsidP="00F247E8" w14:paraId="6C963F53" w14:textId="77777777">
      <w:pPr>
        <w:widowControl/>
        <w:rPr>
          <w:rFonts w:ascii="Times New Roman" w:hAnsi="Times New Roman"/>
        </w:rPr>
      </w:pPr>
      <w:r w:rsidRPr="00F247E8">
        <w:rPr>
          <w:rFonts w:ascii="Times New Roman" w:hAnsi="Times New Roman"/>
        </w:rPr>
        <w:t>The information to be collected in the form submitted for OMB approval (Complaint and Consent Form) has been, and will be used by the Department’s attorneys and investigators (</w:t>
      </w:r>
      <w:r w:rsidRPr="00F247E8">
        <w:rPr>
          <w:rFonts w:ascii="Times New Roman" w:hAnsi="Times New Roman"/>
        </w:rPr>
        <w:t>i</w:t>
      </w:r>
      <w:r w:rsidRPr="00F247E8">
        <w:rPr>
          <w:rFonts w:ascii="Times New Roman" w:hAnsi="Times New Roman"/>
        </w:rPr>
        <w:t xml:space="preserve">) to determine whether the Department of Justice or another Federal agency has jurisdiction to investigate the alleged discrimination, (ii) if the Department does not have jurisdiction, to make a referral to the appropriate agency, and (iii) if the Department has jurisdiction to investigate the complaint, to provide the information needed to initiate investigation of the complaint.   This information has been used by other Departments </w:t>
      </w:r>
      <w:r w:rsidRPr="00F247E8">
        <w:rPr>
          <w:rFonts w:ascii="Times New Roman" w:hAnsi="Times New Roman"/>
        </w:rPr>
        <w:t>in the course of</w:t>
      </w:r>
      <w:r w:rsidRPr="00F247E8">
        <w:rPr>
          <w:rFonts w:ascii="Times New Roman" w:hAnsi="Times New Roman"/>
        </w:rPr>
        <w:t xml:space="preserve"> their investigation.</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16941" w:rsidRPr="00F16941" w:rsidP="00F16941" w14:paraId="1A8E9E2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6941">
        <w:rPr>
          <w:rFonts w:ascii="Times New Roman" w:hAnsi="Times New Roman"/>
        </w:rPr>
        <w:t>The use of this form provides the most efficient means of collecting the required data.  No electronic collection techniques are being used.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5B0A2DF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037146" w:rsidRPr="00D53DEB" w:rsidP="00690F56" w14:paraId="30925A3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37146" w:rsidRPr="00037146" w:rsidP="00037146" w14:paraId="11B6358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7146">
        <w:rPr>
          <w:rFonts w:ascii="Times New Roman" w:hAnsi="Times New Roman"/>
        </w:rPr>
        <w:t>This form will only be distributed to individual complainants at their request and use of the form is voluntary.  If the information provided by a complainant indicates that the complaint should be investigated by another Federal agency, the completed form will be forwarded to the investigating agency, thus avoiding any duplicative requests for information.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666160B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3FCD" w:rsidRPr="00B96E43" w:rsidP="00690F56" w14:paraId="40C739C5" w14:textId="6C54FC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3FCD">
        <w:rPr>
          <w:rFonts w:ascii="Times New Roman" w:hAnsi="Times New Roman"/>
        </w:rPr>
        <w:t>If this information were not obtained, the Department would be unable to process and investigate complaints as required by its statutory mandate.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7F544CC7">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1F4602">
        <w:rPr>
          <w:rFonts w:ascii="Times New Roman" w:hAnsi="Times New Roman"/>
        </w:rPr>
        <w:t>Ma</w:t>
      </w:r>
      <w:r w:rsidR="00C06C5A">
        <w:rPr>
          <w:rFonts w:ascii="Times New Roman" w:hAnsi="Times New Roman"/>
        </w:rPr>
        <w:t>y</w:t>
      </w:r>
      <w:r w:rsidR="001F4602">
        <w:rPr>
          <w:rFonts w:ascii="Times New Roman" w:hAnsi="Times New Roman"/>
        </w:rPr>
        <w:t xml:space="preserve"> 19, 2023</w:t>
      </w:r>
      <w:r w:rsidRPr="00A2391E">
        <w:rPr>
          <w:rFonts w:ascii="Times New Roman" w:hAnsi="Times New Roman"/>
        </w:rPr>
        <w:t xml:space="preserve"> (</w:t>
      </w:r>
      <w:r w:rsidRPr="00C06C5A" w:rsidR="00C06C5A">
        <w:rPr>
          <w:rFonts w:ascii="Times New Roman" w:hAnsi="Times New Roman"/>
        </w:rPr>
        <w:t>88 FR 32248</w:t>
      </w:r>
      <w:r w:rsidRPr="00A2391E">
        <w:rPr>
          <w:rFonts w:ascii="Times New Roman" w:hAnsi="Times New Roman"/>
        </w:rPr>
        <w:t>). The comment period ended on</w:t>
      </w:r>
      <w:r w:rsidR="002517E4">
        <w:rPr>
          <w:rFonts w:ascii="Times New Roman" w:hAnsi="Times New Roman"/>
        </w:rPr>
        <w:t xml:space="preserve"> </w:t>
      </w:r>
      <w:r w:rsidR="00C06C5A">
        <w:rPr>
          <w:rFonts w:ascii="Times New Roman" w:hAnsi="Times New Roman"/>
        </w:rPr>
        <w:t>July 18, 2023</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7333E6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408B">
        <w:rPr>
          <w:rFonts w:ascii="Times New Roman" w:hAnsi="Times New Roman"/>
        </w:rPr>
        <w:t xml:space="preserve">A portion of the Complaint and Consent Form entitled the “Complainant Consent Release Form” describes how information provided to or obtained by the Department of Justice </w:t>
      </w:r>
      <w:r w:rsidRPr="0042408B">
        <w:rPr>
          <w:rFonts w:ascii="Times New Roman" w:hAnsi="Times New Roman"/>
        </w:rPr>
        <w:t>in the course of</w:t>
      </w:r>
      <w:r w:rsidRPr="0042408B">
        <w:rPr>
          <w:rFonts w:ascii="Times New Roman" w:hAnsi="Times New Roman"/>
        </w:rPr>
        <w:t xml:space="preserve"> complaint investigation will be treated by the Department.  This portion provides a brief overview of the Privacy Act of 1974, 5 U.S.C. § 552a, and the Freedom of Information Act, 5 U.S.C. § 552.  The complainant has the option of giving or denying consent to the disclosure of information by the Department </w:t>
      </w:r>
      <w:r w:rsidRPr="0042408B">
        <w:rPr>
          <w:rFonts w:ascii="Times New Roman" w:hAnsi="Times New Roman"/>
        </w:rPr>
        <w:t>during the course of</w:t>
      </w:r>
      <w:r w:rsidRPr="0042408B">
        <w:rPr>
          <w:rFonts w:ascii="Times New Roman" w:hAnsi="Times New Roman"/>
        </w:rPr>
        <w:t xml:space="preserve"> its investigation.  Confidentiality is assured</w:t>
      </w:r>
      <w:r w:rsidR="0083474B">
        <w:rPr>
          <w:rFonts w:ascii="Times New Roman" w:hAnsi="Times New Roman"/>
        </w:rPr>
        <w:t xml:space="preserve">; </w:t>
      </w:r>
      <w:r w:rsidRPr="0083474B" w:rsidR="0083474B">
        <w:rPr>
          <w:rFonts w:ascii="Times New Roman" w:hAnsi="Times New Roman"/>
        </w:rPr>
        <w:t>Central Civil Rights Division Index File and Associated Records</w:t>
      </w:r>
      <w:r w:rsidR="0083474B">
        <w:rPr>
          <w:rFonts w:ascii="Times New Roman" w:hAnsi="Times New Roman"/>
        </w:rPr>
        <w:t xml:space="preserve">, System of Records 82 FR </w:t>
      </w:r>
      <w:r w:rsidRPr="00F203CE" w:rsidR="00F203CE">
        <w:rPr>
          <w:rFonts w:ascii="Times New Roman" w:hAnsi="Times New Roman"/>
        </w:rPr>
        <w:t>24147</w:t>
      </w:r>
      <w:r w:rsidR="00F203CE">
        <w:rPr>
          <w:rFonts w:ascii="Times New Roman" w:hAnsi="Times New Roman"/>
        </w:rPr>
        <w:t xml:space="preserve">. </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42408B" w:rsidP="00690F56" w14:paraId="13A55570" w14:textId="7F831A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408B" w:rsidRPr="0042408B" w:rsidP="00690F56" w14:paraId="6398A35A" w14:textId="7F2506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70E6">
        <w:rPr>
          <w:rFonts w:ascii="Times New Roman" w:hAnsi="Times New Roman"/>
        </w:rPr>
        <w:t>There are no sensitive questions</w:t>
      </w:r>
      <w:r>
        <w:rPr>
          <w:rFonts w:ascii="Times New Roman" w:hAnsi="Times New Roman"/>
        </w:rPr>
        <w: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87" w:type="dxa"/>
        <w:jc w:val="center"/>
        <w:tblLook w:val="04A0"/>
      </w:tblPr>
      <w:tblGrid>
        <w:gridCol w:w="1439"/>
        <w:gridCol w:w="1415"/>
        <w:gridCol w:w="1219"/>
        <w:gridCol w:w="1182"/>
        <w:gridCol w:w="1097"/>
        <w:gridCol w:w="1035"/>
      </w:tblGrid>
      <w:tr w14:paraId="4AA59B92" w14:textId="77777777" w:rsidTr="003171AD">
        <w:tblPrEx>
          <w:tblW w:w="7387" w:type="dxa"/>
          <w:jc w:val="center"/>
          <w:tblLook w:val="04A0"/>
        </w:tblPrEx>
        <w:trPr>
          <w:jc w:val="center"/>
        </w:trPr>
        <w:tc>
          <w:tcPr>
            <w:tcW w:w="1439" w:type="dxa"/>
            <w:shd w:val="clear" w:color="auto" w:fill="ADB9CA" w:themeFill="text2" w:themeFillTint="66"/>
          </w:tcPr>
          <w:p w:rsidR="003171AD"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171AD"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171AD"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171AD"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171AD"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035" w:type="dxa"/>
            <w:shd w:val="clear" w:color="auto" w:fill="ADB9CA" w:themeFill="text2" w:themeFillTint="66"/>
          </w:tcPr>
          <w:p w:rsidR="003171AD"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3171AD">
        <w:tblPrEx>
          <w:tblW w:w="7387" w:type="dxa"/>
          <w:jc w:val="center"/>
          <w:tblLook w:val="04A0"/>
        </w:tblPrEx>
        <w:trPr>
          <w:jc w:val="center"/>
        </w:trPr>
        <w:tc>
          <w:tcPr>
            <w:tcW w:w="1439" w:type="dxa"/>
            <w:vAlign w:val="bottom"/>
          </w:tcPr>
          <w:p w:rsidR="003171AD" w:rsidRPr="008F47CB" w:rsidP="003D5085" w14:paraId="4E4E0FA6" w14:textId="65C0C760">
            <w:pPr>
              <w:rPr>
                <w:rFonts w:ascii="Times New Roman" w:hAnsi="Times New Roman"/>
                <w:sz w:val="22"/>
                <w:szCs w:val="22"/>
              </w:rPr>
            </w:pPr>
            <w:r w:rsidRPr="003D5085">
              <w:rPr>
                <w:rFonts w:ascii="Times New Roman" w:hAnsi="Times New Roman"/>
                <w:sz w:val="22"/>
                <w:szCs w:val="22"/>
              </w:rPr>
              <w:t>Form: FCS Complaint and Consent Form</w:t>
            </w:r>
          </w:p>
        </w:tc>
        <w:tc>
          <w:tcPr>
            <w:tcW w:w="1415" w:type="dxa"/>
            <w:vAlign w:val="bottom"/>
          </w:tcPr>
          <w:p w:rsidR="003171AD" w:rsidRPr="008F47CB" w:rsidP="008C6A87" w14:paraId="23BB2474" w14:textId="16AF69E0">
            <w:pPr>
              <w:jc w:val="right"/>
              <w:rPr>
                <w:rFonts w:ascii="Times New Roman" w:hAnsi="Times New Roman"/>
                <w:sz w:val="22"/>
                <w:szCs w:val="22"/>
              </w:rPr>
            </w:pPr>
            <w:r>
              <w:rPr>
                <w:rFonts w:ascii="Times New Roman" w:hAnsi="Times New Roman"/>
                <w:sz w:val="22"/>
                <w:szCs w:val="22"/>
              </w:rPr>
              <w:t>4,000</w:t>
            </w:r>
          </w:p>
        </w:tc>
        <w:tc>
          <w:tcPr>
            <w:tcW w:w="1219" w:type="dxa"/>
            <w:vAlign w:val="bottom"/>
          </w:tcPr>
          <w:p w:rsidR="003171AD"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171AD" w:rsidRPr="008F47CB" w:rsidP="008C6A87" w14:paraId="03D2549D" w14:textId="43B4B602">
            <w:pPr>
              <w:jc w:val="right"/>
              <w:rPr>
                <w:rFonts w:ascii="Times New Roman" w:hAnsi="Times New Roman"/>
                <w:sz w:val="22"/>
                <w:szCs w:val="22"/>
              </w:rPr>
            </w:pPr>
            <w:r>
              <w:rPr>
                <w:rFonts w:ascii="Times New Roman" w:hAnsi="Times New Roman"/>
                <w:sz w:val="22"/>
                <w:szCs w:val="22"/>
              </w:rPr>
              <w:t>4,000</w:t>
            </w:r>
          </w:p>
        </w:tc>
        <w:tc>
          <w:tcPr>
            <w:tcW w:w="1097" w:type="dxa"/>
            <w:vAlign w:val="bottom"/>
          </w:tcPr>
          <w:p w:rsidR="003171AD" w:rsidRPr="008F47CB" w:rsidP="008C6A87" w14:paraId="3704ADCE" w14:textId="337FCBAC">
            <w:pPr>
              <w:jc w:val="right"/>
              <w:rPr>
                <w:rFonts w:ascii="Times New Roman" w:hAnsi="Times New Roman"/>
                <w:sz w:val="22"/>
                <w:szCs w:val="22"/>
              </w:rPr>
            </w:pPr>
            <w:r>
              <w:rPr>
                <w:rFonts w:ascii="Times New Roman" w:hAnsi="Times New Roman"/>
                <w:sz w:val="22"/>
                <w:szCs w:val="22"/>
              </w:rPr>
              <w:t>.5</w:t>
            </w:r>
          </w:p>
        </w:tc>
        <w:tc>
          <w:tcPr>
            <w:tcW w:w="1035" w:type="dxa"/>
            <w:vAlign w:val="bottom"/>
          </w:tcPr>
          <w:p w:rsidR="003171AD" w:rsidRPr="008F47CB" w:rsidP="008C6A87" w14:paraId="498C761A" w14:textId="3208A1C5">
            <w:pPr>
              <w:jc w:val="right"/>
              <w:rPr>
                <w:rFonts w:ascii="Times New Roman" w:hAnsi="Times New Roman"/>
                <w:sz w:val="22"/>
                <w:szCs w:val="22"/>
              </w:rPr>
            </w:pPr>
            <w:r>
              <w:rPr>
                <w:rFonts w:ascii="Times New Roman" w:hAnsi="Times New Roman"/>
                <w:sz w:val="22"/>
                <w:szCs w:val="22"/>
              </w:rPr>
              <w:t>2,000hrs.</w:t>
            </w:r>
          </w:p>
        </w:tc>
      </w:tr>
      <w:tr w14:paraId="578B68EB" w14:textId="77777777" w:rsidTr="003171AD">
        <w:tblPrEx>
          <w:tblW w:w="7387" w:type="dxa"/>
          <w:jc w:val="center"/>
          <w:tblLook w:val="04A0"/>
        </w:tblPrEx>
        <w:trPr>
          <w:jc w:val="center"/>
        </w:trPr>
        <w:tc>
          <w:tcPr>
            <w:tcW w:w="1439" w:type="dxa"/>
          </w:tcPr>
          <w:p w:rsidR="003171AD"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3171AD" w:rsidRPr="008F47CB" w:rsidP="00501A15" w14:paraId="32AB6B8A" w14:textId="7C1C762E">
            <w:pPr>
              <w:jc w:val="right"/>
              <w:rPr>
                <w:rFonts w:ascii="Times New Roman" w:hAnsi="Times New Roman"/>
                <w:b/>
                <w:i/>
                <w:sz w:val="22"/>
                <w:szCs w:val="22"/>
              </w:rPr>
            </w:pPr>
            <w:r>
              <w:rPr>
                <w:rFonts w:ascii="Times New Roman" w:hAnsi="Times New Roman"/>
                <w:b/>
                <w:i/>
                <w:sz w:val="22"/>
                <w:szCs w:val="22"/>
              </w:rPr>
              <w:t>4,000</w:t>
            </w:r>
          </w:p>
        </w:tc>
        <w:tc>
          <w:tcPr>
            <w:tcW w:w="1219" w:type="dxa"/>
            <w:vAlign w:val="bottom"/>
          </w:tcPr>
          <w:p w:rsidR="003171AD" w:rsidRPr="008F47CB" w:rsidP="00627B1F" w14:paraId="75495CB4" w14:textId="7C6FC44B">
            <w:pPr>
              <w:jc w:val="center"/>
              <w:rPr>
                <w:rFonts w:ascii="Times New Roman" w:hAnsi="Times New Roman"/>
                <w:b/>
                <w:i/>
                <w:sz w:val="22"/>
                <w:szCs w:val="22"/>
              </w:rPr>
            </w:pPr>
          </w:p>
        </w:tc>
        <w:tc>
          <w:tcPr>
            <w:tcW w:w="1182" w:type="dxa"/>
            <w:vAlign w:val="bottom"/>
          </w:tcPr>
          <w:p w:rsidR="003171AD" w:rsidRPr="008F47CB" w:rsidP="00501A15" w14:paraId="1A7661D9" w14:textId="6D03ED21">
            <w:pPr>
              <w:jc w:val="right"/>
              <w:rPr>
                <w:rFonts w:ascii="Times New Roman" w:hAnsi="Times New Roman"/>
                <w:b/>
                <w:i/>
                <w:sz w:val="22"/>
                <w:szCs w:val="22"/>
              </w:rPr>
            </w:pPr>
            <w:r>
              <w:rPr>
                <w:rFonts w:ascii="Times New Roman" w:hAnsi="Times New Roman"/>
                <w:b/>
                <w:i/>
                <w:sz w:val="22"/>
                <w:szCs w:val="22"/>
              </w:rPr>
              <w:t>4,000</w:t>
            </w:r>
          </w:p>
        </w:tc>
        <w:tc>
          <w:tcPr>
            <w:tcW w:w="1097" w:type="dxa"/>
            <w:vAlign w:val="bottom"/>
          </w:tcPr>
          <w:p w:rsidR="003171AD" w:rsidRPr="008F47CB" w:rsidP="00501A15" w14:paraId="4A94906E" w14:textId="66CA6502">
            <w:pPr>
              <w:jc w:val="right"/>
              <w:rPr>
                <w:rFonts w:ascii="Times New Roman" w:hAnsi="Times New Roman"/>
                <w:b/>
                <w:i/>
                <w:sz w:val="22"/>
                <w:szCs w:val="22"/>
              </w:rPr>
            </w:pPr>
          </w:p>
        </w:tc>
        <w:tc>
          <w:tcPr>
            <w:tcW w:w="1035" w:type="dxa"/>
            <w:vAlign w:val="bottom"/>
          </w:tcPr>
          <w:p w:rsidR="003171AD" w:rsidRPr="008F47CB" w:rsidP="00501A15" w14:paraId="4075BA8E" w14:textId="3359D0A7">
            <w:pPr>
              <w:jc w:val="right"/>
              <w:rPr>
                <w:rFonts w:ascii="Times New Roman" w:hAnsi="Times New Roman"/>
                <w:b/>
                <w:i/>
                <w:sz w:val="22"/>
                <w:szCs w:val="22"/>
              </w:rPr>
            </w:pPr>
            <w:r>
              <w:rPr>
                <w:rFonts w:ascii="Times New Roman" w:hAnsi="Times New Roman"/>
                <w:b/>
                <w:i/>
                <w:sz w:val="22"/>
                <w:szCs w:val="22"/>
              </w:rPr>
              <w:t>2,000hrs</w:t>
            </w:r>
          </w:p>
        </w:tc>
      </w:tr>
    </w:tbl>
    <w:p w:rsidR="00D472BE" w:rsidRPr="00F72D66" w:rsidP="00E60FB0" w14:paraId="1758C1F3"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27552" w:rsidRPr="00027552" w:rsidP="00027552" w14:paraId="784B74A9" w14:textId="6F6FCE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27552">
        <w:rPr>
          <w:rFonts w:ascii="Times New Roman" w:hAnsi="Times New Roman"/>
        </w:rPr>
        <w:t xml:space="preserve">There are no capital or start-up costs associated with this information collection.  Self-addressed returned envelops are sent to the respondents to return the Complaint Form to the Department at no </w:t>
      </w:r>
      <w:r w:rsidR="000238A1">
        <w:rPr>
          <w:rFonts w:ascii="Times New Roman" w:hAnsi="Times New Roman"/>
        </w:rPr>
        <w:t>mailing costs</w:t>
      </w:r>
      <w:r w:rsidRPr="00027552">
        <w:rPr>
          <w:rFonts w:ascii="Times New Roman" w:hAnsi="Times New Roman"/>
        </w:rPr>
        <w:t xml:space="preserve"> to respondents. </w:t>
      </w:r>
      <w:r w:rsidR="0081595C">
        <w:rPr>
          <w:rFonts w:ascii="Times New Roman" w:hAnsi="Times New Roman"/>
        </w:rPr>
        <w:t>However</w:t>
      </w:r>
      <w:r w:rsidR="007A3AB8">
        <w:rPr>
          <w:rFonts w:ascii="Times New Roman" w:hAnsi="Times New Roman"/>
        </w:rPr>
        <w:t>,</w:t>
      </w:r>
      <w:r w:rsidR="0081595C">
        <w:rPr>
          <w:rFonts w:ascii="Times New Roman" w:hAnsi="Times New Roman"/>
        </w:rPr>
        <w:t xml:space="preserve"> CRT estimates $640.00 </w:t>
      </w:r>
      <w:r w:rsidR="007D7124">
        <w:rPr>
          <w:rFonts w:ascii="Times New Roman" w:hAnsi="Times New Roman"/>
        </w:rPr>
        <w:t xml:space="preserve">for printing costs. </w:t>
      </w:r>
    </w:p>
    <w:p w:rsidR="008B3128" w:rsidRPr="00F4518C" w:rsidP="00690F56" w14:paraId="3BDD7FFB" w14:textId="07824D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D38FF" w:rsidP="00E83EFF" w14:paraId="1684A1F0" w14:textId="6D90D0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3EFF">
        <w:rPr>
          <w:rFonts w:ascii="Times New Roman" w:hAnsi="Times New Roman"/>
        </w:rPr>
        <w:t xml:space="preserve">Print </w:t>
      </w:r>
      <w:r w:rsidRPr="00E83EFF">
        <w:rPr>
          <w:rFonts w:ascii="Times New Roman" w:hAnsi="Times New Roman"/>
        </w:rPr>
        <w:t xml:space="preserve">cost </w:t>
      </w:r>
      <w:r w:rsidRPr="00E83EFF">
        <w:rPr>
          <w:rFonts w:ascii="Times New Roman" w:hAnsi="Times New Roman"/>
        </w:rPr>
        <w:t>$</w:t>
      </w:r>
      <w:r w:rsidRPr="00E83EFF">
        <w:rPr>
          <w:rFonts w:ascii="Times New Roman" w:hAnsi="Times New Roman"/>
        </w:rPr>
        <w:t>640.00</w:t>
      </w:r>
    </w:p>
    <w:p w:rsidR="00BD38FF" w:rsidP="00E83EFF" w14:paraId="641E93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3EFF">
        <w:rPr>
          <w:rFonts w:ascii="Times New Roman" w:hAnsi="Times New Roman"/>
        </w:rPr>
        <w:t xml:space="preserve">Collection and processing </w:t>
      </w:r>
      <w:r>
        <w:rPr>
          <w:rFonts w:ascii="Times New Roman" w:hAnsi="Times New Roman"/>
        </w:rPr>
        <w:t>$</w:t>
      </w:r>
      <w:r w:rsidRPr="00E83EFF">
        <w:rPr>
          <w:rFonts w:ascii="Times New Roman" w:hAnsi="Times New Roman"/>
        </w:rPr>
        <w:t>13,440.00</w:t>
      </w:r>
    </w:p>
    <w:p w:rsidR="00E83EFF" w:rsidRPr="00E83EFF" w:rsidP="00E83EFF" w14:paraId="61AC94EC" w14:textId="5CFA48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3EFF">
        <w:rPr>
          <w:rFonts w:ascii="Times New Roman" w:hAnsi="Times New Roman"/>
        </w:rPr>
        <w:t xml:space="preserve">Total cost to the Federal government </w:t>
      </w:r>
      <w:r w:rsidR="00BD38FF">
        <w:rPr>
          <w:rFonts w:ascii="Times New Roman" w:hAnsi="Times New Roman"/>
        </w:rPr>
        <w:t>$</w:t>
      </w:r>
      <w:r w:rsidRPr="00E83EFF">
        <w:rPr>
          <w:rFonts w:ascii="Times New Roman" w:hAnsi="Times New Roman"/>
        </w:rPr>
        <w:t>14,080.00</w:t>
      </w:r>
    </w:p>
    <w:p w:rsidR="00F96885" w:rsidRPr="00871CA6" w:rsidP="00E83EFF" w14:paraId="1A15C4F0" w14:textId="0C3A70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5610BA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02ED" w:rsidP="00690F56" w14:paraId="5ACF843C" w14:textId="65C3E9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002ED">
        <w:rPr>
          <w:rFonts w:ascii="Times New Roman" w:hAnsi="Times New Roman"/>
        </w:rPr>
        <w:t>There are no changes</w:t>
      </w:r>
      <w:r>
        <w:rPr>
          <w:rFonts w:ascii="Times New Roman" w:hAnsi="Times New Roman"/>
        </w:rPr>
        <w:t>.</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5ABB7F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4FBD85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69A1">
        <w:rPr>
          <w:rFonts w:ascii="Times New Roman" w:hAnsi="Times New Roman"/>
        </w:rPr>
        <w:t xml:space="preserve">The Department does not </w:t>
      </w:r>
      <w:r w:rsidR="00691C8D">
        <w:rPr>
          <w:rFonts w:ascii="Times New Roman" w:hAnsi="Times New Roman"/>
        </w:rPr>
        <w:t>to publish this collection.</w:t>
      </w:r>
    </w:p>
    <w:p w:rsidR="00691C8D" w:rsidRPr="00871CA6" w:rsidP="00690F56" w14:paraId="34C978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8B0359C">
    <w:pPr>
      <w:pStyle w:val="Header"/>
      <w:rPr>
        <w:rFonts w:ascii="Times New Roman" w:hAnsi="Times New Roman"/>
        <w:bCs/>
        <w:sz w:val="20"/>
        <w:szCs w:val="20"/>
      </w:rPr>
    </w:pPr>
    <w:r w:rsidRPr="00EA3B60">
      <w:rPr>
        <w:rFonts w:ascii="Times New Roman" w:hAnsi="Times New Roman"/>
        <w:bCs/>
        <w:sz w:val="20"/>
        <w:szCs w:val="20"/>
      </w:rPr>
      <w:t>Complaint Form, Federal Coordination and Compliance Section</w:t>
    </w:r>
  </w:p>
  <w:p w:rsidR="00EC0B43" w14:paraId="52F50703" w14:textId="0E9C39C2">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EA3B60">
      <w:rPr>
        <w:rFonts w:ascii="Times New Roman" w:hAnsi="Times New Roman"/>
        <w:sz w:val="20"/>
        <w:szCs w:val="20"/>
      </w:rPr>
      <w:t>1190-0008</w:t>
    </w:r>
  </w:p>
  <w:p w:rsidR="00304132" w14:paraId="29EBD65C" w14:textId="70C9C862">
    <w:pPr>
      <w:pStyle w:val="Header"/>
      <w:rPr>
        <w:rFonts w:ascii="Times New Roman" w:hAnsi="Times New Roman"/>
        <w:sz w:val="20"/>
        <w:szCs w:val="20"/>
      </w:rPr>
    </w:pPr>
    <w:r>
      <w:rPr>
        <w:rFonts w:ascii="Times New Roman" w:hAnsi="Times New Roman"/>
        <w:sz w:val="20"/>
        <w:szCs w:val="20"/>
      </w:rPr>
      <w:t xml:space="preserve">OMB Expiration Date: </w:t>
    </w:r>
    <w:r w:rsidR="00EA3B60">
      <w:rPr>
        <w:rFonts w:ascii="Times New Roman" w:hAnsi="Times New Roman"/>
        <w:sz w:val="20"/>
        <w:szCs w:val="20"/>
      </w:rPr>
      <w:t>05/31/2023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FB0958"/>
    <w:multiLevelType w:val="hybridMultilevel"/>
    <w:tmpl w:val="36BC55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4"/>
  </w:num>
  <w:num w:numId="4" w16cid:durableId="188491091">
    <w:abstractNumId w:val="10"/>
  </w:num>
  <w:num w:numId="5" w16cid:durableId="2103139837">
    <w:abstractNumId w:val="3"/>
  </w:num>
  <w:num w:numId="6" w16cid:durableId="1756973642">
    <w:abstractNumId w:val="5"/>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3"/>
  </w:num>
  <w:num w:numId="15" w16cid:durableId="1217090383">
    <w:abstractNumId w:val="8"/>
  </w:num>
  <w:num w:numId="16" w16cid:durableId="5678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38A1"/>
    <w:rsid w:val="00027552"/>
    <w:rsid w:val="0003073D"/>
    <w:rsid w:val="00037146"/>
    <w:rsid w:val="0004107F"/>
    <w:rsid w:val="00042CBD"/>
    <w:rsid w:val="00052174"/>
    <w:rsid w:val="00061F6C"/>
    <w:rsid w:val="00064E28"/>
    <w:rsid w:val="000655CC"/>
    <w:rsid w:val="0007383F"/>
    <w:rsid w:val="00094A5E"/>
    <w:rsid w:val="00095C30"/>
    <w:rsid w:val="00097C15"/>
    <w:rsid w:val="000A0263"/>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33E3D"/>
    <w:rsid w:val="0014556E"/>
    <w:rsid w:val="0014601E"/>
    <w:rsid w:val="0015322B"/>
    <w:rsid w:val="0015365E"/>
    <w:rsid w:val="00157A90"/>
    <w:rsid w:val="00162E1A"/>
    <w:rsid w:val="00165DC0"/>
    <w:rsid w:val="00167AD4"/>
    <w:rsid w:val="00180E5A"/>
    <w:rsid w:val="00192711"/>
    <w:rsid w:val="001A47D9"/>
    <w:rsid w:val="001B4BB9"/>
    <w:rsid w:val="001C39F6"/>
    <w:rsid w:val="001D10ED"/>
    <w:rsid w:val="001D2D09"/>
    <w:rsid w:val="001D67BB"/>
    <w:rsid w:val="001E0E7F"/>
    <w:rsid w:val="001E2932"/>
    <w:rsid w:val="001E3596"/>
    <w:rsid w:val="001E5213"/>
    <w:rsid w:val="001F2E8E"/>
    <w:rsid w:val="001F4602"/>
    <w:rsid w:val="001F552E"/>
    <w:rsid w:val="002036A1"/>
    <w:rsid w:val="00210A61"/>
    <w:rsid w:val="002134B4"/>
    <w:rsid w:val="002203C9"/>
    <w:rsid w:val="00234341"/>
    <w:rsid w:val="00237691"/>
    <w:rsid w:val="00242CA0"/>
    <w:rsid w:val="00243432"/>
    <w:rsid w:val="0024438F"/>
    <w:rsid w:val="00247146"/>
    <w:rsid w:val="002517E4"/>
    <w:rsid w:val="00262716"/>
    <w:rsid w:val="002704D2"/>
    <w:rsid w:val="00273D58"/>
    <w:rsid w:val="00277C1F"/>
    <w:rsid w:val="002866AD"/>
    <w:rsid w:val="00286BE3"/>
    <w:rsid w:val="00287ACB"/>
    <w:rsid w:val="0029135D"/>
    <w:rsid w:val="00292951"/>
    <w:rsid w:val="00293CD1"/>
    <w:rsid w:val="002A3962"/>
    <w:rsid w:val="002A5972"/>
    <w:rsid w:val="002A6FB5"/>
    <w:rsid w:val="002C5AE9"/>
    <w:rsid w:val="002E238B"/>
    <w:rsid w:val="002E4200"/>
    <w:rsid w:val="002E6DF9"/>
    <w:rsid w:val="00304132"/>
    <w:rsid w:val="00304EAD"/>
    <w:rsid w:val="00312124"/>
    <w:rsid w:val="00313820"/>
    <w:rsid w:val="00313AC0"/>
    <w:rsid w:val="003171AD"/>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085"/>
    <w:rsid w:val="003D5958"/>
    <w:rsid w:val="003D6AC7"/>
    <w:rsid w:val="003E15A0"/>
    <w:rsid w:val="003E49A6"/>
    <w:rsid w:val="003E5E34"/>
    <w:rsid w:val="003E6021"/>
    <w:rsid w:val="003F53FB"/>
    <w:rsid w:val="00400B4D"/>
    <w:rsid w:val="00401F18"/>
    <w:rsid w:val="004056B7"/>
    <w:rsid w:val="00410AC8"/>
    <w:rsid w:val="00414664"/>
    <w:rsid w:val="004169A1"/>
    <w:rsid w:val="004172C1"/>
    <w:rsid w:val="00423E3A"/>
    <w:rsid w:val="0042408B"/>
    <w:rsid w:val="004328D9"/>
    <w:rsid w:val="00435E05"/>
    <w:rsid w:val="0043771F"/>
    <w:rsid w:val="00442410"/>
    <w:rsid w:val="00443460"/>
    <w:rsid w:val="0044773C"/>
    <w:rsid w:val="00461B8A"/>
    <w:rsid w:val="004672B5"/>
    <w:rsid w:val="004757CF"/>
    <w:rsid w:val="004844D1"/>
    <w:rsid w:val="0048559D"/>
    <w:rsid w:val="0049001D"/>
    <w:rsid w:val="00494A93"/>
    <w:rsid w:val="00494D75"/>
    <w:rsid w:val="004A1763"/>
    <w:rsid w:val="004B1E83"/>
    <w:rsid w:val="004D1C78"/>
    <w:rsid w:val="004D441E"/>
    <w:rsid w:val="004D46D1"/>
    <w:rsid w:val="004D6922"/>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3FCD"/>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91C8D"/>
    <w:rsid w:val="006A4637"/>
    <w:rsid w:val="006C39F8"/>
    <w:rsid w:val="006D57FA"/>
    <w:rsid w:val="006E1A08"/>
    <w:rsid w:val="006E4433"/>
    <w:rsid w:val="006E54FE"/>
    <w:rsid w:val="006E604F"/>
    <w:rsid w:val="006E63C6"/>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7CD2"/>
    <w:rsid w:val="00780272"/>
    <w:rsid w:val="0078038F"/>
    <w:rsid w:val="0078153B"/>
    <w:rsid w:val="00785FE9"/>
    <w:rsid w:val="00786E04"/>
    <w:rsid w:val="007A3AB8"/>
    <w:rsid w:val="007A7F79"/>
    <w:rsid w:val="007C124D"/>
    <w:rsid w:val="007D46C2"/>
    <w:rsid w:val="007D7124"/>
    <w:rsid w:val="007F3B38"/>
    <w:rsid w:val="007F3C02"/>
    <w:rsid w:val="00802605"/>
    <w:rsid w:val="00802A30"/>
    <w:rsid w:val="008043E5"/>
    <w:rsid w:val="00804A1A"/>
    <w:rsid w:val="0081073D"/>
    <w:rsid w:val="00813CC0"/>
    <w:rsid w:val="0081595C"/>
    <w:rsid w:val="008323ED"/>
    <w:rsid w:val="0083474B"/>
    <w:rsid w:val="00835955"/>
    <w:rsid w:val="00846701"/>
    <w:rsid w:val="008624D5"/>
    <w:rsid w:val="00871CA6"/>
    <w:rsid w:val="00882AB5"/>
    <w:rsid w:val="00882B1D"/>
    <w:rsid w:val="0088672C"/>
    <w:rsid w:val="008A1F0C"/>
    <w:rsid w:val="008A40D1"/>
    <w:rsid w:val="008B3128"/>
    <w:rsid w:val="008B541B"/>
    <w:rsid w:val="008C4D23"/>
    <w:rsid w:val="008C6A87"/>
    <w:rsid w:val="008F47CB"/>
    <w:rsid w:val="00901003"/>
    <w:rsid w:val="0090158E"/>
    <w:rsid w:val="00901EF6"/>
    <w:rsid w:val="00902C4E"/>
    <w:rsid w:val="0090413E"/>
    <w:rsid w:val="00923B37"/>
    <w:rsid w:val="009271B1"/>
    <w:rsid w:val="0093485F"/>
    <w:rsid w:val="009407FC"/>
    <w:rsid w:val="009441E2"/>
    <w:rsid w:val="0095731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E6265"/>
    <w:rsid w:val="009F52F3"/>
    <w:rsid w:val="00A002ED"/>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D38FF"/>
    <w:rsid w:val="00BF0E96"/>
    <w:rsid w:val="00C02E4A"/>
    <w:rsid w:val="00C05B4B"/>
    <w:rsid w:val="00C05B88"/>
    <w:rsid w:val="00C06C5A"/>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0E6"/>
    <w:rsid w:val="00CC770C"/>
    <w:rsid w:val="00CD215D"/>
    <w:rsid w:val="00CD4F92"/>
    <w:rsid w:val="00CD6628"/>
    <w:rsid w:val="00D00B48"/>
    <w:rsid w:val="00D2331B"/>
    <w:rsid w:val="00D36BB6"/>
    <w:rsid w:val="00D4451A"/>
    <w:rsid w:val="00D472BE"/>
    <w:rsid w:val="00D53DEB"/>
    <w:rsid w:val="00D57DE8"/>
    <w:rsid w:val="00D735B0"/>
    <w:rsid w:val="00D73AAD"/>
    <w:rsid w:val="00D75842"/>
    <w:rsid w:val="00D802D6"/>
    <w:rsid w:val="00D86FF7"/>
    <w:rsid w:val="00D9150A"/>
    <w:rsid w:val="00DA25BC"/>
    <w:rsid w:val="00DA7DC9"/>
    <w:rsid w:val="00DB7B7C"/>
    <w:rsid w:val="00DD6DF0"/>
    <w:rsid w:val="00E0031C"/>
    <w:rsid w:val="00E0138A"/>
    <w:rsid w:val="00E02778"/>
    <w:rsid w:val="00E06430"/>
    <w:rsid w:val="00E13DE5"/>
    <w:rsid w:val="00E141D6"/>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3EFF"/>
    <w:rsid w:val="00E86973"/>
    <w:rsid w:val="00E909D5"/>
    <w:rsid w:val="00E92EED"/>
    <w:rsid w:val="00E93A0F"/>
    <w:rsid w:val="00EA3B60"/>
    <w:rsid w:val="00EA3E66"/>
    <w:rsid w:val="00EC0B43"/>
    <w:rsid w:val="00EC4383"/>
    <w:rsid w:val="00EC4F24"/>
    <w:rsid w:val="00EC5D7E"/>
    <w:rsid w:val="00ED49C1"/>
    <w:rsid w:val="00F11AA8"/>
    <w:rsid w:val="00F12F81"/>
    <w:rsid w:val="00F16941"/>
    <w:rsid w:val="00F203CE"/>
    <w:rsid w:val="00F24787"/>
    <w:rsid w:val="00F247E8"/>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41</cp:revision>
  <cp:lastPrinted>2020-02-19T15:46:00Z</cp:lastPrinted>
  <dcterms:created xsi:type="dcterms:W3CDTF">2023-05-04T01:36:00Z</dcterms:created>
  <dcterms:modified xsi:type="dcterms:W3CDTF">2023-05-19T12:57:00Z</dcterms:modified>
</cp:coreProperties>
</file>