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9076D" w:rsidRPr="003127E4" w:rsidP="00E9076D" w14:paraId="39CE18CB" w14:textId="77777777">
      <w:pPr>
        <w:tabs>
          <w:tab w:val="center" w:pos="4680"/>
        </w:tabs>
        <w:rPr>
          <w:rFonts w:ascii="Calibri" w:hAnsi="Calibri" w:cs="Berylium"/>
          <w:b/>
          <w:bCs/>
          <w:sz w:val="22"/>
          <w:szCs w:val="22"/>
        </w:rPr>
      </w:pPr>
      <w:r>
        <w:rPr>
          <w:rFonts w:ascii="Berylium" w:hAnsi="Berylium" w:cs="Berylium"/>
          <w:b/>
          <w:bCs/>
        </w:rPr>
        <w:tab/>
      </w:r>
      <w:r w:rsidRPr="003127E4">
        <w:rPr>
          <w:rFonts w:ascii="Calibri" w:hAnsi="Calibri" w:cs="Berylium"/>
          <w:b/>
          <w:bCs/>
          <w:sz w:val="22"/>
          <w:szCs w:val="22"/>
        </w:rPr>
        <w:t>SUPPORTING STATEMENT</w:t>
      </w:r>
    </w:p>
    <w:p w:rsidR="00E9076D" w:rsidP="00E9076D" w14:paraId="329A0501" w14:textId="77777777">
      <w:pPr>
        <w:tabs>
          <w:tab w:val="center" w:pos="4680"/>
        </w:tabs>
        <w:jc w:val="center"/>
        <w:rPr>
          <w:rFonts w:ascii="Calibri" w:hAnsi="Calibri" w:cs="Berylium"/>
          <w:b/>
          <w:bCs/>
          <w:sz w:val="22"/>
          <w:szCs w:val="22"/>
        </w:rPr>
      </w:pPr>
      <w:r w:rsidRPr="003127E4">
        <w:rPr>
          <w:rFonts w:ascii="Calibri" w:hAnsi="Calibri" w:cs="Berylium"/>
          <w:b/>
          <w:bCs/>
          <w:sz w:val="22"/>
          <w:szCs w:val="22"/>
        </w:rPr>
        <w:t>Internal Revenue Service</w:t>
      </w:r>
      <w:r w:rsidR="004B6E0C">
        <w:rPr>
          <w:rFonts w:ascii="Calibri" w:hAnsi="Calibri" w:cs="Berylium"/>
          <w:b/>
          <w:bCs/>
          <w:sz w:val="22"/>
          <w:szCs w:val="22"/>
        </w:rPr>
        <w:t xml:space="preserve"> (IRS)</w:t>
      </w:r>
    </w:p>
    <w:p w:rsidR="00ED6812" w:rsidRPr="00ED6812" w:rsidP="00ED6812" w14:paraId="59BEC85C" w14:textId="77777777">
      <w:pPr>
        <w:tabs>
          <w:tab w:val="center" w:pos="4680"/>
        </w:tabs>
        <w:jc w:val="center"/>
        <w:rPr>
          <w:rFonts w:ascii="Calibri" w:hAnsi="Calibri" w:cs="Berylium"/>
          <w:b/>
          <w:bCs/>
          <w:sz w:val="22"/>
          <w:szCs w:val="22"/>
        </w:rPr>
      </w:pPr>
      <w:r w:rsidRPr="00ED6812">
        <w:rPr>
          <w:rFonts w:ascii="Calibri" w:hAnsi="Calibri" w:cs="Berylium"/>
          <w:b/>
          <w:bCs/>
          <w:sz w:val="22"/>
          <w:szCs w:val="22"/>
        </w:rPr>
        <w:t xml:space="preserve"> (TD </w:t>
      </w:r>
      <w:r w:rsidR="004F2A9D">
        <w:rPr>
          <w:rFonts w:ascii="Calibri" w:hAnsi="Calibri" w:cs="Berylium"/>
          <w:b/>
          <w:bCs/>
          <w:sz w:val="22"/>
          <w:szCs w:val="22"/>
        </w:rPr>
        <w:t>9704</w:t>
      </w:r>
      <w:r w:rsidRPr="00ED6812">
        <w:rPr>
          <w:rFonts w:ascii="Calibri" w:hAnsi="Calibri" w:cs="Berylium"/>
          <w:b/>
          <w:bCs/>
          <w:sz w:val="22"/>
          <w:szCs w:val="22"/>
        </w:rPr>
        <w:t>)</w:t>
      </w:r>
    </w:p>
    <w:p w:rsidR="00ED6812" w:rsidRPr="00ED6812" w:rsidP="00ED6812" w14:paraId="071958D4" w14:textId="77777777">
      <w:pPr>
        <w:tabs>
          <w:tab w:val="center" w:pos="4680"/>
        </w:tabs>
        <w:jc w:val="center"/>
        <w:rPr>
          <w:rFonts w:ascii="Calibri" w:hAnsi="Calibri" w:cs="Berylium"/>
          <w:b/>
          <w:bCs/>
          <w:sz w:val="22"/>
          <w:szCs w:val="22"/>
        </w:rPr>
      </w:pPr>
      <w:r w:rsidRPr="00ED6812">
        <w:rPr>
          <w:rFonts w:ascii="Calibri" w:hAnsi="Calibri" w:cs="Berylium"/>
          <w:b/>
          <w:bCs/>
          <w:sz w:val="22"/>
          <w:szCs w:val="22"/>
        </w:rPr>
        <w:t>OMB Number 1545-1</w:t>
      </w:r>
      <w:r w:rsidR="004F2A9D">
        <w:rPr>
          <w:rFonts w:ascii="Calibri" w:hAnsi="Calibri" w:cs="Berylium"/>
          <w:b/>
          <w:bCs/>
          <w:sz w:val="22"/>
          <w:szCs w:val="22"/>
        </w:rPr>
        <w:t>487</w:t>
      </w:r>
    </w:p>
    <w:p w:rsidR="007E2EEB" w:rsidRPr="003127E4" w14:paraId="7271639A" w14:textId="77777777">
      <w:pPr>
        <w:rPr>
          <w:rFonts w:ascii="Calibri" w:hAnsi="Calibri" w:cs="Berylium"/>
          <w:b/>
          <w:bCs/>
          <w:sz w:val="22"/>
          <w:szCs w:val="22"/>
        </w:rPr>
      </w:pPr>
    </w:p>
    <w:p w:rsidR="007E2EEB" w:rsidRPr="004F12D2" w14:paraId="0306F9B2"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CIRCUMSTANCES NECESSITATING COLLECTION OF INFORMATION</w:t>
      </w:r>
      <w:r w:rsidR="009501AC">
        <w:rPr>
          <w:rFonts w:ascii="Calibri" w:hAnsi="Calibri"/>
          <w:b/>
          <w:sz w:val="22"/>
          <w:szCs w:val="22"/>
          <w:u w:val="single"/>
        </w:rPr>
        <w:t xml:space="preserve"> </w:t>
      </w:r>
    </w:p>
    <w:p w:rsidR="004F12D2" w:rsidRPr="009501AC" w:rsidP="004F12D2" w14:paraId="3DA5C0C3" w14:textId="77777777">
      <w:pPr>
        <w:pStyle w:val="Level1"/>
        <w:numPr>
          <w:ilvl w:val="0"/>
          <w:numId w:val="0"/>
        </w:numPr>
        <w:tabs>
          <w:tab w:val="left" w:pos="-1440"/>
        </w:tabs>
        <w:ind w:left="720" w:hanging="720"/>
        <w:rPr>
          <w:rFonts w:ascii="Calibri" w:hAnsi="Calibri"/>
          <w:b/>
          <w:sz w:val="22"/>
          <w:szCs w:val="22"/>
        </w:rPr>
      </w:pPr>
    </w:p>
    <w:p w:rsidR="00404EE7" w:rsidRPr="00404EE7" w:rsidP="00404EE7" w14:paraId="1AE0BAEE" w14:textId="57E5CB3D">
      <w:pPr>
        <w:ind w:left="720"/>
        <w:rPr>
          <w:rFonts w:ascii="Calibri" w:hAnsi="Calibri" w:cs="Calibri"/>
          <w:bCs/>
          <w:sz w:val="22"/>
          <w:szCs w:val="22"/>
        </w:rPr>
      </w:pPr>
      <w:bookmarkStart w:id="0" w:name="_Hlk503267997"/>
      <w:bookmarkStart w:id="1" w:name="_Hlk17986999"/>
      <w:r w:rsidRPr="008779A8">
        <w:rPr>
          <w:rFonts w:ascii="Calibri" w:hAnsi="Calibri" w:cs="Calibri"/>
          <w:bCs/>
          <w:sz w:val="22"/>
          <w:szCs w:val="22"/>
        </w:rPr>
        <w:t>26 USC Section 367(e)(1)</w:t>
      </w:r>
      <w:r w:rsidRPr="00404EE7">
        <w:rPr>
          <w:rFonts w:ascii="Calibri" w:hAnsi="Calibri" w:cs="Calibri"/>
          <w:bCs/>
          <w:sz w:val="22"/>
          <w:szCs w:val="22"/>
        </w:rPr>
        <w:t xml:space="preserve"> provides that a domestic corporation will recognize gain on section 355 distributions of stock or securities to foreign persons, to the extent provided in regulations.  </w:t>
      </w:r>
      <w:r w:rsidRPr="008779A8">
        <w:rPr>
          <w:rFonts w:ascii="Calibri" w:hAnsi="Calibri" w:cs="Calibri"/>
          <w:bCs/>
          <w:sz w:val="22"/>
          <w:szCs w:val="22"/>
        </w:rPr>
        <w:t>Section 367(e)(2)</w:t>
      </w:r>
      <w:r w:rsidRPr="00404EE7">
        <w:rPr>
          <w:rFonts w:ascii="Calibri" w:hAnsi="Calibri" w:cs="Calibri"/>
          <w:bCs/>
          <w:sz w:val="22"/>
          <w:szCs w:val="22"/>
        </w:rPr>
        <w:t xml:space="preserve"> provides that </w:t>
      </w:r>
      <w:r w:rsidRPr="009517E7">
        <w:rPr>
          <w:rFonts w:ascii="Calibri" w:hAnsi="Calibri" w:cs="Calibri"/>
          <w:bCs/>
          <w:sz w:val="22"/>
          <w:szCs w:val="22"/>
        </w:rPr>
        <w:t>sections 337(a)</w:t>
      </w:r>
      <w:r w:rsidRPr="00D82575">
        <w:rPr>
          <w:rFonts w:ascii="Calibri" w:hAnsi="Calibri" w:cs="Calibri"/>
          <w:b/>
          <w:sz w:val="22"/>
          <w:szCs w:val="22"/>
        </w:rPr>
        <w:t xml:space="preserve"> </w:t>
      </w:r>
      <w:r w:rsidRPr="002B69DE">
        <w:rPr>
          <w:rFonts w:ascii="Calibri" w:hAnsi="Calibri" w:cs="Calibri"/>
          <w:bCs/>
          <w:sz w:val="22"/>
          <w:szCs w:val="22"/>
        </w:rPr>
        <w:t>and (b)(1)</w:t>
      </w:r>
      <w:r w:rsidRPr="00404EE7">
        <w:rPr>
          <w:rFonts w:ascii="Calibri" w:hAnsi="Calibri" w:cs="Calibri"/>
          <w:bCs/>
          <w:sz w:val="22"/>
          <w:szCs w:val="22"/>
        </w:rPr>
        <w:t xml:space="preserve"> will not apply to a domestic corporation’s </w:t>
      </w:r>
      <w:r w:rsidRPr="008779A8">
        <w:rPr>
          <w:rFonts w:ascii="Calibri" w:hAnsi="Calibri" w:cs="Calibri"/>
          <w:bCs/>
          <w:sz w:val="22"/>
          <w:szCs w:val="22"/>
        </w:rPr>
        <w:t>section 332</w:t>
      </w:r>
      <w:r w:rsidRPr="00404EE7">
        <w:rPr>
          <w:rFonts w:ascii="Calibri" w:hAnsi="Calibri" w:cs="Calibri"/>
          <w:bCs/>
          <w:sz w:val="22"/>
          <w:szCs w:val="22"/>
        </w:rPr>
        <w:t xml:space="preserve"> distributions to a foreign parent corporation that owns 80 percent of the domestic liquidating corporation as described in </w:t>
      </w:r>
      <w:r w:rsidRPr="009517E7">
        <w:rPr>
          <w:rFonts w:ascii="Calibri" w:hAnsi="Calibri" w:cs="Calibri"/>
          <w:bCs/>
          <w:sz w:val="22"/>
          <w:szCs w:val="22"/>
        </w:rPr>
        <w:t>section 337(c).</w:t>
      </w:r>
      <w:r w:rsidRPr="00D82575">
        <w:rPr>
          <w:rFonts w:ascii="Calibri" w:hAnsi="Calibri" w:cs="Calibri"/>
          <w:b/>
          <w:sz w:val="22"/>
          <w:szCs w:val="22"/>
        </w:rPr>
        <w:t xml:space="preserve">  </w:t>
      </w:r>
      <w:r w:rsidRPr="009517E7">
        <w:rPr>
          <w:rFonts w:ascii="Calibri" w:hAnsi="Calibri" w:cs="Calibri"/>
          <w:bCs/>
          <w:sz w:val="22"/>
          <w:szCs w:val="22"/>
        </w:rPr>
        <w:t>Section 6038B(a)</w:t>
      </w:r>
      <w:r w:rsidRPr="00404EE7">
        <w:rPr>
          <w:rFonts w:ascii="Calibri" w:hAnsi="Calibri" w:cs="Calibri"/>
          <w:bCs/>
          <w:sz w:val="22"/>
          <w:szCs w:val="22"/>
        </w:rPr>
        <w:t xml:space="preserve"> requires a U.S. person who transfers property to a foreign corporation in an exchange described in sections </w:t>
      </w:r>
      <w:r w:rsidRPr="009517E7">
        <w:rPr>
          <w:rFonts w:ascii="Calibri" w:hAnsi="Calibri" w:cs="Calibri"/>
          <w:bCs/>
          <w:sz w:val="22"/>
          <w:szCs w:val="22"/>
        </w:rPr>
        <w:t>332 and 355</w:t>
      </w:r>
      <w:r w:rsidRPr="00404EE7">
        <w:rPr>
          <w:rFonts w:ascii="Calibri" w:hAnsi="Calibri" w:cs="Calibri"/>
          <w:bCs/>
          <w:sz w:val="22"/>
          <w:szCs w:val="22"/>
        </w:rPr>
        <w:t xml:space="preserve"> to furnish the Secretary of the Treasury with information with respect to the transfer, to the extent and manner provided in regulations.</w:t>
      </w:r>
    </w:p>
    <w:p w:rsidR="00404EE7" w:rsidRPr="00404EE7" w:rsidP="00404EE7" w14:paraId="3A700EE2" w14:textId="77777777">
      <w:pPr>
        <w:ind w:left="720"/>
        <w:rPr>
          <w:rFonts w:ascii="Calibri" w:hAnsi="Calibri" w:cs="Calibri"/>
          <w:bCs/>
          <w:sz w:val="22"/>
          <w:szCs w:val="22"/>
        </w:rPr>
      </w:pPr>
    </w:p>
    <w:p w:rsidR="00404EE7" w:rsidRPr="00404EE7" w:rsidP="00404EE7" w14:paraId="77F7C672" w14:textId="77777777">
      <w:pPr>
        <w:ind w:left="720"/>
        <w:rPr>
          <w:rFonts w:ascii="Calibri" w:hAnsi="Calibri" w:cs="Calibri"/>
          <w:bCs/>
          <w:sz w:val="22"/>
          <w:szCs w:val="22"/>
        </w:rPr>
      </w:pPr>
      <w:r w:rsidRPr="00404EE7">
        <w:rPr>
          <w:rFonts w:ascii="Calibri" w:hAnsi="Calibri" w:cs="Calibri"/>
          <w:bCs/>
          <w:sz w:val="22"/>
          <w:szCs w:val="22"/>
        </w:rPr>
        <w:t xml:space="preserve">The final regulations under section 367(e)(1) require gain recognition only for distributions of the stock or securities of foreign corporations to foreign persons.  The final regulations under section 367(e)(2) generally require gain recognition when a domestic corporation liquidates into its foreign parent corporation and do not require gain recognition when a foreign corporation liquidates into its foreign parent corporation.  </w:t>
      </w:r>
    </w:p>
    <w:p w:rsidR="00404EE7" w:rsidRPr="00404EE7" w:rsidP="00404EE7" w14:paraId="7784F527" w14:textId="77777777">
      <w:pPr>
        <w:ind w:left="720"/>
        <w:rPr>
          <w:rFonts w:ascii="Calibri" w:hAnsi="Calibri" w:cs="Calibri"/>
          <w:bCs/>
          <w:sz w:val="22"/>
          <w:szCs w:val="22"/>
        </w:rPr>
      </w:pPr>
    </w:p>
    <w:p w:rsidR="00404EE7" w:rsidRPr="00404EE7" w:rsidP="00404EE7" w14:paraId="42BDCF2E" w14:textId="77777777">
      <w:pPr>
        <w:ind w:left="720"/>
        <w:rPr>
          <w:rFonts w:ascii="Calibri" w:hAnsi="Calibri" w:cs="Calibri"/>
          <w:bCs/>
          <w:sz w:val="22"/>
          <w:szCs w:val="22"/>
        </w:rPr>
      </w:pPr>
      <w:r w:rsidRPr="00404EE7">
        <w:rPr>
          <w:rFonts w:ascii="Calibri" w:hAnsi="Calibri" w:cs="Calibri"/>
          <w:bCs/>
          <w:sz w:val="22"/>
          <w:szCs w:val="22"/>
        </w:rPr>
        <w:t xml:space="preserve">TD 9704 contains final and temporary regulations relating to the consequences to U.S. and foreign persons for failing to file gain recognition agreements (GRAs) or related documents, or to satisfy other reporting obligations, associated with certain transfers of property to foreign corporations in nonrecognition exchanges. The regulations are necessary to update and clarify the rules that apply when a U.S. or foreign person fails to file a GRA or related documents or to satisfy other reporting obligations. These regulations affect U.S. and foreign persons that transfer property to foreign corporations in nonrecognition exchanges. </w:t>
      </w:r>
    </w:p>
    <w:p w:rsidR="00A134E4" w:rsidRPr="00A134E4" w:rsidP="00A134E4" w14:paraId="06C1F4DA" w14:textId="77777777">
      <w:pPr>
        <w:ind w:left="720"/>
        <w:rPr>
          <w:rFonts w:ascii="Calibri" w:hAnsi="Calibri" w:cs="Calibri"/>
          <w:bCs/>
          <w:sz w:val="22"/>
          <w:szCs w:val="22"/>
        </w:rPr>
      </w:pPr>
    </w:p>
    <w:bookmarkEnd w:id="0"/>
    <w:bookmarkEnd w:id="1"/>
    <w:p w:rsidR="007E2EEB" w:rsidRPr="003127E4" w14:paraId="59DAFA34"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USE OF DATA</w:t>
      </w:r>
      <w:r w:rsidRPr="003127E4">
        <w:rPr>
          <w:rFonts w:ascii="Calibri" w:hAnsi="Calibri"/>
          <w:b/>
          <w:sz w:val="22"/>
          <w:szCs w:val="22"/>
        </w:rPr>
        <w:t xml:space="preserve">              </w:t>
      </w:r>
    </w:p>
    <w:p w:rsidR="007E2EEB" w:rsidRPr="003127E4" w14:paraId="40BD80C5" w14:textId="77777777">
      <w:pPr>
        <w:rPr>
          <w:rFonts w:ascii="Calibri" w:hAnsi="Calibri"/>
          <w:sz w:val="22"/>
          <w:szCs w:val="22"/>
        </w:rPr>
      </w:pPr>
    </w:p>
    <w:p w:rsidR="00010B0A" w:rsidRPr="00010B0A" w:rsidP="00DA38BF" w14:paraId="4101E447" w14:textId="6AAE0FE9">
      <w:pPr>
        <w:pStyle w:val="Default"/>
        <w:ind w:left="720" w:hanging="720"/>
        <w:rPr>
          <w:rFonts w:ascii="Calibri" w:hAnsi="Calibri"/>
          <w:sz w:val="22"/>
          <w:szCs w:val="22"/>
        </w:rPr>
      </w:pPr>
      <w:r>
        <w:rPr>
          <w:rFonts w:ascii="Calibri" w:hAnsi="Calibri"/>
          <w:sz w:val="22"/>
          <w:szCs w:val="22"/>
        </w:rPr>
        <w:t xml:space="preserve">           </w:t>
      </w:r>
      <w:r w:rsidR="00A134E4">
        <w:rPr>
          <w:rFonts w:ascii="Calibri" w:hAnsi="Calibri"/>
          <w:sz w:val="22"/>
          <w:szCs w:val="22"/>
        </w:rPr>
        <w:t xml:space="preserve"> </w:t>
      </w:r>
      <w:r>
        <w:rPr>
          <w:rFonts w:ascii="Calibri" w:hAnsi="Calibri"/>
          <w:sz w:val="22"/>
          <w:szCs w:val="22"/>
        </w:rPr>
        <w:t xml:space="preserve"> </w:t>
      </w:r>
      <w:r w:rsidR="00404EE7">
        <w:rPr>
          <w:rFonts w:ascii="Calibri" w:hAnsi="Calibri"/>
          <w:sz w:val="22"/>
          <w:szCs w:val="22"/>
        </w:rPr>
        <w:t xml:space="preserve"> </w:t>
      </w:r>
      <w:r w:rsidRPr="00404EE7" w:rsidR="00404EE7">
        <w:rPr>
          <w:rFonts w:ascii="Calibri" w:hAnsi="Calibri"/>
          <w:sz w:val="22"/>
          <w:szCs w:val="22"/>
        </w:rPr>
        <w:t>The data collected under section 367(e)(1) will be used by the Internal Revenue Service</w:t>
      </w:r>
      <w:r w:rsidR="000E750D">
        <w:rPr>
          <w:rFonts w:ascii="Calibri" w:hAnsi="Calibri"/>
          <w:sz w:val="22"/>
          <w:szCs w:val="22"/>
        </w:rPr>
        <w:t xml:space="preserve"> (IRS)</w:t>
      </w:r>
      <w:r w:rsidRPr="00404EE7" w:rsidR="00404EE7">
        <w:rPr>
          <w:rFonts w:ascii="Calibri" w:hAnsi="Calibri"/>
          <w:sz w:val="22"/>
          <w:szCs w:val="22"/>
        </w:rPr>
        <w:t xml:space="preserve"> to determine whether a taxpayer has correctly calculated its tax liability under section 367(e)(1).  The data collected under section 367(e)(2) will be used by the Internal Revenue Service to determine whether a taxpayer is properly claiming an exemption from taxation.  The information collected by under section 6038B will be used by the Internal Revenue Service to identify assets that have been transferred outside the U.S. taxing jurisdiction.  TD 9704 explains the procedures for establishing that a failure to comply was not willful.  The information in 1.6038B-1 explains how a taxpayer may submit a request for relief from the penalty.</w:t>
      </w:r>
      <w:r w:rsidRPr="00DA38BF" w:rsidR="00DA38BF">
        <w:rPr>
          <w:rFonts w:ascii="Calibri" w:hAnsi="Calibri"/>
          <w:sz w:val="22"/>
          <w:szCs w:val="22"/>
        </w:rPr>
        <w:t xml:space="preserve">                                   </w:t>
      </w:r>
    </w:p>
    <w:p w:rsidR="007E2EEB" w:rsidRPr="003127E4" w14:paraId="009F420D" w14:textId="77777777">
      <w:pPr>
        <w:rPr>
          <w:rFonts w:ascii="Calibri" w:hAnsi="Calibri"/>
          <w:sz w:val="22"/>
          <w:szCs w:val="22"/>
        </w:rPr>
      </w:pPr>
      <w:r w:rsidRPr="003127E4">
        <w:rPr>
          <w:rFonts w:ascii="Calibri" w:hAnsi="Calibri"/>
          <w:sz w:val="22"/>
          <w:szCs w:val="22"/>
        </w:rPr>
        <w:t xml:space="preserve">    </w:t>
      </w:r>
    </w:p>
    <w:p w:rsidR="007E2EEB" w:rsidRPr="003127E4" w14:paraId="78B5A06C" w14:textId="77777777">
      <w:pPr>
        <w:pStyle w:val="Level1"/>
        <w:numPr>
          <w:ilvl w:val="0"/>
          <w:numId w:val="1"/>
        </w:numPr>
        <w:tabs>
          <w:tab w:val="left" w:pos="-1440"/>
          <w:tab w:val="num" w:pos="720"/>
        </w:tabs>
        <w:rPr>
          <w:rFonts w:ascii="Calibri" w:hAnsi="Calibri"/>
          <w:b/>
          <w:sz w:val="22"/>
          <w:szCs w:val="22"/>
        </w:rPr>
      </w:pPr>
      <w:r w:rsidRPr="00312E36">
        <w:rPr>
          <w:rFonts w:ascii="Calibri" w:hAnsi="Calibri"/>
          <w:b/>
          <w:sz w:val="22"/>
          <w:szCs w:val="22"/>
          <w:u w:val="single"/>
        </w:rPr>
        <w:t>USE OF</w:t>
      </w:r>
      <w:r w:rsidRPr="003127E4">
        <w:rPr>
          <w:rFonts w:ascii="Calibri" w:hAnsi="Calibri"/>
          <w:b/>
          <w:sz w:val="22"/>
          <w:szCs w:val="22"/>
          <w:u w:val="single"/>
        </w:rPr>
        <w:t xml:space="preserve"> IMPROVED INFORMATION TECHNOLOGY TO REDUCE BURDEN</w:t>
      </w:r>
    </w:p>
    <w:p w:rsidR="007E2EEB" w:rsidRPr="003127E4" w14:paraId="6AD835CF" w14:textId="77777777">
      <w:pPr>
        <w:rPr>
          <w:rFonts w:ascii="Calibri" w:hAnsi="Calibri"/>
          <w:sz w:val="22"/>
          <w:szCs w:val="22"/>
        </w:rPr>
      </w:pPr>
    </w:p>
    <w:p w:rsidR="00F83922" w:rsidRPr="00F83922" w:rsidP="00F83922" w14:paraId="605D0E5C" w14:textId="77777777">
      <w:pPr>
        <w:pStyle w:val="ListParagraph"/>
        <w:tabs>
          <w:tab w:val="left" w:pos="821"/>
        </w:tabs>
        <w:ind w:left="720" w:firstLine="0"/>
        <w:rPr>
          <w:rFonts w:eastAsia="Times New Roman" w:cs="Helvetica World"/>
          <w:color w:val="000000"/>
          <w:lang w:bidi="ar-SA"/>
        </w:rPr>
      </w:pPr>
      <w:r w:rsidRPr="00F83922">
        <w:rPr>
          <w:rFonts w:eastAsia="Times New Roman" w:cs="Helvetica World"/>
          <w:color w:val="000000"/>
          <w:lang w:bidi="ar-SA"/>
        </w:rPr>
        <w:t xml:space="preserve">IRS has no plans to offer electronic filing due to the low number of filers. </w:t>
      </w:r>
    </w:p>
    <w:p w:rsidR="007E2EEB" w:rsidRPr="003127E4" w14:paraId="03954535" w14:textId="3A9AEF51">
      <w:pPr>
        <w:ind w:left="720"/>
        <w:rPr>
          <w:rFonts w:ascii="Calibri" w:hAnsi="Calibri"/>
          <w:sz w:val="22"/>
          <w:szCs w:val="22"/>
        </w:rPr>
      </w:pPr>
    </w:p>
    <w:p w:rsidR="007E2EEB" w:rsidRPr="003127E4" w14:paraId="108CB13D" w14:textId="77777777">
      <w:pPr>
        <w:rPr>
          <w:rFonts w:ascii="Calibri" w:hAnsi="Calibri"/>
          <w:sz w:val="22"/>
          <w:szCs w:val="22"/>
        </w:rPr>
      </w:pPr>
    </w:p>
    <w:p w:rsidR="007E2EEB" w:rsidRPr="003127E4" w14:paraId="0078205F" w14:textId="77777777">
      <w:pPr>
        <w:pStyle w:val="Level1"/>
        <w:numPr>
          <w:ilvl w:val="0"/>
          <w:numId w:val="1"/>
        </w:numPr>
        <w:tabs>
          <w:tab w:val="left" w:pos="-1440"/>
          <w:tab w:val="num" w:pos="720"/>
        </w:tabs>
        <w:rPr>
          <w:rFonts w:ascii="Calibri" w:hAnsi="Calibri"/>
          <w:b/>
          <w:sz w:val="22"/>
          <w:szCs w:val="22"/>
        </w:rPr>
      </w:pPr>
      <w:r w:rsidRPr="003127E4">
        <w:rPr>
          <w:rFonts w:ascii="Calibri" w:hAnsi="Calibri"/>
          <w:b/>
          <w:sz w:val="22"/>
          <w:szCs w:val="22"/>
          <w:u w:val="single"/>
        </w:rPr>
        <w:t>EFFORTS TO IDENTIFY DUPLICATION</w:t>
      </w:r>
    </w:p>
    <w:p w:rsidR="007E2EEB" w:rsidRPr="003127E4" w14:paraId="1B7E7A43" w14:textId="77777777">
      <w:pPr>
        <w:rPr>
          <w:rFonts w:ascii="Calibri" w:hAnsi="Calibri"/>
          <w:sz w:val="22"/>
          <w:szCs w:val="22"/>
        </w:rPr>
      </w:pPr>
    </w:p>
    <w:p w:rsidR="0047289C" w:rsidP="002D4886" w14:paraId="5E251416" w14:textId="77777777">
      <w:pPr>
        <w:ind w:left="720"/>
        <w:rPr>
          <w:rFonts w:ascii="Calibri" w:hAnsi="Calibri"/>
          <w:sz w:val="22"/>
          <w:szCs w:val="22"/>
        </w:rPr>
      </w:pPr>
      <w:r w:rsidRPr="00715FFF">
        <w:rPr>
          <w:rFonts w:ascii="Calibri" w:hAnsi="Calibri"/>
          <w:sz w:val="22"/>
          <w:szCs w:val="22"/>
        </w:rPr>
        <w:t>The information obtained through this collection is unique and is not already available or use or</w:t>
      </w:r>
      <w:r>
        <w:rPr>
          <w:rFonts w:ascii="Calibri" w:hAnsi="Calibri"/>
          <w:sz w:val="22"/>
          <w:szCs w:val="22"/>
        </w:rPr>
        <w:t xml:space="preserve"> </w:t>
      </w:r>
      <w:r w:rsidRPr="00715FFF">
        <w:rPr>
          <w:rFonts w:ascii="Calibri" w:hAnsi="Calibri"/>
          <w:sz w:val="22"/>
          <w:szCs w:val="22"/>
        </w:rPr>
        <w:t>adaption from another source</w:t>
      </w:r>
      <w:r>
        <w:rPr>
          <w:rFonts w:ascii="Calibri" w:hAnsi="Calibri"/>
          <w:sz w:val="22"/>
          <w:szCs w:val="22"/>
        </w:rPr>
        <w:t>.</w:t>
      </w:r>
    </w:p>
    <w:p w:rsidR="0047289C" w:rsidRPr="003127E4" w14:paraId="4F807ABA" w14:textId="77777777">
      <w:pPr>
        <w:rPr>
          <w:rFonts w:ascii="Calibri" w:hAnsi="Calibri"/>
          <w:sz w:val="22"/>
          <w:szCs w:val="22"/>
        </w:rPr>
      </w:pPr>
    </w:p>
    <w:p w:rsidR="007E2EEB" w:rsidRPr="003127E4" w14:paraId="0EF114EE" w14:textId="77777777">
      <w:pPr>
        <w:pStyle w:val="Level1"/>
        <w:numPr>
          <w:ilvl w:val="0"/>
          <w:numId w:val="1"/>
        </w:numPr>
        <w:tabs>
          <w:tab w:val="left" w:pos="-1440"/>
          <w:tab w:val="num" w:pos="720"/>
        </w:tabs>
        <w:rPr>
          <w:rFonts w:ascii="Calibri" w:hAnsi="Calibri"/>
          <w:b/>
          <w:sz w:val="22"/>
          <w:szCs w:val="22"/>
        </w:rPr>
      </w:pPr>
      <w:r w:rsidRPr="00394E4C">
        <w:rPr>
          <w:rFonts w:ascii="Calibri" w:hAnsi="Calibri"/>
          <w:b/>
          <w:sz w:val="22"/>
          <w:szCs w:val="22"/>
          <w:u w:val="single"/>
        </w:rPr>
        <w:t>METHODS</w:t>
      </w:r>
      <w:r w:rsidRPr="00224418">
        <w:rPr>
          <w:rFonts w:ascii="Calibri" w:hAnsi="Calibri"/>
          <w:b/>
          <w:sz w:val="22"/>
          <w:szCs w:val="22"/>
          <w:u w:val="single"/>
        </w:rPr>
        <w:t xml:space="preserve"> TO MINIMIZE</w:t>
      </w:r>
      <w:r w:rsidRPr="003127E4">
        <w:rPr>
          <w:rFonts w:ascii="Calibri" w:hAnsi="Calibri"/>
          <w:b/>
          <w:sz w:val="22"/>
          <w:szCs w:val="22"/>
          <w:u w:val="single"/>
        </w:rPr>
        <w:t xml:space="preserve"> BURDEN ON SMALL BUSINESSES OR OTHER</w:t>
      </w:r>
      <w:r w:rsidRPr="003127E4" w:rsidR="00715FFF">
        <w:rPr>
          <w:rFonts w:ascii="Calibri" w:hAnsi="Calibri"/>
          <w:b/>
          <w:sz w:val="22"/>
          <w:szCs w:val="22"/>
          <w:u w:val="single"/>
        </w:rPr>
        <w:t xml:space="preserve"> </w:t>
      </w:r>
      <w:r w:rsidRPr="003127E4">
        <w:rPr>
          <w:rFonts w:ascii="Calibri" w:hAnsi="Calibri"/>
          <w:b/>
          <w:sz w:val="22"/>
          <w:szCs w:val="22"/>
          <w:u w:val="single"/>
        </w:rPr>
        <w:t>SMALL ENTITIES</w:t>
      </w:r>
    </w:p>
    <w:p w:rsidR="007E2EEB" w:rsidRPr="003127E4" w14:paraId="51BC9C64" w14:textId="77777777">
      <w:pPr>
        <w:rPr>
          <w:rFonts w:ascii="Calibri" w:hAnsi="Calibri"/>
          <w:sz w:val="22"/>
          <w:szCs w:val="22"/>
        </w:rPr>
      </w:pPr>
    </w:p>
    <w:p w:rsidR="00F669A8" w14:paraId="4BC88F6E" w14:textId="77777777">
      <w:pPr>
        <w:ind w:left="720"/>
        <w:rPr>
          <w:rFonts w:ascii="Calibri" w:hAnsi="Calibri" w:cs="Courier New"/>
          <w:color w:val="000000"/>
          <w:sz w:val="22"/>
          <w:szCs w:val="22"/>
        </w:rPr>
      </w:pPr>
      <w:r w:rsidRPr="00404EE7">
        <w:rPr>
          <w:rFonts w:ascii="Calibri" w:hAnsi="Calibri" w:cs="Courier New"/>
          <w:color w:val="000000"/>
          <w:sz w:val="22"/>
          <w:szCs w:val="22"/>
        </w:rPr>
        <w:t>There are no small entities affected by this collection.</w:t>
      </w:r>
      <w:r w:rsidRPr="00354235" w:rsidR="00354235">
        <w:rPr>
          <w:rFonts w:ascii="Calibri" w:hAnsi="Calibri" w:cs="Courier New"/>
          <w:color w:val="000000"/>
          <w:sz w:val="22"/>
          <w:szCs w:val="22"/>
        </w:rPr>
        <w:t xml:space="preserve">     </w:t>
      </w:r>
    </w:p>
    <w:p w:rsidR="00354235" w:rsidRPr="003127E4" w14:paraId="68334666" w14:textId="77777777">
      <w:pPr>
        <w:ind w:left="720"/>
        <w:rPr>
          <w:rFonts w:ascii="Calibri" w:hAnsi="Calibri"/>
          <w:sz w:val="22"/>
          <w:szCs w:val="22"/>
        </w:rPr>
      </w:pPr>
    </w:p>
    <w:p w:rsidR="007E2EEB" w:rsidRPr="003127E4" w14:paraId="1220B649" w14:textId="77777777">
      <w:pPr>
        <w:tabs>
          <w:tab w:val="left" w:pos="-1440"/>
        </w:tabs>
        <w:ind w:left="720" w:hanging="720"/>
        <w:rPr>
          <w:rFonts w:ascii="Calibri" w:hAnsi="Calibri"/>
          <w:sz w:val="22"/>
          <w:szCs w:val="22"/>
        </w:rPr>
      </w:pPr>
      <w:r w:rsidRPr="003127E4">
        <w:rPr>
          <w:rFonts w:ascii="Calibri" w:hAnsi="Calibri"/>
          <w:sz w:val="22"/>
          <w:szCs w:val="22"/>
        </w:rPr>
        <w:t xml:space="preserve">6. </w:t>
      </w:r>
      <w:r w:rsidRPr="003127E4">
        <w:rPr>
          <w:rFonts w:ascii="Calibri" w:hAnsi="Calibri"/>
          <w:sz w:val="22"/>
          <w:szCs w:val="22"/>
        </w:rPr>
        <w:tab/>
      </w:r>
      <w:r w:rsidRPr="00974429">
        <w:rPr>
          <w:rFonts w:ascii="Calibri" w:hAnsi="Calibri"/>
          <w:b/>
          <w:sz w:val="22"/>
          <w:szCs w:val="22"/>
          <w:u w:val="single"/>
        </w:rPr>
        <w:t>CON</w:t>
      </w:r>
      <w:r w:rsidRPr="00FF03FE">
        <w:rPr>
          <w:rFonts w:ascii="Calibri" w:hAnsi="Calibri"/>
          <w:b/>
          <w:sz w:val="22"/>
          <w:szCs w:val="22"/>
          <w:u w:val="single"/>
        </w:rPr>
        <w:t>SEQU</w:t>
      </w:r>
      <w:r w:rsidRPr="003127E4">
        <w:rPr>
          <w:rFonts w:ascii="Calibri" w:hAnsi="Calibri"/>
          <w:b/>
          <w:sz w:val="22"/>
          <w:szCs w:val="22"/>
          <w:u w:val="single"/>
        </w:rPr>
        <w:t>ENCES OF LESS FREQUENT COLLECTION ON FEDERAL PROGRAMS OR POLICY ACTIVITIES</w:t>
      </w:r>
    </w:p>
    <w:p w:rsidR="007E2EEB" w:rsidRPr="003127E4" w14:paraId="0BFDD255" w14:textId="77777777">
      <w:pPr>
        <w:rPr>
          <w:rFonts w:ascii="Calibri" w:hAnsi="Calibri"/>
          <w:sz w:val="22"/>
          <w:szCs w:val="22"/>
        </w:rPr>
      </w:pPr>
    </w:p>
    <w:p w:rsidR="007E2EEB" w:rsidRPr="003127E4" w:rsidP="00017836" w14:paraId="237AC91E" w14:textId="1A287936">
      <w:pPr>
        <w:ind w:left="720"/>
        <w:rPr>
          <w:rFonts w:ascii="Calibri" w:hAnsi="Calibri"/>
          <w:sz w:val="22"/>
          <w:szCs w:val="22"/>
        </w:rPr>
      </w:pPr>
      <w:r w:rsidRPr="00404EE7">
        <w:rPr>
          <w:rFonts w:ascii="Calibri" w:hAnsi="Calibri"/>
          <w:sz w:val="22"/>
          <w:szCs w:val="22"/>
        </w:rPr>
        <w:t xml:space="preserve">Consequences of less frequent collection on federal programs or policy activities could consist of a decreased amount of taxes collected by the </w:t>
      </w:r>
      <w:r w:rsidR="00B80234">
        <w:rPr>
          <w:rFonts w:ascii="Calibri" w:hAnsi="Calibri"/>
          <w:sz w:val="22"/>
          <w:szCs w:val="22"/>
        </w:rPr>
        <w:t>IRS</w:t>
      </w:r>
      <w:r w:rsidRPr="00404EE7">
        <w:rPr>
          <w:rFonts w:ascii="Calibri" w:hAnsi="Calibri"/>
          <w:sz w:val="22"/>
          <w:szCs w:val="22"/>
        </w:rPr>
        <w:t xml:space="preserve">, inaccurate and untimely filing of tax returns, and an increase in tax violations.  Failure to provide the justification statement and amended return timely, will create inconsistencies in the ability for taxpayers and IRS to comply with the tax laws.   </w:t>
      </w:r>
    </w:p>
    <w:p w:rsidR="007E2EEB" w:rsidRPr="003127E4" w14:paraId="38824D41" w14:textId="77777777">
      <w:pPr>
        <w:rPr>
          <w:rFonts w:ascii="Calibri" w:hAnsi="Calibri"/>
          <w:sz w:val="22"/>
          <w:szCs w:val="22"/>
        </w:rPr>
      </w:pPr>
    </w:p>
    <w:p w:rsidR="007E2EEB" w:rsidRPr="003127E4" w14:paraId="79DA89C8" w14:textId="77777777">
      <w:pPr>
        <w:pStyle w:val="Level1"/>
        <w:numPr>
          <w:ilvl w:val="0"/>
          <w:numId w:val="2"/>
        </w:numPr>
        <w:tabs>
          <w:tab w:val="left" w:pos="-1440"/>
          <w:tab w:val="num" w:pos="720"/>
        </w:tabs>
        <w:rPr>
          <w:rFonts w:ascii="Calibri" w:hAnsi="Calibri"/>
          <w:b/>
          <w:sz w:val="22"/>
          <w:szCs w:val="22"/>
        </w:rPr>
      </w:pPr>
      <w:r w:rsidRPr="003127E4">
        <w:rPr>
          <w:rFonts w:ascii="Calibri" w:hAnsi="Calibri"/>
          <w:b/>
          <w:sz w:val="22"/>
          <w:szCs w:val="22"/>
          <w:u w:val="single"/>
        </w:rPr>
        <w:t>SPECIAL CIRCUMSTANCES REQUIRING DATA COLLECTION TO BE</w:t>
      </w:r>
      <w:r w:rsidRPr="003127E4" w:rsidR="00473D0D">
        <w:rPr>
          <w:rFonts w:ascii="Calibri" w:hAnsi="Calibri"/>
          <w:b/>
          <w:sz w:val="22"/>
          <w:szCs w:val="22"/>
          <w:u w:val="single"/>
        </w:rPr>
        <w:t xml:space="preserve"> </w:t>
      </w:r>
      <w:r w:rsidRPr="003127E4">
        <w:rPr>
          <w:rFonts w:ascii="Calibri" w:hAnsi="Calibri"/>
          <w:b/>
          <w:sz w:val="22"/>
          <w:szCs w:val="22"/>
          <w:u w:val="single"/>
        </w:rPr>
        <w:t>INCONSISTENT WITH GUIDELINES IN 5 CFR 1320.5(d)(2)</w:t>
      </w:r>
    </w:p>
    <w:p w:rsidR="007E2EEB" w:rsidRPr="003127E4" w14:paraId="4FE4AF52" w14:textId="77777777">
      <w:pPr>
        <w:rPr>
          <w:rFonts w:ascii="Calibri" w:hAnsi="Calibri"/>
          <w:sz w:val="22"/>
          <w:szCs w:val="22"/>
        </w:rPr>
      </w:pPr>
    </w:p>
    <w:p w:rsidR="007E2EEB" w:rsidP="00336BA4" w14:paraId="1326CBC3" w14:textId="77777777">
      <w:pPr>
        <w:ind w:left="720"/>
        <w:rPr>
          <w:rFonts w:ascii="Calibri" w:hAnsi="Calibri"/>
          <w:sz w:val="22"/>
          <w:szCs w:val="22"/>
        </w:rPr>
      </w:pPr>
      <w:r w:rsidRPr="00473D0D">
        <w:rPr>
          <w:rFonts w:ascii="Calibri" w:hAnsi="Calibri"/>
          <w:sz w:val="22"/>
          <w:szCs w:val="22"/>
        </w:rPr>
        <w:t>There are no special circumstances requiring data collection to be inconsistent with Guidelines in 5 CFR 1320.5(d)(2).</w:t>
      </w:r>
    </w:p>
    <w:p w:rsidR="00B5635A" w:rsidRPr="003127E4" w14:paraId="5263ABB0" w14:textId="77777777">
      <w:pPr>
        <w:rPr>
          <w:rFonts w:ascii="Calibri" w:hAnsi="Calibri"/>
          <w:sz w:val="22"/>
          <w:szCs w:val="22"/>
        </w:rPr>
      </w:pPr>
    </w:p>
    <w:p w:rsidR="007E2EEB" w:rsidRPr="003127E4" w:rsidP="00AF1AEA" w14:paraId="54BE7373" w14:textId="77777777">
      <w:pPr>
        <w:ind w:left="720" w:hanging="720"/>
        <w:rPr>
          <w:rFonts w:ascii="Calibri" w:hAnsi="Calibri"/>
          <w:b/>
          <w:sz w:val="22"/>
          <w:szCs w:val="22"/>
        </w:rPr>
      </w:pPr>
      <w:r w:rsidRPr="00AF1AEA">
        <w:rPr>
          <w:rFonts w:ascii="Calibri" w:hAnsi="Calibri"/>
          <w:b/>
          <w:sz w:val="22"/>
          <w:szCs w:val="22"/>
        </w:rPr>
        <w:t>8.</w:t>
      </w:r>
      <w:r w:rsidRPr="00AF1AEA">
        <w:rPr>
          <w:rFonts w:ascii="Calibri" w:hAnsi="Calibri"/>
          <w:b/>
          <w:sz w:val="22"/>
          <w:szCs w:val="22"/>
        </w:rPr>
        <w:tab/>
      </w:r>
      <w:r w:rsidRPr="00F26675">
        <w:rPr>
          <w:rFonts w:ascii="Calibri" w:hAnsi="Calibri"/>
          <w:b/>
          <w:sz w:val="22"/>
          <w:szCs w:val="22"/>
          <w:u w:val="single"/>
        </w:rPr>
        <w:t>C</w:t>
      </w:r>
      <w:r w:rsidRPr="00242885">
        <w:rPr>
          <w:rFonts w:ascii="Calibri" w:hAnsi="Calibri"/>
          <w:b/>
          <w:sz w:val="22"/>
          <w:szCs w:val="22"/>
          <w:u w:val="single"/>
        </w:rPr>
        <w:t>ONSULTA</w:t>
      </w:r>
      <w:r w:rsidRPr="00F26675">
        <w:rPr>
          <w:rFonts w:ascii="Calibri" w:hAnsi="Calibri"/>
          <w:b/>
          <w:sz w:val="22"/>
          <w:szCs w:val="22"/>
          <w:u w:val="single"/>
        </w:rPr>
        <w:t>TION WITH INDIVIDUALS OUTSIDE OF THE AGENCY ON</w:t>
      </w:r>
      <w:r w:rsidRPr="00AF1AEA" w:rsidR="00473D0D">
        <w:rPr>
          <w:rFonts w:ascii="Calibri" w:hAnsi="Calibri"/>
          <w:b/>
          <w:sz w:val="22"/>
          <w:szCs w:val="22"/>
          <w:u w:val="single"/>
        </w:rPr>
        <w:t xml:space="preserve"> </w:t>
      </w:r>
      <w:r w:rsidRPr="00AF1AEA">
        <w:rPr>
          <w:rFonts w:ascii="Calibri" w:hAnsi="Calibri"/>
          <w:b/>
          <w:sz w:val="22"/>
          <w:szCs w:val="22"/>
          <w:u w:val="single"/>
        </w:rPr>
        <w:t>AVAILABILITY OF DATA, FREQUENCY OF COLLECTION, CLARITY OF INSTRUCTIONS AND FORMS, AND DATA ELEMENTS</w:t>
      </w:r>
      <w:r w:rsidRPr="00AF1AEA" w:rsidR="00293354">
        <w:rPr>
          <w:rFonts w:ascii="Calibri" w:hAnsi="Calibri"/>
          <w:b/>
          <w:sz w:val="22"/>
          <w:szCs w:val="22"/>
          <w:u w:val="single"/>
        </w:rPr>
        <w:t xml:space="preserve"> </w:t>
      </w:r>
    </w:p>
    <w:p w:rsidR="007E2EEB" w:rsidRPr="003127E4" w14:paraId="295FEDED" w14:textId="77777777">
      <w:pPr>
        <w:rPr>
          <w:rFonts w:ascii="Calibri" w:hAnsi="Calibri"/>
          <w:sz w:val="22"/>
          <w:szCs w:val="22"/>
        </w:rPr>
      </w:pPr>
    </w:p>
    <w:p w:rsidR="007E2EEB" w:rsidRPr="003127E4" w14:paraId="60376D32" w14:textId="4C2D3852">
      <w:pPr>
        <w:ind w:left="720"/>
        <w:rPr>
          <w:rFonts w:ascii="Calibri" w:hAnsi="Calibri"/>
          <w:sz w:val="22"/>
          <w:szCs w:val="22"/>
        </w:rPr>
      </w:pPr>
      <w:r w:rsidRPr="00044F37">
        <w:rPr>
          <w:rFonts w:ascii="Calibri" w:hAnsi="Calibri"/>
          <w:sz w:val="22"/>
          <w:szCs w:val="22"/>
        </w:rPr>
        <w:t xml:space="preserve">In response to the Federal Register notice </w:t>
      </w:r>
      <w:r w:rsidRPr="00120003">
        <w:rPr>
          <w:rFonts w:ascii="Calibri" w:hAnsi="Calibri"/>
          <w:sz w:val="22"/>
          <w:szCs w:val="22"/>
        </w:rPr>
        <w:t>dated</w:t>
      </w:r>
      <w:r w:rsidRPr="00120003" w:rsidR="00DE00E7">
        <w:rPr>
          <w:rFonts w:ascii="Calibri" w:hAnsi="Calibri"/>
          <w:sz w:val="22"/>
          <w:szCs w:val="22"/>
        </w:rPr>
        <w:t xml:space="preserve"> </w:t>
      </w:r>
      <w:r w:rsidR="00377DBA">
        <w:rPr>
          <w:rFonts w:ascii="Calibri" w:hAnsi="Calibri"/>
          <w:sz w:val="22"/>
          <w:szCs w:val="22"/>
        </w:rPr>
        <w:t>May 2, 2023</w:t>
      </w:r>
      <w:r w:rsidRPr="00120003" w:rsidR="00D71370">
        <w:rPr>
          <w:rFonts w:ascii="Calibri" w:hAnsi="Calibri"/>
          <w:sz w:val="22"/>
          <w:szCs w:val="22"/>
        </w:rPr>
        <w:t xml:space="preserve"> </w:t>
      </w:r>
      <w:r w:rsidRPr="00120003">
        <w:rPr>
          <w:rFonts w:ascii="Calibri" w:hAnsi="Calibri"/>
          <w:sz w:val="22"/>
          <w:szCs w:val="22"/>
        </w:rPr>
        <w:t>(8</w:t>
      </w:r>
      <w:r w:rsidR="00377DBA">
        <w:rPr>
          <w:rFonts w:ascii="Calibri" w:hAnsi="Calibri"/>
          <w:sz w:val="22"/>
          <w:szCs w:val="22"/>
        </w:rPr>
        <w:t>8</w:t>
      </w:r>
      <w:r w:rsidR="002109AC">
        <w:rPr>
          <w:rFonts w:ascii="Calibri" w:hAnsi="Calibri"/>
          <w:sz w:val="22"/>
          <w:szCs w:val="22"/>
        </w:rPr>
        <w:t xml:space="preserve"> FR </w:t>
      </w:r>
      <w:r w:rsidR="00377DBA">
        <w:rPr>
          <w:rFonts w:ascii="Calibri" w:hAnsi="Calibri"/>
          <w:sz w:val="22"/>
          <w:szCs w:val="22"/>
        </w:rPr>
        <w:t>27590</w:t>
      </w:r>
      <w:r w:rsidRPr="00120003">
        <w:rPr>
          <w:rFonts w:ascii="Calibri" w:hAnsi="Calibri"/>
          <w:sz w:val="22"/>
          <w:szCs w:val="22"/>
        </w:rPr>
        <w:t>),</w:t>
      </w:r>
      <w:r w:rsidRPr="00044F37">
        <w:rPr>
          <w:rFonts w:ascii="Calibri" w:hAnsi="Calibri"/>
          <w:sz w:val="22"/>
          <w:szCs w:val="22"/>
        </w:rPr>
        <w:t xml:space="preserve"> we received no comments during the comment period regarding these regulations. </w:t>
      </w:r>
      <w:r w:rsidRPr="003127E4">
        <w:rPr>
          <w:rFonts w:ascii="Calibri" w:hAnsi="Calibri"/>
          <w:sz w:val="22"/>
          <w:szCs w:val="22"/>
        </w:rPr>
        <w:t xml:space="preserve"> </w:t>
      </w:r>
    </w:p>
    <w:p w:rsidR="007E2EEB" w:rsidRPr="003127E4" w14:paraId="4964F7AC" w14:textId="77777777">
      <w:pPr>
        <w:tabs>
          <w:tab w:val="center" w:pos="4680"/>
        </w:tabs>
        <w:rPr>
          <w:rFonts w:ascii="Calibri" w:hAnsi="Calibri"/>
          <w:sz w:val="22"/>
          <w:szCs w:val="22"/>
        </w:rPr>
      </w:pPr>
    </w:p>
    <w:p w:rsidR="007E2EEB" w:rsidRPr="003127E4" w:rsidP="00AF1AEA" w14:paraId="417E5986"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EXPLANATION OF DECISION TO PROVIDE ANY PAYMENT OR GIFT TO</w:t>
      </w:r>
      <w:r w:rsidRPr="003127E4" w:rsidR="006E6E53">
        <w:rPr>
          <w:rFonts w:ascii="Calibri" w:hAnsi="Calibri"/>
          <w:b/>
          <w:sz w:val="22"/>
          <w:szCs w:val="22"/>
          <w:u w:val="single"/>
        </w:rPr>
        <w:t xml:space="preserve"> </w:t>
      </w:r>
      <w:r w:rsidRPr="003127E4">
        <w:rPr>
          <w:rFonts w:ascii="Calibri" w:hAnsi="Calibri"/>
          <w:b/>
          <w:sz w:val="22"/>
          <w:szCs w:val="22"/>
          <w:u w:val="single"/>
        </w:rPr>
        <w:t>RESPONDENTS</w:t>
      </w:r>
    </w:p>
    <w:p w:rsidR="007E2EEB" w:rsidRPr="003127E4" w14:paraId="273D53EE" w14:textId="77777777">
      <w:pPr>
        <w:rPr>
          <w:rFonts w:ascii="Calibri" w:hAnsi="Calibri"/>
          <w:sz w:val="22"/>
          <w:szCs w:val="22"/>
        </w:rPr>
      </w:pPr>
    </w:p>
    <w:p w:rsidR="006E6E53" w:rsidRPr="002A31A5" w:rsidP="006E6E53" w14:paraId="76C99AAA" w14:textId="77777777">
      <w:pPr>
        <w:ind w:left="720"/>
        <w:rPr>
          <w:rFonts w:ascii="Calibri" w:hAnsi="Calibri" w:cs="Calibri"/>
          <w:sz w:val="22"/>
          <w:szCs w:val="22"/>
        </w:rPr>
      </w:pPr>
      <w:r w:rsidRPr="002A31A5">
        <w:rPr>
          <w:rFonts w:ascii="Calibri" w:hAnsi="Calibri" w:cs="Calibri"/>
          <w:sz w:val="22"/>
          <w:szCs w:val="22"/>
        </w:rPr>
        <w:t>No payment or gift has been provided to any respondents.</w:t>
      </w:r>
    </w:p>
    <w:p w:rsidR="006E6E53" w:rsidRPr="002A31A5" w:rsidP="006E6E53" w14:paraId="2F3F575B" w14:textId="77777777">
      <w:pPr>
        <w:rPr>
          <w:rFonts w:ascii="Calibri" w:hAnsi="Calibri" w:cs="Calibri"/>
          <w:sz w:val="22"/>
          <w:szCs w:val="22"/>
        </w:rPr>
      </w:pPr>
    </w:p>
    <w:p w:rsidR="007E2EEB" w:rsidRPr="003127E4" w:rsidP="00AF1AEA" w14:paraId="2C07119B"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ASSURANCE OF CONFIDENTIALITY OF RESPONSES</w:t>
      </w:r>
    </w:p>
    <w:p w:rsidR="007E2EEB" w:rsidRPr="003127E4" w14:paraId="263B2F18" w14:textId="77777777">
      <w:pPr>
        <w:rPr>
          <w:rFonts w:ascii="Calibri" w:hAnsi="Calibri"/>
          <w:sz w:val="22"/>
          <w:szCs w:val="22"/>
        </w:rPr>
      </w:pPr>
    </w:p>
    <w:p w:rsidR="007E2EEB" w:rsidRPr="003127E4" w14:paraId="478A5FA5" w14:textId="77777777">
      <w:pPr>
        <w:ind w:left="720"/>
        <w:rPr>
          <w:rFonts w:ascii="Calibri" w:hAnsi="Calibri"/>
          <w:sz w:val="22"/>
          <w:szCs w:val="22"/>
        </w:rPr>
      </w:pPr>
      <w:r w:rsidRPr="003127E4">
        <w:rPr>
          <w:rFonts w:ascii="Calibri" w:hAnsi="Calibri"/>
          <w:sz w:val="22"/>
          <w:szCs w:val="22"/>
        </w:rPr>
        <w:t>Generally, tax returns and tax return information are confidential as required by 26 USC 6103.</w:t>
      </w:r>
    </w:p>
    <w:p w:rsidR="007E2EEB" w:rsidRPr="003127E4" w14:paraId="22841210" w14:textId="77777777">
      <w:pPr>
        <w:rPr>
          <w:rFonts w:ascii="Calibri" w:hAnsi="Calibri"/>
          <w:sz w:val="22"/>
          <w:szCs w:val="22"/>
        </w:rPr>
      </w:pPr>
    </w:p>
    <w:p w:rsidR="007E2EEB" w:rsidRPr="003127E4" w:rsidP="00AF1AEA" w14:paraId="3FB5B07A" w14:textId="77777777">
      <w:pPr>
        <w:pStyle w:val="Level1"/>
        <w:numPr>
          <w:ilvl w:val="0"/>
          <w:numId w:val="4"/>
        </w:numPr>
        <w:tabs>
          <w:tab w:val="left" w:pos="-1440"/>
        </w:tabs>
        <w:rPr>
          <w:rFonts w:ascii="Calibri" w:hAnsi="Calibri"/>
          <w:b/>
          <w:sz w:val="22"/>
          <w:szCs w:val="22"/>
          <w:u w:val="single"/>
        </w:rPr>
      </w:pPr>
      <w:r w:rsidRPr="00295A3A">
        <w:rPr>
          <w:rFonts w:ascii="Calibri" w:hAnsi="Calibri"/>
          <w:b/>
          <w:sz w:val="22"/>
          <w:szCs w:val="22"/>
          <w:u w:val="single"/>
        </w:rPr>
        <w:t>JUSTIFICATION</w:t>
      </w:r>
      <w:r w:rsidRPr="00B5635A">
        <w:rPr>
          <w:rFonts w:ascii="Calibri" w:hAnsi="Calibri"/>
          <w:b/>
          <w:sz w:val="22"/>
          <w:szCs w:val="22"/>
          <w:u w:val="single"/>
        </w:rPr>
        <w:t xml:space="preserve"> OF</w:t>
      </w:r>
      <w:r w:rsidRPr="003127E4">
        <w:rPr>
          <w:rFonts w:ascii="Calibri" w:hAnsi="Calibri"/>
          <w:b/>
          <w:sz w:val="22"/>
          <w:szCs w:val="22"/>
          <w:u w:val="single"/>
        </w:rPr>
        <w:t xml:space="preserve"> SENSITIVE QUESTIONS</w:t>
      </w:r>
    </w:p>
    <w:p w:rsidR="007E2EEB" w:rsidRPr="003127E4" w14:paraId="384008CB" w14:textId="77777777">
      <w:pPr>
        <w:rPr>
          <w:rFonts w:ascii="Calibri" w:hAnsi="Calibri"/>
          <w:sz w:val="22"/>
          <w:szCs w:val="22"/>
          <w:u w:val="single"/>
        </w:rPr>
      </w:pPr>
    </w:p>
    <w:p w:rsidR="00354235" w:rsidRPr="00354235" w:rsidP="00354235" w14:paraId="0B9E30BC" w14:textId="77777777">
      <w:pPr>
        <w:ind w:left="720"/>
        <w:rPr>
          <w:rFonts w:ascii="Calibri" w:hAnsi="Calibri"/>
          <w:sz w:val="22"/>
          <w:szCs w:val="22"/>
        </w:rPr>
      </w:pPr>
      <w:bookmarkStart w:id="2" w:name="_Hlk504987468"/>
      <w:r w:rsidRPr="00354235">
        <w:rPr>
          <w:rFonts w:ascii="Calibri" w:hAnsi="Calibri"/>
          <w:sz w:val="22"/>
          <w:szCs w:val="22"/>
        </w:rPr>
        <w:t xml:space="preserve">A privacy impact assessment (PIA) has been conducted for information collected under this request as part of the “Business Master File, BMF” system and a Privacy Act System of Records notice (SORN) has been issued for this system under: </w:t>
      </w:r>
      <w:r w:rsidRPr="00354235">
        <w:rPr>
          <w:rFonts w:ascii="Calibri" w:hAnsi="Calibri"/>
          <w:sz w:val="22"/>
          <w:szCs w:val="22"/>
        </w:rPr>
        <w:t>Treas</w:t>
      </w:r>
      <w:r w:rsidRPr="00354235">
        <w:rPr>
          <w:rFonts w:ascii="Calibri" w:hAnsi="Calibri"/>
          <w:sz w:val="22"/>
          <w:szCs w:val="22"/>
        </w:rPr>
        <w:t xml:space="preserve">/IRS 24.046 BMF, </w:t>
      </w:r>
      <w:r w:rsidRPr="00354235">
        <w:rPr>
          <w:rFonts w:ascii="Calibri" w:hAnsi="Calibri"/>
          <w:sz w:val="22"/>
          <w:szCs w:val="22"/>
        </w:rPr>
        <w:t>Treas</w:t>
      </w:r>
      <w:r w:rsidRPr="00354235">
        <w:rPr>
          <w:rFonts w:ascii="Calibri" w:hAnsi="Calibri"/>
          <w:sz w:val="22"/>
          <w:szCs w:val="22"/>
        </w:rPr>
        <w:t>/IRS 34.047 Audit trail and security records system.</w:t>
      </w:r>
    </w:p>
    <w:p w:rsidR="00354235" w:rsidRPr="00354235" w:rsidP="00354235" w14:paraId="4EC05FBB" w14:textId="77777777">
      <w:pPr>
        <w:ind w:left="720"/>
        <w:rPr>
          <w:rFonts w:ascii="Calibri" w:hAnsi="Calibri"/>
          <w:sz w:val="22"/>
          <w:szCs w:val="22"/>
        </w:rPr>
      </w:pPr>
    </w:p>
    <w:p w:rsidR="00354235" w:rsidRPr="00354235" w:rsidP="00354235" w14:paraId="4525750E" w14:textId="56B9EAA0">
      <w:pPr>
        <w:ind w:left="720"/>
        <w:rPr>
          <w:rFonts w:ascii="Calibri" w:hAnsi="Calibri"/>
          <w:sz w:val="22"/>
          <w:szCs w:val="22"/>
        </w:rPr>
      </w:pPr>
      <w:r w:rsidRPr="00354235">
        <w:rPr>
          <w:rFonts w:ascii="Calibri" w:hAnsi="Calibri"/>
          <w:sz w:val="22"/>
          <w:szCs w:val="22"/>
        </w:rPr>
        <w:t>The Internal Revenue Service PIAs can be found a</w:t>
      </w:r>
    </w:p>
    <w:p w:rsidR="00354235" w:rsidRPr="00354235" w:rsidP="00354235" w14:paraId="4908780C" w14:textId="7AEE2A39">
      <w:pPr>
        <w:ind w:left="720"/>
        <w:rPr>
          <w:rFonts w:ascii="Calibri" w:hAnsi="Calibri"/>
          <w:sz w:val="22"/>
          <w:szCs w:val="22"/>
        </w:rPr>
      </w:pPr>
      <w:hyperlink r:id="rId4" w:history="1">
        <w:r w:rsidRPr="007C08DC" w:rsidR="009D4FF2">
          <w:rPr>
            <w:rStyle w:val="Hyperlink"/>
            <w:rFonts w:ascii="Calibri" w:hAnsi="Calibri"/>
            <w:sz w:val="22"/>
            <w:szCs w:val="22"/>
          </w:rPr>
          <w:t>https://www.irs.gov/uac/Privacy-Impact-Assessments-PIA</w:t>
        </w:r>
      </w:hyperlink>
      <w:r w:rsidR="009D4FF2">
        <w:rPr>
          <w:rFonts w:ascii="Calibri" w:hAnsi="Calibri"/>
          <w:sz w:val="22"/>
          <w:szCs w:val="22"/>
        </w:rPr>
        <w:t xml:space="preserve"> </w:t>
      </w:r>
      <w:r w:rsidRPr="00354235" w:rsidR="009D4FF2">
        <w:rPr>
          <w:rFonts w:ascii="Calibri" w:hAnsi="Calibri"/>
          <w:sz w:val="22"/>
          <w:szCs w:val="22"/>
        </w:rPr>
        <w:t xml:space="preserve">.        </w:t>
      </w:r>
    </w:p>
    <w:p w:rsidR="00354235" w:rsidRPr="00354235" w:rsidP="00354235" w14:paraId="64F235A8" w14:textId="77777777">
      <w:pPr>
        <w:ind w:left="720"/>
        <w:rPr>
          <w:rFonts w:ascii="Calibri" w:hAnsi="Calibri"/>
          <w:sz w:val="22"/>
          <w:szCs w:val="22"/>
        </w:rPr>
      </w:pPr>
    </w:p>
    <w:p w:rsidR="00354235" w:rsidRPr="00354235" w:rsidP="00354235" w14:paraId="3B014AF1" w14:textId="77777777">
      <w:pPr>
        <w:ind w:left="720"/>
        <w:rPr>
          <w:rFonts w:ascii="Calibri" w:hAnsi="Calibri"/>
          <w:sz w:val="22"/>
          <w:szCs w:val="22"/>
        </w:rPr>
      </w:pPr>
      <w:r w:rsidRPr="00354235">
        <w:rPr>
          <w:rFonts w:ascii="Calibri" w:hAnsi="Calibri"/>
          <w:sz w:val="22"/>
          <w:szCs w:val="22"/>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bookmarkEnd w:id="2"/>
    <w:p w:rsidR="003A5A1A" w:rsidP="00044F37" w14:paraId="3BA4E262" w14:textId="77777777">
      <w:pPr>
        <w:ind w:left="720"/>
        <w:rPr>
          <w:rFonts w:ascii="Calibri" w:hAnsi="Calibri"/>
          <w:sz w:val="22"/>
          <w:szCs w:val="22"/>
        </w:rPr>
      </w:pPr>
    </w:p>
    <w:p w:rsidR="007E2EEB" w:rsidP="00AF1AEA" w14:paraId="3F8D937B" w14:textId="77777777">
      <w:pPr>
        <w:pStyle w:val="Level1"/>
        <w:numPr>
          <w:ilvl w:val="0"/>
          <w:numId w:val="4"/>
        </w:numPr>
        <w:tabs>
          <w:tab w:val="left" w:pos="-1440"/>
        </w:tabs>
        <w:rPr>
          <w:rFonts w:ascii="Calibri" w:hAnsi="Calibri"/>
          <w:b/>
          <w:sz w:val="22"/>
          <w:szCs w:val="22"/>
          <w:u w:val="single"/>
        </w:rPr>
      </w:pPr>
      <w:r w:rsidRPr="00CB0D14">
        <w:rPr>
          <w:rFonts w:ascii="Calibri" w:hAnsi="Calibri"/>
          <w:b/>
          <w:sz w:val="22"/>
          <w:szCs w:val="22"/>
          <w:u w:val="single"/>
        </w:rPr>
        <w:t>ESTI</w:t>
      </w:r>
      <w:r w:rsidRPr="003127E4">
        <w:rPr>
          <w:rFonts w:ascii="Calibri" w:hAnsi="Calibri"/>
          <w:b/>
          <w:sz w:val="22"/>
          <w:szCs w:val="22"/>
          <w:u w:val="single"/>
        </w:rPr>
        <w:t>MATED BURDEN OF INFORMATION COLLECTION</w:t>
      </w:r>
    </w:p>
    <w:p w:rsidR="00DE00E7" w:rsidP="00DE00E7" w14:paraId="355FB345" w14:textId="77777777">
      <w:pPr>
        <w:pStyle w:val="Level1"/>
        <w:numPr>
          <w:ilvl w:val="0"/>
          <w:numId w:val="0"/>
        </w:numPr>
        <w:tabs>
          <w:tab w:val="left" w:pos="-1440"/>
        </w:tabs>
        <w:ind w:left="720" w:hanging="720"/>
        <w:rPr>
          <w:rFonts w:ascii="Calibri" w:hAnsi="Calibri"/>
          <w:b/>
          <w:sz w:val="22"/>
          <w:szCs w:val="22"/>
          <w:u w:val="single"/>
        </w:rPr>
      </w:pPr>
    </w:p>
    <w:p w:rsidR="009D726B" w:rsidP="009D726B" w14:paraId="30E17924" w14:textId="7A78139E">
      <w:pPr>
        <w:widowControl/>
        <w:ind w:left="720"/>
        <w:rPr>
          <w:rFonts w:asciiTheme="minorHAnsi" w:hAnsiTheme="minorHAnsi" w:cstheme="minorHAnsi"/>
          <w:sz w:val="22"/>
          <w:szCs w:val="22"/>
        </w:rPr>
      </w:pPr>
      <w:r>
        <w:rPr>
          <w:rFonts w:asciiTheme="minorHAnsi" w:hAnsiTheme="minorHAnsi" w:cstheme="minorHAnsi"/>
          <w:sz w:val="22"/>
          <w:szCs w:val="22"/>
        </w:rPr>
        <w:t>The</w:t>
      </w:r>
      <w:r w:rsidRPr="009D726B" w:rsidR="009D4FF2">
        <w:rPr>
          <w:rFonts w:asciiTheme="minorHAnsi" w:hAnsiTheme="minorHAnsi" w:cstheme="minorHAnsi"/>
          <w:sz w:val="22"/>
          <w:szCs w:val="22"/>
        </w:rPr>
        <w:t xml:space="preserve"> total</w:t>
      </w:r>
      <w:r w:rsidR="001E3556">
        <w:rPr>
          <w:rFonts w:asciiTheme="minorHAnsi" w:hAnsiTheme="minorHAnsi" w:cstheme="minorHAnsi"/>
          <w:sz w:val="22"/>
          <w:szCs w:val="22"/>
        </w:rPr>
        <w:t xml:space="preserve"> annual</w:t>
      </w:r>
      <w:r w:rsidRPr="009D726B" w:rsidR="009D4FF2">
        <w:rPr>
          <w:rFonts w:asciiTheme="minorHAnsi" w:hAnsiTheme="minorHAnsi" w:cstheme="minorHAnsi"/>
          <w:sz w:val="22"/>
          <w:szCs w:val="22"/>
        </w:rPr>
        <w:t xml:space="preserve"> burden under OMB #1545-1487 (TD 9704) is 2,471 hours with </w:t>
      </w:r>
      <w:r w:rsidR="00BF6CE3">
        <w:rPr>
          <w:rFonts w:asciiTheme="minorHAnsi" w:hAnsiTheme="minorHAnsi" w:cstheme="minorHAnsi"/>
          <w:sz w:val="22"/>
          <w:szCs w:val="22"/>
        </w:rPr>
        <w:t>4</w:t>
      </w:r>
      <w:r w:rsidRPr="009D726B" w:rsidR="009D4FF2">
        <w:rPr>
          <w:rFonts w:asciiTheme="minorHAnsi" w:hAnsiTheme="minorHAnsi" w:cstheme="minorHAnsi"/>
          <w:sz w:val="22"/>
          <w:szCs w:val="22"/>
        </w:rPr>
        <w:t>14 respondents</w:t>
      </w:r>
      <w:r w:rsidR="00442AFF">
        <w:rPr>
          <w:rFonts w:asciiTheme="minorHAnsi" w:hAnsiTheme="minorHAnsi" w:cstheme="minorHAnsi"/>
          <w:sz w:val="22"/>
          <w:szCs w:val="22"/>
        </w:rPr>
        <w:t>.</w:t>
      </w:r>
      <w:r w:rsidRPr="009D726B" w:rsidR="009D4FF2">
        <w:rPr>
          <w:rFonts w:asciiTheme="minorHAnsi" w:hAnsiTheme="minorHAnsi" w:cstheme="minorHAnsi"/>
          <w:sz w:val="22"/>
          <w:szCs w:val="22"/>
        </w:rPr>
        <w:t xml:space="preserve"> </w:t>
      </w:r>
    </w:p>
    <w:p w:rsidR="00911B5E" w:rsidRPr="009D726B" w:rsidP="009D726B" w14:paraId="238EBF6F" w14:textId="77777777">
      <w:pPr>
        <w:widowControl/>
        <w:ind w:left="720"/>
        <w:rPr>
          <w:rFonts w:asciiTheme="minorHAnsi" w:hAnsiTheme="minorHAnsi" w:cstheme="minorHAnsi"/>
          <w:sz w:val="22"/>
          <w:szCs w:val="22"/>
        </w:rPr>
      </w:pPr>
    </w:p>
    <w:tbl>
      <w:tblPr>
        <w:tblW w:w="967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00"/>
        <w:gridCol w:w="2462"/>
        <w:gridCol w:w="1408"/>
        <w:gridCol w:w="1299"/>
        <w:gridCol w:w="1191"/>
        <w:gridCol w:w="1516"/>
      </w:tblGrid>
      <w:tr w14:paraId="4370115E" w14:textId="77777777" w:rsidTr="008618BB">
        <w:tblPrEx>
          <w:tblW w:w="9676"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7"/>
        </w:trPr>
        <w:tc>
          <w:tcPr>
            <w:tcW w:w="1800" w:type="dxa"/>
            <w:noWrap/>
            <w:vAlign w:val="center"/>
            <w:hideMark/>
          </w:tcPr>
          <w:p w:rsidR="00411EF3" w:rsidP="00DC0106" w14:paraId="1D23CFF6" w14:textId="77777777">
            <w:pPr>
              <w:keepNext/>
              <w:keepLines/>
              <w:autoSpaceDE/>
              <w:adjustRightInd/>
              <w:jc w:val="center"/>
              <w:rPr>
                <w:rFonts w:ascii="Arial Narrow" w:hAnsi="Arial Narrow" w:cs="Calibri"/>
                <w:color w:val="000000"/>
                <w:sz w:val="20"/>
                <w:szCs w:val="20"/>
              </w:rPr>
            </w:pPr>
            <w:r w:rsidRPr="008533C4">
              <w:rPr>
                <w:rFonts w:ascii="Arial Narrow" w:hAnsi="Arial Narrow" w:cs="Calibri"/>
                <w:color w:val="000000"/>
                <w:sz w:val="20"/>
                <w:szCs w:val="20"/>
              </w:rPr>
              <w:t>Descript</w:t>
            </w:r>
            <w:r>
              <w:rPr>
                <w:rFonts w:ascii="Arial Narrow" w:hAnsi="Arial Narrow" w:cs="Calibri"/>
                <w:color w:val="000000"/>
                <w:sz w:val="20"/>
                <w:szCs w:val="20"/>
              </w:rPr>
              <w:t>ion</w:t>
            </w:r>
          </w:p>
        </w:tc>
        <w:tc>
          <w:tcPr>
            <w:tcW w:w="2462" w:type="dxa"/>
            <w:vAlign w:val="center"/>
            <w:hideMark/>
          </w:tcPr>
          <w:p w:rsidR="00411EF3" w:rsidP="00DC0106" w14:paraId="01EDD3F5"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Respondents</w:t>
            </w:r>
          </w:p>
        </w:tc>
        <w:tc>
          <w:tcPr>
            <w:tcW w:w="1408" w:type="dxa"/>
            <w:vAlign w:val="center"/>
            <w:hideMark/>
          </w:tcPr>
          <w:p w:rsidR="00411EF3" w:rsidP="00DC0106" w14:paraId="1BE90B57"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 Responses Per Respondent</w:t>
            </w:r>
          </w:p>
        </w:tc>
        <w:tc>
          <w:tcPr>
            <w:tcW w:w="1299" w:type="dxa"/>
            <w:vAlign w:val="center"/>
            <w:hideMark/>
          </w:tcPr>
          <w:p w:rsidR="00411EF3" w:rsidP="00DC0106" w14:paraId="5664B7F6"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Annual Responses</w:t>
            </w:r>
          </w:p>
        </w:tc>
        <w:tc>
          <w:tcPr>
            <w:tcW w:w="1191" w:type="dxa"/>
            <w:vAlign w:val="center"/>
            <w:hideMark/>
          </w:tcPr>
          <w:p w:rsidR="00411EF3" w:rsidP="00DC0106" w14:paraId="70F2416A"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Hours Per Response</w:t>
            </w:r>
          </w:p>
        </w:tc>
        <w:tc>
          <w:tcPr>
            <w:tcW w:w="1516" w:type="dxa"/>
            <w:vAlign w:val="center"/>
            <w:hideMark/>
          </w:tcPr>
          <w:p w:rsidR="00411EF3" w:rsidP="00DC0106" w14:paraId="18C472AD" w14:textId="77777777">
            <w:pPr>
              <w:keepNext/>
              <w:keepLines/>
              <w:autoSpaceDE/>
              <w:adjustRightInd/>
              <w:jc w:val="center"/>
              <w:rPr>
                <w:rFonts w:ascii="Arial Narrow" w:hAnsi="Arial Narrow" w:cs="Calibri"/>
                <w:color w:val="000000"/>
                <w:sz w:val="20"/>
                <w:szCs w:val="20"/>
              </w:rPr>
            </w:pPr>
            <w:r>
              <w:rPr>
                <w:rFonts w:ascii="Arial Narrow" w:hAnsi="Arial Narrow" w:cs="Calibri"/>
                <w:color w:val="000000"/>
                <w:sz w:val="20"/>
                <w:szCs w:val="20"/>
              </w:rPr>
              <w:t>Total Burden</w:t>
            </w:r>
          </w:p>
        </w:tc>
      </w:tr>
      <w:tr w14:paraId="762EABC4" w14:textId="77777777" w:rsidTr="008618BB">
        <w:tblPrEx>
          <w:tblW w:w="9676" w:type="dxa"/>
          <w:tblInd w:w="715" w:type="dxa"/>
          <w:tblLayout w:type="fixed"/>
          <w:tblLook w:val="04A0"/>
        </w:tblPrEx>
        <w:trPr>
          <w:trHeight w:val="346"/>
        </w:trPr>
        <w:tc>
          <w:tcPr>
            <w:tcW w:w="1800" w:type="dxa"/>
            <w:shd w:val="clear" w:color="auto" w:fill="auto"/>
            <w:vAlign w:val="center"/>
          </w:tcPr>
          <w:p w:rsidR="00411EF3" w:rsidRPr="008533C4" w:rsidP="00411EF3" w14:paraId="5133D0C3" w14:textId="35643DD8">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TD 9704</w:t>
            </w:r>
          </w:p>
        </w:tc>
        <w:tc>
          <w:tcPr>
            <w:tcW w:w="2462" w:type="dxa"/>
            <w:shd w:val="clear" w:color="auto" w:fill="auto"/>
            <w:noWrap/>
            <w:vAlign w:val="center"/>
          </w:tcPr>
          <w:p w:rsidR="00411EF3" w:rsidP="00411EF3" w14:paraId="4BDCBA48" w14:textId="4C553A80">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414</w:t>
            </w:r>
          </w:p>
        </w:tc>
        <w:tc>
          <w:tcPr>
            <w:tcW w:w="1408" w:type="dxa"/>
            <w:shd w:val="clear" w:color="auto" w:fill="auto"/>
            <w:noWrap/>
            <w:vAlign w:val="center"/>
          </w:tcPr>
          <w:p w:rsidR="00411EF3" w:rsidRPr="00C723A3" w:rsidP="00411EF3" w14:paraId="6DE33625" w14:textId="6A744B23">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1</w:t>
            </w:r>
          </w:p>
        </w:tc>
        <w:tc>
          <w:tcPr>
            <w:tcW w:w="1299" w:type="dxa"/>
            <w:shd w:val="clear" w:color="auto" w:fill="auto"/>
            <w:noWrap/>
            <w:vAlign w:val="center"/>
          </w:tcPr>
          <w:p w:rsidR="00411EF3" w:rsidP="00411EF3" w14:paraId="40A1090D" w14:textId="77831685">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414</w:t>
            </w:r>
          </w:p>
        </w:tc>
        <w:tc>
          <w:tcPr>
            <w:tcW w:w="1191" w:type="dxa"/>
            <w:shd w:val="clear" w:color="auto" w:fill="auto"/>
            <w:noWrap/>
            <w:vAlign w:val="center"/>
          </w:tcPr>
          <w:p w:rsidR="00411EF3" w:rsidRPr="00C723A3" w:rsidP="00411EF3" w14:paraId="7CE508DE" w14:textId="02805570">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3 hours to 20 hours (</w:t>
            </w:r>
            <w:r w:rsidR="007509AA">
              <w:rPr>
                <w:rFonts w:ascii="Arial Narrow" w:hAnsi="Arial Narrow" w:cs="Calibri"/>
                <w:color w:val="000000"/>
                <w:sz w:val="20"/>
                <w:szCs w:val="20"/>
              </w:rPr>
              <w:t xml:space="preserve">approx. 6 hours </w:t>
            </w:r>
            <w:r>
              <w:rPr>
                <w:rFonts w:ascii="Arial Narrow" w:hAnsi="Arial Narrow" w:cs="Calibri"/>
                <w:color w:val="000000"/>
                <w:sz w:val="20"/>
                <w:szCs w:val="20"/>
              </w:rPr>
              <w:t>on average</w:t>
            </w:r>
            <w:r w:rsidR="007509AA">
              <w:rPr>
                <w:rFonts w:ascii="Arial Narrow" w:hAnsi="Arial Narrow" w:cs="Calibri"/>
                <w:color w:val="000000"/>
                <w:sz w:val="20"/>
                <w:szCs w:val="20"/>
              </w:rPr>
              <w:t>)</w:t>
            </w:r>
            <w:r>
              <w:rPr>
                <w:rFonts w:ascii="Arial Narrow" w:hAnsi="Arial Narrow" w:cs="Calibri"/>
                <w:color w:val="000000"/>
                <w:sz w:val="20"/>
                <w:szCs w:val="20"/>
              </w:rPr>
              <w:t xml:space="preserve"> </w:t>
            </w:r>
          </w:p>
        </w:tc>
        <w:tc>
          <w:tcPr>
            <w:tcW w:w="1516" w:type="dxa"/>
            <w:shd w:val="clear" w:color="auto" w:fill="auto"/>
            <w:noWrap/>
            <w:vAlign w:val="center"/>
          </w:tcPr>
          <w:p w:rsidR="00411EF3" w:rsidRPr="00C723A3" w:rsidP="00411EF3" w14:paraId="799221FC" w14:textId="485C7FB9">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2471</w:t>
            </w:r>
          </w:p>
        </w:tc>
      </w:tr>
      <w:tr w14:paraId="5B5B6128" w14:textId="77777777" w:rsidTr="008618BB">
        <w:tblPrEx>
          <w:tblW w:w="9676" w:type="dxa"/>
          <w:tblInd w:w="715" w:type="dxa"/>
          <w:tblLayout w:type="fixed"/>
          <w:tblLook w:val="04A0"/>
        </w:tblPrEx>
        <w:trPr>
          <w:trHeight w:val="346"/>
        </w:trPr>
        <w:tc>
          <w:tcPr>
            <w:tcW w:w="1800" w:type="dxa"/>
            <w:shd w:val="clear" w:color="auto" w:fill="auto"/>
            <w:vAlign w:val="center"/>
          </w:tcPr>
          <w:p w:rsidR="00411EF3" w:rsidRPr="00411EF3" w:rsidP="00411EF3" w14:paraId="5E32BFBF" w14:textId="5DE87917">
            <w:pPr>
              <w:keepNext/>
              <w:keepLines/>
              <w:autoSpaceDE/>
              <w:autoSpaceDN/>
              <w:adjustRightInd/>
              <w:jc w:val="center"/>
              <w:rPr>
                <w:rFonts w:ascii="Arial Narrow" w:hAnsi="Arial Narrow" w:cs="Calibri"/>
                <w:b/>
                <w:bCs/>
                <w:color w:val="000000"/>
                <w:sz w:val="20"/>
                <w:szCs w:val="20"/>
              </w:rPr>
            </w:pPr>
            <w:r>
              <w:rPr>
                <w:rFonts w:ascii="Arial Narrow" w:hAnsi="Arial Narrow" w:cs="Calibri"/>
                <w:b/>
                <w:bCs/>
                <w:color w:val="000000"/>
                <w:sz w:val="20"/>
                <w:szCs w:val="20"/>
              </w:rPr>
              <w:t>Total</w:t>
            </w:r>
          </w:p>
        </w:tc>
        <w:tc>
          <w:tcPr>
            <w:tcW w:w="2462" w:type="dxa"/>
            <w:shd w:val="clear" w:color="auto" w:fill="auto"/>
            <w:noWrap/>
            <w:vAlign w:val="center"/>
          </w:tcPr>
          <w:p w:rsidR="00411EF3" w:rsidP="00411EF3" w14:paraId="5BF2EA6C" w14:textId="34E1E933">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414</w:t>
            </w:r>
          </w:p>
        </w:tc>
        <w:tc>
          <w:tcPr>
            <w:tcW w:w="1408" w:type="dxa"/>
            <w:shd w:val="clear" w:color="auto" w:fill="auto"/>
            <w:noWrap/>
            <w:vAlign w:val="center"/>
          </w:tcPr>
          <w:p w:rsidR="00411EF3" w:rsidP="00411EF3" w14:paraId="11182647" w14:textId="77777777">
            <w:pPr>
              <w:keepNext/>
              <w:keepLines/>
              <w:autoSpaceDE/>
              <w:autoSpaceDN/>
              <w:adjustRightInd/>
              <w:jc w:val="center"/>
              <w:rPr>
                <w:rFonts w:ascii="Arial Narrow" w:hAnsi="Arial Narrow" w:cs="Calibri"/>
                <w:color w:val="000000"/>
                <w:sz w:val="20"/>
                <w:szCs w:val="20"/>
              </w:rPr>
            </w:pPr>
          </w:p>
        </w:tc>
        <w:tc>
          <w:tcPr>
            <w:tcW w:w="1299" w:type="dxa"/>
            <w:shd w:val="clear" w:color="auto" w:fill="auto"/>
            <w:noWrap/>
            <w:vAlign w:val="center"/>
          </w:tcPr>
          <w:p w:rsidR="00411EF3" w:rsidP="00411EF3" w14:paraId="66811AA0" w14:textId="5B37E653">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414</w:t>
            </w:r>
          </w:p>
        </w:tc>
        <w:tc>
          <w:tcPr>
            <w:tcW w:w="1191" w:type="dxa"/>
            <w:shd w:val="clear" w:color="auto" w:fill="auto"/>
            <w:noWrap/>
            <w:vAlign w:val="center"/>
          </w:tcPr>
          <w:p w:rsidR="00411EF3" w:rsidP="00411EF3" w14:paraId="01E76C1B" w14:textId="77777777">
            <w:pPr>
              <w:keepNext/>
              <w:keepLines/>
              <w:autoSpaceDE/>
              <w:autoSpaceDN/>
              <w:adjustRightInd/>
              <w:jc w:val="center"/>
              <w:rPr>
                <w:rFonts w:ascii="Arial Narrow" w:hAnsi="Arial Narrow" w:cs="Calibri"/>
                <w:color w:val="000000"/>
                <w:sz w:val="20"/>
                <w:szCs w:val="20"/>
              </w:rPr>
            </w:pPr>
          </w:p>
        </w:tc>
        <w:tc>
          <w:tcPr>
            <w:tcW w:w="1516" w:type="dxa"/>
            <w:shd w:val="clear" w:color="auto" w:fill="auto"/>
            <w:noWrap/>
            <w:vAlign w:val="center"/>
          </w:tcPr>
          <w:p w:rsidR="00411EF3" w:rsidP="00411EF3" w14:paraId="262B0494" w14:textId="7EBB3100">
            <w:pPr>
              <w:keepNext/>
              <w:keepLines/>
              <w:autoSpaceDE/>
              <w:autoSpaceDN/>
              <w:adjustRightInd/>
              <w:jc w:val="center"/>
              <w:rPr>
                <w:rFonts w:ascii="Arial Narrow" w:hAnsi="Arial Narrow" w:cs="Calibri"/>
                <w:color w:val="000000"/>
                <w:sz w:val="20"/>
                <w:szCs w:val="20"/>
              </w:rPr>
            </w:pPr>
            <w:r>
              <w:rPr>
                <w:rFonts w:ascii="Arial Narrow" w:hAnsi="Arial Narrow" w:cs="Calibri"/>
                <w:color w:val="000000"/>
                <w:sz w:val="20"/>
                <w:szCs w:val="20"/>
              </w:rPr>
              <w:t>2471</w:t>
            </w:r>
          </w:p>
        </w:tc>
      </w:tr>
    </w:tbl>
    <w:p w:rsidR="00CB0D14" w:rsidP="00CB0D14" w14:paraId="41901081" w14:textId="77777777">
      <w:pPr>
        <w:pStyle w:val="Level1"/>
        <w:numPr>
          <w:ilvl w:val="0"/>
          <w:numId w:val="0"/>
        </w:numPr>
        <w:tabs>
          <w:tab w:val="left" w:pos="-1440"/>
        </w:tabs>
        <w:ind w:left="720" w:hanging="720"/>
        <w:rPr>
          <w:rFonts w:ascii="Calibri" w:hAnsi="Calibri"/>
          <w:b/>
          <w:sz w:val="22"/>
          <w:szCs w:val="22"/>
          <w:u w:val="single"/>
        </w:rPr>
      </w:pPr>
      <w:r>
        <w:rPr>
          <w:rFonts w:ascii="Calibri" w:hAnsi="Calibri"/>
          <w:sz w:val="22"/>
          <w:szCs w:val="22"/>
        </w:rPr>
        <w:t xml:space="preserve">                   </w:t>
      </w:r>
    </w:p>
    <w:p w:rsidR="007E2EEB" w:rsidRPr="003127E4" w:rsidP="00832AE8" w14:paraId="5D960CB3" w14:textId="77777777">
      <w:pPr>
        <w:rPr>
          <w:rFonts w:ascii="Calibri" w:hAnsi="Calibri"/>
          <w:sz w:val="22"/>
          <w:szCs w:val="22"/>
        </w:rPr>
      </w:pPr>
      <w:r w:rsidRPr="003127E4">
        <w:rPr>
          <w:rFonts w:ascii="Calibri" w:hAnsi="Calibri"/>
          <w:sz w:val="22"/>
          <w:szCs w:val="22"/>
        </w:rPr>
        <w:t xml:space="preserve">                                                         </w:t>
      </w:r>
    </w:p>
    <w:p w:rsidR="007E2EEB" w:rsidRPr="003127E4" w:rsidP="00AF1AEA" w14:paraId="607212FB" w14:textId="77777777">
      <w:pPr>
        <w:pStyle w:val="Level1"/>
        <w:numPr>
          <w:ilvl w:val="0"/>
          <w:numId w:val="4"/>
        </w:numPr>
        <w:tabs>
          <w:tab w:val="left" w:pos="-1440"/>
        </w:tabs>
        <w:rPr>
          <w:rFonts w:ascii="Calibri" w:hAnsi="Calibri"/>
          <w:b/>
          <w:sz w:val="22"/>
          <w:szCs w:val="22"/>
        </w:rPr>
      </w:pPr>
      <w:r w:rsidRPr="003127E4">
        <w:rPr>
          <w:rFonts w:ascii="Calibri" w:hAnsi="Calibri"/>
          <w:b/>
          <w:sz w:val="22"/>
          <w:szCs w:val="22"/>
          <w:u w:val="single"/>
        </w:rPr>
        <w:t>ESTIMATED TOTAL ANNUAL COST BURDEN TO RESPONDENTS</w:t>
      </w:r>
    </w:p>
    <w:p w:rsidR="007E2EEB" w:rsidRPr="003127E4" w14:paraId="134F0CDD" w14:textId="77777777">
      <w:pPr>
        <w:rPr>
          <w:rFonts w:ascii="Calibri" w:hAnsi="Calibri"/>
          <w:b/>
          <w:sz w:val="22"/>
          <w:szCs w:val="22"/>
        </w:rPr>
      </w:pPr>
    </w:p>
    <w:p w:rsidR="00F26675" w:rsidP="00F26675" w14:paraId="5AAD406B" w14:textId="77777777">
      <w:pPr>
        <w:ind w:left="720"/>
        <w:rPr>
          <w:rFonts w:ascii="Calibri" w:hAnsi="Calibri"/>
          <w:sz w:val="22"/>
          <w:szCs w:val="22"/>
        </w:rPr>
      </w:pPr>
      <w:bookmarkStart w:id="3" w:name="_Hlk31371832"/>
      <w:r w:rsidRPr="00F26675">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bookmarkEnd w:id="3"/>
    <w:p w:rsidR="00D46069" w:rsidRPr="003127E4" w:rsidP="00F26675" w14:paraId="438D234F" w14:textId="77777777">
      <w:pPr>
        <w:ind w:left="720"/>
        <w:rPr>
          <w:rFonts w:ascii="Calibri" w:hAnsi="Calibri"/>
          <w:sz w:val="22"/>
          <w:szCs w:val="22"/>
        </w:rPr>
      </w:pPr>
    </w:p>
    <w:p w:rsidR="007E2EEB" w:rsidP="00242885" w14:paraId="189070C2" w14:textId="77777777">
      <w:pPr>
        <w:numPr>
          <w:ilvl w:val="0"/>
          <w:numId w:val="4"/>
        </w:numPr>
        <w:tabs>
          <w:tab w:val="left" w:pos="-1440"/>
        </w:tabs>
        <w:rPr>
          <w:rFonts w:ascii="Calibri" w:hAnsi="Calibri"/>
          <w:b/>
          <w:sz w:val="22"/>
          <w:szCs w:val="22"/>
          <w:u w:val="single"/>
        </w:rPr>
      </w:pPr>
      <w:r w:rsidRPr="00B5635A">
        <w:rPr>
          <w:rFonts w:ascii="Calibri" w:hAnsi="Calibri"/>
          <w:b/>
          <w:sz w:val="22"/>
          <w:szCs w:val="22"/>
          <w:u w:val="single"/>
        </w:rPr>
        <w:t>ESTIMATED ANNUALIZED</w:t>
      </w:r>
      <w:r w:rsidRPr="003127E4">
        <w:rPr>
          <w:rFonts w:ascii="Calibri" w:hAnsi="Calibri"/>
          <w:b/>
          <w:sz w:val="22"/>
          <w:szCs w:val="22"/>
          <w:u w:val="single"/>
        </w:rPr>
        <w:t xml:space="preserve"> COST TO THE FEDERAL GOVERNMENT</w:t>
      </w:r>
    </w:p>
    <w:p w:rsidR="00242885" w:rsidP="00242885" w14:paraId="78427AE5" w14:textId="77777777">
      <w:pPr>
        <w:tabs>
          <w:tab w:val="left" w:pos="-1440"/>
        </w:tabs>
        <w:rPr>
          <w:rFonts w:ascii="Calibri" w:hAnsi="Calibri"/>
          <w:b/>
          <w:sz w:val="22"/>
          <w:szCs w:val="22"/>
          <w:u w:val="single"/>
        </w:rPr>
      </w:pPr>
    </w:p>
    <w:p w:rsidR="00832AE8" w:rsidRPr="00832AE8" w:rsidP="00832AE8" w14:paraId="29719AC7" w14:textId="77777777">
      <w:pPr>
        <w:ind w:left="720"/>
        <w:rPr>
          <w:rFonts w:ascii="Calibri" w:hAnsi="Calibri"/>
          <w:sz w:val="22"/>
          <w:szCs w:val="22"/>
        </w:rPr>
      </w:pPr>
      <w:r w:rsidRPr="00036EC2">
        <w:rPr>
          <w:rFonts w:ascii="Calibri" w:hAnsi="Calibri"/>
          <w:sz w:val="22"/>
          <w:szCs w:val="22"/>
        </w:rPr>
        <w:t>To ensure more accuracy and consistency across its information collections, IRS is currently in the process of revising the methodology it uses to estimate burden and costs. Once this methodology is complete, IRS will update this information collection to reflect a more precise estimate of burden and costs.</w:t>
      </w:r>
    </w:p>
    <w:p w:rsidR="007E2EEB" w:rsidRPr="003127E4" w:rsidP="00242885" w14:paraId="064B9A3D" w14:textId="77777777">
      <w:pPr>
        <w:tabs>
          <w:tab w:val="left" w:pos="-1440"/>
        </w:tabs>
        <w:rPr>
          <w:rFonts w:ascii="Calibri" w:hAnsi="Calibri"/>
          <w:sz w:val="22"/>
          <w:szCs w:val="22"/>
        </w:rPr>
      </w:pPr>
      <w:r>
        <w:rPr>
          <w:rFonts w:ascii="Calibri" w:hAnsi="Calibri"/>
          <w:sz w:val="22"/>
          <w:szCs w:val="22"/>
        </w:rPr>
        <w:t xml:space="preserve"> </w:t>
      </w:r>
    </w:p>
    <w:p w:rsidR="007E2EEB" w:rsidRPr="003127E4" w14:paraId="1D68D6C0" w14:textId="77777777">
      <w:pPr>
        <w:pStyle w:val="Level1"/>
        <w:tabs>
          <w:tab w:val="left" w:pos="-1440"/>
          <w:tab w:val="num" w:pos="720"/>
        </w:tabs>
        <w:rPr>
          <w:rFonts w:ascii="Calibri" w:hAnsi="Calibri"/>
          <w:b/>
          <w:sz w:val="22"/>
          <w:szCs w:val="22"/>
        </w:rPr>
      </w:pPr>
      <w:r w:rsidRPr="00CB0D14">
        <w:rPr>
          <w:rFonts w:ascii="Calibri" w:hAnsi="Calibri"/>
          <w:b/>
          <w:sz w:val="22"/>
          <w:szCs w:val="22"/>
          <w:u w:val="single"/>
        </w:rPr>
        <w:t>REAS</w:t>
      </w:r>
      <w:r w:rsidRPr="003127E4">
        <w:rPr>
          <w:rFonts w:ascii="Calibri" w:hAnsi="Calibri"/>
          <w:b/>
          <w:sz w:val="22"/>
          <w:szCs w:val="22"/>
          <w:u w:val="single"/>
        </w:rPr>
        <w:t>ONS FOR CHANGE IN BURDEN</w:t>
      </w:r>
    </w:p>
    <w:p w:rsidR="007E2EEB" w14:paraId="5A034D41" w14:textId="77777777">
      <w:pPr>
        <w:rPr>
          <w:rFonts w:ascii="Calibri" w:hAnsi="Calibri"/>
          <w:sz w:val="22"/>
          <w:szCs w:val="22"/>
        </w:rPr>
      </w:pPr>
    </w:p>
    <w:p w:rsidR="006971E1" w:rsidRPr="003127E4" w:rsidP="006971E1" w14:paraId="4BB797B8" w14:textId="77777777">
      <w:pPr>
        <w:ind w:left="720"/>
        <w:rPr>
          <w:rFonts w:ascii="Calibri" w:hAnsi="Calibri"/>
          <w:sz w:val="22"/>
          <w:szCs w:val="22"/>
        </w:rPr>
      </w:pPr>
      <w:r w:rsidRPr="00242885">
        <w:rPr>
          <w:rFonts w:ascii="Calibri" w:hAnsi="Calibri"/>
          <w:sz w:val="22"/>
          <w:szCs w:val="22"/>
        </w:rPr>
        <w:t xml:space="preserve">There is no change in the paperwork burden previously approved by OMB.  </w:t>
      </w:r>
      <w:r>
        <w:rPr>
          <w:rFonts w:ascii="Calibri" w:hAnsi="Calibri"/>
          <w:sz w:val="22"/>
          <w:szCs w:val="22"/>
        </w:rPr>
        <w:t>The agency is</w:t>
      </w:r>
      <w:r w:rsidRPr="00242885">
        <w:rPr>
          <w:rFonts w:ascii="Calibri" w:hAnsi="Calibri"/>
          <w:sz w:val="22"/>
          <w:szCs w:val="22"/>
        </w:rPr>
        <w:t xml:space="preserve"> making this submission to renew the OMB approval.</w:t>
      </w:r>
      <w:r w:rsidRPr="000F3A8B" w:rsidR="000F3A8B">
        <w:rPr>
          <w:rFonts w:ascii="Calibri" w:hAnsi="Calibri"/>
          <w:sz w:val="22"/>
          <w:szCs w:val="22"/>
        </w:rPr>
        <w:t xml:space="preserve">          </w:t>
      </w:r>
      <w:r w:rsidR="00DE00E7">
        <w:rPr>
          <w:rFonts w:ascii="Calibri" w:hAnsi="Calibri"/>
          <w:sz w:val="22"/>
          <w:szCs w:val="22"/>
        </w:rPr>
        <w:t xml:space="preserve"> </w:t>
      </w:r>
    </w:p>
    <w:p w:rsidR="00CB0D14" w:rsidP="00CB0D14" w14:paraId="5D445744" w14:textId="77777777">
      <w:pPr>
        <w:ind w:left="720"/>
        <w:rPr>
          <w:rFonts w:ascii="Calibri" w:hAnsi="Calibri"/>
          <w:sz w:val="22"/>
          <w:szCs w:val="22"/>
        </w:rPr>
      </w:pPr>
    </w:p>
    <w:p w:rsidR="007E2EEB" w:rsidRPr="003127E4" w:rsidP="006971E1" w14:paraId="21D4BB59" w14:textId="77777777">
      <w:pPr>
        <w:rPr>
          <w:rFonts w:ascii="Calibri" w:hAnsi="Calibri"/>
          <w:b/>
          <w:sz w:val="22"/>
          <w:szCs w:val="22"/>
        </w:rPr>
      </w:pPr>
      <w:r w:rsidRPr="006971E1">
        <w:rPr>
          <w:rFonts w:ascii="Calibri" w:hAnsi="Calibri"/>
          <w:b/>
          <w:sz w:val="22"/>
          <w:szCs w:val="22"/>
        </w:rPr>
        <w:t>16</w:t>
      </w: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3127E4">
        <w:rPr>
          <w:rFonts w:ascii="Calibri" w:hAnsi="Calibri"/>
          <w:b/>
          <w:sz w:val="22"/>
          <w:szCs w:val="22"/>
          <w:u w:val="single"/>
        </w:rPr>
        <w:t>PLANS FOR TABULATION, STATISTICAL ANALYSIS AND PUBLICATION</w:t>
      </w:r>
    </w:p>
    <w:p w:rsidR="007E2EEB" w:rsidRPr="003127E4" w14:paraId="79241188" w14:textId="77777777">
      <w:pPr>
        <w:rPr>
          <w:rFonts w:ascii="Calibri" w:hAnsi="Calibri"/>
          <w:sz w:val="22"/>
          <w:szCs w:val="22"/>
        </w:rPr>
      </w:pPr>
    </w:p>
    <w:p w:rsidR="00D46069" w:rsidP="006971E1" w14:paraId="77C18431" w14:textId="77777777">
      <w:pPr>
        <w:rPr>
          <w:rFonts w:ascii="Calibri" w:hAnsi="Calibri" w:cs="Calibri"/>
          <w:sz w:val="22"/>
          <w:szCs w:val="22"/>
        </w:rPr>
      </w:pPr>
      <w:r>
        <w:rPr>
          <w:rFonts w:ascii="Calibri" w:hAnsi="Calibri" w:cs="Calibri"/>
          <w:sz w:val="22"/>
          <w:szCs w:val="22"/>
        </w:rPr>
        <w:t xml:space="preserve">       </w:t>
      </w:r>
      <w:r w:rsidR="00242885">
        <w:rPr>
          <w:rFonts w:ascii="Calibri" w:hAnsi="Calibri" w:cs="Calibri"/>
          <w:sz w:val="22"/>
          <w:szCs w:val="22"/>
        </w:rPr>
        <w:t xml:space="preserve">        </w:t>
      </w:r>
      <w:r w:rsidRPr="002A31A5">
        <w:rPr>
          <w:rFonts w:ascii="Calibri" w:hAnsi="Calibri" w:cs="Calibri"/>
          <w:sz w:val="22"/>
          <w:szCs w:val="22"/>
        </w:rPr>
        <w:t>There are no plans for tabulation, statistical analysis, and publication.</w:t>
      </w:r>
    </w:p>
    <w:p w:rsidR="006971E1" w:rsidP="006971E1" w14:paraId="55F93A52" w14:textId="77777777">
      <w:pPr>
        <w:rPr>
          <w:rFonts w:ascii="Calibri" w:hAnsi="Calibri" w:cs="Calibri"/>
          <w:sz w:val="22"/>
          <w:szCs w:val="22"/>
        </w:rPr>
      </w:pPr>
    </w:p>
    <w:p w:rsidR="006971E1" w:rsidRPr="003127E4" w:rsidP="00D60DD4" w14:paraId="553F32A1" w14:textId="77777777">
      <w:pPr>
        <w:rPr>
          <w:rFonts w:ascii="Calibri" w:hAnsi="Calibri"/>
          <w:b/>
          <w:sz w:val="22"/>
          <w:szCs w:val="22"/>
        </w:rPr>
      </w:pPr>
      <w:r w:rsidRPr="00D60DD4">
        <w:rPr>
          <w:rFonts w:ascii="Calibri" w:hAnsi="Calibri" w:cs="Calibri"/>
          <w:b/>
          <w:sz w:val="22"/>
          <w:szCs w:val="22"/>
        </w:rPr>
        <w:t>17.</w:t>
      </w:r>
      <w:r w:rsidR="00242885">
        <w:rPr>
          <w:rFonts w:ascii="Calibri" w:hAnsi="Calibri" w:cs="Calibri"/>
          <w:b/>
          <w:sz w:val="22"/>
          <w:szCs w:val="22"/>
        </w:rPr>
        <w:t xml:space="preserve">      </w:t>
      </w:r>
      <w:r>
        <w:rPr>
          <w:rFonts w:ascii="Calibri" w:hAnsi="Calibri" w:cs="Calibri"/>
          <w:sz w:val="22"/>
          <w:szCs w:val="22"/>
        </w:rPr>
        <w:t xml:space="preserve">  </w:t>
      </w:r>
      <w:r>
        <w:rPr>
          <w:rFonts w:ascii="Calibri" w:hAnsi="Calibri"/>
          <w:b/>
          <w:sz w:val="22"/>
          <w:szCs w:val="22"/>
          <w:u w:val="single"/>
        </w:rPr>
        <w:t xml:space="preserve"> </w:t>
      </w:r>
      <w:r w:rsidRPr="003127E4">
        <w:rPr>
          <w:rFonts w:ascii="Calibri" w:hAnsi="Calibri"/>
          <w:b/>
          <w:sz w:val="22"/>
          <w:szCs w:val="22"/>
          <w:u w:val="single"/>
        </w:rPr>
        <w:t>REASONS WHY DISPLAYING THE OMB EXPIRATION DATE IS INAPPROPRIATE</w:t>
      </w:r>
      <w:r>
        <w:rPr>
          <w:rFonts w:ascii="Calibri" w:hAnsi="Calibri"/>
          <w:b/>
          <w:sz w:val="22"/>
          <w:szCs w:val="22"/>
          <w:u w:val="single"/>
        </w:rPr>
        <w:t xml:space="preserve">  </w:t>
      </w:r>
    </w:p>
    <w:p w:rsidR="006971E1" w:rsidRPr="003127E4" w:rsidP="006971E1" w14:paraId="74863855" w14:textId="77777777">
      <w:pPr>
        <w:rPr>
          <w:rFonts w:ascii="Calibri" w:hAnsi="Calibri"/>
          <w:sz w:val="22"/>
          <w:szCs w:val="22"/>
        </w:rPr>
      </w:pPr>
    </w:p>
    <w:p w:rsidR="00D60DD4" w:rsidP="00242885" w14:paraId="5C2BF9A8" w14:textId="77777777">
      <w:pPr>
        <w:ind w:left="360"/>
        <w:rPr>
          <w:rFonts w:ascii="Calibri" w:hAnsi="Calibri"/>
          <w:sz w:val="22"/>
          <w:szCs w:val="22"/>
        </w:rPr>
      </w:pPr>
      <w:r>
        <w:rPr>
          <w:rFonts w:ascii="Calibri" w:hAnsi="Calibri"/>
          <w:sz w:val="22"/>
          <w:szCs w:val="22"/>
        </w:rPr>
        <w:t xml:space="preserve">        </w:t>
      </w:r>
      <w:r w:rsidR="006971E1">
        <w:rPr>
          <w:rFonts w:ascii="Calibri" w:hAnsi="Calibri"/>
          <w:sz w:val="22"/>
          <w:szCs w:val="22"/>
        </w:rPr>
        <w:t>The IRS</w:t>
      </w:r>
      <w:r w:rsidRPr="003127E4" w:rsidR="006971E1">
        <w:rPr>
          <w:rFonts w:ascii="Calibri" w:hAnsi="Calibri"/>
          <w:sz w:val="22"/>
          <w:szCs w:val="22"/>
        </w:rPr>
        <w:t xml:space="preserve"> believe</w:t>
      </w:r>
      <w:r w:rsidR="006971E1">
        <w:rPr>
          <w:rFonts w:ascii="Calibri" w:hAnsi="Calibri"/>
          <w:sz w:val="22"/>
          <w:szCs w:val="22"/>
        </w:rPr>
        <w:t>s</w:t>
      </w:r>
      <w:r w:rsidRPr="003127E4" w:rsidR="006971E1">
        <w:rPr>
          <w:rFonts w:ascii="Calibri" w:hAnsi="Calibri"/>
          <w:sz w:val="22"/>
          <w:szCs w:val="22"/>
        </w:rPr>
        <w:t xml:space="preserve"> that displaying the OMB expiration date is inappropriate because it could </w:t>
      </w:r>
      <w:r w:rsidRPr="003127E4" w:rsidR="006971E1">
        <w:rPr>
          <w:rFonts w:ascii="Calibri" w:hAnsi="Calibri"/>
          <w:sz w:val="22"/>
          <w:szCs w:val="22"/>
        </w:rPr>
        <w:t>cause</w:t>
      </w:r>
      <w:r w:rsidRPr="003127E4" w:rsidR="006971E1">
        <w:rPr>
          <w:rFonts w:ascii="Calibri" w:hAnsi="Calibri"/>
          <w:sz w:val="22"/>
          <w:szCs w:val="22"/>
        </w:rPr>
        <w:t xml:space="preserve"> </w:t>
      </w:r>
    </w:p>
    <w:p w:rsidR="00D60DD4" w:rsidP="00242885" w14:paraId="1E1587B6" w14:textId="77777777">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confusion by leading taxpayers to believe that the </w:t>
      </w:r>
      <w:r w:rsidR="00A64D3A">
        <w:rPr>
          <w:rFonts w:ascii="Calibri" w:hAnsi="Calibri"/>
          <w:sz w:val="22"/>
          <w:szCs w:val="22"/>
        </w:rPr>
        <w:t>form</w:t>
      </w:r>
      <w:r w:rsidRPr="003127E4" w:rsidR="00A64D3A">
        <w:rPr>
          <w:rFonts w:ascii="Calibri" w:hAnsi="Calibri"/>
          <w:sz w:val="22"/>
          <w:szCs w:val="22"/>
        </w:rPr>
        <w:t xml:space="preserve"> </w:t>
      </w:r>
      <w:r w:rsidRPr="003127E4" w:rsidR="006971E1">
        <w:rPr>
          <w:rFonts w:ascii="Calibri" w:hAnsi="Calibri"/>
          <w:sz w:val="22"/>
          <w:szCs w:val="22"/>
        </w:rPr>
        <w:t xml:space="preserve">sunsets as of the expiration date.  </w:t>
      </w:r>
    </w:p>
    <w:p w:rsidR="00D60DD4" w:rsidP="00242885" w14:paraId="3B041740" w14:textId="45A0DDEC">
      <w:pPr>
        <w:ind w:left="360"/>
        <w:rPr>
          <w:rFonts w:ascii="Calibri" w:hAnsi="Calibri"/>
          <w:sz w:val="22"/>
          <w:szCs w:val="22"/>
        </w:rPr>
      </w:pPr>
      <w:r>
        <w:rPr>
          <w:rFonts w:ascii="Calibri" w:hAnsi="Calibri"/>
          <w:sz w:val="22"/>
          <w:szCs w:val="22"/>
        </w:rPr>
        <w:t xml:space="preserve">        </w:t>
      </w:r>
      <w:r w:rsidRPr="003127E4" w:rsidR="006971E1">
        <w:rPr>
          <w:rFonts w:ascii="Calibri" w:hAnsi="Calibri"/>
          <w:sz w:val="22"/>
          <w:szCs w:val="22"/>
        </w:rPr>
        <w:t xml:space="preserve">Taxpayers are not likely to be aware that the </w:t>
      </w:r>
      <w:r w:rsidR="009F1842">
        <w:rPr>
          <w:rFonts w:ascii="Calibri" w:hAnsi="Calibri"/>
          <w:sz w:val="22"/>
          <w:szCs w:val="22"/>
        </w:rPr>
        <w:t>IRS</w:t>
      </w:r>
      <w:r w:rsidRPr="003127E4" w:rsidR="009F1842">
        <w:rPr>
          <w:rFonts w:ascii="Calibri" w:hAnsi="Calibri"/>
          <w:sz w:val="22"/>
          <w:szCs w:val="22"/>
        </w:rPr>
        <w:t xml:space="preserve"> </w:t>
      </w:r>
      <w:r w:rsidRPr="003127E4" w:rsidR="006971E1">
        <w:rPr>
          <w:rFonts w:ascii="Calibri" w:hAnsi="Calibri"/>
          <w:sz w:val="22"/>
          <w:szCs w:val="22"/>
        </w:rPr>
        <w:t xml:space="preserve">intends to request renewal of the </w:t>
      </w:r>
      <w:r w:rsidRPr="003127E4" w:rsidR="006971E1">
        <w:rPr>
          <w:rFonts w:ascii="Calibri" w:hAnsi="Calibri"/>
          <w:sz w:val="22"/>
          <w:szCs w:val="22"/>
        </w:rPr>
        <w:t>OMB</w:t>
      </w:r>
      <w:r w:rsidRPr="003127E4" w:rsidR="006971E1">
        <w:rPr>
          <w:rFonts w:ascii="Calibri" w:hAnsi="Calibri"/>
          <w:sz w:val="22"/>
          <w:szCs w:val="22"/>
        </w:rPr>
        <w:t xml:space="preserve"> </w:t>
      </w:r>
      <w:r>
        <w:rPr>
          <w:rFonts w:ascii="Calibri" w:hAnsi="Calibri"/>
          <w:sz w:val="22"/>
          <w:szCs w:val="22"/>
        </w:rPr>
        <w:t xml:space="preserve"> </w:t>
      </w:r>
    </w:p>
    <w:p w:rsidR="006971E1" w:rsidP="00242885" w14:paraId="26FCCCB1" w14:textId="77777777">
      <w:pPr>
        <w:ind w:left="360"/>
        <w:rPr>
          <w:rFonts w:ascii="Calibri" w:hAnsi="Calibri"/>
          <w:sz w:val="22"/>
          <w:szCs w:val="22"/>
        </w:rPr>
      </w:pPr>
      <w:r>
        <w:rPr>
          <w:rFonts w:ascii="Calibri" w:hAnsi="Calibri"/>
          <w:sz w:val="22"/>
          <w:szCs w:val="22"/>
        </w:rPr>
        <w:t xml:space="preserve">        </w:t>
      </w:r>
      <w:r w:rsidRPr="003127E4">
        <w:rPr>
          <w:rFonts w:ascii="Calibri" w:hAnsi="Calibri"/>
          <w:sz w:val="22"/>
          <w:szCs w:val="22"/>
        </w:rPr>
        <w:t>approval and obtain a new expiration date before the old one expires.</w:t>
      </w:r>
    </w:p>
    <w:p w:rsidR="00D60DD4" w:rsidRPr="003127E4" w:rsidP="006971E1" w14:paraId="4B455EFE" w14:textId="77777777">
      <w:pPr>
        <w:ind w:left="720"/>
        <w:rPr>
          <w:rFonts w:ascii="Calibri" w:hAnsi="Calibri"/>
          <w:sz w:val="22"/>
          <w:szCs w:val="22"/>
        </w:rPr>
      </w:pPr>
    </w:p>
    <w:p w:rsidR="007E2EEB" w:rsidRPr="003127E4" w:rsidP="00D60DD4" w14:paraId="3F5A150F" w14:textId="77777777">
      <w:pPr>
        <w:rPr>
          <w:rFonts w:ascii="Calibri" w:hAnsi="Calibri"/>
          <w:b/>
          <w:sz w:val="22"/>
          <w:szCs w:val="22"/>
        </w:rPr>
      </w:pPr>
      <w:r>
        <w:rPr>
          <w:rFonts w:ascii="Calibri" w:hAnsi="Calibri" w:cs="Calibri"/>
          <w:sz w:val="22"/>
          <w:szCs w:val="22"/>
        </w:rPr>
        <w:t xml:space="preserve">18. </w:t>
      </w:r>
      <w:r w:rsidR="00242885">
        <w:rPr>
          <w:rFonts w:ascii="Calibri" w:hAnsi="Calibri" w:cs="Calibri"/>
          <w:sz w:val="22"/>
          <w:szCs w:val="22"/>
        </w:rPr>
        <w:t xml:space="preserve">       </w:t>
      </w:r>
      <w:r w:rsidR="006971E1">
        <w:rPr>
          <w:rFonts w:ascii="Calibri" w:hAnsi="Calibri"/>
          <w:b/>
          <w:sz w:val="22"/>
          <w:szCs w:val="22"/>
          <w:u w:val="single"/>
        </w:rPr>
        <w:t xml:space="preserve"> </w:t>
      </w:r>
      <w:r w:rsidRPr="003127E4">
        <w:rPr>
          <w:rFonts w:ascii="Calibri" w:hAnsi="Calibri"/>
          <w:b/>
          <w:sz w:val="22"/>
          <w:szCs w:val="22"/>
          <w:u w:val="single"/>
        </w:rPr>
        <w:t>EXCEPTIONS TO THE CERTIFICATION STATEMENT</w:t>
      </w:r>
    </w:p>
    <w:p w:rsidR="007E2EEB" w:rsidRPr="003127E4" w14:paraId="7DE6B1AB" w14:textId="77777777">
      <w:pPr>
        <w:rPr>
          <w:rFonts w:ascii="Calibri" w:hAnsi="Calibri"/>
          <w:b/>
          <w:sz w:val="22"/>
          <w:szCs w:val="22"/>
        </w:rPr>
      </w:pPr>
    </w:p>
    <w:p w:rsidR="007E2EEB" w:rsidP="006C2B4A" w14:paraId="163AE96E" w14:textId="77777777">
      <w:pPr>
        <w:rPr>
          <w:rFonts w:ascii="Calibri" w:hAnsi="Calibri"/>
          <w:sz w:val="22"/>
          <w:szCs w:val="22"/>
        </w:rPr>
      </w:pPr>
      <w:r>
        <w:rPr>
          <w:rFonts w:ascii="Calibri" w:hAnsi="Calibri"/>
          <w:sz w:val="22"/>
          <w:szCs w:val="22"/>
        </w:rPr>
        <w:t xml:space="preserve">       </w:t>
      </w:r>
      <w:r w:rsidR="00242885">
        <w:rPr>
          <w:rFonts w:ascii="Calibri" w:hAnsi="Calibri"/>
          <w:sz w:val="22"/>
          <w:szCs w:val="22"/>
        </w:rPr>
        <w:t xml:space="preserve">      </w:t>
      </w:r>
      <w:r>
        <w:rPr>
          <w:rFonts w:ascii="Calibri" w:hAnsi="Calibri"/>
          <w:sz w:val="22"/>
          <w:szCs w:val="22"/>
        </w:rPr>
        <w:t xml:space="preserve"> </w:t>
      </w:r>
      <w:r w:rsidRPr="00801A34" w:rsidR="00801A34">
        <w:rPr>
          <w:rFonts w:ascii="Calibri" w:hAnsi="Calibri"/>
          <w:sz w:val="22"/>
          <w:szCs w:val="22"/>
        </w:rPr>
        <w:t>There are no exceptions to the certification statement.</w:t>
      </w:r>
    </w:p>
    <w:p w:rsidR="005C66C6" w14:paraId="6D19E19F" w14:textId="77777777">
      <w:pPr>
        <w:rPr>
          <w:rFonts w:ascii="Calibri" w:hAnsi="Calibri"/>
          <w:sz w:val="22"/>
          <w:szCs w:val="22"/>
        </w:rPr>
      </w:pPr>
    </w:p>
    <w:p w:rsidR="007E2EEB" w:rsidRPr="003127E4" w:rsidP="009F1842" w14:paraId="14F1879A" w14:textId="77777777">
      <w:pPr>
        <w:ind w:left="720"/>
        <w:rPr>
          <w:rFonts w:ascii="Calibri" w:hAnsi="Calibri"/>
          <w:sz w:val="22"/>
          <w:szCs w:val="22"/>
        </w:rPr>
      </w:pPr>
      <w:r w:rsidRPr="003127E4">
        <w:rPr>
          <w:rFonts w:ascii="Calibri" w:hAnsi="Calibri"/>
          <w:b/>
          <w:sz w:val="22"/>
          <w:szCs w:val="22"/>
          <w:u w:val="single"/>
        </w:rPr>
        <w:t>Note:</w:t>
      </w:r>
      <w:r w:rsidRPr="003127E4">
        <w:rPr>
          <w:rFonts w:ascii="Calibri" w:hAnsi="Calibri"/>
          <w:sz w:val="22"/>
          <w:szCs w:val="22"/>
        </w:rPr>
        <w:t xml:space="preserve">   The following paragraph applies to </w:t>
      </w:r>
      <w:r w:rsidRPr="003127E4">
        <w:rPr>
          <w:rFonts w:ascii="Calibri" w:hAnsi="Calibri"/>
          <w:sz w:val="22"/>
          <w:szCs w:val="22"/>
        </w:rPr>
        <w:t>all of</w:t>
      </w:r>
      <w:r w:rsidRPr="003127E4">
        <w:rPr>
          <w:rFonts w:ascii="Calibri" w:hAnsi="Calibri"/>
          <w:sz w:val="22"/>
          <w:szCs w:val="22"/>
        </w:rPr>
        <w:t xml:space="preserve"> the collections of information in this submission:</w:t>
      </w:r>
    </w:p>
    <w:p w:rsidR="007E2EEB" w:rsidRPr="003127E4" w14:paraId="10EBD5B9" w14:textId="77777777">
      <w:pPr>
        <w:rPr>
          <w:rFonts w:ascii="Calibri" w:hAnsi="Calibri"/>
          <w:sz w:val="22"/>
          <w:szCs w:val="22"/>
        </w:rPr>
      </w:pPr>
    </w:p>
    <w:p w:rsidR="007E2EEB" w:rsidRPr="003127E4" w14:paraId="4272C537" w14:textId="77777777">
      <w:pPr>
        <w:rPr>
          <w:rFonts w:ascii="Calibri" w:hAnsi="Calibri"/>
          <w:sz w:val="22"/>
          <w:szCs w:val="22"/>
        </w:rPr>
        <w:sectPr w:rsidSect="005C66C6">
          <w:headerReference w:type="default" r:id="rId5"/>
          <w:type w:val="continuous"/>
          <w:pgSz w:w="12240" w:h="15840"/>
          <w:pgMar w:top="1440" w:right="1440" w:bottom="864" w:left="1440" w:header="1440" w:footer="1440" w:gutter="0"/>
          <w:cols w:space="720"/>
          <w:noEndnote/>
        </w:sectPr>
      </w:pPr>
    </w:p>
    <w:p w:rsidR="007E2EEB" w:rsidRPr="003127E4" w:rsidP="006971E1" w14:paraId="4804B2DC" w14:textId="77777777">
      <w:pPr>
        <w:ind w:left="720"/>
        <w:rPr>
          <w:rFonts w:ascii="Calibri" w:hAnsi="Calibri"/>
          <w:sz w:val="22"/>
          <w:szCs w:val="22"/>
        </w:rPr>
      </w:pPr>
      <w:r w:rsidRPr="003127E4">
        <w:rPr>
          <w:rFonts w:ascii="Calibri" w:hAnsi="Calibri"/>
          <w:sz w:val="22"/>
          <w:szCs w:val="22"/>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3127E4">
        <w:rPr>
          <w:rFonts w:ascii="Calibri" w:hAnsi="Calibri"/>
          <w:sz w:val="22"/>
          <w:szCs w:val="22"/>
        </w:rPr>
        <w:t>as long as</w:t>
      </w:r>
      <w:r w:rsidRPr="003127E4">
        <w:rPr>
          <w:rFonts w:ascii="Calibri" w:hAnsi="Calibri"/>
          <w:sz w:val="22"/>
          <w:szCs w:val="22"/>
        </w:rPr>
        <w:t xml:space="preserve"> their contents may become material in the administration of any internal revenue law.  Generally, tax returns and tax return information are confidential, as required by 26 U.S.C. 6103.</w:t>
      </w:r>
    </w:p>
    <w:sectPr w:rsidSect="005C66C6">
      <w:type w:val="continuous"/>
      <w:pgSz w:w="12240" w:h="15840"/>
      <w:pgMar w:top="1440" w:right="1440" w:bottom="864"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or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Berylium">
    <w:altName w:val="Times New Roman"/>
    <w:charset w:val="00"/>
    <w:family w:val="auto"/>
    <w:pitch w:val="variable"/>
    <w:sig w:usb0="00000001" w:usb1="0000004A" w:usb2="00000000" w:usb3="00000000" w:csb0="00000193"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66C6" w14:paraId="0CE93958" w14:textId="561511DA">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5D3921">
      <w:rPr>
        <w:rFonts w:cs="Courier"/>
        <w:b/>
        <w:bCs/>
        <w:noProof/>
      </w:rPr>
      <w:t>2</w:t>
    </w:r>
    <w:r>
      <w:rPr>
        <w:rFonts w:cs="Courier"/>
        <w:b/>
        <w:bCs/>
      </w:rPr>
      <w:fldChar w:fldCharType="end"/>
    </w:r>
  </w:p>
  <w:p w:rsidR="005C66C6" w14:paraId="6A499838" w14:textId="77777777"/>
  <w:p w:rsidR="005C66C6" w14:paraId="24617F7A" w14:textId="77777777">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BCF7698B"/>
    <w:multiLevelType w:val="hybridMultilevel"/>
    <w:tmpl w:val="2378F874"/>
    <w:lvl w:ilvl="0">
      <w:start w:val="1"/>
      <w:numFmt w:val="decimal"/>
      <w:lvlJc w:val="left"/>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0000001"/>
    <w:multiLevelType w:val="multilevel"/>
    <w:tmpl w:val="00000000"/>
    <w:name w:val="AutoList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2">
    <w:nsid w:val="00000002"/>
    <w:multiLevelType w:val="multilevel"/>
    <w:tmpl w:val="00000000"/>
    <w:name w:val="AutoList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3">
    <w:nsid w:val="00000003"/>
    <w:multiLevelType w:val="multilevel"/>
    <w:tmpl w:val="00000000"/>
    <w:name w:val="AutoList3"/>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0"/>
      <w:numFmt w:val="decimal"/>
      <w:lvlJc w:val="left"/>
    </w:lvl>
  </w:abstractNum>
  <w:abstractNum w:abstractNumId="4">
    <w:nsid w:val="0CCE7852"/>
    <w:multiLevelType w:val="hybridMultilevel"/>
    <w:tmpl w:val="3FE23B06"/>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5120CAC"/>
    <w:multiLevelType w:val="hybridMultilevel"/>
    <w:tmpl w:val="F718F288"/>
    <w:lvl w:ilvl="0">
      <w:start w:val="17"/>
      <w:numFmt w:val="decimal"/>
      <w:lvlText w:val="%1."/>
      <w:lvlJc w:val="left"/>
      <w:pPr>
        <w:ind w:left="720" w:hanging="360"/>
      </w:pPr>
      <w:rPr>
        <w:rFonts w:hint="default"/>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B411059"/>
    <w:multiLevelType w:val="hybridMultilevel"/>
    <w:tmpl w:val="574EBB46"/>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306F402E"/>
    <w:multiLevelType w:val="hybridMultilevel"/>
    <w:tmpl w:val="94B0A2E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41C5AF6"/>
    <w:multiLevelType w:val="hybridMultilevel"/>
    <w:tmpl w:val="77DA41D2"/>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61913F5"/>
    <w:multiLevelType w:val="multilevel"/>
    <w:tmpl w:val="E6201D38"/>
    <w:name w:val="AutoList22"/>
    <w:lvl w:ilvl="0">
      <w:start w:val="9"/>
      <w:numFmt w:val="decimal"/>
      <w:lvlText w:val="%1."/>
      <w:lvlJc w:val="left"/>
      <w:pPr>
        <w:ind w:left="0" w:firstLine="0"/>
      </w:pPr>
      <w:rPr>
        <w:rFonts w:hint="default"/>
      </w:rPr>
    </w:lvl>
    <w:lvl w:ilvl="1">
      <w:start w:val="1"/>
      <w:numFmt w:val="decimal"/>
      <w:lvlText w:val="%2."/>
      <w:lvlJc w:val="left"/>
      <w:pPr>
        <w:ind w:left="0" w:firstLine="0"/>
      </w:pPr>
      <w:rPr>
        <w:rFonts w:hint="default"/>
      </w:rPr>
    </w:lvl>
    <w:lvl w:ilvl="2">
      <w:start w:val="1"/>
      <w:numFmt w:val="decimal"/>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decimal"/>
      <w:lvlText w:val="%5."/>
      <w:lvlJc w:val="left"/>
      <w:pPr>
        <w:ind w:left="0" w:firstLine="0"/>
      </w:pPr>
      <w:rPr>
        <w:rFonts w:hint="default"/>
      </w:rPr>
    </w:lvl>
    <w:lvl w:ilvl="5">
      <w:start w:val="1"/>
      <w:numFmt w:val="decimal"/>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decimal"/>
      <w:lvlText w:val="%8."/>
      <w:lvlJc w:val="left"/>
      <w:pPr>
        <w:ind w:left="0" w:firstLine="0"/>
      </w:pPr>
      <w:rPr>
        <w:rFonts w:hint="default"/>
      </w:rPr>
    </w:lvl>
    <w:lvl w:ilvl="8">
      <w:start w:val="0"/>
      <w:numFmt w:val="decimal"/>
      <w:lvlJc w:val="left"/>
      <w:pPr>
        <w:ind w:left="0" w:firstLine="0"/>
      </w:pPr>
      <w:rPr>
        <w:rFonts w:hint="default"/>
      </w:rPr>
    </w:lvl>
  </w:abstractNum>
  <w:abstractNum w:abstractNumId="10">
    <w:nsid w:val="482272B8"/>
    <w:multiLevelType w:val="hybridMultilevel"/>
    <w:tmpl w:val="CAC44B88"/>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482E568A"/>
    <w:multiLevelType w:val="hybridMultilevel"/>
    <w:tmpl w:val="F65E2F52"/>
    <w:lvl w:ilvl="0">
      <w:start w:val="17"/>
      <w:numFmt w:val="decimal"/>
      <w:lvlText w:val="%1."/>
      <w:lvlJc w:val="left"/>
      <w:pPr>
        <w:ind w:left="1080" w:hanging="360"/>
      </w:pPr>
      <w:rPr>
        <w:rFonts w:hint="default"/>
        <w:u w:val="none"/>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5A232C84"/>
    <w:multiLevelType w:val="hybridMultilevel"/>
    <w:tmpl w:val="76D06CDA"/>
    <w:lvl w:ilvl="0">
      <w:start w:val="17"/>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6F5733D0"/>
    <w:multiLevelType w:val="hybridMultilevel"/>
    <w:tmpl w:val="F51E2A14"/>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4">
    <w:nsid w:val="7DF506A1"/>
    <w:multiLevelType w:val="hybridMultilevel"/>
    <w:tmpl w:val="FC04AB9E"/>
    <w:lvl w:ilvl="0">
      <w:start w:val="17"/>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048800123">
    <w:abstractNumId w:val="1"/>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16cid:durableId="57091466">
    <w:abstractNumId w:val="2"/>
    <w:lvlOverride w:ilvl="0">
      <w:startOverride w:val="7"/>
      <w:lvl w:ilvl="0">
        <w:start w:val="7"/>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16cid:durableId="1248271859">
    <w:abstractNumId w:val="3"/>
    <w:lvlOverride w:ilvl="0">
      <w:startOverride w:val="15"/>
      <w:lvl w:ilvl="0">
        <w:start w:val="1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345131617">
    <w:abstractNumId w:val="9"/>
  </w:num>
  <w:num w:numId="5" w16cid:durableId="1655723847">
    <w:abstractNumId w:val="0"/>
  </w:num>
  <w:num w:numId="6" w16cid:durableId="674654937">
    <w:abstractNumId w:val="14"/>
  </w:num>
  <w:num w:numId="7" w16cid:durableId="2056655902">
    <w:abstractNumId w:val="7"/>
  </w:num>
  <w:num w:numId="8" w16cid:durableId="1071542682">
    <w:abstractNumId w:val="11"/>
  </w:num>
  <w:num w:numId="9" w16cid:durableId="742987855">
    <w:abstractNumId w:val="5"/>
  </w:num>
  <w:num w:numId="10" w16cid:durableId="323970988">
    <w:abstractNumId w:val="12"/>
  </w:num>
  <w:num w:numId="11" w16cid:durableId="49229820">
    <w:abstractNumId w:val="8"/>
  </w:num>
  <w:num w:numId="12" w16cid:durableId="355349136">
    <w:abstractNumId w:val="10"/>
  </w:num>
  <w:num w:numId="13" w16cid:durableId="246770655">
    <w:abstractNumId w:val="4"/>
  </w:num>
  <w:num w:numId="14" w16cid:durableId="441455923">
    <w:abstractNumId w:val="6"/>
  </w:num>
  <w:num w:numId="15" w16cid:durableId="22506914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EB"/>
    <w:rsid w:val="0000220F"/>
    <w:rsid w:val="00006A19"/>
    <w:rsid w:val="00010B0A"/>
    <w:rsid w:val="00015FCA"/>
    <w:rsid w:val="00017836"/>
    <w:rsid w:val="000220F9"/>
    <w:rsid w:val="000272C7"/>
    <w:rsid w:val="00036EC2"/>
    <w:rsid w:val="00044F37"/>
    <w:rsid w:val="00056A6B"/>
    <w:rsid w:val="00066407"/>
    <w:rsid w:val="000A05E9"/>
    <w:rsid w:val="000A1091"/>
    <w:rsid w:val="000A4339"/>
    <w:rsid w:val="000A768D"/>
    <w:rsid w:val="000A7FC1"/>
    <w:rsid w:val="000D266F"/>
    <w:rsid w:val="000E750D"/>
    <w:rsid w:val="000F3A8B"/>
    <w:rsid w:val="000F67CB"/>
    <w:rsid w:val="00102DBB"/>
    <w:rsid w:val="00110997"/>
    <w:rsid w:val="00111010"/>
    <w:rsid w:val="001135E3"/>
    <w:rsid w:val="00120003"/>
    <w:rsid w:val="0012358F"/>
    <w:rsid w:val="00132AF5"/>
    <w:rsid w:val="001337C1"/>
    <w:rsid w:val="00141203"/>
    <w:rsid w:val="00142CE0"/>
    <w:rsid w:val="00161268"/>
    <w:rsid w:val="00166349"/>
    <w:rsid w:val="00180876"/>
    <w:rsid w:val="00182F0D"/>
    <w:rsid w:val="00192CE0"/>
    <w:rsid w:val="001A6F7B"/>
    <w:rsid w:val="001B24BC"/>
    <w:rsid w:val="001B629F"/>
    <w:rsid w:val="001C3D05"/>
    <w:rsid w:val="001E3458"/>
    <w:rsid w:val="001E3556"/>
    <w:rsid w:val="001F1601"/>
    <w:rsid w:val="001F321D"/>
    <w:rsid w:val="001F3E6E"/>
    <w:rsid w:val="00206B2C"/>
    <w:rsid w:val="002109AC"/>
    <w:rsid w:val="00224418"/>
    <w:rsid w:val="0023566C"/>
    <w:rsid w:val="0023569C"/>
    <w:rsid w:val="00242885"/>
    <w:rsid w:val="00246391"/>
    <w:rsid w:val="00251ED2"/>
    <w:rsid w:val="00282B0F"/>
    <w:rsid w:val="0028536E"/>
    <w:rsid w:val="00293354"/>
    <w:rsid w:val="00295A3A"/>
    <w:rsid w:val="002A0F6F"/>
    <w:rsid w:val="002A243C"/>
    <w:rsid w:val="002A31A5"/>
    <w:rsid w:val="002B177C"/>
    <w:rsid w:val="002B1794"/>
    <w:rsid w:val="002B499E"/>
    <w:rsid w:val="002B69DE"/>
    <w:rsid w:val="002D4886"/>
    <w:rsid w:val="002D51B2"/>
    <w:rsid w:val="002E56B9"/>
    <w:rsid w:val="002F1933"/>
    <w:rsid w:val="002F1976"/>
    <w:rsid w:val="002F79AA"/>
    <w:rsid w:val="00305112"/>
    <w:rsid w:val="00305478"/>
    <w:rsid w:val="003127E4"/>
    <w:rsid w:val="00312E36"/>
    <w:rsid w:val="00316527"/>
    <w:rsid w:val="00336BA4"/>
    <w:rsid w:val="00353997"/>
    <w:rsid w:val="00354235"/>
    <w:rsid w:val="00377DBA"/>
    <w:rsid w:val="00394E4C"/>
    <w:rsid w:val="003A5A1A"/>
    <w:rsid w:val="003A5D7C"/>
    <w:rsid w:val="003F58BB"/>
    <w:rsid w:val="0040164F"/>
    <w:rsid w:val="00404EE7"/>
    <w:rsid w:val="00406C96"/>
    <w:rsid w:val="00411EF3"/>
    <w:rsid w:val="00427C16"/>
    <w:rsid w:val="00435CFA"/>
    <w:rsid w:val="00442AFF"/>
    <w:rsid w:val="004451B9"/>
    <w:rsid w:val="004573A2"/>
    <w:rsid w:val="004631BE"/>
    <w:rsid w:val="00463A04"/>
    <w:rsid w:val="00467B23"/>
    <w:rsid w:val="0047289C"/>
    <w:rsid w:val="00473D0D"/>
    <w:rsid w:val="004B0F54"/>
    <w:rsid w:val="004B6E0C"/>
    <w:rsid w:val="004D3707"/>
    <w:rsid w:val="004E2ABF"/>
    <w:rsid w:val="004E668F"/>
    <w:rsid w:val="004F12D2"/>
    <w:rsid w:val="004F2A9D"/>
    <w:rsid w:val="005011E6"/>
    <w:rsid w:val="0051280C"/>
    <w:rsid w:val="00517DF7"/>
    <w:rsid w:val="00520AF6"/>
    <w:rsid w:val="005235D0"/>
    <w:rsid w:val="00525980"/>
    <w:rsid w:val="00532E6A"/>
    <w:rsid w:val="005437F7"/>
    <w:rsid w:val="00550535"/>
    <w:rsid w:val="005649AE"/>
    <w:rsid w:val="00564C1A"/>
    <w:rsid w:val="00564D02"/>
    <w:rsid w:val="005B3EEF"/>
    <w:rsid w:val="005B5E90"/>
    <w:rsid w:val="005B6DDD"/>
    <w:rsid w:val="005C1382"/>
    <w:rsid w:val="005C66C6"/>
    <w:rsid w:val="005D3921"/>
    <w:rsid w:val="005D3DAB"/>
    <w:rsid w:val="005D6094"/>
    <w:rsid w:val="005D7415"/>
    <w:rsid w:val="00603CDC"/>
    <w:rsid w:val="00603FC5"/>
    <w:rsid w:val="00624B7C"/>
    <w:rsid w:val="00630912"/>
    <w:rsid w:val="006368E6"/>
    <w:rsid w:val="00644338"/>
    <w:rsid w:val="00651559"/>
    <w:rsid w:val="006726A1"/>
    <w:rsid w:val="00680557"/>
    <w:rsid w:val="00681206"/>
    <w:rsid w:val="00681569"/>
    <w:rsid w:val="00681C7E"/>
    <w:rsid w:val="00685044"/>
    <w:rsid w:val="00687E11"/>
    <w:rsid w:val="006971E1"/>
    <w:rsid w:val="006A21C2"/>
    <w:rsid w:val="006B56D2"/>
    <w:rsid w:val="006C2B4A"/>
    <w:rsid w:val="006E6E53"/>
    <w:rsid w:val="006E71BC"/>
    <w:rsid w:val="00710044"/>
    <w:rsid w:val="00715FFF"/>
    <w:rsid w:val="00720A3B"/>
    <w:rsid w:val="00733C60"/>
    <w:rsid w:val="007369BD"/>
    <w:rsid w:val="007509AA"/>
    <w:rsid w:val="00763B45"/>
    <w:rsid w:val="00764B48"/>
    <w:rsid w:val="00780979"/>
    <w:rsid w:val="007B041B"/>
    <w:rsid w:val="007B1B8F"/>
    <w:rsid w:val="007B1C01"/>
    <w:rsid w:val="007C08DC"/>
    <w:rsid w:val="007E0010"/>
    <w:rsid w:val="007E2EEB"/>
    <w:rsid w:val="007E36EA"/>
    <w:rsid w:val="007F12A5"/>
    <w:rsid w:val="007F73DD"/>
    <w:rsid w:val="00800AAD"/>
    <w:rsid w:val="008018A9"/>
    <w:rsid w:val="00801A34"/>
    <w:rsid w:val="00802986"/>
    <w:rsid w:val="00804DB0"/>
    <w:rsid w:val="00817D9B"/>
    <w:rsid w:val="00821550"/>
    <w:rsid w:val="0083118D"/>
    <w:rsid w:val="00832AE8"/>
    <w:rsid w:val="00833904"/>
    <w:rsid w:val="008533C4"/>
    <w:rsid w:val="00853C81"/>
    <w:rsid w:val="008618BB"/>
    <w:rsid w:val="008723DC"/>
    <w:rsid w:val="00876C56"/>
    <w:rsid w:val="008779A8"/>
    <w:rsid w:val="00877FFC"/>
    <w:rsid w:val="00894004"/>
    <w:rsid w:val="008A1CD6"/>
    <w:rsid w:val="008A38A4"/>
    <w:rsid w:val="008A5F74"/>
    <w:rsid w:val="008B0A5D"/>
    <w:rsid w:val="008D1E10"/>
    <w:rsid w:val="00902FB3"/>
    <w:rsid w:val="00911B5E"/>
    <w:rsid w:val="00914A87"/>
    <w:rsid w:val="00916393"/>
    <w:rsid w:val="00917F24"/>
    <w:rsid w:val="0092310A"/>
    <w:rsid w:val="0092632D"/>
    <w:rsid w:val="00933CA2"/>
    <w:rsid w:val="009501AC"/>
    <w:rsid w:val="009517E7"/>
    <w:rsid w:val="009545DF"/>
    <w:rsid w:val="00956582"/>
    <w:rsid w:val="00972A93"/>
    <w:rsid w:val="00974429"/>
    <w:rsid w:val="009846A4"/>
    <w:rsid w:val="00995E2E"/>
    <w:rsid w:val="00997416"/>
    <w:rsid w:val="009978F9"/>
    <w:rsid w:val="009B6400"/>
    <w:rsid w:val="009D4FF2"/>
    <w:rsid w:val="009D61D4"/>
    <w:rsid w:val="009D726B"/>
    <w:rsid w:val="009E0FD6"/>
    <w:rsid w:val="009E5544"/>
    <w:rsid w:val="009F1842"/>
    <w:rsid w:val="009F31F3"/>
    <w:rsid w:val="00A0207E"/>
    <w:rsid w:val="00A134E4"/>
    <w:rsid w:val="00A14E91"/>
    <w:rsid w:val="00A24082"/>
    <w:rsid w:val="00A64D3A"/>
    <w:rsid w:val="00A66296"/>
    <w:rsid w:val="00A70809"/>
    <w:rsid w:val="00A70A0A"/>
    <w:rsid w:val="00A714C1"/>
    <w:rsid w:val="00A7743D"/>
    <w:rsid w:val="00A90218"/>
    <w:rsid w:val="00AE2F6A"/>
    <w:rsid w:val="00AF1AEA"/>
    <w:rsid w:val="00AF5681"/>
    <w:rsid w:val="00B07E63"/>
    <w:rsid w:val="00B1530E"/>
    <w:rsid w:val="00B318A4"/>
    <w:rsid w:val="00B34FA0"/>
    <w:rsid w:val="00B42B7E"/>
    <w:rsid w:val="00B43E15"/>
    <w:rsid w:val="00B50ECF"/>
    <w:rsid w:val="00B55001"/>
    <w:rsid w:val="00B5635A"/>
    <w:rsid w:val="00B65514"/>
    <w:rsid w:val="00B80234"/>
    <w:rsid w:val="00B81EA9"/>
    <w:rsid w:val="00B91A50"/>
    <w:rsid w:val="00B94D34"/>
    <w:rsid w:val="00BA436D"/>
    <w:rsid w:val="00BA6A59"/>
    <w:rsid w:val="00BC0691"/>
    <w:rsid w:val="00BC73AA"/>
    <w:rsid w:val="00BD70F0"/>
    <w:rsid w:val="00BF6CE3"/>
    <w:rsid w:val="00C10AC8"/>
    <w:rsid w:val="00C24DD0"/>
    <w:rsid w:val="00C40223"/>
    <w:rsid w:val="00C47A0C"/>
    <w:rsid w:val="00C608BC"/>
    <w:rsid w:val="00C723A3"/>
    <w:rsid w:val="00C76C41"/>
    <w:rsid w:val="00C94ED3"/>
    <w:rsid w:val="00CA1998"/>
    <w:rsid w:val="00CA19B0"/>
    <w:rsid w:val="00CA721C"/>
    <w:rsid w:val="00CB0D14"/>
    <w:rsid w:val="00CB4537"/>
    <w:rsid w:val="00CB56DC"/>
    <w:rsid w:val="00CD283E"/>
    <w:rsid w:val="00CD6429"/>
    <w:rsid w:val="00D1793A"/>
    <w:rsid w:val="00D23AA2"/>
    <w:rsid w:val="00D35256"/>
    <w:rsid w:val="00D357EB"/>
    <w:rsid w:val="00D46069"/>
    <w:rsid w:val="00D5592C"/>
    <w:rsid w:val="00D60DD4"/>
    <w:rsid w:val="00D64B87"/>
    <w:rsid w:val="00D71370"/>
    <w:rsid w:val="00D82575"/>
    <w:rsid w:val="00DA38BF"/>
    <w:rsid w:val="00DA39C3"/>
    <w:rsid w:val="00DC0106"/>
    <w:rsid w:val="00DC0C44"/>
    <w:rsid w:val="00DD6B5D"/>
    <w:rsid w:val="00DE00E7"/>
    <w:rsid w:val="00DE1B8E"/>
    <w:rsid w:val="00DF3AA0"/>
    <w:rsid w:val="00E11D2D"/>
    <w:rsid w:val="00E210DE"/>
    <w:rsid w:val="00E34092"/>
    <w:rsid w:val="00E6142C"/>
    <w:rsid w:val="00E67DB8"/>
    <w:rsid w:val="00E71126"/>
    <w:rsid w:val="00E9076D"/>
    <w:rsid w:val="00E9318F"/>
    <w:rsid w:val="00EC045C"/>
    <w:rsid w:val="00EC64EE"/>
    <w:rsid w:val="00EC668E"/>
    <w:rsid w:val="00ED51E5"/>
    <w:rsid w:val="00ED6812"/>
    <w:rsid w:val="00F00DD1"/>
    <w:rsid w:val="00F10C03"/>
    <w:rsid w:val="00F2284A"/>
    <w:rsid w:val="00F229A2"/>
    <w:rsid w:val="00F23C20"/>
    <w:rsid w:val="00F26675"/>
    <w:rsid w:val="00F436AC"/>
    <w:rsid w:val="00F4647C"/>
    <w:rsid w:val="00F63BDE"/>
    <w:rsid w:val="00F669A8"/>
    <w:rsid w:val="00F820B4"/>
    <w:rsid w:val="00F83922"/>
    <w:rsid w:val="00FA1F7C"/>
    <w:rsid w:val="00FB13EB"/>
    <w:rsid w:val="00FD5BC7"/>
    <w:rsid w:val="00FF03F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5BB05D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customStyle="1" w:styleId="Level1">
    <w:name w:val="Level 1"/>
    <w:basedOn w:val="Normal"/>
    <w:pPr>
      <w:numPr>
        <w:numId w:val="3"/>
      </w:numPr>
      <w:ind w:left="720" w:hanging="720"/>
      <w:outlineLvl w:val="0"/>
    </w:pPr>
  </w:style>
  <w:style w:type="paragraph" w:styleId="BalloonText">
    <w:name w:val="Balloon Text"/>
    <w:basedOn w:val="Normal"/>
    <w:link w:val="BalloonTextChar"/>
    <w:rsid w:val="00AF1AEA"/>
    <w:rPr>
      <w:rFonts w:ascii="Tahoma" w:hAnsi="Tahoma" w:cs="Tahoma"/>
      <w:sz w:val="16"/>
      <w:szCs w:val="16"/>
    </w:rPr>
  </w:style>
  <w:style w:type="character" w:customStyle="1" w:styleId="BalloonTextChar">
    <w:name w:val="Balloon Text Char"/>
    <w:link w:val="BalloonText"/>
    <w:rsid w:val="00AF1AEA"/>
    <w:rPr>
      <w:rFonts w:ascii="Tahoma" w:hAnsi="Tahoma" w:cs="Tahoma"/>
      <w:sz w:val="16"/>
      <w:szCs w:val="16"/>
    </w:rPr>
  </w:style>
  <w:style w:type="paragraph" w:styleId="Header">
    <w:name w:val="header"/>
    <w:basedOn w:val="Normal"/>
    <w:link w:val="HeaderChar"/>
    <w:rsid w:val="00ED51E5"/>
    <w:pPr>
      <w:tabs>
        <w:tab w:val="center" w:pos="4680"/>
        <w:tab w:val="right" w:pos="9360"/>
      </w:tabs>
    </w:pPr>
  </w:style>
  <w:style w:type="character" w:customStyle="1" w:styleId="HeaderChar">
    <w:name w:val="Header Char"/>
    <w:link w:val="Header"/>
    <w:rsid w:val="00ED51E5"/>
    <w:rPr>
      <w:rFonts w:ascii="Courier" w:hAnsi="Courier"/>
      <w:sz w:val="24"/>
      <w:szCs w:val="24"/>
    </w:rPr>
  </w:style>
  <w:style w:type="paragraph" w:styleId="Footer">
    <w:name w:val="footer"/>
    <w:basedOn w:val="Normal"/>
    <w:link w:val="FooterChar"/>
    <w:rsid w:val="00ED51E5"/>
    <w:pPr>
      <w:tabs>
        <w:tab w:val="center" w:pos="4680"/>
        <w:tab w:val="right" w:pos="9360"/>
      </w:tabs>
    </w:pPr>
  </w:style>
  <w:style w:type="character" w:customStyle="1" w:styleId="FooterChar">
    <w:name w:val="Footer Char"/>
    <w:link w:val="Footer"/>
    <w:rsid w:val="00ED51E5"/>
    <w:rPr>
      <w:rFonts w:ascii="Courier" w:hAnsi="Courier"/>
      <w:sz w:val="24"/>
      <w:szCs w:val="24"/>
    </w:rPr>
  </w:style>
  <w:style w:type="character" w:styleId="Hyperlink">
    <w:name w:val="Hyperlink"/>
    <w:rsid w:val="00044F37"/>
    <w:rPr>
      <w:color w:val="0000FF"/>
      <w:u w:val="single"/>
    </w:rPr>
  </w:style>
  <w:style w:type="paragraph" w:customStyle="1" w:styleId="psection-2">
    <w:name w:val="psection-2"/>
    <w:basedOn w:val="Normal"/>
    <w:rsid w:val="00CA1998"/>
    <w:pPr>
      <w:widowControl/>
      <w:autoSpaceDE/>
      <w:autoSpaceDN/>
      <w:adjustRightInd/>
      <w:spacing w:after="150"/>
      <w:ind w:left="240"/>
    </w:pPr>
    <w:rPr>
      <w:rFonts w:ascii="Times New Roman" w:hAnsi="Times New Roman"/>
    </w:rPr>
  </w:style>
  <w:style w:type="paragraph" w:customStyle="1" w:styleId="Default">
    <w:name w:val="Default"/>
    <w:rsid w:val="004F12D2"/>
    <w:pPr>
      <w:autoSpaceDE w:val="0"/>
      <w:autoSpaceDN w:val="0"/>
      <w:adjustRightInd w:val="0"/>
    </w:pPr>
    <w:rPr>
      <w:rFonts w:ascii="Helvetica World" w:hAnsi="Helvetica World" w:cs="Helvetica World"/>
      <w:color w:val="000000"/>
      <w:sz w:val="24"/>
      <w:szCs w:val="24"/>
    </w:rPr>
  </w:style>
  <w:style w:type="character" w:customStyle="1" w:styleId="UnresolvedMention1">
    <w:name w:val="Unresolved Mention1"/>
    <w:uiPriority w:val="99"/>
    <w:semiHidden/>
    <w:unhideWhenUsed/>
    <w:rsid w:val="003F58BB"/>
    <w:rPr>
      <w:color w:val="605E5C"/>
      <w:shd w:val="clear" w:color="auto" w:fill="E1DFDD"/>
    </w:rPr>
  </w:style>
  <w:style w:type="character" w:styleId="CommentReference">
    <w:name w:val="annotation reference"/>
    <w:basedOn w:val="DefaultParagraphFont"/>
    <w:rsid w:val="00916393"/>
    <w:rPr>
      <w:sz w:val="16"/>
      <w:szCs w:val="16"/>
    </w:rPr>
  </w:style>
  <w:style w:type="paragraph" w:styleId="CommentText">
    <w:name w:val="annotation text"/>
    <w:basedOn w:val="Normal"/>
    <w:link w:val="CommentTextChar"/>
    <w:rsid w:val="00916393"/>
    <w:rPr>
      <w:sz w:val="20"/>
      <w:szCs w:val="20"/>
    </w:rPr>
  </w:style>
  <w:style w:type="character" w:customStyle="1" w:styleId="CommentTextChar">
    <w:name w:val="Comment Text Char"/>
    <w:basedOn w:val="DefaultParagraphFont"/>
    <w:link w:val="CommentText"/>
    <w:rsid w:val="00916393"/>
    <w:rPr>
      <w:rFonts w:ascii="Courier" w:hAnsi="Courier"/>
    </w:rPr>
  </w:style>
  <w:style w:type="paragraph" w:styleId="CommentSubject">
    <w:name w:val="annotation subject"/>
    <w:basedOn w:val="CommentText"/>
    <w:next w:val="CommentText"/>
    <w:link w:val="CommentSubjectChar"/>
    <w:rsid w:val="00916393"/>
    <w:rPr>
      <w:b/>
      <w:bCs/>
    </w:rPr>
  </w:style>
  <w:style w:type="character" w:customStyle="1" w:styleId="CommentSubjectChar">
    <w:name w:val="Comment Subject Char"/>
    <w:basedOn w:val="CommentTextChar"/>
    <w:link w:val="CommentSubject"/>
    <w:rsid w:val="00916393"/>
    <w:rPr>
      <w:rFonts w:ascii="Courier" w:hAnsi="Courier"/>
      <w:b/>
      <w:bCs/>
    </w:rPr>
  </w:style>
  <w:style w:type="paragraph" w:styleId="Revision">
    <w:name w:val="Revision"/>
    <w:hidden/>
    <w:uiPriority w:val="99"/>
    <w:semiHidden/>
    <w:rsid w:val="00B80234"/>
    <w:rPr>
      <w:rFonts w:ascii="Courier" w:hAnsi="Courier"/>
      <w:sz w:val="24"/>
      <w:szCs w:val="24"/>
    </w:rPr>
  </w:style>
  <w:style w:type="paragraph" w:styleId="ListParagraph">
    <w:name w:val="List Paragraph"/>
    <w:basedOn w:val="Normal"/>
    <w:uiPriority w:val="1"/>
    <w:qFormat/>
    <w:rsid w:val="00F83922"/>
    <w:pPr>
      <w:adjustRightInd/>
      <w:spacing w:before="22"/>
      <w:ind w:left="820" w:hanging="360"/>
    </w:pPr>
    <w:rPr>
      <w:rFonts w:ascii="Calibri" w:eastAsia="Calibri" w:hAnsi="Calibri" w:cs="Calibri"/>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1158</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2023-08-28T15:52:00Z</dcterms:created>
  <dcterms:modified xsi:type="dcterms:W3CDTF">2023-08-28T15:52:00Z</dcterms:modified>
</cp:coreProperties>
</file>