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563E" w:rsidP="0006563E" w14:paraId="25CFA7FC" w14:textId="77777777">
      <w:pPr>
        <w:rPr>
          <w:color w:val="000000"/>
          <w:szCs w:val="20"/>
        </w:rPr>
      </w:pPr>
    </w:p>
    <w:p w:rsidR="005E0B66" w:rsidRPr="00747235" w:rsidP="00747235" w14:paraId="15F3FD38" w14:textId="3F635222">
      <w:pPr>
        <w:pStyle w:val="Title"/>
        <w:ind w:right="-480"/>
        <w:rPr>
          <w:rFonts w:ascii="Times New Roman" w:hAnsi="Times New Roman"/>
          <w:b/>
          <w:bCs/>
          <w:szCs w:val="24"/>
        </w:rPr>
      </w:pPr>
      <w:r>
        <w:rPr>
          <w:rFonts w:ascii="Times New Roman" w:hAnsi="Times New Roman"/>
          <w:b/>
          <w:bCs/>
          <w:szCs w:val="24"/>
        </w:rPr>
        <w:t>Supporting Statement for</w:t>
      </w:r>
      <w:r w:rsidR="00747235">
        <w:rPr>
          <w:rFonts w:ascii="Times New Roman" w:hAnsi="Times New Roman"/>
          <w:b/>
          <w:bCs/>
          <w:szCs w:val="24"/>
        </w:rPr>
        <w:t xml:space="preserve"> </w:t>
      </w:r>
      <w:r w:rsidRPr="00747235" w:rsidR="00747235">
        <w:rPr>
          <w:rFonts w:ascii="Times New Roman" w:hAnsi="Times New Roman"/>
          <w:b/>
          <w:bCs/>
          <w:szCs w:val="24"/>
        </w:rPr>
        <w:t xml:space="preserve">the </w:t>
      </w:r>
      <w:r w:rsidRPr="00747235">
        <w:rPr>
          <w:rFonts w:ascii="Times New Roman" w:hAnsi="Times New Roman"/>
          <w:b/>
          <w:bCs/>
        </w:rPr>
        <w:t xml:space="preserve">Consolidated Reports of Condition and Income </w:t>
      </w:r>
    </w:p>
    <w:p w:rsidR="005E0B66" w:rsidRPr="00747235" w:rsidP="005E0B66" w14:paraId="4C460B16" w14:textId="77777777">
      <w:pPr>
        <w:ind w:right="-480"/>
        <w:jc w:val="center"/>
        <w:rPr>
          <w:b/>
          <w:bCs/>
        </w:rPr>
      </w:pPr>
      <w:r w:rsidRPr="00747235">
        <w:rPr>
          <w:b/>
          <w:bCs/>
        </w:rPr>
        <w:t>(Call Report) (FFIEC 031, FFIEC 041, FFIEC 051)</w:t>
      </w:r>
    </w:p>
    <w:p w:rsidR="005E0B66" w:rsidRPr="00747235" w:rsidP="005E0B66" w14:paraId="3624183F" w14:textId="77777777">
      <w:pPr>
        <w:ind w:right="-480"/>
        <w:jc w:val="center"/>
        <w:rPr>
          <w:b/>
          <w:bCs/>
        </w:rPr>
      </w:pPr>
      <w:r w:rsidRPr="00747235">
        <w:rPr>
          <w:b/>
          <w:bCs/>
        </w:rPr>
        <w:t>OMB Control No. 1557-0081</w:t>
      </w:r>
    </w:p>
    <w:p w:rsidR="005E0B66" w:rsidRPr="00747235" w:rsidP="005E0B66" w14:paraId="023ABD9B" w14:textId="77777777">
      <w:pPr>
        <w:rPr>
          <w:color w:val="000000"/>
          <w:szCs w:val="20"/>
        </w:rPr>
      </w:pPr>
    </w:p>
    <w:p w:rsidR="005E0B66" w:rsidP="005E0B66" w14:paraId="228891EB" w14:textId="77777777">
      <w:pPr>
        <w:rPr>
          <w:b/>
          <w:color w:val="000000"/>
          <w:szCs w:val="20"/>
        </w:rPr>
      </w:pPr>
      <w:r>
        <w:rPr>
          <w:b/>
          <w:color w:val="000000"/>
          <w:szCs w:val="20"/>
        </w:rPr>
        <w:t>Background</w:t>
      </w:r>
    </w:p>
    <w:p w:rsidR="005E0B66" w:rsidP="005E0B66" w14:paraId="6C529719" w14:textId="77777777">
      <w:pPr>
        <w:rPr>
          <w:color w:val="000000"/>
          <w:szCs w:val="20"/>
        </w:rPr>
      </w:pPr>
    </w:p>
    <w:p w:rsidR="005E0B66" w:rsidP="005E0B66" w14:paraId="377B89CD" w14:textId="4E22EF9A">
      <w:r>
        <w:rPr>
          <w:color w:val="000000"/>
          <w:szCs w:val="20"/>
        </w:rPr>
        <w:tab/>
      </w:r>
      <w:r w:rsidRPr="59C259A5">
        <w:rPr>
          <w:color w:val="000000"/>
        </w:rPr>
        <w:t xml:space="preserve">The Office of the Comptroller of the Currency (OCC), in coordination with the Federal Deposit Insurance Corporation (FDIC) and the Board of Governors of the Federal Reserve System (Board) (collectively, the agencies), each of which is submitting a separate request, hereby requests approval </w:t>
      </w:r>
      <w:r w:rsidRPr="59C259A5" w:rsidR="00CA040C">
        <w:rPr>
          <w:color w:val="000000"/>
        </w:rPr>
        <w:t>from</w:t>
      </w:r>
      <w:r w:rsidRPr="59C259A5">
        <w:rPr>
          <w:color w:val="000000"/>
        </w:rPr>
        <w:t xml:space="preserve"> the Office of Management and Budget (OMB) </w:t>
      </w:r>
      <w:r w:rsidRPr="59C259A5" w:rsidR="00CA040C">
        <w:rPr>
          <w:color w:val="000000"/>
        </w:rPr>
        <w:t xml:space="preserve">pursuant to the </w:t>
      </w:r>
      <w:r w:rsidRPr="59C259A5">
        <w:rPr>
          <w:color w:val="000000"/>
        </w:rPr>
        <w:t xml:space="preserve">Paperwork Reduction Act for </w:t>
      </w:r>
      <w:r w:rsidRPr="59C259A5" w:rsidR="00747235">
        <w:rPr>
          <w:color w:val="000000"/>
        </w:rPr>
        <w:t xml:space="preserve">a proposal to extend for three years, with </w:t>
      </w:r>
      <w:r w:rsidRPr="59C259A5">
        <w:rPr>
          <w:color w:val="000000"/>
        </w:rPr>
        <w:t>revisions</w:t>
      </w:r>
      <w:r w:rsidRPr="59C259A5" w:rsidR="00747235">
        <w:rPr>
          <w:color w:val="000000"/>
        </w:rPr>
        <w:t>,</w:t>
      </w:r>
      <w:r w:rsidRPr="59C259A5">
        <w:rPr>
          <w:color w:val="000000"/>
        </w:rPr>
        <w:t xml:space="preserve"> the</w:t>
      </w:r>
      <w:r>
        <w:t xml:space="preserve"> </w:t>
      </w:r>
      <w:r w:rsidRPr="59C259A5">
        <w:rPr>
          <w:color w:val="000000"/>
        </w:rPr>
        <w:t>Consolidated Reports of Condition and Income (Call Report), Control No. 1557-0081. These reports are currently approved collections of information.</w:t>
      </w:r>
    </w:p>
    <w:p w:rsidR="005E0B66" w:rsidP="005E0B66" w14:paraId="196250B8" w14:textId="77777777">
      <w:pPr>
        <w:ind w:firstLine="720"/>
        <w:rPr>
          <w:color w:val="000000"/>
          <w:szCs w:val="20"/>
        </w:rPr>
      </w:pPr>
    </w:p>
    <w:p w:rsidR="005E0B66" w:rsidP="005E0B66" w14:paraId="3E03DE65" w14:textId="07513953">
      <w:pPr>
        <w:rPr>
          <w:b/>
          <w:color w:val="000000"/>
        </w:rPr>
      </w:pPr>
      <w:r>
        <w:rPr>
          <w:b/>
          <w:color w:val="000000"/>
        </w:rPr>
        <w:t>Summary of Actions and Related Revisions</w:t>
      </w:r>
    </w:p>
    <w:p w:rsidR="005E0B66" w:rsidP="005E0B66" w14:paraId="35779E69" w14:textId="77777777">
      <w:pPr>
        <w:rPr>
          <w:b/>
          <w:color w:val="000000"/>
        </w:rPr>
      </w:pPr>
    </w:p>
    <w:p w:rsidR="00CB1586" w:rsidP="00CB1586" w14:paraId="47E32DAD" w14:textId="72B01A53">
      <w:pPr>
        <w:ind w:firstLine="720"/>
      </w:pPr>
      <w:r w:rsidRPr="00DF51AA">
        <w:t xml:space="preserve">As a result of the statutorily mandated review required by Section 604 of the Financial Services Regulatory Relief Act of 2006, the agencies identified multiple items for removal or consolidation. These items related to FDIC loss-sharing agreements, negative amortization loans, reverse mortgages, and the money market mutual fund liquidity facility (MMLF). </w:t>
      </w:r>
      <w:r>
        <w:t xml:space="preserve"> </w:t>
      </w:r>
    </w:p>
    <w:p w:rsidR="006053CD" w:rsidP="00CB1586" w14:paraId="71A8BCFD" w14:textId="77777777">
      <w:pPr>
        <w:ind w:firstLine="720"/>
      </w:pPr>
    </w:p>
    <w:p w:rsidR="006E3A17" w:rsidP="00CB1586" w14:paraId="601535EA" w14:textId="552B0E15">
      <w:pPr>
        <w:ind w:firstLine="720"/>
      </w:pPr>
      <w:r>
        <w:t xml:space="preserve">Additionally, in response to questions received from preparers of the </w:t>
      </w:r>
      <w:r w:rsidRPr="00D43350" w:rsidR="006053CD">
        <w:t xml:space="preserve">Consolidated Reports of Condition and Income </w:t>
      </w:r>
      <w:r w:rsidR="006053CD">
        <w:t>(</w:t>
      </w:r>
      <w:r>
        <w:t>Call Report</w:t>
      </w:r>
      <w:r w:rsidR="006053CD">
        <w:t>)</w:t>
      </w:r>
      <w:r>
        <w:t xml:space="preserve"> and other stakeholders, as well as to promote consistent reporting across all institutions, the agencies are clarifying the instructions </w:t>
      </w:r>
      <w:r w:rsidR="006053CD">
        <w:t>for</w:t>
      </w:r>
      <w:r>
        <w:t xml:space="preserve"> the reporting of certain items on Schedule RC-T, Fiduciary and Related Services, as detailed in Section II.C of this Supplementary Information.</w:t>
      </w:r>
    </w:p>
    <w:p w:rsidR="00DF51AA" w:rsidP="00CB1586" w14:paraId="25951561" w14:textId="77777777">
      <w:pPr>
        <w:ind w:firstLine="720"/>
        <w:rPr>
          <w:u w:val="single"/>
        </w:rPr>
      </w:pPr>
    </w:p>
    <w:p w:rsidR="00CA6AE6" w:rsidRPr="00D43350" w:rsidP="00AE34E0" w14:paraId="2B6563CF" w14:textId="77777777">
      <w:pPr>
        <w:rPr>
          <w:b/>
          <w:color w:val="000000"/>
        </w:rPr>
      </w:pPr>
      <w:r w:rsidRPr="00D43350">
        <w:rPr>
          <w:b/>
          <w:color w:val="000000"/>
        </w:rPr>
        <w:t>A.</w:t>
      </w:r>
      <w:r w:rsidRPr="00D43350">
        <w:rPr>
          <w:b/>
          <w:color w:val="000000"/>
        </w:rPr>
        <w:tab/>
        <w:t>JUSTIFICATION</w:t>
      </w:r>
    </w:p>
    <w:p w:rsidR="00CA6AE6" w:rsidRPr="00D43350" w:rsidP="00AE34E0" w14:paraId="6BB2B358" w14:textId="77777777">
      <w:pPr>
        <w:tabs>
          <w:tab w:val="left" w:pos="432"/>
          <w:tab w:val="left" w:pos="1296"/>
          <w:tab w:val="left" w:pos="1728"/>
          <w:tab w:val="left" w:pos="4176"/>
        </w:tabs>
        <w:ind w:left="432" w:hanging="432"/>
        <w:rPr>
          <w:b/>
          <w:color w:val="000000"/>
        </w:rPr>
      </w:pPr>
    </w:p>
    <w:p w:rsidR="00CA6AE6" w:rsidP="00AE34E0" w14:paraId="41972B2F" w14:textId="77777777">
      <w:pPr>
        <w:numPr>
          <w:ilvl w:val="0"/>
          <w:numId w:val="5"/>
        </w:numPr>
        <w:tabs>
          <w:tab w:val="left" w:pos="432"/>
          <w:tab w:val="left" w:pos="1728"/>
          <w:tab w:val="left" w:pos="4176"/>
        </w:tabs>
        <w:ind w:left="432" w:hanging="432"/>
        <w:rPr>
          <w:b/>
          <w:i/>
          <w:color w:val="000000"/>
        </w:rPr>
      </w:pPr>
      <w:r>
        <w:rPr>
          <w:b/>
          <w:i/>
          <w:color w:val="000000"/>
        </w:rPr>
        <w:t xml:space="preserve">    </w:t>
      </w:r>
      <w:r w:rsidRPr="00D43350">
        <w:rPr>
          <w:b/>
          <w:i/>
          <w:color w:val="000000"/>
        </w:rPr>
        <w:t>Circumstances and Need</w:t>
      </w:r>
      <w:r w:rsidRPr="00D43350" w:rsidR="00540715">
        <w:rPr>
          <w:b/>
          <w:i/>
          <w:color w:val="000000"/>
        </w:rPr>
        <w:t>:</w:t>
      </w:r>
    </w:p>
    <w:p w:rsidR="00E26F22" w:rsidP="00E26F22" w14:paraId="5F60796C" w14:textId="77777777">
      <w:pPr>
        <w:pStyle w:val="ListParagraph"/>
        <w:ind w:left="1287"/>
      </w:pPr>
    </w:p>
    <w:p w:rsidR="00E26F22" w:rsidRPr="00554A3D" w:rsidP="00E26F22" w14:paraId="131F0BCA" w14:textId="6FC80D13">
      <w:pPr>
        <w:pStyle w:val="ListParagraph"/>
        <w:ind w:left="0"/>
      </w:pPr>
      <w:r>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condition report and summary statement</w:t>
      </w:r>
      <w:r w:rsidR="006053CD">
        <w:t>s</w:t>
      </w:r>
      <w:r w:rsidRPr="00554A3D">
        <w:t xml:space="preserve"> as well as detailed schedules of operating income and expense, sources and disposition of income, and changes in equity capital.</w:t>
      </w:r>
    </w:p>
    <w:p w:rsidR="00A45144" w:rsidRPr="00D43350" w:rsidP="00AE34E0" w14:paraId="2913F8E9" w14:textId="77777777">
      <w:pPr>
        <w:tabs>
          <w:tab w:val="left" w:pos="432"/>
          <w:tab w:val="left" w:pos="1728"/>
          <w:tab w:val="left" w:pos="4176"/>
        </w:tabs>
        <w:rPr>
          <w:b/>
          <w:color w:val="000000"/>
        </w:rPr>
      </w:pPr>
    </w:p>
    <w:p w:rsidR="00DD3684" w:rsidRPr="00D43350" w:rsidP="000D3228" w14:paraId="7E40C2C8" w14:textId="29C43C25">
      <w:pPr>
        <w:tabs>
          <w:tab w:val="left" w:pos="432"/>
          <w:tab w:val="left" w:pos="720"/>
          <w:tab w:val="left" w:pos="1728"/>
          <w:tab w:val="left" w:pos="4176"/>
        </w:tabs>
      </w:pPr>
      <w:r w:rsidRPr="00D43350">
        <w:tab/>
        <w:t xml:space="preserve">    Institutions submit Call Report data to the agencies each quarter for the agencies’ use in monitoring the condition, performance, and risk profile of individual institutions and the </w:t>
      </w:r>
      <w:r w:rsidRPr="00D43350">
        <w:t>industry as a whole</w:t>
      </w:r>
      <w:r w:rsidRPr="00D43350">
        <w:t>.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w:t>
      </w:r>
      <w:r w:rsidR="006053CD">
        <w:t xml:space="preserve">furthering </w:t>
      </w:r>
      <w:r w:rsidRPr="00D43350">
        <w:t xml:space="preserve">monetary and other public policy purposes.  </w:t>
      </w:r>
    </w:p>
    <w:p w:rsidR="000A457D" w:rsidRPr="00D43350" w:rsidP="000D3228" w14:paraId="157D5F15" w14:textId="77777777">
      <w:pPr>
        <w:tabs>
          <w:tab w:val="left" w:pos="432"/>
          <w:tab w:val="left" w:pos="720"/>
          <w:tab w:val="left" w:pos="1728"/>
          <w:tab w:val="left" w:pos="4176"/>
        </w:tabs>
      </w:pPr>
    </w:p>
    <w:p w:rsidR="00F05733" w:rsidRPr="00554A3D" w:rsidP="00F05733" w14:paraId="05B555D1" w14:textId="186048A5">
      <w:pPr>
        <w:pStyle w:val="BodyTextIndent3"/>
        <w:ind w:left="0"/>
        <w:rPr>
          <w:sz w:val="24"/>
          <w:szCs w:val="24"/>
        </w:rPr>
      </w:pPr>
      <w:r w:rsidRPr="00D43350">
        <w:tab/>
      </w:r>
      <w:r w:rsidRPr="00554A3D">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006053CD">
        <w:rPr>
          <w:sz w:val="24"/>
          <w:szCs w:val="24"/>
        </w:rPr>
        <w:t>;</w:t>
      </w:r>
      <w:r w:rsidRPr="00554A3D">
        <w:rPr>
          <w:sz w:val="24"/>
          <w:szCs w:val="24"/>
        </w:rPr>
        <w:t xml:space="preserve"> (2) banks with domestic offices only (FFIEC 041)</w:t>
      </w:r>
      <w:r w:rsidR="006053CD">
        <w:rPr>
          <w:sz w:val="24"/>
          <w:szCs w:val="24"/>
        </w:rPr>
        <w:t>;</w:t>
      </w:r>
      <w:r w:rsidRPr="00554A3D">
        <w:rPr>
          <w:sz w:val="24"/>
          <w:szCs w:val="24"/>
        </w:rPr>
        <w:t xml:space="preserve"> and (3) banks with domestic offices only </w:t>
      </w:r>
      <w:r w:rsidR="007C7436">
        <w:rPr>
          <w:sz w:val="24"/>
          <w:szCs w:val="24"/>
        </w:rPr>
        <w:t>with total assets of $5 billion or less</w:t>
      </w:r>
      <w:r w:rsidRPr="00554A3D">
        <w:rPr>
          <w:sz w:val="24"/>
          <w:szCs w:val="24"/>
        </w:rPr>
        <w:t xml:space="preserve"> (FFIEC 051).</w:t>
      </w:r>
    </w:p>
    <w:p w:rsidR="002B641E" w:rsidRPr="00D43350" w:rsidP="00083E5A" w14:paraId="18A9D459" w14:textId="77777777">
      <w:pPr>
        <w:tabs>
          <w:tab w:val="left" w:pos="432"/>
          <w:tab w:val="left" w:pos="720"/>
          <w:tab w:val="left" w:pos="1728"/>
          <w:tab w:val="left" w:pos="4176"/>
        </w:tabs>
        <w:rPr>
          <w:b/>
          <w:i/>
          <w:color w:val="000000"/>
        </w:rPr>
      </w:pPr>
      <w:r w:rsidRPr="00D43350">
        <w:t xml:space="preserve">    </w:t>
      </w:r>
    </w:p>
    <w:p w:rsidR="0086663A" w:rsidRPr="00D43350" w:rsidP="00AE34E0" w14:paraId="46440E42" w14:textId="77777777">
      <w:pPr>
        <w:pStyle w:val="Preformatted"/>
        <w:tabs>
          <w:tab w:val="clear" w:pos="959"/>
          <w:tab w:val="left" w:pos="1296"/>
          <w:tab w:val="left" w:pos="1728"/>
          <w:tab w:val="clear" w:pos="1918"/>
          <w:tab w:val="clear" w:pos="2877"/>
          <w:tab w:val="clear" w:pos="3836"/>
          <w:tab w:val="left" w:pos="4176"/>
          <w:tab w:val="clear" w:pos="4795"/>
          <w:tab w:val="clear" w:pos="5754"/>
          <w:tab w:val="clear" w:pos="6713"/>
          <w:tab w:val="clear" w:pos="7672"/>
          <w:tab w:val="clear" w:pos="8631"/>
          <w:tab w:val="clear" w:pos="9590"/>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0086663A" w:rsidRPr="00D43350" w:rsidP="00AE34E0" w14:paraId="3BE3CF18" w14:textId="77777777">
      <w:pPr>
        <w:pStyle w:val="Preformatted"/>
        <w:tabs>
          <w:tab w:val="clear" w:pos="959"/>
          <w:tab w:val="left" w:pos="1296"/>
          <w:tab w:val="left" w:pos="1728"/>
          <w:tab w:val="clear" w:pos="1918"/>
          <w:tab w:val="clear" w:pos="2877"/>
          <w:tab w:val="clear" w:pos="3836"/>
          <w:tab w:val="left" w:pos="4176"/>
          <w:tab w:val="clear" w:pos="4795"/>
          <w:tab w:val="clear" w:pos="5754"/>
          <w:tab w:val="clear" w:pos="6713"/>
          <w:tab w:val="clear" w:pos="7672"/>
          <w:tab w:val="clear" w:pos="8631"/>
          <w:tab w:val="clear" w:pos="9590"/>
        </w:tabs>
        <w:rPr>
          <w:rFonts w:ascii="Times New Roman" w:hAnsi="Times New Roman"/>
          <w:color w:val="000000"/>
          <w:sz w:val="24"/>
          <w:szCs w:val="24"/>
        </w:rPr>
      </w:pPr>
    </w:p>
    <w:p w:rsidR="003206CB" w:rsidRPr="00D43350" w:rsidP="003206CB" w14:paraId="2D8CB2BF" w14:textId="6AED1869">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assessments and national </w:t>
      </w:r>
      <w:r w:rsidRPr="00D43350" w:rsidR="0098622E">
        <w:rPr>
          <w:rFonts w:ascii="Times New Roman" w:hAnsi="Times New Roman" w:cs="Times New Roman"/>
          <w:sz w:val="24"/>
          <w:szCs w:val="24"/>
        </w:rPr>
        <w:t>banks’</w:t>
      </w:r>
      <w:r w:rsidRPr="00D43350" w:rsidR="0098622E">
        <w:rPr>
          <w:rFonts w:ascii="Times New Roman" w:hAnsi="Times New Roman" w:cs="Times New Roman"/>
          <w:sz w:val="24"/>
          <w:szCs w:val="24"/>
        </w:rPr>
        <w:t xml:space="preserve"> and federal savings associations’ semiannual assessment fees.</w:t>
      </w:r>
    </w:p>
    <w:p w:rsidR="003206CB" w:rsidRPr="00D43350" w:rsidP="003206CB" w14:paraId="09B219DD" w14:textId="77777777">
      <w:pPr>
        <w:pStyle w:val="HTMLPreformatted"/>
        <w:rPr>
          <w:rFonts w:ascii="Times New Roman" w:hAnsi="Times New Roman" w:cs="Times New Roman"/>
          <w:sz w:val="24"/>
          <w:szCs w:val="24"/>
        </w:rPr>
      </w:pPr>
    </w:p>
    <w:p w:rsidR="00CA6AE6" w:rsidRPr="00D43350" w:rsidP="0098622E" w14:paraId="1096E9E9" w14:textId="77777777">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00CA6AE6" w:rsidRPr="00D43350" w:rsidP="00AE34E0" w14:paraId="08985315" w14:textId="77777777">
      <w:pPr>
        <w:rPr>
          <w:color w:val="000000"/>
        </w:rPr>
      </w:pPr>
    </w:p>
    <w:p w:rsidR="00CA6AE6" w:rsidRPr="00D43350" w:rsidP="00AE34E0" w14:paraId="56B81263" w14:textId="77777777">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00CA6AE6" w:rsidRPr="00D43350" w:rsidP="00AE34E0" w14:paraId="6EA63DEC" w14:textId="77777777">
      <w:pPr>
        <w:ind w:left="1296"/>
        <w:rPr>
          <w:color w:val="000000"/>
        </w:rPr>
      </w:pPr>
    </w:p>
    <w:p w:rsidR="00CA6AE6" w:rsidRPr="00D43350" w:rsidP="00F6208E" w14:paraId="7AA27E64" w14:textId="77777777">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Pr>
          <w:b/>
          <w:i/>
          <w:color w:val="000000"/>
        </w:rPr>
        <w:t>Efforts to Identify Duplication</w:t>
      </w:r>
      <w:r w:rsidRPr="00D43350">
        <w:rPr>
          <w:color w:val="000000"/>
        </w:rPr>
        <w:t>:</w:t>
      </w:r>
      <w:r w:rsidRPr="00D43350">
        <w:rPr>
          <w:color w:val="000000"/>
        </w:rPr>
        <w:t xml:space="preserve"> </w:t>
      </w:r>
    </w:p>
    <w:p w:rsidR="00CA6AE6" w:rsidRPr="00D43350" w:rsidP="00AE34E0" w14:paraId="46D7C5AD" w14:textId="77777777">
      <w:pPr>
        <w:ind w:left="432"/>
        <w:rPr>
          <w:color w:val="000000"/>
        </w:rPr>
      </w:pPr>
    </w:p>
    <w:p w:rsidR="00296D4F" w:rsidRPr="00554A3D" w:rsidP="00296D4F" w14:paraId="5EC767B8" w14:textId="16E3A916">
      <w:pPr>
        <w:pStyle w:val="BodyTextIndent3"/>
        <w:ind w:left="0"/>
        <w:rPr>
          <w:sz w:val="24"/>
          <w:szCs w:val="24"/>
        </w:rPr>
      </w:pPr>
      <w:r>
        <w:rPr>
          <w:sz w:val="24"/>
          <w:szCs w:val="24"/>
        </w:rPr>
        <w:t xml:space="preserve">            </w:t>
      </w:r>
      <w:r w:rsidRPr="00554A3D">
        <w:rPr>
          <w:sz w:val="24"/>
          <w:szCs w:val="24"/>
        </w:rPr>
        <w:t xml:space="preserve">There is no other series of reporting forms that collect this information from all commercial and savings banks.  Although other information collections are </w:t>
      </w:r>
      <w:r w:rsidRPr="00554A3D">
        <w:rPr>
          <w:sz w:val="24"/>
          <w:szCs w:val="24"/>
        </w:rPr>
        <w:t>similar to</w:t>
      </w:r>
      <w:r w:rsidRPr="00554A3D">
        <w:rPr>
          <w:sz w:val="24"/>
          <w:szCs w:val="24"/>
        </w:rPr>
        <w:t xml:space="preserve"> certain items on the Call Report, the information they collect would be of limited value as a replacement for the Call Report.  </w:t>
      </w:r>
    </w:p>
    <w:p w:rsidR="00CA6AE6" w:rsidRPr="00D43350" w:rsidP="00AE34E0" w14:paraId="22E2F0F0" w14:textId="77777777">
      <w:pPr>
        <w:rPr>
          <w:color w:val="000000"/>
        </w:rPr>
      </w:pPr>
    </w:p>
    <w:p w:rsidR="00CA6AE6" w:rsidRPr="00D43350" w:rsidP="00AE34E0" w14:paraId="7741DAA9" w14:textId="77777777">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Pr>
          <w:b/>
          <w:i/>
          <w:color w:val="000000"/>
        </w:rPr>
        <w:t>Minimizing the Burden on Small Entities</w:t>
      </w:r>
      <w:r w:rsidRPr="00D43350" w:rsidR="00F6208E">
        <w:rPr>
          <w:b/>
          <w:i/>
          <w:color w:val="000000"/>
        </w:rPr>
        <w:t>:</w:t>
      </w:r>
    </w:p>
    <w:p w:rsidR="00CA6AE6" w:rsidRPr="00D43350" w:rsidP="00AE34E0" w14:paraId="346E7D6E" w14:textId="77777777">
      <w:pPr>
        <w:keepNext/>
        <w:ind w:left="1282"/>
        <w:rPr>
          <w:color w:val="000000"/>
        </w:rPr>
      </w:pPr>
    </w:p>
    <w:p w:rsidR="00C0119C" w:rsidRPr="00D43350" w:rsidP="00AE34E0" w14:paraId="0DCEBE81" w14:textId="77777777">
      <w:pPr>
        <w:pStyle w:val="BodyText"/>
        <w:ind w:right="-480" w:firstLine="720"/>
      </w:pPr>
      <w:r w:rsidRPr="00D43350">
        <w:t xml:space="preserve">The agencies attempt to limit the information collected to </w:t>
      </w:r>
      <w:r w:rsidRPr="00D43350">
        <w:t xml:space="preserve">the minimum information needed to evaluate the condition of an institution, regardless of size. </w:t>
      </w:r>
    </w:p>
    <w:p w:rsidR="004324DE" w:rsidRPr="00D43350" w:rsidP="00AE34E0" w14:paraId="4F6F10A9"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D43350" w:rsidP="00AE34E0" w14:paraId="72DF0D44"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00CA6AE6" w:rsidRPr="00554A3D" w:rsidP="00AE34E0" w14:paraId="720CDCCA" w14:textId="77777777">
      <w:pPr>
        <w:widowControl w:val="0"/>
        <w:ind w:left="1282" w:hanging="850"/>
      </w:pPr>
    </w:p>
    <w:p w:rsidR="009872D2" w:rsidRPr="00554A3D" w:rsidP="002A25A0" w14:paraId="727F3195" w14:textId="77777777">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P="002A25A0" w14:paraId="149E193E" w14:textId="77777777">
      <w:pPr>
        <w:tabs>
          <w:tab w:val="left" w:pos="432"/>
          <w:tab w:val="left" w:pos="1296"/>
          <w:tab w:val="left" w:pos="1728"/>
          <w:tab w:val="left" w:pos="4176"/>
        </w:tabs>
        <w:ind w:left="432" w:hanging="432"/>
        <w:rPr>
          <w:color w:val="000000"/>
        </w:rPr>
      </w:pPr>
    </w:p>
    <w:p w:rsidR="00D43350" w:rsidRPr="00D43350" w:rsidP="00D43350" w14:paraId="103B1999" w14:textId="77777777">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00CA6AE6" w:rsidRPr="00554A3D" w:rsidP="002A25A0" w14:paraId="4651AD4B" w14:textId="77777777">
      <w:pPr>
        <w:rPr>
          <w:color w:val="000000"/>
        </w:rPr>
      </w:pPr>
    </w:p>
    <w:p w:rsidR="00CA6AE6" w:rsidRPr="00554A3D" w:rsidP="002A25A0" w14:paraId="4671DE41" w14:textId="77777777">
      <w:pPr>
        <w:ind w:firstLine="720"/>
        <w:rPr>
          <w:color w:val="000000"/>
        </w:rPr>
      </w:pPr>
      <w:r>
        <w:rPr>
          <w:color w:val="000000"/>
        </w:rPr>
        <w:t>Not applicable.</w:t>
      </w:r>
    </w:p>
    <w:p w:rsidR="00CA6AE6" w:rsidRPr="00554A3D" w:rsidP="002A25A0" w14:paraId="19682C72" w14:textId="77777777">
      <w:pPr>
        <w:rPr>
          <w:color w:val="000000"/>
        </w:rPr>
      </w:pPr>
    </w:p>
    <w:p w:rsidR="00CA6AE6" w:rsidP="002A25A0" w14:paraId="4C7DDA2B" w14:textId="211C931E">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B66B3" w:rsidP="002A25A0" w14:paraId="6044AF7A" w14:textId="460CC365">
      <w:pPr>
        <w:tabs>
          <w:tab w:val="left" w:pos="432"/>
          <w:tab w:val="left" w:pos="1296"/>
          <w:tab w:val="left" w:pos="1728"/>
          <w:tab w:val="left" w:pos="4176"/>
        </w:tabs>
        <w:ind w:left="432" w:hanging="432"/>
        <w:rPr>
          <w:b/>
          <w:i/>
          <w:color w:val="000000"/>
        </w:rPr>
      </w:pPr>
    </w:p>
    <w:p w:rsidR="00FB66B3" w:rsidRPr="00FB66B3" w:rsidP="002A25A0" w14:paraId="72B0DEFE" w14:textId="61B984DC">
      <w:pPr>
        <w:tabs>
          <w:tab w:val="left" w:pos="432"/>
          <w:tab w:val="left" w:pos="1296"/>
          <w:tab w:val="left" w:pos="1728"/>
          <w:tab w:val="left" w:pos="4176"/>
        </w:tabs>
        <w:ind w:left="432" w:hanging="432"/>
        <w:rPr>
          <w:b/>
          <w:iCs/>
          <w:color w:val="000000"/>
          <w:u w:val="single"/>
        </w:rPr>
      </w:pPr>
      <w:r>
        <w:rPr>
          <w:b/>
          <w:iCs/>
          <w:color w:val="000000"/>
          <w:u w:val="single"/>
        </w:rPr>
        <w:t>60-Day FRN</w:t>
      </w:r>
    </w:p>
    <w:p w:rsidR="00F11281" w:rsidP="002A25A0" w14:paraId="13278BC6" w14:textId="77777777">
      <w:pPr>
        <w:pStyle w:val="ListParagraph"/>
        <w:ind w:left="0" w:firstLine="720"/>
      </w:pPr>
    </w:p>
    <w:p w:rsidR="00171304" w:rsidP="59C259A5" w14:paraId="0BE243AC" w14:textId="0618465B">
      <w:pPr>
        <w:tabs>
          <w:tab w:val="left" w:pos="432"/>
          <w:tab w:val="left" w:pos="720"/>
        </w:tabs>
        <w:suppressAutoHyphens/>
      </w:pPr>
      <w:r>
        <w:tab/>
      </w:r>
      <w:r w:rsidRPr="009B43C9" w:rsidR="009B43C9">
        <w:t>On February 21, 2023, the agencies proposed revisions to all three versions of the Call Report (FFIEC 031, FFIEC 041 and the FFIEC 051</w:t>
      </w:r>
      <w:r w:rsidR="00557D5F">
        <w:t>)</w:t>
      </w:r>
      <w:r w:rsidRPr="009B43C9" w:rsidR="009B43C9">
        <w:t xml:space="preserve"> to implement these revisions</w:t>
      </w:r>
      <w:r w:rsidR="00557D5F">
        <w:t xml:space="preserve"> (</w:t>
      </w:r>
      <w:r w:rsidR="00557D5F">
        <w:t>88 FR 10644</w:t>
      </w:r>
      <w:r w:rsidR="00557D5F">
        <w:t>)</w:t>
      </w:r>
      <w:r w:rsidRPr="009B43C9" w:rsidR="009B43C9">
        <w:t>. The comment period for the February notice ended on April 24, 2023.</w:t>
      </w:r>
      <w:r w:rsidR="009B43C9">
        <w:t xml:space="preserve"> The agencies received </w:t>
      </w:r>
      <w:r>
        <w:t>three</w:t>
      </w:r>
      <w:r w:rsidR="00557D5F">
        <w:t xml:space="preserve"> </w:t>
      </w:r>
      <w:r w:rsidR="009B43C9">
        <w:t>comments</w:t>
      </w:r>
      <w:r w:rsidR="005F17F2">
        <w:t xml:space="preserve"> that were generally supportive of the changes related to the statutor</w:t>
      </w:r>
      <w:r w:rsidR="00557D5F">
        <w:t>il</w:t>
      </w:r>
      <w:r w:rsidR="005F17F2">
        <w:t>y mandated review.</w:t>
      </w:r>
    </w:p>
    <w:p w:rsidR="00BD6503" w:rsidP="59C259A5" w14:paraId="7C4B1F37" w14:textId="77777777">
      <w:pPr>
        <w:tabs>
          <w:tab w:val="left" w:pos="432"/>
          <w:tab w:val="left" w:pos="720"/>
        </w:tabs>
        <w:suppressAutoHyphens/>
      </w:pPr>
    </w:p>
    <w:p w:rsidR="006A7C68" w:rsidP="59C259A5" w14:paraId="5B542788" w14:textId="2C483AA6">
      <w:pPr>
        <w:tabs>
          <w:tab w:val="left" w:pos="432"/>
          <w:tab w:val="left" w:pos="720"/>
        </w:tabs>
        <w:suppressAutoHyphens/>
      </w:pPr>
      <w:r>
        <w:tab/>
        <w:t>The comment</w:t>
      </w:r>
      <w:r w:rsidR="00BD6503">
        <w:t>ers</w:t>
      </w:r>
      <w:r>
        <w:t xml:space="preserve"> also </w:t>
      </w:r>
      <w:r w:rsidR="00BD6503">
        <w:t>offered</w:t>
      </w:r>
      <w:r>
        <w:t xml:space="preserve"> suggestions related to clarification of </w:t>
      </w:r>
      <w:r w:rsidR="00BD6503">
        <w:t xml:space="preserve">the </w:t>
      </w:r>
      <w:r>
        <w:t xml:space="preserve">reporting </w:t>
      </w:r>
      <w:r w:rsidR="00BD6503">
        <w:t xml:space="preserve">requirements </w:t>
      </w:r>
      <w:r>
        <w:t xml:space="preserve">for certain securitization transactions. The agencies </w:t>
      </w:r>
      <w:r w:rsidR="004008A3">
        <w:t xml:space="preserve">are not taking any action </w:t>
      </w:r>
      <w:r w:rsidR="00BD6503">
        <w:t xml:space="preserve">on these suggestions </w:t>
      </w:r>
      <w:r w:rsidR="004008A3">
        <w:t xml:space="preserve">at this </w:t>
      </w:r>
      <w:r w:rsidR="002E0EA3">
        <w:t>time but</w:t>
      </w:r>
      <w:r w:rsidR="004008A3">
        <w:t xml:space="preserve"> will continue to consider the</w:t>
      </w:r>
      <w:r w:rsidR="00BD6503">
        <w:t>m</w:t>
      </w:r>
      <w:r w:rsidR="004008A3">
        <w:t>.</w:t>
      </w:r>
    </w:p>
    <w:p w:rsidR="00B821FF" w:rsidRPr="005C53B1" w:rsidP="59C259A5" w14:paraId="2EC25269" w14:textId="77777777">
      <w:pPr>
        <w:tabs>
          <w:tab w:val="left" w:pos="432"/>
          <w:tab w:val="left" w:pos="720"/>
        </w:tabs>
        <w:suppressAutoHyphens/>
      </w:pPr>
    </w:p>
    <w:p w:rsidR="008F01A1" w:rsidRPr="00E61D1C" w:rsidP="00E61D1C" w14:paraId="7628B5A1" w14:textId="10BF237B">
      <w:pPr>
        <w:rPr>
          <w:sz w:val="20"/>
          <w:szCs w:val="2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008F01A1" w:rsidRPr="00554A3D" w:rsidP="00AE34E0" w14:paraId="12CCE584" w14:textId="77777777">
      <w:pPr>
        <w:tabs>
          <w:tab w:val="left" w:pos="432"/>
          <w:tab w:val="left" w:pos="1296"/>
          <w:tab w:val="left" w:pos="1728"/>
          <w:tab w:val="left" w:pos="4176"/>
        </w:tabs>
        <w:rPr>
          <w:color w:val="000000"/>
        </w:rPr>
      </w:pPr>
    </w:p>
    <w:p w:rsidR="00CA6AE6" w:rsidRPr="00554A3D" w:rsidP="00AE34E0" w14:paraId="598DAE87" w14:textId="77777777">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00CA6AE6" w:rsidRPr="00554A3D" w:rsidP="00AE34E0" w14:paraId="2B6D4603" w14:textId="77777777">
      <w:pPr>
        <w:tabs>
          <w:tab w:val="left" w:pos="432"/>
          <w:tab w:val="left" w:pos="1296"/>
          <w:tab w:val="left" w:pos="1728"/>
          <w:tab w:val="left" w:pos="4176"/>
        </w:tabs>
        <w:ind w:left="1290"/>
        <w:rPr>
          <w:color w:val="000000"/>
        </w:rPr>
      </w:pPr>
    </w:p>
    <w:p w:rsidR="00CA6AE6" w:rsidRPr="00FD5373" w:rsidP="00AE34E0" w14:paraId="1A23BA2F" w14:textId="77777777">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00CA6AE6" w:rsidRPr="00554A3D" w:rsidP="00AE34E0" w14:paraId="67AA4F6D" w14:textId="77777777">
      <w:pPr>
        <w:tabs>
          <w:tab w:val="left" w:pos="432"/>
          <w:tab w:val="left" w:pos="1296"/>
          <w:tab w:val="left" w:pos="1728"/>
          <w:tab w:val="left" w:pos="4176"/>
        </w:tabs>
        <w:rPr>
          <w:color w:val="000000"/>
        </w:rPr>
      </w:pPr>
    </w:p>
    <w:p w:rsidR="00883889" w:rsidRPr="00554A3D" w:rsidP="00AE34E0" w14:paraId="0BB5E4D7" w14:textId="77777777">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00EF610E" w:rsidRPr="00554A3D" w:rsidP="00AE34E0" w14:paraId="5C18B038" w14:textId="77777777">
      <w:pPr>
        <w:rPr>
          <w:snapToGrid w:val="0"/>
        </w:rPr>
      </w:pPr>
    </w:p>
    <w:p w:rsidR="00CA6AE6" w:rsidRPr="00397D67" w:rsidP="00AE34E0" w14:paraId="3A2D4350" w14:textId="77777777">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00CA6AE6" w:rsidRPr="00554A3D" w:rsidP="00AE34E0" w14:paraId="757C2E46" w14:textId="77777777">
      <w:pPr>
        <w:tabs>
          <w:tab w:val="left" w:pos="432"/>
          <w:tab w:val="left" w:pos="1296"/>
          <w:tab w:val="left" w:pos="1728"/>
          <w:tab w:val="left" w:pos="4176"/>
        </w:tabs>
        <w:rPr>
          <w:color w:val="000000"/>
        </w:rPr>
      </w:pPr>
    </w:p>
    <w:p w:rsidR="00CA6AE6" w:rsidRPr="00554A3D" w:rsidP="00AE34E0" w14:paraId="380827F2" w14:textId="77777777">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P="00AE34E0" w14:paraId="2BF133C6" w14:textId="77777777">
      <w:pPr>
        <w:tabs>
          <w:tab w:val="left" w:pos="432"/>
          <w:tab w:val="left" w:pos="1296"/>
          <w:tab w:val="left" w:pos="1728"/>
          <w:tab w:val="left" w:pos="4176"/>
        </w:tabs>
        <w:rPr>
          <w:color w:val="000000"/>
        </w:rPr>
      </w:pPr>
    </w:p>
    <w:p w:rsidR="004D05FB" w:rsidP="59C259A5" w14:paraId="5F5C09FF" w14:textId="77777777">
      <w:pPr>
        <w:keepLines/>
        <w:numPr>
          <w:ilvl w:val="0"/>
          <w:numId w:val="7"/>
        </w:numPr>
        <w:tabs>
          <w:tab w:val="left" w:pos="432"/>
          <w:tab w:val="left" w:pos="1728"/>
          <w:tab w:val="left" w:pos="4176"/>
        </w:tabs>
        <w:ind w:left="432" w:hanging="432"/>
        <w:rPr>
          <w:b/>
          <w:bCs/>
          <w:i/>
          <w:iCs/>
          <w:color w:val="000000"/>
        </w:rPr>
      </w:pPr>
      <w:r w:rsidRPr="59C259A5">
        <w:rPr>
          <w:b/>
          <w:bCs/>
          <w:i/>
          <w:iCs/>
          <w:color w:val="000000" w:themeColor="text1"/>
        </w:rPr>
        <w:t xml:space="preserve">   </w:t>
      </w:r>
      <w:r w:rsidRPr="59C259A5" w:rsidR="00CA6AE6">
        <w:rPr>
          <w:b/>
          <w:bCs/>
          <w:i/>
          <w:iCs/>
          <w:color w:val="000000" w:themeColor="text1"/>
        </w:rPr>
        <w:t>Estimate of Annual Burden</w:t>
      </w:r>
      <w:r w:rsidRPr="59C259A5" w:rsidR="00397D67">
        <w:rPr>
          <w:b/>
          <w:bCs/>
          <w:i/>
          <w:iCs/>
          <w:color w:val="000000" w:themeColor="text1"/>
        </w:rPr>
        <w:t>:</w:t>
      </w:r>
    </w:p>
    <w:p w:rsidR="006A71AF" w:rsidRPr="00554A3D" w:rsidP="006A71AF" w14:paraId="68F85805" w14:textId="77777777">
      <w:pPr>
        <w:keepLines/>
        <w:tabs>
          <w:tab w:val="left" w:pos="432"/>
          <w:tab w:val="left" w:pos="1728"/>
          <w:tab w:val="left" w:pos="4176"/>
        </w:tabs>
        <w:rPr>
          <w:color w:val="000000"/>
          <w:u w:val="single"/>
        </w:rPr>
      </w:pPr>
    </w:p>
    <w:p w:rsidR="000F4A82" w:rsidRPr="000F4A82" w:rsidP="00561D75" w14:paraId="18223792" w14:textId="43CADB72">
      <w:pPr>
        <w:ind w:left="720" w:hanging="274"/>
        <w:rPr>
          <w:b/>
          <w:bCs/>
          <w:snapToGrid w:val="0"/>
        </w:rPr>
      </w:pPr>
      <w:r w:rsidRPr="00554A3D">
        <w:rPr>
          <w:snapToGrid w:val="0"/>
        </w:rPr>
        <w:t xml:space="preserve"> </w:t>
      </w:r>
      <w:r w:rsidRPr="00554A3D" w:rsidR="000D3228">
        <w:rPr>
          <w:snapToGrid w:val="0"/>
        </w:rPr>
        <w:t xml:space="preserve">  </w:t>
      </w:r>
      <w:r w:rsidRPr="000F4A82">
        <w:rPr>
          <w:b/>
          <w:bCs/>
          <w:snapToGrid w:val="0"/>
        </w:rPr>
        <w:t xml:space="preserve">Aggregated </w:t>
      </w:r>
      <w:r w:rsidR="005A5393">
        <w:rPr>
          <w:b/>
          <w:bCs/>
          <w:snapToGrid w:val="0"/>
        </w:rPr>
        <w:t>Estimates</w:t>
      </w:r>
      <w:r w:rsidRPr="000F4A82">
        <w:rPr>
          <w:b/>
          <w:bCs/>
          <w:snapToGrid w:val="0"/>
        </w:rPr>
        <w:t>:</w:t>
      </w:r>
    </w:p>
    <w:p w:rsidR="000F4A82" w:rsidP="00561D75" w14:paraId="7C30C1A0" w14:textId="77777777">
      <w:pPr>
        <w:ind w:left="720" w:hanging="274"/>
        <w:rPr>
          <w:snapToGrid w:val="0"/>
        </w:rPr>
      </w:pPr>
    </w:p>
    <w:p w:rsidR="006A71AF" w:rsidRPr="00554A3D" w:rsidP="000F4A82" w14:paraId="1A55B699" w14:textId="68EED803">
      <w:pPr>
        <w:ind w:left="720" w:hanging="274"/>
        <w:rPr>
          <w:snapToGrid w:val="0"/>
        </w:rPr>
      </w:pPr>
      <w:r>
        <w:rPr>
          <w:snapToGrid w:val="0"/>
        </w:rPr>
        <w:t xml:space="preserve">   </w:t>
      </w:r>
      <w:r w:rsidRPr="00554A3D">
        <w:rPr>
          <w:snapToGrid w:val="0"/>
        </w:rPr>
        <w:t xml:space="preserve">Estimated Number of Respondents:  </w:t>
      </w:r>
      <w:r w:rsidR="006053B1">
        <w:rPr>
          <w:snapToGrid w:val="0"/>
        </w:rPr>
        <w:t>1,0</w:t>
      </w:r>
      <w:r w:rsidR="00D11A38">
        <w:rPr>
          <w:snapToGrid w:val="0"/>
        </w:rPr>
        <w:t>15</w:t>
      </w:r>
      <w:r w:rsidRPr="00554A3D" w:rsidR="00990145">
        <w:rPr>
          <w:snapToGrid w:val="0"/>
        </w:rPr>
        <w:t xml:space="preserve"> </w:t>
      </w:r>
      <w:r w:rsidRPr="00554A3D">
        <w:rPr>
          <w:snapToGrid w:val="0"/>
        </w:rPr>
        <w:t xml:space="preserve">national banks and federal savings </w:t>
      </w:r>
    </w:p>
    <w:p w:rsidR="00561D75" w:rsidRPr="00554A3D" w:rsidP="00561D75" w14:paraId="654ACBF2" w14:textId="1E4B2CCC">
      <w:pPr>
        <w:ind w:left="720" w:hanging="274"/>
        <w:rPr>
          <w:snapToGrid w:val="0"/>
        </w:rPr>
      </w:pPr>
      <w:r>
        <w:rPr>
          <w:snapToGrid w:val="0"/>
        </w:rPr>
        <w:t xml:space="preserve">   </w:t>
      </w:r>
      <w:r w:rsidRPr="00554A3D" w:rsidR="006A71AF">
        <w:rPr>
          <w:snapToGrid w:val="0"/>
        </w:rPr>
        <w:t xml:space="preserve">associations.     </w:t>
      </w:r>
    </w:p>
    <w:p w:rsidR="006A71AF" w:rsidRPr="00554A3D" w:rsidP="00561D75" w14:paraId="017EDDE2" w14:textId="77777777">
      <w:pPr>
        <w:ind w:left="720" w:hanging="274"/>
        <w:rPr>
          <w:snapToGrid w:val="0"/>
        </w:rPr>
      </w:pPr>
      <w:r w:rsidRPr="00554A3D">
        <w:rPr>
          <w:snapToGrid w:val="0"/>
        </w:rPr>
        <w:t xml:space="preserve">               </w:t>
      </w:r>
    </w:p>
    <w:p w:rsidR="006A71AF" w:rsidP="006A71AF" w14:paraId="7B12C7D8" w14:textId="4D744048">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6053B1">
        <w:rPr>
          <w:snapToGrid w:val="0"/>
        </w:rPr>
        <w:t>40</w:t>
      </w:r>
      <w:r w:rsidR="006949E0">
        <w:rPr>
          <w:snapToGrid w:val="0"/>
        </w:rPr>
        <w:t>.</w:t>
      </w:r>
      <w:r w:rsidR="00B344DD">
        <w:rPr>
          <w:snapToGrid w:val="0"/>
        </w:rPr>
        <w:t>68</w:t>
      </w:r>
      <w:r w:rsidRPr="00554A3D" w:rsidR="00B344DD">
        <w:rPr>
          <w:snapToGrid w:val="0"/>
        </w:rPr>
        <w:t xml:space="preserve"> </w:t>
      </w:r>
      <w:r w:rsidRPr="00554A3D">
        <w:rPr>
          <w:snapToGrid w:val="0"/>
        </w:rPr>
        <w:t>burden hours per quarter to file.</w:t>
      </w:r>
    </w:p>
    <w:p w:rsidR="004526A3" w:rsidRPr="00554A3D" w:rsidP="006A71AF" w14:paraId="5495DD4F" w14:textId="7BE9E966">
      <w:pPr>
        <w:spacing w:line="480" w:lineRule="auto"/>
        <w:ind w:hanging="270"/>
        <w:rPr>
          <w:snapToGrid w:val="0"/>
        </w:rPr>
      </w:pPr>
      <w:r>
        <w:rPr>
          <w:snapToGrid w:val="0"/>
        </w:rPr>
        <w:tab/>
        <w:t xml:space="preserve">          Estimated Recordkeeping Burden for Attestation:  0 hours.</w:t>
      </w:r>
    </w:p>
    <w:p w:rsidR="001D5FDB" w:rsidRPr="00481EE1" w:rsidP="00481EE1" w14:paraId="2BF65476" w14:textId="65191DAE">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Pr="004D59F2" w:rsidR="004D59F2">
        <w:rPr>
          <w:snapToGrid w:val="0"/>
        </w:rPr>
        <w:t>1</w:t>
      </w:r>
      <w:r w:rsidR="006949E0">
        <w:rPr>
          <w:snapToGrid w:val="0"/>
        </w:rPr>
        <w:t>6</w:t>
      </w:r>
      <w:r w:rsidR="00D11A38">
        <w:rPr>
          <w:snapToGrid w:val="0"/>
        </w:rPr>
        <w:t>5</w:t>
      </w:r>
      <w:r w:rsidR="006949E0">
        <w:rPr>
          <w:snapToGrid w:val="0"/>
        </w:rPr>
        <w:t>,</w:t>
      </w:r>
      <w:r w:rsidR="00B344DD">
        <w:rPr>
          <w:snapToGrid w:val="0"/>
        </w:rPr>
        <w:t>161</w:t>
      </w:r>
      <w:r w:rsidR="0004313B">
        <w:rPr>
          <w:snapToGrid w:val="0"/>
        </w:rPr>
        <w:t xml:space="preserve"> </w:t>
      </w:r>
      <w:r w:rsidRPr="00554A3D">
        <w:rPr>
          <w:snapToGrid w:val="0"/>
        </w:rPr>
        <w:t xml:space="preserve">burden hours to file.   </w:t>
      </w:r>
    </w:p>
    <w:p w:rsidR="00CA6AE6" w:rsidRPr="00554A3D" w:rsidP="00AE34E0" w14:paraId="597F79E2" w14:textId="7EF8DAFF">
      <w:pPr>
        <w:ind w:right="-480"/>
        <w:rPr>
          <w:lang w:val="en-CA"/>
        </w:rPr>
      </w:pPr>
      <w:r w:rsidRPr="00554A3D">
        <w:rPr>
          <w:lang w:val="en-CA"/>
        </w:rPr>
        <w:t>The OCC estimates the cost of the hour burden to respondents as follows:</w:t>
      </w:r>
    </w:p>
    <w:p w:rsidR="00CA6AE6" w:rsidRPr="00554A3D" w:rsidP="00AE34E0" w14:paraId="0A73AE71" w14:textId="77777777">
      <w:pPr>
        <w:ind w:right="-480"/>
        <w:rPr>
          <w:lang w:val="en-CA"/>
        </w:rPr>
      </w:pPr>
    </w:p>
    <w:p w:rsidR="00A152A7" w:rsidP="00AE34E0" w14:paraId="12F7E8A4" w14:textId="29DB1F09">
      <w:pPr>
        <w:ind w:right="-480"/>
        <w:rPr>
          <w:color w:val="000000"/>
        </w:rPr>
      </w:pPr>
      <w:r w:rsidRPr="004D59F2">
        <w:rPr>
          <w:snapToGrid w:val="0"/>
        </w:rPr>
        <w:t>1</w:t>
      </w:r>
      <w:r w:rsidR="006949E0">
        <w:rPr>
          <w:snapToGrid w:val="0"/>
        </w:rPr>
        <w:t>6</w:t>
      </w:r>
      <w:r w:rsidR="00D11A38">
        <w:rPr>
          <w:snapToGrid w:val="0"/>
        </w:rPr>
        <w:t>5,</w:t>
      </w:r>
      <w:r w:rsidR="00B344DD">
        <w:rPr>
          <w:snapToGrid w:val="0"/>
        </w:rPr>
        <w:t>161</w:t>
      </w:r>
      <w:r w:rsidR="00D60BA1">
        <w:rPr>
          <w:color w:val="000000"/>
        </w:rPr>
        <w:t xml:space="preserve"> hours @ $</w:t>
      </w:r>
      <w:r w:rsidR="00274373">
        <w:rPr>
          <w:color w:val="000000"/>
        </w:rPr>
        <w:t>128.05</w:t>
      </w:r>
      <w:r w:rsidR="00274373">
        <w:rPr>
          <w:color w:val="000000"/>
        </w:rPr>
        <w:t xml:space="preserve"> </w:t>
      </w:r>
      <w:r w:rsidR="00145A6A">
        <w:rPr>
          <w:color w:val="000000"/>
        </w:rPr>
        <w:t xml:space="preserve">/hour = </w:t>
      </w:r>
      <w:r w:rsidRPr="004D59F2" w:rsidR="00145A6A">
        <w:rPr>
          <w:color w:val="000000"/>
        </w:rPr>
        <w:t>$</w:t>
      </w:r>
      <w:r w:rsidR="00274373">
        <w:rPr>
          <w:color w:val="000000"/>
        </w:rPr>
        <w:t>21,</w:t>
      </w:r>
      <w:r w:rsidR="00B344DD">
        <w:rPr>
          <w:color w:val="000000"/>
        </w:rPr>
        <w:t>148,866</w:t>
      </w:r>
    </w:p>
    <w:p w:rsidR="00F05158" w:rsidP="00AE34E0" w14:paraId="4BA488E9" w14:textId="77777777">
      <w:pPr>
        <w:ind w:right="-480"/>
        <w:rPr>
          <w:color w:val="000000"/>
        </w:rPr>
      </w:pPr>
    </w:p>
    <w:p w:rsidR="00274373" w:rsidRPr="00274373" w:rsidP="00FD6A07" w14:paraId="3F76F85C" w14:textId="77777777">
      <w:pPr>
        <w:ind w:firstLine="720"/>
        <w:rPr>
          <w:color w:val="000000"/>
        </w:rPr>
      </w:pPr>
      <w:r w:rsidRPr="00274373">
        <w:rPr>
          <w:color w:val="000000"/>
        </w:rPr>
        <w:t xml:space="preserve">To estimate wages the OCC reviewed May 2022 data for wages (by industry and occupation) from the U.S. Bureau of Labor Statistics (BLS) for credit intermediation and related activities (NAICS 5220A1).  To estimate compensation costs associated with the rule, the OCC uses $128.05 per hour, which is based on the average of the 90th percentile for six occupations </w:t>
      </w:r>
      <w:r w:rsidRPr="00274373">
        <w:rPr>
          <w:color w:val="000000"/>
        </w:rPr>
        <w:t>adjusted for inflation (5.1 percent as of Q1 2023), plus an additional 34.3 percent for benefits (based on the percent of total compensation allocated to benefits as of Q4 2022 for NAICS 522: credit intermediation and related activities).</w:t>
      </w:r>
    </w:p>
    <w:p w:rsidR="00481EE1" w:rsidP="00FB1545" w14:paraId="2ABE1BA9" w14:textId="5A37EBC0">
      <w:pPr>
        <w:rPr>
          <w:color w:val="000000"/>
        </w:rPr>
      </w:pPr>
    </w:p>
    <w:p w:rsidR="00481EE1" w:rsidRPr="000F4A82" w:rsidP="00481EE1" w14:paraId="1942E40A" w14:textId="77777777">
      <w:pPr>
        <w:ind w:right="-480"/>
        <w:rPr>
          <w:b/>
          <w:bCs/>
          <w:lang w:val="en-CA"/>
        </w:rPr>
      </w:pPr>
      <w:r w:rsidRPr="000F4A82">
        <w:rPr>
          <w:b/>
          <w:bCs/>
          <w:lang w:val="en-CA"/>
        </w:rPr>
        <w:t xml:space="preserve">          Breakdown reflected in ICR:</w:t>
      </w:r>
    </w:p>
    <w:p w:rsidR="00481EE1" w:rsidP="00481EE1" w14:paraId="36331C2A" w14:textId="77777777">
      <w:pPr>
        <w:ind w:right="-480"/>
        <w:rPr>
          <w:lang w:val="en-CA"/>
        </w:rPr>
      </w:pPr>
    </w:p>
    <w:p w:rsidR="00481EE1" w:rsidP="00481EE1" w14:paraId="61CC4A80" w14:textId="695AB71A">
      <w:pPr>
        <w:ind w:right="-480"/>
        <w:rPr>
          <w:lang w:val="en-CA"/>
        </w:rPr>
      </w:pPr>
      <w:r>
        <w:rPr>
          <w:lang w:val="en-CA"/>
        </w:rPr>
        <w:tab/>
      </w:r>
      <w:r>
        <w:rPr>
          <w:lang w:val="en-CA"/>
        </w:rPr>
        <w:tab/>
        <w:t xml:space="preserve">FFIEC 031:  </w:t>
      </w:r>
      <w:r w:rsidR="00C42106">
        <w:rPr>
          <w:lang w:val="en-CA"/>
        </w:rPr>
        <w:t xml:space="preserve">40 </w:t>
      </w:r>
      <w:r>
        <w:rPr>
          <w:lang w:val="en-CA"/>
        </w:rPr>
        <w:t xml:space="preserve">respondents x </w:t>
      </w:r>
      <w:r w:rsidR="005F12FF">
        <w:rPr>
          <w:lang w:val="en-CA"/>
        </w:rPr>
        <w:t>90.98</w:t>
      </w:r>
      <w:r>
        <w:rPr>
          <w:lang w:val="en-CA"/>
        </w:rPr>
        <w:t xml:space="preserve"> hours x 4 = </w:t>
      </w:r>
      <w:r w:rsidR="00C42106">
        <w:rPr>
          <w:lang w:val="en-CA"/>
        </w:rPr>
        <w:t>14,</w:t>
      </w:r>
      <w:r w:rsidR="00B344DD">
        <w:rPr>
          <w:lang w:val="en-CA"/>
        </w:rPr>
        <w:t>556</w:t>
      </w:r>
      <w:r>
        <w:rPr>
          <w:lang w:val="en-CA"/>
        </w:rPr>
        <w:t xml:space="preserve"> hours</w:t>
      </w:r>
    </w:p>
    <w:p w:rsidR="00481EE1" w:rsidP="00481EE1" w14:paraId="75530922" w14:textId="0E9C0EAB">
      <w:pPr>
        <w:ind w:right="-480"/>
        <w:rPr>
          <w:lang w:val="en-CA"/>
        </w:rPr>
      </w:pPr>
      <w:r>
        <w:rPr>
          <w:lang w:val="en-CA"/>
        </w:rPr>
        <w:tab/>
      </w:r>
      <w:r>
        <w:rPr>
          <w:lang w:val="en-CA"/>
        </w:rPr>
        <w:tab/>
        <w:t xml:space="preserve">FFIEC 041:  </w:t>
      </w:r>
      <w:r w:rsidR="00C42106">
        <w:rPr>
          <w:lang w:val="en-CA"/>
        </w:rPr>
        <w:t xml:space="preserve">267 </w:t>
      </w:r>
      <w:r>
        <w:rPr>
          <w:lang w:val="en-CA"/>
        </w:rPr>
        <w:t xml:space="preserve">respondents x </w:t>
      </w:r>
      <w:r w:rsidR="005F12FF">
        <w:rPr>
          <w:lang w:val="en-CA"/>
        </w:rPr>
        <w:t>53.45</w:t>
      </w:r>
      <w:r>
        <w:rPr>
          <w:lang w:val="en-CA"/>
        </w:rPr>
        <w:t xml:space="preserve"> hours x 4 = 5</w:t>
      </w:r>
      <w:r w:rsidR="008E2E80">
        <w:rPr>
          <w:lang w:val="en-CA"/>
        </w:rPr>
        <w:t>7,</w:t>
      </w:r>
      <w:r w:rsidR="00B344DD">
        <w:rPr>
          <w:lang w:val="en-CA"/>
        </w:rPr>
        <w:t>080</w:t>
      </w:r>
      <w:r>
        <w:rPr>
          <w:lang w:val="en-CA"/>
        </w:rPr>
        <w:t xml:space="preserve"> hours</w:t>
      </w:r>
    </w:p>
    <w:p w:rsidR="00481EE1" w:rsidP="00481EE1" w14:paraId="0D924821" w14:textId="0AE919D1">
      <w:pPr>
        <w:ind w:right="-480"/>
        <w:rPr>
          <w:lang w:val="en-CA"/>
        </w:rPr>
      </w:pPr>
      <w:r>
        <w:rPr>
          <w:lang w:val="en-CA"/>
        </w:rPr>
        <w:tab/>
      </w:r>
      <w:r>
        <w:rPr>
          <w:lang w:val="en-CA"/>
        </w:rPr>
        <w:tab/>
        <w:t xml:space="preserve">FFIEC 051:  </w:t>
      </w:r>
      <w:r w:rsidR="00C42106">
        <w:rPr>
          <w:lang w:val="en-CA"/>
        </w:rPr>
        <w:t xml:space="preserve">708 </w:t>
      </w:r>
      <w:r>
        <w:rPr>
          <w:lang w:val="en-CA"/>
        </w:rPr>
        <w:t xml:space="preserve">respondents x </w:t>
      </w:r>
      <w:r w:rsidR="0023780D">
        <w:rPr>
          <w:lang w:val="en-CA"/>
        </w:rPr>
        <w:t>33.02</w:t>
      </w:r>
      <w:r>
        <w:rPr>
          <w:lang w:val="en-CA"/>
        </w:rPr>
        <w:t xml:space="preserve"> hours x 4 = </w:t>
      </w:r>
      <w:r w:rsidR="00B344DD">
        <w:rPr>
          <w:lang w:val="en-CA"/>
        </w:rPr>
        <w:t>93,522</w:t>
      </w:r>
      <w:r w:rsidR="00C42106">
        <w:rPr>
          <w:lang w:val="en-CA"/>
        </w:rPr>
        <w:t xml:space="preserve"> </w:t>
      </w:r>
      <w:r>
        <w:rPr>
          <w:lang w:val="en-CA"/>
        </w:rPr>
        <w:t>hours</w:t>
      </w:r>
    </w:p>
    <w:p w:rsidR="00481EE1" w:rsidRPr="00481EE1" w:rsidP="00481EE1" w14:paraId="2E5BF7EC" w14:textId="2B90141C">
      <w:pPr>
        <w:ind w:right="-480"/>
        <w:rPr>
          <w:lang w:val="en-CA"/>
        </w:rPr>
      </w:pPr>
      <w:r>
        <w:rPr>
          <w:lang w:val="en-CA"/>
        </w:rPr>
        <w:tab/>
      </w:r>
      <w:r>
        <w:rPr>
          <w:lang w:val="en-CA"/>
        </w:rPr>
        <w:tab/>
        <w:t xml:space="preserve">Total:  </w:t>
      </w:r>
      <w:r w:rsidR="00F54958">
        <w:rPr>
          <w:lang w:val="en-CA"/>
        </w:rPr>
        <w:t>16</w:t>
      </w:r>
      <w:r w:rsidR="00C42106">
        <w:rPr>
          <w:lang w:val="en-CA"/>
        </w:rPr>
        <w:t>5,</w:t>
      </w:r>
      <w:r w:rsidR="00B344DD">
        <w:rPr>
          <w:lang w:val="en-CA"/>
        </w:rPr>
        <w:t>161</w:t>
      </w:r>
      <w:r>
        <w:rPr>
          <w:lang w:val="en-CA"/>
        </w:rPr>
        <w:t xml:space="preserve"> hours</w:t>
      </w:r>
      <w:r w:rsidR="00256A75">
        <w:rPr>
          <w:lang w:val="en-CA"/>
        </w:rPr>
        <w:t xml:space="preserve"> (includes +3 hours due to rounding in totals)</w:t>
      </w:r>
    </w:p>
    <w:p w:rsidR="00D513AB" w:rsidP="00AE34E0" w14:paraId="668A49D4" w14:textId="77777777">
      <w:pPr>
        <w:ind w:right="-480"/>
        <w:rPr>
          <w:color w:val="000000"/>
        </w:rPr>
      </w:pPr>
    </w:p>
    <w:p w:rsidR="00CA6AE6" w:rsidRPr="00397D67" w:rsidP="00AE34E0" w14:paraId="623F463F" w14:textId="77777777">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00CA6AE6" w:rsidRPr="00554A3D" w:rsidP="00AE34E0" w14:paraId="3076D5E0" w14:textId="77777777">
      <w:pPr>
        <w:pStyle w:val="BodyText"/>
        <w:ind w:right="-480"/>
      </w:pPr>
      <w:r w:rsidRPr="00554A3D">
        <w:t xml:space="preserve">          </w:t>
      </w:r>
    </w:p>
    <w:p w:rsidR="00CA6AE6" w:rsidRPr="00554A3D" w:rsidP="00AE34E0" w14:paraId="59F7B6EF" w14:textId="77777777">
      <w:pPr>
        <w:pStyle w:val="BodyText"/>
        <w:tabs>
          <w:tab w:val="left" w:pos="720"/>
        </w:tabs>
        <w:ind w:firstLine="720"/>
      </w:pPr>
      <w:r w:rsidRPr="00554A3D">
        <w:t>Not applicable.</w:t>
      </w:r>
    </w:p>
    <w:p w:rsidR="00CA6AE6" w:rsidRPr="00554A3D" w:rsidP="00AE34E0" w14:paraId="0F31D062" w14:textId="77777777">
      <w:pPr>
        <w:pStyle w:val="BodyText"/>
        <w:spacing w:after="0"/>
      </w:pPr>
    </w:p>
    <w:p w:rsidR="00CA6AE6" w:rsidRPr="008700CD" w:rsidP="00AE34E0" w14:paraId="0514061D" w14:textId="77777777">
      <w:pPr>
        <w:numPr>
          <w:ilvl w:val="0"/>
          <w:numId w:val="3"/>
        </w:numPr>
        <w:tabs>
          <w:tab w:val="left" w:pos="432"/>
          <w:tab w:val="left" w:pos="1728"/>
          <w:tab w:val="left" w:pos="4176"/>
        </w:tabs>
        <w:ind w:left="432" w:hanging="432"/>
        <w:rPr>
          <w:b/>
          <w:i/>
          <w:color w:val="000000"/>
        </w:rPr>
      </w:pPr>
      <w:r>
        <w:rPr>
          <w:b/>
          <w:i/>
          <w:color w:val="000000"/>
        </w:rPr>
        <w:t xml:space="preserve">    </w:t>
      </w:r>
      <w:r w:rsidRPr="008700CD">
        <w:rPr>
          <w:b/>
          <w:i/>
          <w:color w:val="000000"/>
        </w:rPr>
        <w:t>Estimates of Annualized Cost to the Federal Government</w:t>
      </w:r>
      <w:r w:rsidR="008700CD">
        <w:rPr>
          <w:b/>
          <w:i/>
          <w:color w:val="000000"/>
        </w:rPr>
        <w:t>:</w:t>
      </w:r>
    </w:p>
    <w:p w:rsidR="00CA6AE6" w:rsidRPr="00554A3D" w:rsidP="00AE34E0" w14:paraId="6C3B3716" w14:textId="77777777">
      <w:pPr>
        <w:tabs>
          <w:tab w:val="left" w:pos="432"/>
          <w:tab w:val="left" w:pos="1296"/>
          <w:tab w:val="left" w:pos="1728"/>
          <w:tab w:val="left" w:pos="4176"/>
        </w:tabs>
        <w:rPr>
          <w:color w:val="000000"/>
        </w:rPr>
      </w:pPr>
    </w:p>
    <w:p w:rsidR="00CA6AE6" w:rsidRPr="00554A3D" w:rsidP="00AE34E0" w14:paraId="36BD3BCE" w14:textId="77777777">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00CA6AE6" w:rsidRPr="00554A3D" w:rsidP="00AE34E0" w14:paraId="14AC2E92" w14:textId="77777777">
      <w:pPr>
        <w:rPr>
          <w:color w:val="000000"/>
        </w:rPr>
      </w:pPr>
    </w:p>
    <w:p w:rsidR="00F76F5F" w:rsidP="59C259A5" w14:paraId="2C835D9F" w14:textId="77777777">
      <w:pPr>
        <w:tabs>
          <w:tab w:val="left" w:pos="432"/>
          <w:tab w:val="left" w:pos="1728"/>
          <w:tab w:val="left" w:pos="4176"/>
        </w:tabs>
        <w:rPr>
          <w:b/>
          <w:bCs/>
          <w:i/>
          <w:iCs/>
          <w:color w:val="000000"/>
        </w:rPr>
      </w:pPr>
      <w:r w:rsidRPr="59C259A5">
        <w:rPr>
          <w:b/>
          <w:bCs/>
          <w:i/>
          <w:iCs/>
          <w:color w:val="000000" w:themeColor="text1"/>
        </w:rPr>
        <w:t xml:space="preserve">15. </w:t>
      </w:r>
      <w:r w:rsidRPr="59C259A5" w:rsidR="00F31B88">
        <w:rPr>
          <w:b/>
          <w:bCs/>
          <w:i/>
          <w:iCs/>
          <w:color w:val="000000" w:themeColor="text1"/>
        </w:rPr>
        <w:t xml:space="preserve">     </w:t>
      </w:r>
      <w:r w:rsidRPr="59C259A5">
        <w:rPr>
          <w:b/>
          <w:bCs/>
          <w:i/>
          <w:iCs/>
          <w:color w:val="000000" w:themeColor="text1"/>
        </w:rPr>
        <w:t>Change in Burden</w:t>
      </w:r>
      <w:r w:rsidRPr="59C259A5" w:rsidR="008700CD">
        <w:rPr>
          <w:b/>
          <w:bCs/>
          <w:i/>
          <w:iCs/>
          <w:color w:val="000000" w:themeColor="text1"/>
        </w:rPr>
        <w:t>:</w:t>
      </w:r>
    </w:p>
    <w:p w:rsidR="00F76F5F" w:rsidP="00F76F5F" w14:paraId="46AB7AA6" w14:textId="77777777">
      <w:pPr>
        <w:tabs>
          <w:tab w:val="left" w:pos="432"/>
          <w:tab w:val="left" w:pos="1728"/>
          <w:tab w:val="left" w:pos="4176"/>
        </w:tabs>
        <w:rPr>
          <w:b/>
          <w:i/>
          <w:color w:val="000000"/>
        </w:rPr>
      </w:pPr>
    </w:p>
    <w:p w:rsidR="00CA6AE6" w:rsidP="00447E39" w14:paraId="2AC4B3E3" w14:textId="76436350">
      <w:r>
        <w:tab/>
      </w:r>
      <w:r w:rsidR="00863017">
        <w:t xml:space="preserve">The </w:t>
      </w:r>
      <w:r w:rsidR="003F2418">
        <w:t xml:space="preserve">reduction of </w:t>
      </w:r>
      <w:r w:rsidR="00C42106">
        <w:t>1</w:t>
      </w:r>
      <w:r w:rsidR="00B344DD">
        <w:t>8</w:t>
      </w:r>
      <w:r w:rsidR="00C42106">
        <w:t>,</w:t>
      </w:r>
      <w:r w:rsidR="00B344DD">
        <w:t>395</w:t>
      </w:r>
      <w:r w:rsidR="003F2418">
        <w:t xml:space="preserve"> burden hours, </w:t>
      </w:r>
      <w:r w:rsidR="00E71C2B">
        <w:t xml:space="preserve">from 183,556 hours to </w:t>
      </w:r>
      <w:r w:rsidR="003F2418">
        <w:t>16</w:t>
      </w:r>
      <w:r w:rsidR="00C42106">
        <w:t>5,</w:t>
      </w:r>
      <w:r w:rsidR="00B344DD">
        <w:t>161</w:t>
      </w:r>
      <w:r w:rsidR="003F2418">
        <w:t xml:space="preserve"> hours, </w:t>
      </w:r>
      <w:r w:rsidR="00863017">
        <w:t xml:space="preserve">is due to the reduction of institutions </w:t>
      </w:r>
      <w:r w:rsidR="00AF42E0">
        <w:t xml:space="preserve">filing the Call Report and a reduction of items collected on the Call Report. The number of filers decreased </w:t>
      </w:r>
      <w:r w:rsidR="00863017">
        <w:t xml:space="preserve">from </w:t>
      </w:r>
      <w:r w:rsidR="00AF42E0">
        <w:t>1,090 to 1,</w:t>
      </w:r>
      <w:r w:rsidR="00C42106">
        <w:t>015</w:t>
      </w:r>
      <w:r w:rsidR="00AF42E0">
        <w:t xml:space="preserve">, resulting in a </w:t>
      </w:r>
      <w:r w:rsidR="00E71C2B">
        <w:t xml:space="preserve">reduction of </w:t>
      </w:r>
      <w:r w:rsidR="00C42106">
        <w:t>12,630</w:t>
      </w:r>
      <w:r w:rsidR="00E71C2B">
        <w:t xml:space="preserve"> burden hours. </w:t>
      </w:r>
      <w:r w:rsidR="003F2418">
        <w:t xml:space="preserve">The average burden per form decreased from 42.10 hours to </w:t>
      </w:r>
      <w:r w:rsidR="007355E6">
        <w:t>40.</w:t>
      </w:r>
      <w:r w:rsidR="00B344DD">
        <w:t xml:space="preserve">68 </w:t>
      </w:r>
      <w:r w:rsidR="007355E6">
        <w:t>hours per quarter, leading to a reduction of 5,</w:t>
      </w:r>
      <w:r w:rsidR="00B344DD">
        <w:t>765</w:t>
      </w:r>
      <w:r w:rsidR="00C42106">
        <w:t xml:space="preserve"> </w:t>
      </w:r>
      <w:r w:rsidR="006949E0">
        <w:t>hours for all remaining filers.</w:t>
      </w:r>
    </w:p>
    <w:p w:rsidR="004928D3" w:rsidRPr="00554A3D" w:rsidP="00447E39" w14:paraId="42DCD7B3" w14:textId="17B6E8D7">
      <w:pPr>
        <w:rPr>
          <w:color w:val="000000"/>
        </w:rPr>
      </w:pPr>
    </w:p>
    <w:p w:rsidR="00EF5732" w:rsidRPr="002F670D" w:rsidP="00447E39" w14:paraId="5735C78E" w14:textId="77777777">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14:paraId="4535865A" w14:textId="77777777">
      <w:pPr>
        <w:pStyle w:val="BodyText2"/>
        <w:spacing w:line="240" w:lineRule="auto"/>
      </w:pPr>
    </w:p>
    <w:p w:rsidR="00447E39" w:rsidP="00447E39" w14:paraId="316FF686" w14:textId="77777777">
      <w:pPr>
        <w:pStyle w:val="BodyText2"/>
        <w:spacing w:line="240" w:lineRule="auto"/>
      </w:pPr>
      <w:r>
        <w:tab/>
        <w:t>Not applicable.</w:t>
      </w:r>
    </w:p>
    <w:p w:rsidR="00CA6AE6" w:rsidRPr="00554A3D" w:rsidP="00AE34E0" w14:paraId="2F5145A0" w14:textId="77777777">
      <w:pPr>
        <w:rPr>
          <w:color w:val="000000"/>
        </w:rPr>
      </w:pPr>
    </w:p>
    <w:p w:rsidR="00CA6AE6" w:rsidRPr="002F670D" w:rsidP="00AE34E0" w14:paraId="5BE8E7E3" w14:textId="77777777">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00CA6AE6" w:rsidRPr="00554A3D" w:rsidP="00AE34E0" w14:paraId="1114C45D" w14:textId="77777777">
      <w:pPr>
        <w:tabs>
          <w:tab w:val="left" w:pos="432"/>
          <w:tab w:val="left" w:pos="1296"/>
          <w:tab w:val="left" w:pos="1728"/>
          <w:tab w:val="left" w:pos="4176"/>
        </w:tabs>
        <w:rPr>
          <w:color w:val="000000"/>
        </w:rPr>
      </w:pPr>
    </w:p>
    <w:p w:rsidR="00CA6AE6" w:rsidRPr="00554A3D" w:rsidP="00AE34E0" w14:paraId="64BDCF8B" w14:textId="77777777">
      <w:pPr>
        <w:keepNext/>
        <w:rPr>
          <w:color w:val="000000"/>
        </w:rPr>
      </w:pPr>
      <w:r w:rsidRPr="00554A3D">
        <w:rPr>
          <w:color w:val="000000"/>
        </w:rPr>
        <w:t xml:space="preserve">      </w:t>
      </w:r>
      <w:r w:rsidR="00F31B88">
        <w:rPr>
          <w:color w:val="000000"/>
        </w:rPr>
        <w:t xml:space="preserve">      </w:t>
      </w:r>
      <w:r w:rsidRPr="00554A3D">
        <w:rPr>
          <w:color w:val="000000"/>
        </w:rPr>
        <w:t>None.</w:t>
      </w:r>
    </w:p>
    <w:p w:rsidR="00CA6AE6" w:rsidRPr="00554A3D" w:rsidP="00AE34E0" w14:paraId="60CFE455" w14:textId="77777777">
      <w:pPr>
        <w:keepNext/>
        <w:rPr>
          <w:color w:val="000000"/>
        </w:rPr>
      </w:pPr>
    </w:p>
    <w:p w:rsidR="00CA6AE6" w:rsidRPr="002F670D" w:rsidP="00AE34E0" w14:paraId="22776CBE" w14:textId="77777777">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Pr>
          <w:b/>
          <w:i/>
          <w:color w:val="000000"/>
        </w:rPr>
        <w:t>Exceptions to Certification</w:t>
      </w:r>
      <w:r w:rsidR="002F670D">
        <w:rPr>
          <w:b/>
          <w:i/>
          <w:color w:val="000000"/>
        </w:rPr>
        <w:t>:</w:t>
      </w:r>
    </w:p>
    <w:p w:rsidR="00CA6AE6" w:rsidRPr="00554A3D" w:rsidP="00AE34E0" w14:paraId="5A938306" w14:textId="77777777">
      <w:pPr>
        <w:keepNext/>
        <w:rPr>
          <w:color w:val="000000"/>
        </w:rPr>
      </w:pPr>
    </w:p>
    <w:p w:rsidR="00CA6AE6" w:rsidP="00F31B88" w14:paraId="68165A63" w14:textId="2D4BC2FF">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004928D3" w:rsidRPr="00554A3D" w:rsidP="00F31B88" w14:paraId="4E8489BA" w14:textId="77777777">
      <w:pPr>
        <w:keepNext/>
        <w:tabs>
          <w:tab w:val="left" w:pos="720"/>
        </w:tabs>
        <w:rPr>
          <w:color w:val="000000"/>
        </w:rPr>
      </w:pPr>
    </w:p>
    <w:p w:rsidR="00CA6AE6" w:rsidRPr="00554A3D" w:rsidP="00AE34E0" w14:paraId="3C9686AB" w14:textId="77777777">
      <w:pPr>
        <w:keepNext/>
        <w:rPr>
          <w:color w:val="000000"/>
        </w:rPr>
      </w:pPr>
    </w:p>
    <w:p w:rsidR="004928D3" w:rsidP="00AE34E0" w14:paraId="46E06AD0" w14:textId="77777777">
      <w:pPr>
        <w:suppressAutoHyphens/>
        <w:rPr>
          <w:b/>
        </w:rPr>
      </w:pPr>
    </w:p>
    <w:p w:rsidR="00CA6AE6" w:rsidRPr="002F670D" w:rsidP="00AE34E0" w14:paraId="75B92DE0" w14:textId="4936657E">
      <w:pPr>
        <w:suppressAutoHyphens/>
        <w:rPr>
          <w:b/>
        </w:rPr>
      </w:pPr>
      <w:r w:rsidRPr="002F670D">
        <w:rPr>
          <w:b/>
        </w:rPr>
        <w:t>B.  COLLECTION OF INFORMATION EMPLOYING STATISTICAL METHODS</w:t>
      </w:r>
    </w:p>
    <w:p w:rsidR="00CA6AE6" w:rsidRPr="00554A3D" w:rsidP="00AE34E0" w14:paraId="5C21EFD2" w14:textId="77777777">
      <w:pPr>
        <w:suppressAutoHyphens/>
      </w:pPr>
    </w:p>
    <w:p w:rsidR="00CA6AE6" w:rsidRPr="00554A3D" w:rsidP="00F31B88" w14:paraId="1CFA3876" w14:textId="77777777">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00CA6AE6" w:rsidRPr="00554A3D" w:rsidP="00300FF7" w14:paraId="4654D34B" w14:textId="77777777">
      <w:pPr>
        <w:tabs>
          <w:tab w:val="left" w:pos="-720"/>
          <w:tab w:val="left" w:pos="0"/>
          <w:tab w:val="left" w:pos="1008"/>
          <w:tab w:val="left" w:pos="2160"/>
          <w:tab w:val="left" w:pos="4176"/>
          <w:tab w:val="left" w:pos="5472"/>
          <w:tab w:val="left" w:pos="6912"/>
        </w:tabs>
        <w:suppressAutoHyphens/>
      </w:pPr>
    </w:p>
    <w:sectPr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9E" w14:paraId="442948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B569E" w14:paraId="7ED2D4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69E" w14:paraId="76246D8F"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14:paraId="6E8BF0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A3E24"/>
    <w:multiLevelType w:val="hybridMultilevel"/>
    <w:tmpl w:val="61C2AE0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C4F6EE3"/>
    <w:multiLevelType w:val="hybridMultilevel"/>
    <w:tmpl w:val="FB581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27062"/>
    <w:multiLevelType w:val="hybridMultilevel"/>
    <w:tmpl w:val="3BCC4F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02F202D"/>
    <w:multiLevelType w:val="hybridMultilevel"/>
    <w:tmpl w:val="C4AEC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512909"/>
    <w:multiLevelType w:val="hybridMultilevel"/>
    <w:tmpl w:val="FBC2D2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5E06C07"/>
    <w:multiLevelType w:val="hybridMultilevel"/>
    <w:tmpl w:val="48820EEC"/>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2250"/>
        </w:tabs>
        <w:ind w:left="2250" w:hanging="360"/>
      </w:pPr>
      <w:rPr>
        <w:rFonts w:ascii="Courier New" w:hAnsi="Courier New" w:cs="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cs="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cs="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6">
    <w:nsid w:val="16543B8E"/>
    <w:multiLevelType w:val="hybridMultilevel"/>
    <w:tmpl w:val="D068BD24"/>
    <w:lvl w:ilvl="0">
      <w:start w:val="1"/>
      <w:numFmt w:val="bullet"/>
      <w:lvlText w:val=""/>
      <w:lvlJc w:val="left"/>
      <w:pPr>
        <w:tabs>
          <w:tab w:val="num" w:pos="360"/>
        </w:tabs>
        <w:ind w:left="36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9B120B"/>
    <w:multiLevelType w:val="hybridMultilevel"/>
    <w:tmpl w:val="FFBC8936"/>
    <w:lvl w:ilvl="0">
      <w:start w:val="15"/>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212836E1"/>
    <w:multiLevelType w:val="hybridMultilevel"/>
    <w:tmpl w:val="752C8AB2"/>
    <w:lvl w:ilvl="0">
      <w:start w:val="1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341427"/>
    <w:multiLevelType w:val="hybridMultilevel"/>
    <w:tmpl w:val="BAFE2B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656"/>
        </w:tabs>
        <w:ind w:left="1656" w:hanging="360"/>
      </w:pPr>
      <w:rPr>
        <w:rFonts w:ascii="Courier New" w:hAnsi="Courier New" w:cs="Courier New" w:hint="default"/>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cs="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cs="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0">
    <w:nsid w:val="277A1C76"/>
    <w:multiLevelType w:val="hybridMultilevel"/>
    <w:tmpl w:val="351A7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12">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3">
    <w:nsid w:val="30503B3C"/>
    <w:multiLevelType w:val="hybridMultilevel"/>
    <w:tmpl w:val="1EA89792"/>
    <w:lvl w:ilvl="0">
      <w:start w:val="12"/>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4">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5">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6">
    <w:nsid w:val="3759166F"/>
    <w:multiLevelType w:val="hybridMultilevel"/>
    <w:tmpl w:val="CDE07E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E86332"/>
    <w:multiLevelType w:val="hybridMultilevel"/>
    <w:tmpl w:val="93443CB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401E6FA6"/>
    <w:multiLevelType w:val="hybridMultilevel"/>
    <w:tmpl w:val="BE4E676C"/>
    <w:lvl w:ilvl="0">
      <w:start w:val="4"/>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abstractNum w:abstractNumId="19">
    <w:nsid w:val="45B61AA0"/>
    <w:multiLevelType w:val="hybridMultilevel"/>
    <w:tmpl w:val="68D2BE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47BC2FC9"/>
    <w:multiLevelType w:val="hybridMultilevel"/>
    <w:tmpl w:val="D994BC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433787C"/>
    <w:multiLevelType w:val="hybridMultilevel"/>
    <w:tmpl w:val="CE2ADA6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296"/>
        </w:tabs>
        <w:ind w:left="1296" w:hanging="360"/>
      </w:pPr>
      <w:rPr>
        <w:rFonts w:ascii="Courier New" w:hAnsi="Courier New" w:cs="Courier New" w:hint="default"/>
      </w:rPr>
    </w:lvl>
    <w:lvl w:ilvl="2" w:tentative="1">
      <w:start w:val="1"/>
      <w:numFmt w:val="bullet"/>
      <w:lvlText w:val=""/>
      <w:lvlJc w:val="left"/>
      <w:pPr>
        <w:tabs>
          <w:tab w:val="num" w:pos="2016"/>
        </w:tabs>
        <w:ind w:left="2016" w:hanging="360"/>
      </w:pPr>
      <w:rPr>
        <w:rFonts w:ascii="Wingdings" w:hAnsi="Wingdings" w:hint="default"/>
      </w:rPr>
    </w:lvl>
    <w:lvl w:ilvl="3" w:tentative="1">
      <w:start w:val="1"/>
      <w:numFmt w:val="bullet"/>
      <w:lvlText w:val=""/>
      <w:lvlJc w:val="left"/>
      <w:pPr>
        <w:tabs>
          <w:tab w:val="num" w:pos="2736"/>
        </w:tabs>
        <w:ind w:left="2736" w:hanging="360"/>
      </w:pPr>
      <w:rPr>
        <w:rFonts w:ascii="Symbol" w:hAnsi="Symbol" w:hint="default"/>
      </w:rPr>
    </w:lvl>
    <w:lvl w:ilvl="4" w:tentative="1">
      <w:start w:val="1"/>
      <w:numFmt w:val="bullet"/>
      <w:lvlText w:val="o"/>
      <w:lvlJc w:val="left"/>
      <w:pPr>
        <w:tabs>
          <w:tab w:val="num" w:pos="3456"/>
        </w:tabs>
        <w:ind w:left="3456" w:hanging="360"/>
      </w:pPr>
      <w:rPr>
        <w:rFonts w:ascii="Courier New" w:hAnsi="Courier New" w:cs="Courier New" w:hint="default"/>
      </w:rPr>
    </w:lvl>
    <w:lvl w:ilvl="5" w:tentative="1">
      <w:start w:val="1"/>
      <w:numFmt w:val="bullet"/>
      <w:lvlText w:val=""/>
      <w:lvlJc w:val="left"/>
      <w:pPr>
        <w:tabs>
          <w:tab w:val="num" w:pos="4176"/>
        </w:tabs>
        <w:ind w:left="4176" w:hanging="360"/>
      </w:pPr>
      <w:rPr>
        <w:rFonts w:ascii="Wingdings" w:hAnsi="Wingdings" w:hint="default"/>
      </w:rPr>
    </w:lvl>
    <w:lvl w:ilvl="6" w:tentative="1">
      <w:start w:val="1"/>
      <w:numFmt w:val="bullet"/>
      <w:lvlText w:val=""/>
      <w:lvlJc w:val="left"/>
      <w:pPr>
        <w:tabs>
          <w:tab w:val="num" w:pos="4896"/>
        </w:tabs>
        <w:ind w:left="4896" w:hanging="360"/>
      </w:pPr>
      <w:rPr>
        <w:rFonts w:ascii="Symbol" w:hAnsi="Symbol" w:hint="default"/>
      </w:rPr>
    </w:lvl>
    <w:lvl w:ilvl="7" w:tentative="1">
      <w:start w:val="1"/>
      <w:numFmt w:val="bullet"/>
      <w:lvlText w:val="o"/>
      <w:lvlJc w:val="left"/>
      <w:pPr>
        <w:tabs>
          <w:tab w:val="num" w:pos="5616"/>
        </w:tabs>
        <w:ind w:left="5616" w:hanging="360"/>
      </w:pPr>
      <w:rPr>
        <w:rFonts w:ascii="Courier New" w:hAnsi="Courier New" w:cs="Courier New" w:hint="default"/>
      </w:rPr>
    </w:lvl>
    <w:lvl w:ilvl="8" w:tentative="1">
      <w:start w:val="1"/>
      <w:numFmt w:val="bullet"/>
      <w:lvlText w:val=""/>
      <w:lvlJc w:val="left"/>
      <w:pPr>
        <w:tabs>
          <w:tab w:val="num" w:pos="6336"/>
        </w:tabs>
        <w:ind w:left="6336" w:hanging="360"/>
      </w:pPr>
      <w:rPr>
        <w:rFonts w:ascii="Wingdings" w:hAnsi="Wingdings" w:hint="default"/>
      </w:rPr>
    </w:lvl>
  </w:abstractNum>
  <w:abstractNum w:abstractNumId="22">
    <w:nsid w:val="5CE932C8"/>
    <w:multiLevelType w:val="hybridMultilevel"/>
    <w:tmpl w:val="18E2DA16"/>
    <w:lvl w:ilvl="0">
      <w:start w:val="15"/>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B0205E3"/>
    <w:multiLevelType w:val="hybridMultilevel"/>
    <w:tmpl w:val="AFA27DB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6CCE683B"/>
    <w:multiLevelType w:val="hybridMultilevel"/>
    <w:tmpl w:val="F3C203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084413A"/>
    <w:multiLevelType w:val="hybridMultilevel"/>
    <w:tmpl w:val="0352DE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18125EE"/>
    <w:multiLevelType w:val="hybridMultilevel"/>
    <w:tmpl w:val="F1029F2C"/>
    <w:lvl w:ilvl="0">
      <w:start w:val="1"/>
      <w:numFmt w:val="upperLetter"/>
      <w:lvlText w:val="%1."/>
      <w:lvlJc w:val="left"/>
      <w:pPr>
        <w:ind w:left="1080" w:hanging="360"/>
      </w:pPr>
      <w:rPr>
        <w:rFonts w:cs="Times New Roman" w:hint="default"/>
        <w:u w:val="single"/>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7">
    <w:nsid w:val="74750710"/>
    <w:multiLevelType w:val="hybridMultilevel"/>
    <w:tmpl w:val="6630C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6A5C44"/>
    <w:multiLevelType w:val="hybridMultilevel"/>
    <w:tmpl w:val="C86C52E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29">
    <w:nsid w:val="7B803481"/>
    <w:multiLevelType w:val="hybridMultilevel"/>
    <w:tmpl w:val="F22C33CE"/>
    <w:lvl w:ilvl="0">
      <w:start w:val="1"/>
      <w:numFmt w:val="decimal"/>
      <w:lvlText w:val="%1."/>
      <w:lvlJc w:val="left"/>
      <w:pPr>
        <w:tabs>
          <w:tab w:val="num" w:pos="1287"/>
        </w:tabs>
        <w:ind w:left="1287" w:hanging="855"/>
      </w:pPr>
      <w:rPr>
        <w:rFonts w:cs="Times New Roman" w:hint="default"/>
        <w:u w:val="none"/>
      </w:rPr>
    </w:lvl>
    <w:lvl w:ilvl="1" w:tentative="1">
      <w:start w:val="1"/>
      <w:numFmt w:val="lowerLetter"/>
      <w:lvlText w:val="%2."/>
      <w:lvlJc w:val="left"/>
      <w:pPr>
        <w:tabs>
          <w:tab w:val="num" w:pos="1512"/>
        </w:tabs>
        <w:ind w:left="1512" w:hanging="360"/>
      </w:pPr>
      <w:rPr>
        <w:rFonts w:cs="Times New Roman"/>
      </w:rPr>
    </w:lvl>
    <w:lvl w:ilvl="2" w:tentative="1">
      <w:start w:val="1"/>
      <w:numFmt w:val="lowerRoman"/>
      <w:lvlText w:val="%3."/>
      <w:lvlJc w:val="right"/>
      <w:pPr>
        <w:tabs>
          <w:tab w:val="num" w:pos="2232"/>
        </w:tabs>
        <w:ind w:left="2232" w:hanging="180"/>
      </w:pPr>
      <w:rPr>
        <w:rFonts w:cs="Times New Roman"/>
      </w:rPr>
    </w:lvl>
    <w:lvl w:ilvl="3" w:tentative="1">
      <w:start w:val="1"/>
      <w:numFmt w:val="decimal"/>
      <w:lvlText w:val="%4."/>
      <w:lvlJc w:val="left"/>
      <w:pPr>
        <w:tabs>
          <w:tab w:val="num" w:pos="2952"/>
        </w:tabs>
        <w:ind w:left="2952" w:hanging="360"/>
      </w:pPr>
      <w:rPr>
        <w:rFonts w:cs="Times New Roman"/>
      </w:rPr>
    </w:lvl>
    <w:lvl w:ilvl="4" w:tentative="1">
      <w:start w:val="1"/>
      <w:numFmt w:val="lowerLetter"/>
      <w:lvlText w:val="%5."/>
      <w:lvlJc w:val="left"/>
      <w:pPr>
        <w:tabs>
          <w:tab w:val="num" w:pos="3672"/>
        </w:tabs>
        <w:ind w:left="3672" w:hanging="360"/>
      </w:pPr>
      <w:rPr>
        <w:rFonts w:cs="Times New Roman"/>
      </w:rPr>
    </w:lvl>
    <w:lvl w:ilvl="5" w:tentative="1">
      <w:start w:val="1"/>
      <w:numFmt w:val="lowerRoman"/>
      <w:lvlText w:val="%6."/>
      <w:lvlJc w:val="right"/>
      <w:pPr>
        <w:tabs>
          <w:tab w:val="num" w:pos="4392"/>
        </w:tabs>
        <w:ind w:left="4392" w:hanging="180"/>
      </w:pPr>
      <w:rPr>
        <w:rFonts w:cs="Times New Roman"/>
      </w:rPr>
    </w:lvl>
    <w:lvl w:ilvl="6" w:tentative="1">
      <w:start w:val="1"/>
      <w:numFmt w:val="decimal"/>
      <w:lvlText w:val="%7."/>
      <w:lvlJc w:val="left"/>
      <w:pPr>
        <w:tabs>
          <w:tab w:val="num" w:pos="5112"/>
        </w:tabs>
        <w:ind w:left="5112" w:hanging="360"/>
      </w:pPr>
      <w:rPr>
        <w:rFonts w:cs="Times New Roman"/>
      </w:rPr>
    </w:lvl>
    <w:lvl w:ilvl="7" w:tentative="1">
      <w:start w:val="1"/>
      <w:numFmt w:val="lowerLetter"/>
      <w:lvlText w:val="%8."/>
      <w:lvlJc w:val="left"/>
      <w:pPr>
        <w:tabs>
          <w:tab w:val="num" w:pos="5832"/>
        </w:tabs>
        <w:ind w:left="5832" w:hanging="360"/>
      </w:pPr>
      <w:rPr>
        <w:rFonts w:cs="Times New Roman"/>
      </w:rPr>
    </w:lvl>
    <w:lvl w:ilvl="8" w:tentative="1">
      <w:start w:val="1"/>
      <w:numFmt w:val="lowerRoman"/>
      <w:lvlText w:val="%9."/>
      <w:lvlJc w:val="right"/>
      <w:pPr>
        <w:tabs>
          <w:tab w:val="num" w:pos="6552"/>
        </w:tabs>
        <w:ind w:left="6552" w:hanging="180"/>
      </w:pPr>
      <w:rPr>
        <w:rFonts w:cs="Times New Roman"/>
      </w:rPr>
    </w:lvl>
  </w:abstractNum>
  <w:num w:numId="1" w16cid:durableId="1942372813">
    <w:abstractNumId w:val="15"/>
  </w:num>
  <w:num w:numId="2" w16cid:durableId="859392274">
    <w:abstractNumId w:val="11"/>
  </w:num>
  <w:num w:numId="3" w16cid:durableId="908658587">
    <w:abstractNumId w:val="14"/>
  </w:num>
  <w:num w:numId="4" w16cid:durableId="1468088945">
    <w:abstractNumId w:val="12"/>
  </w:num>
  <w:num w:numId="5" w16cid:durableId="1088573705">
    <w:abstractNumId w:val="29"/>
  </w:num>
  <w:num w:numId="6" w16cid:durableId="660935172">
    <w:abstractNumId w:val="18"/>
  </w:num>
  <w:num w:numId="7" w16cid:durableId="898635823">
    <w:abstractNumId w:val="13"/>
  </w:num>
  <w:num w:numId="8" w16cid:durableId="727189020">
    <w:abstractNumId w:val="6"/>
  </w:num>
  <w:num w:numId="9" w16cid:durableId="338701398">
    <w:abstractNumId w:val="25"/>
  </w:num>
  <w:num w:numId="10" w16cid:durableId="119999963">
    <w:abstractNumId w:val="26"/>
  </w:num>
  <w:num w:numId="11" w16cid:durableId="859508747">
    <w:abstractNumId w:val="4"/>
  </w:num>
  <w:num w:numId="12" w16cid:durableId="573861631">
    <w:abstractNumId w:val="23"/>
  </w:num>
  <w:num w:numId="13" w16cid:durableId="1102845950">
    <w:abstractNumId w:val="5"/>
  </w:num>
  <w:num w:numId="14" w16cid:durableId="1182621870">
    <w:abstractNumId w:val="21"/>
  </w:num>
  <w:num w:numId="15" w16cid:durableId="2033414083">
    <w:abstractNumId w:val="3"/>
  </w:num>
  <w:num w:numId="16" w16cid:durableId="1143110923">
    <w:abstractNumId w:val="16"/>
  </w:num>
  <w:num w:numId="17" w16cid:durableId="1386756070">
    <w:abstractNumId w:val="9"/>
  </w:num>
  <w:num w:numId="18" w16cid:durableId="1288123665">
    <w:abstractNumId w:val="17"/>
  </w:num>
  <w:num w:numId="19" w16cid:durableId="302925703">
    <w:abstractNumId w:val="0"/>
  </w:num>
  <w:num w:numId="20" w16cid:durableId="1201043621">
    <w:abstractNumId w:val="28"/>
  </w:num>
  <w:num w:numId="21" w16cid:durableId="826475630">
    <w:abstractNumId w:val="5"/>
  </w:num>
  <w:num w:numId="22" w16cid:durableId="2026900213">
    <w:abstractNumId w:val="0"/>
  </w:num>
  <w:num w:numId="23" w16cid:durableId="114642341">
    <w:abstractNumId w:val="28"/>
  </w:num>
  <w:num w:numId="24" w16cid:durableId="207649363">
    <w:abstractNumId w:val="5"/>
  </w:num>
  <w:num w:numId="25" w16cid:durableId="1161000117">
    <w:abstractNumId w:val="25"/>
  </w:num>
  <w:num w:numId="26" w16cid:durableId="16909863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4911702">
    <w:abstractNumId w:val="24"/>
  </w:num>
  <w:num w:numId="28" w16cid:durableId="1311130944">
    <w:abstractNumId w:val="10"/>
  </w:num>
  <w:num w:numId="29" w16cid:durableId="19734435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314024">
    <w:abstractNumId w:val="24"/>
  </w:num>
  <w:num w:numId="31" w16cid:durableId="42289871">
    <w:abstractNumId w:val="27"/>
  </w:num>
  <w:num w:numId="32" w16cid:durableId="944582798">
    <w:abstractNumId w:val="1"/>
  </w:num>
  <w:num w:numId="33" w16cid:durableId="468286828">
    <w:abstractNumId w:val="19"/>
  </w:num>
  <w:num w:numId="34" w16cid:durableId="1369336121">
    <w:abstractNumId w:val="8"/>
  </w:num>
  <w:num w:numId="35" w16cid:durableId="995917357">
    <w:abstractNumId w:val="22"/>
  </w:num>
  <w:num w:numId="36" w16cid:durableId="975333311">
    <w:abstractNumId w:val="7"/>
  </w:num>
  <w:num w:numId="37" w16cid:durableId="487550112">
    <w:abstractNumId w:val="20"/>
  </w:num>
  <w:num w:numId="38" w16cid:durableId="208416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43DF"/>
    <w:rsid w:val="0000599F"/>
    <w:rsid w:val="00006787"/>
    <w:rsid w:val="000108AC"/>
    <w:rsid w:val="00011BC8"/>
    <w:rsid w:val="000142A5"/>
    <w:rsid w:val="0001704F"/>
    <w:rsid w:val="000178F9"/>
    <w:rsid w:val="00021991"/>
    <w:rsid w:val="00026301"/>
    <w:rsid w:val="000268BB"/>
    <w:rsid w:val="000271CA"/>
    <w:rsid w:val="00027A28"/>
    <w:rsid w:val="000301FC"/>
    <w:rsid w:val="00033A04"/>
    <w:rsid w:val="00035BD5"/>
    <w:rsid w:val="0004313B"/>
    <w:rsid w:val="00045ED1"/>
    <w:rsid w:val="00047149"/>
    <w:rsid w:val="0005401D"/>
    <w:rsid w:val="000618E4"/>
    <w:rsid w:val="00063F2A"/>
    <w:rsid w:val="0006563E"/>
    <w:rsid w:val="00067D5A"/>
    <w:rsid w:val="00070DCD"/>
    <w:rsid w:val="0007595B"/>
    <w:rsid w:val="000763C7"/>
    <w:rsid w:val="0007696C"/>
    <w:rsid w:val="00083BFD"/>
    <w:rsid w:val="00083E5A"/>
    <w:rsid w:val="00084B79"/>
    <w:rsid w:val="000863E3"/>
    <w:rsid w:val="00091FA1"/>
    <w:rsid w:val="000955DF"/>
    <w:rsid w:val="00097C68"/>
    <w:rsid w:val="000A1AC8"/>
    <w:rsid w:val="000A457D"/>
    <w:rsid w:val="000A499B"/>
    <w:rsid w:val="000A54F6"/>
    <w:rsid w:val="000A6089"/>
    <w:rsid w:val="000B0338"/>
    <w:rsid w:val="000B4C56"/>
    <w:rsid w:val="000B544E"/>
    <w:rsid w:val="000C6752"/>
    <w:rsid w:val="000D0901"/>
    <w:rsid w:val="000D3228"/>
    <w:rsid w:val="000D5B2A"/>
    <w:rsid w:val="000E2B81"/>
    <w:rsid w:val="000E306E"/>
    <w:rsid w:val="000E37A6"/>
    <w:rsid w:val="000E78BD"/>
    <w:rsid w:val="000F15CC"/>
    <w:rsid w:val="000F4A82"/>
    <w:rsid w:val="001058B6"/>
    <w:rsid w:val="00105D6F"/>
    <w:rsid w:val="00107C52"/>
    <w:rsid w:val="001118AC"/>
    <w:rsid w:val="001123DE"/>
    <w:rsid w:val="001212C3"/>
    <w:rsid w:val="00122748"/>
    <w:rsid w:val="00122D0A"/>
    <w:rsid w:val="00124012"/>
    <w:rsid w:val="00124DED"/>
    <w:rsid w:val="001253C6"/>
    <w:rsid w:val="00125792"/>
    <w:rsid w:val="00132276"/>
    <w:rsid w:val="00134EF6"/>
    <w:rsid w:val="00136196"/>
    <w:rsid w:val="0013638D"/>
    <w:rsid w:val="00137B77"/>
    <w:rsid w:val="001406B2"/>
    <w:rsid w:val="001454CF"/>
    <w:rsid w:val="00145A6A"/>
    <w:rsid w:val="00146812"/>
    <w:rsid w:val="0014704F"/>
    <w:rsid w:val="001500CE"/>
    <w:rsid w:val="001501BE"/>
    <w:rsid w:val="00153070"/>
    <w:rsid w:val="00156A84"/>
    <w:rsid w:val="00156CDE"/>
    <w:rsid w:val="00161AC7"/>
    <w:rsid w:val="001653AA"/>
    <w:rsid w:val="00166EE7"/>
    <w:rsid w:val="001671BC"/>
    <w:rsid w:val="00171304"/>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A5A79"/>
    <w:rsid w:val="001B0EF5"/>
    <w:rsid w:val="001B3C0E"/>
    <w:rsid w:val="001B462D"/>
    <w:rsid w:val="001C068B"/>
    <w:rsid w:val="001C15A4"/>
    <w:rsid w:val="001C68CF"/>
    <w:rsid w:val="001D27DB"/>
    <w:rsid w:val="001D5578"/>
    <w:rsid w:val="001D5FDB"/>
    <w:rsid w:val="001D6CBF"/>
    <w:rsid w:val="001E01CC"/>
    <w:rsid w:val="001E1E82"/>
    <w:rsid w:val="001E2844"/>
    <w:rsid w:val="001E4A00"/>
    <w:rsid w:val="001E56CD"/>
    <w:rsid w:val="001E7813"/>
    <w:rsid w:val="001E7D11"/>
    <w:rsid w:val="001F1307"/>
    <w:rsid w:val="001F26AB"/>
    <w:rsid w:val="001F3330"/>
    <w:rsid w:val="001F43B1"/>
    <w:rsid w:val="001F442E"/>
    <w:rsid w:val="001F5F2A"/>
    <w:rsid w:val="00206E3F"/>
    <w:rsid w:val="00207BFF"/>
    <w:rsid w:val="002276C4"/>
    <w:rsid w:val="00227896"/>
    <w:rsid w:val="002370D8"/>
    <w:rsid w:val="0023780D"/>
    <w:rsid w:val="002430B2"/>
    <w:rsid w:val="0024348A"/>
    <w:rsid w:val="00244FE8"/>
    <w:rsid w:val="00245252"/>
    <w:rsid w:val="00245BCB"/>
    <w:rsid w:val="002468E0"/>
    <w:rsid w:val="002549A7"/>
    <w:rsid w:val="002564A5"/>
    <w:rsid w:val="00256A75"/>
    <w:rsid w:val="0026359E"/>
    <w:rsid w:val="002704C5"/>
    <w:rsid w:val="00274373"/>
    <w:rsid w:val="002822B8"/>
    <w:rsid w:val="00282D47"/>
    <w:rsid w:val="002866D4"/>
    <w:rsid w:val="00286A0A"/>
    <w:rsid w:val="00292AF4"/>
    <w:rsid w:val="00294B40"/>
    <w:rsid w:val="00294DAF"/>
    <w:rsid w:val="00296D4F"/>
    <w:rsid w:val="002A02F0"/>
    <w:rsid w:val="002A25A0"/>
    <w:rsid w:val="002A30A7"/>
    <w:rsid w:val="002A5DD8"/>
    <w:rsid w:val="002A7B4B"/>
    <w:rsid w:val="002B0C9F"/>
    <w:rsid w:val="002B5C00"/>
    <w:rsid w:val="002B62CE"/>
    <w:rsid w:val="002B641E"/>
    <w:rsid w:val="002B6882"/>
    <w:rsid w:val="002C22E8"/>
    <w:rsid w:val="002C2605"/>
    <w:rsid w:val="002C6EB7"/>
    <w:rsid w:val="002D1E1E"/>
    <w:rsid w:val="002D422B"/>
    <w:rsid w:val="002D4F92"/>
    <w:rsid w:val="002D5409"/>
    <w:rsid w:val="002D6B98"/>
    <w:rsid w:val="002E0EA3"/>
    <w:rsid w:val="002E33E6"/>
    <w:rsid w:val="002E3B47"/>
    <w:rsid w:val="002E4EBD"/>
    <w:rsid w:val="002E528D"/>
    <w:rsid w:val="002E5DD1"/>
    <w:rsid w:val="002F3180"/>
    <w:rsid w:val="002F3BC8"/>
    <w:rsid w:val="002F481D"/>
    <w:rsid w:val="002F670D"/>
    <w:rsid w:val="00300FF7"/>
    <w:rsid w:val="003012F0"/>
    <w:rsid w:val="00301C03"/>
    <w:rsid w:val="0030203D"/>
    <w:rsid w:val="00303267"/>
    <w:rsid w:val="00306CF3"/>
    <w:rsid w:val="00312F97"/>
    <w:rsid w:val="00313481"/>
    <w:rsid w:val="003159D9"/>
    <w:rsid w:val="00315DE6"/>
    <w:rsid w:val="00317260"/>
    <w:rsid w:val="00317381"/>
    <w:rsid w:val="00320518"/>
    <w:rsid w:val="003206CB"/>
    <w:rsid w:val="00333A85"/>
    <w:rsid w:val="003346A9"/>
    <w:rsid w:val="003420C6"/>
    <w:rsid w:val="00343BD2"/>
    <w:rsid w:val="003460C7"/>
    <w:rsid w:val="003467C7"/>
    <w:rsid w:val="003617D7"/>
    <w:rsid w:val="00364C55"/>
    <w:rsid w:val="00366717"/>
    <w:rsid w:val="00366B74"/>
    <w:rsid w:val="0037145D"/>
    <w:rsid w:val="00371B47"/>
    <w:rsid w:val="00372CA3"/>
    <w:rsid w:val="00380A56"/>
    <w:rsid w:val="00381C36"/>
    <w:rsid w:val="00383D87"/>
    <w:rsid w:val="00385852"/>
    <w:rsid w:val="003869F1"/>
    <w:rsid w:val="00387409"/>
    <w:rsid w:val="003879BC"/>
    <w:rsid w:val="00397B30"/>
    <w:rsid w:val="00397D67"/>
    <w:rsid w:val="003A0159"/>
    <w:rsid w:val="003A45A3"/>
    <w:rsid w:val="003B1304"/>
    <w:rsid w:val="003B1D9D"/>
    <w:rsid w:val="003C0E89"/>
    <w:rsid w:val="003C7D9C"/>
    <w:rsid w:val="003D3AD0"/>
    <w:rsid w:val="003D7B2E"/>
    <w:rsid w:val="003E280D"/>
    <w:rsid w:val="003E410A"/>
    <w:rsid w:val="003E7270"/>
    <w:rsid w:val="003F2418"/>
    <w:rsid w:val="004008A3"/>
    <w:rsid w:val="0040246E"/>
    <w:rsid w:val="004055FF"/>
    <w:rsid w:val="00405787"/>
    <w:rsid w:val="0040759C"/>
    <w:rsid w:val="00411575"/>
    <w:rsid w:val="0043127D"/>
    <w:rsid w:val="004324DE"/>
    <w:rsid w:val="00434DA1"/>
    <w:rsid w:val="004366C5"/>
    <w:rsid w:val="00440FD3"/>
    <w:rsid w:val="004434EF"/>
    <w:rsid w:val="00443BF9"/>
    <w:rsid w:val="00447E39"/>
    <w:rsid w:val="004526A3"/>
    <w:rsid w:val="00456357"/>
    <w:rsid w:val="004707AE"/>
    <w:rsid w:val="00481352"/>
    <w:rsid w:val="00481EE1"/>
    <w:rsid w:val="00484FFE"/>
    <w:rsid w:val="00485ECB"/>
    <w:rsid w:val="00487CD9"/>
    <w:rsid w:val="004928D3"/>
    <w:rsid w:val="00493EDC"/>
    <w:rsid w:val="0049470D"/>
    <w:rsid w:val="00494A8F"/>
    <w:rsid w:val="004972D7"/>
    <w:rsid w:val="004A1416"/>
    <w:rsid w:val="004A5DE7"/>
    <w:rsid w:val="004B0AB0"/>
    <w:rsid w:val="004C2299"/>
    <w:rsid w:val="004C7660"/>
    <w:rsid w:val="004D05FB"/>
    <w:rsid w:val="004D2A8B"/>
    <w:rsid w:val="004D305D"/>
    <w:rsid w:val="004D3B50"/>
    <w:rsid w:val="004D59F2"/>
    <w:rsid w:val="004F19D9"/>
    <w:rsid w:val="004F1A3A"/>
    <w:rsid w:val="004F2D31"/>
    <w:rsid w:val="004F38CB"/>
    <w:rsid w:val="004F42AD"/>
    <w:rsid w:val="004F7520"/>
    <w:rsid w:val="00503099"/>
    <w:rsid w:val="00512733"/>
    <w:rsid w:val="00522557"/>
    <w:rsid w:val="005309AF"/>
    <w:rsid w:val="005350C8"/>
    <w:rsid w:val="00535700"/>
    <w:rsid w:val="0054027F"/>
    <w:rsid w:val="00540715"/>
    <w:rsid w:val="005422EE"/>
    <w:rsid w:val="005435E6"/>
    <w:rsid w:val="00543BC4"/>
    <w:rsid w:val="00550020"/>
    <w:rsid w:val="0055239E"/>
    <w:rsid w:val="00554A3D"/>
    <w:rsid w:val="00557D5F"/>
    <w:rsid w:val="00561D75"/>
    <w:rsid w:val="00564434"/>
    <w:rsid w:val="00565713"/>
    <w:rsid w:val="0057093A"/>
    <w:rsid w:val="005709F9"/>
    <w:rsid w:val="005832F4"/>
    <w:rsid w:val="00584201"/>
    <w:rsid w:val="005849BB"/>
    <w:rsid w:val="005A2FD3"/>
    <w:rsid w:val="005A5393"/>
    <w:rsid w:val="005A68E5"/>
    <w:rsid w:val="005B2607"/>
    <w:rsid w:val="005B2C37"/>
    <w:rsid w:val="005B4B4B"/>
    <w:rsid w:val="005C36D6"/>
    <w:rsid w:val="005C53B1"/>
    <w:rsid w:val="005C578A"/>
    <w:rsid w:val="005C6FB0"/>
    <w:rsid w:val="005D0AA0"/>
    <w:rsid w:val="005D1CD8"/>
    <w:rsid w:val="005D31A9"/>
    <w:rsid w:val="005D738A"/>
    <w:rsid w:val="005E0B66"/>
    <w:rsid w:val="005E1469"/>
    <w:rsid w:val="005E6C5B"/>
    <w:rsid w:val="005E7804"/>
    <w:rsid w:val="005F12FF"/>
    <w:rsid w:val="005F179D"/>
    <w:rsid w:val="005F17F2"/>
    <w:rsid w:val="005F253B"/>
    <w:rsid w:val="005F2F23"/>
    <w:rsid w:val="005F3603"/>
    <w:rsid w:val="005F3A6D"/>
    <w:rsid w:val="005F40AF"/>
    <w:rsid w:val="006053B1"/>
    <w:rsid w:val="006053CD"/>
    <w:rsid w:val="0061082A"/>
    <w:rsid w:val="00610CCD"/>
    <w:rsid w:val="00610FB6"/>
    <w:rsid w:val="006126E4"/>
    <w:rsid w:val="006167C6"/>
    <w:rsid w:val="00620482"/>
    <w:rsid w:val="006238B0"/>
    <w:rsid w:val="0062496B"/>
    <w:rsid w:val="00625B16"/>
    <w:rsid w:val="00633AAE"/>
    <w:rsid w:val="006409C2"/>
    <w:rsid w:val="006510F4"/>
    <w:rsid w:val="00657DEF"/>
    <w:rsid w:val="00672031"/>
    <w:rsid w:val="00675D87"/>
    <w:rsid w:val="00676FA2"/>
    <w:rsid w:val="0067719F"/>
    <w:rsid w:val="00686506"/>
    <w:rsid w:val="00690152"/>
    <w:rsid w:val="00692323"/>
    <w:rsid w:val="006949E0"/>
    <w:rsid w:val="00695524"/>
    <w:rsid w:val="006A07A1"/>
    <w:rsid w:val="006A137A"/>
    <w:rsid w:val="006A5AD8"/>
    <w:rsid w:val="006A607B"/>
    <w:rsid w:val="006A68A3"/>
    <w:rsid w:val="006A71AF"/>
    <w:rsid w:val="006A7C68"/>
    <w:rsid w:val="006B43CC"/>
    <w:rsid w:val="006B61AE"/>
    <w:rsid w:val="006B63A9"/>
    <w:rsid w:val="006B747C"/>
    <w:rsid w:val="006C1555"/>
    <w:rsid w:val="006C25D8"/>
    <w:rsid w:val="006C3142"/>
    <w:rsid w:val="006C399E"/>
    <w:rsid w:val="006C3A41"/>
    <w:rsid w:val="006C6E5C"/>
    <w:rsid w:val="006E2944"/>
    <w:rsid w:val="006E3A17"/>
    <w:rsid w:val="006E5622"/>
    <w:rsid w:val="006E5E3B"/>
    <w:rsid w:val="006E764B"/>
    <w:rsid w:val="006F1878"/>
    <w:rsid w:val="006F76FA"/>
    <w:rsid w:val="00702CFD"/>
    <w:rsid w:val="00703FBD"/>
    <w:rsid w:val="00715AA2"/>
    <w:rsid w:val="00716434"/>
    <w:rsid w:val="00716DE0"/>
    <w:rsid w:val="007175DC"/>
    <w:rsid w:val="00726A1B"/>
    <w:rsid w:val="00730C9D"/>
    <w:rsid w:val="007330D2"/>
    <w:rsid w:val="007355E6"/>
    <w:rsid w:val="00736599"/>
    <w:rsid w:val="007445F3"/>
    <w:rsid w:val="00747235"/>
    <w:rsid w:val="00755DF2"/>
    <w:rsid w:val="00761714"/>
    <w:rsid w:val="007638AA"/>
    <w:rsid w:val="007641BC"/>
    <w:rsid w:val="00764530"/>
    <w:rsid w:val="0076599A"/>
    <w:rsid w:val="00770607"/>
    <w:rsid w:val="00770C43"/>
    <w:rsid w:val="00782B93"/>
    <w:rsid w:val="00784C0B"/>
    <w:rsid w:val="007A4723"/>
    <w:rsid w:val="007A4D6B"/>
    <w:rsid w:val="007A7EBE"/>
    <w:rsid w:val="007B1D49"/>
    <w:rsid w:val="007B56EC"/>
    <w:rsid w:val="007C28BF"/>
    <w:rsid w:val="007C7436"/>
    <w:rsid w:val="007C7868"/>
    <w:rsid w:val="007D5609"/>
    <w:rsid w:val="007D67D0"/>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30D0A"/>
    <w:rsid w:val="00833A6A"/>
    <w:rsid w:val="008508DF"/>
    <w:rsid w:val="00851370"/>
    <w:rsid w:val="00851688"/>
    <w:rsid w:val="00853596"/>
    <w:rsid w:val="008550E6"/>
    <w:rsid w:val="00855652"/>
    <w:rsid w:val="00863017"/>
    <w:rsid w:val="00863A73"/>
    <w:rsid w:val="00864D19"/>
    <w:rsid w:val="00864EC9"/>
    <w:rsid w:val="0086663A"/>
    <w:rsid w:val="008700CD"/>
    <w:rsid w:val="00871E66"/>
    <w:rsid w:val="00872559"/>
    <w:rsid w:val="008740EB"/>
    <w:rsid w:val="00883889"/>
    <w:rsid w:val="00884264"/>
    <w:rsid w:val="00884C50"/>
    <w:rsid w:val="008861AE"/>
    <w:rsid w:val="008A5FFD"/>
    <w:rsid w:val="008B6C3D"/>
    <w:rsid w:val="008B7C8E"/>
    <w:rsid w:val="008C255D"/>
    <w:rsid w:val="008D4A04"/>
    <w:rsid w:val="008E0432"/>
    <w:rsid w:val="008E2E80"/>
    <w:rsid w:val="008E49FA"/>
    <w:rsid w:val="008F01A1"/>
    <w:rsid w:val="008F17D0"/>
    <w:rsid w:val="008F3DD1"/>
    <w:rsid w:val="008F3FE2"/>
    <w:rsid w:val="008F70EE"/>
    <w:rsid w:val="00905279"/>
    <w:rsid w:val="00910B53"/>
    <w:rsid w:val="00910C95"/>
    <w:rsid w:val="009131CF"/>
    <w:rsid w:val="00914D9E"/>
    <w:rsid w:val="00914DBB"/>
    <w:rsid w:val="00924357"/>
    <w:rsid w:val="009251B2"/>
    <w:rsid w:val="00925210"/>
    <w:rsid w:val="00925D13"/>
    <w:rsid w:val="00925DD0"/>
    <w:rsid w:val="00930CB9"/>
    <w:rsid w:val="009407A5"/>
    <w:rsid w:val="00944CD9"/>
    <w:rsid w:val="00947F65"/>
    <w:rsid w:val="00953808"/>
    <w:rsid w:val="00953CC7"/>
    <w:rsid w:val="009615EB"/>
    <w:rsid w:val="00962B5C"/>
    <w:rsid w:val="00972A49"/>
    <w:rsid w:val="0097330C"/>
    <w:rsid w:val="00981D63"/>
    <w:rsid w:val="0098622E"/>
    <w:rsid w:val="00986ACB"/>
    <w:rsid w:val="00986BCD"/>
    <w:rsid w:val="009872D2"/>
    <w:rsid w:val="00990145"/>
    <w:rsid w:val="009910AF"/>
    <w:rsid w:val="00997A96"/>
    <w:rsid w:val="009A54A9"/>
    <w:rsid w:val="009A716A"/>
    <w:rsid w:val="009B43C9"/>
    <w:rsid w:val="009B4C7A"/>
    <w:rsid w:val="009C56BC"/>
    <w:rsid w:val="009D0D4F"/>
    <w:rsid w:val="009D1FD1"/>
    <w:rsid w:val="009E5070"/>
    <w:rsid w:val="009E51B8"/>
    <w:rsid w:val="009E7C53"/>
    <w:rsid w:val="009E7F93"/>
    <w:rsid w:val="009F2F90"/>
    <w:rsid w:val="009F5A69"/>
    <w:rsid w:val="00A03240"/>
    <w:rsid w:val="00A06F30"/>
    <w:rsid w:val="00A152A7"/>
    <w:rsid w:val="00A1535E"/>
    <w:rsid w:val="00A16794"/>
    <w:rsid w:val="00A20892"/>
    <w:rsid w:val="00A248E8"/>
    <w:rsid w:val="00A26094"/>
    <w:rsid w:val="00A2628D"/>
    <w:rsid w:val="00A307B6"/>
    <w:rsid w:val="00A33182"/>
    <w:rsid w:val="00A34FBA"/>
    <w:rsid w:val="00A3523F"/>
    <w:rsid w:val="00A3679A"/>
    <w:rsid w:val="00A4125C"/>
    <w:rsid w:val="00A45144"/>
    <w:rsid w:val="00A46C10"/>
    <w:rsid w:val="00A47273"/>
    <w:rsid w:val="00A63BEA"/>
    <w:rsid w:val="00A66DE0"/>
    <w:rsid w:val="00A759DF"/>
    <w:rsid w:val="00A812D1"/>
    <w:rsid w:val="00A85FAA"/>
    <w:rsid w:val="00A867CA"/>
    <w:rsid w:val="00A874E5"/>
    <w:rsid w:val="00A906C8"/>
    <w:rsid w:val="00A9193F"/>
    <w:rsid w:val="00A95FFF"/>
    <w:rsid w:val="00A97A9C"/>
    <w:rsid w:val="00AA00E1"/>
    <w:rsid w:val="00AA1A95"/>
    <w:rsid w:val="00AA4A49"/>
    <w:rsid w:val="00AB120E"/>
    <w:rsid w:val="00AB2620"/>
    <w:rsid w:val="00AB2C89"/>
    <w:rsid w:val="00AB569E"/>
    <w:rsid w:val="00AC05C6"/>
    <w:rsid w:val="00AC1AEE"/>
    <w:rsid w:val="00AD547D"/>
    <w:rsid w:val="00AD6972"/>
    <w:rsid w:val="00AD7590"/>
    <w:rsid w:val="00AE34E0"/>
    <w:rsid w:val="00AE564D"/>
    <w:rsid w:val="00AF242F"/>
    <w:rsid w:val="00AF3510"/>
    <w:rsid w:val="00AF42E0"/>
    <w:rsid w:val="00AF43B0"/>
    <w:rsid w:val="00AF5344"/>
    <w:rsid w:val="00AF5FDD"/>
    <w:rsid w:val="00AF66F9"/>
    <w:rsid w:val="00B01F87"/>
    <w:rsid w:val="00B06EB8"/>
    <w:rsid w:val="00B12254"/>
    <w:rsid w:val="00B1799D"/>
    <w:rsid w:val="00B17E02"/>
    <w:rsid w:val="00B22DBA"/>
    <w:rsid w:val="00B25D6A"/>
    <w:rsid w:val="00B26CB2"/>
    <w:rsid w:val="00B32403"/>
    <w:rsid w:val="00B333D4"/>
    <w:rsid w:val="00B33728"/>
    <w:rsid w:val="00B344DD"/>
    <w:rsid w:val="00B34BE2"/>
    <w:rsid w:val="00B350B5"/>
    <w:rsid w:val="00B35440"/>
    <w:rsid w:val="00B403CA"/>
    <w:rsid w:val="00B51528"/>
    <w:rsid w:val="00B531C6"/>
    <w:rsid w:val="00B537FB"/>
    <w:rsid w:val="00B538A4"/>
    <w:rsid w:val="00B57916"/>
    <w:rsid w:val="00B63A75"/>
    <w:rsid w:val="00B72B16"/>
    <w:rsid w:val="00B754A0"/>
    <w:rsid w:val="00B778E2"/>
    <w:rsid w:val="00B80A58"/>
    <w:rsid w:val="00B821FF"/>
    <w:rsid w:val="00B83621"/>
    <w:rsid w:val="00B86460"/>
    <w:rsid w:val="00B958A3"/>
    <w:rsid w:val="00BA13FC"/>
    <w:rsid w:val="00BA5E92"/>
    <w:rsid w:val="00BA7588"/>
    <w:rsid w:val="00BB1499"/>
    <w:rsid w:val="00BB39A4"/>
    <w:rsid w:val="00BC2CD0"/>
    <w:rsid w:val="00BC3248"/>
    <w:rsid w:val="00BC75DF"/>
    <w:rsid w:val="00BD5798"/>
    <w:rsid w:val="00BD6022"/>
    <w:rsid w:val="00BD630F"/>
    <w:rsid w:val="00BD6484"/>
    <w:rsid w:val="00BD6503"/>
    <w:rsid w:val="00BD7F1F"/>
    <w:rsid w:val="00BE1183"/>
    <w:rsid w:val="00BE2FFC"/>
    <w:rsid w:val="00BE7420"/>
    <w:rsid w:val="00BF4ECA"/>
    <w:rsid w:val="00C0119C"/>
    <w:rsid w:val="00C01591"/>
    <w:rsid w:val="00C05D06"/>
    <w:rsid w:val="00C11B27"/>
    <w:rsid w:val="00C21B11"/>
    <w:rsid w:val="00C26D35"/>
    <w:rsid w:val="00C2700A"/>
    <w:rsid w:val="00C370C3"/>
    <w:rsid w:val="00C37839"/>
    <w:rsid w:val="00C42106"/>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40C"/>
    <w:rsid w:val="00CA0CCB"/>
    <w:rsid w:val="00CA6AE6"/>
    <w:rsid w:val="00CA6B7B"/>
    <w:rsid w:val="00CB02BA"/>
    <w:rsid w:val="00CB1586"/>
    <w:rsid w:val="00CB2C2B"/>
    <w:rsid w:val="00CB4597"/>
    <w:rsid w:val="00CB617E"/>
    <w:rsid w:val="00CB7144"/>
    <w:rsid w:val="00CC10F2"/>
    <w:rsid w:val="00CD0CF0"/>
    <w:rsid w:val="00CD58C0"/>
    <w:rsid w:val="00CE1402"/>
    <w:rsid w:val="00CE1D93"/>
    <w:rsid w:val="00CE2DF6"/>
    <w:rsid w:val="00CE6FC5"/>
    <w:rsid w:val="00CE7E24"/>
    <w:rsid w:val="00CF1887"/>
    <w:rsid w:val="00CF2DB5"/>
    <w:rsid w:val="00CF4177"/>
    <w:rsid w:val="00CF45ED"/>
    <w:rsid w:val="00CF6677"/>
    <w:rsid w:val="00CF6B71"/>
    <w:rsid w:val="00D03AAD"/>
    <w:rsid w:val="00D07B09"/>
    <w:rsid w:val="00D11A38"/>
    <w:rsid w:val="00D12AF9"/>
    <w:rsid w:val="00D13788"/>
    <w:rsid w:val="00D1512C"/>
    <w:rsid w:val="00D156AD"/>
    <w:rsid w:val="00D16310"/>
    <w:rsid w:val="00D20058"/>
    <w:rsid w:val="00D24E5A"/>
    <w:rsid w:val="00D251F4"/>
    <w:rsid w:val="00D33C3E"/>
    <w:rsid w:val="00D345F1"/>
    <w:rsid w:val="00D34F47"/>
    <w:rsid w:val="00D35EEE"/>
    <w:rsid w:val="00D41D5F"/>
    <w:rsid w:val="00D430E6"/>
    <w:rsid w:val="00D43350"/>
    <w:rsid w:val="00D4647C"/>
    <w:rsid w:val="00D513AB"/>
    <w:rsid w:val="00D53D6F"/>
    <w:rsid w:val="00D57E0B"/>
    <w:rsid w:val="00D57F31"/>
    <w:rsid w:val="00D60287"/>
    <w:rsid w:val="00D60BA1"/>
    <w:rsid w:val="00D61364"/>
    <w:rsid w:val="00D63777"/>
    <w:rsid w:val="00D66348"/>
    <w:rsid w:val="00D66E11"/>
    <w:rsid w:val="00D6786E"/>
    <w:rsid w:val="00D67CD8"/>
    <w:rsid w:val="00D71234"/>
    <w:rsid w:val="00D736A7"/>
    <w:rsid w:val="00D73ECF"/>
    <w:rsid w:val="00D8196E"/>
    <w:rsid w:val="00D8409D"/>
    <w:rsid w:val="00D843DD"/>
    <w:rsid w:val="00D84657"/>
    <w:rsid w:val="00D8497C"/>
    <w:rsid w:val="00D84DF8"/>
    <w:rsid w:val="00D87654"/>
    <w:rsid w:val="00D94A05"/>
    <w:rsid w:val="00D95C8C"/>
    <w:rsid w:val="00DA2264"/>
    <w:rsid w:val="00DA28AD"/>
    <w:rsid w:val="00DA636B"/>
    <w:rsid w:val="00DA7BD7"/>
    <w:rsid w:val="00DB0B3E"/>
    <w:rsid w:val="00DB291A"/>
    <w:rsid w:val="00DB332F"/>
    <w:rsid w:val="00DB680D"/>
    <w:rsid w:val="00DC10AE"/>
    <w:rsid w:val="00DC39A6"/>
    <w:rsid w:val="00DC6A94"/>
    <w:rsid w:val="00DD2499"/>
    <w:rsid w:val="00DD3684"/>
    <w:rsid w:val="00DE5E35"/>
    <w:rsid w:val="00DF32EB"/>
    <w:rsid w:val="00DF37CD"/>
    <w:rsid w:val="00DF4715"/>
    <w:rsid w:val="00DF4BE6"/>
    <w:rsid w:val="00DF50D1"/>
    <w:rsid w:val="00DF51AA"/>
    <w:rsid w:val="00DF6477"/>
    <w:rsid w:val="00E038FD"/>
    <w:rsid w:val="00E04FB7"/>
    <w:rsid w:val="00E060FC"/>
    <w:rsid w:val="00E11584"/>
    <w:rsid w:val="00E214D8"/>
    <w:rsid w:val="00E22EA2"/>
    <w:rsid w:val="00E26F22"/>
    <w:rsid w:val="00E27F60"/>
    <w:rsid w:val="00E32CDD"/>
    <w:rsid w:val="00E35613"/>
    <w:rsid w:val="00E360F4"/>
    <w:rsid w:val="00E4133F"/>
    <w:rsid w:val="00E431CD"/>
    <w:rsid w:val="00E43304"/>
    <w:rsid w:val="00E45105"/>
    <w:rsid w:val="00E503F2"/>
    <w:rsid w:val="00E506E9"/>
    <w:rsid w:val="00E507B6"/>
    <w:rsid w:val="00E51177"/>
    <w:rsid w:val="00E51390"/>
    <w:rsid w:val="00E56573"/>
    <w:rsid w:val="00E61D1C"/>
    <w:rsid w:val="00E6276E"/>
    <w:rsid w:val="00E62D5A"/>
    <w:rsid w:val="00E66CB1"/>
    <w:rsid w:val="00E71C2B"/>
    <w:rsid w:val="00E721CE"/>
    <w:rsid w:val="00E73E62"/>
    <w:rsid w:val="00E87164"/>
    <w:rsid w:val="00EA1137"/>
    <w:rsid w:val="00EA5AAB"/>
    <w:rsid w:val="00EA68C3"/>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0B8B"/>
    <w:rsid w:val="00F10D7E"/>
    <w:rsid w:val="00F11281"/>
    <w:rsid w:val="00F17EC0"/>
    <w:rsid w:val="00F239F7"/>
    <w:rsid w:val="00F25659"/>
    <w:rsid w:val="00F31B26"/>
    <w:rsid w:val="00F31B88"/>
    <w:rsid w:val="00F31E35"/>
    <w:rsid w:val="00F34BA6"/>
    <w:rsid w:val="00F401C7"/>
    <w:rsid w:val="00F40221"/>
    <w:rsid w:val="00F519AA"/>
    <w:rsid w:val="00F51F68"/>
    <w:rsid w:val="00F533B8"/>
    <w:rsid w:val="00F54958"/>
    <w:rsid w:val="00F6085E"/>
    <w:rsid w:val="00F6208E"/>
    <w:rsid w:val="00F62D8D"/>
    <w:rsid w:val="00F66B04"/>
    <w:rsid w:val="00F6756E"/>
    <w:rsid w:val="00F70B72"/>
    <w:rsid w:val="00F70C6A"/>
    <w:rsid w:val="00F76F5F"/>
    <w:rsid w:val="00F77858"/>
    <w:rsid w:val="00F802BB"/>
    <w:rsid w:val="00F80618"/>
    <w:rsid w:val="00F81D60"/>
    <w:rsid w:val="00F8216A"/>
    <w:rsid w:val="00F877B0"/>
    <w:rsid w:val="00F90FD4"/>
    <w:rsid w:val="00F9219D"/>
    <w:rsid w:val="00FA21F5"/>
    <w:rsid w:val="00FA2293"/>
    <w:rsid w:val="00FA6F27"/>
    <w:rsid w:val="00FB0247"/>
    <w:rsid w:val="00FB1545"/>
    <w:rsid w:val="00FB66B3"/>
    <w:rsid w:val="00FD5373"/>
    <w:rsid w:val="00FD6A07"/>
    <w:rsid w:val="00FE07BC"/>
    <w:rsid w:val="00FE5B2C"/>
    <w:rsid w:val="00FF126F"/>
    <w:rsid w:val="00FF15EC"/>
    <w:rsid w:val="00FF2455"/>
    <w:rsid w:val="00FF384F"/>
    <w:rsid w:val="00FF3F7C"/>
    <w:rsid w:val="00FF4381"/>
    <w:rsid w:val="00FF73DF"/>
    <w:rsid w:val="12C8C51F"/>
    <w:rsid w:val="59C259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761CF0"/>
  <w15:docId w15:val="{69A2751C-D51A-4B4F-8083-B26B5121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sid w:val="0057093A"/>
    <w:rPr>
      <w:sz w:val="20"/>
      <w:szCs w:val="20"/>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qFormat/>
    <w:rsid w:val="003B1304"/>
    <w:pPr>
      <w:jc w:val="center"/>
    </w:pPr>
    <w:rPr>
      <w:rFonts w:ascii="Arial Narrow" w:hAnsi="Arial Narrow"/>
      <w:szCs w:val="20"/>
    </w:rPr>
  </w:style>
  <w:style w:type="character" w:customStyle="1" w:styleId="TitleChar">
    <w:name w:val="Title Char"/>
    <w:basedOn w:val="DefaultParagraphFont"/>
    <w:link w:val="Title"/>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Colorful List - Accent 11,Colorful List Accent 1,EC,Paragraphe EI,Paragraphe de liste1,Paragraphe de liste2"/>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Colorful List - Accent 11 Char,Colorful List Accent 1 Char,EC Char,Paragraphe EI Char,Paragraphe de liste1 Char,Paragraphe de liste2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 w:type="character" w:styleId="UnresolvedMention">
    <w:name w:val="Unresolved Mention"/>
    <w:basedOn w:val="DefaultParagraphFont"/>
    <w:uiPriority w:val="99"/>
    <w:semiHidden/>
    <w:unhideWhenUsed/>
    <w:rsid w:val="009615EB"/>
    <w:rPr>
      <w:color w:val="605E5C"/>
      <w:shd w:val="clear" w:color="auto" w:fill="E1DFDD"/>
    </w:rPr>
  </w:style>
  <w:style w:type="paragraph" w:styleId="Revision">
    <w:name w:val="Revision"/>
    <w:hidden/>
    <w:uiPriority w:val="99"/>
    <w:semiHidden/>
    <w:rsid w:val="001713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64EC4E1294242B014BE3DBC8DF8C2" ma:contentTypeVersion="2" ma:contentTypeDescription="Create a new document." ma:contentTypeScope="" ma:versionID="a053b999de34a85068db2bd664648c27">
  <xsd:schema xmlns:xsd="http://www.w3.org/2001/XMLSchema" xmlns:xs="http://www.w3.org/2001/XMLSchema" xmlns:p="http://schemas.microsoft.com/office/2006/metadata/properties" xmlns:ns2="325fa828-bf12-42ee-a5be-32a96134a89b" targetNamespace="http://schemas.microsoft.com/office/2006/metadata/properties" ma:root="true" ma:fieldsID="af599d3da15defc75a1357fc9014130d" ns2:_="">
    <xsd:import namespace="325fa828-bf12-42ee-a5be-32a96134a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fa828-bf12-42ee-a5be-32a96134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F7D1A-27AA-4CFC-BBBC-A27A6B7D8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fa828-bf12-42ee-a5be-32a96134a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DD592-EBA0-470C-B5BF-C6CA5F738A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5C3A9-9CEB-4585-9D3E-CE9785B110A8}">
  <ds:schemaRefs>
    <ds:schemaRef ds:uri="http://schemas.openxmlformats.org/officeDocument/2006/bibliography"/>
  </ds:schemaRefs>
</ds:datastoreItem>
</file>

<file path=customXml/itemProps4.xml><?xml version="1.0" encoding="utf-8"?>
<ds:datastoreItem xmlns:ds="http://schemas.openxmlformats.org/officeDocument/2006/customXml" ds:itemID="{A3F7E3D2-A25C-4896-8696-CAE1F7300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Bundy, Katharine A</cp:lastModifiedBy>
  <cp:revision>3</cp:revision>
  <cp:lastPrinted>2019-05-21T19:02:00Z</cp:lastPrinted>
  <dcterms:created xsi:type="dcterms:W3CDTF">2023-06-07T13:57:00Z</dcterms:created>
  <dcterms:modified xsi:type="dcterms:W3CDTF">2023-06-07T13:57:00Z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0x010100B8C64EC4E1294242B014BE3DBC8DF8C2</vt:lpwstr>
  </property>
  <property fmtid="{D5CDD505-2E9C-101B-9397-08002B2CF9AE}" pid="3" name="_NewReviewCycle">
    <vt:lpwstr/>
  </property>
</Properties>
</file>