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70" w:rsidRPr="00626C97" w:rsidP="00626C97" w14:paraId="5098DD4A" w14:textId="51154255">
      <w:pPr>
        <w:spacing w:line="276" w:lineRule="auto"/>
        <w:contextualSpacing/>
        <w:jc w:val="right"/>
        <w:rPr>
          <w:rFonts w:ascii="Times New Roman" w:hAnsi="Times New Roman"/>
          <w:b/>
          <w:bCs/>
          <w:color w:val="000000" w:themeColor="text1"/>
          <w:sz w:val="28"/>
          <w:szCs w:val="28"/>
        </w:rPr>
      </w:pPr>
      <w:r w:rsidRPr="00626C97">
        <w:rPr>
          <w:rFonts w:ascii="Times New Roman" w:hAnsi="Times New Roman"/>
          <w:b/>
          <w:bCs/>
          <w:color w:val="000000" w:themeColor="text1"/>
          <w:sz w:val="28"/>
          <w:szCs w:val="28"/>
        </w:rPr>
        <w:t>July 6</w:t>
      </w:r>
      <w:r w:rsidRPr="00626C97">
        <w:rPr>
          <w:rFonts w:ascii="Times New Roman" w:hAnsi="Times New Roman"/>
          <w:b/>
          <w:bCs/>
          <w:color w:val="000000" w:themeColor="text1"/>
          <w:sz w:val="28"/>
          <w:szCs w:val="28"/>
        </w:rPr>
        <w:t>, 202</w:t>
      </w:r>
      <w:r w:rsidRPr="00626C97" w:rsidR="00545534">
        <w:rPr>
          <w:rFonts w:ascii="Times New Roman" w:hAnsi="Times New Roman"/>
          <w:b/>
          <w:bCs/>
          <w:color w:val="000000" w:themeColor="text1"/>
          <w:sz w:val="28"/>
          <w:szCs w:val="28"/>
        </w:rPr>
        <w:t>3</w:t>
      </w:r>
    </w:p>
    <w:p w:rsidR="00866E70" w:rsidRPr="00626C97" w:rsidP="00626C97" w14:paraId="3D68FB53" w14:textId="77777777">
      <w:pPr>
        <w:spacing w:line="276" w:lineRule="auto"/>
        <w:contextualSpacing/>
        <w:jc w:val="right"/>
        <w:rPr>
          <w:rFonts w:ascii="Times New Roman" w:hAnsi="Times New Roman"/>
          <w:b/>
          <w:bCs/>
          <w:color w:val="000000" w:themeColor="text1"/>
          <w:sz w:val="28"/>
          <w:szCs w:val="28"/>
        </w:rPr>
      </w:pPr>
    </w:p>
    <w:p w:rsidR="00B27061" w:rsidRPr="00626C97" w:rsidP="00626C97" w14:paraId="021BC63D" w14:textId="4E69EC3E">
      <w:pPr>
        <w:spacing w:line="276" w:lineRule="auto"/>
        <w:contextualSpacing/>
        <w:jc w:val="center"/>
        <w:rPr>
          <w:rFonts w:ascii="Times New Roman" w:hAnsi="Times New Roman"/>
          <w:b/>
          <w:bCs/>
          <w:color w:val="000000" w:themeColor="text1"/>
          <w:sz w:val="28"/>
          <w:szCs w:val="28"/>
        </w:rPr>
      </w:pPr>
      <w:r w:rsidRPr="00626C97">
        <w:rPr>
          <w:rFonts w:ascii="Times New Roman" w:hAnsi="Times New Roman"/>
          <w:b/>
          <w:bCs/>
          <w:color w:val="000000" w:themeColor="text1"/>
          <w:sz w:val="28"/>
          <w:szCs w:val="28"/>
        </w:rPr>
        <w:t xml:space="preserve">SUPPORTING STATEMENT </w:t>
      </w:r>
      <w:r w:rsidRPr="00626C97" w:rsidR="00E805A8">
        <w:rPr>
          <w:rFonts w:ascii="Times New Roman" w:hAnsi="Times New Roman"/>
          <w:b/>
          <w:bCs/>
          <w:color w:val="000000" w:themeColor="text1"/>
          <w:sz w:val="28"/>
          <w:szCs w:val="28"/>
        </w:rPr>
        <w:t xml:space="preserve">PART B </w:t>
      </w:r>
      <w:r w:rsidRPr="00626C97">
        <w:rPr>
          <w:rFonts w:ascii="Times New Roman" w:hAnsi="Times New Roman"/>
          <w:b/>
          <w:bCs/>
          <w:color w:val="000000" w:themeColor="text1"/>
          <w:sz w:val="28"/>
          <w:szCs w:val="28"/>
        </w:rPr>
        <w:t xml:space="preserve">FOR </w:t>
      </w:r>
    </w:p>
    <w:p w:rsidR="00F17026" w:rsidRPr="00626C97" w:rsidP="00626C97" w14:paraId="1CA5C211" w14:textId="77777777">
      <w:pPr>
        <w:spacing w:line="276" w:lineRule="auto"/>
        <w:contextualSpacing/>
        <w:jc w:val="center"/>
        <w:rPr>
          <w:rFonts w:ascii="Times New Roman" w:hAnsi="Times New Roman"/>
          <w:b/>
          <w:bCs/>
          <w:color w:val="000000" w:themeColor="text1"/>
          <w:sz w:val="28"/>
          <w:szCs w:val="28"/>
        </w:rPr>
      </w:pPr>
      <w:r w:rsidRPr="00626C97">
        <w:rPr>
          <w:rFonts w:ascii="Times New Roman" w:hAnsi="Times New Roman"/>
          <w:b/>
          <w:bCs/>
          <w:color w:val="000000" w:themeColor="text1"/>
          <w:sz w:val="28"/>
          <w:szCs w:val="28"/>
        </w:rPr>
        <w:t>Generic Clearance for the Multi-Modal Mixed Methods Collection of Information to Inform Agency Marketing and Outreach</w:t>
      </w:r>
    </w:p>
    <w:p w:rsidR="00DE08FF" w:rsidRPr="00626C97" w:rsidP="00626C97" w14:paraId="021BC63F" w14:textId="6C720A4A">
      <w:pPr>
        <w:spacing w:line="276" w:lineRule="auto"/>
        <w:contextualSpacing/>
        <w:jc w:val="center"/>
        <w:rPr>
          <w:rFonts w:ascii="Times New Roman" w:hAnsi="Times New Roman"/>
          <w:b/>
          <w:bCs/>
          <w:color w:val="000000" w:themeColor="text1"/>
          <w:sz w:val="28"/>
          <w:szCs w:val="28"/>
        </w:rPr>
      </w:pPr>
      <w:r w:rsidRPr="00626C97">
        <w:rPr>
          <w:rFonts w:ascii="Times New Roman" w:hAnsi="Times New Roman"/>
          <w:b/>
          <w:bCs/>
          <w:color w:val="000000" w:themeColor="text1"/>
          <w:sz w:val="28"/>
          <w:szCs w:val="28"/>
        </w:rPr>
        <w:t xml:space="preserve">OMB Control No.: </w:t>
      </w:r>
      <w:r w:rsidRPr="00626C97" w:rsidR="00866E70">
        <w:rPr>
          <w:rFonts w:ascii="Times New Roman" w:hAnsi="Times New Roman"/>
          <w:b/>
          <w:bCs/>
          <w:color w:val="000000" w:themeColor="text1"/>
          <w:sz w:val="28"/>
          <w:szCs w:val="28"/>
        </w:rPr>
        <w:t>1660-NW131</w:t>
      </w:r>
    </w:p>
    <w:p w:rsidR="00DE08FF" w:rsidRPr="00626C97" w:rsidP="00626C97" w14:paraId="021BC640" w14:textId="3D665273">
      <w:pPr>
        <w:spacing w:line="276" w:lineRule="auto"/>
        <w:contextualSpacing/>
        <w:jc w:val="center"/>
        <w:rPr>
          <w:rFonts w:ascii="Times New Roman" w:hAnsi="Times New Roman"/>
          <w:b/>
          <w:bCs/>
          <w:color w:val="000000" w:themeColor="text1"/>
          <w:sz w:val="28"/>
          <w:szCs w:val="28"/>
        </w:rPr>
      </w:pPr>
      <w:r w:rsidRPr="00626C97">
        <w:rPr>
          <w:rFonts w:ascii="Times New Roman" w:hAnsi="Times New Roman"/>
          <w:b/>
          <w:bCs/>
          <w:color w:val="000000" w:themeColor="text1"/>
          <w:sz w:val="28"/>
          <w:szCs w:val="28"/>
        </w:rPr>
        <w:t xml:space="preserve">COLLECTION INSTRUMENT(S): </w:t>
      </w:r>
      <w:r w:rsidRPr="00626C97" w:rsidR="00F17026">
        <w:rPr>
          <w:rFonts w:ascii="Times New Roman" w:hAnsi="Times New Roman"/>
          <w:b/>
          <w:bCs/>
          <w:color w:val="000000" w:themeColor="text1"/>
          <w:sz w:val="28"/>
          <w:szCs w:val="28"/>
        </w:rPr>
        <w:t>None</w:t>
      </w:r>
    </w:p>
    <w:p w:rsidR="002A4A73" w:rsidRPr="00626C97" w:rsidP="00626C97" w14:paraId="021BC641" w14:textId="77777777">
      <w:pPr>
        <w:spacing w:line="276" w:lineRule="auto"/>
        <w:contextualSpacing/>
        <w:jc w:val="center"/>
        <w:rPr>
          <w:rFonts w:ascii="Times New Roman" w:hAnsi="Times New Roman"/>
          <w:b/>
          <w:bCs/>
          <w:color w:val="000000" w:themeColor="text1"/>
        </w:rPr>
      </w:pPr>
      <w:r w:rsidRPr="00626C97">
        <w:rPr>
          <w:rFonts w:ascii="Times New Roman" w:hAnsi="Times New Roman"/>
          <w:b/>
          <w:bCs/>
          <w:color w:val="000000" w:themeColor="text1"/>
        </w:rPr>
        <w:t xml:space="preserve"> </w:t>
      </w:r>
    </w:p>
    <w:p w:rsidR="00B27061" w:rsidRPr="00626C97" w:rsidP="00626C97" w14:paraId="021BC642" w14:textId="77777777">
      <w:pPr>
        <w:spacing w:line="276" w:lineRule="auto"/>
        <w:contextualSpacing/>
        <w:jc w:val="both"/>
        <w:rPr>
          <w:rFonts w:ascii="Times New Roman" w:hAnsi="Times New Roman"/>
          <w:color w:val="000000" w:themeColor="text1"/>
        </w:rPr>
      </w:pPr>
    </w:p>
    <w:p w:rsidR="00014487" w:rsidRPr="00626C97" w:rsidP="00626C97" w14:paraId="021BC643" w14:textId="51B093F1">
      <w:pPr>
        <w:tabs>
          <w:tab w:val="left" w:pos="-1440"/>
        </w:tabs>
        <w:spacing w:line="276" w:lineRule="auto"/>
        <w:ind w:left="720" w:hanging="720"/>
        <w:contextualSpacing/>
        <w:jc w:val="both"/>
        <w:rPr>
          <w:rFonts w:ascii="Times New Roman" w:hAnsi="Times New Roman"/>
          <w:b/>
          <w:bCs/>
          <w:color w:val="000000" w:themeColor="text1"/>
        </w:rPr>
      </w:pPr>
      <w:r w:rsidRPr="00626C97">
        <w:rPr>
          <w:rFonts w:ascii="Times New Roman" w:hAnsi="Times New Roman"/>
          <w:b/>
          <w:bCs/>
          <w:color w:val="000000" w:themeColor="text1"/>
        </w:rPr>
        <w:t>B.</w:t>
      </w:r>
      <w:r w:rsidRPr="00626C97">
        <w:rPr>
          <w:rFonts w:ascii="Times New Roman" w:hAnsi="Times New Roman"/>
          <w:b/>
          <w:bCs/>
          <w:color w:val="000000" w:themeColor="text1"/>
        </w:rPr>
        <w:tab/>
      </w:r>
      <w:r w:rsidRPr="00626C97" w:rsidR="005C0489">
        <w:rPr>
          <w:rFonts w:ascii="Times New Roman" w:hAnsi="Times New Roman"/>
          <w:b/>
          <w:bCs/>
          <w:color w:val="000000" w:themeColor="text1"/>
        </w:rPr>
        <w:t>STATISTICAL METHODS</w:t>
      </w:r>
    </w:p>
    <w:p w:rsidR="00AC2FFA" w:rsidRPr="00626C97" w:rsidP="00626C97" w14:paraId="1B363C7F" w14:textId="77777777">
      <w:pPr>
        <w:spacing w:line="276" w:lineRule="auto"/>
        <w:contextualSpacing/>
        <w:jc w:val="both"/>
        <w:rPr>
          <w:rFonts w:ascii="Times New Roman" w:hAnsi="Times New Roman"/>
          <w:color w:val="000000" w:themeColor="text1"/>
        </w:rPr>
      </w:pPr>
    </w:p>
    <w:p w:rsidR="0035421A" w:rsidRPr="00626C97" w:rsidP="00626C97" w14:paraId="574671A5" w14:textId="0EAFC59A">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Data collection methods and procedures will vary</w:t>
      </w:r>
      <w:r w:rsidRPr="00626C97" w:rsidR="000C7971">
        <w:rPr>
          <w:rFonts w:ascii="Times New Roman" w:hAnsi="Times New Roman"/>
          <w:color w:val="000000" w:themeColor="text1"/>
        </w:rPr>
        <w:t xml:space="preserve">. When generalizable information is desired, statistical methods, including appropriate sampling methods, will be used to limit burden on the general public while supporting accurate information gathering for FEMA’s use. The primary purpose of these collections will be </w:t>
      </w:r>
      <w:r w:rsidRPr="00626C97" w:rsidR="00141CE8">
        <w:rPr>
          <w:rFonts w:ascii="Times New Roman" w:hAnsi="Times New Roman"/>
          <w:color w:val="000000" w:themeColor="text1"/>
        </w:rPr>
        <w:t>to inform marketing and outreach of a FEMA program. Both generalizable and non-generalizable information is suitable for this purpose, and this supporting statement describes both. Publishing or otherwise releasing this information will be for the purpose of deepening engagement of industry, other stakeholders, the FEMA regions,</w:t>
      </w:r>
      <w:r w:rsidRPr="00626C97" w:rsidR="008F7DF2">
        <w:rPr>
          <w:rFonts w:ascii="Times New Roman" w:hAnsi="Times New Roman"/>
          <w:color w:val="000000" w:themeColor="text1"/>
        </w:rPr>
        <w:t xml:space="preserve"> and</w:t>
      </w:r>
      <w:r w:rsidRPr="00626C97" w:rsidR="00141CE8">
        <w:rPr>
          <w:rFonts w:ascii="Times New Roman" w:hAnsi="Times New Roman"/>
          <w:color w:val="000000" w:themeColor="text1"/>
        </w:rPr>
        <w:t xml:space="preserve"> </w:t>
      </w:r>
      <w:r w:rsidRPr="00626C97" w:rsidR="008F7DF2">
        <w:rPr>
          <w:rFonts w:ascii="Times New Roman" w:hAnsi="Times New Roman"/>
          <w:color w:val="000000" w:themeColor="text1"/>
        </w:rPr>
        <w:t>the general public</w:t>
      </w:r>
      <w:r w:rsidRPr="00626C97" w:rsidR="00AC2FFA">
        <w:rPr>
          <w:rFonts w:ascii="Times New Roman" w:hAnsi="Times New Roman"/>
          <w:color w:val="000000" w:themeColor="text1"/>
        </w:rPr>
        <w:t>. All information released to the public will be appropriately aggregated and/or anonymized to protect participant privacy.</w:t>
      </w:r>
    </w:p>
    <w:p w:rsidR="00014487" w:rsidRPr="00626C97" w:rsidP="00626C97" w14:paraId="021BC646" w14:textId="77777777">
      <w:pPr>
        <w:spacing w:line="276" w:lineRule="auto"/>
        <w:contextualSpacing/>
        <w:jc w:val="both"/>
        <w:rPr>
          <w:rFonts w:ascii="Times New Roman" w:hAnsi="Times New Roman"/>
          <w:color w:val="000000" w:themeColor="text1"/>
        </w:rPr>
      </w:pPr>
    </w:p>
    <w:p w:rsidR="00014487" w:rsidRPr="00626C97" w:rsidP="00626C97" w14:paraId="021BC648" w14:textId="6C9179E3">
      <w:pPr>
        <w:pStyle w:val="ListParagraph"/>
        <w:numPr>
          <w:ilvl w:val="0"/>
          <w:numId w:val="13"/>
        </w:numPr>
        <w:tabs>
          <w:tab w:val="left" w:pos="-1440"/>
        </w:tabs>
        <w:spacing w:line="276" w:lineRule="auto"/>
        <w:jc w:val="both"/>
        <w:rPr>
          <w:rFonts w:ascii="Times New Roman" w:hAnsi="Times New Roman"/>
          <w:b/>
          <w:bCs/>
          <w:color w:val="000000" w:themeColor="text1"/>
        </w:rPr>
      </w:pPr>
      <w:r w:rsidRPr="00626C97">
        <w:rPr>
          <w:rFonts w:ascii="Times New Roman" w:hAnsi="Times New Roman"/>
          <w:b/>
          <w:bCs/>
          <w:color w:val="000000" w:themeColor="text1"/>
        </w:rPr>
        <w:t>Universe and Respondent Selection</w:t>
      </w:r>
    </w:p>
    <w:p w:rsidR="0026596D" w:rsidRPr="00626C97" w:rsidP="00626C97" w14:paraId="23FDEF54" w14:textId="77777777">
      <w:pPr>
        <w:pStyle w:val="ListParagraph"/>
        <w:tabs>
          <w:tab w:val="left" w:pos="-1440"/>
        </w:tabs>
        <w:spacing w:line="276" w:lineRule="auto"/>
        <w:jc w:val="both"/>
        <w:rPr>
          <w:rFonts w:ascii="Times New Roman" w:hAnsi="Times New Roman"/>
          <w:b/>
          <w:bCs/>
          <w:color w:val="000000" w:themeColor="text1"/>
        </w:rPr>
      </w:pPr>
    </w:p>
    <w:p w:rsidR="000A4CCA" w:rsidRPr="00626C97" w:rsidP="00626C97" w14:paraId="0F02FA15" w14:textId="77777777">
      <w:pPr>
        <w:spacing w:line="276" w:lineRule="auto"/>
        <w:contextualSpacing/>
        <w:jc w:val="both"/>
        <w:rPr>
          <w:rFonts w:ascii="Times New Roman" w:hAnsi="Times New Roman"/>
          <w:color w:val="000000" w:themeColor="text1"/>
          <w:u w:val="single"/>
        </w:rPr>
      </w:pPr>
      <w:r w:rsidRPr="00626C97">
        <w:rPr>
          <w:rFonts w:ascii="Times New Roman" w:hAnsi="Times New Roman"/>
          <w:color w:val="000000" w:themeColor="text1"/>
          <w:u w:val="single"/>
        </w:rPr>
        <w:t>Non-Generalizable Quantitative and Qualitative Data</w:t>
      </w:r>
    </w:p>
    <w:p w:rsidR="00866E70" w:rsidRPr="00626C97" w:rsidP="00626C97" w14:paraId="67595338" w14:textId="77777777">
      <w:pPr>
        <w:spacing w:line="276" w:lineRule="auto"/>
        <w:contextualSpacing/>
        <w:jc w:val="both"/>
        <w:rPr>
          <w:rFonts w:ascii="Times New Roman" w:hAnsi="Times New Roman"/>
          <w:color w:val="000000" w:themeColor="text1"/>
        </w:rPr>
      </w:pPr>
    </w:p>
    <w:p w:rsidR="00A77184" w:rsidRPr="00626C97" w:rsidP="00626C97" w14:paraId="7FAEAEF0" w14:textId="7F0469BC">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Many</w:t>
      </w:r>
      <w:r w:rsidRPr="00626C97" w:rsidR="00D4524D">
        <w:rPr>
          <w:rFonts w:ascii="Times New Roman" w:hAnsi="Times New Roman"/>
          <w:color w:val="000000" w:themeColor="text1"/>
        </w:rPr>
        <w:t xml:space="preserve"> </w:t>
      </w:r>
      <w:r w:rsidRPr="00626C97" w:rsidR="007A4405">
        <w:rPr>
          <w:rFonts w:ascii="Times New Roman" w:hAnsi="Times New Roman"/>
          <w:color w:val="000000" w:themeColor="text1"/>
        </w:rPr>
        <w:t xml:space="preserve">activities under this </w:t>
      </w:r>
      <w:r w:rsidRPr="00626C97" w:rsidR="00EE17F6">
        <w:rPr>
          <w:rFonts w:ascii="Times New Roman" w:hAnsi="Times New Roman"/>
          <w:color w:val="000000" w:themeColor="text1"/>
        </w:rPr>
        <w:t xml:space="preserve">generic </w:t>
      </w:r>
      <w:r w:rsidRPr="00626C97" w:rsidR="007A4405">
        <w:rPr>
          <w:rFonts w:ascii="Times New Roman" w:hAnsi="Times New Roman"/>
          <w:color w:val="000000" w:themeColor="text1"/>
        </w:rPr>
        <w:t xml:space="preserve">clearance </w:t>
      </w:r>
      <w:r w:rsidRPr="00626C97" w:rsidR="00702D1D">
        <w:rPr>
          <w:rFonts w:ascii="Times New Roman" w:hAnsi="Times New Roman"/>
          <w:color w:val="000000" w:themeColor="text1"/>
        </w:rPr>
        <w:t>will</w:t>
      </w:r>
      <w:r w:rsidRPr="00626C97" w:rsidR="007A4405">
        <w:rPr>
          <w:rFonts w:ascii="Times New Roman" w:hAnsi="Times New Roman"/>
          <w:color w:val="000000" w:themeColor="text1"/>
        </w:rPr>
        <w:t xml:space="preserve"> involve</w:t>
      </w:r>
      <w:r w:rsidRPr="00626C97" w:rsidR="00F30BBB">
        <w:rPr>
          <w:rFonts w:ascii="Times New Roman" w:hAnsi="Times New Roman"/>
          <w:color w:val="000000" w:themeColor="text1"/>
        </w:rPr>
        <w:t xml:space="preserve"> </w:t>
      </w:r>
      <w:r w:rsidRPr="00626C97" w:rsidR="00464448">
        <w:rPr>
          <w:rFonts w:ascii="Times New Roman" w:hAnsi="Times New Roman"/>
          <w:color w:val="000000" w:themeColor="text1"/>
        </w:rPr>
        <w:t>the collection of</w:t>
      </w:r>
      <w:r w:rsidRPr="00626C97" w:rsidR="004B6C1E">
        <w:rPr>
          <w:rFonts w:ascii="Times New Roman" w:hAnsi="Times New Roman"/>
          <w:color w:val="000000" w:themeColor="text1"/>
        </w:rPr>
        <w:t xml:space="preserve"> </w:t>
      </w:r>
      <w:r w:rsidRPr="00626C97" w:rsidR="00CE511A">
        <w:rPr>
          <w:rFonts w:ascii="Times New Roman" w:hAnsi="Times New Roman"/>
          <w:color w:val="000000" w:themeColor="text1"/>
        </w:rPr>
        <w:t xml:space="preserve">novel </w:t>
      </w:r>
      <w:r w:rsidRPr="00626C97" w:rsidR="004B6C1E">
        <w:rPr>
          <w:rFonts w:ascii="Times New Roman" w:hAnsi="Times New Roman"/>
          <w:color w:val="000000" w:themeColor="text1"/>
        </w:rPr>
        <w:t>qualitative</w:t>
      </w:r>
      <w:r w:rsidRPr="00626C97" w:rsidR="00E51CD7">
        <w:rPr>
          <w:rFonts w:ascii="Times New Roman" w:hAnsi="Times New Roman"/>
          <w:color w:val="000000" w:themeColor="text1"/>
        </w:rPr>
        <w:t xml:space="preserve"> and quantitative</w:t>
      </w:r>
      <w:r w:rsidRPr="00626C97" w:rsidR="398F4EFD">
        <w:rPr>
          <w:rFonts w:ascii="Times New Roman" w:hAnsi="Times New Roman"/>
          <w:color w:val="000000" w:themeColor="text1"/>
        </w:rPr>
        <w:t xml:space="preserve"> </w:t>
      </w:r>
      <w:r w:rsidRPr="00626C97" w:rsidR="00F30BBB">
        <w:rPr>
          <w:rFonts w:ascii="Times New Roman" w:hAnsi="Times New Roman"/>
          <w:color w:val="000000" w:themeColor="text1"/>
        </w:rPr>
        <w:t>non-generalizable</w:t>
      </w:r>
      <w:r w:rsidRPr="00626C97" w:rsidR="007A4405">
        <w:rPr>
          <w:rFonts w:ascii="Times New Roman" w:hAnsi="Times New Roman"/>
          <w:color w:val="000000" w:themeColor="text1"/>
        </w:rPr>
        <w:t xml:space="preserve"> </w:t>
      </w:r>
      <w:r w:rsidRPr="00626C97" w:rsidR="00464448">
        <w:rPr>
          <w:rFonts w:ascii="Times New Roman" w:hAnsi="Times New Roman"/>
          <w:color w:val="000000" w:themeColor="text1"/>
        </w:rPr>
        <w:t xml:space="preserve">data </w:t>
      </w:r>
      <w:r w:rsidRPr="00626C97" w:rsidR="004B6C1E">
        <w:rPr>
          <w:rFonts w:ascii="Times New Roman" w:hAnsi="Times New Roman"/>
          <w:color w:val="000000" w:themeColor="text1"/>
        </w:rPr>
        <w:t>from</w:t>
      </w:r>
      <w:r w:rsidRPr="00626C97" w:rsidR="007A4405">
        <w:rPr>
          <w:rFonts w:ascii="Times New Roman" w:hAnsi="Times New Roman"/>
          <w:color w:val="000000" w:themeColor="text1"/>
        </w:rPr>
        <w:t xml:space="preserve"> self-selected </w:t>
      </w:r>
      <w:r w:rsidRPr="00626C97">
        <w:rPr>
          <w:rFonts w:ascii="Times New Roman" w:hAnsi="Times New Roman"/>
          <w:color w:val="000000" w:themeColor="text1"/>
        </w:rPr>
        <w:t>members of the general public</w:t>
      </w:r>
      <w:r w:rsidRPr="00626C97" w:rsidR="004B6C1E">
        <w:rPr>
          <w:rFonts w:ascii="Times New Roman" w:hAnsi="Times New Roman"/>
          <w:color w:val="000000" w:themeColor="text1"/>
        </w:rPr>
        <w:t xml:space="preserve"> using </w:t>
      </w:r>
      <w:r w:rsidRPr="00626C97" w:rsidR="007A4405">
        <w:rPr>
          <w:rFonts w:ascii="Times New Roman" w:hAnsi="Times New Roman"/>
          <w:color w:val="000000" w:themeColor="text1"/>
        </w:rPr>
        <w:t>convenience</w:t>
      </w:r>
      <w:r w:rsidRPr="00626C97" w:rsidR="006B1C31">
        <w:rPr>
          <w:rFonts w:ascii="Times New Roman" w:hAnsi="Times New Roman"/>
          <w:color w:val="000000" w:themeColor="text1"/>
        </w:rPr>
        <w:t xml:space="preserve"> </w:t>
      </w:r>
      <w:r w:rsidRPr="00626C97" w:rsidR="002470FC">
        <w:rPr>
          <w:rFonts w:ascii="Times New Roman" w:hAnsi="Times New Roman"/>
          <w:color w:val="000000" w:themeColor="text1"/>
        </w:rPr>
        <w:t>and/</w:t>
      </w:r>
      <w:r w:rsidRPr="00626C97" w:rsidR="006B1C31">
        <w:rPr>
          <w:rFonts w:ascii="Times New Roman" w:hAnsi="Times New Roman"/>
          <w:color w:val="000000" w:themeColor="text1"/>
        </w:rPr>
        <w:t xml:space="preserve">or quota sampling approaches. </w:t>
      </w:r>
      <w:r w:rsidRPr="00626C97" w:rsidR="002470FC">
        <w:rPr>
          <w:rFonts w:ascii="Times New Roman" w:hAnsi="Times New Roman"/>
          <w:color w:val="000000" w:themeColor="text1"/>
        </w:rPr>
        <w:t>Qualitative data</w:t>
      </w:r>
      <w:r w:rsidRPr="00626C97" w:rsidR="009F58E3">
        <w:rPr>
          <w:rFonts w:ascii="Times New Roman" w:hAnsi="Times New Roman"/>
          <w:color w:val="000000" w:themeColor="text1"/>
        </w:rPr>
        <w:t xml:space="preserve"> will be collected through a variety of methods (e.g., </w:t>
      </w:r>
      <w:r w:rsidRPr="00626C97" w:rsidR="00777B4A">
        <w:rPr>
          <w:rFonts w:ascii="Times New Roman" w:hAnsi="Times New Roman"/>
          <w:color w:val="000000" w:themeColor="text1"/>
        </w:rPr>
        <w:t>focus groups,</w:t>
      </w:r>
      <w:r w:rsidRPr="00626C97" w:rsidR="00E51CD7">
        <w:rPr>
          <w:rFonts w:ascii="Times New Roman" w:hAnsi="Times New Roman"/>
          <w:color w:val="000000" w:themeColor="text1"/>
        </w:rPr>
        <w:t xml:space="preserve"> </w:t>
      </w:r>
      <w:r w:rsidRPr="00626C97" w:rsidR="005E59E2">
        <w:rPr>
          <w:rFonts w:ascii="Times New Roman" w:hAnsi="Times New Roman"/>
          <w:color w:val="000000" w:themeColor="text1"/>
        </w:rPr>
        <w:t>surveys</w:t>
      </w:r>
      <w:r w:rsidRPr="00626C97" w:rsidR="00E51CD7">
        <w:rPr>
          <w:rFonts w:ascii="Times New Roman" w:hAnsi="Times New Roman"/>
          <w:color w:val="000000" w:themeColor="text1"/>
        </w:rPr>
        <w:t>,</w:t>
      </w:r>
      <w:r w:rsidRPr="00626C97" w:rsidR="00777B4A">
        <w:rPr>
          <w:rFonts w:ascii="Times New Roman" w:hAnsi="Times New Roman"/>
          <w:color w:val="000000" w:themeColor="text1"/>
        </w:rPr>
        <w:t xml:space="preserve"> key informant interviews, cognitive interviews)</w:t>
      </w:r>
      <w:r w:rsidRPr="00626C97" w:rsidR="00FE2B1A">
        <w:rPr>
          <w:rFonts w:ascii="Times New Roman" w:hAnsi="Times New Roman"/>
          <w:color w:val="000000" w:themeColor="text1"/>
        </w:rPr>
        <w:t>. S</w:t>
      </w:r>
      <w:r w:rsidRPr="00626C97" w:rsidR="007A4405">
        <w:rPr>
          <w:rFonts w:ascii="Times New Roman" w:hAnsi="Times New Roman"/>
          <w:color w:val="000000" w:themeColor="text1"/>
        </w:rPr>
        <w:t>pecific</w:t>
      </w:r>
      <w:r w:rsidRPr="00626C97" w:rsidR="00550E66">
        <w:rPr>
          <w:rFonts w:ascii="Times New Roman" w:hAnsi="Times New Roman"/>
          <w:color w:val="000000" w:themeColor="text1"/>
        </w:rPr>
        <w:t>s related to</w:t>
      </w:r>
      <w:r w:rsidRPr="00626C97" w:rsidR="00286563">
        <w:rPr>
          <w:rFonts w:ascii="Times New Roman" w:hAnsi="Times New Roman"/>
          <w:color w:val="000000" w:themeColor="text1"/>
        </w:rPr>
        <w:t xml:space="preserve"> the </w:t>
      </w:r>
      <w:r w:rsidRPr="00626C97" w:rsidR="00CE511A">
        <w:rPr>
          <w:rFonts w:ascii="Times New Roman" w:hAnsi="Times New Roman"/>
          <w:color w:val="000000" w:themeColor="text1"/>
        </w:rPr>
        <w:t>sampling universe,</w:t>
      </w:r>
      <w:r w:rsidRPr="00626C97" w:rsidR="00FE2B1A">
        <w:rPr>
          <w:rFonts w:ascii="Times New Roman" w:hAnsi="Times New Roman"/>
          <w:color w:val="000000" w:themeColor="text1"/>
        </w:rPr>
        <w:t xml:space="preserve"> </w:t>
      </w:r>
      <w:r w:rsidRPr="00626C97" w:rsidR="005E598F">
        <w:rPr>
          <w:rFonts w:ascii="Times New Roman" w:hAnsi="Times New Roman"/>
          <w:color w:val="000000" w:themeColor="text1"/>
        </w:rPr>
        <w:t>collection</w:t>
      </w:r>
      <w:r w:rsidRPr="00626C97" w:rsidR="00CE511A">
        <w:rPr>
          <w:rFonts w:ascii="Times New Roman" w:hAnsi="Times New Roman"/>
          <w:color w:val="000000" w:themeColor="text1"/>
        </w:rPr>
        <w:t xml:space="preserve"> </w:t>
      </w:r>
      <w:r w:rsidRPr="00626C97" w:rsidR="00FE2B1A">
        <w:rPr>
          <w:rFonts w:ascii="Times New Roman" w:hAnsi="Times New Roman"/>
          <w:color w:val="000000" w:themeColor="text1"/>
        </w:rPr>
        <w:t>methods,</w:t>
      </w:r>
      <w:r w:rsidRPr="00626C97" w:rsidR="00550E66">
        <w:rPr>
          <w:rFonts w:ascii="Times New Roman" w:hAnsi="Times New Roman"/>
          <w:color w:val="000000" w:themeColor="text1"/>
        </w:rPr>
        <w:t xml:space="preserve"> </w:t>
      </w:r>
      <w:r w:rsidRPr="00626C97" w:rsidR="00C345B2">
        <w:rPr>
          <w:rFonts w:ascii="Times New Roman" w:hAnsi="Times New Roman"/>
          <w:color w:val="000000" w:themeColor="text1"/>
        </w:rPr>
        <w:t xml:space="preserve">data collection instruments, </w:t>
      </w:r>
      <w:r w:rsidRPr="00626C97" w:rsidR="00550E66">
        <w:rPr>
          <w:rFonts w:ascii="Times New Roman" w:hAnsi="Times New Roman"/>
          <w:color w:val="000000" w:themeColor="text1"/>
        </w:rPr>
        <w:t>and scope</w:t>
      </w:r>
      <w:r w:rsidRPr="00626C97" w:rsidR="00FE2B1A">
        <w:rPr>
          <w:rFonts w:ascii="Times New Roman" w:hAnsi="Times New Roman"/>
          <w:color w:val="000000" w:themeColor="text1"/>
        </w:rPr>
        <w:t xml:space="preserve"> for each</w:t>
      </w:r>
      <w:r w:rsidRPr="00626C97" w:rsidR="007A4405">
        <w:rPr>
          <w:rFonts w:ascii="Times New Roman" w:hAnsi="Times New Roman"/>
          <w:color w:val="000000" w:themeColor="text1"/>
        </w:rPr>
        <w:t xml:space="preserve"> individual </w:t>
      </w:r>
      <w:r w:rsidRPr="00626C97" w:rsidR="005E598F">
        <w:rPr>
          <w:rFonts w:ascii="Times New Roman" w:hAnsi="Times New Roman"/>
          <w:color w:val="000000" w:themeColor="text1"/>
        </w:rPr>
        <w:t>collectio</w:t>
      </w:r>
      <w:r w:rsidRPr="00626C97" w:rsidR="00FE2B1A">
        <w:rPr>
          <w:rFonts w:ascii="Times New Roman" w:hAnsi="Times New Roman"/>
          <w:color w:val="000000" w:themeColor="text1"/>
        </w:rPr>
        <w:t>n</w:t>
      </w:r>
      <w:r w:rsidRPr="00626C97" w:rsidR="007A4405">
        <w:rPr>
          <w:rFonts w:ascii="Times New Roman" w:hAnsi="Times New Roman"/>
          <w:color w:val="000000" w:themeColor="text1"/>
        </w:rPr>
        <w:t xml:space="preserve"> will be described fully in </w:t>
      </w:r>
      <w:r w:rsidRPr="00626C97" w:rsidR="00C345B2">
        <w:rPr>
          <w:rFonts w:ascii="Times New Roman" w:hAnsi="Times New Roman"/>
          <w:color w:val="000000" w:themeColor="text1"/>
        </w:rPr>
        <w:t>future</w:t>
      </w:r>
      <w:r w:rsidRPr="00626C97" w:rsidR="007A4405">
        <w:rPr>
          <w:rFonts w:ascii="Times New Roman" w:hAnsi="Times New Roman"/>
          <w:color w:val="000000" w:themeColor="text1"/>
        </w:rPr>
        <w:t xml:space="preserve"> </w:t>
      </w:r>
      <w:r w:rsidRPr="00626C97" w:rsidR="00EE17F6">
        <w:rPr>
          <w:rFonts w:ascii="Times New Roman" w:hAnsi="Times New Roman"/>
          <w:color w:val="000000" w:themeColor="text1"/>
        </w:rPr>
        <w:t>specific information collection requests submitted under this generic clearance</w:t>
      </w:r>
      <w:r w:rsidRPr="00626C97" w:rsidR="00C345B2">
        <w:rPr>
          <w:rFonts w:ascii="Times New Roman" w:hAnsi="Times New Roman"/>
          <w:color w:val="000000" w:themeColor="text1"/>
        </w:rPr>
        <w:t xml:space="preserve">. </w:t>
      </w:r>
      <w:r w:rsidRPr="00626C97" w:rsidR="007A4405">
        <w:rPr>
          <w:rFonts w:ascii="Times New Roman" w:hAnsi="Times New Roman"/>
          <w:color w:val="000000" w:themeColor="text1"/>
        </w:rPr>
        <w:t xml:space="preserve">The samples associated with </w:t>
      </w:r>
      <w:r w:rsidRPr="00626C97">
        <w:rPr>
          <w:rFonts w:ascii="Times New Roman" w:hAnsi="Times New Roman"/>
          <w:color w:val="000000" w:themeColor="text1"/>
        </w:rPr>
        <w:t xml:space="preserve">these </w:t>
      </w:r>
      <w:r w:rsidRPr="00626C97" w:rsidR="005E598F">
        <w:rPr>
          <w:rFonts w:ascii="Times New Roman" w:hAnsi="Times New Roman"/>
          <w:color w:val="000000" w:themeColor="text1"/>
        </w:rPr>
        <w:t>collections</w:t>
      </w:r>
      <w:r w:rsidRPr="00626C97" w:rsidR="007A4405">
        <w:rPr>
          <w:rFonts w:ascii="Times New Roman" w:hAnsi="Times New Roman"/>
          <w:color w:val="000000" w:themeColor="text1"/>
        </w:rPr>
        <w:t xml:space="preserve"> are not subject to the same scrutiny as scientifically drawn samples where estimates are published</w:t>
      </w:r>
      <w:r w:rsidRPr="00626C97" w:rsidR="003D4089">
        <w:rPr>
          <w:rFonts w:ascii="Times New Roman" w:hAnsi="Times New Roman"/>
          <w:color w:val="000000" w:themeColor="text1"/>
        </w:rPr>
        <w:t xml:space="preserve"> in peer-reviewed journals</w:t>
      </w:r>
      <w:r w:rsidRPr="00626C97" w:rsidR="007A4405">
        <w:rPr>
          <w:rFonts w:ascii="Times New Roman" w:hAnsi="Times New Roman"/>
          <w:color w:val="000000" w:themeColor="text1"/>
        </w:rPr>
        <w:t xml:space="preserve"> or </w:t>
      </w:r>
      <w:r w:rsidRPr="00626C97" w:rsidR="003D4089">
        <w:rPr>
          <w:rFonts w:ascii="Times New Roman" w:hAnsi="Times New Roman"/>
          <w:color w:val="000000" w:themeColor="text1"/>
        </w:rPr>
        <w:t>relied upon for longitudinal comparisons</w:t>
      </w:r>
      <w:r w:rsidRPr="00626C97" w:rsidR="007A4405">
        <w:rPr>
          <w:rFonts w:ascii="Times New Roman" w:hAnsi="Times New Roman"/>
          <w:color w:val="000000" w:themeColor="text1"/>
        </w:rPr>
        <w:t xml:space="preserve">. </w:t>
      </w:r>
      <w:r w:rsidRPr="00626C97" w:rsidR="00E80F79">
        <w:rPr>
          <w:rFonts w:ascii="Times New Roman" w:hAnsi="Times New Roman"/>
          <w:color w:val="000000" w:themeColor="text1"/>
        </w:rPr>
        <w:t xml:space="preserve">Information gained from </w:t>
      </w:r>
      <w:r w:rsidRPr="00626C97" w:rsidR="00983A36">
        <w:rPr>
          <w:rFonts w:ascii="Times New Roman" w:hAnsi="Times New Roman"/>
          <w:color w:val="000000" w:themeColor="text1"/>
        </w:rPr>
        <w:t xml:space="preserve">these </w:t>
      </w:r>
      <w:r w:rsidRPr="00626C97">
        <w:rPr>
          <w:rFonts w:ascii="Times New Roman" w:hAnsi="Times New Roman"/>
          <w:color w:val="000000" w:themeColor="text1"/>
        </w:rPr>
        <w:t>collections</w:t>
      </w:r>
      <w:r w:rsidRPr="00626C97" w:rsidR="00E80F79">
        <w:rPr>
          <w:rFonts w:ascii="Times New Roman" w:hAnsi="Times New Roman"/>
          <w:color w:val="000000" w:themeColor="text1"/>
        </w:rPr>
        <w:t xml:space="preserve"> will be used internally to strengthen marketing and outreach efforts </w:t>
      </w:r>
      <w:r w:rsidRPr="00626C97" w:rsidR="00AC41DE">
        <w:rPr>
          <w:rFonts w:ascii="Times New Roman" w:hAnsi="Times New Roman"/>
          <w:color w:val="000000" w:themeColor="text1"/>
        </w:rPr>
        <w:t xml:space="preserve">to </w:t>
      </w:r>
      <w:r w:rsidRPr="00626C97" w:rsidR="00E405B3">
        <w:rPr>
          <w:rFonts w:ascii="Times New Roman" w:hAnsi="Times New Roman"/>
          <w:color w:val="000000" w:themeColor="text1"/>
        </w:rPr>
        <w:t>support a FEMA program or programs</w:t>
      </w:r>
      <w:r w:rsidRPr="00626C97" w:rsidR="00AC41DE">
        <w:rPr>
          <w:rFonts w:ascii="Times New Roman" w:hAnsi="Times New Roman"/>
          <w:color w:val="000000" w:themeColor="text1"/>
        </w:rPr>
        <w:t>.</w:t>
      </w:r>
      <w:r w:rsidRPr="00626C97" w:rsidR="00E405B3">
        <w:rPr>
          <w:rFonts w:ascii="Times New Roman" w:hAnsi="Times New Roman"/>
          <w:color w:val="000000" w:themeColor="text1"/>
        </w:rPr>
        <w:t xml:space="preserve"> Information may also be used</w:t>
      </w:r>
      <w:r w:rsidRPr="00626C97">
        <w:rPr>
          <w:rFonts w:ascii="Times New Roman" w:hAnsi="Times New Roman"/>
          <w:color w:val="000000" w:themeColor="text1"/>
        </w:rPr>
        <w:t xml:space="preserve"> to engage external stakeholders.</w:t>
      </w:r>
    </w:p>
    <w:p w:rsidR="00A77184" w:rsidRPr="00626C97" w:rsidP="00626C97" w14:paraId="4B7F2C61" w14:textId="77777777">
      <w:pPr>
        <w:tabs>
          <w:tab w:val="left" w:pos="-1440"/>
        </w:tabs>
        <w:spacing w:line="276" w:lineRule="auto"/>
        <w:contextualSpacing/>
        <w:jc w:val="both"/>
        <w:rPr>
          <w:rFonts w:ascii="Times New Roman" w:hAnsi="Times New Roman"/>
          <w:color w:val="000000" w:themeColor="text1"/>
        </w:rPr>
      </w:pPr>
    </w:p>
    <w:p w:rsidR="00626C97" w:rsidP="00626C97" w14:paraId="27CE1BAE" w14:textId="77777777">
      <w:pPr>
        <w:spacing w:line="276" w:lineRule="auto"/>
        <w:contextualSpacing/>
        <w:jc w:val="both"/>
        <w:rPr>
          <w:rFonts w:ascii="Times New Roman" w:hAnsi="Times New Roman"/>
          <w:color w:val="000000" w:themeColor="text1"/>
          <w:u w:val="single"/>
        </w:rPr>
      </w:pPr>
    </w:p>
    <w:p w:rsidR="000A4CCA" w:rsidRPr="00626C97" w:rsidP="00626C97" w14:paraId="4221AEEC" w14:textId="13CFD940">
      <w:pPr>
        <w:spacing w:line="276" w:lineRule="auto"/>
        <w:contextualSpacing/>
        <w:jc w:val="both"/>
        <w:rPr>
          <w:rFonts w:ascii="Times New Roman" w:hAnsi="Times New Roman"/>
          <w:color w:val="000000" w:themeColor="text1"/>
          <w:u w:val="single"/>
        </w:rPr>
      </w:pPr>
      <w:r w:rsidRPr="00626C97">
        <w:rPr>
          <w:rFonts w:ascii="Times New Roman" w:hAnsi="Times New Roman"/>
          <w:color w:val="000000" w:themeColor="text1"/>
          <w:u w:val="single"/>
        </w:rPr>
        <w:t>Generalizable Quantitative Survey Data</w:t>
      </w:r>
    </w:p>
    <w:p w:rsidR="00626C97" w:rsidP="00626C97" w14:paraId="0558CD1B" w14:textId="77777777">
      <w:pPr>
        <w:tabs>
          <w:tab w:val="left" w:pos="-1440"/>
        </w:tabs>
        <w:spacing w:line="276" w:lineRule="auto"/>
        <w:contextualSpacing/>
        <w:jc w:val="both"/>
        <w:rPr>
          <w:rFonts w:ascii="Times New Roman" w:hAnsi="Times New Roman"/>
          <w:color w:val="000000" w:themeColor="text1"/>
        </w:rPr>
      </w:pPr>
    </w:p>
    <w:p w:rsidR="00014487" w:rsidRPr="00626C97" w:rsidP="00626C97" w14:paraId="021BC649" w14:textId="60ADC483">
      <w:pPr>
        <w:tabs>
          <w:tab w:val="left" w:pos="-1440"/>
        </w:tabs>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 xml:space="preserve">In certain circumstances </w:t>
      </w:r>
      <w:r w:rsidRPr="00626C97" w:rsidR="00BB0BC6">
        <w:rPr>
          <w:rFonts w:ascii="Times New Roman" w:hAnsi="Times New Roman"/>
          <w:color w:val="000000" w:themeColor="text1"/>
        </w:rPr>
        <w:t>the program</w:t>
      </w:r>
      <w:r w:rsidRPr="00626C97">
        <w:rPr>
          <w:rFonts w:ascii="Times New Roman" w:hAnsi="Times New Roman"/>
          <w:color w:val="000000" w:themeColor="text1"/>
        </w:rPr>
        <w:t xml:space="preserve"> will </w:t>
      </w:r>
      <w:r w:rsidRPr="00626C97" w:rsidR="000554F0">
        <w:rPr>
          <w:rFonts w:ascii="Times New Roman" w:hAnsi="Times New Roman"/>
          <w:color w:val="000000" w:themeColor="text1"/>
        </w:rPr>
        <w:t>collect</w:t>
      </w:r>
      <w:r w:rsidRPr="00626C97" w:rsidR="008D0740">
        <w:rPr>
          <w:rFonts w:ascii="Times New Roman" w:hAnsi="Times New Roman"/>
          <w:color w:val="000000" w:themeColor="text1"/>
        </w:rPr>
        <w:t xml:space="preserve"> statistically validated generalizable</w:t>
      </w:r>
      <w:r w:rsidRPr="00626C97" w:rsidR="00B668D7">
        <w:rPr>
          <w:rFonts w:ascii="Times New Roman" w:hAnsi="Times New Roman"/>
          <w:color w:val="000000" w:themeColor="text1"/>
        </w:rPr>
        <w:t xml:space="preserve"> samples through surveys</w:t>
      </w:r>
      <w:r w:rsidRPr="00626C97" w:rsidR="000554F0">
        <w:rPr>
          <w:rFonts w:ascii="Times New Roman" w:hAnsi="Times New Roman"/>
          <w:color w:val="000000" w:themeColor="text1"/>
        </w:rPr>
        <w:t xml:space="preserve">. Topics anticipated to be covered include </w:t>
      </w:r>
      <w:r w:rsidRPr="00626C97" w:rsidR="00D877A1">
        <w:rPr>
          <w:rFonts w:ascii="Times New Roman" w:hAnsi="Times New Roman"/>
          <w:color w:val="000000" w:themeColor="text1"/>
        </w:rPr>
        <w:t>perception</w:t>
      </w:r>
      <w:r w:rsidRPr="00626C97" w:rsidR="008A50F2">
        <w:rPr>
          <w:rFonts w:ascii="Times New Roman" w:hAnsi="Times New Roman"/>
          <w:color w:val="000000" w:themeColor="text1"/>
        </w:rPr>
        <w:t>s</w:t>
      </w:r>
      <w:r w:rsidRPr="00626C97" w:rsidR="00D877A1">
        <w:rPr>
          <w:rFonts w:ascii="Times New Roman" w:hAnsi="Times New Roman"/>
          <w:color w:val="000000" w:themeColor="text1"/>
        </w:rPr>
        <w:t xml:space="preserve"> of the </w:t>
      </w:r>
      <w:r w:rsidRPr="00626C97" w:rsidR="000308E3">
        <w:rPr>
          <w:rFonts w:ascii="Times New Roman" w:hAnsi="Times New Roman"/>
          <w:color w:val="000000" w:themeColor="text1"/>
        </w:rPr>
        <w:t>program</w:t>
      </w:r>
      <w:r w:rsidRPr="00626C97" w:rsidR="00AC5AC8">
        <w:rPr>
          <w:rFonts w:ascii="Times New Roman" w:hAnsi="Times New Roman"/>
          <w:color w:val="000000" w:themeColor="text1"/>
        </w:rPr>
        <w:t xml:space="preserve"> </w:t>
      </w:r>
      <w:r w:rsidRPr="00626C97" w:rsidR="00D877A1">
        <w:rPr>
          <w:rFonts w:ascii="Times New Roman" w:hAnsi="Times New Roman"/>
          <w:color w:val="000000" w:themeColor="text1"/>
        </w:rPr>
        <w:t>specially</w:t>
      </w:r>
      <w:r w:rsidRPr="00626C97" w:rsidR="00AC41DE">
        <w:rPr>
          <w:rFonts w:ascii="Times New Roman" w:hAnsi="Times New Roman"/>
          <w:color w:val="000000" w:themeColor="text1"/>
        </w:rPr>
        <w:t>,</w:t>
      </w:r>
      <w:r w:rsidRPr="00626C97" w:rsidR="00D877A1">
        <w:rPr>
          <w:rFonts w:ascii="Times New Roman" w:hAnsi="Times New Roman"/>
          <w:color w:val="000000" w:themeColor="text1"/>
        </w:rPr>
        <w:t xml:space="preserve"> </w:t>
      </w:r>
      <w:r w:rsidRPr="00626C97" w:rsidR="00A76AC1">
        <w:rPr>
          <w:rFonts w:ascii="Times New Roman" w:hAnsi="Times New Roman"/>
          <w:color w:val="000000" w:themeColor="text1"/>
        </w:rPr>
        <w:t>as well as</w:t>
      </w:r>
      <w:r w:rsidRPr="00626C97" w:rsidR="00AC5AC8">
        <w:rPr>
          <w:rFonts w:ascii="Times New Roman" w:hAnsi="Times New Roman"/>
          <w:color w:val="000000" w:themeColor="text1"/>
        </w:rPr>
        <w:t xml:space="preserve"> </w:t>
      </w:r>
      <w:r w:rsidRPr="00626C97" w:rsidR="00A76AC1">
        <w:rPr>
          <w:rFonts w:ascii="Times New Roman" w:hAnsi="Times New Roman"/>
          <w:color w:val="000000" w:themeColor="text1"/>
        </w:rPr>
        <w:t>general knowledge and attitudes</w:t>
      </w:r>
      <w:r w:rsidRPr="00626C97" w:rsidR="000308E3">
        <w:rPr>
          <w:rFonts w:ascii="Times New Roman" w:hAnsi="Times New Roman"/>
          <w:color w:val="000000" w:themeColor="text1"/>
        </w:rPr>
        <w:t xml:space="preserve"> relevant to the program</w:t>
      </w:r>
      <w:r w:rsidRPr="00626C97" w:rsidR="00AC41DE">
        <w:rPr>
          <w:rFonts w:ascii="Times New Roman" w:hAnsi="Times New Roman"/>
          <w:color w:val="000000" w:themeColor="text1"/>
        </w:rPr>
        <w:t>,</w:t>
      </w:r>
      <w:r w:rsidRPr="00626C97" w:rsidR="00EC37D9">
        <w:rPr>
          <w:rFonts w:ascii="Times New Roman" w:hAnsi="Times New Roman"/>
          <w:color w:val="000000" w:themeColor="text1"/>
        </w:rPr>
        <w:t xml:space="preserve"> </w:t>
      </w:r>
      <w:r w:rsidRPr="00626C97" w:rsidR="005E59E2">
        <w:rPr>
          <w:rFonts w:ascii="Times New Roman" w:hAnsi="Times New Roman"/>
          <w:color w:val="000000" w:themeColor="text1"/>
        </w:rPr>
        <w:t>among members of the</w:t>
      </w:r>
      <w:r w:rsidRPr="00626C97" w:rsidR="00AC5AC8">
        <w:rPr>
          <w:rFonts w:ascii="Times New Roman" w:hAnsi="Times New Roman"/>
          <w:color w:val="000000" w:themeColor="text1"/>
        </w:rPr>
        <w:t xml:space="preserve"> </w:t>
      </w:r>
      <w:r w:rsidRPr="00626C97" w:rsidR="005B655E">
        <w:rPr>
          <w:rFonts w:ascii="Times New Roman" w:hAnsi="Times New Roman"/>
          <w:color w:val="000000" w:themeColor="text1"/>
        </w:rPr>
        <w:t>U</w:t>
      </w:r>
      <w:r w:rsidRPr="00626C97" w:rsidR="0003018B">
        <w:rPr>
          <w:rFonts w:ascii="Times New Roman" w:hAnsi="Times New Roman"/>
          <w:color w:val="000000" w:themeColor="text1"/>
        </w:rPr>
        <w:t>.</w:t>
      </w:r>
      <w:r w:rsidRPr="00626C97" w:rsidR="005B655E">
        <w:rPr>
          <w:rFonts w:ascii="Times New Roman" w:hAnsi="Times New Roman"/>
          <w:color w:val="000000" w:themeColor="text1"/>
        </w:rPr>
        <w:t>S</w:t>
      </w:r>
      <w:r w:rsidRPr="00626C97" w:rsidR="0003018B">
        <w:rPr>
          <w:rFonts w:ascii="Times New Roman" w:hAnsi="Times New Roman"/>
          <w:color w:val="000000" w:themeColor="text1"/>
        </w:rPr>
        <w:t>.</w:t>
      </w:r>
      <w:r w:rsidRPr="00626C97" w:rsidR="005B655E">
        <w:rPr>
          <w:rFonts w:ascii="Times New Roman" w:hAnsi="Times New Roman"/>
          <w:color w:val="000000" w:themeColor="text1"/>
        </w:rPr>
        <w:t xml:space="preserve"> population</w:t>
      </w:r>
      <w:r w:rsidRPr="00626C97" w:rsidR="005D06A7">
        <w:rPr>
          <w:rFonts w:ascii="Times New Roman" w:hAnsi="Times New Roman"/>
          <w:color w:val="000000" w:themeColor="text1"/>
        </w:rPr>
        <w:t xml:space="preserve"> or a subset of the U.S. population</w:t>
      </w:r>
      <w:r w:rsidRPr="00626C97" w:rsidR="005B655E">
        <w:rPr>
          <w:rFonts w:ascii="Times New Roman" w:hAnsi="Times New Roman"/>
          <w:color w:val="000000" w:themeColor="text1"/>
        </w:rPr>
        <w:t>.</w:t>
      </w:r>
      <w:r w:rsidRPr="00626C97" w:rsidR="005E59E2">
        <w:rPr>
          <w:rFonts w:ascii="Times New Roman" w:hAnsi="Times New Roman"/>
          <w:color w:val="000000" w:themeColor="text1"/>
        </w:rPr>
        <w:t xml:space="preserve"> Specifics </w:t>
      </w:r>
      <w:r w:rsidRPr="00626C97" w:rsidR="00D877A1">
        <w:rPr>
          <w:rFonts w:ascii="Times New Roman" w:hAnsi="Times New Roman"/>
          <w:color w:val="000000" w:themeColor="text1"/>
        </w:rPr>
        <w:t>related to sampling strategies</w:t>
      </w:r>
      <w:r w:rsidRPr="00626C97" w:rsidR="00FA10D0">
        <w:rPr>
          <w:rFonts w:ascii="Times New Roman" w:hAnsi="Times New Roman"/>
          <w:color w:val="000000" w:themeColor="text1"/>
        </w:rPr>
        <w:t xml:space="preserve">, </w:t>
      </w:r>
      <w:r w:rsidRPr="00626C97" w:rsidR="00564CDD">
        <w:rPr>
          <w:rFonts w:ascii="Times New Roman" w:hAnsi="Times New Roman"/>
          <w:color w:val="000000" w:themeColor="text1"/>
        </w:rPr>
        <w:t xml:space="preserve">cadence of </w:t>
      </w:r>
      <w:r w:rsidRPr="00626C97" w:rsidR="005E598F">
        <w:rPr>
          <w:rFonts w:ascii="Times New Roman" w:hAnsi="Times New Roman"/>
          <w:color w:val="000000" w:themeColor="text1"/>
        </w:rPr>
        <w:t>collection</w:t>
      </w:r>
      <w:r w:rsidRPr="00626C97" w:rsidR="00564CDD">
        <w:rPr>
          <w:rFonts w:ascii="Times New Roman" w:hAnsi="Times New Roman"/>
          <w:color w:val="000000" w:themeColor="text1"/>
        </w:rPr>
        <w:t xml:space="preserve">, </w:t>
      </w:r>
      <w:r w:rsidRPr="00626C97" w:rsidR="008F2774">
        <w:rPr>
          <w:rFonts w:ascii="Times New Roman" w:hAnsi="Times New Roman"/>
          <w:color w:val="000000" w:themeColor="text1"/>
        </w:rPr>
        <w:t xml:space="preserve">investigatory methods, </w:t>
      </w:r>
      <w:r w:rsidRPr="00626C97" w:rsidR="00564CDD">
        <w:rPr>
          <w:rFonts w:ascii="Times New Roman" w:hAnsi="Times New Roman"/>
          <w:color w:val="000000" w:themeColor="text1"/>
        </w:rPr>
        <w:t xml:space="preserve">the </w:t>
      </w:r>
      <w:r w:rsidRPr="00626C97" w:rsidR="008F2774">
        <w:rPr>
          <w:rFonts w:ascii="Times New Roman" w:hAnsi="Times New Roman"/>
          <w:color w:val="000000" w:themeColor="text1"/>
        </w:rPr>
        <w:t>data collection instrument</w:t>
      </w:r>
      <w:r w:rsidRPr="00626C97" w:rsidR="005D06A7">
        <w:rPr>
          <w:rFonts w:ascii="Times New Roman" w:hAnsi="Times New Roman"/>
          <w:color w:val="000000" w:themeColor="text1"/>
        </w:rPr>
        <w:t>, and the proposed sampling universe</w:t>
      </w:r>
      <w:r w:rsidRPr="00626C97" w:rsidR="008F2774">
        <w:rPr>
          <w:rFonts w:ascii="Times New Roman" w:hAnsi="Times New Roman"/>
          <w:color w:val="000000" w:themeColor="text1"/>
        </w:rPr>
        <w:t xml:space="preserve"> will be provided </w:t>
      </w:r>
      <w:r w:rsidRPr="00626C97" w:rsidR="005E598F">
        <w:rPr>
          <w:rFonts w:ascii="Times New Roman" w:hAnsi="Times New Roman"/>
          <w:color w:val="000000" w:themeColor="text1"/>
        </w:rPr>
        <w:t>in the specific information collection request</w:t>
      </w:r>
      <w:r w:rsidRPr="00626C97" w:rsidR="0003018B">
        <w:rPr>
          <w:rFonts w:ascii="Times New Roman" w:hAnsi="Times New Roman"/>
          <w:color w:val="000000" w:themeColor="text1"/>
        </w:rPr>
        <w:t>s</w:t>
      </w:r>
      <w:r w:rsidRPr="00626C97" w:rsidR="005E598F">
        <w:rPr>
          <w:rFonts w:ascii="Times New Roman" w:hAnsi="Times New Roman"/>
          <w:color w:val="000000" w:themeColor="text1"/>
        </w:rPr>
        <w:t xml:space="preserve"> submitted under this generic clearance</w:t>
      </w:r>
      <w:r w:rsidRPr="00626C97" w:rsidR="00F96116">
        <w:rPr>
          <w:rFonts w:ascii="Times New Roman" w:hAnsi="Times New Roman"/>
          <w:color w:val="000000" w:themeColor="text1"/>
        </w:rPr>
        <w:t xml:space="preserve">. </w:t>
      </w:r>
      <w:r w:rsidRPr="00626C97" w:rsidR="00E80F79">
        <w:rPr>
          <w:rFonts w:ascii="Times New Roman" w:hAnsi="Times New Roman"/>
          <w:color w:val="000000" w:themeColor="text1"/>
        </w:rPr>
        <w:t xml:space="preserve">Information from these surveys </w:t>
      </w:r>
      <w:r w:rsidRPr="00626C97" w:rsidR="00983A36">
        <w:rPr>
          <w:rFonts w:ascii="Times New Roman" w:hAnsi="Times New Roman"/>
          <w:color w:val="000000" w:themeColor="text1"/>
        </w:rPr>
        <w:t xml:space="preserve">will be used to strengthen </w:t>
      </w:r>
      <w:r w:rsidRPr="00626C97" w:rsidR="000308E3">
        <w:rPr>
          <w:rFonts w:ascii="Times New Roman" w:hAnsi="Times New Roman"/>
          <w:color w:val="000000" w:themeColor="text1"/>
        </w:rPr>
        <w:t>program</w:t>
      </w:r>
      <w:r w:rsidRPr="00626C97" w:rsidR="003F7848">
        <w:rPr>
          <w:rFonts w:ascii="Times New Roman" w:hAnsi="Times New Roman"/>
          <w:color w:val="000000" w:themeColor="text1"/>
        </w:rPr>
        <w:t xml:space="preserve"> awareness, </w:t>
      </w:r>
      <w:r w:rsidRPr="00626C97" w:rsidR="007A7069">
        <w:rPr>
          <w:rFonts w:ascii="Times New Roman" w:hAnsi="Times New Roman"/>
          <w:color w:val="000000" w:themeColor="text1"/>
        </w:rPr>
        <w:t>marketing and outreach</w:t>
      </w:r>
      <w:r w:rsidRPr="00626C97" w:rsidR="008A50F2">
        <w:rPr>
          <w:rFonts w:ascii="Times New Roman" w:hAnsi="Times New Roman"/>
          <w:color w:val="000000" w:themeColor="text1"/>
        </w:rPr>
        <w:t xml:space="preserve"> campaigns</w:t>
      </w:r>
      <w:r w:rsidRPr="00626C97" w:rsidR="007A7069">
        <w:rPr>
          <w:rFonts w:ascii="Times New Roman" w:hAnsi="Times New Roman"/>
          <w:color w:val="000000" w:themeColor="text1"/>
        </w:rPr>
        <w:t>, community outreach</w:t>
      </w:r>
      <w:r w:rsidRPr="00626C97" w:rsidR="00CD4503">
        <w:rPr>
          <w:rFonts w:ascii="Times New Roman" w:hAnsi="Times New Roman"/>
          <w:color w:val="000000" w:themeColor="text1"/>
        </w:rPr>
        <w:t xml:space="preserve">, </w:t>
      </w:r>
      <w:r w:rsidRPr="00626C97" w:rsidR="004211BE">
        <w:rPr>
          <w:rFonts w:ascii="Times New Roman" w:hAnsi="Times New Roman"/>
          <w:color w:val="000000" w:themeColor="text1"/>
        </w:rPr>
        <w:t>and strategic planning</w:t>
      </w:r>
      <w:r w:rsidRPr="00626C97" w:rsidR="00A76AC1">
        <w:rPr>
          <w:rFonts w:ascii="Times New Roman" w:hAnsi="Times New Roman"/>
          <w:color w:val="000000" w:themeColor="text1"/>
        </w:rPr>
        <w:t xml:space="preserve"> consistent with the program</w:t>
      </w:r>
      <w:r w:rsidRPr="00626C97" w:rsidR="0003018B">
        <w:rPr>
          <w:rFonts w:ascii="Times New Roman" w:hAnsi="Times New Roman"/>
          <w:color w:val="000000" w:themeColor="text1"/>
        </w:rPr>
        <w:t>’</w:t>
      </w:r>
      <w:r w:rsidRPr="00626C97" w:rsidR="00A76AC1">
        <w:rPr>
          <w:rFonts w:ascii="Times New Roman" w:hAnsi="Times New Roman"/>
          <w:color w:val="000000" w:themeColor="text1"/>
        </w:rPr>
        <w:t>s</w:t>
      </w:r>
      <w:r w:rsidRPr="00626C97" w:rsidR="0003018B">
        <w:rPr>
          <w:rFonts w:ascii="Times New Roman" w:hAnsi="Times New Roman"/>
          <w:color w:val="000000" w:themeColor="text1"/>
        </w:rPr>
        <w:t xml:space="preserve"> </w:t>
      </w:r>
      <w:r w:rsidRPr="00626C97" w:rsidR="00A76AC1">
        <w:rPr>
          <w:rFonts w:ascii="Times New Roman" w:hAnsi="Times New Roman"/>
          <w:color w:val="000000" w:themeColor="text1"/>
        </w:rPr>
        <w:t xml:space="preserve">stated goals and objectives. </w:t>
      </w:r>
    </w:p>
    <w:p w:rsidR="00A76AC1" w:rsidRPr="00626C97" w:rsidP="00626C97" w14:paraId="04A89107" w14:textId="77777777">
      <w:pPr>
        <w:tabs>
          <w:tab w:val="left" w:pos="-1440"/>
        </w:tabs>
        <w:spacing w:line="276" w:lineRule="auto"/>
        <w:contextualSpacing/>
        <w:jc w:val="both"/>
        <w:rPr>
          <w:rFonts w:ascii="Times New Roman" w:hAnsi="Times New Roman"/>
          <w:color w:val="000000" w:themeColor="text1"/>
        </w:rPr>
      </w:pPr>
    </w:p>
    <w:p w:rsidR="00A76AC1" w:rsidRPr="00626C97" w:rsidP="00626C97" w14:paraId="426C3C14" w14:textId="7871A349">
      <w:pPr>
        <w:tabs>
          <w:tab w:val="left" w:pos="-1440"/>
        </w:tabs>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In general</w:t>
      </w:r>
      <w:r w:rsidRPr="00626C97" w:rsidR="00DF453C">
        <w:rPr>
          <w:rFonts w:ascii="Times New Roman" w:hAnsi="Times New Roman"/>
          <w:color w:val="000000" w:themeColor="text1"/>
        </w:rPr>
        <w:t>,</w:t>
      </w:r>
      <w:r w:rsidRPr="00626C97">
        <w:rPr>
          <w:rFonts w:ascii="Times New Roman" w:hAnsi="Times New Roman"/>
          <w:color w:val="000000" w:themeColor="text1"/>
        </w:rPr>
        <w:t xml:space="preserve"> </w:t>
      </w:r>
      <w:r w:rsidRPr="00626C97" w:rsidR="00BB0BC6">
        <w:rPr>
          <w:rFonts w:ascii="Times New Roman" w:hAnsi="Times New Roman"/>
          <w:color w:val="000000" w:themeColor="text1"/>
        </w:rPr>
        <w:t>the program</w:t>
      </w:r>
      <w:r w:rsidRPr="00626C97">
        <w:rPr>
          <w:rFonts w:ascii="Times New Roman" w:hAnsi="Times New Roman"/>
          <w:color w:val="000000" w:themeColor="text1"/>
        </w:rPr>
        <w:t xml:space="preserve"> anticipate</w:t>
      </w:r>
      <w:r w:rsidRPr="00626C97" w:rsidR="00BB0BC6">
        <w:rPr>
          <w:rFonts w:ascii="Times New Roman" w:hAnsi="Times New Roman"/>
          <w:color w:val="000000" w:themeColor="text1"/>
        </w:rPr>
        <w:t>s</w:t>
      </w:r>
      <w:r w:rsidRPr="00626C97">
        <w:rPr>
          <w:rFonts w:ascii="Times New Roman" w:hAnsi="Times New Roman"/>
          <w:color w:val="000000" w:themeColor="text1"/>
        </w:rPr>
        <w:t xml:space="preserve"> that </w:t>
      </w:r>
      <w:r w:rsidRPr="00626C97" w:rsidR="00DF453C">
        <w:rPr>
          <w:rFonts w:ascii="Times New Roman" w:hAnsi="Times New Roman"/>
          <w:color w:val="000000" w:themeColor="text1"/>
        </w:rPr>
        <w:t xml:space="preserve">future </w:t>
      </w:r>
      <w:r w:rsidRPr="00626C97">
        <w:rPr>
          <w:rFonts w:ascii="Times New Roman" w:hAnsi="Times New Roman"/>
          <w:color w:val="000000" w:themeColor="text1"/>
        </w:rPr>
        <w:t xml:space="preserve">surveys will be </w:t>
      </w:r>
      <w:r w:rsidRPr="00626C97" w:rsidR="00830DE6">
        <w:rPr>
          <w:rFonts w:ascii="Times New Roman" w:hAnsi="Times New Roman"/>
          <w:color w:val="000000" w:themeColor="text1"/>
        </w:rPr>
        <w:t xml:space="preserve">stratified by FEMA region, and </w:t>
      </w:r>
      <w:r w:rsidRPr="00626C97" w:rsidR="00BB0BC6">
        <w:rPr>
          <w:rFonts w:ascii="Times New Roman" w:hAnsi="Times New Roman"/>
          <w:color w:val="000000" w:themeColor="text1"/>
        </w:rPr>
        <w:t>the program</w:t>
      </w:r>
      <w:r w:rsidRPr="00626C97" w:rsidR="00DC4329">
        <w:rPr>
          <w:rFonts w:ascii="Times New Roman" w:hAnsi="Times New Roman"/>
          <w:color w:val="000000" w:themeColor="text1"/>
        </w:rPr>
        <w:t xml:space="preserve"> plan</w:t>
      </w:r>
      <w:r w:rsidRPr="00626C97" w:rsidR="00BB0BC6">
        <w:rPr>
          <w:rFonts w:ascii="Times New Roman" w:hAnsi="Times New Roman"/>
          <w:color w:val="000000" w:themeColor="text1"/>
        </w:rPr>
        <w:t>s</w:t>
      </w:r>
      <w:r w:rsidRPr="00626C97" w:rsidR="00DC4329">
        <w:rPr>
          <w:rFonts w:ascii="Times New Roman" w:hAnsi="Times New Roman"/>
          <w:color w:val="000000" w:themeColor="text1"/>
        </w:rPr>
        <w:t xml:space="preserve"> to sample </w:t>
      </w:r>
      <w:r w:rsidRPr="00626C97" w:rsidR="00BD38FE">
        <w:rPr>
          <w:rFonts w:ascii="Times New Roman" w:hAnsi="Times New Roman"/>
          <w:color w:val="000000" w:themeColor="text1"/>
        </w:rPr>
        <w:t xml:space="preserve">a total of </w:t>
      </w:r>
      <w:r w:rsidRPr="00626C97" w:rsidR="006F1BA4">
        <w:rPr>
          <w:rFonts w:ascii="Times New Roman" w:hAnsi="Times New Roman"/>
          <w:color w:val="000000" w:themeColor="text1"/>
        </w:rPr>
        <w:t>5,000 persons</w:t>
      </w:r>
      <w:r w:rsidRPr="00626C97" w:rsidR="00DF453C">
        <w:rPr>
          <w:rFonts w:ascii="Times New Roman" w:hAnsi="Times New Roman"/>
          <w:color w:val="000000" w:themeColor="text1"/>
        </w:rPr>
        <w:t xml:space="preserve"> (</w:t>
      </w:r>
      <w:r w:rsidRPr="00626C97" w:rsidR="00D14492">
        <w:rPr>
          <w:rFonts w:ascii="Times New Roman" w:hAnsi="Times New Roman"/>
          <w:color w:val="000000" w:themeColor="text1"/>
        </w:rPr>
        <w:t>500</w:t>
      </w:r>
      <w:r w:rsidRPr="00626C97" w:rsidR="006F1BA4">
        <w:rPr>
          <w:rFonts w:ascii="Times New Roman" w:hAnsi="Times New Roman"/>
          <w:color w:val="000000" w:themeColor="text1"/>
        </w:rPr>
        <w:t xml:space="preserve"> </w:t>
      </w:r>
      <w:r w:rsidRPr="00626C97" w:rsidR="00D14492">
        <w:rPr>
          <w:rFonts w:ascii="Times New Roman" w:hAnsi="Times New Roman"/>
          <w:color w:val="000000" w:themeColor="text1"/>
        </w:rPr>
        <w:t>from each of the</w:t>
      </w:r>
      <w:r w:rsidRPr="00626C97" w:rsidR="006F1BA4">
        <w:rPr>
          <w:rFonts w:ascii="Times New Roman" w:hAnsi="Times New Roman"/>
          <w:color w:val="000000" w:themeColor="text1"/>
        </w:rPr>
        <w:t xml:space="preserve"> 10 FEMA regions</w:t>
      </w:r>
      <w:r w:rsidRPr="00626C97" w:rsidR="00D14492">
        <w:rPr>
          <w:rFonts w:ascii="Times New Roman" w:hAnsi="Times New Roman"/>
          <w:color w:val="000000" w:themeColor="text1"/>
        </w:rPr>
        <w:t>)</w:t>
      </w:r>
      <w:r w:rsidRPr="00626C97" w:rsidR="00DC4329">
        <w:rPr>
          <w:rFonts w:ascii="Times New Roman" w:hAnsi="Times New Roman"/>
          <w:color w:val="000000" w:themeColor="text1"/>
        </w:rPr>
        <w:t xml:space="preserve">. </w:t>
      </w:r>
      <w:r w:rsidRPr="00626C97" w:rsidR="00604F91">
        <w:rPr>
          <w:rFonts w:ascii="Times New Roman" w:hAnsi="Times New Roman"/>
          <w:color w:val="000000" w:themeColor="text1"/>
        </w:rPr>
        <w:t xml:space="preserve">Region-specific surveys may also be conducted with stratification at the state level. </w:t>
      </w:r>
      <w:r w:rsidRPr="00626C97" w:rsidR="00BD38FE">
        <w:rPr>
          <w:rFonts w:ascii="Times New Roman" w:hAnsi="Times New Roman"/>
          <w:color w:val="000000" w:themeColor="text1"/>
        </w:rPr>
        <w:t xml:space="preserve">All surveys will be </w:t>
      </w:r>
      <w:r w:rsidRPr="00626C97" w:rsidR="00D14492">
        <w:rPr>
          <w:rFonts w:ascii="Times New Roman" w:hAnsi="Times New Roman"/>
          <w:color w:val="000000" w:themeColor="text1"/>
        </w:rPr>
        <w:t xml:space="preserve">collected using </w:t>
      </w:r>
      <w:r w:rsidRPr="00626C97" w:rsidR="00BD38FE">
        <w:rPr>
          <w:rFonts w:ascii="Times New Roman" w:hAnsi="Times New Roman"/>
          <w:color w:val="000000" w:themeColor="text1"/>
        </w:rPr>
        <w:t xml:space="preserve">web-based </w:t>
      </w:r>
      <w:r w:rsidRPr="00626C97" w:rsidR="00D14492">
        <w:rPr>
          <w:rFonts w:ascii="Times New Roman" w:hAnsi="Times New Roman"/>
          <w:color w:val="000000" w:themeColor="text1"/>
        </w:rPr>
        <w:t xml:space="preserve">methods </w:t>
      </w:r>
      <w:r w:rsidRPr="00626C97" w:rsidR="00A653D5">
        <w:rPr>
          <w:rFonts w:ascii="Times New Roman" w:hAnsi="Times New Roman"/>
          <w:color w:val="000000" w:themeColor="text1"/>
        </w:rPr>
        <w:t>accessible</w:t>
      </w:r>
      <w:r w:rsidRPr="00626C97" w:rsidR="00D14492">
        <w:rPr>
          <w:rFonts w:ascii="Times New Roman" w:hAnsi="Times New Roman"/>
          <w:color w:val="000000" w:themeColor="text1"/>
        </w:rPr>
        <w:t xml:space="preserve"> </w:t>
      </w:r>
      <w:r w:rsidRPr="00626C97" w:rsidR="009D68C6">
        <w:rPr>
          <w:rFonts w:ascii="Times New Roman" w:hAnsi="Times New Roman"/>
          <w:color w:val="000000" w:themeColor="text1"/>
        </w:rPr>
        <w:t>through</w:t>
      </w:r>
      <w:r w:rsidRPr="00626C97" w:rsidR="00D14492">
        <w:rPr>
          <w:rFonts w:ascii="Times New Roman" w:hAnsi="Times New Roman"/>
          <w:color w:val="000000" w:themeColor="text1"/>
        </w:rPr>
        <w:t xml:space="preserve"> laptop computers, smartphones, and </w:t>
      </w:r>
      <w:r w:rsidRPr="00626C97" w:rsidR="009D68C6">
        <w:rPr>
          <w:rFonts w:ascii="Times New Roman" w:hAnsi="Times New Roman"/>
          <w:color w:val="000000" w:themeColor="text1"/>
        </w:rPr>
        <w:t>tablets.</w:t>
      </w:r>
      <w:r w:rsidRPr="00626C97" w:rsidR="004B4614">
        <w:rPr>
          <w:rFonts w:ascii="Times New Roman" w:hAnsi="Times New Roman"/>
          <w:color w:val="000000" w:themeColor="text1"/>
        </w:rPr>
        <w:t xml:space="preserve"> </w:t>
      </w:r>
      <w:r w:rsidRPr="00626C97" w:rsidR="00D13C48">
        <w:rPr>
          <w:rFonts w:ascii="Times New Roman" w:hAnsi="Times New Roman"/>
          <w:color w:val="000000" w:themeColor="text1"/>
        </w:rPr>
        <w:t xml:space="preserve">The sampling universe for these </w:t>
      </w:r>
      <w:r w:rsidRPr="00626C97" w:rsidR="005E598F">
        <w:rPr>
          <w:rFonts w:ascii="Times New Roman" w:hAnsi="Times New Roman"/>
          <w:color w:val="000000" w:themeColor="text1"/>
        </w:rPr>
        <w:t>collections</w:t>
      </w:r>
      <w:r w:rsidRPr="00626C97" w:rsidR="00D13C48">
        <w:rPr>
          <w:rFonts w:ascii="Times New Roman" w:hAnsi="Times New Roman"/>
          <w:color w:val="000000" w:themeColor="text1"/>
        </w:rPr>
        <w:t xml:space="preserve"> will include the entire civilian non-institutionalized U.S. adult population (aged 18 years and older) </w:t>
      </w:r>
      <w:r w:rsidRPr="00626C97" w:rsidR="008E0892">
        <w:rPr>
          <w:rFonts w:ascii="Times New Roman" w:hAnsi="Times New Roman"/>
          <w:color w:val="000000" w:themeColor="text1"/>
        </w:rPr>
        <w:t xml:space="preserve">who have access to </w:t>
      </w:r>
      <w:r w:rsidRPr="00626C97" w:rsidR="00681534">
        <w:rPr>
          <w:rFonts w:ascii="Times New Roman" w:hAnsi="Times New Roman"/>
          <w:color w:val="000000" w:themeColor="text1"/>
        </w:rPr>
        <w:t>internet-based</w:t>
      </w:r>
      <w:r w:rsidRPr="00626C97" w:rsidR="008E0892">
        <w:rPr>
          <w:rFonts w:ascii="Times New Roman" w:hAnsi="Times New Roman"/>
          <w:color w:val="000000" w:themeColor="text1"/>
        </w:rPr>
        <w:t xml:space="preserve"> surveys</w:t>
      </w:r>
      <w:r w:rsidRPr="00626C97" w:rsidR="0026546B">
        <w:rPr>
          <w:rFonts w:ascii="Times New Roman" w:hAnsi="Times New Roman"/>
          <w:color w:val="000000" w:themeColor="text1"/>
        </w:rPr>
        <w:t xml:space="preserve"> administered through</w:t>
      </w:r>
      <w:r w:rsidRPr="00626C97" w:rsidR="00D13C48">
        <w:rPr>
          <w:rFonts w:ascii="Times New Roman" w:hAnsi="Times New Roman"/>
          <w:color w:val="000000" w:themeColor="text1"/>
        </w:rPr>
        <w:t xml:space="preserve"> a cell phone</w:t>
      </w:r>
      <w:r w:rsidRPr="00626C97" w:rsidR="0026546B">
        <w:rPr>
          <w:rFonts w:ascii="Times New Roman" w:hAnsi="Times New Roman"/>
          <w:color w:val="000000" w:themeColor="text1"/>
        </w:rPr>
        <w:t xml:space="preserve">, </w:t>
      </w:r>
      <w:r w:rsidRPr="00626C97" w:rsidR="00681534">
        <w:rPr>
          <w:rFonts w:ascii="Times New Roman" w:hAnsi="Times New Roman"/>
          <w:color w:val="000000" w:themeColor="text1"/>
        </w:rPr>
        <w:t>computer</w:t>
      </w:r>
      <w:r w:rsidRPr="00626C97" w:rsidR="0026546B">
        <w:rPr>
          <w:rFonts w:ascii="Times New Roman" w:hAnsi="Times New Roman"/>
          <w:color w:val="000000" w:themeColor="text1"/>
        </w:rPr>
        <w:t xml:space="preserve">, or </w:t>
      </w:r>
      <w:r w:rsidRPr="00626C97" w:rsidR="00681534">
        <w:rPr>
          <w:rFonts w:ascii="Times New Roman" w:hAnsi="Times New Roman"/>
          <w:color w:val="000000" w:themeColor="text1"/>
        </w:rPr>
        <w:t>tablet</w:t>
      </w:r>
      <w:r w:rsidRPr="00626C97" w:rsidR="00D13C48">
        <w:rPr>
          <w:rFonts w:ascii="Times New Roman" w:hAnsi="Times New Roman"/>
          <w:color w:val="000000" w:themeColor="text1"/>
        </w:rPr>
        <w:t xml:space="preserve">. This </w:t>
      </w:r>
      <w:r w:rsidRPr="00626C97" w:rsidR="0026546B">
        <w:rPr>
          <w:rFonts w:ascii="Times New Roman" w:hAnsi="Times New Roman"/>
          <w:color w:val="000000" w:themeColor="text1"/>
        </w:rPr>
        <w:t>excludes</w:t>
      </w:r>
      <w:r w:rsidRPr="00626C97" w:rsidR="00D13C48">
        <w:rPr>
          <w:rFonts w:ascii="Times New Roman" w:hAnsi="Times New Roman"/>
          <w:color w:val="000000" w:themeColor="text1"/>
        </w:rPr>
        <w:t xml:space="preserve"> adults in penal or mental institutions</w:t>
      </w:r>
      <w:r w:rsidRPr="00626C97" w:rsidR="00F23E6E">
        <w:rPr>
          <w:rFonts w:ascii="Times New Roman" w:hAnsi="Times New Roman"/>
          <w:color w:val="000000" w:themeColor="text1"/>
        </w:rPr>
        <w:t>, those</w:t>
      </w:r>
      <w:r w:rsidRPr="00626C97" w:rsidR="0026546B">
        <w:rPr>
          <w:rFonts w:ascii="Times New Roman" w:hAnsi="Times New Roman"/>
          <w:color w:val="000000" w:themeColor="text1"/>
        </w:rPr>
        <w:t xml:space="preserve"> </w:t>
      </w:r>
      <w:r w:rsidRPr="00626C97" w:rsidR="00D13C48">
        <w:rPr>
          <w:rFonts w:ascii="Times New Roman" w:hAnsi="Times New Roman"/>
          <w:color w:val="000000" w:themeColor="text1"/>
        </w:rPr>
        <w:t xml:space="preserve">without </w:t>
      </w:r>
      <w:r w:rsidRPr="00626C97" w:rsidR="0026546B">
        <w:rPr>
          <w:rFonts w:ascii="Times New Roman" w:hAnsi="Times New Roman"/>
          <w:color w:val="000000" w:themeColor="text1"/>
        </w:rPr>
        <w:t>internet access</w:t>
      </w:r>
      <w:r w:rsidRPr="00626C97" w:rsidR="00E42C0F">
        <w:rPr>
          <w:rFonts w:ascii="Times New Roman" w:hAnsi="Times New Roman"/>
          <w:color w:val="000000" w:themeColor="text1"/>
        </w:rPr>
        <w:t xml:space="preserve"> or access to </w:t>
      </w:r>
      <w:r w:rsidRPr="00626C97" w:rsidR="00730153">
        <w:rPr>
          <w:rFonts w:ascii="Times New Roman" w:hAnsi="Times New Roman"/>
          <w:color w:val="000000" w:themeColor="text1"/>
        </w:rPr>
        <w:t xml:space="preserve">the </w:t>
      </w:r>
      <w:r w:rsidRPr="00626C97" w:rsidR="0072562E">
        <w:rPr>
          <w:rFonts w:ascii="Times New Roman" w:hAnsi="Times New Roman"/>
          <w:color w:val="000000" w:themeColor="text1"/>
        </w:rPr>
        <w:t>above-mentioned</w:t>
      </w:r>
      <w:r w:rsidRPr="00626C97" w:rsidR="00730153">
        <w:rPr>
          <w:rFonts w:ascii="Times New Roman" w:hAnsi="Times New Roman"/>
          <w:color w:val="000000" w:themeColor="text1"/>
        </w:rPr>
        <w:t xml:space="preserve"> </w:t>
      </w:r>
      <w:r w:rsidRPr="00626C97" w:rsidR="004B4614">
        <w:rPr>
          <w:rFonts w:ascii="Times New Roman" w:hAnsi="Times New Roman"/>
          <w:color w:val="000000" w:themeColor="text1"/>
        </w:rPr>
        <w:t>devices, and</w:t>
      </w:r>
      <w:r w:rsidRPr="00626C97" w:rsidR="00D13C48">
        <w:rPr>
          <w:rFonts w:ascii="Times New Roman" w:hAnsi="Times New Roman"/>
          <w:color w:val="000000" w:themeColor="text1"/>
        </w:rPr>
        <w:t>/or adults who do not</w:t>
      </w:r>
      <w:r w:rsidRPr="00626C97" w:rsidR="0057605A">
        <w:rPr>
          <w:rFonts w:ascii="Times New Roman" w:hAnsi="Times New Roman"/>
          <w:color w:val="000000" w:themeColor="text1"/>
        </w:rPr>
        <w:t xml:space="preserve"> read and/or</w:t>
      </w:r>
      <w:r w:rsidRPr="00626C97" w:rsidR="00D13C48">
        <w:rPr>
          <w:rFonts w:ascii="Times New Roman" w:hAnsi="Times New Roman"/>
          <w:color w:val="000000" w:themeColor="text1"/>
        </w:rPr>
        <w:t xml:space="preserve"> speak English or Spanish well enough </w:t>
      </w:r>
      <w:r w:rsidRPr="00626C97" w:rsidR="004B4614">
        <w:rPr>
          <w:rFonts w:ascii="Times New Roman" w:hAnsi="Times New Roman"/>
          <w:color w:val="000000" w:themeColor="text1"/>
        </w:rPr>
        <w:t xml:space="preserve">to </w:t>
      </w:r>
      <w:r w:rsidRPr="00626C97" w:rsidR="00730153">
        <w:rPr>
          <w:rFonts w:ascii="Times New Roman" w:hAnsi="Times New Roman"/>
          <w:color w:val="000000" w:themeColor="text1"/>
        </w:rPr>
        <w:t xml:space="preserve">understand </w:t>
      </w:r>
      <w:r w:rsidRPr="00626C97" w:rsidR="0072562E">
        <w:rPr>
          <w:rFonts w:ascii="Times New Roman" w:hAnsi="Times New Roman"/>
          <w:color w:val="000000" w:themeColor="text1"/>
        </w:rPr>
        <w:t>surveys</w:t>
      </w:r>
      <w:r w:rsidRPr="00626C97" w:rsidR="00D13C48">
        <w:rPr>
          <w:rFonts w:ascii="Times New Roman" w:hAnsi="Times New Roman"/>
          <w:color w:val="000000" w:themeColor="text1"/>
        </w:rPr>
        <w:t>.</w:t>
      </w:r>
      <w:r w:rsidRPr="00626C97" w:rsidR="00B558BF">
        <w:rPr>
          <w:rFonts w:ascii="Times New Roman" w:hAnsi="Times New Roman"/>
          <w:color w:val="000000" w:themeColor="text1"/>
        </w:rPr>
        <w:t xml:space="preserve"> </w:t>
      </w:r>
    </w:p>
    <w:p w:rsidR="0072562E" w:rsidRPr="00626C97" w:rsidP="00626C97" w14:paraId="1D1D858A" w14:textId="77777777">
      <w:pPr>
        <w:tabs>
          <w:tab w:val="left" w:pos="-1440"/>
        </w:tabs>
        <w:spacing w:line="276" w:lineRule="auto"/>
        <w:contextualSpacing/>
        <w:jc w:val="both"/>
        <w:rPr>
          <w:rFonts w:ascii="Times New Roman" w:hAnsi="Times New Roman"/>
          <w:color w:val="000000" w:themeColor="text1"/>
        </w:rPr>
      </w:pPr>
    </w:p>
    <w:p w:rsidR="00014487" w:rsidRPr="00626C97" w:rsidP="00626C97" w14:paraId="021BC64A" w14:textId="3605A97D">
      <w:pPr>
        <w:tabs>
          <w:tab w:val="left" w:pos="-1440"/>
        </w:tabs>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The program</w:t>
      </w:r>
      <w:r w:rsidRPr="00626C97" w:rsidR="00B407EA">
        <w:rPr>
          <w:rFonts w:ascii="Times New Roman" w:hAnsi="Times New Roman"/>
          <w:color w:val="000000" w:themeColor="text1"/>
        </w:rPr>
        <w:t xml:space="preserve"> will employ a </w:t>
      </w:r>
      <w:r w:rsidRPr="00626C97" w:rsidR="000254BC">
        <w:rPr>
          <w:rFonts w:ascii="Times New Roman" w:hAnsi="Times New Roman"/>
          <w:color w:val="000000" w:themeColor="text1"/>
        </w:rPr>
        <w:t>third-party</w:t>
      </w:r>
      <w:r w:rsidRPr="00626C97" w:rsidR="00782E1E">
        <w:rPr>
          <w:rFonts w:ascii="Times New Roman" w:hAnsi="Times New Roman"/>
          <w:color w:val="000000" w:themeColor="text1"/>
        </w:rPr>
        <w:t xml:space="preserve"> independent polling firm who has experience collecting nationally representative </w:t>
      </w:r>
      <w:r w:rsidRPr="00626C97" w:rsidR="005F456B">
        <w:rPr>
          <w:rFonts w:ascii="Times New Roman" w:hAnsi="Times New Roman"/>
          <w:color w:val="000000" w:themeColor="text1"/>
        </w:rPr>
        <w:t xml:space="preserve">samples of this type. </w:t>
      </w:r>
      <w:r w:rsidRPr="00626C97" w:rsidR="000254BC">
        <w:rPr>
          <w:rFonts w:ascii="Times New Roman" w:hAnsi="Times New Roman"/>
          <w:color w:val="000000" w:themeColor="text1"/>
        </w:rPr>
        <w:t xml:space="preserve">Based on </w:t>
      </w:r>
      <w:r w:rsidRPr="00626C97" w:rsidR="0071189D">
        <w:rPr>
          <w:rFonts w:ascii="Times New Roman" w:hAnsi="Times New Roman"/>
          <w:color w:val="000000" w:themeColor="text1"/>
        </w:rPr>
        <w:t xml:space="preserve">previous </w:t>
      </w:r>
      <w:r w:rsidRPr="00626C97" w:rsidR="00CA616B">
        <w:rPr>
          <w:rFonts w:ascii="Times New Roman" w:hAnsi="Times New Roman"/>
          <w:color w:val="000000" w:themeColor="text1"/>
        </w:rPr>
        <w:t xml:space="preserve">experience </w:t>
      </w:r>
      <w:r w:rsidRPr="00626C97">
        <w:rPr>
          <w:rFonts w:ascii="Times New Roman" w:hAnsi="Times New Roman"/>
          <w:color w:val="000000" w:themeColor="text1"/>
        </w:rPr>
        <w:t>the program</w:t>
      </w:r>
      <w:r w:rsidRPr="00626C97" w:rsidR="00806D4E">
        <w:rPr>
          <w:rFonts w:ascii="Times New Roman" w:hAnsi="Times New Roman"/>
          <w:color w:val="000000" w:themeColor="text1"/>
        </w:rPr>
        <w:t xml:space="preserve"> anticipate</w:t>
      </w:r>
      <w:r w:rsidRPr="00626C97">
        <w:rPr>
          <w:rFonts w:ascii="Times New Roman" w:hAnsi="Times New Roman"/>
          <w:color w:val="000000" w:themeColor="text1"/>
        </w:rPr>
        <w:t>s</w:t>
      </w:r>
      <w:r w:rsidRPr="00626C97" w:rsidR="00806D4E">
        <w:rPr>
          <w:rFonts w:ascii="Times New Roman" w:hAnsi="Times New Roman"/>
          <w:color w:val="000000" w:themeColor="text1"/>
        </w:rPr>
        <w:t xml:space="preserve"> the overall response rate for</w:t>
      </w:r>
      <w:r w:rsidRPr="00626C97" w:rsidR="00CA616B">
        <w:rPr>
          <w:rFonts w:ascii="Times New Roman" w:hAnsi="Times New Roman"/>
          <w:color w:val="000000" w:themeColor="text1"/>
        </w:rPr>
        <w:t xml:space="preserve"> </w:t>
      </w:r>
      <w:r w:rsidRPr="00626C97" w:rsidR="00604F91">
        <w:rPr>
          <w:rFonts w:ascii="Times New Roman" w:hAnsi="Times New Roman"/>
          <w:color w:val="000000" w:themeColor="text1"/>
        </w:rPr>
        <w:t xml:space="preserve">each </w:t>
      </w:r>
      <w:r w:rsidRPr="00626C97" w:rsidR="00806D4E">
        <w:rPr>
          <w:rFonts w:ascii="Times New Roman" w:hAnsi="Times New Roman"/>
          <w:color w:val="000000" w:themeColor="text1"/>
        </w:rPr>
        <w:t xml:space="preserve">web-based survey to be between 3%-5%. </w:t>
      </w:r>
    </w:p>
    <w:p w:rsidR="00014487" w:rsidRPr="00626C97" w:rsidP="00626C97" w14:paraId="021BC64B" w14:textId="77777777">
      <w:pPr>
        <w:spacing w:line="276" w:lineRule="auto"/>
        <w:contextualSpacing/>
        <w:jc w:val="both"/>
        <w:rPr>
          <w:rFonts w:ascii="Times New Roman" w:hAnsi="Times New Roman"/>
          <w:color w:val="000000" w:themeColor="text1"/>
        </w:rPr>
      </w:pPr>
    </w:p>
    <w:p w:rsidR="00CA7362" w:rsidRPr="00626C97" w:rsidP="00626C97" w14:paraId="447A67C8" w14:textId="2844031D">
      <w:pPr>
        <w:pStyle w:val="ListParagraph"/>
        <w:numPr>
          <w:ilvl w:val="0"/>
          <w:numId w:val="13"/>
        </w:numPr>
        <w:tabs>
          <w:tab w:val="left" w:pos="-1440"/>
        </w:tabs>
        <w:spacing w:line="276" w:lineRule="auto"/>
        <w:jc w:val="both"/>
        <w:rPr>
          <w:rFonts w:ascii="Times New Roman" w:hAnsi="Times New Roman"/>
          <w:b/>
          <w:bCs/>
          <w:color w:val="000000" w:themeColor="text1"/>
        </w:rPr>
      </w:pPr>
      <w:r w:rsidRPr="00626C97">
        <w:rPr>
          <w:rFonts w:ascii="Times New Roman" w:hAnsi="Times New Roman"/>
          <w:b/>
          <w:bCs/>
          <w:color w:val="000000" w:themeColor="text1"/>
        </w:rPr>
        <w:t>Procedures for Collecting Information</w:t>
      </w:r>
    </w:p>
    <w:p w:rsidR="00014487" w:rsidRPr="00626C97" w:rsidP="00626C97" w14:paraId="021BC659" w14:textId="77777777">
      <w:pPr>
        <w:spacing w:line="276" w:lineRule="auto"/>
        <w:contextualSpacing/>
        <w:jc w:val="both"/>
        <w:rPr>
          <w:rFonts w:ascii="Times New Roman" w:hAnsi="Times New Roman"/>
          <w:color w:val="000000" w:themeColor="text1"/>
        </w:rPr>
      </w:pPr>
    </w:p>
    <w:p w:rsidR="00924FE9" w:rsidRPr="00626C97" w:rsidP="00626C97" w14:paraId="5DDB8539" w14:textId="5BCCD2C1">
      <w:pPr>
        <w:spacing w:line="276" w:lineRule="auto"/>
        <w:contextualSpacing/>
        <w:jc w:val="both"/>
        <w:rPr>
          <w:rFonts w:ascii="Times New Roman" w:hAnsi="Times New Roman"/>
          <w:color w:val="000000" w:themeColor="text1"/>
          <w:u w:val="single"/>
        </w:rPr>
      </w:pPr>
      <w:r w:rsidRPr="00626C97">
        <w:rPr>
          <w:rFonts w:ascii="Times New Roman" w:hAnsi="Times New Roman"/>
          <w:b/>
          <w:bCs/>
          <w:color w:val="000000" w:themeColor="text1"/>
        </w:rPr>
        <w:t>Statistical methodology for stratification and sample selection</w:t>
      </w:r>
    </w:p>
    <w:p w:rsidR="00866E70" w:rsidRPr="00626C97" w:rsidP="00626C97" w14:paraId="22FA4D9A" w14:textId="77777777">
      <w:pPr>
        <w:spacing w:line="276" w:lineRule="auto"/>
        <w:contextualSpacing/>
        <w:jc w:val="both"/>
        <w:rPr>
          <w:rFonts w:ascii="Times New Roman" w:hAnsi="Times New Roman"/>
          <w:color w:val="000000" w:themeColor="text1"/>
          <w:u w:val="single"/>
        </w:rPr>
      </w:pPr>
    </w:p>
    <w:p w:rsidR="00C83A0C" w:rsidRPr="00626C97" w:rsidP="00626C97" w14:paraId="1380021B" w14:textId="68DA8A58">
      <w:pPr>
        <w:spacing w:line="276" w:lineRule="auto"/>
        <w:contextualSpacing/>
        <w:jc w:val="both"/>
        <w:rPr>
          <w:rFonts w:ascii="Times New Roman" w:hAnsi="Times New Roman"/>
          <w:color w:val="000000" w:themeColor="text1"/>
          <w:u w:val="single"/>
        </w:rPr>
      </w:pPr>
      <w:r w:rsidRPr="00626C97">
        <w:rPr>
          <w:rFonts w:ascii="Times New Roman" w:hAnsi="Times New Roman"/>
          <w:color w:val="000000" w:themeColor="text1"/>
          <w:u w:val="single"/>
        </w:rPr>
        <w:t>Non-Generalizable Quantitative and Qualitative Data</w:t>
      </w:r>
    </w:p>
    <w:p w:rsidR="00866E70" w:rsidRPr="00626C97" w:rsidP="00626C97" w14:paraId="7F165216" w14:textId="77777777">
      <w:pPr>
        <w:spacing w:line="276" w:lineRule="auto"/>
        <w:contextualSpacing/>
        <w:jc w:val="both"/>
        <w:rPr>
          <w:rFonts w:ascii="Times New Roman" w:hAnsi="Times New Roman"/>
          <w:color w:val="000000" w:themeColor="text1"/>
        </w:rPr>
      </w:pPr>
    </w:p>
    <w:p w:rsidR="00C86B4B" w:rsidRPr="00626C97" w:rsidP="00626C97" w14:paraId="0AF176AC" w14:textId="777FDB8B">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Data collection methods</w:t>
      </w:r>
      <w:r w:rsidRPr="00626C97" w:rsidR="00B64886">
        <w:rPr>
          <w:rFonts w:ascii="Times New Roman" w:hAnsi="Times New Roman"/>
          <w:color w:val="000000" w:themeColor="text1"/>
        </w:rPr>
        <w:t>, sample size estimates,</w:t>
      </w:r>
      <w:r w:rsidRPr="00626C97">
        <w:rPr>
          <w:rFonts w:ascii="Times New Roman" w:hAnsi="Times New Roman"/>
          <w:color w:val="000000" w:themeColor="text1"/>
        </w:rPr>
        <w:t xml:space="preserve"> and procedures will vary for non-</w:t>
      </w:r>
      <w:r w:rsidRPr="00626C97" w:rsidR="00582B9E">
        <w:rPr>
          <w:rFonts w:ascii="Times New Roman" w:hAnsi="Times New Roman"/>
          <w:color w:val="000000" w:themeColor="text1"/>
        </w:rPr>
        <w:t xml:space="preserve">generalizability </w:t>
      </w:r>
      <w:r w:rsidRPr="00626C97" w:rsidR="007F3F5E">
        <w:rPr>
          <w:rFonts w:ascii="Times New Roman" w:hAnsi="Times New Roman"/>
          <w:color w:val="000000" w:themeColor="text1"/>
        </w:rPr>
        <w:t>investigatory efforts</w:t>
      </w:r>
      <w:r w:rsidRPr="00626C97" w:rsidR="00B64886">
        <w:rPr>
          <w:rFonts w:ascii="Times New Roman" w:hAnsi="Times New Roman"/>
          <w:color w:val="000000" w:themeColor="text1"/>
        </w:rPr>
        <w:t xml:space="preserve">, the </w:t>
      </w:r>
      <w:r w:rsidRPr="00626C97">
        <w:rPr>
          <w:rFonts w:ascii="Times New Roman" w:hAnsi="Times New Roman"/>
          <w:color w:val="000000" w:themeColor="text1"/>
        </w:rPr>
        <w:t>specific</w:t>
      </w:r>
      <w:r w:rsidRPr="00626C97" w:rsidR="00B64886">
        <w:rPr>
          <w:rFonts w:ascii="Times New Roman" w:hAnsi="Times New Roman"/>
          <w:color w:val="000000" w:themeColor="text1"/>
        </w:rPr>
        <w:t>s of</w:t>
      </w:r>
      <w:r w:rsidRPr="00626C97">
        <w:rPr>
          <w:rFonts w:ascii="Times New Roman" w:hAnsi="Times New Roman"/>
          <w:color w:val="000000" w:themeColor="text1"/>
        </w:rPr>
        <w:t xml:space="preserve"> </w:t>
      </w:r>
      <w:r w:rsidRPr="00626C97" w:rsidR="00B64886">
        <w:rPr>
          <w:rFonts w:ascii="Times New Roman" w:hAnsi="Times New Roman"/>
          <w:color w:val="000000" w:themeColor="text1"/>
        </w:rPr>
        <w:t xml:space="preserve">each </w:t>
      </w:r>
      <w:r w:rsidRPr="00626C97" w:rsidR="005E598F">
        <w:rPr>
          <w:rFonts w:ascii="Times New Roman" w:hAnsi="Times New Roman"/>
          <w:color w:val="000000" w:themeColor="text1"/>
        </w:rPr>
        <w:t>collection</w:t>
      </w:r>
      <w:r w:rsidRPr="00626C97">
        <w:rPr>
          <w:rFonts w:ascii="Times New Roman" w:hAnsi="Times New Roman"/>
          <w:color w:val="000000" w:themeColor="text1"/>
        </w:rPr>
        <w:t xml:space="preserve"> will be provided </w:t>
      </w:r>
      <w:r w:rsidRPr="00626C97" w:rsidR="005E598F">
        <w:rPr>
          <w:rFonts w:ascii="Times New Roman" w:hAnsi="Times New Roman"/>
          <w:color w:val="000000" w:themeColor="text1"/>
        </w:rPr>
        <w:t>in the specific information collection request</w:t>
      </w:r>
      <w:r w:rsidRPr="00626C97" w:rsidR="00266C20">
        <w:rPr>
          <w:rFonts w:ascii="Times New Roman" w:hAnsi="Times New Roman"/>
          <w:color w:val="000000" w:themeColor="text1"/>
        </w:rPr>
        <w:t>s</w:t>
      </w:r>
      <w:r w:rsidRPr="00626C97" w:rsidR="005E598F">
        <w:rPr>
          <w:rFonts w:ascii="Times New Roman" w:hAnsi="Times New Roman"/>
          <w:color w:val="000000" w:themeColor="text1"/>
        </w:rPr>
        <w:t xml:space="preserve"> submitted under this generic clearance</w:t>
      </w:r>
      <w:r w:rsidRPr="00626C97">
        <w:rPr>
          <w:rFonts w:ascii="Times New Roman" w:hAnsi="Times New Roman"/>
          <w:color w:val="000000" w:themeColor="text1"/>
        </w:rPr>
        <w:t xml:space="preserve">. </w:t>
      </w:r>
      <w:r w:rsidRPr="00626C97" w:rsidR="00DF0FD5">
        <w:rPr>
          <w:rFonts w:ascii="Times New Roman" w:hAnsi="Times New Roman"/>
          <w:color w:val="000000" w:themeColor="text1"/>
        </w:rPr>
        <w:t>In general</w:t>
      </w:r>
      <w:r w:rsidRPr="00626C97" w:rsidR="00266C20">
        <w:rPr>
          <w:rFonts w:ascii="Times New Roman" w:hAnsi="Times New Roman"/>
          <w:color w:val="000000" w:themeColor="text1"/>
        </w:rPr>
        <w:t>, the program</w:t>
      </w:r>
      <w:r w:rsidRPr="00626C97" w:rsidR="007E6CEF">
        <w:rPr>
          <w:rFonts w:ascii="Times New Roman" w:hAnsi="Times New Roman"/>
          <w:color w:val="000000" w:themeColor="text1"/>
        </w:rPr>
        <w:t xml:space="preserve"> and</w:t>
      </w:r>
      <w:r w:rsidRPr="00626C97" w:rsidR="00E54593">
        <w:rPr>
          <w:rFonts w:ascii="Times New Roman" w:hAnsi="Times New Roman"/>
          <w:color w:val="000000" w:themeColor="text1"/>
        </w:rPr>
        <w:t>/or</w:t>
      </w:r>
      <w:r w:rsidRPr="00626C97" w:rsidR="007E6CEF">
        <w:rPr>
          <w:rFonts w:ascii="Times New Roman" w:hAnsi="Times New Roman"/>
          <w:color w:val="000000" w:themeColor="text1"/>
        </w:rPr>
        <w:t xml:space="preserve"> </w:t>
      </w:r>
      <w:r w:rsidRPr="00626C97" w:rsidR="00C17A23">
        <w:rPr>
          <w:rFonts w:ascii="Times New Roman" w:hAnsi="Times New Roman"/>
          <w:color w:val="000000" w:themeColor="text1"/>
        </w:rPr>
        <w:t>its</w:t>
      </w:r>
      <w:r w:rsidRPr="00626C97" w:rsidR="007E6CEF">
        <w:rPr>
          <w:rFonts w:ascii="Times New Roman" w:hAnsi="Times New Roman"/>
          <w:color w:val="000000" w:themeColor="text1"/>
        </w:rPr>
        <w:t xml:space="preserve"> contractors</w:t>
      </w:r>
      <w:r w:rsidRPr="00626C97" w:rsidR="00C33CDA">
        <w:rPr>
          <w:rFonts w:ascii="Times New Roman" w:hAnsi="Times New Roman"/>
          <w:color w:val="000000" w:themeColor="text1"/>
        </w:rPr>
        <w:t xml:space="preserve"> will </w:t>
      </w:r>
      <w:r w:rsidRPr="00626C97" w:rsidR="00DF0FD5">
        <w:rPr>
          <w:rFonts w:ascii="Times New Roman" w:hAnsi="Times New Roman"/>
          <w:color w:val="000000" w:themeColor="text1"/>
        </w:rPr>
        <w:t>rely on</w:t>
      </w:r>
      <w:r w:rsidRPr="00626C97" w:rsidR="00B64886">
        <w:rPr>
          <w:rFonts w:ascii="Times New Roman" w:hAnsi="Times New Roman"/>
          <w:color w:val="000000" w:themeColor="text1"/>
        </w:rPr>
        <w:t xml:space="preserve"> </w:t>
      </w:r>
      <w:r w:rsidRPr="00626C97" w:rsidR="382E726F">
        <w:rPr>
          <w:rFonts w:ascii="Times New Roman" w:hAnsi="Times New Roman"/>
          <w:color w:val="000000" w:themeColor="text1"/>
        </w:rPr>
        <w:t xml:space="preserve">a </w:t>
      </w:r>
      <w:r w:rsidRPr="00626C97" w:rsidR="00B64886">
        <w:rPr>
          <w:rFonts w:ascii="Times New Roman" w:hAnsi="Times New Roman"/>
          <w:color w:val="000000" w:themeColor="text1"/>
        </w:rPr>
        <w:t>reputable marketing research</w:t>
      </w:r>
      <w:r w:rsidRPr="00626C97" w:rsidR="00DF0FD5">
        <w:rPr>
          <w:rFonts w:ascii="Times New Roman" w:hAnsi="Times New Roman"/>
          <w:color w:val="000000" w:themeColor="text1"/>
        </w:rPr>
        <w:t xml:space="preserve"> or survey/polling firm to </w:t>
      </w:r>
      <w:r w:rsidRPr="00626C97" w:rsidR="001410E9">
        <w:rPr>
          <w:rFonts w:ascii="Times New Roman" w:hAnsi="Times New Roman"/>
          <w:color w:val="000000" w:themeColor="text1"/>
        </w:rPr>
        <w:t>recruit participants for</w:t>
      </w:r>
      <w:r w:rsidRPr="00626C97" w:rsidR="00DF0FD5">
        <w:rPr>
          <w:rFonts w:ascii="Times New Roman" w:hAnsi="Times New Roman"/>
          <w:color w:val="000000" w:themeColor="text1"/>
        </w:rPr>
        <w:t xml:space="preserve"> </w:t>
      </w:r>
      <w:r w:rsidRPr="00626C97" w:rsidR="001410E9">
        <w:rPr>
          <w:rFonts w:ascii="Times New Roman" w:hAnsi="Times New Roman"/>
          <w:color w:val="000000" w:themeColor="text1"/>
        </w:rPr>
        <w:t xml:space="preserve">qualitative studies such as focus groups and </w:t>
      </w:r>
      <w:r w:rsidRPr="00626C97" w:rsidR="001770EF">
        <w:rPr>
          <w:rFonts w:ascii="Times New Roman" w:hAnsi="Times New Roman"/>
          <w:color w:val="000000" w:themeColor="text1"/>
        </w:rPr>
        <w:t>cognitive interviews.</w:t>
      </w:r>
      <w:r w:rsidRPr="00626C97">
        <w:rPr>
          <w:rFonts w:ascii="Times New Roman" w:hAnsi="Times New Roman"/>
          <w:color w:val="000000" w:themeColor="text1"/>
        </w:rPr>
        <w:t xml:space="preserve"> </w:t>
      </w:r>
      <w:r w:rsidRPr="00626C97" w:rsidR="00E54593">
        <w:rPr>
          <w:rFonts w:ascii="Times New Roman" w:hAnsi="Times New Roman"/>
          <w:color w:val="000000" w:themeColor="text1"/>
        </w:rPr>
        <w:t xml:space="preserve">For more limited data collections, a snowball sampling approach may be used with existing networks of the program and/or its contractors. </w:t>
      </w:r>
      <w:r w:rsidRPr="00626C97" w:rsidR="00BB0BC6">
        <w:rPr>
          <w:rFonts w:ascii="Times New Roman" w:hAnsi="Times New Roman"/>
          <w:color w:val="000000" w:themeColor="text1"/>
        </w:rPr>
        <w:t>The program does</w:t>
      </w:r>
      <w:r w:rsidRPr="00626C97" w:rsidR="00845576">
        <w:rPr>
          <w:rFonts w:ascii="Times New Roman" w:hAnsi="Times New Roman"/>
          <w:color w:val="000000" w:themeColor="text1"/>
        </w:rPr>
        <w:t xml:space="preserve"> anticipate </w:t>
      </w:r>
      <w:r w:rsidRPr="00626C97" w:rsidR="00B52C76">
        <w:rPr>
          <w:rFonts w:ascii="Times New Roman" w:hAnsi="Times New Roman"/>
          <w:color w:val="000000" w:themeColor="text1"/>
        </w:rPr>
        <w:t xml:space="preserve">that </w:t>
      </w:r>
      <w:r w:rsidRPr="00626C97" w:rsidR="00CB0312">
        <w:rPr>
          <w:rFonts w:ascii="Times New Roman" w:hAnsi="Times New Roman"/>
          <w:color w:val="000000" w:themeColor="text1"/>
        </w:rPr>
        <w:t xml:space="preserve">some </w:t>
      </w:r>
      <w:r w:rsidRPr="00626C97" w:rsidR="005E598F">
        <w:rPr>
          <w:rFonts w:ascii="Times New Roman" w:hAnsi="Times New Roman"/>
          <w:color w:val="000000" w:themeColor="text1"/>
        </w:rPr>
        <w:t>collections</w:t>
      </w:r>
      <w:r w:rsidRPr="00626C97" w:rsidR="00CB0312">
        <w:rPr>
          <w:rFonts w:ascii="Times New Roman" w:hAnsi="Times New Roman"/>
          <w:color w:val="000000" w:themeColor="text1"/>
        </w:rPr>
        <w:t xml:space="preserve"> will be </w:t>
      </w:r>
      <w:r w:rsidRPr="00626C97" w:rsidR="00A73806">
        <w:rPr>
          <w:rFonts w:ascii="Times New Roman" w:hAnsi="Times New Roman"/>
          <w:color w:val="000000" w:themeColor="text1"/>
        </w:rPr>
        <w:t xml:space="preserve">specific to </w:t>
      </w:r>
      <w:r w:rsidRPr="00626C97" w:rsidR="00A73806">
        <w:rPr>
          <w:rFonts w:ascii="Times New Roman" w:hAnsi="Times New Roman"/>
          <w:color w:val="000000" w:themeColor="text1"/>
        </w:rPr>
        <w:t>particular group</w:t>
      </w:r>
      <w:r w:rsidRPr="00626C97" w:rsidR="00B52C76">
        <w:rPr>
          <w:rFonts w:ascii="Times New Roman" w:hAnsi="Times New Roman"/>
          <w:color w:val="000000" w:themeColor="text1"/>
        </w:rPr>
        <w:t>s</w:t>
      </w:r>
      <w:r w:rsidRPr="00626C97" w:rsidR="00CB0312">
        <w:rPr>
          <w:rFonts w:ascii="Times New Roman" w:hAnsi="Times New Roman"/>
          <w:color w:val="000000" w:themeColor="text1"/>
        </w:rPr>
        <w:t xml:space="preserve"> by </w:t>
      </w:r>
      <w:r w:rsidRPr="00626C97" w:rsidR="00A73806">
        <w:rPr>
          <w:rFonts w:ascii="Times New Roman" w:hAnsi="Times New Roman"/>
          <w:color w:val="000000" w:themeColor="text1"/>
        </w:rPr>
        <w:t xml:space="preserve">factors such as </w:t>
      </w:r>
      <w:r w:rsidRPr="00626C97" w:rsidR="00CB0312">
        <w:rPr>
          <w:rFonts w:ascii="Times New Roman" w:hAnsi="Times New Roman"/>
          <w:color w:val="000000" w:themeColor="text1"/>
        </w:rPr>
        <w:t>geography (e.g., FE</w:t>
      </w:r>
      <w:r w:rsidRPr="00626C97" w:rsidR="00E54593">
        <w:rPr>
          <w:rFonts w:ascii="Times New Roman" w:hAnsi="Times New Roman"/>
          <w:color w:val="000000" w:themeColor="text1"/>
        </w:rPr>
        <w:t>MA</w:t>
      </w:r>
      <w:r w:rsidRPr="00626C97" w:rsidR="00CB0312">
        <w:rPr>
          <w:rFonts w:ascii="Times New Roman" w:hAnsi="Times New Roman"/>
          <w:color w:val="000000" w:themeColor="text1"/>
        </w:rPr>
        <w:t xml:space="preserve"> region), </w:t>
      </w:r>
      <w:r w:rsidRPr="00626C97" w:rsidR="00E54593">
        <w:rPr>
          <w:rFonts w:ascii="Times New Roman" w:hAnsi="Times New Roman"/>
          <w:color w:val="000000" w:themeColor="text1"/>
        </w:rPr>
        <w:t>participatory status</w:t>
      </w:r>
      <w:r w:rsidRPr="00626C97" w:rsidR="008F6E46">
        <w:rPr>
          <w:rFonts w:ascii="Times New Roman" w:hAnsi="Times New Roman"/>
          <w:color w:val="000000" w:themeColor="text1"/>
        </w:rPr>
        <w:t xml:space="preserve"> (e.g., </w:t>
      </w:r>
      <w:r w:rsidRPr="00626C97" w:rsidR="00E54593">
        <w:rPr>
          <w:rFonts w:ascii="Times New Roman" w:hAnsi="Times New Roman"/>
          <w:color w:val="000000" w:themeColor="text1"/>
        </w:rPr>
        <w:t>program customers or participants</w:t>
      </w:r>
      <w:r w:rsidRPr="00626C97" w:rsidR="008F6E46">
        <w:rPr>
          <w:rFonts w:ascii="Times New Roman" w:hAnsi="Times New Roman"/>
          <w:color w:val="000000" w:themeColor="text1"/>
        </w:rPr>
        <w:t xml:space="preserve">), </w:t>
      </w:r>
      <w:r w:rsidRPr="00626C97" w:rsidR="00A73806">
        <w:rPr>
          <w:rFonts w:ascii="Times New Roman" w:hAnsi="Times New Roman"/>
          <w:color w:val="000000" w:themeColor="text1"/>
        </w:rPr>
        <w:t xml:space="preserve">stakeholder group (e.g., </w:t>
      </w:r>
      <w:r w:rsidRPr="00626C97" w:rsidR="00E54593">
        <w:rPr>
          <w:rFonts w:ascii="Times New Roman" w:hAnsi="Times New Roman"/>
          <w:color w:val="000000" w:themeColor="text1"/>
        </w:rPr>
        <w:t>stakeholders in the program</w:t>
      </w:r>
      <w:r w:rsidRPr="00626C97" w:rsidR="00A73806">
        <w:rPr>
          <w:rFonts w:ascii="Times New Roman" w:hAnsi="Times New Roman"/>
          <w:color w:val="000000" w:themeColor="text1"/>
        </w:rPr>
        <w:t xml:space="preserve">). </w:t>
      </w:r>
      <w:r w:rsidRPr="00626C97" w:rsidR="00B52C76">
        <w:rPr>
          <w:rFonts w:ascii="Times New Roman" w:hAnsi="Times New Roman"/>
          <w:color w:val="000000" w:themeColor="text1"/>
        </w:rPr>
        <w:t xml:space="preserve">For these </w:t>
      </w:r>
      <w:r w:rsidRPr="00626C97" w:rsidR="00BB0BC6">
        <w:rPr>
          <w:rFonts w:ascii="Times New Roman" w:hAnsi="Times New Roman"/>
          <w:color w:val="000000" w:themeColor="text1"/>
        </w:rPr>
        <w:t>the program</w:t>
      </w:r>
      <w:r w:rsidRPr="00626C97" w:rsidR="00B52C76">
        <w:rPr>
          <w:rFonts w:ascii="Times New Roman" w:hAnsi="Times New Roman"/>
          <w:color w:val="000000" w:themeColor="text1"/>
        </w:rPr>
        <w:t xml:space="preserve"> will outline </w:t>
      </w:r>
      <w:r w:rsidRPr="00626C97" w:rsidR="00AB464A">
        <w:rPr>
          <w:rFonts w:ascii="Times New Roman" w:hAnsi="Times New Roman"/>
          <w:color w:val="000000" w:themeColor="text1"/>
        </w:rPr>
        <w:t xml:space="preserve">any specialized </w:t>
      </w:r>
      <w:r w:rsidRPr="00626C97" w:rsidR="00B52C76">
        <w:rPr>
          <w:rFonts w:ascii="Times New Roman" w:hAnsi="Times New Roman"/>
          <w:color w:val="000000" w:themeColor="text1"/>
        </w:rPr>
        <w:t xml:space="preserve">stratification </w:t>
      </w:r>
      <w:r w:rsidRPr="00626C97" w:rsidR="00AB464A">
        <w:rPr>
          <w:rFonts w:ascii="Times New Roman" w:hAnsi="Times New Roman"/>
          <w:color w:val="000000" w:themeColor="text1"/>
        </w:rPr>
        <w:t>and selection techniques as necessary, as well as mitigation strategies</w:t>
      </w:r>
      <w:r w:rsidRPr="00626C97" w:rsidR="001D4AEB">
        <w:rPr>
          <w:rFonts w:ascii="Times New Roman" w:hAnsi="Times New Roman"/>
          <w:color w:val="000000" w:themeColor="text1"/>
        </w:rPr>
        <w:t xml:space="preserve"> or offsetting low responses</w:t>
      </w:r>
      <w:r w:rsidRPr="00626C97" w:rsidR="00362680">
        <w:rPr>
          <w:rFonts w:ascii="Times New Roman" w:hAnsi="Times New Roman"/>
          <w:color w:val="000000" w:themeColor="text1"/>
        </w:rPr>
        <w:t xml:space="preserve"> with the specific information collection requests submitted under this generic clearance.</w:t>
      </w:r>
    </w:p>
    <w:p w:rsidR="009111AF" w:rsidRPr="00626C97" w:rsidP="00626C97" w14:paraId="1D6699E0" w14:textId="77777777">
      <w:pPr>
        <w:spacing w:line="276" w:lineRule="auto"/>
        <w:contextualSpacing/>
        <w:jc w:val="both"/>
        <w:rPr>
          <w:rFonts w:ascii="Times New Roman" w:hAnsi="Times New Roman"/>
          <w:color w:val="000000" w:themeColor="text1"/>
        </w:rPr>
      </w:pPr>
    </w:p>
    <w:p w:rsidR="00C83A0C" w:rsidRPr="00626C97" w:rsidP="00626C97" w14:paraId="4DA25511" w14:textId="5FD84AF0">
      <w:pPr>
        <w:spacing w:line="276" w:lineRule="auto"/>
        <w:contextualSpacing/>
        <w:jc w:val="both"/>
        <w:rPr>
          <w:rFonts w:ascii="Times New Roman" w:hAnsi="Times New Roman"/>
          <w:color w:val="000000" w:themeColor="text1"/>
          <w:u w:val="single"/>
        </w:rPr>
      </w:pPr>
      <w:bookmarkStart w:id="0" w:name="_Hlk71108359"/>
      <w:r w:rsidRPr="00626C97">
        <w:rPr>
          <w:rFonts w:ascii="Times New Roman" w:hAnsi="Times New Roman"/>
          <w:color w:val="000000" w:themeColor="text1"/>
          <w:u w:val="single"/>
        </w:rPr>
        <w:t>Generalizable Quantitative Survey Data</w:t>
      </w:r>
    </w:p>
    <w:bookmarkEnd w:id="0"/>
    <w:p w:rsidR="00866E70" w:rsidRPr="00626C97" w:rsidP="00626C97" w14:paraId="4CEDC72F" w14:textId="77777777">
      <w:pPr>
        <w:spacing w:line="276" w:lineRule="auto"/>
        <w:contextualSpacing/>
        <w:jc w:val="both"/>
        <w:rPr>
          <w:rFonts w:ascii="Times New Roman" w:hAnsi="Times New Roman"/>
          <w:color w:val="000000" w:themeColor="text1"/>
        </w:rPr>
      </w:pPr>
    </w:p>
    <w:p w:rsidR="00A537C2" w:rsidRPr="00626C97" w:rsidP="00626C97" w14:paraId="5FE59C24" w14:textId="16581A18">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 xml:space="preserve">For surveys intended to be </w:t>
      </w:r>
      <w:r w:rsidRPr="00626C97" w:rsidR="00FC0578">
        <w:rPr>
          <w:rFonts w:ascii="Times New Roman" w:hAnsi="Times New Roman"/>
          <w:color w:val="000000" w:themeColor="text1"/>
        </w:rPr>
        <w:t>generalizable</w:t>
      </w:r>
      <w:r w:rsidRPr="00626C97" w:rsidR="00362680">
        <w:rPr>
          <w:rFonts w:ascii="Times New Roman" w:hAnsi="Times New Roman"/>
          <w:color w:val="000000" w:themeColor="text1"/>
        </w:rPr>
        <w:t>,</w:t>
      </w:r>
      <w:r w:rsidRPr="00626C97" w:rsidR="00FC0578">
        <w:rPr>
          <w:rFonts w:ascii="Times New Roman" w:hAnsi="Times New Roman"/>
          <w:color w:val="000000" w:themeColor="text1"/>
        </w:rPr>
        <w:t xml:space="preserve"> the </w:t>
      </w:r>
      <w:r w:rsidRPr="00626C97" w:rsidR="00702080">
        <w:rPr>
          <w:rFonts w:ascii="Times New Roman" w:hAnsi="Times New Roman"/>
          <w:color w:val="000000" w:themeColor="text1"/>
        </w:rPr>
        <w:t xml:space="preserve">following procedures will be used to ensure accurate and transparent statistical methods are applied. </w:t>
      </w:r>
      <w:r w:rsidRPr="00626C97" w:rsidR="00AC121A">
        <w:rPr>
          <w:rFonts w:ascii="Times New Roman" w:hAnsi="Times New Roman"/>
          <w:color w:val="000000" w:themeColor="text1"/>
        </w:rPr>
        <w:t xml:space="preserve">For sampling related to nationally representative surveys </w:t>
      </w:r>
      <w:r w:rsidRPr="00626C97" w:rsidR="00BB0BC6">
        <w:rPr>
          <w:rFonts w:ascii="Times New Roman" w:hAnsi="Times New Roman"/>
          <w:color w:val="000000" w:themeColor="text1"/>
        </w:rPr>
        <w:t>the program</w:t>
      </w:r>
      <w:r w:rsidRPr="00626C97" w:rsidR="002843E7">
        <w:rPr>
          <w:rFonts w:ascii="Times New Roman" w:hAnsi="Times New Roman"/>
          <w:color w:val="000000" w:themeColor="text1"/>
        </w:rPr>
        <w:t xml:space="preserve"> will </w:t>
      </w:r>
      <w:r w:rsidRPr="00626C97" w:rsidR="0056533D">
        <w:rPr>
          <w:rFonts w:ascii="Times New Roman" w:hAnsi="Times New Roman"/>
          <w:color w:val="000000" w:themeColor="text1"/>
        </w:rPr>
        <w:t xml:space="preserve">create 10 separate mutually exclusive sampling strata based on the 10 FEMA regions </w:t>
      </w:r>
      <w:r w:rsidRPr="00626C97" w:rsidR="001F33AD">
        <w:rPr>
          <w:rFonts w:ascii="Times New Roman" w:hAnsi="Times New Roman"/>
          <w:color w:val="000000" w:themeColor="text1"/>
        </w:rPr>
        <w:t xml:space="preserve">covering the United States and its territories. </w:t>
      </w:r>
      <w:r w:rsidRPr="00626C97" w:rsidR="001A267E">
        <w:rPr>
          <w:rFonts w:ascii="Times New Roman" w:hAnsi="Times New Roman"/>
          <w:color w:val="000000" w:themeColor="text1"/>
        </w:rPr>
        <w:t>To ensure sufficient representation across states and territories a proportional geographic stratification approach may be implemented</w:t>
      </w:r>
      <w:r w:rsidRPr="00626C97">
        <w:rPr>
          <w:rFonts w:ascii="Times New Roman" w:hAnsi="Times New Roman"/>
          <w:color w:val="000000" w:themeColor="text1"/>
        </w:rPr>
        <w:t xml:space="preserve">. </w:t>
      </w:r>
      <w:r w:rsidRPr="00626C97" w:rsidR="00707F00">
        <w:rPr>
          <w:rFonts w:ascii="Times New Roman" w:hAnsi="Times New Roman"/>
          <w:color w:val="000000" w:themeColor="text1"/>
        </w:rPr>
        <w:t xml:space="preserve">As a guide </w:t>
      </w:r>
      <w:r w:rsidRPr="00626C97" w:rsidR="000D641C">
        <w:rPr>
          <w:rFonts w:ascii="Times New Roman" w:hAnsi="Times New Roman"/>
          <w:color w:val="000000" w:themeColor="text1"/>
        </w:rPr>
        <w:t>the program</w:t>
      </w:r>
      <w:r w:rsidRPr="00626C97" w:rsidR="00707F00">
        <w:rPr>
          <w:rFonts w:ascii="Times New Roman" w:hAnsi="Times New Roman"/>
          <w:color w:val="000000" w:themeColor="text1"/>
        </w:rPr>
        <w:t xml:space="preserve"> anticipate</w:t>
      </w:r>
      <w:r w:rsidRPr="00626C97" w:rsidR="000D641C">
        <w:rPr>
          <w:rFonts w:ascii="Times New Roman" w:hAnsi="Times New Roman"/>
          <w:color w:val="000000" w:themeColor="text1"/>
        </w:rPr>
        <w:t>s</w:t>
      </w:r>
      <w:r w:rsidRPr="00626C97" w:rsidR="00707F00">
        <w:rPr>
          <w:rFonts w:ascii="Times New Roman" w:hAnsi="Times New Roman"/>
          <w:color w:val="000000" w:themeColor="text1"/>
        </w:rPr>
        <w:t xml:space="preserve"> enrolling approximately 500 respondents per strata, but this number may be adjusted</w:t>
      </w:r>
      <w:r w:rsidRPr="00626C97" w:rsidR="007C35EA">
        <w:rPr>
          <w:rFonts w:ascii="Times New Roman" w:hAnsi="Times New Roman"/>
          <w:color w:val="000000" w:themeColor="text1"/>
        </w:rPr>
        <w:t xml:space="preserve"> slightly</w:t>
      </w:r>
      <w:r w:rsidRPr="00626C97" w:rsidR="00707F00">
        <w:rPr>
          <w:rFonts w:ascii="Times New Roman" w:hAnsi="Times New Roman"/>
          <w:color w:val="000000" w:themeColor="text1"/>
        </w:rPr>
        <w:t xml:space="preserve"> to account for </w:t>
      </w:r>
      <w:r w:rsidRPr="00626C97" w:rsidR="007C35EA">
        <w:rPr>
          <w:rFonts w:ascii="Times New Roman" w:hAnsi="Times New Roman"/>
          <w:color w:val="000000" w:themeColor="text1"/>
        </w:rPr>
        <w:t xml:space="preserve">any </w:t>
      </w:r>
      <w:r w:rsidRPr="00626C97" w:rsidR="00707F00">
        <w:rPr>
          <w:rFonts w:ascii="Times New Roman" w:hAnsi="Times New Roman"/>
          <w:color w:val="000000" w:themeColor="text1"/>
        </w:rPr>
        <w:t xml:space="preserve">differential population distribution between FEMA regions. </w:t>
      </w:r>
      <w:r w:rsidRPr="00626C97" w:rsidR="0076194D">
        <w:rPr>
          <w:rFonts w:ascii="Times New Roman" w:hAnsi="Times New Roman"/>
          <w:color w:val="000000" w:themeColor="text1"/>
        </w:rPr>
        <w:t>The same approach would be applied for regional surveys with stratification by state.</w:t>
      </w:r>
    </w:p>
    <w:p w:rsidR="001274B3" w:rsidRPr="00626C97" w:rsidP="00626C97" w14:paraId="0E622D16" w14:textId="77777777">
      <w:pPr>
        <w:spacing w:line="276" w:lineRule="auto"/>
        <w:contextualSpacing/>
        <w:jc w:val="both"/>
        <w:rPr>
          <w:rFonts w:ascii="Times New Roman" w:hAnsi="Times New Roman"/>
          <w:color w:val="000000" w:themeColor="text1"/>
        </w:rPr>
      </w:pPr>
    </w:p>
    <w:p w:rsidR="006E3472" w:rsidRPr="00626C97" w:rsidP="00626C97" w14:paraId="02E869BB" w14:textId="179BB61E">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To recruit</w:t>
      </w:r>
      <w:r w:rsidRPr="00626C97" w:rsidR="004C0D04">
        <w:rPr>
          <w:rFonts w:ascii="Times New Roman" w:hAnsi="Times New Roman"/>
          <w:color w:val="000000" w:themeColor="text1"/>
        </w:rPr>
        <w:t xml:space="preserve"> participants </w:t>
      </w:r>
      <w:r w:rsidRPr="00626C97" w:rsidR="00F82EEF">
        <w:rPr>
          <w:rFonts w:ascii="Times New Roman" w:hAnsi="Times New Roman"/>
          <w:color w:val="000000" w:themeColor="text1"/>
        </w:rPr>
        <w:t xml:space="preserve">for web-based surveys </w:t>
      </w:r>
      <w:r w:rsidRPr="00626C97" w:rsidR="008B2042">
        <w:rPr>
          <w:rFonts w:ascii="Times New Roman" w:hAnsi="Times New Roman"/>
          <w:color w:val="000000" w:themeColor="text1"/>
        </w:rPr>
        <w:t>the program</w:t>
      </w:r>
      <w:r w:rsidRPr="00626C97" w:rsidR="00F82EEF">
        <w:rPr>
          <w:rFonts w:ascii="Times New Roman" w:hAnsi="Times New Roman"/>
          <w:color w:val="000000" w:themeColor="text1"/>
        </w:rPr>
        <w:t xml:space="preserve"> will </w:t>
      </w:r>
      <w:r w:rsidRPr="00626C97">
        <w:rPr>
          <w:rFonts w:ascii="Times New Roman" w:hAnsi="Times New Roman"/>
          <w:color w:val="000000" w:themeColor="text1"/>
        </w:rPr>
        <w:t>acquire</w:t>
      </w:r>
      <w:r w:rsidRPr="00626C97" w:rsidR="00F82EEF">
        <w:rPr>
          <w:rFonts w:ascii="Times New Roman" w:hAnsi="Times New Roman"/>
          <w:color w:val="000000" w:themeColor="text1"/>
        </w:rPr>
        <w:t xml:space="preserve"> </w:t>
      </w:r>
      <w:r w:rsidRPr="00626C97">
        <w:rPr>
          <w:rFonts w:ascii="Times New Roman" w:hAnsi="Times New Roman"/>
          <w:color w:val="000000" w:themeColor="text1"/>
        </w:rPr>
        <w:t xml:space="preserve">statistically representative panels provided through a reputable market research or survey/polling firm. </w:t>
      </w:r>
      <w:r w:rsidRPr="00626C97" w:rsidR="00E932BA">
        <w:rPr>
          <w:rFonts w:ascii="Times New Roman" w:hAnsi="Times New Roman"/>
          <w:color w:val="000000" w:themeColor="text1"/>
        </w:rPr>
        <w:t xml:space="preserve">Panel recruitment utilizes probability-based recruitment and comes from a variety of sources. The online panels have been recruited through a diversified network rather than through a single source to avoid 'professional' panelists. To ensure that the recruitment is as broad, diversified, and as exhaustive as possible, a wide range of different methods and sources are used for recruitment. </w:t>
      </w:r>
      <w:r w:rsidRPr="00626C97" w:rsidR="00BB0BC6">
        <w:rPr>
          <w:rFonts w:ascii="Times New Roman" w:hAnsi="Times New Roman"/>
          <w:color w:val="000000" w:themeColor="text1"/>
        </w:rPr>
        <w:t>The program</w:t>
      </w:r>
      <w:r w:rsidRPr="00626C97" w:rsidR="00B60D6C">
        <w:rPr>
          <w:rFonts w:ascii="Times New Roman" w:hAnsi="Times New Roman"/>
          <w:color w:val="000000" w:themeColor="text1"/>
        </w:rPr>
        <w:t xml:space="preserve"> will rely on random</w:t>
      </w:r>
      <w:r w:rsidRPr="00626C97" w:rsidR="002C2AF6">
        <w:rPr>
          <w:rFonts w:ascii="Times New Roman" w:hAnsi="Times New Roman"/>
          <w:color w:val="000000" w:themeColor="text1"/>
        </w:rPr>
        <w:t xml:space="preserve"> sampling </w:t>
      </w:r>
      <w:r w:rsidRPr="00626C97" w:rsidR="00B60D6C">
        <w:rPr>
          <w:rFonts w:ascii="Times New Roman" w:hAnsi="Times New Roman"/>
          <w:color w:val="000000" w:themeColor="text1"/>
        </w:rPr>
        <w:t xml:space="preserve">techniques </w:t>
      </w:r>
      <w:r w:rsidRPr="00626C97" w:rsidR="002C2AF6">
        <w:rPr>
          <w:rFonts w:ascii="Times New Roman" w:hAnsi="Times New Roman"/>
          <w:color w:val="000000" w:themeColor="text1"/>
        </w:rPr>
        <w:t>to recruit participants from panels</w:t>
      </w:r>
      <w:r w:rsidRPr="00626C97" w:rsidR="00B60D6C">
        <w:rPr>
          <w:rFonts w:ascii="Times New Roman" w:hAnsi="Times New Roman"/>
          <w:color w:val="000000" w:themeColor="text1"/>
        </w:rPr>
        <w:t xml:space="preserve"> within each stratum. S</w:t>
      </w:r>
      <w:r w:rsidRPr="00626C97">
        <w:rPr>
          <w:rFonts w:ascii="Times New Roman" w:hAnsi="Times New Roman"/>
          <w:color w:val="000000" w:themeColor="text1"/>
        </w:rPr>
        <w:t xml:space="preserve">urveys will be administered </w:t>
      </w:r>
      <w:r w:rsidRPr="00626C97" w:rsidR="00B60D6C">
        <w:rPr>
          <w:rFonts w:ascii="Times New Roman" w:hAnsi="Times New Roman"/>
          <w:color w:val="000000" w:themeColor="text1"/>
        </w:rPr>
        <w:t xml:space="preserve">using a web-based application programming interface (API). Invitations to participate will be </w:t>
      </w:r>
      <w:r w:rsidRPr="00626C97" w:rsidR="00BB0BC6">
        <w:rPr>
          <w:rFonts w:ascii="Times New Roman" w:hAnsi="Times New Roman"/>
          <w:color w:val="000000" w:themeColor="text1"/>
        </w:rPr>
        <w:t>shared digitally with</w:t>
      </w:r>
      <w:r w:rsidRPr="00626C97" w:rsidR="00B60D6C">
        <w:rPr>
          <w:rFonts w:ascii="Times New Roman" w:hAnsi="Times New Roman"/>
          <w:color w:val="000000" w:themeColor="text1"/>
        </w:rPr>
        <w:t xml:space="preserve"> potential participants. </w:t>
      </w:r>
      <w:r w:rsidRPr="00626C97" w:rsidR="00233A42">
        <w:rPr>
          <w:rFonts w:ascii="Times New Roman" w:hAnsi="Times New Roman"/>
          <w:color w:val="000000" w:themeColor="text1"/>
        </w:rPr>
        <w:t>Screening question</w:t>
      </w:r>
      <w:r w:rsidRPr="00626C97" w:rsidR="00BB0BC6">
        <w:rPr>
          <w:rFonts w:ascii="Times New Roman" w:hAnsi="Times New Roman"/>
          <w:color w:val="000000" w:themeColor="text1"/>
        </w:rPr>
        <w:t>s</w:t>
      </w:r>
      <w:r w:rsidRPr="00626C97" w:rsidR="00233A42">
        <w:rPr>
          <w:rFonts w:ascii="Times New Roman" w:hAnsi="Times New Roman"/>
          <w:color w:val="000000" w:themeColor="text1"/>
        </w:rPr>
        <w:t xml:space="preserve"> will confirm eligibility (</w:t>
      </w:r>
      <w:r w:rsidRPr="00626C97" w:rsidR="002F4E4C">
        <w:rPr>
          <w:rFonts w:ascii="Times New Roman" w:hAnsi="Times New Roman"/>
          <w:color w:val="000000" w:themeColor="text1"/>
        </w:rPr>
        <w:t>e.g.,</w:t>
      </w:r>
      <w:r w:rsidRPr="00626C97" w:rsidR="00233A42">
        <w:rPr>
          <w:rFonts w:ascii="Times New Roman" w:hAnsi="Times New Roman"/>
          <w:color w:val="000000" w:themeColor="text1"/>
        </w:rPr>
        <w:t xml:space="preserve"> residency status) </w:t>
      </w:r>
      <w:r w:rsidRPr="00626C97" w:rsidR="002F4E4C">
        <w:rPr>
          <w:rFonts w:ascii="Times New Roman" w:hAnsi="Times New Roman"/>
          <w:color w:val="000000" w:themeColor="text1"/>
        </w:rPr>
        <w:t xml:space="preserve">to ensure accurate weighing. </w:t>
      </w:r>
    </w:p>
    <w:p w:rsidR="00FD6CCF" w:rsidRPr="00626C97" w:rsidP="00626C97" w14:paraId="655692D2" w14:textId="77777777">
      <w:pPr>
        <w:widowControl/>
        <w:tabs>
          <w:tab w:val="left" w:pos="-720"/>
        </w:tabs>
        <w:suppressAutoHyphens/>
        <w:autoSpaceDE/>
        <w:autoSpaceDN/>
        <w:adjustRightInd/>
        <w:spacing w:line="276" w:lineRule="auto"/>
        <w:contextualSpacing/>
        <w:rPr>
          <w:rFonts w:ascii="Times New Roman" w:hAnsi="Times New Roman"/>
          <w:b/>
          <w:bCs/>
          <w:color w:val="000000" w:themeColor="text1"/>
        </w:rPr>
      </w:pPr>
    </w:p>
    <w:p w:rsidR="00FD6CCF" w:rsidRPr="00626C97" w:rsidP="00626C97" w14:paraId="454B7A19" w14:textId="40F17F8E">
      <w:pPr>
        <w:spacing w:line="276" w:lineRule="auto"/>
        <w:contextualSpacing/>
        <w:jc w:val="both"/>
        <w:rPr>
          <w:rFonts w:ascii="Times New Roman" w:hAnsi="Times New Roman"/>
          <w:b/>
          <w:bCs/>
          <w:color w:val="000000" w:themeColor="text1"/>
        </w:rPr>
      </w:pPr>
      <w:r w:rsidRPr="00626C97">
        <w:rPr>
          <w:rFonts w:ascii="Times New Roman" w:hAnsi="Times New Roman"/>
          <w:b/>
          <w:bCs/>
          <w:color w:val="000000" w:themeColor="text1"/>
        </w:rPr>
        <w:t>Estimation procedure</w:t>
      </w:r>
    </w:p>
    <w:p w:rsidR="00866E70" w:rsidRPr="00626C97" w:rsidP="00626C97" w14:paraId="54396F03" w14:textId="77777777">
      <w:pPr>
        <w:spacing w:line="276" w:lineRule="auto"/>
        <w:contextualSpacing/>
        <w:jc w:val="both"/>
        <w:rPr>
          <w:rFonts w:ascii="Times New Roman" w:hAnsi="Times New Roman"/>
          <w:color w:val="000000" w:themeColor="text1"/>
          <w:u w:val="single"/>
        </w:rPr>
      </w:pPr>
    </w:p>
    <w:p w:rsidR="00B86EAF" w:rsidRPr="00626C97" w:rsidP="00626C97" w14:paraId="746E7C83" w14:textId="58FF4651">
      <w:pPr>
        <w:spacing w:line="276" w:lineRule="auto"/>
        <w:contextualSpacing/>
        <w:jc w:val="both"/>
        <w:rPr>
          <w:rFonts w:ascii="Times New Roman" w:hAnsi="Times New Roman"/>
          <w:color w:val="000000" w:themeColor="text1"/>
          <w:u w:val="single"/>
        </w:rPr>
      </w:pPr>
      <w:r w:rsidRPr="00626C97">
        <w:rPr>
          <w:rFonts w:ascii="Times New Roman" w:hAnsi="Times New Roman"/>
          <w:color w:val="000000" w:themeColor="text1"/>
          <w:u w:val="single"/>
        </w:rPr>
        <w:t>Non-Generalizable Quantitative and Qualitative Data</w:t>
      </w:r>
    </w:p>
    <w:p w:rsidR="00866E70" w:rsidRPr="00626C97" w:rsidP="00626C97" w14:paraId="4097A7CC" w14:textId="77777777">
      <w:pPr>
        <w:spacing w:line="276" w:lineRule="auto"/>
        <w:contextualSpacing/>
        <w:jc w:val="both"/>
        <w:rPr>
          <w:rFonts w:ascii="Times New Roman" w:hAnsi="Times New Roman"/>
          <w:color w:val="000000" w:themeColor="text1"/>
        </w:rPr>
      </w:pPr>
      <w:bookmarkStart w:id="1" w:name="_Hlk71108371"/>
    </w:p>
    <w:p w:rsidR="00924FE9" w:rsidRPr="00626C97" w:rsidP="00626C97" w14:paraId="706E0532" w14:textId="3A649AE9">
      <w:pPr>
        <w:spacing w:line="276" w:lineRule="auto"/>
        <w:contextualSpacing/>
        <w:jc w:val="both"/>
        <w:rPr>
          <w:rFonts w:ascii="Times New Roman" w:eastAsia="Calibri" w:hAnsi="Times New Roman"/>
          <w:iCs/>
          <w:color w:val="000000" w:themeColor="text1"/>
        </w:rPr>
      </w:pPr>
      <w:r w:rsidRPr="00626C97">
        <w:rPr>
          <w:rFonts w:ascii="Times New Roman" w:hAnsi="Times New Roman"/>
          <w:color w:val="000000" w:themeColor="text1"/>
        </w:rPr>
        <w:t>Special estimation procedures are not applicable for non-generalizable sampling procedures</w:t>
      </w:r>
      <w:bookmarkEnd w:id="1"/>
      <w:r w:rsidRPr="00626C97">
        <w:rPr>
          <w:rFonts w:ascii="Times New Roman" w:hAnsi="Times New Roman"/>
          <w:color w:val="000000" w:themeColor="text1"/>
        </w:rPr>
        <w:t xml:space="preserve">. </w:t>
      </w:r>
    </w:p>
    <w:p w:rsidR="00924FE9" w:rsidRPr="00626C97" w:rsidP="00626C97" w14:paraId="34D297A9" w14:textId="77777777">
      <w:pPr>
        <w:widowControl/>
        <w:autoSpaceDE/>
        <w:autoSpaceDN/>
        <w:adjustRightInd/>
        <w:spacing w:line="276" w:lineRule="auto"/>
        <w:contextualSpacing/>
        <w:rPr>
          <w:rFonts w:ascii="Times New Roman" w:eastAsia="Calibri" w:hAnsi="Times New Roman"/>
          <w:b/>
          <w:bCs/>
          <w:i/>
          <w:color w:val="000000" w:themeColor="text1"/>
        </w:rPr>
      </w:pPr>
    </w:p>
    <w:p w:rsidR="009173DA" w:rsidRPr="00626C97" w:rsidP="00626C97" w14:paraId="614EEF6A" w14:textId="77777777">
      <w:pPr>
        <w:spacing w:line="276" w:lineRule="auto"/>
        <w:contextualSpacing/>
        <w:jc w:val="both"/>
        <w:rPr>
          <w:rFonts w:ascii="Times New Roman" w:hAnsi="Times New Roman"/>
          <w:color w:val="000000" w:themeColor="text1"/>
          <w:u w:val="single"/>
        </w:rPr>
      </w:pPr>
      <w:r w:rsidRPr="00626C97">
        <w:rPr>
          <w:rFonts w:ascii="Times New Roman" w:hAnsi="Times New Roman"/>
          <w:color w:val="000000" w:themeColor="text1"/>
          <w:u w:val="single"/>
        </w:rPr>
        <w:t>Generalizable Quantitative Survey Data</w:t>
      </w:r>
    </w:p>
    <w:p w:rsidR="00866E70" w:rsidRPr="00626C97" w:rsidP="00626C97" w14:paraId="33474DAA" w14:textId="77777777">
      <w:pPr>
        <w:widowControl/>
        <w:autoSpaceDE/>
        <w:autoSpaceDN/>
        <w:adjustRightInd/>
        <w:spacing w:line="276" w:lineRule="auto"/>
        <w:contextualSpacing/>
        <w:rPr>
          <w:rFonts w:ascii="Times New Roman" w:hAnsi="Times New Roman"/>
          <w:color w:val="000000" w:themeColor="text1"/>
        </w:rPr>
      </w:pPr>
    </w:p>
    <w:p w:rsidR="00FD6CCF" w:rsidRPr="00626C97" w:rsidP="00626C97" w14:paraId="3310216D" w14:textId="150D1E12">
      <w:pPr>
        <w:widowControl/>
        <w:autoSpaceDE/>
        <w:autoSpaceDN/>
        <w:adjustRightInd/>
        <w:spacing w:line="276" w:lineRule="auto"/>
        <w:contextualSpacing/>
        <w:rPr>
          <w:rFonts w:ascii="Times New Roman" w:hAnsi="Times New Roman"/>
          <w:color w:val="000000" w:themeColor="text1"/>
        </w:rPr>
      </w:pPr>
      <w:r w:rsidRPr="00626C97">
        <w:rPr>
          <w:rFonts w:ascii="Times New Roman" w:hAnsi="Times New Roman"/>
          <w:color w:val="000000" w:themeColor="text1"/>
        </w:rPr>
        <w:t xml:space="preserve">For generalizable quantitative </w:t>
      </w:r>
      <w:r w:rsidRPr="00626C97" w:rsidR="00CA28A6">
        <w:rPr>
          <w:rFonts w:ascii="Times New Roman" w:hAnsi="Times New Roman"/>
          <w:color w:val="000000" w:themeColor="text1"/>
        </w:rPr>
        <w:t>surveys</w:t>
      </w:r>
      <w:r w:rsidRPr="00626C97">
        <w:rPr>
          <w:rFonts w:ascii="Times New Roman" w:hAnsi="Times New Roman"/>
          <w:color w:val="000000" w:themeColor="text1"/>
        </w:rPr>
        <w:t xml:space="preserve"> </w:t>
      </w:r>
      <w:r w:rsidRPr="00626C97" w:rsidR="00BB0BC6">
        <w:rPr>
          <w:rFonts w:ascii="Times New Roman" w:hAnsi="Times New Roman"/>
          <w:color w:val="000000" w:themeColor="text1"/>
        </w:rPr>
        <w:t>the program</w:t>
      </w:r>
      <w:r w:rsidRPr="00626C97" w:rsidR="00B02A36">
        <w:rPr>
          <w:rFonts w:ascii="Times New Roman" w:hAnsi="Times New Roman"/>
          <w:color w:val="000000" w:themeColor="text1"/>
        </w:rPr>
        <w:t xml:space="preserve"> will rely on post-collection weighting </w:t>
      </w:r>
      <w:r w:rsidRPr="00626C97" w:rsidR="000956F2">
        <w:rPr>
          <w:rFonts w:ascii="Times New Roman" w:hAnsi="Times New Roman"/>
          <w:color w:val="000000" w:themeColor="text1"/>
        </w:rPr>
        <w:t xml:space="preserve">estimation procedures to improve the accuracy and generalizability of results to the desired </w:t>
      </w:r>
      <w:r w:rsidRPr="00626C97" w:rsidR="000956F2">
        <w:rPr>
          <w:rFonts w:ascii="Times New Roman" w:hAnsi="Times New Roman"/>
          <w:color w:val="000000" w:themeColor="text1"/>
        </w:rPr>
        <w:t xml:space="preserve">sampling universe. </w:t>
      </w:r>
      <w:r w:rsidRPr="00626C97" w:rsidR="00AF3343">
        <w:rPr>
          <w:rFonts w:ascii="Times New Roman" w:hAnsi="Times New Roman"/>
          <w:color w:val="000000" w:themeColor="text1"/>
        </w:rPr>
        <w:t xml:space="preserve">Inverse probability weighting </w:t>
      </w:r>
      <w:r w:rsidRPr="00626C97" w:rsidR="000869D3">
        <w:rPr>
          <w:rFonts w:ascii="Times New Roman" w:hAnsi="Times New Roman"/>
          <w:color w:val="000000" w:themeColor="text1"/>
        </w:rPr>
        <w:t>procedures (</w:t>
      </w:r>
      <w:r w:rsidRPr="00626C97" w:rsidR="001E3A48">
        <w:rPr>
          <w:rFonts w:ascii="Times New Roman" w:hAnsi="Times New Roman"/>
          <w:color w:val="000000" w:themeColor="text1"/>
        </w:rPr>
        <w:t>where the</w:t>
      </w:r>
      <w:r w:rsidRPr="00626C97" w:rsidR="00AF3343">
        <w:rPr>
          <w:rFonts w:ascii="Times New Roman" w:hAnsi="Times New Roman"/>
          <w:color w:val="000000" w:themeColor="text1"/>
        </w:rPr>
        <w:t xml:space="preserve"> inverse probability of </w:t>
      </w:r>
      <w:r w:rsidRPr="00626C97" w:rsidR="001E3A48">
        <w:rPr>
          <w:rFonts w:ascii="Times New Roman" w:hAnsi="Times New Roman"/>
          <w:color w:val="000000" w:themeColor="text1"/>
        </w:rPr>
        <w:t>being selected</w:t>
      </w:r>
      <w:r w:rsidRPr="00626C97" w:rsidR="00AF3343">
        <w:rPr>
          <w:rFonts w:ascii="Times New Roman" w:hAnsi="Times New Roman"/>
          <w:color w:val="000000" w:themeColor="text1"/>
        </w:rPr>
        <w:t xml:space="preserve"> based on the sampling fram</w:t>
      </w:r>
      <w:r w:rsidRPr="00626C97" w:rsidR="001E3A48">
        <w:rPr>
          <w:rFonts w:ascii="Times New Roman" w:hAnsi="Times New Roman"/>
          <w:color w:val="000000" w:themeColor="text1"/>
        </w:rPr>
        <w:t>e) will be used to construct weights</w:t>
      </w:r>
      <w:r w:rsidRPr="00626C97" w:rsidR="00AF3343">
        <w:rPr>
          <w:rFonts w:ascii="Times New Roman" w:hAnsi="Times New Roman"/>
          <w:color w:val="000000" w:themeColor="text1"/>
        </w:rPr>
        <w:t>.</w:t>
      </w:r>
      <w:r>
        <w:rPr>
          <w:rStyle w:val="FootnoteReference"/>
          <w:rFonts w:ascii="Times New Roman" w:hAnsi="Times New Roman"/>
          <w:color w:val="000000" w:themeColor="text1"/>
          <w:vertAlign w:val="superscript"/>
        </w:rPr>
        <w:footnoteReference w:id="2"/>
      </w:r>
      <w:r w:rsidRPr="00626C97" w:rsidR="00AF3343">
        <w:rPr>
          <w:rFonts w:ascii="Times New Roman" w:hAnsi="Times New Roman"/>
          <w:color w:val="000000" w:themeColor="text1"/>
        </w:rPr>
        <w:t xml:space="preserve"> </w:t>
      </w:r>
      <w:r w:rsidRPr="00626C97" w:rsidR="00FA29FB">
        <w:rPr>
          <w:rFonts w:ascii="Times New Roman" w:hAnsi="Times New Roman"/>
          <w:color w:val="000000" w:themeColor="text1"/>
        </w:rPr>
        <w:t>As each</w:t>
      </w:r>
      <w:r w:rsidRPr="00626C97" w:rsidR="00EC78FF">
        <w:rPr>
          <w:rFonts w:ascii="Times New Roman" w:hAnsi="Times New Roman"/>
          <w:color w:val="000000" w:themeColor="text1"/>
        </w:rPr>
        <w:t xml:space="preserve"> stratum</w:t>
      </w:r>
      <w:r w:rsidRPr="00626C97" w:rsidR="00FA29FB">
        <w:rPr>
          <w:rFonts w:ascii="Times New Roman" w:hAnsi="Times New Roman"/>
          <w:color w:val="000000" w:themeColor="text1"/>
        </w:rPr>
        <w:t xml:space="preserve"> will contain a mutually exclusive </w:t>
      </w:r>
      <w:r w:rsidRPr="00626C97" w:rsidR="00EC78FF">
        <w:rPr>
          <w:rFonts w:ascii="Times New Roman" w:hAnsi="Times New Roman"/>
          <w:color w:val="000000" w:themeColor="text1"/>
        </w:rPr>
        <w:t>sampling frame, t</w:t>
      </w:r>
      <w:r w:rsidRPr="00626C97" w:rsidR="001E3A48">
        <w:rPr>
          <w:rFonts w:ascii="Times New Roman" w:hAnsi="Times New Roman"/>
          <w:color w:val="000000" w:themeColor="text1"/>
        </w:rPr>
        <w:t>his procedure will be repeated to generate stratum specific weight</w:t>
      </w:r>
      <w:r w:rsidRPr="00626C97" w:rsidR="00AA6941">
        <w:rPr>
          <w:rFonts w:ascii="Times New Roman" w:hAnsi="Times New Roman"/>
          <w:color w:val="000000" w:themeColor="text1"/>
        </w:rPr>
        <w:t>s</w:t>
      </w:r>
      <w:r w:rsidRPr="00626C97" w:rsidR="00075276">
        <w:rPr>
          <w:rFonts w:ascii="Times New Roman" w:hAnsi="Times New Roman"/>
          <w:color w:val="000000" w:themeColor="text1"/>
        </w:rPr>
        <w:t xml:space="preserve">. </w:t>
      </w:r>
    </w:p>
    <w:p w:rsidR="00AA6941" w:rsidRPr="00626C97" w:rsidP="00626C97" w14:paraId="4B3C26FE" w14:textId="77777777">
      <w:pPr>
        <w:widowControl/>
        <w:autoSpaceDE/>
        <w:autoSpaceDN/>
        <w:adjustRightInd/>
        <w:spacing w:line="276" w:lineRule="auto"/>
        <w:contextualSpacing/>
        <w:rPr>
          <w:rFonts w:ascii="Times New Roman" w:eastAsia="Calibri" w:hAnsi="Times New Roman"/>
          <w:color w:val="000000" w:themeColor="text1"/>
        </w:rPr>
      </w:pPr>
    </w:p>
    <w:p w:rsidR="00FD6CCF" w:rsidRPr="00626C97" w:rsidP="00626C97" w14:paraId="0CDF301D" w14:textId="1D610DF4">
      <w:pPr>
        <w:widowControl/>
        <w:autoSpaceDE/>
        <w:autoSpaceDN/>
        <w:adjustRightInd/>
        <w:spacing w:line="276" w:lineRule="auto"/>
        <w:contextualSpacing/>
        <w:rPr>
          <w:rFonts w:ascii="Times New Roman" w:eastAsia="Calibri" w:hAnsi="Times New Roman"/>
          <w:b/>
          <w:bCs/>
          <w:i/>
          <w:iCs/>
          <w:color w:val="000000" w:themeColor="text1"/>
        </w:rPr>
      </w:pPr>
      <w:r w:rsidRPr="00626C97">
        <w:rPr>
          <w:rFonts w:ascii="Times New Roman" w:eastAsia="Calibri" w:hAnsi="Times New Roman"/>
          <w:b/>
          <w:bCs/>
          <w:i/>
          <w:iCs/>
          <w:color w:val="000000" w:themeColor="text1"/>
        </w:rPr>
        <w:t xml:space="preserve">Table 2. </w:t>
      </w:r>
      <w:r w:rsidRPr="00626C97" w:rsidR="00412132">
        <w:rPr>
          <w:rFonts w:ascii="Times New Roman" w:eastAsia="Calibri" w:hAnsi="Times New Roman"/>
          <w:b/>
          <w:bCs/>
          <w:i/>
          <w:iCs/>
          <w:color w:val="000000" w:themeColor="text1"/>
        </w:rPr>
        <w:t xml:space="preserve">Example </w:t>
      </w:r>
      <w:r w:rsidRPr="00626C97">
        <w:rPr>
          <w:rFonts w:ascii="Times New Roman" w:eastAsia="Calibri" w:hAnsi="Times New Roman"/>
          <w:b/>
          <w:bCs/>
          <w:i/>
          <w:iCs/>
          <w:color w:val="000000" w:themeColor="text1"/>
        </w:rPr>
        <w:t>Base Weight Construction for National Sample</w:t>
      </w:r>
    </w:p>
    <w:tbl>
      <w:tblPr>
        <w:tblStyle w:val="GridTable3"/>
        <w:tblW w:w="0" w:type="auto"/>
        <w:tblLook w:val="04A0"/>
      </w:tblPr>
      <w:tblGrid>
        <w:gridCol w:w="2157"/>
        <w:gridCol w:w="2158"/>
        <w:gridCol w:w="2157"/>
        <w:gridCol w:w="2158"/>
      </w:tblGrid>
      <w:tr w14:paraId="2C4D271C" w14:textId="77777777" w:rsidTr="00315217">
        <w:tblPrEx>
          <w:tblW w:w="0" w:type="auto"/>
          <w:tblLook w:val="04A0"/>
        </w:tblPrEx>
        <w:tc>
          <w:tcPr>
            <w:tcW w:w="2157" w:type="dxa"/>
          </w:tcPr>
          <w:p w:rsidR="00FD6CCF" w:rsidRPr="00626C97" w:rsidP="00626C97" w14:paraId="69457005" w14:textId="77777777">
            <w:pPr>
              <w:widowControl/>
              <w:autoSpaceDE/>
              <w:autoSpaceDN/>
              <w:adjustRightInd/>
              <w:spacing w:line="276" w:lineRule="auto"/>
              <w:contextualSpacing/>
              <w:jc w:val="center"/>
              <w:rPr>
                <w:rFonts w:ascii="Times New Roman" w:eastAsia="Calibri" w:hAnsi="Times New Roman"/>
                <w:color w:val="000000" w:themeColor="text1"/>
              </w:rPr>
            </w:pPr>
          </w:p>
        </w:tc>
        <w:tc>
          <w:tcPr>
            <w:tcW w:w="2158" w:type="dxa"/>
          </w:tcPr>
          <w:p w:rsidR="00FD6CCF" w:rsidRPr="00626C97" w:rsidP="00626C97" w14:paraId="27E76575" w14:textId="045F24B8">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Sample Size</w:t>
            </w:r>
          </w:p>
        </w:tc>
        <w:tc>
          <w:tcPr>
            <w:tcW w:w="2157" w:type="dxa"/>
          </w:tcPr>
          <w:p w:rsidR="00FD6CCF" w:rsidRPr="00626C97" w:rsidP="00626C97" w14:paraId="732BF3B8" w14:textId="0D0D68A1">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Selection Probability</w:t>
            </w:r>
          </w:p>
        </w:tc>
        <w:tc>
          <w:tcPr>
            <w:tcW w:w="2158" w:type="dxa"/>
          </w:tcPr>
          <w:p w:rsidR="00FD6CCF" w:rsidRPr="00626C97" w:rsidP="00626C97" w14:paraId="7831DF37"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Weight</w:t>
            </w:r>
          </w:p>
        </w:tc>
      </w:tr>
      <w:tr w14:paraId="754FB571" w14:textId="77777777" w:rsidTr="00315217">
        <w:tblPrEx>
          <w:tblW w:w="0" w:type="auto"/>
          <w:tblLook w:val="04A0"/>
        </w:tblPrEx>
        <w:tc>
          <w:tcPr>
            <w:tcW w:w="2157" w:type="dxa"/>
          </w:tcPr>
          <w:p w:rsidR="00FD6CCF" w:rsidRPr="00626C97" w:rsidP="00626C97" w14:paraId="26E226D4" w14:textId="3C2D4022">
            <w:pPr>
              <w:widowControl/>
              <w:autoSpaceDE/>
              <w:autoSpaceDN/>
              <w:adjustRightInd/>
              <w:spacing w:line="276" w:lineRule="auto"/>
              <w:contextualSpacing/>
              <w:rPr>
                <w:rFonts w:ascii="Times New Roman" w:eastAsia="Calibri" w:hAnsi="Times New Roman"/>
                <w:color w:val="000000" w:themeColor="text1"/>
              </w:rPr>
            </w:pPr>
            <w:r w:rsidRPr="00626C97">
              <w:rPr>
                <w:rFonts w:ascii="Times New Roman" w:eastAsia="Calibri" w:hAnsi="Times New Roman"/>
                <w:color w:val="000000" w:themeColor="text1"/>
              </w:rPr>
              <w:t>FEMA Region 1</w:t>
            </w:r>
          </w:p>
        </w:tc>
        <w:tc>
          <w:tcPr>
            <w:tcW w:w="2158" w:type="dxa"/>
          </w:tcPr>
          <w:p w:rsidR="00FD6CCF" w:rsidRPr="00626C97" w:rsidP="00626C97" w14:paraId="4CF85BB2"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X</w:t>
            </w:r>
            <w:r w:rsidRPr="00626C97">
              <w:rPr>
                <w:rFonts w:ascii="Times New Roman" w:eastAsia="Calibri" w:hAnsi="Times New Roman"/>
                <w:color w:val="000000" w:themeColor="text1"/>
                <w:vertAlign w:val="subscript"/>
              </w:rPr>
              <w:t>1</w:t>
            </w:r>
          </w:p>
        </w:tc>
        <w:tc>
          <w:tcPr>
            <w:tcW w:w="2157" w:type="dxa"/>
          </w:tcPr>
          <w:p w:rsidR="00FD6CCF" w:rsidRPr="00626C97" w:rsidP="00626C97" w14:paraId="6EE29CD8"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X</w:t>
            </w:r>
            <w:r w:rsidRPr="00626C97">
              <w:rPr>
                <w:rFonts w:ascii="Times New Roman" w:eastAsia="Calibri" w:hAnsi="Times New Roman"/>
                <w:color w:val="000000" w:themeColor="text1"/>
                <w:vertAlign w:val="subscript"/>
              </w:rPr>
              <w:t>1</w:t>
            </w:r>
            <w:r w:rsidRPr="00626C97">
              <w:rPr>
                <w:rFonts w:ascii="Times New Roman" w:eastAsia="Calibri" w:hAnsi="Times New Roman"/>
                <w:color w:val="000000" w:themeColor="text1"/>
              </w:rPr>
              <w:t xml:space="preserve"> /Y = p</w:t>
            </w:r>
            <w:r w:rsidRPr="00626C97">
              <w:rPr>
                <w:rFonts w:ascii="Times New Roman" w:eastAsia="Calibri" w:hAnsi="Times New Roman"/>
                <w:color w:val="000000" w:themeColor="text1"/>
                <w:vertAlign w:val="subscript"/>
              </w:rPr>
              <w:t>1</w:t>
            </w:r>
          </w:p>
        </w:tc>
        <w:tc>
          <w:tcPr>
            <w:tcW w:w="2158" w:type="dxa"/>
          </w:tcPr>
          <w:p w:rsidR="00FD6CCF" w:rsidRPr="00626C97" w:rsidP="00626C97" w14:paraId="06A7FADD"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1/p</w:t>
            </w:r>
            <w:r w:rsidRPr="00626C97">
              <w:rPr>
                <w:rFonts w:ascii="Times New Roman" w:eastAsia="Calibri" w:hAnsi="Times New Roman"/>
                <w:color w:val="000000" w:themeColor="text1"/>
                <w:vertAlign w:val="subscript"/>
              </w:rPr>
              <w:t>1=</w:t>
            </w:r>
            <w:r w:rsidRPr="00626C97">
              <w:rPr>
                <w:rFonts w:ascii="Times New Roman" w:eastAsia="Calibri" w:hAnsi="Times New Roman"/>
                <w:color w:val="000000" w:themeColor="text1"/>
              </w:rPr>
              <w:t>= w</w:t>
            </w:r>
            <w:r w:rsidRPr="00626C97">
              <w:rPr>
                <w:rFonts w:ascii="Times New Roman" w:eastAsia="Calibri" w:hAnsi="Times New Roman"/>
                <w:color w:val="000000" w:themeColor="text1"/>
                <w:vertAlign w:val="subscript"/>
              </w:rPr>
              <w:t>1</w:t>
            </w:r>
          </w:p>
        </w:tc>
      </w:tr>
      <w:tr w14:paraId="0AC212DD" w14:textId="77777777" w:rsidTr="00315217">
        <w:tblPrEx>
          <w:tblW w:w="0" w:type="auto"/>
          <w:tblLook w:val="04A0"/>
        </w:tblPrEx>
        <w:tc>
          <w:tcPr>
            <w:tcW w:w="2157" w:type="dxa"/>
          </w:tcPr>
          <w:p w:rsidR="00FD6CCF" w:rsidRPr="00626C97" w:rsidP="00626C97" w14:paraId="0DF0A2FF" w14:textId="0E0E032F">
            <w:pPr>
              <w:widowControl/>
              <w:autoSpaceDE/>
              <w:autoSpaceDN/>
              <w:adjustRightInd/>
              <w:spacing w:line="276" w:lineRule="auto"/>
              <w:contextualSpacing/>
              <w:rPr>
                <w:rFonts w:ascii="Times New Roman" w:eastAsia="Calibri" w:hAnsi="Times New Roman"/>
                <w:color w:val="000000" w:themeColor="text1"/>
              </w:rPr>
            </w:pPr>
            <w:r w:rsidRPr="00626C97">
              <w:rPr>
                <w:rFonts w:ascii="Times New Roman" w:eastAsia="Calibri" w:hAnsi="Times New Roman"/>
                <w:color w:val="000000" w:themeColor="text1"/>
              </w:rPr>
              <w:t>FEMA Region 2</w:t>
            </w:r>
          </w:p>
        </w:tc>
        <w:tc>
          <w:tcPr>
            <w:tcW w:w="2158" w:type="dxa"/>
          </w:tcPr>
          <w:p w:rsidR="00FD6CCF" w:rsidRPr="00626C97" w:rsidP="00626C97" w14:paraId="63A9B653"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X</w:t>
            </w:r>
            <w:r w:rsidRPr="00626C97">
              <w:rPr>
                <w:rFonts w:ascii="Times New Roman" w:eastAsia="Calibri" w:hAnsi="Times New Roman"/>
                <w:color w:val="000000" w:themeColor="text1"/>
                <w:vertAlign w:val="subscript"/>
              </w:rPr>
              <w:t>2</w:t>
            </w:r>
          </w:p>
        </w:tc>
        <w:tc>
          <w:tcPr>
            <w:tcW w:w="2157" w:type="dxa"/>
          </w:tcPr>
          <w:p w:rsidR="00FD6CCF" w:rsidRPr="00626C97" w:rsidP="00626C97" w14:paraId="00C47602"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X</w:t>
            </w:r>
            <w:r w:rsidRPr="00626C97">
              <w:rPr>
                <w:rFonts w:ascii="Times New Roman" w:eastAsia="Calibri" w:hAnsi="Times New Roman"/>
                <w:color w:val="000000" w:themeColor="text1"/>
                <w:vertAlign w:val="subscript"/>
              </w:rPr>
              <w:t>2</w:t>
            </w:r>
            <w:r w:rsidRPr="00626C97">
              <w:rPr>
                <w:rFonts w:ascii="Times New Roman" w:eastAsia="Calibri" w:hAnsi="Times New Roman"/>
                <w:color w:val="000000" w:themeColor="text1"/>
              </w:rPr>
              <w:t xml:space="preserve"> /Y = p</w:t>
            </w:r>
            <w:r w:rsidRPr="00626C97">
              <w:rPr>
                <w:rFonts w:ascii="Times New Roman" w:eastAsia="Calibri" w:hAnsi="Times New Roman"/>
                <w:color w:val="000000" w:themeColor="text1"/>
                <w:vertAlign w:val="subscript"/>
              </w:rPr>
              <w:t>2</w:t>
            </w:r>
          </w:p>
        </w:tc>
        <w:tc>
          <w:tcPr>
            <w:tcW w:w="2158" w:type="dxa"/>
          </w:tcPr>
          <w:p w:rsidR="00FD6CCF" w:rsidRPr="00626C97" w:rsidP="00626C97" w14:paraId="0BEFD4C4"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1/p</w:t>
            </w:r>
            <w:r w:rsidRPr="00626C97">
              <w:rPr>
                <w:rFonts w:ascii="Times New Roman" w:eastAsia="Calibri" w:hAnsi="Times New Roman"/>
                <w:color w:val="000000" w:themeColor="text1"/>
                <w:vertAlign w:val="subscript"/>
              </w:rPr>
              <w:t>2=</w:t>
            </w:r>
            <w:r w:rsidRPr="00626C97">
              <w:rPr>
                <w:rFonts w:ascii="Times New Roman" w:eastAsia="Calibri" w:hAnsi="Times New Roman"/>
                <w:color w:val="000000" w:themeColor="text1"/>
              </w:rPr>
              <w:t>= w</w:t>
            </w:r>
            <w:r w:rsidRPr="00626C97">
              <w:rPr>
                <w:rFonts w:ascii="Times New Roman" w:eastAsia="Calibri" w:hAnsi="Times New Roman"/>
                <w:color w:val="000000" w:themeColor="text1"/>
                <w:vertAlign w:val="subscript"/>
              </w:rPr>
              <w:t>2</w:t>
            </w:r>
          </w:p>
        </w:tc>
      </w:tr>
      <w:tr w14:paraId="49EB15E0" w14:textId="77777777" w:rsidTr="00315217">
        <w:tblPrEx>
          <w:tblW w:w="0" w:type="auto"/>
          <w:tblLook w:val="04A0"/>
        </w:tblPrEx>
        <w:tc>
          <w:tcPr>
            <w:tcW w:w="2157" w:type="dxa"/>
          </w:tcPr>
          <w:p w:rsidR="00FD6CCF" w:rsidRPr="00626C97" w:rsidP="00626C97" w14:paraId="525A54FB" w14:textId="77777777">
            <w:pPr>
              <w:widowControl/>
              <w:autoSpaceDE/>
              <w:autoSpaceDN/>
              <w:adjustRightInd/>
              <w:spacing w:line="276" w:lineRule="auto"/>
              <w:contextualSpacing/>
              <w:rPr>
                <w:rFonts w:ascii="Times New Roman" w:eastAsia="Calibri" w:hAnsi="Times New Roman"/>
                <w:color w:val="000000" w:themeColor="text1"/>
              </w:rPr>
            </w:pPr>
            <w:r w:rsidRPr="00626C97">
              <w:rPr>
                <w:rFonts w:ascii="Times New Roman" w:eastAsia="Calibri" w:hAnsi="Times New Roman"/>
                <w:color w:val="000000" w:themeColor="text1"/>
              </w:rPr>
              <w:t>…</w:t>
            </w:r>
          </w:p>
        </w:tc>
        <w:tc>
          <w:tcPr>
            <w:tcW w:w="2158" w:type="dxa"/>
          </w:tcPr>
          <w:p w:rsidR="00FD6CCF" w:rsidRPr="00626C97" w:rsidP="00626C97" w14:paraId="6E7AF537"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w:t>
            </w:r>
          </w:p>
        </w:tc>
        <w:tc>
          <w:tcPr>
            <w:tcW w:w="2157" w:type="dxa"/>
          </w:tcPr>
          <w:p w:rsidR="00FD6CCF" w:rsidRPr="00626C97" w:rsidP="00626C97" w14:paraId="7E1E20D5" w14:textId="77777777">
            <w:pPr>
              <w:widowControl/>
              <w:autoSpaceDE/>
              <w:autoSpaceDN/>
              <w:adjustRightInd/>
              <w:spacing w:line="276" w:lineRule="auto"/>
              <w:contextualSpacing/>
              <w:jc w:val="center"/>
              <w:rPr>
                <w:rFonts w:ascii="Times New Roman" w:eastAsia="Calibri" w:hAnsi="Times New Roman"/>
                <w:color w:val="000000" w:themeColor="text1"/>
              </w:rPr>
            </w:pPr>
          </w:p>
        </w:tc>
        <w:tc>
          <w:tcPr>
            <w:tcW w:w="2158" w:type="dxa"/>
          </w:tcPr>
          <w:p w:rsidR="00FD6CCF" w:rsidRPr="00626C97" w:rsidP="00626C97" w14:paraId="64DE9445" w14:textId="77777777">
            <w:pPr>
              <w:widowControl/>
              <w:autoSpaceDE/>
              <w:autoSpaceDN/>
              <w:adjustRightInd/>
              <w:spacing w:line="276" w:lineRule="auto"/>
              <w:contextualSpacing/>
              <w:jc w:val="center"/>
              <w:rPr>
                <w:rFonts w:ascii="Times New Roman" w:eastAsia="Calibri" w:hAnsi="Times New Roman"/>
                <w:color w:val="000000" w:themeColor="text1"/>
              </w:rPr>
            </w:pPr>
          </w:p>
        </w:tc>
      </w:tr>
      <w:tr w14:paraId="252E0E9F" w14:textId="77777777" w:rsidTr="00315217">
        <w:tblPrEx>
          <w:tblW w:w="0" w:type="auto"/>
          <w:tblLook w:val="04A0"/>
        </w:tblPrEx>
        <w:tc>
          <w:tcPr>
            <w:tcW w:w="2157" w:type="dxa"/>
          </w:tcPr>
          <w:p w:rsidR="00FD6CCF" w:rsidRPr="00626C97" w:rsidP="00626C97" w14:paraId="5AB3010C" w14:textId="03BAC49E">
            <w:pPr>
              <w:widowControl/>
              <w:autoSpaceDE/>
              <w:autoSpaceDN/>
              <w:adjustRightInd/>
              <w:spacing w:line="276" w:lineRule="auto"/>
              <w:contextualSpacing/>
              <w:rPr>
                <w:rFonts w:ascii="Times New Roman" w:eastAsia="Calibri" w:hAnsi="Times New Roman"/>
                <w:color w:val="000000" w:themeColor="text1"/>
              </w:rPr>
            </w:pPr>
            <w:r w:rsidRPr="00626C97">
              <w:rPr>
                <w:rFonts w:ascii="Times New Roman" w:eastAsia="Calibri" w:hAnsi="Times New Roman"/>
                <w:color w:val="000000" w:themeColor="text1"/>
              </w:rPr>
              <w:t>Sampling Universe</w:t>
            </w:r>
          </w:p>
        </w:tc>
        <w:tc>
          <w:tcPr>
            <w:tcW w:w="2158" w:type="dxa"/>
          </w:tcPr>
          <w:p w:rsidR="00FD6CCF" w:rsidRPr="00626C97" w:rsidP="00626C97" w14:paraId="203C1EED" w14:textId="554B606D">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X</w:t>
            </w:r>
            <w:r w:rsidRPr="00626C97">
              <w:rPr>
                <w:rFonts w:ascii="Times New Roman" w:eastAsia="Calibri" w:hAnsi="Times New Roman"/>
                <w:color w:val="000000" w:themeColor="text1"/>
                <w:vertAlign w:val="subscript"/>
              </w:rPr>
              <w:t>all</w:t>
            </w:r>
          </w:p>
        </w:tc>
        <w:tc>
          <w:tcPr>
            <w:tcW w:w="2157" w:type="dxa"/>
          </w:tcPr>
          <w:p w:rsidR="00FD6CCF" w:rsidRPr="00626C97" w:rsidP="00626C97" w14:paraId="3D7B1D59" w14:textId="77777777">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1</w:t>
            </w:r>
          </w:p>
        </w:tc>
        <w:tc>
          <w:tcPr>
            <w:tcW w:w="2158" w:type="dxa"/>
          </w:tcPr>
          <w:p w:rsidR="00FD6CCF" w:rsidRPr="00626C97" w:rsidP="00626C97" w14:paraId="3721C277" w14:textId="6CB89D30">
            <w:pPr>
              <w:widowControl/>
              <w:autoSpaceDE/>
              <w:autoSpaceDN/>
              <w:adjustRightInd/>
              <w:spacing w:line="276" w:lineRule="auto"/>
              <w:contextualSpacing/>
              <w:jc w:val="center"/>
              <w:rPr>
                <w:rFonts w:ascii="Times New Roman" w:eastAsia="Calibri" w:hAnsi="Times New Roman"/>
                <w:color w:val="000000" w:themeColor="text1"/>
              </w:rPr>
            </w:pPr>
            <w:r w:rsidRPr="00626C97">
              <w:rPr>
                <w:rFonts w:ascii="Times New Roman" w:eastAsia="Calibri" w:hAnsi="Times New Roman"/>
                <w:color w:val="000000" w:themeColor="text1"/>
              </w:rPr>
              <w:t>W</w:t>
            </w:r>
            <w:r w:rsidRPr="00626C97">
              <w:rPr>
                <w:rFonts w:ascii="Times New Roman" w:eastAsia="Calibri" w:hAnsi="Times New Roman"/>
                <w:color w:val="000000" w:themeColor="text1"/>
                <w:vertAlign w:val="subscript"/>
              </w:rPr>
              <w:t>all</w:t>
            </w:r>
          </w:p>
        </w:tc>
      </w:tr>
    </w:tbl>
    <w:p w:rsidR="00FD6CCF" w:rsidRPr="00626C97" w:rsidP="00626C97" w14:paraId="72F3B6DC" w14:textId="77777777">
      <w:pPr>
        <w:widowControl/>
        <w:autoSpaceDE/>
        <w:autoSpaceDN/>
        <w:adjustRightInd/>
        <w:spacing w:after="200" w:line="276" w:lineRule="auto"/>
        <w:contextualSpacing/>
        <w:rPr>
          <w:rFonts w:ascii="Times New Roman" w:eastAsia="Calibri" w:hAnsi="Times New Roman"/>
          <w:color w:val="000000" w:themeColor="text1"/>
        </w:rPr>
      </w:pPr>
    </w:p>
    <w:p w:rsidR="00C1654D" w:rsidRPr="00626C97" w:rsidP="00626C97" w14:paraId="038411FF" w14:textId="27DE2FC3">
      <w:pPr>
        <w:widowControl/>
        <w:autoSpaceDE/>
        <w:autoSpaceDN/>
        <w:adjustRightInd/>
        <w:spacing w:line="276" w:lineRule="auto"/>
        <w:contextualSpacing/>
        <w:rPr>
          <w:rFonts w:ascii="Times New Roman" w:hAnsi="Times New Roman"/>
          <w:color w:val="000000" w:themeColor="text1"/>
        </w:rPr>
      </w:pPr>
      <w:r w:rsidRPr="00626C97">
        <w:rPr>
          <w:rFonts w:ascii="Times New Roman" w:hAnsi="Times New Roman"/>
          <w:color w:val="000000" w:themeColor="text1"/>
        </w:rPr>
        <w:t xml:space="preserve">Additionally, post stratification techniques such as </w:t>
      </w:r>
      <w:r w:rsidRPr="00626C97" w:rsidR="00150622">
        <w:rPr>
          <w:rFonts w:ascii="Times New Roman" w:hAnsi="Times New Roman"/>
          <w:color w:val="000000" w:themeColor="text1"/>
        </w:rPr>
        <w:t xml:space="preserve">raking </w:t>
      </w:r>
      <w:r w:rsidRPr="00626C97" w:rsidR="00E572A2">
        <w:rPr>
          <w:rFonts w:ascii="Times New Roman" w:hAnsi="Times New Roman"/>
          <w:color w:val="000000" w:themeColor="text1"/>
        </w:rPr>
        <w:t xml:space="preserve">and imputation may be used to account for </w:t>
      </w:r>
      <w:r w:rsidRPr="00626C97" w:rsidR="004F7444">
        <w:rPr>
          <w:rFonts w:ascii="Times New Roman" w:hAnsi="Times New Roman"/>
          <w:color w:val="000000" w:themeColor="text1"/>
        </w:rPr>
        <w:t>known</w:t>
      </w:r>
      <w:r w:rsidRPr="00626C97" w:rsidR="00E572A2">
        <w:rPr>
          <w:rFonts w:ascii="Times New Roman" w:hAnsi="Times New Roman"/>
          <w:color w:val="000000" w:themeColor="text1"/>
        </w:rPr>
        <w:t xml:space="preserve"> bias inherent in </w:t>
      </w:r>
      <w:r w:rsidRPr="00626C97" w:rsidR="002254F8">
        <w:rPr>
          <w:rFonts w:ascii="Times New Roman" w:hAnsi="Times New Roman"/>
          <w:color w:val="000000" w:themeColor="text1"/>
        </w:rPr>
        <w:t xml:space="preserve">surveys of this type. </w:t>
      </w:r>
    </w:p>
    <w:p w:rsidR="00991AF1" w:rsidRPr="00626C97" w:rsidP="00626C97" w14:paraId="2EED8B88" w14:textId="58017FFA">
      <w:pPr>
        <w:pStyle w:val="ListParagraph"/>
        <w:widowControl/>
        <w:numPr>
          <w:ilvl w:val="0"/>
          <w:numId w:val="6"/>
        </w:numPr>
        <w:autoSpaceDE/>
        <w:autoSpaceDN/>
        <w:adjustRightInd/>
        <w:spacing w:line="276" w:lineRule="auto"/>
        <w:rPr>
          <w:rFonts w:ascii="Times New Roman" w:hAnsi="Times New Roman"/>
          <w:color w:val="000000" w:themeColor="text1"/>
        </w:rPr>
      </w:pPr>
      <w:r w:rsidRPr="00626C97">
        <w:rPr>
          <w:rFonts w:ascii="Times New Roman" w:hAnsi="Times New Roman"/>
          <w:b/>
          <w:bCs/>
          <w:color w:val="000000" w:themeColor="text1"/>
        </w:rPr>
        <w:t>Raking</w:t>
      </w:r>
      <w:r w:rsidRPr="00626C97" w:rsidR="002254F8">
        <w:rPr>
          <w:rFonts w:ascii="Times New Roman" w:hAnsi="Times New Roman"/>
          <w:color w:val="000000" w:themeColor="text1"/>
        </w:rPr>
        <w:t xml:space="preserve"> </w:t>
      </w:r>
      <w:r w:rsidRPr="00626C97" w:rsidR="006C1F81">
        <w:rPr>
          <w:rFonts w:ascii="Times New Roman" w:hAnsi="Times New Roman"/>
          <w:color w:val="000000" w:themeColor="text1"/>
        </w:rPr>
        <w:t xml:space="preserve">is an iterative process used to </w:t>
      </w:r>
      <w:r w:rsidRPr="00626C97" w:rsidR="003F066F">
        <w:rPr>
          <w:rFonts w:ascii="Times New Roman" w:hAnsi="Times New Roman"/>
          <w:color w:val="000000" w:themeColor="text1"/>
        </w:rPr>
        <w:t xml:space="preserve">ensure that weights are consistent with population estimates with </w:t>
      </w:r>
      <w:r w:rsidRPr="00626C97" w:rsidR="00E23153">
        <w:rPr>
          <w:rFonts w:ascii="Times New Roman" w:hAnsi="Times New Roman"/>
          <w:color w:val="000000" w:themeColor="text1"/>
        </w:rPr>
        <w:t>regards to known socio-demographic factors such as age</w:t>
      </w:r>
      <w:r w:rsidRPr="00626C97" w:rsidR="00AD6893">
        <w:rPr>
          <w:rFonts w:ascii="Times New Roman" w:hAnsi="Times New Roman"/>
          <w:color w:val="000000" w:themeColor="text1"/>
        </w:rPr>
        <w:t xml:space="preserve">, education level, and </w:t>
      </w:r>
      <w:r w:rsidRPr="00626C97" w:rsidR="00E23153">
        <w:rPr>
          <w:rFonts w:ascii="Times New Roman" w:hAnsi="Times New Roman"/>
          <w:color w:val="000000" w:themeColor="text1"/>
        </w:rPr>
        <w:t>race/ethnicity.</w:t>
      </w:r>
      <w:r w:rsidRPr="00626C97" w:rsidR="00AD6893">
        <w:rPr>
          <w:rFonts w:ascii="Times New Roman" w:hAnsi="Times New Roman"/>
          <w:color w:val="000000" w:themeColor="text1"/>
        </w:rPr>
        <w:t xml:space="preserve"> </w:t>
      </w:r>
      <w:r w:rsidRPr="00626C97" w:rsidR="00BB614D">
        <w:rPr>
          <w:rFonts w:ascii="Times New Roman" w:hAnsi="Times New Roman"/>
          <w:color w:val="000000" w:themeColor="text1"/>
        </w:rPr>
        <w:t>Population distribution estimates will be based on the Census 2020.</w:t>
      </w:r>
      <w:r w:rsidRPr="00626C97" w:rsidR="00224001">
        <w:rPr>
          <w:rFonts w:ascii="Times New Roman" w:hAnsi="Times New Roman"/>
          <w:color w:val="000000" w:themeColor="text1"/>
        </w:rPr>
        <w:t xml:space="preserve"> </w:t>
      </w:r>
      <w:r w:rsidRPr="00626C97" w:rsidR="00BB0BC6">
        <w:rPr>
          <w:rFonts w:ascii="Times New Roman" w:hAnsi="Times New Roman"/>
          <w:color w:val="000000" w:themeColor="text1"/>
        </w:rPr>
        <w:t>The program</w:t>
      </w:r>
      <w:r w:rsidRPr="00626C97">
        <w:rPr>
          <w:rFonts w:ascii="Times New Roman" w:hAnsi="Times New Roman"/>
          <w:color w:val="000000" w:themeColor="text1"/>
        </w:rPr>
        <w:t xml:space="preserve"> anticipate</w:t>
      </w:r>
      <w:r w:rsidRPr="00626C97" w:rsidR="00BB0BC6">
        <w:rPr>
          <w:rFonts w:ascii="Times New Roman" w:hAnsi="Times New Roman"/>
          <w:color w:val="000000" w:themeColor="text1"/>
        </w:rPr>
        <w:t>s</w:t>
      </w:r>
      <w:r w:rsidRPr="00626C97">
        <w:rPr>
          <w:rFonts w:ascii="Times New Roman" w:hAnsi="Times New Roman"/>
          <w:color w:val="000000" w:themeColor="text1"/>
        </w:rPr>
        <w:t xml:space="preserve"> </w:t>
      </w:r>
      <w:r w:rsidRPr="00626C97" w:rsidR="00D51932">
        <w:rPr>
          <w:rFonts w:ascii="Times New Roman" w:hAnsi="Times New Roman"/>
          <w:color w:val="000000" w:themeColor="text1"/>
        </w:rPr>
        <w:t>using</w:t>
      </w:r>
      <w:r w:rsidRPr="00626C97">
        <w:rPr>
          <w:rFonts w:ascii="Times New Roman" w:hAnsi="Times New Roman"/>
          <w:color w:val="000000" w:themeColor="text1"/>
        </w:rPr>
        <w:t xml:space="preserve"> the </w:t>
      </w:r>
      <w:r w:rsidRPr="00626C97">
        <w:rPr>
          <w:rFonts w:ascii="Times New Roman" w:hAnsi="Times New Roman"/>
          <w:i/>
          <w:iCs/>
          <w:color w:val="000000" w:themeColor="text1"/>
        </w:rPr>
        <w:t>anesrake</w:t>
      </w:r>
      <w:r w:rsidRPr="00626C97">
        <w:rPr>
          <w:rFonts w:ascii="Times New Roman" w:hAnsi="Times New Roman"/>
          <w:color w:val="000000" w:themeColor="text1"/>
        </w:rPr>
        <w:t xml:space="preserve"> procedure</w:t>
      </w:r>
      <w:r>
        <w:rPr>
          <w:rFonts w:ascii="Times New Roman" w:hAnsi="Times New Roman"/>
          <w:color w:val="000000" w:themeColor="text1"/>
          <w:vertAlign w:val="superscript"/>
        </w:rPr>
        <w:footnoteReference w:id="3"/>
      </w:r>
      <w:r w:rsidRPr="00626C97">
        <w:rPr>
          <w:rFonts w:ascii="Times New Roman" w:hAnsi="Times New Roman"/>
          <w:color w:val="000000" w:themeColor="text1"/>
        </w:rPr>
        <w:t xml:space="preserve"> in R 3.6.3</w:t>
      </w:r>
      <w:r w:rsidRPr="00626C97">
        <w:rPr>
          <w:rFonts w:ascii="Times New Roman" w:hAnsi="Times New Roman"/>
          <w:color w:val="000000" w:themeColor="text1"/>
        </w:rPr>
        <w:t xml:space="preserve"> </w:t>
      </w:r>
      <w:r w:rsidRPr="00626C97">
        <w:rPr>
          <w:rFonts w:ascii="Times New Roman" w:hAnsi="Times New Roman"/>
          <w:color w:val="000000" w:themeColor="text1"/>
        </w:rPr>
        <w:t xml:space="preserve">since the algorithm performs capping, </w:t>
      </w:r>
      <w:r w:rsidRPr="00626C97" w:rsidR="00245514">
        <w:rPr>
          <w:rFonts w:ascii="Times New Roman" w:hAnsi="Times New Roman"/>
          <w:color w:val="000000" w:themeColor="text1"/>
        </w:rPr>
        <w:t>adjusting</w:t>
      </w:r>
      <w:r w:rsidRPr="00626C97">
        <w:rPr>
          <w:rFonts w:ascii="Times New Roman" w:hAnsi="Times New Roman"/>
          <w:color w:val="000000" w:themeColor="text1"/>
        </w:rPr>
        <w:t xml:space="preserve"> reduce outlier weights that would be larger than anticipated. The algorithm default of 5 was used to as the weight cap. Additionally the </w:t>
      </w:r>
      <w:r w:rsidRPr="00626C97">
        <w:rPr>
          <w:rFonts w:ascii="Times New Roman" w:hAnsi="Times New Roman"/>
          <w:i/>
          <w:iCs/>
          <w:color w:val="000000" w:themeColor="text1"/>
        </w:rPr>
        <w:t>anesrake</w:t>
      </w:r>
      <w:r w:rsidRPr="00626C97">
        <w:rPr>
          <w:rFonts w:ascii="Times New Roman" w:hAnsi="Times New Roman"/>
          <w:color w:val="000000" w:themeColor="text1"/>
        </w:rPr>
        <w:t xml:space="preserve"> package includes a function to quality check that weighting adjustments were appropriately made to match target population proportions. </w:t>
      </w:r>
    </w:p>
    <w:p w:rsidR="00CB3295" w:rsidRPr="00626C97" w:rsidP="00626C97" w14:paraId="2D74CA2F" w14:textId="1DEA2FC5">
      <w:pPr>
        <w:pStyle w:val="ListParagraph"/>
        <w:widowControl/>
        <w:numPr>
          <w:ilvl w:val="0"/>
          <w:numId w:val="6"/>
        </w:numPr>
        <w:autoSpaceDE/>
        <w:autoSpaceDN/>
        <w:adjustRightInd/>
        <w:spacing w:line="276" w:lineRule="auto"/>
        <w:rPr>
          <w:rFonts w:ascii="Times New Roman" w:hAnsi="Times New Roman"/>
          <w:color w:val="000000" w:themeColor="text1"/>
        </w:rPr>
      </w:pPr>
      <w:r w:rsidRPr="00626C97">
        <w:rPr>
          <w:rFonts w:ascii="Times New Roman" w:hAnsi="Times New Roman"/>
          <w:b/>
          <w:bCs/>
          <w:color w:val="000000" w:themeColor="text1"/>
        </w:rPr>
        <w:t xml:space="preserve">Multiple </w:t>
      </w:r>
      <w:r w:rsidRPr="00626C97">
        <w:rPr>
          <w:rFonts w:ascii="Times New Roman" w:hAnsi="Times New Roman"/>
          <w:b/>
          <w:bCs/>
          <w:color w:val="000000" w:themeColor="text1"/>
        </w:rPr>
        <w:t>Imputation</w:t>
      </w:r>
      <w:r w:rsidRPr="00626C97">
        <w:rPr>
          <w:rFonts w:ascii="Times New Roman" w:hAnsi="Times New Roman"/>
          <w:b/>
          <w:bCs/>
          <w:color w:val="000000" w:themeColor="text1"/>
        </w:rPr>
        <w:t xml:space="preserve"> </w:t>
      </w:r>
      <w:r w:rsidRPr="00626C97">
        <w:rPr>
          <w:rFonts w:ascii="Times New Roman" w:hAnsi="Times New Roman"/>
          <w:color w:val="000000" w:themeColor="text1"/>
        </w:rPr>
        <w:t xml:space="preserve">techniques may be </w:t>
      </w:r>
      <w:r w:rsidRPr="00626C97" w:rsidR="007900FD">
        <w:rPr>
          <w:rFonts w:ascii="Times New Roman" w:hAnsi="Times New Roman"/>
          <w:color w:val="000000" w:themeColor="text1"/>
        </w:rPr>
        <w:t>employed</w:t>
      </w:r>
      <w:r w:rsidRPr="00626C97" w:rsidR="00913539">
        <w:rPr>
          <w:rFonts w:ascii="Times New Roman" w:hAnsi="Times New Roman"/>
          <w:color w:val="000000" w:themeColor="text1"/>
        </w:rPr>
        <w:t xml:space="preserve"> </w:t>
      </w:r>
      <w:r w:rsidRPr="00626C97">
        <w:rPr>
          <w:rFonts w:ascii="Times New Roman" w:hAnsi="Times New Roman"/>
          <w:color w:val="000000" w:themeColor="text1"/>
        </w:rPr>
        <w:t xml:space="preserve">to </w:t>
      </w:r>
      <w:r w:rsidRPr="00626C97" w:rsidR="007900FD">
        <w:rPr>
          <w:rFonts w:ascii="Times New Roman" w:hAnsi="Times New Roman"/>
          <w:color w:val="000000" w:themeColor="text1"/>
        </w:rPr>
        <w:t>control</w:t>
      </w:r>
      <w:r w:rsidRPr="00626C97">
        <w:rPr>
          <w:rFonts w:ascii="Times New Roman" w:hAnsi="Times New Roman"/>
          <w:color w:val="000000" w:themeColor="text1"/>
        </w:rPr>
        <w:t xml:space="preserve"> for item non-response bias </w:t>
      </w:r>
      <w:r w:rsidRPr="00626C97" w:rsidR="007900FD">
        <w:rPr>
          <w:rFonts w:ascii="Times New Roman" w:hAnsi="Times New Roman"/>
          <w:color w:val="000000" w:themeColor="text1"/>
        </w:rPr>
        <w:t xml:space="preserve">by accounting </w:t>
      </w:r>
      <w:r w:rsidRPr="00626C97">
        <w:rPr>
          <w:rFonts w:ascii="Times New Roman" w:hAnsi="Times New Roman"/>
          <w:color w:val="000000" w:themeColor="text1"/>
        </w:rPr>
        <w:t>for missing data.</w:t>
      </w:r>
      <w:r>
        <w:rPr>
          <w:rFonts w:ascii="Times New Roman" w:hAnsi="Times New Roman"/>
          <w:color w:val="000000" w:themeColor="text1"/>
          <w:vertAlign w:val="superscript"/>
        </w:rPr>
        <w:footnoteReference w:id="4"/>
      </w:r>
      <w:r w:rsidRPr="00626C97" w:rsidR="00F1401B">
        <w:rPr>
          <w:rFonts w:ascii="Times New Roman" w:hAnsi="Times New Roman"/>
          <w:color w:val="000000" w:themeColor="text1"/>
          <w:vertAlign w:val="superscript"/>
        </w:rPr>
        <w:t>,</w:t>
      </w:r>
      <w:r>
        <w:rPr>
          <w:rFonts w:ascii="Times New Roman" w:hAnsi="Times New Roman"/>
          <w:color w:val="000000" w:themeColor="text1"/>
          <w:vertAlign w:val="superscript"/>
        </w:rPr>
        <w:footnoteReference w:id="5"/>
      </w:r>
      <w:r w:rsidRPr="00626C97">
        <w:rPr>
          <w:rFonts w:ascii="Times New Roman" w:hAnsi="Times New Roman"/>
          <w:color w:val="000000" w:themeColor="text1"/>
        </w:rPr>
        <w:t xml:space="preserve"> </w:t>
      </w:r>
      <w:r w:rsidRPr="00626C97" w:rsidR="00100787">
        <w:rPr>
          <w:rFonts w:ascii="Times New Roman" w:hAnsi="Times New Roman"/>
          <w:color w:val="000000" w:themeColor="text1"/>
        </w:rPr>
        <w:t>Also, it can help reduce complete case analysis bias if regression methods are used to analyze data.</w:t>
      </w:r>
      <w:r>
        <w:rPr>
          <w:rFonts w:ascii="Times New Roman" w:hAnsi="Times New Roman"/>
          <w:color w:val="000000" w:themeColor="text1"/>
          <w:vertAlign w:val="superscript"/>
        </w:rPr>
        <w:footnoteReference w:id="6"/>
      </w:r>
      <w:r w:rsidRPr="00626C97" w:rsidR="00100787">
        <w:rPr>
          <w:rFonts w:ascii="Times New Roman" w:hAnsi="Times New Roman"/>
          <w:color w:val="000000" w:themeColor="text1"/>
        </w:rPr>
        <w:t xml:space="preserve"> </w:t>
      </w:r>
      <w:r w:rsidRPr="00626C97" w:rsidR="00C42D6A">
        <w:rPr>
          <w:rFonts w:ascii="Times New Roman" w:hAnsi="Times New Roman"/>
          <w:color w:val="000000" w:themeColor="text1"/>
        </w:rPr>
        <w:t xml:space="preserve">In conducting </w:t>
      </w:r>
      <w:r w:rsidRPr="00626C97" w:rsidR="00C1654D">
        <w:rPr>
          <w:rFonts w:ascii="Times New Roman" w:hAnsi="Times New Roman"/>
          <w:color w:val="000000" w:themeColor="text1"/>
        </w:rPr>
        <w:t>imputation,</w:t>
      </w:r>
      <w:r w:rsidRPr="00626C97" w:rsidR="00C42D6A">
        <w:rPr>
          <w:rFonts w:ascii="Times New Roman" w:hAnsi="Times New Roman"/>
          <w:color w:val="000000" w:themeColor="text1"/>
        </w:rPr>
        <w:t xml:space="preserve"> </w:t>
      </w:r>
      <w:r w:rsidRPr="00626C97" w:rsidR="00BB0BC6">
        <w:rPr>
          <w:rFonts w:ascii="Times New Roman" w:hAnsi="Times New Roman"/>
          <w:color w:val="000000" w:themeColor="text1"/>
        </w:rPr>
        <w:t>the program</w:t>
      </w:r>
      <w:r w:rsidRPr="00626C97" w:rsidR="00C42D6A">
        <w:rPr>
          <w:rFonts w:ascii="Times New Roman" w:hAnsi="Times New Roman"/>
          <w:color w:val="000000" w:themeColor="text1"/>
        </w:rPr>
        <w:t xml:space="preserve"> will ensure that</w:t>
      </w:r>
      <w:r w:rsidRPr="00626C97" w:rsidR="00766F86">
        <w:rPr>
          <w:rFonts w:ascii="Times New Roman" w:hAnsi="Times New Roman"/>
          <w:color w:val="000000" w:themeColor="text1"/>
        </w:rPr>
        <w:t xml:space="preserve"> survey skip patter</w:t>
      </w:r>
      <w:r w:rsidRPr="00626C97" w:rsidR="67C7B706">
        <w:rPr>
          <w:rFonts w:ascii="Times New Roman" w:hAnsi="Times New Roman"/>
          <w:color w:val="000000" w:themeColor="text1"/>
        </w:rPr>
        <w:t>n</w:t>
      </w:r>
      <w:r w:rsidRPr="00626C97" w:rsidR="00766F86">
        <w:rPr>
          <w:rFonts w:ascii="Times New Roman" w:hAnsi="Times New Roman"/>
          <w:color w:val="000000" w:themeColor="text1"/>
        </w:rPr>
        <w:t>s are upheld and imputed responses fall within the natural bounds of survey responses</w:t>
      </w:r>
      <w:r w:rsidRPr="00626C97" w:rsidR="00092C10">
        <w:rPr>
          <w:rFonts w:ascii="Times New Roman" w:hAnsi="Times New Roman"/>
          <w:color w:val="000000" w:themeColor="text1"/>
        </w:rPr>
        <w:t xml:space="preserve">. </w:t>
      </w:r>
    </w:p>
    <w:p w:rsidR="00C24C54" w:rsidRPr="00626C97" w:rsidP="00626C97" w14:paraId="25E4EE84" w14:textId="77777777">
      <w:pPr>
        <w:widowControl/>
        <w:autoSpaceDE/>
        <w:autoSpaceDN/>
        <w:adjustRightInd/>
        <w:spacing w:line="276" w:lineRule="auto"/>
        <w:contextualSpacing/>
        <w:rPr>
          <w:rFonts w:ascii="Times New Roman" w:hAnsi="Times New Roman"/>
          <w:color w:val="000000" w:themeColor="text1"/>
          <w:u w:val="single"/>
        </w:rPr>
      </w:pPr>
    </w:p>
    <w:p w:rsidR="00FD6CCF" w:rsidRPr="00626C97" w:rsidP="00626C97" w14:paraId="567AF0B2" w14:textId="625E97FE">
      <w:pPr>
        <w:widowControl/>
        <w:tabs>
          <w:tab w:val="left" w:pos="-720"/>
        </w:tabs>
        <w:suppressAutoHyphens/>
        <w:autoSpaceDE/>
        <w:autoSpaceDN/>
        <w:adjustRightInd/>
        <w:spacing w:line="276" w:lineRule="auto"/>
        <w:contextualSpacing/>
        <w:rPr>
          <w:rFonts w:ascii="Times New Roman" w:hAnsi="Times New Roman"/>
          <w:b/>
          <w:bCs/>
          <w:color w:val="000000" w:themeColor="text1"/>
        </w:rPr>
      </w:pPr>
      <w:r w:rsidRPr="00626C97">
        <w:rPr>
          <w:rFonts w:ascii="Times New Roman" w:hAnsi="Times New Roman"/>
          <w:b/>
          <w:bCs/>
          <w:color w:val="000000" w:themeColor="text1"/>
        </w:rPr>
        <w:t>Degree of accuracy needed for the purpose described in the justification</w:t>
      </w:r>
    </w:p>
    <w:p w:rsidR="00866E70" w:rsidRPr="00626C97" w:rsidP="00626C97" w14:paraId="00F7499D" w14:textId="77777777">
      <w:pPr>
        <w:spacing w:line="276" w:lineRule="auto"/>
        <w:contextualSpacing/>
        <w:jc w:val="both"/>
        <w:rPr>
          <w:rFonts w:ascii="Times New Roman" w:hAnsi="Times New Roman"/>
          <w:color w:val="000000" w:themeColor="text1"/>
          <w:u w:val="single"/>
        </w:rPr>
      </w:pPr>
    </w:p>
    <w:p w:rsidR="00626C97" w:rsidP="00626C97" w14:paraId="4B9AD2FE" w14:textId="77777777">
      <w:pPr>
        <w:spacing w:line="276" w:lineRule="auto"/>
        <w:contextualSpacing/>
        <w:jc w:val="both"/>
        <w:rPr>
          <w:rFonts w:ascii="Times New Roman" w:hAnsi="Times New Roman"/>
          <w:color w:val="000000" w:themeColor="text1"/>
          <w:u w:val="single"/>
        </w:rPr>
      </w:pPr>
    </w:p>
    <w:p w:rsidR="00C1654D" w:rsidRPr="00626C97" w:rsidP="00626C97" w14:paraId="7CB31D7A" w14:textId="759E0E63">
      <w:pPr>
        <w:spacing w:line="276" w:lineRule="auto"/>
        <w:contextualSpacing/>
        <w:jc w:val="both"/>
        <w:rPr>
          <w:rFonts w:ascii="Times New Roman" w:hAnsi="Times New Roman"/>
          <w:color w:val="000000" w:themeColor="text1"/>
          <w:u w:val="single"/>
        </w:rPr>
      </w:pPr>
      <w:r w:rsidRPr="00626C97">
        <w:rPr>
          <w:rFonts w:ascii="Times New Roman" w:hAnsi="Times New Roman"/>
          <w:color w:val="000000" w:themeColor="text1"/>
          <w:u w:val="single"/>
        </w:rPr>
        <w:t>Non-Generalizable Quantitative and Qualitative Data</w:t>
      </w:r>
    </w:p>
    <w:p w:rsidR="00866E70" w:rsidRPr="00626C97" w:rsidP="00626C97" w14:paraId="21717C16" w14:textId="77777777">
      <w:pPr>
        <w:spacing w:line="276" w:lineRule="auto"/>
        <w:contextualSpacing/>
        <w:jc w:val="both"/>
        <w:rPr>
          <w:rFonts w:ascii="Times New Roman" w:hAnsi="Times New Roman"/>
          <w:color w:val="000000" w:themeColor="text1"/>
        </w:rPr>
      </w:pPr>
    </w:p>
    <w:p w:rsidR="00C1654D" w:rsidRPr="00626C97" w:rsidP="00626C97" w14:paraId="7E7EDA36" w14:textId="29CFBC24">
      <w:pPr>
        <w:spacing w:line="276" w:lineRule="auto"/>
        <w:contextualSpacing/>
        <w:jc w:val="both"/>
        <w:rPr>
          <w:rFonts w:ascii="Times New Roman" w:eastAsia="Calibri" w:hAnsi="Times New Roman"/>
          <w:iCs/>
          <w:color w:val="000000" w:themeColor="text1"/>
        </w:rPr>
      </w:pPr>
      <w:r w:rsidRPr="00626C97">
        <w:rPr>
          <w:rFonts w:ascii="Times New Roman" w:hAnsi="Times New Roman"/>
          <w:color w:val="000000" w:themeColor="text1"/>
        </w:rPr>
        <w:t xml:space="preserve">These procedures are not applicable for non-generalizable sampling. </w:t>
      </w:r>
    </w:p>
    <w:p w:rsidR="00C1654D" w:rsidRPr="00626C97" w:rsidP="00626C97" w14:paraId="6386446C" w14:textId="77777777">
      <w:pPr>
        <w:widowControl/>
        <w:autoSpaceDE/>
        <w:autoSpaceDN/>
        <w:adjustRightInd/>
        <w:spacing w:line="276" w:lineRule="auto"/>
        <w:contextualSpacing/>
        <w:rPr>
          <w:rFonts w:ascii="Times New Roman" w:eastAsia="Calibri" w:hAnsi="Times New Roman"/>
          <w:b/>
          <w:bCs/>
          <w:i/>
          <w:color w:val="000000" w:themeColor="text1"/>
        </w:rPr>
      </w:pPr>
    </w:p>
    <w:p w:rsidR="00C1654D" w:rsidRPr="00626C97" w:rsidP="00626C97" w14:paraId="30FBD859" w14:textId="77777777">
      <w:pPr>
        <w:spacing w:line="276" w:lineRule="auto"/>
        <w:contextualSpacing/>
        <w:jc w:val="both"/>
        <w:rPr>
          <w:rFonts w:ascii="Times New Roman" w:hAnsi="Times New Roman"/>
          <w:color w:val="000000" w:themeColor="text1"/>
          <w:u w:val="single"/>
        </w:rPr>
      </w:pPr>
      <w:r w:rsidRPr="00626C97">
        <w:rPr>
          <w:rFonts w:ascii="Times New Roman" w:hAnsi="Times New Roman"/>
          <w:color w:val="000000" w:themeColor="text1"/>
          <w:u w:val="single"/>
        </w:rPr>
        <w:t>Generalizable Quantitative Survey Data</w:t>
      </w:r>
    </w:p>
    <w:p w:rsidR="00866E70" w:rsidRPr="00626C97" w:rsidP="00626C97" w14:paraId="5F22742E" w14:textId="77777777">
      <w:pPr>
        <w:widowControl/>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color w:val="000000" w:themeColor="text1"/>
        </w:rPr>
      </w:pPr>
    </w:p>
    <w:p w:rsidR="00FD6CCF" w:rsidRPr="00626C97" w:rsidP="00626C97" w14:paraId="4570B47B" w14:textId="19B21027">
      <w:pPr>
        <w:widowControl/>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color w:val="000000" w:themeColor="text1"/>
        </w:rPr>
      </w:pPr>
      <w:r w:rsidRPr="00626C97">
        <w:rPr>
          <w:rFonts w:ascii="Times New Roman" w:hAnsi="Times New Roman"/>
          <w:color w:val="000000" w:themeColor="text1"/>
        </w:rPr>
        <w:t xml:space="preserve">For generalizable quantitative surveys </w:t>
      </w:r>
      <w:r w:rsidRPr="00626C97" w:rsidR="00732F5C">
        <w:rPr>
          <w:rFonts w:ascii="Times New Roman" w:hAnsi="Times New Roman"/>
          <w:color w:val="000000" w:themeColor="text1"/>
        </w:rPr>
        <w:t xml:space="preserve">the anticipated degree of accuracy for a 5,000 person (500 survey/FEMA region) </w:t>
      </w:r>
      <w:r w:rsidRPr="00626C97" w:rsidR="0067341A">
        <w:rPr>
          <w:rFonts w:ascii="Times New Roman" w:hAnsi="Times New Roman"/>
          <w:color w:val="000000" w:themeColor="text1"/>
        </w:rPr>
        <w:t xml:space="preserve">is a </w:t>
      </w:r>
      <w:r w:rsidRPr="00626C97" w:rsidR="002C7BC8">
        <w:rPr>
          <w:rFonts w:ascii="Times New Roman" w:hAnsi="Times New Roman"/>
          <w:color w:val="000000" w:themeColor="text1"/>
        </w:rPr>
        <w:t xml:space="preserve">standard </w:t>
      </w:r>
      <w:r w:rsidRPr="00626C97" w:rsidR="0067341A">
        <w:rPr>
          <w:rFonts w:ascii="Times New Roman" w:hAnsi="Times New Roman"/>
          <w:color w:val="000000" w:themeColor="text1"/>
        </w:rPr>
        <w:t>margin of error</w:t>
      </w:r>
      <w:r w:rsidRPr="00626C97" w:rsidR="002C7BC8">
        <w:rPr>
          <w:rFonts w:ascii="Times New Roman" w:hAnsi="Times New Roman"/>
          <w:color w:val="000000" w:themeColor="text1"/>
        </w:rPr>
        <w:t xml:space="preserve"> (MoE)</w:t>
      </w:r>
      <w:r w:rsidRPr="00626C97" w:rsidR="0067341A">
        <w:rPr>
          <w:rFonts w:ascii="Times New Roman" w:hAnsi="Times New Roman"/>
          <w:color w:val="000000" w:themeColor="text1"/>
        </w:rPr>
        <w:t xml:space="preserve"> of ±1.</w:t>
      </w:r>
      <w:r w:rsidRPr="00626C97" w:rsidR="002C7BC8">
        <w:rPr>
          <w:rFonts w:ascii="Times New Roman" w:hAnsi="Times New Roman"/>
          <w:color w:val="000000" w:themeColor="text1"/>
        </w:rPr>
        <w:t>4 percentage points based on the following equation:</w:t>
      </w:r>
    </w:p>
    <w:p w:rsidR="002C7BC8" w:rsidRPr="00626C97" w:rsidP="00626C97" w14:paraId="33874CD6" w14:textId="583852BA">
      <w:pPr>
        <w:widowControl/>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jc w:val="center"/>
        <w:rPr>
          <w:rFonts w:ascii="Times New Roman" w:eastAsia="Calibri" w:hAnsi="Times New Roman"/>
          <w:bCs/>
          <w:color w:val="000000" w:themeColor="text1"/>
        </w:rPr>
      </w:pPr>
      <w:r w:rsidRPr="00626C97">
        <w:rPr>
          <w:rFonts w:ascii="Times New Roman" w:eastAsia="Calibri" w:hAnsi="Times New Roman"/>
          <w:bCs/>
          <w:color w:val="000000" w:themeColor="text1"/>
        </w:rPr>
        <w:t>MoE = 1.96 *</w:t>
      </w:r>
      <m:oMath>
        <m:rad>
          <m:radPr>
            <m:degHide/>
            <m:ctrlPr>
              <w:rPr>
                <w:rFonts w:ascii="Cambria Math" w:eastAsia="Calibri" w:hAnsi="Cambria Math"/>
                <w:bCs/>
                <w:color w:val="000000" w:themeColor="text1"/>
              </w:rPr>
            </m:ctrlPr>
          </m:radPr>
          <m:deg/>
          <m:e>
            <m:r>
              <w:rPr>
                <w:rFonts w:ascii="Cambria Math" w:eastAsia="Calibri" w:hAnsi="Cambria Math"/>
                <w:color w:val="000000" w:themeColor="text1"/>
              </w:rPr>
              <m:t>P</m:t>
            </m:r>
            <m:r>
              <m:rPr>
                <m:sty m:val="p"/>
              </m:rPr>
              <w:rPr>
                <w:rFonts w:ascii="Cambria Math" w:eastAsia="Calibri" w:hAnsi="Cambria Math"/>
                <w:color w:val="000000" w:themeColor="text1"/>
              </w:rPr>
              <m:t>*(1-</m:t>
            </m:r>
            <m:r>
              <w:rPr>
                <w:rFonts w:ascii="Cambria Math" w:eastAsia="Calibri" w:hAnsi="Cambria Math"/>
                <w:color w:val="000000" w:themeColor="text1"/>
              </w:rPr>
              <m:t>P</m:t>
            </m:r>
            <m:r>
              <m:rPr>
                <m:sty m:val="p"/>
              </m:rPr>
              <w:rPr>
                <w:rFonts w:ascii="Cambria Math" w:eastAsia="Calibri" w:hAnsi="Cambria Math"/>
                <w:color w:val="000000" w:themeColor="text1"/>
              </w:rPr>
              <m:t>)/</m:t>
            </m:r>
            <m:r>
              <w:rPr>
                <w:rFonts w:ascii="Cambria Math" w:eastAsia="Calibri" w:hAnsi="Cambria Math"/>
                <w:color w:val="000000" w:themeColor="text1"/>
              </w:rPr>
              <m:t>n</m:t>
            </m:r>
          </m:e>
        </m:rad>
      </m:oMath>
      <w:r w:rsidRPr="00626C97">
        <w:rPr>
          <w:rFonts w:ascii="Times New Roman" w:eastAsia="Calibri" w:hAnsi="Times New Roman"/>
          <w:bCs/>
          <w:color w:val="000000" w:themeColor="text1"/>
        </w:rPr>
        <w:t xml:space="preserve">  </w:t>
      </w:r>
    </w:p>
    <w:p w:rsidR="002C7BC8" w:rsidRPr="00626C97" w:rsidP="00626C97" w14:paraId="1E3F0BEC" w14:textId="77777777">
      <w:pPr>
        <w:widowControl/>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color w:val="000000" w:themeColor="text1"/>
        </w:rPr>
      </w:pPr>
    </w:p>
    <w:p w:rsidR="00C1654D" w:rsidRPr="00626C97" w:rsidP="00626C97" w14:paraId="27478486" w14:textId="47D00042">
      <w:pPr>
        <w:widowControl/>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color w:val="000000" w:themeColor="text1"/>
        </w:rPr>
      </w:pPr>
      <w:r w:rsidRPr="00626C97">
        <w:rPr>
          <w:rFonts w:ascii="Times New Roman" w:hAnsi="Times New Roman"/>
          <w:color w:val="000000" w:themeColor="text1"/>
        </w:rPr>
        <w:t>W</w:t>
      </w:r>
      <w:r w:rsidRPr="00626C97" w:rsidR="00112C2A">
        <w:rPr>
          <w:rFonts w:ascii="Times New Roman" w:hAnsi="Times New Roman"/>
          <w:color w:val="000000" w:themeColor="text1"/>
        </w:rPr>
        <w:t>h</w:t>
      </w:r>
      <w:r w:rsidRPr="00626C97">
        <w:rPr>
          <w:rFonts w:ascii="Times New Roman" w:hAnsi="Times New Roman"/>
          <w:color w:val="000000" w:themeColor="text1"/>
        </w:rPr>
        <w:t xml:space="preserve">ere </w:t>
      </w:r>
      <w:r w:rsidRPr="00626C97" w:rsidR="0066582C">
        <w:rPr>
          <w:rFonts w:ascii="Times New Roman" w:hAnsi="Times New Roman"/>
          <w:i/>
          <w:iCs/>
          <w:color w:val="000000" w:themeColor="text1"/>
        </w:rPr>
        <w:t>n</w:t>
      </w:r>
      <w:r w:rsidRPr="00626C97" w:rsidR="00FA0108">
        <w:rPr>
          <w:rFonts w:ascii="Times New Roman" w:hAnsi="Times New Roman"/>
          <w:color w:val="000000" w:themeColor="text1"/>
        </w:rPr>
        <w:t>=5,000 (number of</w:t>
      </w:r>
      <w:r w:rsidRPr="00626C97" w:rsidR="00914457">
        <w:rPr>
          <w:rFonts w:ascii="Times New Roman" w:hAnsi="Times New Roman"/>
          <w:color w:val="000000" w:themeColor="text1"/>
        </w:rPr>
        <w:t xml:space="preserve"> completed</w:t>
      </w:r>
      <w:r w:rsidRPr="00626C97" w:rsidR="00FA0108">
        <w:rPr>
          <w:rFonts w:ascii="Times New Roman" w:hAnsi="Times New Roman"/>
          <w:color w:val="000000" w:themeColor="text1"/>
        </w:rPr>
        <w:t xml:space="preserve"> surveys)</w:t>
      </w:r>
      <w:r w:rsidRPr="00626C97" w:rsidR="0066582C">
        <w:rPr>
          <w:rFonts w:ascii="Times New Roman" w:hAnsi="Times New Roman"/>
          <w:color w:val="000000" w:themeColor="text1"/>
        </w:rPr>
        <w:t xml:space="preserve"> and </w:t>
      </w:r>
      <w:r w:rsidRPr="00626C97" w:rsidR="0066582C">
        <w:rPr>
          <w:rFonts w:ascii="Times New Roman" w:hAnsi="Times New Roman"/>
          <w:i/>
          <w:iCs/>
          <w:color w:val="000000" w:themeColor="text1"/>
        </w:rPr>
        <w:t>P</w:t>
      </w:r>
      <w:r w:rsidRPr="00626C97" w:rsidR="0066582C">
        <w:rPr>
          <w:rFonts w:ascii="Times New Roman" w:hAnsi="Times New Roman"/>
          <w:color w:val="000000" w:themeColor="text1"/>
        </w:rPr>
        <w:t>=0.5 (</w:t>
      </w:r>
      <w:r w:rsidRPr="00626C97" w:rsidR="00914457">
        <w:rPr>
          <w:rFonts w:ascii="Times New Roman" w:hAnsi="Times New Roman"/>
          <w:color w:val="000000" w:themeColor="text1"/>
        </w:rPr>
        <w:t>sampling proportion)</w:t>
      </w:r>
      <w:r w:rsidRPr="00626C97" w:rsidR="00FA0108">
        <w:rPr>
          <w:rFonts w:ascii="Times New Roman" w:hAnsi="Times New Roman"/>
          <w:color w:val="000000" w:themeColor="text1"/>
        </w:rPr>
        <w:t>.</w:t>
      </w:r>
      <w:r w:rsidRPr="00626C97" w:rsidR="007734F5">
        <w:rPr>
          <w:rFonts w:ascii="Times New Roman" w:hAnsi="Times New Roman"/>
          <w:color w:val="000000" w:themeColor="text1"/>
        </w:rPr>
        <w:t xml:space="preserve"> Estimates will be calculated using a standard statistical software package (e.g., R, SAS, SPSS</w:t>
      </w:r>
      <w:r w:rsidRPr="00626C97" w:rsidR="00112C2A">
        <w:rPr>
          <w:rFonts w:ascii="Times New Roman" w:hAnsi="Times New Roman"/>
          <w:color w:val="000000" w:themeColor="text1"/>
        </w:rPr>
        <w:t>, Stata</w:t>
      </w:r>
      <w:r w:rsidRPr="00626C97" w:rsidR="007734F5">
        <w:rPr>
          <w:rFonts w:ascii="Times New Roman" w:hAnsi="Times New Roman"/>
          <w:color w:val="000000" w:themeColor="text1"/>
        </w:rPr>
        <w:t>)</w:t>
      </w:r>
      <w:r w:rsidRPr="00626C97" w:rsidR="00114172">
        <w:rPr>
          <w:rFonts w:ascii="Times New Roman" w:hAnsi="Times New Roman"/>
          <w:color w:val="000000" w:themeColor="text1"/>
        </w:rPr>
        <w:t xml:space="preserve">. </w:t>
      </w:r>
      <w:r w:rsidRPr="00626C97" w:rsidR="00A46849">
        <w:rPr>
          <w:rFonts w:ascii="Times New Roman" w:hAnsi="Times New Roman"/>
          <w:color w:val="000000" w:themeColor="text1"/>
        </w:rPr>
        <w:t>Using the above calculation the MoE for a 500 persons survey would be ±4.4 percentage points.</w:t>
      </w:r>
    </w:p>
    <w:p w:rsidR="00866E70" w:rsidRPr="00626C97" w:rsidP="00626C97" w14:paraId="11A6C995" w14:textId="77777777">
      <w:pPr>
        <w:widowControl/>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color w:val="000000" w:themeColor="text1"/>
        </w:rPr>
      </w:pPr>
    </w:p>
    <w:p w:rsidR="00FD6CCF" w:rsidRPr="00626C97" w:rsidP="00626C97" w14:paraId="29F266AD" w14:textId="4814C16A">
      <w:pPr>
        <w:widowControl/>
        <w:autoSpaceDE/>
        <w:autoSpaceDN/>
        <w:adjustRightInd/>
        <w:spacing w:before="240" w:line="276" w:lineRule="auto"/>
        <w:contextualSpacing/>
        <w:rPr>
          <w:rFonts w:ascii="Times New Roman" w:hAnsi="Times New Roman"/>
          <w:b/>
          <w:bCs/>
          <w:color w:val="000000" w:themeColor="text1"/>
        </w:rPr>
      </w:pPr>
      <w:r w:rsidRPr="00626C97">
        <w:rPr>
          <w:rFonts w:ascii="Times New Roman" w:hAnsi="Times New Roman"/>
          <w:b/>
          <w:bCs/>
          <w:color w:val="000000" w:themeColor="text1"/>
        </w:rPr>
        <w:t>Unusual problems requiring specialized sampling procedures</w:t>
      </w:r>
    </w:p>
    <w:p w:rsidR="00866E70" w:rsidRPr="00626C97" w:rsidP="00626C97" w14:paraId="6B187242" w14:textId="77777777">
      <w:pPr>
        <w:spacing w:line="276" w:lineRule="auto"/>
        <w:contextualSpacing/>
        <w:jc w:val="both"/>
        <w:rPr>
          <w:rFonts w:ascii="Times New Roman" w:hAnsi="Times New Roman"/>
          <w:color w:val="000000" w:themeColor="text1"/>
        </w:rPr>
      </w:pPr>
    </w:p>
    <w:p w:rsidR="000A4FD9" w:rsidRPr="00626C97" w:rsidP="00626C97" w14:paraId="18203551" w14:textId="37CA6884">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 xml:space="preserve">For both non-generalizable and generalizable </w:t>
      </w:r>
      <w:r w:rsidRPr="00626C97" w:rsidR="005E598F">
        <w:rPr>
          <w:rFonts w:ascii="Times New Roman" w:hAnsi="Times New Roman"/>
          <w:color w:val="000000" w:themeColor="text1"/>
        </w:rPr>
        <w:t>collections</w:t>
      </w:r>
      <w:r w:rsidRPr="00626C97" w:rsidR="00BB0BC6">
        <w:rPr>
          <w:rFonts w:ascii="Times New Roman" w:hAnsi="Times New Roman"/>
          <w:color w:val="000000" w:themeColor="text1"/>
        </w:rPr>
        <w:t xml:space="preserve"> the program</w:t>
      </w:r>
      <w:r w:rsidRPr="00626C97">
        <w:rPr>
          <w:rFonts w:ascii="Times New Roman" w:hAnsi="Times New Roman"/>
          <w:color w:val="000000" w:themeColor="text1"/>
        </w:rPr>
        <w:t xml:space="preserve"> do</w:t>
      </w:r>
      <w:r w:rsidRPr="00626C97" w:rsidR="00BB0BC6">
        <w:rPr>
          <w:rFonts w:ascii="Times New Roman" w:hAnsi="Times New Roman"/>
          <w:color w:val="000000" w:themeColor="text1"/>
        </w:rPr>
        <w:t>es</w:t>
      </w:r>
      <w:r w:rsidRPr="00626C97">
        <w:rPr>
          <w:rFonts w:ascii="Times New Roman" w:hAnsi="Times New Roman"/>
          <w:color w:val="000000" w:themeColor="text1"/>
        </w:rPr>
        <w:t xml:space="preserve"> not anticipate any </w:t>
      </w:r>
      <w:r w:rsidRPr="00626C97" w:rsidR="00BA3A78">
        <w:rPr>
          <w:rFonts w:ascii="Times New Roman" w:hAnsi="Times New Roman"/>
          <w:color w:val="000000" w:themeColor="text1"/>
        </w:rPr>
        <w:t xml:space="preserve">problems requiring specialized sampling procedures. </w:t>
      </w:r>
      <w:r w:rsidRPr="00626C97" w:rsidR="00BB0BC6">
        <w:rPr>
          <w:rFonts w:ascii="Times New Roman" w:hAnsi="Times New Roman"/>
          <w:color w:val="000000" w:themeColor="text1"/>
        </w:rPr>
        <w:t>The program</w:t>
      </w:r>
      <w:r w:rsidRPr="00626C97" w:rsidR="00BA3A78">
        <w:rPr>
          <w:rFonts w:ascii="Times New Roman" w:hAnsi="Times New Roman"/>
          <w:color w:val="000000" w:themeColor="text1"/>
        </w:rPr>
        <w:t xml:space="preserve"> will keep </w:t>
      </w:r>
      <w:r w:rsidRPr="00626C97" w:rsidR="005D2E6D">
        <w:rPr>
          <w:rFonts w:ascii="Times New Roman" w:hAnsi="Times New Roman"/>
          <w:color w:val="000000" w:themeColor="text1"/>
        </w:rPr>
        <w:t xml:space="preserve">recruitment open until sampling targets are achieved. </w:t>
      </w:r>
      <w:r w:rsidRPr="00626C97" w:rsidR="006C4A36">
        <w:rPr>
          <w:rFonts w:ascii="Times New Roman" w:hAnsi="Times New Roman"/>
          <w:color w:val="000000" w:themeColor="text1"/>
        </w:rPr>
        <w:t>The Agency may use skilled contractor support with experience in data collection, statistical analysis, and sampling to efficiently and effectively achieve sampling targets.</w:t>
      </w:r>
    </w:p>
    <w:p w:rsidR="00F12D55" w:rsidRPr="00626C97" w:rsidP="00626C97" w14:paraId="475D5EE0" w14:textId="77777777">
      <w:pPr>
        <w:spacing w:line="276" w:lineRule="auto"/>
        <w:contextualSpacing/>
        <w:jc w:val="both"/>
        <w:rPr>
          <w:rFonts w:ascii="Times New Roman" w:hAnsi="Times New Roman"/>
          <w:color w:val="000000" w:themeColor="text1"/>
        </w:rPr>
      </w:pPr>
    </w:p>
    <w:p w:rsidR="00FD6CCF" w:rsidRPr="00626C97" w:rsidP="00626C97" w14:paraId="2BA078D4" w14:textId="5F994296">
      <w:pPr>
        <w:widowControl/>
        <w:tabs>
          <w:tab w:val="left" w:pos="-720"/>
        </w:tabs>
        <w:suppressAutoHyphens/>
        <w:autoSpaceDE/>
        <w:autoSpaceDN/>
        <w:adjustRightInd/>
        <w:spacing w:line="276" w:lineRule="auto"/>
        <w:contextualSpacing/>
        <w:rPr>
          <w:rFonts w:ascii="Times New Roman" w:hAnsi="Times New Roman"/>
          <w:b/>
          <w:bCs/>
          <w:color w:val="000000" w:themeColor="text1"/>
        </w:rPr>
      </w:pPr>
      <w:r w:rsidRPr="00626C97">
        <w:rPr>
          <w:rFonts w:ascii="Times New Roman" w:hAnsi="Times New Roman"/>
          <w:b/>
          <w:bCs/>
          <w:color w:val="000000" w:themeColor="text1"/>
        </w:rPr>
        <w:t>Any use of periodic (less frequent than annual) data collection cycles to reduce burden</w:t>
      </w:r>
    </w:p>
    <w:p w:rsidR="00CA7362" w:rsidRPr="00626C97" w:rsidP="00626C97" w14:paraId="6B3C626E" w14:textId="44924EDB">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 xml:space="preserve">For both non-generalizable and generalizable </w:t>
      </w:r>
      <w:r w:rsidRPr="00626C97" w:rsidR="005E598F">
        <w:rPr>
          <w:rFonts w:ascii="Times New Roman" w:hAnsi="Times New Roman"/>
          <w:color w:val="000000" w:themeColor="text1"/>
        </w:rPr>
        <w:t>collections</w:t>
      </w:r>
      <w:r w:rsidRPr="00626C97">
        <w:rPr>
          <w:rFonts w:ascii="Times New Roman" w:hAnsi="Times New Roman"/>
          <w:color w:val="000000" w:themeColor="text1"/>
        </w:rPr>
        <w:t xml:space="preserve"> </w:t>
      </w:r>
      <w:r w:rsidRPr="00626C97" w:rsidR="00AB64D9">
        <w:rPr>
          <w:rFonts w:ascii="Times New Roman" w:hAnsi="Times New Roman"/>
          <w:color w:val="000000" w:themeColor="text1"/>
        </w:rPr>
        <w:t xml:space="preserve">sampling will be cross-sectional in nature meaning that </w:t>
      </w:r>
      <w:r w:rsidRPr="00626C97" w:rsidR="00BB0BC6">
        <w:rPr>
          <w:rFonts w:ascii="Times New Roman" w:hAnsi="Times New Roman"/>
          <w:color w:val="000000" w:themeColor="text1"/>
        </w:rPr>
        <w:t>the program</w:t>
      </w:r>
      <w:r w:rsidRPr="00626C97" w:rsidR="00AB64D9">
        <w:rPr>
          <w:rFonts w:ascii="Times New Roman" w:hAnsi="Times New Roman"/>
          <w:color w:val="000000" w:themeColor="text1"/>
        </w:rPr>
        <w:t xml:space="preserve"> will not conduct any follow-up</w:t>
      </w:r>
      <w:r w:rsidRPr="00626C97" w:rsidR="00F93B44">
        <w:rPr>
          <w:rFonts w:ascii="Times New Roman" w:hAnsi="Times New Roman"/>
          <w:color w:val="000000" w:themeColor="text1"/>
        </w:rPr>
        <w:t>/repeated measure</w:t>
      </w:r>
      <w:r w:rsidRPr="00626C97" w:rsidR="00AB64D9">
        <w:rPr>
          <w:rFonts w:ascii="Times New Roman" w:hAnsi="Times New Roman"/>
          <w:color w:val="000000" w:themeColor="text1"/>
        </w:rPr>
        <w:t xml:space="preserve"> or </w:t>
      </w:r>
      <w:r w:rsidRPr="00626C97" w:rsidR="00F93B44">
        <w:rPr>
          <w:rFonts w:ascii="Times New Roman" w:hAnsi="Times New Roman"/>
          <w:color w:val="000000" w:themeColor="text1"/>
        </w:rPr>
        <w:t>cohort-based</w:t>
      </w:r>
      <w:r w:rsidRPr="00626C97" w:rsidR="00AB64D9">
        <w:rPr>
          <w:rFonts w:ascii="Times New Roman" w:hAnsi="Times New Roman"/>
          <w:color w:val="000000" w:themeColor="text1"/>
        </w:rPr>
        <w:t xml:space="preserve"> sampling.</w:t>
      </w:r>
      <w:r w:rsidRPr="00626C97" w:rsidR="00F93B44">
        <w:rPr>
          <w:rFonts w:ascii="Times New Roman" w:hAnsi="Times New Roman"/>
          <w:color w:val="000000" w:themeColor="text1"/>
        </w:rPr>
        <w:t xml:space="preserve"> </w:t>
      </w:r>
      <w:r w:rsidRPr="00626C97" w:rsidR="00363E38">
        <w:rPr>
          <w:rFonts w:ascii="Times New Roman" w:hAnsi="Times New Roman"/>
          <w:color w:val="000000" w:themeColor="text1"/>
        </w:rPr>
        <w:t xml:space="preserve">Given the large sampling universe </w:t>
      </w:r>
      <w:r w:rsidRPr="00626C97" w:rsidR="00755F6C">
        <w:rPr>
          <w:rFonts w:ascii="Times New Roman" w:hAnsi="Times New Roman"/>
          <w:color w:val="000000" w:themeColor="text1"/>
        </w:rPr>
        <w:t xml:space="preserve">the probability of selecting the same individual for multiple </w:t>
      </w:r>
      <w:r w:rsidRPr="00626C97" w:rsidR="005E598F">
        <w:rPr>
          <w:rFonts w:ascii="Times New Roman" w:hAnsi="Times New Roman"/>
          <w:color w:val="000000" w:themeColor="text1"/>
        </w:rPr>
        <w:t>collections</w:t>
      </w:r>
      <w:r w:rsidRPr="00626C97" w:rsidR="00755F6C">
        <w:rPr>
          <w:rFonts w:ascii="Times New Roman" w:hAnsi="Times New Roman"/>
          <w:color w:val="000000" w:themeColor="text1"/>
        </w:rPr>
        <w:t xml:space="preserve"> is extremely low. </w:t>
      </w:r>
    </w:p>
    <w:p w:rsidR="00440016" w:rsidRPr="00626C97" w:rsidP="00626C97" w14:paraId="3BE8006D" w14:textId="77777777">
      <w:pPr>
        <w:spacing w:line="276" w:lineRule="auto"/>
        <w:contextualSpacing/>
        <w:jc w:val="both"/>
        <w:rPr>
          <w:rFonts w:ascii="Times New Roman" w:hAnsi="Times New Roman"/>
          <w:color w:val="000000" w:themeColor="text1"/>
        </w:rPr>
      </w:pPr>
    </w:p>
    <w:p w:rsidR="00CA7362" w:rsidRPr="00626C97" w:rsidP="00626C97" w14:paraId="356DAF0D" w14:textId="0F568957">
      <w:pPr>
        <w:pStyle w:val="ListParagraph"/>
        <w:numPr>
          <w:ilvl w:val="0"/>
          <w:numId w:val="11"/>
        </w:numPr>
        <w:tabs>
          <w:tab w:val="left" w:pos="-1440"/>
        </w:tabs>
        <w:spacing w:line="276" w:lineRule="auto"/>
        <w:jc w:val="both"/>
        <w:rPr>
          <w:rFonts w:ascii="Times New Roman" w:hAnsi="Times New Roman"/>
          <w:b/>
          <w:bCs/>
          <w:color w:val="000000" w:themeColor="text1"/>
        </w:rPr>
      </w:pPr>
      <w:r w:rsidRPr="00626C97">
        <w:rPr>
          <w:rFonts w:ascii="Times New Roman" w:hAnsi="Times New Roman"/>
          <w:b/>
          <w:bCs/>
          <w:color w:val="000000" w:themeColor="text1"/>
        </w:rPr>
        <w:t xml:space="preserve">Methods to Maximize Response </w:t>
      </w:r>
    </w:p>
    <w:p w:rsidR="00BD49C0" w:rsidRPr="00626C97" w:rsidP="00626C97" w14:paraId="14D04F72" w14:textId="77777777">
      <w:pPr>
        <w:tabs>
          <w:tab w:val="left" w:pos="-1440"/>
        </w:tabs>
        <w:spacing w:line="276" w:lineRule="auto"/>
        <w:ind w:left="720" w:hanging="720"/>
        <w:contextualSpacing/>
        <w:jc w:val="both"/>
        <w:rPr>
          <w:rFonts w:ascii="Times New Roman" w:hAnsi="Times New Roman"/>
          <w:color w:val="000000" w:themeColor="text1"/>
        </w:rPr>
      </w:pPr>
    </w:p>
    <w:p w:rsidR="00BD49C0" w:rsidRPr="00626C97" w:rsidP="00626C97" w14:paraId="6FC951B5" w14:textId="77777777">
      <w:pPr>
        <w:spacing w:line="276" w:lineRule="auto"/>
        <w:contextualSpacing/>
        <w:rPr>
          <w:rFonts w:ascii="Times New Roman" w:hAnsi="Times New Roman"/>
          <w:color w:val="000000" w:themeColor="text1"/>
          <w:u w:val="single"/>
        </w:rPr>
      </w:pPr>
      <w:r w:rsidRPr="00626C97">
        <w:rPr>
          <w:rFonts w:ascii="Times New Roman" w:hAnsi="Times New Roman"/>
          <w:color w:val="000000" w:themeColor="text1"/>
          <w:u w:val="single"/>
        </w:rPr>
        <w:t>Non-Generalizable Quantitative and Qualitative Data</w:t>
      </w:r>
    </w:p>
    <w:p w:rsidR="00866E70" w:rsidRPr="00626C97" w:rsidP="00626C97" w14:paraId="04A439FC" w14:textId="77777777">
      <w:pPr>
        <w:spacing w:line="276" w:lineRule="auto"/>
        <w:contextualSpacing/>
        <w:rPr>
          <w:rFonts w:ascii="Times New Roman" w:hAnsi="Times New Roman"/>
          <w:color w:val="000000" w:themeColor="text1"/>
        </w:rPr>
      </w:pPr>
    </w:p>
    <w:p w:rsidR="00BD49C0" w:rsidRPr="00626C97" w:rsidP="00626C97" w14:paraId="19509234" w14:textId="23E433CE">
      <w:pPr>
        <w:spacing w:line="276" w:lineRule="auto"/>
        <w:contextualSpacing/>
        <w:rPr>
          <w:rFonts w:ascii="Times New Roman" w:eastAsia="Calibri" w:hAnsi="Times New Roman"/>
          <w:iCs/>
          <w:color w:val="000000" w:themeColor="text1"/>
        </w:rPr>
      </w:pPr>
      <w:r w:rsidRPr="00626C97">
        <w:rPr>
          <w:rFonts w:ascii="Times New Roman" w:hAnsi="Times New Roman"/>
          <w:color w:val="000000" w:themeColor="text1"/>
        </w:rPr>
        <w:t xml:space="preserve">These procedures are not applicable for non-generalizable sampling. </w:t>
      </w:r>
    </w:p>
    <w:p w:rsidR="00BD49C0" w:rsidRPr="00626C97" w:rsidP="00626C97" w14:paraId="43059BB3" w14:textId="77777777">
      <w:pPr>
        <w:widowControl/>
        <w:autoSpaceDE/>
        <w:autoSpaceDN/>
        <w:adjustRightInd/>
        <w:spacing w:line="276" w:lineRule="auto"/>
        <w:contextualSpacing/>
        <w:rPr>
          <w:rFonts w:ascii="Times New Roman" w:eastAsia="Calibri" w:hAnsi="Times New Roman"/>
          <w:b/>
          <w:bCs/>
          <w:i/>
          <w:color w:val="000000" w:themeColor="text1"/>
        </w:rPr>
      </w:pPr>
    </w:p>
    <w:p w:rsidR="00BD49C0" w:rsidRPr="00626C97" w:rsidP="00626C97" w14:paraId="4932EE74" w14:textId="77777777">
      <w:pPr>
        <w:spacing w:line="276" w:lineRule="auto"/>
        <w:contextualSpacing/>
        <w:rPr>
          <w:rFonts w:ascii="Times New Roman" w:hAnsi="Times New Roman"/>
          <w:color w:val="000000" w:themeColor="text1"/>
          <w:u w:val="single"/>
        </w:rPr>
      </w:pPr>
      <w:r w:rsidRPr="00626C97">
        <w:rPr>
          <w:rFonts w:ascii="Times New Roman" w:hAnsi="Times New Roman"/>
          <w:color w:val="000000" w:themeColor="text1"/>
          <w:u w:val="single"/>
        </w:rPr>
        <w:t>Generalizable Quantitative Survey Data</w:t>
      </w:r>
    </w:p>
    <w:p w:rsidR="00866E70" w:rsidRPr="00626C97" w:rsidP="00626C97" w14:paraId="63F8D503" w14:textId="77777777">
      <w:pPr>
        <w:tabs>
          <w:tab w:val="left" w:pos="-1440"/>
        </w:tabs>
        <w:spacing w:line="276" w:lineRule="auto"/>
        <w:contextualSpacing/>
        <w:rPr>
          <w:rFonts w:ascii="Times New Roman" w:hAnsi="Times New Roman"/>
          <w:color w:val="000000" w:themeColor="text1"/>
        </w:rPr>
      </w:pPr>
    </w:p>
    <w:p w:rsidR="00A01EE4" w:rsidRPr="00626C97" w:rsidP="00626C97" w14:paraId="6CDD4391" w14:textId="2B512B5A">
      <w:pPr>
        <w:tabs>
          <w:tab w:val="left" w:pos="-1440"/>
        </w:tabs>
        <w:spacing w:line="276" w:lineRule="auto"/>
        <w:contextualSpacing/>
        <w:rPr>
          <w:rFonts w:ascii="Times New Roman" w:hAnsi="Times New Roman"/>
          <w:color w:val="000000" w:themeColor="text1"/>
        </w:rPr>
      </w:pPr>
      <w:r w:rsidRPr="00626C97">
        <w:rPr>
          <w:rFonts w:ascii="Times New Roman" w:hAnsi="Times New Roman"/>
          <w:color w:val="000000" w:themeColor="text1"/>
        </w:rPr>
        <w:t xml:space="preserve">For generalizable quantitative </w:t>
      </w:r>
      <w:r w:rsidRPr="00626C97" w:rsidR="007168C0">
        <w:rPr>
          <w:rFonts w:ascii="Times New Roman" w:hAnsi="Times New Roman"/>
          <w:color w:val="000000" w:themeColor="text1"/>
        </w:rPr>
        <w:t xml:space="preserve">web-based </w:t>
      </w:r>
      <w:r w:rsidRPr="00626C97">
        <w:rPr>
          <w:rFonts w:ascii="Times New Roman" w:hAnsi="Times New Roman"/>
          <w:color w:val="000000" w:themeColor="text1"/>
        </w:rPr>
        <w:t xml:space="preserve">surveys </w:t>
      </w:r>
      <w:r w:rsidRPr="00626C97" w:rsidR="00BB0BC6">
        <w:rPr>
          <w:rFonts w:ascii="Times New Roman" w:hAnsi="Times New Roman"/>
          <w:color w:val="000000" w:themeColor="text1"/>
        </w:rPr>
        <w:t>the program</w:t>
      </w:r>
      <w:r w:rsidRPr="00626C97" w:rsidR="007168C0">
        <w:rPr>
          <w:rFonts w:ascii="Times New Roman" w:hAnsi="Times New Roman"/>
          <w:color w:val="000000" w:themeColor="text1"/>
        </w:rPr>
        <w:t xml:space="preserve"> will use standard techniques to maximize response rates</w:t>
      </w:r>
      <w:r w:rsidRPr="00626C97">
        <w:rPr>
          <w:rFonts w:ascii="Times New Roman" w:hAnsi="Times New Roman"/>
          <w:color w:val="000000" w:themeColor="text1"/>
        </w:rPr>
        <w:t>. These include</w:t>
      </w:r>
      <w:r w:rsidRPr="00626C97" w:rsidR="009948B1">
        <w:rPr>
          <w:rFonts w:ascii="Times New Roman" w:hAnsi="Times New Roman"/>
          <w:color w:val="000000" w:themeColor="text1"/>
        </w:rPr>
        <w:t>:</w:t>
      </w:r>
    </w:p>
    <w:p w:rsidR="009948B1" w:rsidRPr="00626C97" w:rsidP="00626C97" w14:paraId="06171F14" w14:textId="72DC7B31">
      <w:pPr>
        <w:pStyle w:val="ListParagraph"/>
        <w:numPr>
          <w:ilvl w:val="0"/>
          <w:numId w:val="8"/>
        </w:numPr>
        <w:tabs>
          <w:tab w:val="left" w:pos="-1440"/>
        </w:tabs>
        <w:spacing w:line="276" w:lineRule="auto"/>
        <w:rPr>
          <w:rFonts w:ascii="Times New Roman" w:hAnsi="Times New Roman"/>
          <w:color w:val="000000" w:themeColor="text1"/>
        </w:rPr>
      </w:pPr>
      <w:r w:rsidRPr="00626C97">
        <w:rPr>
          <w:rFonts w:ascii="Times New Roman" w:hAnsi="Times New Roman"/>
          <w:color w:val="000000" w:themeColor="text1"/>
        </w:rPr>
        <w:t xml:space="preserve">Potential respondents will receive a pre-notification letter detailing the purpose of the survey, followed by </w:t>
      </w:r>
      <w:r w:rsidRPr="00626C97" w:rsidR="00FE7AE1">
        <w:rPr>
          <w:rFonts w:ascii="Times New Roman" w:hAnsi="Times New Roman"/>
          <w:color w:val="000000" w:themeColor="text1"/>
        </w:rPr>
        <w:t>a digital</w:t>
      </w:r>
      <w:r w:rsidRPr="00626C97">
        <w:rPr>
          <w:rFonts w:ascii="Times New Roman" w:hAnsi="Times New Roman"/>
          <w:color w:val="000000" w:themeColor="text1"/>
        </w:rPr>
        <w:t xml:space="preserve"> survey notification containing an embedded hyperlink </w:t>
      </w:r>
      <w:r w:rsidRPr="00626C97" w:rsidR="00FE7AE1">
        <w:rPr>
          <w:rFonts w:ascii="Times New Roman" w:hAnsi="Times New Roman"/>
          <w:color w:val="000000" w:themeColor="text1"/>
        </w:rPr>
        <w:t xml:space="preserve">or other simple way </w:t>
      </w:r>
      <w:r w:rsidRPr="00626C97">
        <w:rPr>
          <w:rFonts w:ascii="Times New Roman" w:hAnsi="Times New Roman"/>
          <w:color w:val="000000" w:themeColor="text1"/>
        </w:rPr>
        <w:t xml:space="preserve">to </w:t>
      </w:r>
      <w:r w:rsidRPr="00626C97" w:rsidR="00FE7AE1">
        <w:rPr>
          <w:rFonts w:ascii="Times New Roman" w:hAnsi="Times New Roman"/>
          <w:color w:val="000000" w:themeColor="text1"/>
        </w:rPr>
        <w:t xml:space="preserve">locate </w:t>
      </w:r>
      <w:r w:rsidRPr="00626C97">
        <w:rPr>
          <w:rFonts w:ascii="Times New Roman" w:hAnsi="Times New Roman"/>
          <w:color w:val="000000" w:themeColor="text1"/>
        </w:rPr>
        <w:t xml:space="preserve">where the survey can be completed. </w:t>
      </w:r>
    </w:p>
    <w:p w:rsidR="009948B1" w:rsidRPr="00626C97" w:rsidP="00626C97" w14:paraId="401F6283" w14:textId="77777777">
      <w:pPr>
        <w:pStyle w:val="ListParagraph"/>
        <w:numPr>
          <w:ilvl w:val="0"/>
          <w:numId w:val="8"/>
        </w:numPr>
        <w:tabs>
          <w:tab w:val="left" w:pos="-1440"/>
        </w:tabs>
        <w:spacing w:line="276" w:lineRule="auto"/>
        <w:rPr>
          <w:rFonts w:ascii="Times New Roman" w:hAnsi="Times New Roman"/>
          <w:color w:val="000000" w:themeColor="text1"/>
        </w:rPr>
      </w:pPr>
      <w:r w:rsidRPr="00626C97">
        <w:rPr>
          <w:rFonts w:ascii="Times New Roman" w:hAnsi="Times New Roman"/>
          <w:color w:val="000000" w:themeColor="text1"/>
        </w:rPr>
        <w:t xml:space="preserve">The survey questionnaire will provide clear instructions for completing the survey and reiterate the purpose of the survey and how results will be used. </w:t>
      </w:r>
    </w:p>
    <w:p w:rsidR="009948B1" w:rsidRPr="00626C97" w:rsidP="00626C97" w14:paraId="6C3DB6B5" w14:textId="77777777">
      <w:pPr>
        <w:pStyle w:val="ListParagraph"/>
        <w:numPr>
          <w:ilvl w:val="0"/>
          <w:numId w:val="8"/>
        </w:numPr>
        <w:tabs>
          <w:tab w:val="left" w:pos="-1440"/>
        </w:tabs>
        <w:spacing w:line="276" w:lineRule="auto"/>
        <w:rPr>
          <w:rFonts w:ascii="Times New Roman" w:hAnsi="Times New Roman"/>
          <w:color w:val="000000" w:themeColor="text1"/>
        </w:rPr>
      </w:pPr>
      <w:r w:rsidRPr="00626C97">
        <w:rPr>
          <w:rFonts w:ascii="Times New Roman" w:hAnsi="Times New Roman"/>
          <w:color w:val="000000" w:themeColor="text1"/>
        </w:rPr>
        <w:t xml:space="preserve">The survey will be open </w:t>
      </w:r>
      <w:r w:rsidRPr="00626C97" w:rsidR="00A01EE4">
        <w:rPr>
          <w:rFonts w:ascii="Times New Roman" w:hAnsi="Times New Roman"/>
          <w:color w:val="000000" w:themeColor="text1"/>
        </w:rPr>
        <w:t>a sufficient amount of time to</w:t>
      </w:r>
      <w:r w:rsidRPr="00626C97">
        <w:rPr>
          <w:rFonts w:ascii="Times New Roman" w:hAnsi="Times New Roman"/>
          <w:color w:val="000000" w:themeColor="text1"/>
        </w:rPr>
        <w:t xml:space="preserve"> </w:t>
      </w:r>
      <w:r w:rsidRPr="00626C97" w:rsidR="00A01EE4">
        <w:rPr>
          <w:rFonts w:ascii="Times New Roman" w:hAnsi="Times New Roman"/>
          <w:color w:val="000000" w:themeColor="text1"/>
        </w:rPr>
        <w:t>achieve</w:t>
      </w:r>
      <w:r w:rsidRPr="00626C97">
        <w:rPr>
          <w:rFonts w:ascii="Times New Roman" w:hAnsi="Times New Roman"/>
          <w:color w:val="000000" w:themeColor="text1"/>
        </w:rPr>
        <w:t xml:space="preserve"> </w:t>
      </w:r>
      <w:r w:rsidRPr="00626C97" w:rsidR="00A01EE4">
        <w:rPr>
          <w:rFonts w:ascii="Times New Roman" w:hAnsi="Times New Roman"/>
          <w:color w:val="000000" w:themeColor="text1"/>
        </w:rPr>
        <w:t>sampling targets</w:t>
      </w:r>
      <w:r w:rsidRPr="00626C97">
        <w:rPr>
          <w:rFonts w:ascii="Times New Roman" w:hAnsi="Times New Roman"/>
          <w:color w:val="000000" w:themeColor="text1"/>
        </w:rPr>
        <w:t xml:space="preserve">. </w:t>
      </w:r>
    </w:p>
    <w:p w:rsidR="009948B1" w:rsidRPr="00626C97" w:rsidP="00626C97" w14:paraId="4366B9E4" w14:textId="6E7DC33D">
      <w:pPr>
        <w:pStyle w:val="ListParagraph"/>
        <w:numPr>
          <w:ilvl w:val="0"/>
          <w:numId w:val="8"/>
        </w:numPr>
        <w:tabs>
          <w:tab w:val="left" w:pos="-1440"/>
        </w:tabs>
        <w:spacing w:line="276" w:lineRule="auto"/>
        <w:rPr>
          <w:rFonts w:ascii="Times New Roman" w:hAnsi="Times New Roman"/>
          <w:color w:val="000000" w:themeColor="text1"/>
        </w:rPr>
      </w:pPr>
      <w:r w:rsidRPr="00626C97">
        <w:rPr>
          <w:rFonts w:ascii="Times New Roman" w:hAnsi="Times New Roman"/>
          <w:color w:val="000000" w:themeColor="text1"/>
        </w:rPr>
        <w:t>A limited number (n=</w:t>
      </w:r>
      <w:r w:rsidRPr="00626C97" w:rsidR="0057605A">
        <w:rPr>
          <w:rFonts w:ascii="Times New Roman" w:hAnsi="Times New Roman"/>
          <w:color w:val="000000" w:themeColor="text1"/>
        </w:rPr>
        <w:t xml:space="preserve">up to </w:t>
      </w:r>
      <w:r w:rsidRPr="00626C97">
        <w:rPr>
          <w:rFonts w:ascii="Times New Roman" w:hAnsi="Times New Roman"/>
          <w:color w:val="000000" w:themeColor="text1"/>
        </w:rPr>
        <w:t>6) of r</w:t>
      </w:r>
      <w:r w:rsidRPr="00626C97" w:rsidR="007168C0">
        <w:rPr>
          <w:rFonts w:ascii="Times New Roman" w:hAnsi="Times New Roman"/>
          <w:color w:val="000000" w:themeColor="text1"/>
        </w:rPr>
        <w:t xml:space="preserve">eminder </w:t>
      </w:r>
      <w:r w:rsidRPr="00626C97" w:rsidR="00FE7AE1">
        <w:rPr>
          <w:rFonts w:ascii="Times New Roman" w:hAnsi="Times New Roman"/>
          <w:color w:val="000000" w:themeColor="text1"/>
        </w:rPr>
        <w:t xml:space="preserve">digital </w:t>
      </w:r>
      <w:r w:rsidRPr="00626C97" w:rsidR="007168C0">
        <w:rPr>
          <w:rFonts w:ascii="Times New Roman" w:hAnsi="Times New Roman"/>
          <w:color w:val="000000" w:themeColor="text1"/>
        </w:rPr>
        <w:t xml:space="preserve">notification(s) will be sent to non-respondents, providing the survey hyperlink and encouraging response. </w:t>
      </w:r>
    </w:p>
    <w:p w:rsidR="009948B1" w:rsidRPr="00626C97" w:rsidP="00626C97" w14:paraId="403179BB" w14:textId="77777777">
      <w:pPr>
        <w:pStyle w:val="ListParagraph"/>
        <w:numPr>
          <w:ilvl w:val="0"/>
          <w:numId w:val="8"/>
        </w:numPr>
        <w:tabs>
          <w:tab w:val="left" w:pos="-1440"/>
        </w:tabs>
        <w:spacing w:line="276" w:lineRule="auto"/>
        <w:rPr>
          <w:rFonts w:ascii="Times New Roman" w:hAnsi="Times New Roman"/>
          <w:color w:val="000000" w:themeColor="text1"/>
        </w:rPr>
      </w:pPr>
      <w:r w:rsidRPr="00626C97">
        <w:rPr>
          <w:rFonts w:ascii="Times New Roman" w:hAnsi="Times New Roman"/>
          <w:color w:val="000000" w:themeColor="text1"/>
        </w:rPr>
        <w:t xml:space="preserve">The survey will allow respondents to resume completing the survey where they left off. </w:t>
      </w:r>
    </w:p>
    <w:p w:rsidR="00756CAF" w:rsidRPr="00626C97" w:rsidP="00626C97" w14:paraId="2D123D17" w14:textId="77777777">
      <w:pPr>
        <w:pStyle w:val="ListParagraph"/>
        <w:numPr>
          <w:ilvl w:val="0"/>
          <w:numId w:val="8"/>
        </w:numPr>
        <w:tabs>
          <w:tab w:val="left" w:pos="-1440"/>
        </w:tabs>
        <w:spacing w:line="276" w:lineRule="auto"/>
        <w:rPr>
          <w:rFonts w:ascii="Times New Roman" w:hAnsi="Times New Roman"/>
          <w:color w:val="000000" w:themeColor="text1"/>
        </w:rPr>
      </w:pPr>
      <w:r w:rsidRPr="00626C97">
        <w:rPr>
          <w:rFonts w:ascii="Times New Roman" w:hAnsi="Times New Roman"/>
          <w:color w:val="000000" w:themeColor="text1"/>
        </w:rPr>
        <w:t xml:space="preserve">A web-based graphic user interface (GUI) will be utilized to facilitate navigation and completion of the survey across multiple devices. </w:t>
      </w:r>
    </w:p>
    <w:p w:rsidR="00BD49C0" w:rsidRPr="00626C97" w:rsidP="00626C97" w14:paraId="74D7ECD2" w14:textId="03136E75">
      <w:pPr>
        <w:pStyle w:val="ListParagraph"/>
        <w:numPr>
          <w:ilvl w:val="0"/>
          <w:numId w:val="8"/>
        </w:numPr>
        <w:tabs>
          <w:tab w:val="left" w:pos="-1440"/>
        </w:tabs>
        <w:spacing w:line="276" w:lineRule="auto"/>
        <w:rPr>
          <w:rFonts w:ascii="Times New Roman" w:hAnsi="Times New Roman"/>
          <w:color w:val="000000" w:themeColor="text1"/>
        </w:rPr>
      </w:pPr>
      <w:r w:rsidRPr="00626C97">
        <w:rPr>
          <w:rFonts w:ascii="Times New Roman" w:hAnsi="Times New Roman"/>
          <w:color w:val="000000" w:themeColor="text1"/>
        </w:rPr>
        <w:t xml:space="preserve">Web-based participants </w:t>
      </w:r>
      <w:r w:rsidRPr="00626C97" w:rsidR="00756CAF">
        <w:rPr>
          <w:rFonts w:ascii="Times New Roman" w:hAnsi="Times New Roman"/>
          <w:color w:val="000000" w:themeColor="text1"/>
        </w:rPr>
        <w:t>may</w:t>
      </w:r>
      <w:r w:rsidRPr="00626C97">
        <w:rPr>
          <w:rFonts w:ascii="Times New Roman" w:hAnsi="Times New Roman"/>
          <w:color w:val="000000" w:themeColor="text1"/>
        </w:rPr>
        <w:t xml:space="preserve"> receive points for participation from the online panels they are recruited from</w:t>
      </w:r>
      <w:r w:rsidRPr="00626C97" w:rsidR="00756CAF">
        <w:rPr>
          <w:rFonts w:ascii="Times New Roman" w:hAnsi="Times New Roman"/>
          <w:color w:val="000000" w:themeColor="text1"/>
        </w:rPr>
        <w:t xml:space="preserve"> (if the survey firm provides this for panel participants)</w:t>
      </w:r>
      <w:r w:rsidRPr="00626C97">
        <w:rPr>
          <w:rFonts w:ascii="Times New Roman" w:hAnsi="Times New Roman"/>
          <w:color w:val="000000" w:themeColor="text1"/>
        </w:rPr>
        <w:t>.</w:t>
      </w:r>
    </w:p>
    <w:p w:rsidR="00014487" w:rsidRPr="00626C97" w:rsidP="00626C97" w14:paraId="021BC65D" w14:textId="77777777">
      <w:pPr>
        <w:spacing w:line="276" w:lineRule="auto"/>
        <w:contextualSpacing/>
        <w:jc w:val="both"/>
        <w:rPr>
          <w:rFonts w:ascii="Times New Roman" w:hAnsi="Times New Roman"/>
          <w:color w:val="000000" w:themeColor="text1"/>
        </w:rPr>
      </w:pPr>
    </w:p>
    <w:p w:rsidR="007168C0" w:rsidRPr="00626C97" w:rsidP="00626C97" w14:paraId="6509109A" w14:textId="7CFB2A2E">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 xml:space="preserve">Please refer to the </w:t>
      </w:r>
      <w:r w:rsidRPr="00626C97">
        <w:rPr>
          <w:rFonts w:ascii="Times New Roman" w:hAnsi="Times New Roman"/>
          <w:b/>
          <w:bCs/>
          <w:color w:val="000000" w:themeColor="text1"/>
        </w:rPr>
        <w:t>Estimation Procedures</w:t>
      </w:r>
      <w:r w:rsidRPr="00626C97">
        <w:rPr>
          <w:rFonts w:ascii="Times New Roman" w:hAnsi="Times New Roman"/>
          <w:color w:val="000000" w:themeColor="text1"/>
        </w:rPr>
        <w:t xml:space="preserve"> section above for a detailed accounting of anticipated weighting, raking, and imputation procedures </w:t>
      </w:r>
      <w:r w:rsidRPr="00626C97" w:rsidR="00BB0BC6">
        <w:rPr>
          <w:rFonts w:ascii="Times New Roman" w:hAnsi="Times New Roman"/>
          <w:color w:val="000000" w:themeColor="text1"/>
        </w:rPr>
        <w:t>the program</w:t>
      </w:r>
      <w:r w:rsidRPr="00626C97">
        <w:rPr>
          <w:rFonts w:ascii="Times New Roman" w:hAnsi="Times New Roman"/>
          <w:color w:val="000000" w:themeColor="text1"/>
        </w:rPr>
        <w:t xml:space="preserve"> will use to increase the accuracy and reliability of survey data.</w:t>
      </w:r>
    </w:p>
    <w:p w:rsidR="007168C0" w:rsidRPr="00626C97" w:rsidP="00626C97" w14:paraId="44D19179" w14:textId="77777777">
      <w:pPr>
        <w:spacing w:line="276" w:lineRule="auto"/>
        <w:contextualSpacing/>
        <w:jc w:val="both"/>
        <w:rPr>
          <w:rFonts w:ascii="Times New Roman" w:hAnsi="Times New Roman"/>
          <w:color w:val="000000" w:themeColor="text1"/>
        </w:rPr>
      </w:pPr>
    </w:p>
    <w:p w:rsidR="009F0C57" w:rsidRPr="00626C97" w:rsidP="00626C97" w14:paraId="09B833CD" w14:textId="171C7C15">
      <w:pPr>
        <w:pStyle w:val="ListParagraph"/>
        <w:widowControl/>
        <w:numPr>
          <w:ilvl w:val="0"/>
          <w:numId w:val="10"/>
        </w:numPr>
        <w:autoSpaceDE/>
        <w:autoSpaceDN/>
        <w:adjustRightInd/>
        <w:spacing w:line="276" w:lineRule="auto"/>
        <w:rPr>
          <w:rFonts w:ascii="Times New Roman" w:hAnsi="Times New Roman"/>
          <w:b/>
          <w:color w:val="000000" w:themeColor="text1"/>
        </w:rPr>
      </w:pPr>
      <w:r w:rsidRPr="00626C97">
        <w:rPr>
          <w:rFonts w:ascii="Times New Roman" w:hAnsi="Times New Roman"/>
          <w:b/>
          <w:color w:val="000000" w:themeColor="text1"/>
        </w:rPr>
        <w:t>Testing of Procedures</w:t>
      </w:r>
    </w:p>
    <w:p w:rsidR="00014487" w:rsidRPr="00626C97" w:rsidP="00626C97" w14:paraId="021BC65F" w14:textId="77777777">
      <w:pPr>
        <w:tabs>
          <w:tab w:val="left" w:pos="-1440"/>
        </w:tabs>
        <w:spacing w:line="276" w:lineRule="auto"/>
        <w:ind w:left="720" w:hanging="720"/>
        <w:contextualSpacing/>
        <w:jc w:val="both"/>
        <w:rPr>
          <w:rFonts w:ascii="Times New Roman" w:hAnsi="Times New Roman"/>
          <w:color w:val="000000" w:themeColor="text1"/>
        </w:rPr>
      </w:pPr>
    </w:p>
    <w:p w:rsidR="00E9206C" w:rsidRPr="00626C97" w:rsidP="00626C97" w14:paraId="7ED5A648" w14:textId="77777777">
      <w:pPr>
        <w:spacing w:line="276" w:lineRule="auto"/>
        <w:contextualSpacing/>
        <w:rPr>
          <w:rFonts w:ascii="Times New Roman" w:hAnsi="Times New Roman"/>
          <w:color w:val="000000" w:themeColor="text1"/>
          <w:u w:val="single"/>
        </w:rPr>
      </w:pPr>
      <w:r w:rsidRPr="00626C97">
        <w:rPr>
          <w:rFonts w:ascii="Times New Roman" w:hAnsi="Times New Roman"/>
          <w:color w:val="000000" w:themeColor="text1"/>
          <w:u w:val="single"/>
        </w:rPr>
        <w:t>Non-Generalizable Quantitative and Qualitative Data</w:t>
      </w:r>
    </w:p>
    <w:p w:rsidR="00866E70" w:rsidRPr="00626C97" w:rsidP="00626C97" w14:paraId="0C6AF5E5" w14:textId="77777777">
      <w:pPr>
        <w:spacing w:line="276" w:lineRule="auto"/>
        <w:contextualSpacing/>
        <w:rPr>
          <w:rFonts w:ascii="Times New Roman" w:hAnsi="Times New Roman"/>
          <w:color w:val="000000" w:themeColor="text1"/>
        </w:rPr>
      </w:pPr>
    </w:p>
    <w:p w:rsidR="00E9206C" w:rsidRPr="00626C97" w:rsidP="00626C97" w14:paraId="65592193" w14:textId="5C10D291">
      <w:pPr>
        <w:spacing w:line="276" w:lineRule="auto"/>
        <w:contextualSpacing/>
        <w:rPr>
          <w:rFonts w:ascii="Times New Roman" w:eastAsia="Calibri" w:hAnsi="Times New Roman"/>
          <w:iCs/>
          <w:color w:val="000000" w:themeColor="text1"/>
        </w:rPr>
      </w:pPr>
      <w:r w:rsidRPr="00626C97">
        <w:rPr>
          <w:rFonts w:ascii="Times New Roman" w:hAnsi="Times New Roman"/>
          <w:color w:val="000000" w:themeColor="text1"/>
        </w:rPr>
        <w:t xml:space="preserve">Limited cognitive </w:t>
      </w:r>
      <w:r w:rsidRPr="00626C97" w:rsidR="00C36B4D">
        <w:rPr>
          <w:rFonts w:ascii="Times New Roman" w:hAnsi="Times New Roman"/>
          <w:color w:val="000000" w:themeColor="text1"/>
        </w:rPr>
        <w:t>interviews or other forms of pretesting may be used for non-generalizable testing. When applicable, pretesting will be conducted on no more than nine individuals to ensure accuracy in procedures. This 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 Data from the pretest will be analyzed to make necessary revisions to improve usability of the instrument.</w:t>
      </w:r>
      <w:r w:rsidRPr="00626C97">
        <w:rPr>
          <w:rFonts w:ascii="Times New Roman" w:hAnsi="Times New Roman"/>
          <w:color w:val="000000" w:themeColor="text1"/>
        </w:rPr>
        <w:t xml:space="preserve"> </w:t>
      </w:r>
    </w:p>
    <w:p w:rsidR="00E9206C" w:rsidRPr="00626C97" w:rsidP="00626C97" w14:paraId="2769E357" w14:textId="77777777">
      <w:pPr>
        <w:widowControl/>
        <w:autoSpaceDE/>
        <w:autoSpaceDN/>
        <w:adjustRightInd/>
        <w:spacing w:line="276" w:lineRule="auto"/>
        <w:contextualSpacing/>
        <w:rPr>
          <w:rFonts w:ascii="Times New Roman" w:eastAsia="Calibri" w:hAnsi="Times New Roman"/>
          <w:b/>
          <w:bCs/>
          <w:i/>
          <w:color w:val="000000" w:themeColor="text1"/>
        </w:rPr>
      </w:pPr>
    </w:p>
    <w:p w:rsidR="00E9206C" w:rsidRPr="00626C97" w:rsidP="00626C97" w14:paraId="24433967" w14:textId="77777777">
      <w:pPr>
        <w:spacing w:line="276" w:lineRule="auto"/>
        <w:contextualSpacing/>
        <w:rPr>
          <w:rFonts w:ascii="Times New Roman" w:hAnsi="Times New Roman"/>
          <w:color w:val="000000" w:themeColor="text1"/>
          <w:u w:val="single"/>
        </w:rPr>
      </w:pPr>
      <w:r w:rsidRPr="00626C97">
        <w:rPr>
          <w:rFonts w:ascii="Times New Roman" w:hAnsi="Times New Roman"/>
          <w:color w:val="000000" w:themeColor="text1"/>
          <w:u w:val="single"/>
        </w:rPr>
        <w:t>Generalizable Quantitative Survey Data</w:t>
      </w:r>
    </w:p>
    <w:p w:rsidR="00866E70" w:rsidRPr="00626C97" w:rsidP="00626C97" w14:paraId="7A51C466" w14:textId="77777777">
      <w:pPr>
        <w:spacing w:line="276" w:lineRule="auto"/>
        <w:contextualSpacing/>
        <w:jc w:val="both"/>
        <w:rPr>
          <w:rFonts w:ascii="Times New Roman" w:hAnsi="Times New Roman"/>
          <w:color w:val="000000" w:themeColor="text1"/>
        </w:rPr>
      </w:pPr>
    </w:p>
    <w:p w:rsidR="00E9206C" w:rsidRPr="00626C97" w:rsidP="00626C97" w14:paraId="5FA6E668" w14:textId="7E681746">
      <w:pPr>
        <w:spacing w:line="276" w:lineRule="auto"/>
        <w:contextualSpacing/>
        <w:jc w:val="both"/>
        <w:rPr>
          <w:rFonts w:ascii="Times New Roman" w:hAnsi="Times New Roman"/>
          <w:color w:val="000000" w:themeColor="text1"/>
        </w:rPr>
      </w:pPr>
      <w:r w:rsidRPr="00626C97">
        <w:rPr>
          <w:rFonts w:ascii="Times New Roman" w:hAnsi="Times New Roman"/>
          <w:color w:val="000000" w:themeColor="text1"/>
        </w:rPr>
        <w:t>For generalizable quantitative web-based surveys</w:t>
      </w:r>
      <w:r w:rsidRPr="00626C97" w:rsidR="002D6CCE">
        <w:rPr>
          <w:rFonts w:ascii="Times New Roman" w:hAnsi="Times New Roman"/>
          <w:color w:val="000000" w:themeColor="text1"/>
        </w:rPr>
        <w:t>,</w:t>
      </w:r>
      <w:r w:rsidRPr="00626C97" w:rsidR="00C250E3">
        <w:rPr>
          <w:rFonts w:ascii="Times New Roman" w:hAnsi="Times New Roman"/>
          <w:color w:val="000000" w:themeColor="text1"/>
        </w:rPr>
        <w:t xml:space="preserve"> </w:t>
      </w:r>
      <w:r w:rsidRPr="00626C97" w:rsidR="00C36B4D">
        <w:rPr>
          <w:rFonts w:ascii="Times New Roman" w:hAnsi="Times New Roman"/>
          <w:color w:val="000000" w:themeColor="text1"/>
        </w:rPr>
        <w:t xml:space="preserve">cognitive interviews or other forms of </w:t>
      </w:r>
      <w:r w:rsidRPr="00626C97" w:rsidR="00C250E3">
        <w:rPr>
          <w:rFonts w:ascii="Times New Roman" w:hAnsi="Times New Roman"/>
          <w:color w:val="000000" w:themeColor="text1"/>
        </w:rPr>
        <w:t>p</w:t>
      </w:r>
      <w:r w:rsidRPr="00626C97" w:rsidR="00420D7E">
        <w:rPr>
          <w:rFonts w:ascii="Times New Roman" w:hAnsi="Times New Roman"/>
          <w:color w:val="000000" w:themeColor="text1"/>
        </w:rPr>
        <w:t>re</w:t>
      </w:r>
      <w:r w:rsidRPr="00626C97" w:rsidR="00C250E3">
        <w:rPr>
          <w:rFonts w:ascii="Times New Roman" w:hAnsi="Times New Roman"/>
          <w:color w:val="000000" w:themeColor="text1"/>
        </w:rPr>
        <w:t xml:space="preserve">testing will be conducted on no more than </w:t>
      </w:r>
      <w:r w:rsidRPr="00626C97" w:rsidR="002D6CCE">
        <w:rPr>
          <w:rFonts w:ascii="Times New Roman" w:hAnsi="Times New Roman"/>
          <w:color w:val="000000" w:themeColor="text1"/>
        </w:rPr>
        <w:t>nine</w:t>
      </w:r>
      <w:r w:rsidRPr="00626C97" w:rsidR="00C250E3">
        <w:rPr>
          <w:rFonts w:ascii="Times New Roman" w:hAnsi="Times New Roman"/>
          <w:color w:val="000000" w:themeColor="text1"/>
        </w:rPr>
        <w:t xml:space="preserve"> individuals to ensure </w:t>
      </w:r>
      <w:r w:rsidRPr="00626C97" w:rsidR="006753EC">
        <w:rPr>
          <w:rFonts w:ascii="Times New Roman" w:hAnsi="Times New Roman"/>
          <w:color w:val="000000" w:themeColor="text1"/>
        </w:rPr>
        <w:t xml:space="preserve">accuracy in procedures and instrument skip pattern logic are upheld. </w:t>
      </w:r>
      <w:r w:rsidRPr="00626C97" w:rsidR="002D6CCE">
        <w:rPr>
          <w:rFonts w:ascii="Times New Roman" w:hAnsi="Times New Roman"/>
          <w:color w:val="000000" w:themeColor="text1"/>
        </w:rPr>
        <w:t>This p</w:t>
      </w:r>
      <w:r w:rsidRPr="00626C97" w:rsidR="00420D7E">
        <w:rPr>
          <w:rFonts w:ascii="Times New Roman" w:hAnsi="Times New Roman"/>
          <w:color w:val="000000" w:themeColor="text1"/>
        </w:rPr>
        <w:t>re</w:t>
      </w:r>
      <w:r w:rsidRPr="00626C97" w:rsidR="002D6CCE">
        <w:rPr>
          <w:rFonts w:ascii="Times New Roman" w:hAnsi="Times New Roman"/>
          <w:color w:val="000000" w:themeColor="text1"/>
        </w:rPr>
        <w:t xml:space="preserv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 </w:t>
      </w:r>
      <w:r w:rsidRPr="00626C97" w:rsidR="006753EC">
        <w:rPr>
          <w:rFonts w:ascii="Times New Roman" w:hAnsi="Times New Roman"/>
          <w:color w:val="000000" w:themeColor="text1"/>
        </w:rPr>
        <w:t>Data from the p</w:t>
      </w:r>
      <w:r w:rsidRPr="00626C97" w:rsidR="002D6CCE">
        <w:rPr>
          <w:rFonts w:ascii="Times New Roman" w:hAnsi="Times New Roman"/>
          <w:color w:val="000000" w:themeColor="text1"/>
        </w:rPr>
        <w:t xml:space="preserve">retest </w:t>
      </w:r>
      <w:r w:rsidRPr="00626C97" w:rsidR="006753EC">
        <w:rPr>
          <w:rFonts w:ascii="Times New Roman" w:hAnsi="Times New Roman"/>
          <w:color w:val="000000" w:themeColor="text1"/>
        </w:rPr>
        <w:t xml:space="preserve">will be </w:t>
      </w:r>
      <w:r w:rsidRPr="00626C97" w:rsidR="006753EC">
        <w:rPr>
          <w:rFonts w:ascii="Times New Roman" w:hAnsi="Times New Roman"/>
          <w:color w:val="000000" w:themeColor="text1"/>
        </w:rPr>
        <w:t xml:space="preserve">analyzed to make necessary </w:t>
      </w:r>
      <w:r w:rsidRPr="00626C97" w:rsidR="009C76A4">
        <w:rPr>
          <w:rFonts w:ascii="Times New Roman" w:hAnsi="Times New Roman"/>
          <w:color w:val="000000" w:themeColor="text1"/>
        </w:rPr>
        <w:t>revisions</w:t>
      </w:r>
      <w:r w:rsidRPr="00626C97" w:rsidR="006753EC">
        <w:rPr>
          <w:rFonts w:ascii="Times New Roman" w:hAnsi="Times New Roman"/>
          <w:color w:val="000000" w:themeColor="text1"/>
        </w:rPr>
        <w:t xml:space="preserve"> to improve usability </w:t>
      </w:r>
      <w:r w:rsidRPr="00626C97" w:rsidR="009C76A4">
        <w:rPr>
          <w:rFonts w:ascii="Times New Roman" w:hAnsi="Times New Roman"/>
          <w:color w:val="000000" w:themeColor="text1"/>
        </w:rPr>
        <w:t xml:space="preserve">of the instrument. </w:t>
      </w:r>
    </w:p>
    <w:p w:rsidR="009C76A4" w:rsidRPr="00626C97" w:rsidP="00626C97" w14:paraId="163006B5" w14:textId="77777777">
      <w:pPr>
        <w:spacing w:line="276" w:lineRule="auto"/>
        <w:contextualSpacing/>
        <w:jc w:val="both"/>
        <w:rPr>
          <w:rFonts w:ascii="Times New Roman" w:hAnsi="Times New Roman"/>
          <w:color w:val="000000" w:themeColor="text1"/>
        </w:rPr>
      </w:pPr>
    </w:p>
    <w:p w:rsidR="009F0C57" w:rsidRPr="00626C97" w:rsidP="00626C97" w14:paraId="7C5986A5" w14:textId="740FC55C">
      <w:pPr>
        <w:pStyle w:val="ListParagraph"/>
        <w:numPr>
          <w:ilvl w:val="0"/>
          <w:numId w:val="10"/>
        </w:numPr>
        <w:tabs>
          <w:tab w:val="left" w:pos="-1440"/>
        </w:tabs>
        <w:spacing w:line="276" w:lineRule="auto"/>
        <w:jc w:val="both"/>
        <w:rPr>
          <w:rFonts w:ascii="Times New Roman" w:hAnsi="Times New Roman"/>
          <w:color w:val="000000" w:themeColor="text1"/>
        </w:rPr>
      </w:pPr>
      <w:r w:rsidRPr="00626C97">
        <w:rPr>
          <w:rFonts w:ascii="Times New Roman" w:hAnsi="Times New Roman"/>
          <w:b/>
          <w:color w:val="000000" w:themeColor="text1"/>
        </w:rPr>
        <w:t>Contacts for Statistical Aspects and Data Collection</w:t>
      </w:r>
    </w:p>
    <w:p w:rsidR="00014487" w:rsidRPr="00626C97" w:rsidP="00626C97" w14:paraId="021BC663" w14:textId="77777777">
      <w:pPr>
        <w:tabs>
          <w:tab w:val="left" w:pos="-1440"/>
        </w:tabs>
        <w:spacing w:line="276" w:lineRule="auto"/>
        <w:contextualSpacing/>
        <w:jc w:val="both"/>
        <w:rPr>
          <w:rFonts w:ascii="Times New Roman" w:hAnsi="Times New Roman"/>
          <w:color w:val="000000" w:themeColor="text1"/>
        </w:rPr>
      </w:pPr>
    </w:p>
    <w:p w:rsidR="00F037C8" w:rsidRPr="00626C97" w:rsidP="00626C97" w14:paraId="727CE181" w14:textId="46D13CF0">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hAnsi="Times New Roman"/>
          <w:color w:val="000000" w:themeColor="text1"/>
        </w:rPr>
      </w:pPr>
      <w:r w:rsidRPr="00626C97">
        <w:rPr>
          <w:rFonts w:ascii="Times New Roman" w:hAnsi="Times New Roman"/>
          <w:snapToGrid w:val="0"/>
          <w:color w:val="000000" w:themeColor="text1"/>
        </w:rPr>
        <w:t>Team PCI, which includes members of Yes</w:t>
      </w:r>
      <w:r w:rsidRPr="00626C97" w:rsidR="002A424A">
        <w:rPr>
          <w:rFonts w:ascii="Times New Roman" w:hAnsi="Times New Roman"/>
          <w:snapToGrid w:val="0"/>
          <w:color w:val="000000" w:themeColor="text1"/>
        </w:rPr>
        <w:t xml:space="preserve">&amp; </w:t>
      </w:r>
      <w:r w:rsidRPr="00626C97" w:rsidR="00D62F1B">
        <w:rPr>
          <w:rFonts w:ascii="Times New Roman" w:hAnsi="Times New Roman"/>
          <w:snapToGrid w:val="0"/>
          <w:color w:val="000000" w:themeColor="text1"/>
        </w:rPr>
        <w:t xml:space="preserve">and </w:t>
      </w:r>
      <w:r w:rsidRPr="00626C97">
        <w:rPr>
          <w:rFonts w:ascii="Times New Roman" w:hAnsi="Times New Roman"/>
          <w:snapToGrid w:val="0"/>
          <w:color w:val="000000" w:themeColor="text1"/>
        </w:rPr>
        <w:t>Deloitte Consulting LLP</w:t>
      </w:r>
      <w:r w:rsidRPr="00626C97" w:rsidR="002A424A">
        <w:rPr>
          <w:rFonts w:ascii="Times New Roman" w:hAnsi="Times New Roman"/>
          <w:snapToGrid w:val="0"/>
          <w:color w:val="000000" w:themeColor="text1"/>
        </w:rPr>
        <w:t>,</w:t>
      </w:r>
      <w:r w:rsidRPr="00626C97">
        <w:rPr>
          <w:rFonts w:ascii="Times New Roman" w:hAnsi="Times New Roman"/>
          <w:snapToGrid w:val="0"/>
          <w:color w:val="000000" w:themeColor="text1"/>
        </w:rPr>
        <w:t xml:space="preserve"> has been contracted by the FEMA </w:t>
      </w:r>
      <w:r w:rsidRPr="00626C97" w:rsidR="002A424A">
        <w:rPr>
          <w:rFonts w:ascii="Times New Roman" w:hAnsi="Times New Roman"/>
          <w:snapToGrid w:val="0"/>
          <w:color w:val="000000" w:themeColor="text1"/>
        </w:rPr>
        <w:t>NFIP</w:t>
      </w:r>
      <w:r w:rsidRPr="00626C97">
        <w:rPr>
          <w:rFonts w:ascii="Times New Roman" w:hAnsi="Times New Roman"/>
          <w:snapToGrid w:val="0"/>
          <w:color w:val="000000" w:themeColor="text1"/>
        </w:rPr>
        <w:t xml:space="preserve"> to conduct </w:t>
      </w:r>
      <w:r w:rsidRPr="00626C97" w:rsidR="002A424A">
        <w:rPr>
          <w:rFonts w:ascii="Times New Roman" w:hAnsi="Times New Roman"/>
          <w:snapToGrid w:val="0"/>
          <w:color w:val="000000" w:themeColor="text1"/>
        </w:rPr>
        <w:t>all</w:t>
      </w:r>
      <w:r w:rsidRPr="00626C97">
        <w:rPr>
          <w:rFonts w:ascii="Times New Roman" w:hAnsi="Times New Roman"/>
          <w:snapToGrid w:val="0"/>
          <w:color w:val="000000" w:themeColor="text1"/>
        </w:rPr>
        <w:t xml:space="preserve"> </w:t>
      </w:r>
      <w:r w:rsidRPr="00626C97" w:rsidR="002A424A">
        <w:rPr>
          <w:rFonts w:ascii="Times New Roman" w:hAnsi="Times New Roman"/>
          <w:snapToGrid w:val="0"/>
          <w:color w:val="000000" w:themeColor="text1"/>
        </w:rPr>
        <w:t xml:space="preserve">generalizable and non-generalizable </w:t>
      </w:r>
      <w:r w:rsidRPr="00626C97">
        <w:rPr>
          <w:rFonts w:ascii="Times New Roman" w:hAnsi="Times New Roman"/>
          <w:snapToGrid w:val="0"/>
          <w:color w:val="000000" w:themeColor="text1"/>
        </w:rPr>
        <w:t xml:space="preserve">data collection and analyze </w:t>
      </w:r>
      <w:r w:rsidRPr="00626C97" w:rsidR="002A424A">
        <w:rPr>
          <w:rFonts w:ascii="Times New Roman" w:hAnsi="Times New Roman"/>
          <w:snapToGrid w:val="0"/>
          <w:color w:val="000000" w:themeColor="text1"/>
        </w:rPr>
        <w:t>procedures</w:t>
      </w:r>
      <w:r w:rsidRPr="00626C97">
        <w:rPr>
          <w:rFonts w:ascii="Times New Roman" w:hAnsi="Times New Roman"/>
          <w:snapToGrid w:val="0"/>
          <w:color w:val="000000" w:themeColor="text1"/>
        </w:rPr>
        <w:t xml:space="preserve">. The individuals consulted on the </w:t>
      </w:r>
      <w:r w:rsidRPr="00626C97">
        <w:rPr>
          <w:rFonts w:ascii="Times New Roman" w:hAnsi="Times New Roman"/>
          <w:color w:val="000000" w:themeColor="text1"/>
        </w:rPr>
        <w:t xml:space="preserve">statistical aspects of design are: </w:t>
      </w:r>
    </w:p>
    <w:p w:rsidR="00F037C8" w:rsidRPr="00626C97" w:rsidP="00626C97" w14:paraId="3BE40780"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hAnsi="Times New Roman"/>
          <w:color w:val="000000" w:themeColor="text1"/>
        </w:rPr>
      </w:pPr>
    </w:p>
    <w:p w:rsidR="002F55E7" w:rsidRPr="00626C97" w:rsidP="00626C97" w14:paraId="6577B0E2" w14:textId="2FAD5A2A">
      <w:pPr>
        <w:spacing w:line="276" w:lineRule="auto"/>
        <w:contextualSpacing/>
        <w:rPr>
          <w:rFonts w:ascii="Times New Roman" w:hAnsi="Times New Roman"/>
          <w:b/>
          <w:bCs/>
          <w:color w:val="000000" w:themeColor="text1"/>
        </w:rPr>
      </w:pPr>
      <w:r w:rsidRPr="00626C97">
        <w:rPr>
          <w:rFonts w:ascii="Times New Roman" w:hAnsi="Times New Roman"/>
          <w:b/>
          <w:bCs/>
          <w:color w:val="000000" w:themeColor="text1"/>
        </w:rPr>
        <w:t>Ruxi Giura</w:t>
      </w:r>
      <w:r w:rsidRPr="00626C97" w:rsidR="00757A25">
        <w:rPr>
          <w:rFonts w:ascii="Times New Roman" w:hAnsi="Times New Roman"/>
          <w:b/>
          <w:bCs/>
          <w:color w:val="000000" w:themeColor="text1"/>
        </w:rPr>
        <w:t>, MA</w:t>
      </w:r>
    </w:p>
    <w:p w:rsidR="002F55E7" w:rsidRPr="00626C97" w:rsidP="00626C97" w14:paraId="3BC9AA30" w14:textId="77777777">
      <w:pPr>
        <w:spacing w:line="276" w:lineRule="auto"/>
        <w:contextualSpacing/>
        <w:rPr>
          <w:rFonts w:ascii="Times New Roman" w:hAnsi="Times New Roman"/>
          <w:color w:val="000000" w:themeColor="text1"/>
        </w:rPr>
      </w:pPr>
      <w:r w:rsidRPr="00626C97">
        <w:rPr>
          <w:rFonts w:ascii="Times New Roman" w:hAnsi="Times New Roman"/>
          <w:color w:val="000000" w:themeColor="text1"/>
        </w:rPr>
        <w:t>Digital Insurance Communications Specialist</w:t>
      </w:r>
    </w:p>
    <w:p w:rsidR="002F55E7" w:rsidRPr="00626C97" w:rsidP="00626C97" w14:paraId="4292D658" w14:textId="77777777">
      <w:pPr>
        <w:spacing w:line="276" w:lineRule="auto"/>
        <w:contextualSpacing/>
        <w:rPr>
          <w:rFonts w:ascii="Times New Roman" w:hAnsi="Times New Roman"/>
          <w:color w:val="000000" w:themeColor="text1"/>
        </w:rPr>
      </w:pPr>
      <w:r w:rsidRPr="00626C97">
        <w:rPr>
          <w:rFonts w:ascii="Times New Roman" w:hAnsi="Times New Roman"/>
          <w:color w:val="000000" w:themeColor="text1"/>
        </w:rPr>
        <w:t>Marketing &amp; Outreach | Federal Insurance | Federal Insurance and Mitigation Administration</w:t>
      </w:r>
    </w:p>
    <w:p w:rsidR="002F55E7" w:rsidRPr="00626C97" w:rsidP="00626C97" w14:paraId="1635BED2" w14:textId="36AA0333">
      <w:pPr>
        <w:spacing w:line="276" w:lineRule="auto"/>
        <w:contextualSpacing/>
        <w:rPr>
          <w:rFonts w:ascii="Times New Roman" w:hAnsi="Times New Roman"/>
          <w:color w:val="000000" w:themeColor="text1"/>
        </w:rPr>
      </w:pPr>
      <w:r w:rsidRPr="00626C97">
        <w:rPr>
          <w:rFonts w:ascii="Times New Roman" w:hAnsi="Times New Roman"/>
          <w:color w:val="000000" w:themeColor="text1"/>
        </w:rPr>
        <w:t>Office: 202-316-5766</w:t>
      </w:r>
    </w:p>
    <w:p w:rsidR="002F55E7" w:rsidRPr="00626C97" w:rsidP="00626C97" w14:paraId="5D2DE251" w14:textId="2E71A782">
      <w:pPr>
        <w:spacing w:line="276" w:lineRule="auto"/>
        <w:contextualSpacing/>
        <w:rPr>
          <w:rFonts w:ascii="Times New Roman" w:hAnsi="Times New Roman"/>
        </w:rPr>
      </w:pPr>
      <w:hyperlink r:id="rId9" w:history="1">
        <w:r w:rsidRPr="00626C97">
          <w:rPr>
            <w:rStyle w:val="Hyperlink"/>
            <w:sz w:val="24"/>
          </w:rPr>
          <w:t>ruxandra.giura@fema.dhs.gov</w:t>
        </w:r>
      </w:hyperlink>
      <w:r w:rsidRPr="00626C97">
        <w:rPr>
          <w:rFonts w:ascii="Times New Roman" w:hAnsi="Times New Roman"/>
        </w:rPr>
        <w:t xml:space="preserve"> </w:t>
      </w:r>
    </w:p>
    <w:p w:rsidR="00F037C8" w:rsidRPr="00626C97" w:rsidP="00626C97" w14:paraId="7DCBDE3D" w14:textId="77777777">
      <w:pPr>
        <w:spacing w:line="276" w:lineRule="auto"/>
        <w:contextualSpacing/>
        <w:rPr>
          <w:rFonts w:ascii="Times New Roman" w:hAnsi="Times New Roman"/>
          <w:b/>
          <w:bCs/>
        </w:rPr>
      </w:pPr>
    </w:p>
    <w:p w:rsidR="00F037C8" w:rsidRPr="00626C97" w:rsidP="00626C97" w14:paraId="1119C845" w14:textId="3A86BEEF">
      <w:pPr>
        <w:spacing w:line="276" w:lineRule="auto"/>
        <w:contextualSpacing/>
        <w:rPr>
          <w:rFonts w:ascii="Times New Roman" w:hAnsi="Times New Roman"/>
          <w:b/>
          <w:bCs/>
        </w:rPr>
      </w:pPr>
      <w:r w:rsidRPr="00626C97">
        <w:rPr>
          <w:rFonts w:ascii="Times New Roman" w:hAnsi="Times New Roman"/>
          <w:b/>
          <w:bCs/>
        </w:rPr>
        <w:t>Rhodri Dierst-Davies</w:t>
      </w:r>
      <w:r w:rsidRPr="00626C97">
        <w:rPr>
          <w:rFonts w:ascii="Times New Roman" w:hAnsi="Times New Roman"/>
          <w:b/>
          <w:bCs/>
        </w:rPr>
        <w:t>,</w:t>
      </w:r>
      <w:r w:rsidRPr="00626C97">
        <w:rPr>
          <w:rFonts w:ascii="Times New Roman" w:hAnsi="Times New Roman"/>
          <w:b/>
          <w:bCs/>
        </w:rPr>
        <w:t xml:space="preserve"> PhD, MPH</w:t>
      </w:r>
    </w:p>
    <w:p w:rsidR="00F037C8" w:rsidRPr="00626C97" w:rsidP="00626C97" w14:paraId="2524A728" w14:textId="6BACE520">
      <w:pPr>
        <w:spacing w:line="276" w:lineRule="auto"/>
        <w:contextualSpacing/>
        <w:rPr>
          <w:rFonts w:ascii="Times New Roman" w:hAnsi="Times New Roman"/>
        </w:rPr>
      </w:pPr>
      <w:r w:rsidRPr="00626C97">
        <w:rPr>
          <w:rFonts w:ascii="Times New Roman" w:hAnsi="Times New Roman"/>
        </w:rPr>
        <w:t>Evaluation Subject Matter Expert</w:t>
      </w:r>
      <w:r w:rsidRPr="00626C97" w:rsidR="000219B2">
        <w:rPr>
          <w:rFonts w:ascii="Times New Roman" w:hAnsi="Times New Roman"/>
        </w:rPr>
        <w:t xml:space="preserve"> &amp; Principal Investigator </w:t>
      </w:r>
    </w:p>
    <w:p w:rsidR="00F037C8" w:rsidRPr="00626C97" w:rsidP="00626C97" w14:paraId="0A2D63D4" w14:textId="0C78267A">
      <w:pPr>
        <w:spacing w:line="276" w:lineRule="auto"/>
        <w:contextualSpacing/>
        <w:rPr>
          <w:rFonts w:ascii="Times New Roman" w:hAnsi="Times New Roman"/>
        </w:rPr>
      </w:pPr>
      <w:r w:rsidRPr="00626C97">
        <w:rPr>
          <w:rFonts w:ascii="Times New Roman" w:hAnsi="Times New Roman"/>
        </w:rPr>
        <w:t>Deloitte Consulting</w:t>
      </w:r>
      <w:r w:rsidRPr="00626C97" w:rsidR="002F55E7">
        <w:rPr>
          <w:rFonts w:ascii="Times New Roman" w:hAnsi="Times New Roman"/>
        </w:rPr>
        <w:t xml:space="preserve"> LLP</w:t>
      </w:r>
    </w:p>
    <w:p w:rsidR="00F037C8" w:rsidRPr="00626C97" w:rsidP="00626C97" w14:paraId="0A5B7BA2" w14:textId="04CE46CF">
      <w:pPr>
        <w:spacing w:line="276" w:lineRule="auto"/>
        <w:contextualSpacing/>
        <w:rPr>
          <w:rFonts w:ascii="Times New Roman" w:hAnsi="Times New Roman"/>
        </w:rPr>
      </w:pPr>
      <w:r w:rsidRPr="00626C97">
        <w:rPr>
          <w:rFonts w:ascii="Times New Roman" w:hAnsi="Times New Roman"/>
        </w:rPr>
        <w:t>555 Mission Street</w:t>
      </w:r>
    </w:p>
    <w:p w:rsidR="00F037C8" w:rsidRPr="00626C97" w:rsidP="00626C97" w14:paraId="72A2B17E" w14:textId="0A88CFC3">
      <w:pPr>
        <w:spacing w:line="276" w:lineRule="auto"/>
        <w:contextualSpacing/>
        <w:rPr>
          <w:rFonts w:ascii="Times New Roman" w:hAnsi="Times New Roman"/>
        </w:rPr>
      </w:pPr>
      <w:r w:rsidRPr="00626C97">
        <w:rPr>
          <w:rFonts w:ascii="Times New Roman" w:hAnsi="Times New Roman"/>
        </w:rPr>
        <w:t xml:space="preserve">San Francisco, CA </w:t>
      </w:r>
      <w:r w:rsidRPr="00626C97" w:rsidR="00D62F1B">
        <w:rPr>
          <w:rFonts w:ascii="Times New Roman" w:hAnsi="Times New Roman"/>
        </w:rPr>
        <w:t>94105</w:t>
      </w:r>
    </w:p>
    <w:p w:rsidR="00F037C8" w:rsidRPr="00626C97" w:rsidP="00626C97" w14:paraId="66801F17" w14:textId="59DBEB4F">
      <w:pPr>
        <w:spacing w:line="276" w:lineRule="auto"/>
        <w:contextualSpacing/>
        <w:rPr>
          <w:rFonts w:ascii="Times New Roman" w:hAnsi="Times New Roman"/>
        </w:rPr>
      </w:pPr>
      <w:r w:rsidRPr="00626C97">
        <w:rPr>
          <w:rFonts w:ascii="Times New Roman" w:hAnsi="Times New Roman"/>
        </w:rPr>
        <w:t>(</w:t>
      </w:r>
      <w:r w:rsidRPr="00626C97" w:rsidR="002F55E7">
        <w:rPr>
          <w:rFonts w:ascii="Times New Roman" w:hAnsi="Times New Roman"/>
        </w:rPr>
        <w:t>415</w:t>
      </w:r>
      <w:r w:rsidRPr="00626C97">
        <w:rPr>
          <w:rFonts w:ascii="Times New Roman" w:hAnsi="Times New Roman"/>
        </w:rPr>
        <w:t xml:space="preserve">) </w:t>
      </w:r>
      <w:r w:rsidRPr="00626C97" w:rsidR="00890C17">
        <w:rPr>
          <w:rFonts w:ascii="Times New Roman" w:hAnsi="Times New Roman"/>
        </w:rPr>
        <w:t>336</w:t>
      </w:r>
      <w:r w:rsidRPr="00626C97">
        <w:rPr>
          <w:rFonts w:ascii="Times New Roman" w:hAnsi="Times New Roman"/>
        </w:rPr>
        <w:t>-</w:t>
      </w:r>
      <w:r w:rsidRPr="00626C97" w:rsidR="00890C17">
        <w:rPr>
          <w:rFonts w:ascii="Times New Roman" w:hAnsi="Times New Roman"/>
        </w:rPr>
        <w:t>8935</w:t>
      </w:r>
    </w:p>
    <w:p w:rsidR="00F037C8" w:rsidRPr="00626C97" w:rsidP="00626C97" w14:paraId="5C3599FC" w14:textId="3E4537A2">
      <w:pPr>
        <w:spacing w:line="276" w:lineRule="auto"/>
        <w:contextualSpacing/>
        <w:rPr>
          <w:rFonts w:ascii="Times New Roman" w:hAnsi="Times New Roman"/>
        </w:rPr>
      </w:pPr>
      <w:hyperlink r:id="rId10" w:history="1">
        <w:r w:rsidRPr="00626C97" w:rsidR="002F55E7">
          <w:rPr>
            <w:rStyle w:val="Hyperlink"/>
            <w:sz w:val="24"/>
          </w:rPr>
          <w:t>rdierstdavies@deloitte.com</w:t>
        </w:r>
      </w:hyperlink>
    </w:p>
    <w:p w:rsidR="0057605A" w:rsidRPr="00626C97" w:rsidP="00626C97" w14:paraId="7D1871EE" w14:textId="5059EE06">
      <w:pPr>
        <w:tabs>
          <w:tab w:val="left" w:pos="-1440"/>
        </w:tabs>
        <w:spacing w:line="276" w:lineRule="auto"/>
        <w:contextualSpacing/>
        <w:jc w:val="both"/>
        <w:rPr>
          <w:rFonts w:ascii="Times New Roman" w:hAnsi="Times New Roman"/>
        </w:rPr>
      </w:pPr>
    </w:p>
    <w:p w:rsidR="00837102" w:rsidRPr="00626C97" w:rsidP="00626C97" w14:paraId="78841A94" w14:textId="16A10261">
      <w:pPr>
        <w:tabs>
          <w:tab w:val="left" w:pos="-1440"/>
        </w:tabs>
        <w:spacing w:line="276" w:lineRule="auto"/>
        <w:contextualSpacing/>
        <w:jc w:val="both"/>
        <w:rPr>
          <w:rFonts w:ascii="Times New Roman" w:hAnsi="Times New Roman"/>
          <w:b/>
          <w:bCs/>
        </w:rPr>
      </w:pPr>
      <w:r w:rsidRPr="00626C97">
        <w:rPr>
          <w:rFonts w:ascii="Times New Roman" w:hAnsi="Times New Roman"/>
          <w:b/>
          <w:bCs/>
        </w:rPr>
        <w:t>Andrew Teie</w:t>
      </w:r>
      <w:r w:rsidRPr="00626C97">
        <w:rPr>
          <w:rFonts w:ascii="Times New Roman" w:hAnsi="Times New Roman"/>
          <w:b/>
          <w:bCs/>
        </w:rPr>
        <w:t>, B</w:t>
      </w:r>
      <w:r w:rsidRPr="00626C97" w:rsidR="00244165">
        <w:rPr>
          <w:rFonts w:ascii="Times New Roman" w:hAnsi="Times New Roman"/>
          <w:b/>
          <w:bCs/>
        </w:rPr>
        <w:t>S</w:t>
      </w:r>
    </w:p>
    <w:p w:rsidR="00837102" w:rsidRPr="00626C97" w:rsidP="00626C97" w14:paraId="2118FACE" w14:textId="77777777">
      <w:pPr>
        <w:tabs>
          <w:tab w:val="left" w:pos="-1440"/>
        </w:tabs>
        <w:spacing w:line="276" w:lineRule="auto"/>
        <w:contextualSpacing/>
        <w:jc w:val="both"/>
        <w:rPr>
          <w:rFonts w:ascii="Times New Roman" w:hAnsi="Times New Roman"/>
        </w:rPr>
      </w:pPr>
      <w:r w:rsidRPr="00626C97">
        <w:rPr>
          <w:rFonts w:ascii="Times New Roman" w:hAnsi="Times New Roman"/>
        </w:rPr>
        <w:t>Vice President of Brand Strategy and Customer Experience</w:t>
      </w:r>
    </w:p>
    <w:p w:rsidR="00837102" w:rsidRPr="00626C97" w:rsidP="00626C97" w14:paraId="2E894BA2" w14:textId="77777777">
      <w:pPr>
        <w:tabs>
          <w:tab w:val="left" w:pos="-1440"/>
        </w:tabs>
        <w:spacing w:line="276" w:lineRule="auto"/>
        <w:contextualSpacing/>
        <w:jc w:val="both"/>
        <w:rPr>
          <w:rFonts w:ascii="Times New Roman" w:hAnsi="Times New Roman"/>
        </w:rPr>
      </w:pPr>
      <w:r w:rsidRPr="00626C97">
        <w:rPr>
          <w:rFonts w:ascii="Times New Roman" w:hAnsi="Times New Roman"/>
        </w:rPr>
        <w:t>Yes&amp; Agency</w:t>
      </w:r>
    </w:p>
    <w:p w:rsidR="00014487" w:rsidRPr="00626C97" w:rsidP="00626C97" w14:paraId="021BC664" w14:textId="0D28A5E7">
      <w:pPr>
        <w:tabs>
          <w:tab w:val="left" w:pos="-1440"/>
        </w:tabs>
        <w:spacing w:line="276" w:lineRule="auto"/>
        <w:contextualSpacing/>
        <w:jc w:val="both"/>
        <w:rPr>
          <w:rFonts w:ascii="Times New Roman" w:hAnsi="Times New Roman"/>
        </w:rPr>
      </w:pPr>
      <w:r w:rsidRPr="00626C97">
        <w:rPr>
          <w:rFonts w:ascii="Times New Roman" w:hAnsi="Times New Roman"/>
        </w:rPr>
        <w:t>1700 Diagonal Road, #450</w:t>
      </w:r>
    </w:p>
    <w:p w:rsidR="004B2342" w:rsidRPr="00626C97" w:rsidP="00626C97" w14:paraId="6B7141CB" w14:textId="3FFBAF19">
      <w:pPr>
        <w:tabs>
          <w:tab w:val="left" w:pos="-1440"/>
        </w:tabs>
        <w:spacing w:line="276" w:lineRule="auto"/>
        <w:contextualSpacing/>
        <w:jc w:val="both"/>
        <w:rPr>
          <w:rFonts w:ascii="Times New Roman" w:hAnsi="Times New Roman"/>
        </w:rPr>
      </w:pPr>
      <w:r w:rsidRPr="00626C97">
        <w:rPr>
          <w:rFonts w:ascii="Times New Roman" w:hAnsi="Times New Roman"/>
        </w:rPr>
        <w:t>Alexandria, VA 22314</w:t>
      </w:r>
    </w:p>
    <w:p w:rsidR="004B2342" w:rsidRPr="00626C97" w:rsidP="00626C97" w14:paraId="357928C6" w14:textId="1C0AB5CF">
      <w:pPr>
        <w:tabs>
          <w:tab w:val="left" w:pos="-1440"/>
        </w:tabs>
        <w:spacing w:line="276" w:lineRule="auto"/>
        <w:contextualSpacing/>
        <w:jc w:val="both"/>
        <w:rPr>
          <w:rFonts w:ascii="Times New Roman" w:hAnsi="Times New Roman"/>
        </w:rPr>
      </w:pPr>
      <w:hyperlink r:id="rId11" w:history="1">
        <w:r w:rsidRPr="00626C97" w:rsidR="00244165">
          <w:rPr>
            <w:rStyle w:val="Hyperlink"/>
            <w:sz w:val="24"/>
          </w:rPr>
          <w:t>ateie@yesandagency.com</w:t>
        </w:r>
      </w:hyperlink>
      <w:r w:rsidRPr="00626C97" w:rsidR="00244165">
        <w:rPr>
          <w:rFonts w:ascii="Times New Roman" w:hAnsi="Times New Roman"/>
        </w:rPr>
        <w:t xml:space="preserve"> </w:t>
      </w:r>
    </w:p>
    <w:p w:rsidR="00E91139" w:rsidRPr="00626C97" w:rsidP="00626C97" w14:paraId="021BC665" w14:textId="2823F795">
      <w:pPr>
        <w:spacing w:line="276" w:lineRule="auto"/>
        <w:contextualSpacing/>
        <w:jc w:val="both"/>
        <w:rPr>
          <w:rFonts w:ascii="Times New Roman" w:hAnsi="Times New Roman"/>
          <w:color w:val="000000" w:themeColor="text1"/>
        </w:rPr>
      </w:pPr>
    </w:p>
    <w:p w:rsidR="00E0065A" w:rsidRPr="00626C97" w:rsidP="00626C97" w14:paraId="4A52C33D" w14:textId="28F0D55C">
      <w:pPr>
        <w:spacing w:line="276" w:lineRule="auto"/>
        <w:contextualSpacing/>
        <w:rPr>
          <w:rFonts w:ascii="Times New Roman" w:hAnsi="Times New Roman"/>
          <w:color w:val="000000" w:themeColor="text1"/>
        </w:rPr>
      </w:pPr>
      <w:r w:rsidRPr="00626C97">
        <w:rPr>
          <w:rFonts w:ascii="Times New Roman" w:hAnsi="Times New Roman"/>
          <w:color w:val="000000" w:themeColor="text1"/>
        </w:rPr>
        <w:t xml:space="preserve">For other FEMA programs using this generic clearance, the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AC5A0F" w:rsidRPr="00626C97" w:rsidP="00626C97" w14:paraId="06DDE6E0" w14:textId="77777777">
      <w:pPr>
        <w:spacing w:line="276" w:lineRule="auto"/>
        <w:contextualSpacing/>
        <w:jc w:val="both"/>
        <w:rPr>
          <w:rFonts w:ascii="Times New Roman" w:hAnsi="Times New Roman"/>
          <w:color w:val="000000" w:themeColor="text1"/>
        </w:rPr>
      </w:pPr>
    </w:p>
    <w:sectPr w:rsidSect="00B27061">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P="007F5988" w14:paraId="021BC66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14487" w:rsidP="007F5988" w14:paraId="021BC66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14:paraId="021BC66C" w14:textId="77777777">
    <w:pPr>
      <w:spacing w:line="240" w:lineRule="exact"/>
    </w:pPr>
  </w:p>
  <w:p w:rsidR="00014487" w:rsidRPr="000712DA" w:rsidP="007F5988" w14:paraId="021BC66D"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014487" w:rsidP="007F5988" w14:paraId="021BC66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740A" w14:paraId="00A032E6" w14:textId="77777777">
      <w:r>
        <w:separator/>
      </w:r>
    </w:p>
  </w:footnote>
  <w:footnote w:type="continuationSeparator" w:id="1">
    <w:p w:rsidR="0087740A" w14:paraId="0DA8558C" w14:textId="77777777">
      <w:r>
        <w:continuationSeparator/>
      </w:r>
    </w:p>
  </w:footnote>
  <w:footnote w:id="2">
    <w:p w:rsidR="0086077E" w:rsidRPr="009E5BD3" w14:paraId="5AB65451" w14:textId="085FA3A3">
      <w:pPr>
        <w:pStyle w:val="FootnoteText"/>
        <w:rPr>
          <w:rFonts w:ascii="Times New Roman" w:hAnsi="Times New Roman"/>
          <w:sz w:val="18"/>
          <w:szCs w:val="18"/>
        </w:rPr>
      </w:pPr>
      <w:r w:rsidRPr="009E5BD3">
        <w:rPr>
          <w:rStyle w:val="FootnoteReference"/>
          <w:rFonts w:ascii="Times New Roman" w:hAnsi="Times New Roman"/>
          <w:sz w:val="18"/>
          <w:szCs w:val="18"/>
        </w:rPr>
        <w:footnoteRef/>
      </w:r>
      <w:r w:rsidRPr="009E5BD3">
        <w:rPr>
          <w:rFonts w:ascii="Times New Roman" w:hAnsi="Times New Roman"/>
          <w:sz w:val="18"/>
          <w:szCs w:val="18"/>
        </w:rPr>
        <w:t xml:space="preserve"> Mansournia M A, Altman D G. Inverse probability weighting BMJ 2016; 352 :i189 doi:10.1136/bmj.i189 </w:t>
      </w:r>
    </w:p>
  </w:footnote>
  <w:footnote w:id="3">
    <w:p w:rsidR="00991AF1" w:rsidRPr="009E5BD3" w:rsidP="00991AF1" w14:paraId="5222D386" w14:textId="77777777">
      <w:pPr>
        <w:pStyle w:val="FootnoteText"/>
        <w:rPr>
          <w:rFonts w:ascii="Times New Roman" w:hAnsi="Times New Roman"/>
          <w:sz w:val="18"/>
          <w:szCs w:val="18"/>
        </w:rPr>
      </w:pPr>
      <w:r w:rsidRPr="009E5BD3">
        <w:rPr>
          <w:rStyle w:val="FootnoteReference"/>
          <w:rFonts w:ascii="Times New Roman" w:hAnsi="Times New Roman"/>
          <w:sz w:val="18"/>
          <w:szCs w:val="18"/>
        </w:rPr>
        <w:footnoteRef/>
      </w:r>
      <w:r w:rsidRPr="009E5BD3">
        <w:rPr>
          <w:rFonts w:ascii="Times New Roman" w:hAnsi="Times New Roman"/>
          <w:sz w:val="18"/>
          <w:szCs w:val="18"/>
        </w:rPr>
        <w:t xml:space="preserve"> Anesrake Package Documentation. </w:t>
      </w:r>
      <w:hyperlink r:id="rId1" w:history="1">
        <w:r w:rsidRPr="009E5BD3">
          <w:rPr>
            <w:rStyle w:val="Hyperlink"/>
            <w:sz w:val="18"/>
            <w:szCs w:val="18"/>
          </w:rPr>
          <w:t>https://cran.r-project.org/web/packages/anesrake/anesrake.pdf</w:t>
        </w:r>
      </w:hyperlink>
    </w:p>
  </w:footnote>
  <w:footnote w:id="4">
    <w:p w:rsidR="00F1401B" w:rsidRPr="009E5BD3" w:rsidP="00F1401B" w14:paraId="2A48298A" w14:textId="77777777">
      <w:pPr>
        <w:pStyle w:val="FootnoteText"/>
        <w:rPr>
          <w:rFonts w:ascii="Times New Roman" w:hAnsi="Times New Roman"/>
          <w:sz w:val="18"/>
          <w:szCs w:val="18"/>
        </w:rPr>
      </w:pPr>
      <w:r w:rsidRPr="009E5BD3">
        <w:rPr>
          <w:rStyle w:val="FootnoteReference"/>
          <w:rFonts w:ascii="Times New Roman" w:hAnsi="Times New Roman"/>
          <w:sz w:val="18"/>
          <w:szCs w:val="18"/>
        </w:rPr>
        <w:footnoteRef/>
      </w:r>
      <w:r w:rsidRPr="009E5BD3">
        <w:rPr>
          <w:rFonts w:ascii="Times New Roman" w:hAnsi="Times New Roman"/>
          <w:sz w:val="18"/>
          <w:szCs w:val="18"/>
        </w:rPr>
        <w:t xml:space="preserve"> Kontopantelis E, White IR, Sperrin M, Buchan I. Outcome-sensitive multiple imputation: a simulation study. BMC Med Res Methodol. 2017;17(1):2. Published 2017 Jan 9. doi:10.1186/s12874-016-0281-5</w:t>
      </w:r>
    </w:p>
  </w:footnote>
  <w:footnote w:id="5">
    <w:p w:rsidR="00F1401B" w:rsidRPr="009E5BD3" w:rsidP="00F1401B" w14:paraId="2D6E67A7" w14:textId="77777777">
      <w:pPr>
        <w:pStyle w:val="FootnoteText"/>
        <w:rPr>
          <w:rFonts w:ascii="Times New Roman" w:hAnsi="Times New Roman"/>
          <w:sz w:val="18"/>
          <w:szCs w:val="18"/>
        </w:rPr>
      </w:pPr>
      <w:r w:rsidRPr="009E5BD3">
        <w:rPr>
          <w:rStyle w:val="FootnoteReference"/>
          <w:rFonts w:ascii="Times New Roman" w:hAnsi="Times New Roman"/>
          <w:sz w:val="18"/>
          <w:szCs w:val="18"/>
        </w:rPr>
        <w:footnoteRef/>
      </w:r>
      <w:r w:rsidRPr="009E5BD3">
        <w:rPr>
          <w:rFonts w:ascii="Times New Roman" w:hAnsi="Times New Roman"/>
          <w:sz w:val="18"/>
          <w:szCs w:val="18"/>
        </w:rPr>
        <w:t xml:space="preserve"> Yuan, Yang C. (2010). "Multiple imputation for missing data: Concepts and new development" (PDF). SAS Institute Inc., Rockville, MD. 49: 1–11.</w:t>
      </w:r>
    </w:p>
  </w:footnote>
  <w:footnote w:id="6">
    <w:p w:rsidR="00100787" w:rsidP="00100787" w14:paraId="6BF13D61" w14:textId="77777777">
      <w:pPr>
        <w:pStyle w:val="FootnoteText"/>
      </w:pPr>
      <w:r w:rsidRPr="009E5BD3">
        <w:rPr>
          <w:rStyle w:val="FootnoteReference"/>
          <w:rFonts w:ascii="Times New Roman" w:hAnsi="Times New Roman"/>
          <w:sz w:val="18"/>
          <w:szCs w:val="18"/>
        </w:rPr>
        <w:footnoteRef/>
      </w:r>
      <w:r w:rsidRPr="009E5BD3">
        <w:rPr>
          <w:rFonts w:ascii="Times New Roman" w:hAnsi="Times New Roman"/>
          <w:sz w:val="18"/>
          <w:szCs w:val="18"/>
        </w:rPr>
        <w:t xml:space="preserve"> Mukaka M, White SA, Terlouw DJ, Mwapasa V, Kalilani-Phiri L, Faragher EB. Is using multiple imputation better than complete case analysis for estimating a prevalence (risk) difference in randomized controlled trials when binary outcome observations are missing? </w:t>
      </w:r>
      <w:r w:rsidRPr="009E5BD3">
        <w:rPr>
          <w:rFonts w:ascii="Times New Roman" w:hAnsi="Times New Roman"/>
          <w:i/>
          <w:iCs/>
          <w:sz w:val="18"/>
          <w:szCs w:val="18"/>
        </w:rPr>
        <w:t>Trials. 2016</w:t>
      </w:r>
      <w:r w:rsidRPr="009E5BD3">
        <w:rPr>
          <w:rFonts w:ascii="Times New Roman" w:hAnsi="Times New Roman"/>
          <w:sz w:val="18"/>
          <w:szCs w:val="18"/>
        </w:rPr>
        <w:t>;17:341. doi:10.1186/s13063-016-1473-3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F6C5C"/>
    <w:multiLevelType w:val="hybridMultilevel"/>
    <w:tmpl w:val="92E029E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B806C87"/>
    <w:multiLevelType w:val="hybridMultilevel"/>
    <w:tmpl w:val="55E46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DB1EF9"/>
    <w:multiLevelType w:val="hybridMultilevel"/>
    <w:tmpl w:val="42C26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8148F0"/>
    <w:multiLevelType w:val="hybridMultilevel"/>
    <w:tmpl w:val="B7306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AD07A3E"/>
    <w:multiLevelType w:val="hybridMultilevel"/>
    <w:tmpl w:val="9DF663B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904F59"/>
    <w:multiLevelType w:val="hybridMultilevel"/>
    <w:tmpl w:val="7D0E20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95F1D6A"/>
    <w:multiLevelType w:val="hybridMultilevel"/>
    <w:tmpl w:val="5B0E8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D7B2E8D"/>
    <w:multiLevelType w:val="hybridMultilevel"/>
    <w:tmpl w:val="A09AB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9618019">
    <w:abstractNumId w:val="9"/>
  </w:num>
  <w:num w:numId="2" w16cid:durableId="117069526">
    <w:abstractNumId w:val="1"/>
  </w:num>
  <w:num w:numId="3" w16cid:durableId="1143036402">
    <w:abstractNumId w:val="6"/>
  </w:num>
  <w:num w:numId="4" w16cid:durableId="1164468134">
    <w:abstractNumId w:val="10"/>
  </w:num>
  <w:num w:numId="5" w16cid:durableId="1903522230">
    <w:abstractNumId w:val="11"/>
  </w:num>
  <w:num w:numId="6" w16cid:durableId="1414009415">
    <w:abstractNumId w:val="3"/>
  </w:num>
  <w:num w:numId="7" w16cid:durableId="754211223">
    <w:abstractNumId w:val="8"/>
  </w:num>
  <w:num w:numId="8" w16cid:durableId="595794100">
    <w:abstractNumId w:val="4"/>
  </w:num>
  <w:num w:numId="9" w16cid:durableId="1363439858">
    <w:abstractNumId w:val="5"/>
  </w:num>
  <w:num w:numId="10" w16cid:durableId="556168616">
    <w:abstractNumId w:val="7"/>
  </w:num>
  <w:num w:numId="11" w16cid:durableId="725107417">
    <w:abstractNumId w:val="0"/>
  </w:num>
  <w:num w:numId="12" w16cid:durableId="2075279198">
    <w:abstractNumId w:val="12"/>
  </w:num>
  <w:num w:numId="13" w16cid:durableId="393506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883"/>
    <w:rsid w:val="00014487"/>
    <w:rsid w:val="000219B2"/>
    <w:rsid w:val="000254BC"/>
    <w:rsid w:val="00025589"/>
    <w:rsid w:val="0003018B"/>
    <w:rsid w:val="000308E3"/>
    <w:rsid w:val="000554F0"/>
    <w:rsid w:val="00064E85"/>
    <w:rsid w:val="00065D0C"/>
    <w:rsid w:val="000712DA"/>
    <w:rsid w:val="00075276"/>
    <w:rsid w:val="00077302"/>
    <w:rsid w:val="000869D3"/>
    <w:rsid w:val="00092C10"/>
    <w:rsid w:val="000956F2"/>
    <w:rsid w:val="000A2004"/>
    <w:rsid w:val="000A4090"/>
    <w:rsid w:val="000A42FA"/>
    <w:rsid w:val="000A4CCA"/>
    <w:rsid w:val="000A4FD9"/>
    <w:rsid w:val="000A6FCF"/>
    <w:rsid w:val="000B6527"/>
    <w:rsid w:val="000C7971"/>
    <w:rsid w:val="000D33A1"/>
    <w:rsid w:val="000D641C"/>
    <w:rsid w:val="00100787"/>
    <w:rsid w:val="00105163"/>
    <w:rsid w:val="00112C2A"/>
    <w:rsid w:val="00114172"/>
    <w:rsid w:val="001274B3"/>
    <w:rsid w:val="001410E9"/>
    <w:rsid w:val="00141CE8"/>
    <w:rsid w:val="0014216F"/>
    <w:rsid w:val="00150622"/>
    <w:rsid w:val="001770EF"/>
    <w:rsid w:val="00197432"/>
    <w:rsid w:val="001A1224"/>
    <w:rsid w:val="001A267E"/>
    <w:rsid w:val="001A595D"/>
    <w:rsid w:val="001B4EAA"/>
    <w:rsid w:val="001D4AEB"/>
    <w:rsid w:val="001E3A48"/>
    <w:rsid w:val="001F33AD"/>
    <w:rsid w:val="0021187A"/>
    <w:rsid w:val="00213C56"/>
    <w:rsid w:val="00223C21"/>
    <w:rsid w:val="00224001"/>
    <w:rsid w:val="002254F8"/>
    <w:rsid w:val="00233A42"/>
    <w:rsid w:val="00244165"/>
    <w:rsid w:val="00245514"/>
    <w:rsid w:val="002470FC"/>
    <w:rsid w:val="00247D44"/>
    <w:rsid w:val="0025733E"/>
    <w:rsid w:val="0026546B"/>
    <w:rsid w:val="0026596D"/>
    <w:rsid w:val="00266C20"/>
    <w:rsid w:val="002843E7"/>
    <w:rsid w:val="002854A6"/>
    <w:rsid w:val="00286563"/>
    <w:rsid w:val="00292007"/>
    <w:rsid w:val="002A424A"/>
    <w:rsid w:val="002A4A73"/>
    <w:rsid w:val="002C2AF6"/>
    <w:rsid w:val="002C7BC8"/>
    <w:rsid w:val="002D1479"/>
    <w:rsid w:val="002D6CCE"/>
    <w:rsid w:val="002F1C1C"/>
    <w:rsid w:val="002F4E4C"/>
    <w:rsid w:val="002F55E7"/>
    <w:rsid w:val="003002E7"/>
    <w:rsid w:val="00315217"/>
    <w:rsid w:val="00315A65"/>
    <w:rsid w:val="00320123"/>
    <w:rsid w:val="0035421A"/>
    <w:rsid w:val="00362680"/>
    <w:rsid w:val="00363E38"/>
    <w:rsid w:val="00372E2B"/>
    <w:rsid w:val="00383810"/>
    <w:rsid w:val="003862E4"/>
    <w:rsid w:val="003A26A8"/>
    <w:rsid w:val="003B0CBE"/>
    <w:rsid w:val="003B7F80"/>
    <w:rsid w:val="003C1C92"/>
    <w:rsid w:val="003D4089"/>
    <w:rsid w:val="003F066F"/>
    <w:rsid w:val="003F7848"/>
    <w:rsid w:val="00404F93"/>
    <w:rsid w:val="00412132"/>
    <w:rsid w:val="00420D7E"/>
    <w:rsid w:val="004211BE"/>
    <w:rsid w:val="00440016"/>
    <w:rsid w:val="00464448"/>
    <w:rsid w:val="00497939"/>
    <w:rsid w:val="004A7D04"/>
    <w:rsid w:val="004B2342"/>
    <w:rsid w:val="004B4614"/>
    <w:rsid w:val="004B6C1E"/>
    <w:rsid w:val="004C0D04"/>
    <w:rsid w:val="004E20F4"/>
    <w:rsid w:val="004F1C98"/>
    <w:rsid w:val="004F1FC8"/>
    <w:rsid w:val="004F7444"/>
    <w:rsid w:val="00525E40"/>
    <w:rsid w:val="005365B6"/>
    <w:rsid w:val="00545534"/>
    <w:rsid w:val="00550E66"/>
    <w:rsid w:val="005543AD"/>
    <w:rsid w:val="00564CDD"/>
    <w:rsid w:val="0056533D"/>
    <w:rsid w:val="00567704"/>
    <w:rsid w:val="0057605A"/>
    <w:rsid w:val="00580070"/>
    <w:rsid w:val="00582B9E"/>
    <w:rsid w:val="005B655E"/>
    <w:rsid w:val="005C0489"/>
    <w:rsid w:val="005C227B"/>
    <w:rsid w:val="005D06A7"/>
    <w:rsid w:val="005D2E6D"/>
    <w:rsid w:val="005E598F"/>
    <w:rsid w:val="005E59E2"/>
    <w:rsid w:val="005F456B"/>
    <w:rsid w:val="00603702"/>
    <w:rsid w:val="00604F91"/>
    <w:rsid w:val="00626C97"/>
    <w:rsid w:val="00653A03"/>
    <w:rsid w:val="006615A7"/>
    <w:rsid w:val="0066582C"/>
    <w:rsid w:val="0067341A"/>
    <w:rsid w:val="006753EC"/>
    <w:rsid w:val="00681534"/>
    <w:rsid w:val="0069616D"/>
    <w:rsid w:val="006B0B31"/>
    <w:rsid w:val="006B1C31"/>
    <w:rsid w:val="006B4189"/>
    <w:rsid w:val="006B6379"/>
    <w:rsid w:val="006C1F81"/>
    <w:rsid w:val="006C4A36"/>
    <w:rsid w:val="006E3472"/>
    <w:rsid w:val="006E405C"/>
    <w:rsid w:val="006E7432"/>
    <w:rsid w:val="006F018D"/>
    <w:rsid w:val="006F1BA4"/>
    <w:rsid w:val="00702080"/>
    <w:rsid w:val="00702D1D"/>
    <w:rsid w:val="00704CFE"/>
    <w:rsid w:val="00707F00"/>
    <w:rsid w:val="0071189D"/>
    <w:rsid w:val="007168C0"/>
    <w:rsid w:val="0072562E"/>
    <w:rsid w:val="00730153"/>
    <w:rsid w:val="007312F9"/>
    <w:rsid w:val="00732F5C"/>
    <w:rsid w:val="0075056E"/>
    <w:rsid w:val="00755F6C"/>
    <w:rsid w:val="00756CAF"/>
    <w:rsid w:val="00757A25"/>
    <w:rsid w:val="0076194D"/>
    <w:rsid w:val="00765E88"/>
    <w:rsid w:val="00766F86"/>
    <w:rsid w:val="007734F5"/>
    <w:rsid w:val="00777B4A"/>
    <w:rsid w:val="00782E1E"/>
    <w:rsid w:val="007900FD"/>
    <w:rsid w:val="007A4405"/>
    <w:rsid w:val="007A7069"/>
    <w:rsid w:val="007B788B"/>
    <w:rsid w:val="007C35EA"/>
    <w:rsid w:val="007E6CEF"/>
    <w:rsid w:val="007E6F17"/>
    <w:rsid w:val="007F3F5E"/>
    <w:rsid w:val="007F4D19"/>
    <w:rsid w:val="007F5988"/>
    <w:rsid w:val="00806D4E"/>
    <w:rsid w:val="00807BA2"/>
    <w:rsid w:val="00830DE6"/>
    <w:rsid w:val="00833B6C"/>
    <w:rsid w:val="00837102"/>
    <w:rsid w:val="00845576"/>
    <w:rsid w:val="0086077E"/>
    <w:rsid w:val="00866E70"/>
    <w:rsid w:val="0087740A"/>
    <w:rsid w:val="00890C17"/>
    <w:rsid w:val="00891532"/>
    <w:rsid w:val="008A50F2"/>
    <w:rsid w:val="008B2042"/>
    <w:rsid w:val="008D0740"/>
    <w:rsid w:val="008D3BD8"/>
    <w:rsid w:val="008D7291"/>
    <w:rsid w:val="008E0892"/>
    <w:rsid w:val="008E64E8"/>
    <w:rsid w:val="008F2774"/>
    <w:rsid w:val="008F4CFB"/>
    <w:rsid w:val="008F6E46"/>
    <w:rsid w:val="008F7DF2"/>
    <w:rsid w:val="00910B96"/>
    <w:rsid w:val="009111AF"/>
    <w:rsid w:val="00913539"/>
    <w:rsid w:val="00914457"/>
    <w:rsid w:val="00916D7D"/>
    <w:rsid w:val="009173DA"/>
    <w:rsid w:val="00924FE9"/>
    <w:rsid w:val="00983A36"/>
    <w:rsid w:val="00991AF1"/>
    <w:rsid w:val="009948B1"/>
    <w:rsid w:val="009C52EB"/>
    <w:rsid w:val="009C76A4"/>
    <w:rsid w:val="009D68C6"/>
    <w:rsid w:val="009E5BD3"/>
    <w:rsid w:val="009F0C57"/>
    <w:rsid w:val="009F15D0"/>
    <w:rsid w:val="009F58E3"/>
    <w:rsid w:val="00A01EE4"/>
    <w:rsid w:val="00A052F6"/>
    <w:rsid w:val="00A13D77"/>
    <w:rsid w:val="00A31798"/>
    <w:rsid w:val="00A46849"/>
    <w:rsid w:val="00A537C2"/>
    <w:rsid w:val="00A653D5"/>
    <w:rsid w:val="00A702AC"/>
    <w:rsid w:val="00A73806"/>
    <w:rsid w:val="00A76AC1"/>
    <w:rsid w:val="00A77184"/>
    <w:rsid w:val="00AA6941"/>
    <w:rsid w:val="00AB464A"/>
    <w:rsid w:val="00AB64D9"/>
    <w:rsid w:val="00AC121A"/>
    <w:rsid w:val="00AC2FFA"/>
    <w:rsid w:val="00AC41DE"/>
    <w:rsid w:val="00AC5A0F"/>
    <w:rsid w:val="00AC5AC8"/>
    <w:rsid w:val="00AD4175"/>
    <w:rsid w:val="00AD62ED"/>
    <w:rsid w:val="00AD6893"/>
    <w:rsid w:val="00AF3343"/>
    <w:rsid w:val="00B02A36"/>
    <w:rsid w:val="00B0571D"/>
    <w:rsid w:val="00B17288"/>
    <w:rsid w:val="00B17959"/>
    <w:rsid w:val="00B27061"/>
    <w:rsid w:val="00B35242"/>
    <w:rsid w:val="00B407EA"/>
    <w:rsid w:val="00B52C76"/>
    <w:rsid w:val="00B558BF"/>
    <w:rsid w:val="00B60D6C"/>
    <w:rsid w:val="00B64886"/>
    <w:rsid w:val="00B668D7"/>
    <w:rsid w:val="00B7349D"/>
    <w:rsid w:val="00B86EAF"/>
    <w:rsid w:val="00BA3A78"/>
    <w:rsid w:val="00BA725E"/>
    <w:rsid w:val="00BB0BC6"/>
    <w:rsid w:val="00BB614D"/>
    <w:rsid w:val="00BC1D72"/>
    <w:rsid w:val="00BD1385"/>
    <w:rsid w:val="00BD38FE"/>
    <w:rsid w:val="00BD49C0"/>
    <w:rsid w:val="00BD6D70"/>
    <w:rsid w:val="00C1654D"/>
    <w:rsid w:val="00C17A23"/>
    <w:rsid w:val="00C24C54"/>
    <w:rsid w:val="00C250E3"/>
    <w:rsid w:val="00C27845"/>
    <w:rsid w:val="00C33CDA"/>
    <w:rsid w:val="00C345B2"/>
    <w:rsid w:val="00C36B4D"/>
    <w:rsid w:val="00C42D6A"/>
    <w:rsid w:val="00C62A1F"/>
    <w:rsid w:val="00C83A0C"/>
    <w:rsid w:val="00C86B4B"/>
    <w:rsid w:val="00CA28A6"/>
    <w:rsid w:val="00CA616B"/>
    <w:rsid w:val="00CA63DE"/>
    <w:rsid w:val="00CA7362"/>
    <w:rsid w:val="00CB0312"/>
    <w:rsid w:val="00CB3295"/>
    <w:rsid w:val="00CD0E08"/>
    <w:rsid w:val="00CD387C"/>
    <w:rsid w:val="00CD4503"/>
    <w:rsid w:val="00CD6D53"/>
    <w:rsid w:val="00CE511A"/>
    <w:rsid w:val="00D04C7B"/>
    <w:rsid w:val="00D10A81"/>
    <w:rsid w:val="00D13C48"/>
    <w:rsid w:val="00D14492"/>
    <w:rsid w:val="00D15F9C"/>
    <w:rsid w:val="00D4524D"/>
    <w:rsid w:val="00D51932"/>
    <w:rsid w:val="00D52C15"/>
    <w:rsid w:val="00D62F1B"/>
    <w:rsid w:val="00D643E6"/>
    <w:rsid w:val="00D705D8"/>
    <w:rsid w:val="00D877A1"/>
    <w:rsid w:val="00DA0D0A"/>
    <w:rsid w:val="00DC4329"/>
    <w:rsid w:val="00DE08FF"/>
    <w:rsid w:val="00DE39DF"/>
    <w:rsid w:val="00DF0FD5"/>
    <w:rsid w:val="00DF453C"/>
    <w:rsid w:val="00E0065A"/>
    <w:rsid w:val="00E06220"/>
    <w:rsid w:val="00E23153"/>
    <w:rsid w:val="00E405B3"/>
    <w:rsid w:val="00E42C0F"/>
    <w:rsid w:val="00E51CD7"/>
    <w:rsid w:val="00E54593"/>
    <w:rsid w:val="00E572A2"/>
    <w:rsid w:val="00E805A8"/>
    <w:rsid w:val="00E80F79"/>
    <w:rsid w:val="00E865AA"/>
    <w:rsid w:val="00E91139"/>
    <w:rsid w:val="00E91747"/>
    <w:rsid w:val="00E9206C"/>
    <w:rsid w:val="00E932BA"/>
    <w:rsid w:val="00E94A8D"/>
    <w:rsid w:val="00EA4DF8"/>
    <w:rsid w:val="00EA5CD4"/>
    <w:rsid w:val="00EC3504"/>
    <w:rsid w:val="00EC37D9"/>
    <w:rsid w:val="00EC5674"/>
    <w:rsid w:val="00EC78FF"/>
    <w:rsid w:val="00EE17F6"/>
    <w:rsid w:val="00F037C8"/>
    <w:rsid w:val="00F12D55"/>
    <w:rsid w:val="00F1401B"/>
    <w:rsid w:val="00F17026"/>
    <w:rsid w:val="00F23E6E"/>
    <w:rsid w:val="00F30BBB"/>
    <w:rsid w:val="00F82EEF"/>
    <w:rsid w:val="00F939FD"/>
    <w:rsid w:val="00F93B44"/>
    <w:rsid w:val="00F96116"/>
    <w:rsid w:val="00FA0108"/>
    <w:rsid w:val="00FA10D0"/>
    <w:rsid w:val="00FA29FB"/>
    <w:rsid w:val="00FB312D"/>
    <w:rsid w:val="00FC0578"/>
    <w:rsid w:val="00FD036E"/>
    <w:rsid w:val="00FD6CCF"/>
    <w:rsid w:val="00FE2B1A"/>
    <w:rsid w:val="00FE57E5"/>
    <w:rsid w:val="00FE6BF5"/>
    <w:rsid w:val="00FE7AE1"/>
    <w:rsid w:val="00FF5B15"/>
    <w:rsid w:val="018395EF"/>
    <w:rsid w:val="20AA4841"/>
    <w:rsid w:val="2FAE56B7"/>
    <w:rsid w:val="382E726F"/>
    <w:rsid w:val="398F4EFD"/>
    <w:rsid w:val="45976460"/>
    <w:rsid w:val="4C782A77"/>
    <w:rsid w:val="67C7B706"/>
  </w:rsids>
  <w:docVars>
    <w:docVar w:name="__Grammarly_42___1" w:val="H4sIAAAAAAAEAKtWcslP9kxRslIyNDYyM7EwNLAwMjO3MDIxNzZS0lEKTi0uzszPAykwrAUA0jTc1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21BC622"/>
  <w15:chartTrackingRefBased/>
  <w15:docId w15:val="{842DB3F4-390B-44C2-9D68-CF8FF2B0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59"/>
    <w:rsid w:val="002920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5D8"/>
    <w:rPr>
      <w:rFonts w:ascii="Segoe UI" w:hAnsi="Segoe UI" w:cs="Segoe UI"/>
      <w:sz w:val="18"/>
      <w:szCs w:val="18"/>
    </w:rPr>
  </w:style>
  <w:style w:type="character" w:customStyle="1" w:styleId="BalloonTextChar">
    <w:name w:val="Balloon Text Char"/>
    <w:basedOn w:val="DefaultParagraphFont"/>
    <w:link w:val="BalloonText"/>
    <w:rsid w:val="00D705D8"/>
    <w:rPr>
      <w:rFonts w:ascii="Segoe UI" w:hAnsi="Segoe UI" w:cs="Segoe UI"/>
      <w:sz w:val="18"/>
      <w:szCs w:val="18"/>
    </w:rPr>
  </w:style>
  <w:style w:type="paragraph" w:styleId="Caption">
    <w:name w:val="caption"/>
    <w:basedOn w:val="Normal"/>
    <w:next w:val="BodyText"/>
    <w:uiPriority w:val="35"/>
    <w:unhideWhenUsed/>
    <w:qFormat/>
    <w:rsid w:val="003A26A8"/>
    <w:pPr>
      <w:widowControl/>
      <w:autoSpaceDE/>
      <w:autoSpaceDN/>
      <w:adjustRightInd/>
      <w:spacing w:before="120" w:after="120"/>
    </w:pPr>
    <w:rPr>
      <w:rFonts w:ascii="Times New Roman" w:hAnsi="Times New Roman"/>
      <w:b/>
      <w:i/>
      <w:iCs/>
      <w:color w:val="000000" w:themeColor="text1"/>
      <w:sz w:val="20"/>
      <w:szCs w:val="18"/>
    </w:rPr>
  </w:style>
  <w:style w:type="table" w:customStyle="1" w:styleId="GridTable4-Accent11">
    <w:name w:val="Grid Table 4 - Accent 11"/>
    <w:basedOn w:val="TableNormal"/>
    <w:uiPriority w:val="49"/>
    <w:rsid w:val="003A26A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rsid w:val="003A26A8"/>
    <w:pPr>
      <w:spacing w:after="120"/>
    </w:pPr>
  </w:style>
  <w:style w:type="character" w:customStyle="1" w:styleId="BodyTextChar">
    <w:name w:val="Body Text Char"/>
    <w:basedOn w:val="DefaultParagraphFont"/>
    <w:link w:val="BodyText"/>
    <w:rsid w:val="003A26A8"/>
    <w:rPr>
      <w:rFonts w:ascii="Courier" w:hAnsi="Courier"/>
      <w:sz w:val="24"/>
      <w:szCs w:val="24"/>
    </w:rPr>
  </w:style>
  <w:style w:type="paragraph" w:styleId="BodyTextIndent2">
    <w:name w:val="Body Text Indent 2"/>
    <w:basedOn w:val="Normal"/>
    <w:link w:val="BodyTextIndent2Char"/>
    <w:rsid w:val="00FD6CCF"/>
    <w:pPr>
      <w:spacing w:after="120" w:line="480" w:lineRule="auto"/>
      <w:ind w:left="360"/>
    </w:pPr>
  </w:style>
  <w:style w:type="character" w:customStyle="1" w:styleId="BodyTextIndent2Char">
    <w:name w:val="Body Text Indent 2 Char"/>
    <w:basedOn w:val="DefaultParagraphFont"/>
    <w:link w:val="BodyTextIndent2"/>
    <w:rsid w:val="00FD6CCF"/>
    <w:rPr>
      <w:rFonts w:ascii="Courier" w:hAnsi="Courier"/>
      <w:sz w:val="24"/>
      <w:szCs w:val="24"/>
    </w:rPr>
  </w:style>
  <w:style w:type="paragraph" w:styleId="FootnoteText">
    <w:name w:val="footnote text"/>
    <w:basedOn w:val="Normal"/>
    <w:link w:val="FootnoteTextChar"/>
    <w:unhideWhenUsed/>
    <w:rsid w:val="00FD6CCF"/>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rsid w:val="00FD6CCF"/>
    <w:rPr>
      <w:rFonts w:ascii="Calibri" w:eastAsia="Calibri" w:hAnsi="Calibri"/>
    </w:rPr>
  </w:style>
  <w:style w:type="table" w:customStyle="1" w:styleId="SynovateTableGrid1">
    <w:name w:val="Synovate Table Grid1"/>
    <w:basedOn w:val="TableNormal"/>
    <w:next w:val="TableGrid"/>
    <w:uiPriority w:val="59"/>
    <w:rsid w:val="00FD6C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AA69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rsid w:val="004F7444"/>
    <w:rPr>
      <w:rFonts w:ascii="Times New Roman" w:hAnsi="Times New Roman"/>
      <w:b w:val="0"/>
      <w:i w:val="0"/>
      <w:color w:val="0432FF"/>
      <w:sz w:val="20"/>
      <w:u w:val="single" w:color="0432FF"/>
    </w:rPr>
  </w:style>
  <w:style w:type="paragraph" w:styleId="ListParagraph">
    <w:name w:val="List Paragraph"/>
    <w:basedOn w:val="Normal"/>
    <w:uiPriority w:val="34"/>
    <w:qFormat/>
    <w:rsid w:val="001B4EAA"/>
    <w:pPr>
      <w:ind w:left="720"/>
      <w:contextualSpacing/>
    </w:pPr>
  </w:style>
  <w:style w:type="table" w:styleId="GridTable3">
    <w:name w:val="Grid Table 3"/>
    <w:basedOn w:val="TableNormal"/>
    <w:uiPriority w:val="48"/>
    <w:rsid w:val="0031521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UnresolvedMention">
    <w:name w:val="Unresolved Mention"/>
    <w:basedOn w:val="DefaultParagraphFont"/>
    <w:uiPriority w:val="99"/>
    <w:semiHidden/>
    <w:unhideWhenUsed/>
    <w:rsid w:val="002F55E7"/>
    <w:rPr>
      <w:color w:val="605E5C"/>
      <w:shd w:val="clear" w:color="auto" w:fill="E1DFDD"/>
    </w:rPr>
  </w:style>
  <w:style w:type="character" w:styleId="CommentReference">
    <w:name w:val="annotation reference"/>
    <w:basedOn w:val="DefaultParagraphFont"/>
    <w:rsid w:val="002F55E7"/>
    <w:rPr>
      <w:sz w:val="16"/>
      <w:szCs w:val="16"/>
    </w:rPr>
  </w:style>
  <w:style w:type="paragraph" w:styleId="CommentText">
    <w:name w:val="annotation text"/>
    <w:basedOn w:val="Normal"/>
    <w:link w:val="CommentTextChar"/>
    <w:rsid w:val="002F55E7"/>
    <w:rPr>
      <w:sz w:val="20"/>
      <w:szCs w:val="20"/>
    </w:rPr>
  </w:style>
  <w:style w:type="character" w:customStyle="1" w:styleId="CommentTextChar">
    <w:name w:val="Comment Text Char"/>
    <w:basedOn w:val="DefaultParagraphFont"/>
    <w:link w:val="CommentText"/>
    <w:rsid w:val="002F55E7"/>
    <w:rPr>
      <w:rFonts w:ascii="Courier" w:hAnsi="Courier"/>
    </w:rPr>
  </w:style>
  <w:style w:type="paragraph" w:styleId="CommentSubject">
    <w:name w:val="annotation subject"/>
    <w:basedOn w:val="CommentText"/>
    <w:next w:val="CommentText"/>
    <w:link w:val="CommentSubjectChar"/>
    <w:rsid w:val="002F55E7"/>
    <w:rPr>
      <w:b/>
      <w:bCs/>
    </w:rPr>
  </w:style>
  <w:style w:type="character" w:customStyle="1" w:styleId="CommentSubjectChar">
    <w:name w:val="Comment Subject Char"/>
    <w:basedOn w:val="CommentTextChar"/>
    <w:link w:val="CommentSubject"/>
    <w:rsid w:val="002F55E7"/>
    <w:rPr>
      <w:rFonts w:ascii="Courier" w:hAnsi="Courier"/>
      <w:b/>
      <w:bCs/>
    </w:rPr>
  </w:style>
  <w:style w:type="paragraph" w:styleId="Revision">
    <w:name w:val="Revision"/>
    <w:hidden/>
    <w:uiPriority w:val="99"/>
    <w:semiHidden/>
    <w:rsid w:val="003C1C9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rdierstdavies@deloitte.com" TargetMode="External" /><Relationship Id="rId11" Type="http://schemas.openxmlformats.org/officeDocument/2006/relationships/hyperlink" Target="mailto:ateie@yesandagency.co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uxandra.giura@fema.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ran.r-project.org/web/packages/anesrake/anesrak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EB12486610A45BA0D687FB4738444" ma:contentTypeVersion="12" ma:contentTypeDescription="Create a new document." ma:contentTypeScope="" ma:versionID="8cf6fcf6b89e53905082f55b0d477b70">
  <xsd:schema xmlns:xsd="http://www.w3.org/2001/XMLSchema" xmlns:xs="http://www.w3.org/2001/XMLSchema" xmlns:p="http://schemas.microsoft.com/office/2006/metadata/properties" xmlns:ns2="db11da71-b535-42a1-b81a-11f1e100f965" xmlns:ns3="7a98293e-bd1c-4f9c-b19b-77d612d3f269" targetNamespace="http://schemas.microsoft.com/office/2006/metadata/properties" ma:root="true" ma:fieldsID="2fe2be08a4e478079986ac64c3d02703" ns2:_="" ns3:_="">
    <xsd:import namespace="db11da71-b535-42a1-b81a-11f1e100f965"/>
    <xsd:import namespace="7a98293e-bd1c-4f9c-b19b-77d612d3f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1da71-b535-42a1-b81a-11f1e100f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8293e-bd1c-4f9c-b19b-77d612d3f2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F7628-11AA-438F-9089-20923FEF2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3556A2-4C4C-4184-80BC-F46804EBC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1da71-b535-42a1-b81a-11f1e100f965"/>
    <ds:schemaRef ds:uri="7a98293e-bd1c-4f9c-b19b-77d612d3f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958C1-0C02-43B1-BE72-C006C25214ED}">
  <ds:schemaRefs>
    <ds:schemaRef ds:uri="http://schemas.openxmlformats.org/officeDocument/2006/bibliography"/>
  </ds:schemaRefs>
</ds:datastoreItem>
</file>

<file path=customXml/itemProps4.xml><?xml version="1.0" encoding="utf-8"?>
<ds:datastoreItem xmlns:ds="http://schemas.openxmlformats.org/officeDocument/2006/customXml" ds:itemID="{B7C34F10-5415-4569-B3AB-18A3426E1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13334</Characters>
  <Application>Microsoft Office Word</Application>
  <DocSecurity>0</DocSecurity>
  <Lines>111</Lines>
  <Paragraphs>30</Paragraphs>
  <ScaleCrop>false</ScaleCrop>
  <Company>Transportation Security Administration</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Crosby, Kevin</cp:lastModifiedBy>
  <cp:revision>3</cp:revision>
  <cp:lastPrinted>2008-12-16T17:02:00Z</cp:lastPrinted>
  <dcterms:created xsi:type="dcterms:W3CDTF">2023-07-06T15:41:00Z</dcterms:created>
  <dcterms:modified xsi:type="dcterms:W3CDTF">2023-07-06T15:41:00Z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0x01010042AEB12486610A45BA0D687FB4738444</vt:lpwstr>
  </property>
</Properties>
</file>