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65D4AC42" w14:textId="5683EFA4">
      <w:pPr>
        <w:pStyle w:val="Title"/>
        <w:jc w:val="both"/>
        <w:rPr>
          <w:sz w:val="24"/>
          <w:szCs w:val="24"/>
        </w:rPr>
      </w:pPr>
    </w:p>
    <w:p w:rsidR="00EB5E96" w:rsidRPr="00596A43" w:rsidP="006A0B1C" w14:paraId="2AE14F66" w14:textId="77777777">
      <w:pPr>
        <w:pStyle w:val="Title"/>
        <w:rPr>
          <w:sz w:val="24"/>
          <w:szCs w:val="24"/>
        </w:rPr>
      </w:pPr>
      <w:r w:rsidRPr="00596A43">
        <w:rPr>
          <w:sz w:val="24"/>
          <w:szCs w:val="24"/>
        </w:rPr>
        <w:t>Supporting Statement for Paperwork Reduction Act Submissions</w:t>
      </w:r>
    </w:p>
    <w:p w:rsidR="00EB5E96" w:rsidRPr="00596A43" w:rsidP="000C4293" w14:paraId="20AFB35B" w14:textId="77777777">
      <w:pPr>
        <w:tabs>
          <w:tab w:val="left" w:pos="-720"/>
        </w:tabs>
        <w:suppressAutoHyphens/>
        <w:ind w:right="-720"/>
        <w:jc w:val="both"/>
        <w:rPr>
          <w:b/>
        </w:rPr>
      </w:pPr>
    </w:p>
    <w:p w:rsidR="00EB5E96" w:rsidRPr="00596A43" w:rsidP="00D73BBC" w14:paraId="0F805F7C" w14:textId="77777777">
      <w:pPr>
        <w:tabs>
          <w:tab w:val="left" w:pos="-720"/>
        </w:tabs>
        <w:suppressAutoHyphens/>
        <w:jc w:val="center"/>
        <w:rPr>
          <w:b/>
        </w:rPr>
      </w:pPr>
      <w:r w:rsidRPr="00596A43">
        <w:rPr>
          <w:b/>
        </w:rPr>
        <w:t>Title:</w:t>
      </w:r>
    </w:p>
    <w:p w:rsidR="00EB5E96" w:rsidRPr="00596A43" w:rsidP="00D73BBC" w14:paraId="4ADBDF14" w14:textId="77777777">
      <w:pPr>
        <w:tabs>
          <w:tab w:val="left" w:pos="-720"/>
        </w:tabs>
        <w:suppressAutoHyphens/>
        <w:jc w:val="center"/>
        <w:rPr>
          <w:b/>
        </w:rPr>
      </w:pPr>
    </w:p>
    <w:p w:rsidR="00EB5E96" w:rsidRPr="00596A43" w:rsidP="00D73BBC" w14:paraId="7009E398" w14:textId="77777777">
      <w:pPr>
        <w:tabs>
          <w:tab w:val="left" w:pos="-720"/>
        </w:tabs>
        <w:suppressAutoHyphens/>
        <w:jc w:val="center"/>
        <w:rPr>
          <w:b/>
        </w:rPr>
      </w:pPr>
      <w:r w:rsidRPr="00596A43">
        <w:rPr>
          <w:b/>
        </w:rPr>
        <w:t xml:space="preserve">OMB Control Number:  </w:t>
      </w:r>
      <w:r w:rsidRPr="00596A43" w:rsidR="000A6FC5">
        <w:rPr>
          <w:b/>
        </w:rPr>
        <w:t>1670-</w:t>
      </w:r>
      <w:r w:rsidR="00B02FA4">
        <w:rPr>
          <w:b/>
        </w:rPr>
        <w:t>0005</w:t>
      </w:r>
    </w:p>
    <w:p w:rsidR="00EB5E96" w:rsidP="00D73BBC" w14:paraId="466D3C8C" w14:textId="77777777">
      <w:pPr>
        <w:tabs>
          <w:tab w:val="left" w:pos="-720"/>
        </w:tabs>
        <w:suppressAutoHyphens/>
        <w:jc w:val="center"/>
      </w:pPr>
    </w:p>
    <w:p w:rsidR="00D8462C" w:rsidP="00D73BBC" w14:paraId="67B8AA4A" w14:textId="77777777">
      <w:pPr>
        <w:tabs>
          <w:tab w:val="left" w:pos="-720"/>
        </w:tabs>
        <w:suppressAutoHyphens/>
        <w:jc w:val="center"/>
        <w:rPr>
          <w:b/>
        </w:rPr>
      </w:pPr>
      <w:r>
        <w:rPr>
          <w:b/>
        </w:rPr>
        <w:t>Telecommunications Service Priority System</w:t>
      </w:r>
    </w:p>
    <w:p w:rsidR="00D8462C" w:rsidP="00D73BBC" w14:paraId="3269B426" w14:textId="77777777">
      <w:pPr>
        <w:tabs>
          <w:tab w:val="left" w:pos="-720"/>
        </w:tabs>
        <w:suppressAutoHyphens/>
        <w:jc w:val="center"/>
        <w:rPr>
          <w:b/>
        </w:rPr>
      </w:pPr>
    </w:p>
    <w:p w:rsidR="009F06EB" w:rsidRPr="00CB393B" w:rsidP="00D73BBC" w14:paraId="1C30D26D" w14:textId="77777777">
      <w:pPr>
        <w:tabs>
          <w:tab w:val="left" w:pos="-720"/>
        </w:tabs>
        <w:suppressAutoHyphens/>
        <w:jc w:val="center"/>
        <w:rPr>
          <w:b/>
        </w:rPr>
      </w:pPr>
      <w:r w:rsidRPr="00CB393B">
        <w:rPr>
          <w:b/>
        </w:rPr>
        <w:t xml:space="preserve">Supporting </w:t>
      </w:r>
      <w:r w:rsidRPr="00CB393B">
        <w:rPr>
          <w:b/>
        </w:rPr>
        <w:t>Statement</w:t>
      </w:r>
      <w:r w:rsidRPr="00CB393B">
        <w:rPr>
          <w:b/>
        </w:rPr>
        <w:t xml:space="preserve"> A</w:t>
      </w:r>
    </w:p>
    <w:p w:rsidR="009F06EB" w:rsidRPr="00596A43" w:rsidP="000C4293" w14:paraId="1805510E" w14:textId="77777777">
      <w:pPr>
        <w:tabs>
          <w:tab w:val="left" w:pos="-720"/>
        </w:tabs>
        <w:suppressAutoHyphens/>
        <w:jc w:val="both"/>
      </w:pPr>
    </w:p>
    <w:p w:rsidR="00EB5E96" w:rsidRPr="00596A43" w:rsidP="000C4293" w14:paraId="1F033511" w14:textId="77777777">
      <w:pPr>
        <w:pStyle w:val="Heading1"/>
        <w:jc w:val="both"/>
        <w:rPr>
          <w:sz w:val="24"/>
          <w:szCs w:val="24"/>
        </w:rPr>
      </w:pPr>
      <w:r w:rsidRPr="32816805">
        <w:rPr>
          <w:sz w:val="24"/>
          <w:szCs w:val="24"/>
        </w:rPr>
        <w:t>A.  Justification</w:t>
      </w:r>
    </w:p>
    <w:p w:rsidR="00EB5E96" w:rsidRPr="00596A43" w:rsidP="000C4293" w14:paraId="5917A2BE" w14:textId="77777777">
      <w:pPr>
        <w:tabs>
          <w:tab w:val="left" w:pos="-720"/>
        </w:tabs>
        <w:suppressAutoHyphens/>
        <w:jc w:val="both"/>
      </w:pPr>
    </w:p>
    <w:p w:rsidR="00015E3D" w:rsidP="00015E3D" w14:paraId="7ACB3D7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15E3D" w:rsidP="00D8462C" w14:paraId="62030F3F" w14:textId="77777777">
      <w:pPr>
        <w:tabs>
          <w:tab w:val="left" w:pos="-720"/>
        </w:tabs>
        <w:suppressAutoHyphens/>
        <w:rPr>
          <w:sz w:val="22"/>
          <w:szCs w:val="22"/>
        </w:rPr>
      </w:pPr>
    </w:p>
    <w:p w:rsidR="00F557E3" w:rsidP="2EEC75C0" w14:paraId="6562532F" w14:textId="05158937">
      <w:pPr>
        <w:suppressAutoHyphens/>
      </w:pPr>
      <w:r>
        <w:t xml:space="preserve">This ICR is for a </w:t>
      </w:r>
      <w:r w:rsidR="00113AB7">
        <w:t xml:space="preserve">reinstatement </w:t>
      </w:r>
      <w:r>
        <w:t>of instruments (DHS Forms</w:t>
      </w:r>
      <w:r w:rsidR="00F420F4">
        <w:t xml:space="preserve">) that have been previously approved and expire on </w:t>
      </w:r>
      <w:r>
        <w:t xml:space="preserve">July 31, 2023.  CISA is seeking an </w:t>
      </w:r>
      <w:r w:rsidR="00F96FC0">
        <w:t>reinstatement</w:t>
      </w:r>
      <w:r>
        <w:t>.</w:t>
      </w:r>
    </w:p>
    <w:p w:rsidR="00F557E3" w:rsidP="2EEC75C0" w14:paraId="08E34653" w14:textId="77777777">
      <w:pPr>
        <w:suppressAutoHyphens/>
      </w:pPr>
    </w:p>
    <w:p w:rsidR="004564EE" w:rsidRPr="000D1014" w:rsidP="004564EE" w14:paraId="2A6CC31F" w14:textId="081E2E4F">
      <w:pPr>
        <w:tabs>
          <w:tab w:val="left" w:pos="-720"/>
        </w:tabs>
        <w:suppressAutoHyphens/>
      </w:pPr>
      <w:r w:rsidRPr="000D1014">
        <w:t xml:space="preserve">On April 3, 1984, President Ronald Reagan signed Executive Order (E.O.) 12472 which broadened the </w:t>
      </w:r>
      <w:r w:rsidRPr="000D1014" w:rsidR="00951ABF">
        <w:t>National Communication System’s (NCS)</w:t>
      </w:r>
      <w:r w:rsidRPr="000D1014">
        <w:t xml:space="preserve"> national security and emergency preparedness (NS/EP) capabilities and superseded President Kennedy's original 1963 memorandum. The NCS expanded from its original six members to an interagency group of 23 Federal departments and </w:t>
      </w:r>
      <w:r w:rsidRPr="000D1014">
        <w:t>agencies, and</w:t>
      </w:r>
      <w:r w:rsidRPr="000D1014">
        <w:t xml:space="preserve"> began coordinating and planning NS/EP telecommunications to support crises and disasters.</w:t>
      </w:r>
    </w:p>
    <w:p w:rsidR="004564EE" w:rsidRPr="000D1014" w:rsidP="004564EE" w14:paraId="298650EF" w14:textId="77777777">
      <w:pPr>
        <w:tabs>
          <w:tab w:val="left" w:pos="-720"/>
        </w:tabs>
        <w:suppressAutoHyphens/>
      </w:pPr>
    </w:p>
    <w:p w:rsidR="004564EE" w:rsidRPr="000D1014" w:rsidP="004564EE" w14:paraId="20DB9E0B" w14:textId="49F22250">
      <w:pPr>
        <w:tabs>
          <w:tab w:val="left" w:pos="-720"/>
        </w:tabs>
        <w:suppressAutoHyphens/>
      </w:pPr>
      <w:r w:rsidRPr="00385F8F">
        <w:t xml:space="preserve">The Telecommunications Service Priority (TSP) Program was proposed to the Federal Communications Commission (FCC) by the former National Communications System (NCS) in 1987 and adopted by the FCC through a Report and Order on November 17, 1989.  TSP replaced the earlier Restoration Priority System and improved on that program by fully addressing the Government’s need for priority treatment of national security/emergency preparedness (NS/EP) telecommunications services.  Per E.O. 13618, the TSP Program is now managed at the Department of Homeland Security (DHS) by the Cybersecurity and Infrastructure Security Agency (CISA) (Emergency Communications Division (ECD).  CISA petitioned FCC for Report and Order rules updates in 2018-2019 timeframe.  FCC Commissioners unanimously approved rules changes on May 19, 2022, to; eliminate outdated and unnecessary provisions and references, expand list of services that are eligible for priority treatment and scope of federal employees authorized to invoke priority treatment, reflect current TSP oversight practices, enhance protection of TSP data, and clarify timing and level of effort for provisioning and restoring service. </w:t>
      </w:r>
      <w:r w:rsidRPr="000D1014" w:rsidR="00D35F36">
        <w:t xml:space="preserve"> </w:t>
      </w:r>
    </w:p>
    <w:p w:rsidR="004564EE" w:rsidRPr="000D1014" w:rsidP="004564EE" w14:paraId="244ACED6" w14:textId="77777777">
      <w:pPr>
        <w:tabs>
          <w:tab w:val="left" w:pos="-720"/>
        </w:tabs>
        <w:suppressAutoHyphens/>
      </w:pPr>
    </w:p>
    <w:p w:rsidR="004564EE" w:rsidRPr="000D1014" w:rsidP="004564EE" w14:paraId="64ED9C1D" w14:textId="77777777">
      <w:pPr>
        <w:tabs>
          <w:tab w:val="left" w:pos="-720"/>
        </w:tabs>
        <w:suppressAutoHyphens/>
      </w:pPr>
      <w:r w:rsidRPr="000D1014">
        <w:t xml:space="preserve">NS/EP telecommunications is an abbreviation for National Security or Emergency Preparedness telecommunications of the United States. Telecommunications services that are used to maintain a state of readiness or to respond to and manage any event or crisis (local, national, or international) that causes or could cause injury or harm to the population, damage to or loss of </w:t>
      </w:r>
      <w:r w:rsidRPr="000D1014">
        <w:t>property, or degrade or threaten the national security or emergency preparedness posture of the United States.</w:t>
      </w:r>
    </w:p>
    <w:p w:rsidR="004564EE" w:rsidRPr="000D1014" w:rsidP="004564EE" w14:paraId="0A8B0378" w14:textId="77777777">
      <w:pPr>
        <w:tabs>
          <w:tab w:val="left" w:pos="-720"/>
        </w:tabs>
        <w:suppressAutoHyphens/>
      </w:pPr>
    </w:p>
    <w:p w:rsidR="004564EE" w:rsidRPr="000D1014" w:rsidP="004564EE" w14:paraId="1210BA89" w14:textId="77777777">
      <w:pPr>
        <w:tabs>
          <w:tab w:val="left" w:pos="-720"/>
        </w:tabs>
        <w:suppressAutoHyphens/>
      </w:pPr>
      <w:r w:rsidRPr="000D1014">
        <w:t>Telecommunications Service Priority (TSP) authorizes national security and emergency preparedness organizations to receive priority treatment for vital voice and data circuits or other telecommunications service, under National Security or Emergency Preparedness telecommunications (NS/EP).</w:t>
      </w:r>
      <w:r w:rsidRPr="000D1014" w:rsidR="00951ABF">
        <w:t xml:space="preserve">  </w:t>
      </w:r>
      <w:r w:rsidRPr="000D1014">
        <w:t>The TSP Program provides service vendors a Federal Communications Commission (FCC) mandate to prioritize requests by identifying those services critical to national security and emergency preparedness. A TSP assignment ensures that it will receive priority attention by the service vendor before any non-TSP service.</w:t>
      </w:r>
    </w:p>
    <w:p w:rsidR="004564EE" w:rsidRPr="000D1014" w:rsidP="004564EE" w14:paraId="26D0C621" w14:textId="77777777">
      <w:pPr>
        <w:tabs>
          <w:tab w:val="left" w:pos="-720"/>
        </w:tabs>
        <w:suppressAutoHyphens/>
      </w:pPr>
    </w:p>
    <w:p w:rsidR="004564EE" w:rsidRPr="000D1014" w:rsidP="004564EE" w14:paraId="324DA7D8" w14:textId="77777777">
      <w:pPr>
        <w:tabs>
          <w:tab w:val="left" w:pos="-720"/>
        </w:tabs>
        <w:suppressAutoHyphens/>
      </w:pPr>
      <w:r w:rsidRPr="000D1014">
        <w:t xml:space="preserve">Four broad categories serve as guidelines for determining whether a circuit or telecommunications service is eligible for priority provisioning or restoration. </w:t>
      </w:r>
      <w:r w:rsidRPr="000D1014" w:rsidR="00192C93">
        <w:t xml:space="preserve">  </w:t>
      </w:r>
      <w:r w:rsidRPr="000D1014">
        <w:t xml:space="preserve">TSP service user organizations may be in the Federal, State, local, or tribal government, critical infrastructure sectors in industry, non-profit organizations that perform critical NS/EP functions, or foreign governments. Typical TSP service users are responsible for the </w:t>
      </w:r>
      <w:r w:rsidRPr="000D1014">
        <w:t>command and control</w:t>
      </w:r>
      <w:r w:rsidRPr="000D1014">
        <w:t xml:space="preserve"> functions critical to management of and response to NS/EP situations, particularly during the first 24 to 72 hours following an event.</w:t>
      </w:r>
    </w:p>
    <w:p w:rsidR="00D8462C" w:rsidRPr="000D1014" w:rsidP="00D8462C" w14:paraId="682CEAB9" w14:textId="77777777">
      <w:pPr>
        <w:tabs>
          <w:tab w:val="left" w:pos="-720"/>
        </w:tabs>
        <w:suppressAutoHyphens/>
      </w:pPr>
    </w:p>
    <w:p w:rsidR="00D8462C" w:rsidRPr="000D1014" w:rsidP="00D8462C" w14:paraId="1E35B292" w14:textId="5765BD8B">
      <w:pPr>
        <w:tabs>
          <w:tab w:val="left" w:pos="-720"/>
        </w:tabs>
        <w:suppressAutoHyphens/>
      </w:pPr>
      <w:r w:rsidRPr="000D1014">
        <w:t xml:space="preserve">Additional </w:t>
      </w:r>
      <w:r w:rsidRPr="000D1014">
        <w:t>authority</w:t>
      </w:r>
      <w:r w:rsidRPr="000D1014">
        <w:t xml:space="preserve"> includes</w:t>
      </w:r>
      <w:r w:rsidRPr="000D1014">
        <w:t>, 47 CFR Part 64, Appendix A, “Telecommunications Service Priority System for National S</w:t>
      </w:r>
      <w:r w:rsidR="006656DE">
        <w:t>ecurity Emergency Preparedness”</w:t>
      </w:r>
      <w:r w:rsidRPr="000D1014">
        <w:t>.</w:t>
      </w:r>
    </w:p>
    <w:p w:rsidR="00D8462C" w:rsidRPr="00596A43" w:rsidP="000C4293" w14:paraId="0D104C15" w14:textId="77777777">
      <w:pPr>
        <w:tabs>
          <w:tab w:val="left" w:pos="-720"/>
        </w:tabs>
        <w:suppressAutoHyphens/>
        <w:jc w:val="both"/>
      </w:pPr>
    </w:p>
    <w:p w:rsidR="00EB5E96" w:rsidRPr="00596A43" w:rsidP="000C4293" w14:paraId="4543683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601F4B9" w14:textId="77777777">
      <w:pPr>
        <w:tabs>
          <w:tab w:val="left" w:pos="-720"/>
        </w:tabs>
        <w:suppressAutoHyphens/>
        <w:jc w:val="both"/>
        <w:rPr>
          <w:i/>
          <w:spacing w:val="-3"/>
          <w:sz w:val="20"/>
        </w:rPr>
      </w:pPr>
    </w:p>
    <w:p w:rsidR="00951ABF" w:rsidRPr="000D1014" w:rsidP="000C4293" w14:paraId="541648E1" w14:textId="43F73C91">
      <w:pPr>
        <w:tabs>
          <w:tab w:val="left" w:pos="-720"/>
        </w:tabs>
        <w:suppressAutoHyphens/>
        <w:jc w:val="both"/>
        <w:rPr>
          <w:bCs/>
        </w:rPr>
      </w:pPr>
      <w:r w:rsidRPr="000D1014">
        <w:rPr>
          <w:bCs/>
        </w:rPr>
        <w:t>Information to request a priority, to obtain a sponsor for requesting a priority, and for other administrative requirements of the program is required from any person or organization having an NS/EP service for which they wish priority restoration from the</w:t>
      </w:r>
      <w:r w:rsidRPr="000D1014">
        <w:rPr>
          <w:bCs/>
        </w:rPr>
        <w:t xml:space="preserve"> vendor providing the service.  </w:t>
      </w:r>
      <w:r w:rsidRPr="000D1014" w:rsidR="00D8462C">
        <w:rPr>
          <w:bCs/>
        </w:rPr>
        <w:t xml:space="preserve">Information is also required to allow immediate installation of a new service to support NS/EP requirements.  Information is required from vendors to allow the </w:t>
      </w:r>
      <w:r w:rsidRPr="000D1014" w:rsidR="00B02FA4">
        <w:rPr>
          <w:bCs/>
        </w:rPr>
        <w:t xml:space="preserve">Emergency Communications </w:t>
      </w:r>
      <w:r w:rsidR="0027117E">
        <w:rPr>
          <w:bCs/>
        </w:rPr>
        <w:t xml:space="preserve">Division </w:t>
      </w:r>
      <w:r w:rsidRPr="000D1014" w:rsidR="00B02FA4">
        <w:rPr>
          <w:bCs/>
        </w:rPr>
        <w:t>(EC</w:t>
      </w:r>
      <w:r w:rsidR="0027117E">
        <w:rPr>
          <w:bCs/>
        </w:rPr>
        <w:t>D</w:t>
      </w:r>
      <w:r w:rsidRPr="000D1014" w:rsidR="00B02FA4">
        <w:rPr>
          <w:bCs/>
        </w:rPr>
        <w:t>)</w:t>
      </w:r>
      <w:r w:rsidRPr="000D1014" w:rsidR="00D8462C">
        <w:rPr>
          <w:bCs/>
        </w:rPr>
        <w:t xml:space="preserve"> to track and identify the telecommunications services that are being provided priority treatment.</w:t>
      </w:r>
      <w:r w:rsidRPr="000D1014" w:rsidR="00EC4005">
        <w:rPr>
          <w:bCs/>
        </w:rPr>
        <w:t xml:space="preserve">  </w:t>
      </w:r>
    </w:p>
    <w:p w:rsidR="00951ABF" w:rsidRPr="000D1014" w:rsidP="000C4293" w14:paraId="75F6BA40" w14:textId="77777777">
      <w:pPr>
        <w:tabs>
          <w:tab w:val="left" w:pos="-720"/>
        </w:tabs>
        <w:suppressAutoHyphens/>
        <w:jc w:val="both"/>
        <w:rPr>
          <w:bCs/>
        </w:rPr>
      </w:pPr>
    </w:p>
    <w:p w:rsidR="00AA3F82" w:rsidRPr="000D1014" w:rsidP="000C4293" w14:paraId="15541347" w14:textId="3E7AA140">
      <w:pPr>
        <w:tabs>
          <w:tab w:val="left" w:pos="-720"/>
        </w:tabs>
        <w:suppressAutoHyphens/>
        <w:jc w:val="both"/>
      </w:pPr>
      <w:r w:rsidRPr="000D1014">
        <w:rPr>
          <w:bCs/>
        </w:rPr>
        <w:t xml:space="preserve">The forms used are the SF314 (Revalidation for Service Users), SF315 (TSP Request for Service Users), SF317 (TSP Action Appeal for Service Users), SF318 (TSP Service Confirmation for Service Vendors), and the SF319 (TSP Service Reconciliation for Service Vendors).  </w:t>
      </w:r>
      <w:r w:rsidRPr="000D1014">
        <w:rPr>
          <w:bCs/>
        </w:rPr>
        <w:t>All of</w:t>
      </w:r>
      <w:r w:rsidRPr="000D1014">
        <w:rPr>
          <w:bCs/>
        </w:rPr>
        <w:t xml:space="preserve"> the forms request information about the organization and the point</w:t>
      </w:r>
      <w:r w:rsidRPr="000D1014" w:rsidR="00951ABF">
        <w:rPr>
          <w:bCs/>
        </w:rPr>
        <w:t>s</w:t>
      </w:r>
      <w:r w:rsidRPr="000D1014">
        <w:rPr>
          <w:bCs/>
        </w:rPr>
        <w:t xml:space="preserve"> of </w:t>
      </w:r>
      <w:r w:rsidRPr="000D1014" w:rsidR="00411EA2">
        <w:rPr>
          <w:bCs/>
        </w:rPr>
        <w:t>contact requesting</w:t>
      </w:r>
      <w:r w:rsidRPr="000D1014">
        <w:rPr>
          <w:bCs/>
        </w:rPr>
        <w:t xml:space="preserve"> a TSP code </w:t>
      </w:r>
      <w:r w:rsidRPr="000D1014" w:rsidR="00411EA2">
        <w:rPr>
          <w:bCs/>
        </w:rPr>
        <w:t>or submitting</w:t>
      </w:r>
      <w:r w:rsidRPr="000D1014">
        <w:rPr>
          <w:bCs/>
        </w:rPr>
        <w:t xml:space="preserve"> information to the TSP Program Office.  The SF314 is for users to request that their existing TSP codes be revalidated for </w:t>
      </w:r>
      <w:r w:rsidRPr="000D1014" w:rsidR="00E8476C">
        <w:rPr>
          <w:bCs/>
        </w:rPr>
        <w:t>three</w:t>
      </w:r>
      <w:r w:rsidRPr="000D1014">
        <w:rPr>
          <w:bCs/>
        </w:rPr>
        <w:t xml:space="preserve"> more years.  The SF315 is used to request restoration and/or provisioning for an organization’s critical circuits.  The SF317 is for organizations to appeal the denial of TSP restoration and/or provisioning.  The SF318 is for service vendors to provide circuit ID information associated with TSP codes they</w:t>
      </w:r>
      <w:r w:rsidR="00254C9E">
        <w:rPr>
          <w:bCs/>
        </w:rPr>
        <w:t xml:space="preserve"> ha</w:t>
      </w:r>
      <w:r w:rsidRPr="000D1014">
        <w:rPr>
          <w:bCs/>
        </w:rPr>
        <w:t xml:space="preserve">ve been given by their customers.  The SF319 is for service vendors to provide </w:t>
      </w:r>
      <w:r w:rsidRPr="000D1014" w:rsidR="004B171F">
        <w:rPr>
          <w:bCs/>
        </w:rPr>
        <w:t xml:space="preserve">data to the program office </w:t>
      </w:r>
      <w:r w:rsidRPr="000D1014" w:rsidR="004B171F">
        <w:rPr>
          <w:bCs/>
        </w:rPr>
        <w:t>in order to</w:t>
      </w:r>
      <w:r w:rsidRPr="000D1014" w:rsidR="004B171F">
        <w:rPr>
          <w:bCs/>
        </w:rPr>
        <w:t xml:space="preserve"> reconcile their TSP data with the TSP database.</w:t>
      </w:r>
    </w:p>
    <w:p w:rsidR="00D8462C" w:rsidRPr="00596A43" w:rsidP="000C4293" w14:paraId="55743F2B" w14:textId="77777777">
      <w:pPr>
        <w:tabs>
          <w:tab w:val="left" w:pos="-720"/>
        </w:tabs>
        <w:suppressAutoHyphens/>
        <w:jc w:val="both"/>
      </w:pPr>
    </w:p>
    <w:p w:rsidR="00EB5E96" w:rsidRPr="00596A43" w:rsidP="000C4293" w14:paraId="67A82D2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39DA58BD" w14:textId="77777777">
      <w:pPr>
        <w:tabs>
          <w:tab w:val="left" w:pos="-720"/>
        </w:tabs>
        <w:suppressAutoHyphens/>
        <w:jc w:val="both"/>
      </w:pPr>
    </w:p>
    <w:p w:rsidR="00DC6E79" w:rsidRPr="000D1014" w:rsidP="000C4293" w14:paraId="088B1D62" w14:textId="3D65BFF9">
      <w:pPr>
        <w:tabs>
          <w:tab w:val="left" w:pos="-720"/>
        </w:tabs>
        <w:suppressAutoHyphens/>
        <w:jc w:val="both"/>
      </w:pPr>
      <w:r w:rsidRPr="000D1014">
        <w:t xml:space="preserve">We encourage all participants to request TSP priorities via </w:t>
      </w:r>
      <w:r w:rsidRPr="000D1014" w:rsidR="00907E31">
        <w:t xml:space="preserve">email </w:t>
      </w:r>
      <w:r w:rsidRPr="000D1014" w:rsidR="00907E31">
        <w:t>in order to</w:t>
      </w:r>
      <w:r w:rsidRPr="000D1014" w:rsidR="00907E31">
        <w:t xml:space="preserve"> reduce the use of the paper forms.  Emailing the information w</w:t>
      </w:r>
      <w:r w:rsidRPr="000D1014">
        <w:t xml:space="preserve">ill significantly decrease the burden hours placed on the user and increase the efficiency of the TSP Program.  The paper forms will also be available for download via the </w:t>
      </w:r>
      <w:r w:rsidR="00377E67">
        <w:t>CISA website</w:t>
      </w:r>
      <w:r w:rsidRPr="000D1014">
        <w:t>.</w:t>
      </w:r>
    </w:p>
    <w:p w:rsidR="00AA3F82" w:rsidRPr="00596A43" w:rsidP="000C4293" w14:paraId="5BF30075" w14:textId="77777777">
      <w:pPr>
        <w:tabs>
          <w:tab w:val="left" w:pos="-720"/>
        </w:tabs>
        <w:suppressAutoHyphens/>
        <w:jc w:val="both"/>
      </w:pPr>
    </w:p>
    <w:p w:rsidR="00EB5E96" w:rsidRPr="00596A43" w:rsidP="000C4293" w14:paraId="146569C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11972ED7" w14:textId="77777777">
      <w:pPr>
        <w:tabs>
          <w:tab w:val="left" w:pos="-720"/>
        </w:tabs>
        <w:suppressAutoHyphens/>
        <w:jc w:val="both"/>
      </w:pPr>
      <w:r w:rsidRPr="00596A43">
        <w:fldChar w:fldCharType="begin"/>
      </w:r>
      <w:r w:rsidRPr="00596A43">
        <w:instrText>ADVANCE \R 0.95</w:instrText>
      </w:r>
      <w:r w:rsidRPr="00596A43">
        <w:fldChar w:fldCharType="end"/>
      </w:r>
    </w:p>
    <w:p w:rsidR="00BC06A5" w:rsidRPr="000D1014" w:rsidP="00051794" w14:paraId="6FECAF24" w14:textId="77777777">
      <w:pPr>
        <w:tabs>
          <w:tab w:val="left" w:pos="-720"/>
        </w:tabs>
        <w:suppressAutoHyphens/>
      </w:pPr>
      <w:r w:rsidRPr="000D1014">
        <w:t xml:space="preserve">A search of reginfo.gov revealed that this information is not collected in any form, and therefore is not duplicated elsewhere. </w:t>
      </w:r>
    </w:p>
    <w:p w:rsidR="00BC06A5" w:rsidRPr="000D1014" w:rsidP="000C4293" w14:paraId="6607EB64" w14:textId="77777777">
      <w:pPr>
        <w:tabs>
          <w:tab w:val="left" w:pos="-720"/>
        </w:tabs>
        <w:suppressAutoHyphens/>
        <w:jc w:val="both"/>
      </w:pPr>
    </w:p>
    <w:p w:rsidR="00EB5E96" w:rsidRPr="000D1014" w:rsidP="000C4293" w14:paraId="58DE4A25" w14:textId="77777777">
      <w:pPr>
        <w:tabs>
          <w:tab w:val="left" w:pos="-720"/>
        </w:tabs>
        <w:suppressAutoHyphens/>
        <w:jc w:val="both"/>
      </w:pPr>
      <w:r w:rsidRPr="000D1014">
        <w:t>We reviewed the requirements of the TSP Program extensively both before it was instituted and during the years of its use and believe that the information requested is the minimum necessary to manage the TSP Program.  Additionally, all requirements will be periodically reviewed to ensure that they remain correct and that we have continued need for the data requested.</w:t>
      </w:r>
      <w:r w:rsidRPr="000D1014" w:rsidR="00BC06A5">
        <w:t xml:space="preserve">  </w:t>
      </w:r>
    </w:p>
    <w:p w:rsidR="00AA3F82" w:rsidRPr="00596A43" w:rsidP="000C4293" w14:paraId="62CF6014" w14:textId="77777777">
      <w:pPr>
        <w:tabs>
          <w:tab w:val="left" w:pos="-720"/>
        </w:tabs>
        <w:suppressAutoHyphens/>
        <w:jc w:val="both"/>
      </w:pPr>
    </w:p>
    <w:p w:rsidR="00EB5E96" w:rsidRPr="00596A43" w:rsidP="000C4293" w14:paraId="48A5DC05"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1DF69638" w14:textId="77777777">
      <w:pPr>
        <w:tabs>
          <w:tab w:val="left" w:pos="-720"/>
        </w:tabs>
        <w:suppressAutoHyphens/>
        <w:jc w:val="both"/>
        <w:rPr>
          <w:spacing w:val="-3"/>
        </w:rPr>
      </w:pPr>
    </w:p>
    <w:p w:rsidR="00EB5E96" w:rsidRPr="000D1014" w:rsidP="000C4293" w14:paraId="17ED9320" w14:textId="77777777">
      <w:pPr>
        <w:tabs>
          <w:tab w:val="left" w:pos="-720"/>
        </w:tabs>
        <w:suppressAutoHyphens/>
        <w:jc w:val="both"/>
        <w:rPr>
          <w:spacing w:val="-3"/>
        </w:rPr>
      </w:pPr>
      <w:r w:rsidRPr="000D1014">
        <w:rPr>
          <w:spacing w:val="-3"/>
        </w:rPr>
        <w:t xml:space="preserve">The organizations that complete this form are those that have circuits that support an NS/EP mission and require priority restoration for those circuits.  The private sector organizations that request TSP are from the healthcare, financial, utilities, transportation, </w:t>
      </w:r>
      <w:r w:rsidRPr="000D1014" w:rsidR="00907E31">
        <w:rPr>
          <w:spacing w:val="-3"/>
        </w:rPr>
        <w:t xml:space="preserve">and </w:t>
      </w:r>
      <w:r w:rsidR="000E6F69">
        <w:rPr>
          <w:spacing w:val="-3"/>
        </w:rPr>
        <w:t xml:space="preserve">telecommunications sectors, which are not considered to be small businesses or entities. </w:t>
      </w:r>
    </w:p>
    <w:p w:rsidR="00AA3F82" w:rsidRPr="00596A43" w:rsidP="000C4293" w14:paraId="1031EF9F" w14:textId="77777777">
      <w:pPr>
        <w:tabs>
          <w:tab w:val="left" w:pos="-720"/>
        </w:tabs>
        <w:suppressAutoHyphens/>
        <w:jc w:val="both"/>
        <w:rPr>
          <w:spacing w:val="-3"/>
        </w:rPr>
      </w:pPr>
    </w:p>
    <w:p w:rsidR="00EB5E96" w:rsidRPr="00596A43" w:rsidP="000C4293" w14:paraId="66C254B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4837F167" w14:textId="77777777">
      <w:pPr>
        <w:tabs>
          <w:tab w:val="left" w:pos="-720"/>
        </w:tabs>
        <w:suppressAutoHyphens/>
        <w:jc w:val="both"/>
        <w:rPr>
          <w:spacing w:val="-3"/>
        </w:rPr>
      </w:pPr>
    </w:p>
    <w:p w:rsidR="008D6F8C" w:rsidRPr="000D1014" w:rsidP="008D6F8C" w14:paraId="2534D3DC" w14:textId="41050A43">
      <w:pPr>
        <w:tabs>
          <w:tab w:val="left" w:pos="-720"/>
        </w:tabs>
        <w:suppressAutoHyphens/>
        <w:rPr>
          <w:spacing w:val="-3"/>
        </w:rPr>
      </w:pPr>
      <w:r w:rsidRPr="000D1014">
        <w:rPr>
          <w:spacing w:val="-3"/>
        </w:rPr>
        <w:t xml:space="preserve">We have identified the minimum frequency necessary to ensure the viability of the program.  Additionally, the </w:t>
      </w:r>
      <w:r w:rsidRPr="000D1014" w:rsidR="00B02FA4">
        <w:rPr>
          <w:spacing w:val="-3"/>
        </w:rPr>
        <w:t xml:space="preserve">former </w:t>
      </w:r>
      <w:r w:rsidRPr="000D1014">
        <w:rPr>
          <w:spacing w:val="-3"/>
        </w:rPr>
        <w:t xml:space="preserve">NCS actively worked with both the </w:t>
      </w:r>
      <w:r w:rsidRPr="000D1014" w:rsidR="0068209D">
        <w:rPr>
          <w:spacing w:val="-3"/>
        </w:rPr>
        <w:t>TSP System Oversight Committee</w:t>
      </w:r>
      <w:r w:rsidRPr="000D1014">
        <w:rPr>
          <w:spacing w:val="-3"/>
        </w:rPr>
        <w:t xml:space="preserve"> and </w:t>
      </w:r>
      <w:r w:rsidRPr="000D1014" w:rsidR="0068209D">
        <w:rPr>
          <w:spacing w:val="-3"/>
        </w:rPr>
        <w:t xml:space="preserve">the </w:t>
      </w:r>
      <w:r w:rsidRPr="000D1014" w:rsidR="00B02FA4">
        <w:rPr>
          <w:spacing w:val="-3"/>
        </w:rPr>
        <w:t xml:space="preserve">former </w:t>
      </w:r>
      <w:r w:rsidRPr="000D1014" w:rsidR="0068209D">
        <w:rPr>
          <w:spacing w:val="-3"/>
        </w:rPr>
        <w:t>NCS Committee of Principals</w:t>
      </w:r>
      <w:r w:rsidRPr="000D1014">
        <w:rPr>
          <w:spacing w:val="-3"/>
        </w:rPr>
        <w:t xml:space="preserve"> to reduce the amount of information required whenever possible.  Any further reduction in the amount of information c</w:t>
      </w:r>
      <w:r w:rsidRPr="000D1014" w:rsidR="00B02FA4">
        <w:rPr>
          <w:spacing w:val="-3"/>
        </w:rPr>
        <w:t xml:space="preserve">ollected would provide the </w:t>
      </w:r>
      <w:r w:rsidR="00E432CE">
        <w:rPr>
          <w:spacing w:val="-3"/>
        </w:rPr>
        <w:t>ECD</w:t>
      </w:r>
      <w:r w:rsidRPr="000D1014">
        <w:rPr>
          <w:spacing w:val="-3"/>
        </w:rPr>
        <w:t xml:space="preserve"> with insufficient information with which to manage the </w:t>
      </w:r>
      <w:r w:rsidRPr="000D1014" w:rsidR="0068209D">
        <w:rPr>
          <w:spacing w:val="-3"/>
        </w:rPr>
        <w:t xml:space="preserve">TSP </w:t>
      </w:r>
      <w:r w:rsidRPr="000D1014">
        <w:rPr>
          <w:spacing w:val="-3"/>
        </w:rPr>
        <w:t>System.  One of the major reasons the prior Restoration Priority System was replaced was that the records of that system were inadequate, and there was no review process to ensure that only those users with a continued need for priority service held a priority rating.  Without this</w:t>
      </w:r>
      <w:r w:rsidRPr="000D1014" w:rsidR="00B02FA4">
        <w:rPr>
          <w:spacing w:val="-3"/>
        </w:rPr>
        <w:t xml:space="preserve"> information collection, the </w:t>
      </w:r>
      <w:r w:rsidR="00E432CE">
        <w:rPr>
          <w:spacing w:val="-3"/>
        </w:rPr>
        <w:t>ECD</w:t>
      </w:r>
      <w:r w:rsidRPr="000D1014">
        <w:rPr>
          <w:spacing w:val="-3"/>
        </w:rPr>
        <w:t xml:space="preserve"> would not be able to manage the TSP System.</w:t>
      </w:r>
    </w:p>
    <w:p w:rsidR="005D7769" w:rsidP="000C4293" w14:paraId="76B077C9" w14:textId="77777777">
      <w:pPr>
        <w:tabs>
          <w:tab w:val="left" w:pos="-720"/>
        </w:tabs>
        <w:suppressAutoHyphens/>
        <w:jc w:val="both"/>
        <w:rPr>
          <w:spacing w:val="-3"/>
        </w:rPr>
      </w:pPr>
    </w:p>
    <w:p w:rsidR="000924B8" w:rsidP="000924B8" w14:paraId="6AF04431" w14:textId="77777777">
      <w:pPr>
        <w:shd w:val="pct25" w:color="auto" w:fill="auto"/>
        <w:tabs>
          <w:tab w:val="left" w:pos="-720"/>
        </w:tabs>
        <w:suppressAutoHyphens/>
        <w:jc w:val="both"/>
        <w:rPr>
          <w:sz w:val="22"/>
          <w:szCs w:val="22"/>
        </w:rPr>
      </w:pPr>
      <w:r w:rsidRPr="00596A43">
        <w:fldChar w:fldCharType="begin"/>
      </w:r>
      <w:r w:rsidRPr="00596A43">
        <w:instrText>ADVANCE \R 0.95</w:instrText>
      </w:r>
      <w:r w:rsidRPr="00596A43">
        <w:fldChar w:fldCharType="end"/>
      </w:r>
      <w:r>
        <w:rPr>
          <w:sz w:val="22"/>
          <w:szCs w:val="22"/>
        </w:rPr>
        <w:t>7.  Explain any special circumstances that would cause an information collection to be conducted in a manner:</w:t>
      </w:r>
    </w:p>
    <w:p w:rsidR="000924B8" w:rsidP="000924B8" w14:paraId="1E74F47A" w14:textId="77777777">
      <w:pPr>
        <w:shd w:val="pct25" w:color="auto" w:fill="FFFFFF"/>
        <w:tabs>
          <w:tab w:val="left" w:pos="-720"/>
        </w:tabs>
        <w:suppressAutoHyphens/>
        <w:rPr>
          <w:sz w:val="22"/>
          <w:szCs w:val="22"/>
        </w:rPr>
      </w:pPr>
    </w:p>
    <w:p w:rsidR="000924B8" w:rsidP="000924B8" w14:paraId="07D3BCB9"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(a) Requiring respondents to report information to the agency more often than quarterly.</w:t>
      </w:r>
    </w:p>
    <w:p w:rsidR="000924B8" w:rsidP="000924B8" w14:paraId="60FBB4DC" w14:textId="77777777">
      <w:pPr>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335649D8" w14:textId="77777777">
      <w:pPr>
        <w:tabs>
          <w:tab w:val="left" w:pos="-720"/>
        </w:tabs>
        <w:suppressAutoHyphens/>
      </w:pPr>
      <w:r w:rsidRPr="000D1014">
        <w:t xml:space="preserve">Information is required on </w:t>
      </w:r>
      <w:r w:rsidRPr="000D1014">
        <w:t>particular occasions</w:t>
      </w:r>
      <w:r w:rsidRPr="000D1014" w:rsidR="002160A7">
        <w:t xml:space="preserve"> when an organization decides </w:t>
      </w:r>
      <w:r w:rsidRPr="000D1014" w:rsidR="002359E1">
        <w:t>it</w:t>
      </w:r>
      <w:r w:rsidRPr="000D1014" w:rsidR="002160A7">
        <w:t xml:space="preserve"> want</w:t>
      </w:r>
      <w:r w:rsidRPr="000D1014" w:rsidR="002359E1">
        <w:t>s</w:t>
      </w:r>
      <w:r w:rsidRPr="000D1014" w:rsidR="002160A7">
        <w:t xml:space="preserve"> TSP priority on </w:t>
      </w:r>
      <w:r w:rsidRPr="000D1014" w:rsidR="002359E1">
        <w:t>its</w:t>
      </w:r>
      <w:r w:rsidRPr="000D1014" w:rsidR="002160A7">
        <w:t xml:space="preserve"> critical circuits</w:t>
      </w:r>
      <w:r w:rsidRPr="000D1014">
        <w:t xml:space="preserve">.  </w:t>
      </w:r>
      <w:r w:rsidRPr="000D1014" w:rsidR="002160A7">
        <w:t xml:space="preserve">It is occasional/situational – the program office is not able to determine when this will occur.  </w:t>
      </w:r>
      <w:r w:rsidRPr="000D1014">
        <w:t>Those conditions may be more than quarterly in some years.</w:t>
      </w:r>
    </w:p>
    <w:p w:rsidR="000924B8" w:rsidP="000924B8" w14:paraId="105BA8DB" w14:textId="77777777">
      <w:pPr>
        <w:tabs>
          <w:tab w:val="left" w:pos="-720"/>
        </w:tabs>
        <w:suppressAutoHyphens/>
        <w:rPr>
          <w:sz w:val="22"/>
          <w:szCs w:val="22"/>
        </w:rPr>
      </w:pPr>
    </w:p>
    <w:p w:rsidR="000924B8" w:rsidP="000924B8" w14:paraId="276994AE" w14:textId="77777777">
      <w:pPr>
        <w:pStyle w:val="BodyText3"/>
        <w:tabs>
          <w:tab w:val="clear" w:pos="720"/>
        </w:tab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(b) Requiring respondents to prepare a written response to a collection of information in fewer than 30 days after receipt of it.</w:t>
      </w:r>
    </w:p>
    <w:p w:rsidR="000924B8" w:rsidP="000924B8" w14:paraId="187996C1" w14:textId="77777777">
      <w:pPr>
        <w:tabs>
          <w:tab w:val="left" w:pos="-720"/>
        </w:tabs>
        <w:suppressAutoHyphens/>
        <w:ind w:left="144"/>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0B991ECB" w14:textId="77777777">
      <w:pPr>
        <w:tabs>
          <w:tab w:val="left" w:pos="-720"/>
        </w:tabs>
        <w:suppressAutoHyphens/>
      </w:pPr>
      <w:r w:rsidRPr="000D1014">
        <w:t xml:space="preserve">There is no requirement to respond in a written manner once the forms have been submitted. </w:t>
      </w:r>
    </w:p>
    <w:p w:rsidR="000924B8" w:rsidP="000924B8" w14:paraId="0C3EF976" w14:textId="77777777">
      <w:pPr>
        <w:tabs>
          <w:tab w:val="left" w:pos="-720"/>
        </w:tabs>
        <w:suppressAutoHyphens/>
        <w:ind w:left="144"/>
        <w:rPr>
          <w:sz w:val="22"/>
          <w:szCs w:val="22"/>
        </w:rPr>
      </w:pPr>
    </w:p>
    <w:p w:rsidR="000924B8" w:rsidP="000924B8" w14:paraId="66F4E1AE"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(c) Requiring respondents to submit more than an original and two copies of any document.</w:t>
      </w:r>
    </w:p>
    <w:p w:rsidR="000924B8" w:rsidP="000924B8" w14:paraId="5B82CACB" w14:textId="77777777">
      <w:pPr>
        <w:tabs>
          <w:tab w:val="left" w:pos="-720"/>
        </w:tabs>
        <w:suppressAutoHyphens/>
        <w:jc w:val="both"/>
        <w:rPr>
          <w:sz w:val="22"/>
          <w:szCs w:val="22"/>
        </w:rPr>
      </w:pPr>
    </w:p>
    <w:p w:rsidR="000924B8" w:rsidRPr="000D1014" w:rsidP="000924B8" w14:paraId="43AAADE1" w14:textId="77777777">
      <w:pPr>
        <w:tabs>
          <w:tab w:val="left" w:pos="-720"/>
        </w:tabs>
        <w:suppressAutoHyphens/>
        <w:jc w:val="both"/>
      </w:pPr>
      <w:r w:rsidRPr="000D1014">
        <w:t>Respondents are only required to submit the original document</w:t>
      </w:r>
      <w:r w:rsidRPr="000D1014" w:rsidR="00E8476C">
        <w:t>;</w:t>
      </w:r>
      <w:r w:rsidRPr="000D1014">
        <w:t xml:space="preserve"> copies are not required. </w:t>
      </w:r>
    </w:p>
    <w:p w:rsidR="000924B8" w:rsidP="000924B8" w14:paraId="05DD6C4E" w14:textId="77777777">
      <w:pPr>
        <w:tabs>
          <w:tab w:val="left" w:pos="-720"/>
        </w:tabs>
        <w:suppressAutoHyphens/>
        <w:jc w:val="both"/>
        <w:rPr>
          <w:sz w:val="22"/>
          <w:szCs w:val="22"/>
        </w:rPr>
      </w:pPr>
      <w:r>
        <w:rPr>
          <w:sz w:val="22"/>
          <w:szCs w:val="22"/>
        </w:rPr>
        <w:tab/>
      </w:r>
    </w:p>
    <w:p w:rsidR="000924B8" w:rsidP="000924B8" w14:paraId="1A909E77"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(d) Requiring respondents to retain records, other than health, medical, government contract, grant-in-aid, or tax records for more than three years.</w:t>
      </w:r>
    </w:p>
    <w:p w:rsidR="000924B8" w:rsidP="000924B8" w14:paraId="391C0290" w14:textId="77777777">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029B2529" w14:textId="77777777">
      <w:pPr>
        <w:tabs>
          <w:tab w:val="left" w:pos="-720"/>
        </w:tabs>
        <w:suppressAutoHyphens/>
        <w:jc w:val="both"/>
      </w:pPr>
      <w:r w:rsidRPr="000D1014">
        <w:t>Respondents are not required to keep any of the documentation.</w:t>
      </w:r>
    </w:p>
    <w:p w:rsidR="000924B8" w:rsidP="000924B8" w14:paraId="14ED3704" w14:textId="77777777">
      <w:pPr>
        <w:tabs>
          <w:tab w:val="left" w:pos="-720"/>
        </w:tabs>
        <w:suppressAutoHyphens/>
        <w:rPr>
          <w:sz w:val="22"/>
          <w:szCs w:val="22"/>
        </w:rPr>
      </w:pPr>
      <w:r>
        <w:rPr>
          <w:sz w:val="22"/>
          <w:szCs w:val="22"/>
        </w:rPr>
        <w:tab/>
      </w:r>
    </w:p>
    <w:p w:rsidR="000924B8" w:rsidP="000924B8" w14:paraId="6B6452DE"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(e) In connection with a statistical survey, that is not designed to produce valid and reliable results that can be generalized to the universe of study.</w:t>
      </w:r>
    </w:p>
    <w:p w:rsidR="000924B8" w:rsidP="000924B8" w14:paraId="02CC0B42" w14:textId="77777777">
      <w:pPr>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68D89926" w14:textId="77777777">
      <w:pPr>
        <w:tabs>
          <w:tab w:val="left" w:pos="-720"/>
        </w:tabs>
        <w:suppressAutoHyphens/>
      </w:pPr>
      <w:r w:rsidRPr="000D1014">
        <w:t>This collection does not employ statistical analysis.</w:t>
      </w:r>
    </w:p>
    <w:p w:rsidR="000924B8" w:rsidP="000924B8" w14:paraId="58782D28" w14:textId="77777777">
      <w:pPr>
        <w:tabs>
          <w:tab w:val="left" w:pos="-720"/>
        </w:tabs>
        <w:suppressAutoHyphens/>
        <w:rPr>
          <w:sz w:val="22"/>
          <w:szCs w:val="22"/>
        </w:rPr>
      </w:pPr>
      <w:r>
        <w:rPr>
          <w:sz w:val="22"/>
          <w:szCs w:val="22"/>
        </w:rPr>
        <w:tab/>
      </w:r>
    </w:p>
    <w:p w:rsidR="000924B8" w:rsidP="000924B8" w14:paraId="15694D06"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(f) Requiring the use of a statistical data classification that has not been reviewed and approved by OMB.</w:t>
      </w:r>
    </w:p>
    <w:p w:rsidR="000924B8" w:rsidP="000924B8" w14:paraId="03BC8B77" w14:textId="77777777">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733F151E" w14:textId="77777777">
      <w:pPr>
        <w:tabs>
          <w:tab w:val="left" w:pos="-720"/>
        </w:tabs>
        <w:suppressAutoHyphens/>
      </w:pPr>
      <w:r w:rsidRPr="000D1014">
        <w:t>This collection does not employ statistical analysis.</w:t>
      </w:r>
    </w:p>
    <w:p w:rsidR="000924B8" w:rsidP="000924B8" w14:paraId="561A0547" w14:textId="77777777">
      <w:pPr>
        <w:tabs>
          <w:tab w:val="left" w:pos="-720"/>
        </w:tabs>
        <w:suppressAutoHyphens/>
        <w:rPr>
          <w:sz w:val="22"/>
          <w:szCs w:val="22"/>
        </w:rPr>
      </w:pPr>
    </w:p>
    <w:p w:rsidR="000924B8" w:rsidP="000924B8" w14:paraId="3F49457E"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sidR="00AC5474">
        <w:rPr>
          <w:sz w:val="22"/>
          <w:szCs w:val="22"/>
        </w:rPr>
        <w:t xml:space="preserve"> </w:t>
      </w:r>
      <w:r>
        <w:rPr>
          <w:sz w:val="22"/>
          <w:szCs w:val="22"/>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924B8" w:rsidP="000924B8" w14:paraId="78FBBE4C" w14:textId="77777777">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6CC06D68" w14:textId="77777777">
      <w:pPr>
        <w:tabs>
          <w:tab w:val="left" w:pos="-720"/>
        </w:tabs>
        <w:suppressAutoHyphens/>
        <w:jc w:val="both"/>
      </w:pPr>
      <w:r w:rsidRPr="000D1014">
        <w:t>There is no confidential information collected</w:t>
      </w:r>
      <w:r w:rsidRPr="000D1014" w:rsidR="00E8476C">
        <w:t>;</w:t>
      </w:r>
      <w:r w:rsidRPr="000D1014">
        <w:t xml:space="preserve"> however</w:t>
      </w:r>
      <w:r w:rsidRPr="000D1014" w:rsidR="00E8476C">
        <w:t>,</w:t>
      </w:r>
      <w:r w:rsidRPr="000D1014">
        <w:t xml:space="preserve"> the data is kept in a sensitive but unclassified environment.</w:t>
      </w:r>
    </w:p>
    <w:p w:rsidR="000924B8" w:rsidP="000924B8" w14:paraId="2D321C1A" w14:textId="77777777">
      <w:pPr>
        <w:tabs>
          <w:tab w:val="left" w:pos="-720"/>
        </w:tabs>
        <w:suppressAutoHyphens/>
        <w:rPr>
          <w:sz w:val="22"/>
          <w:szCs w:val="22"/>
        </w:rPr>
      </w:pPr>
    </w:p>
    <w:p w:rsidR="000924B8" w:rsidP="000924B8" w14:paraId="766CEBE1"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(h) Requiring respondents to submit proprietary trade secret, or other confidential information unless the agency can demonstrate that it has instituted procedures to protect the information’s confidentiality to the extent permitted by law.</w:t>
      </w:r>
    </w:p>
    <w:p w:rsidR="000924B8" w:rsidP="000924B8" w14:paraId="4BA22028" w14:textId="77777777">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25B87D78" w14:textId="77777777">
      <w:pPr>
        <w:tabs>
          <w:tab w:val="left" w:pos="-720"/>
        </w:tabs>
        <w:suppressAutoHyphens/>
        <w:jc w:val="both"/>
      </w:pPr>
      <w:r w:rsidRPr="000D1014">
        <w:t xml:space="preserve">It is not necessary to submit any trade secrets or other types of confidential data. </w:t>
      </w:r>
    </w:p>
    <w:p w:rsidR="000924B8" w:rsidP="000C4293" w14:paraId="31B21D64" w14:textId="77777777">
      <w:pPr>
        <w:tabs>
          <w:tab w:val="left" w:pos="-720"/>
        </w:tabs>
        <w:suppressAutoHyphens/>
        <w:jc w:val="both"/>
      </w:pPr>
    </w:p>
    <w:p w:rsidR="00EB5E96" w:rsidRPr="00596A43" w:rsidP="004C21F8" w14:paraId="191E530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004C21F8" w14:paraId="3B641B3F" w14:textId="0B5B9F2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C5474">
        <w:t xml:space="preserve"> (</w:t>
      </w:r>
      <w:r w:rsidRPr="00596A43">
        <w:t>a</w:t>
      </w:r>
      <w:r w:rsidR="00AC5474">
        <w:t>)</w:t>
      </w:r>
      <w:r w:rsidRPr="00596A43">
        <w:t xml:space="preserve">   Provide a copy and identify the date and page number of </w:t>
      </w:r>
      <w:r w:rsidRPr="00596A43">
        <w:t>publication</w:t>
      </w:r>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w:t>
      </w:r>
      <w:r w:rsidR="00E432CE">
        <w:t xml:space="preserve">dress comments received on cost </w:t>
      </w:r>
      <w:r w:rsidRPr="00596A43">
        <w:t>and hour burden.</w:t>
      </w:r>
    </w:p>
    <w:p w:rsidR="00EB5E96" w:rsidP="00E432CE" w14:paraId="6C44EE97" w14:textId="235F27DB">
      <w:pPr>
        <w:framePr w:hSpace="180" w:wrap="around" w:vAnchor="text" w:hAnchor="margin" w:y="-55"/>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 </w:t>
      </w:r>
      <w:r w:rsidRPr="00596A43">
        <w:fldChar w:fldCharType="begin"/>
      </w:r>
      <w:r w:rsidRPr="00596A43">
        <w:instrText>ADVANCE \R 0.95</w:instrText>
      </w:r>
      <w:r w:rsidRPr="00596A43">
        <w:fldChar w:fldCharType="end"/>
      </w:r>
    </w:p>
    <w:p w:rsidR="00AC5474" w:rsidP="000C4293" w14:paraId="7FFE9C61" w14:textId="683A96CE">
      <w:pPr>
        <w:tabs>
          <w:tab w:val="left" w:pos="-720"/>
        </w:tabs>
        <w:suppressAutoHyphens/>
        <w:jc w:val="both"/>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1520"/>
        <w:gridCol w:w="1211"/>
        <w:gridCol w:w="1861"/>
        <w:gridCol w:w="1192"/>
        <w:gridCol w:w="1391"/>
      </w:tblGrid>
      <w:tr w14:paraId="58AC8031" w14:textId="77777777" w:rsidTr="328168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8" w:type="dxa"/>
            <w:shd w:val="clear" w:color="auto" w:fill="000000" w:themeFill="text1"/>
          </w:tcPr>
          <w:p w:rsidR="00E432CE" w:rsidP="007D004D" w14:paraId="5F0B1CFD" w14:textId="77777777">
            <w:pPr>
              <w:tabs>
                <w:tab w:val="left" w:pos="-720"/>
              </w:tabs>
              <w:suppressAutoHyphens/>
              <w:jc w:val="both"/>
            </w:pPr>
          </w:p>
        </w:tc>
        <w:tc>
          <w:tcPr>
            <w:tcW w:w="1530" w:type="dxa"/>
            <w:shd w:val="clear" w:color="auto" w:fill="BFBFBF" w:themeFill="background1" w:themeFillShade="BF"/>
          </w:tcPr>
          <w:p w:rsidR="00E432CE" w:rsidRPr="00D3411B" w:rsidP="007D004D" w14:paraId="4864076D" w14:textId="77777777">
            <w:pPr>
              <w:tabs>
                <w:tab w:val="left" w:pos="-720"/>
              </w:tabs>
              <w:suppressAutoHyphens/>
              <w:jc w:val="center"/>
              <w:rPr>
                <w:b/>
              </w:rPr>
            </w:pPr>
            <w:r w:rsidRPr="00D3411B">
              <w:rPr>
                <w:b/>
              </w:rPr>
              <w:t>Date of Publication</w:t>
            </w:r>
          </w:p>
        </w:tc>
        <w:tc>
          <w:tcPr>
            <w:tcW w:w="1226" w:type="dxa"/>
            <w:shd w:val="clear" w:color="auto" w:fill="BFBFBF" w:themeFill="background1" w:themeFillShade="BF"/>
            <w:vAlign w:val="center"/>
          </w:tcPr>
          <w:p w:rsidR="00E432CE" w:rsidRPr="00D3411B" w:rsidP="007D004D" w14:paraId="407DC18E" w14:textId="77777777">
            <w:pPr>
              <w:tabs>
                <w:tab w:val="left" w:pos="-720"/>
              </w:tabs>
              <w:suppressAutoHyphens/>
              <w:jc w:val="center"/>
              <w:rPr>
                <w:b/>
              </w:rPr>
            </w:pPr>
            <w:r w:rsidRPr="00D3411B">
              <w:rPr>
                <w:b/>
              </w:rPr>
              <w:t>Volume #</w:t>
            </w:r>
          </w:p>
        </w:tc>
        <w:tc>
          <w:tcPr>
            <w:tcW w:w="1924" w:type="dxa"/>
            <w:shd w:val="clear" w:color="auto" w:fill="BFBFBF" w:themeFill="background1" w:themeFillShade="BF"/>
            <w:vAlign w:val="center"/>
          </w:tcPr>
          <w:p w:rsidR="00E432CE" w:rsidRPr="00D3411B" w:rsidP="007D004D" w14:paraId="33774013" w14:textId="77777777">
            <w:pPr>
              <w:tabs>
                <w:tab w:val="left" w:pos="-720"/>
              </w:tabs>
              <w:suppressAutoHyphens/>
              <w:jc w:val="center"/>
              <w:rPr>
                <w:b/>
              </w:rPr>
            </w:pPr>
            <w:r w:rsidRPr="00D3411B">
              <w:rPr>
                <w:b/>
              </w:rPr>
              <w:t>Number #</w:t>
            </w:r>
          </w:p>
        </w:tc>
        <w:tc>
          <w:tcPr>
            <w:tcW w:w="1216" w:type="dxa"/>
            <w:shd w:val="clear" w:color="auto" w:fill="BFBFBF" w:themeFill="background1" w:themeFillShade="BF"/>
            <w:vAlign w:val="center"/>
          </w:tcPr>
          <w:p w:rsidR="00E432CE" w:rsidRPr="00D3411B" w:rsidP="007D004D" w14:paraId="00E1EA6E" w14:textId="77777777">
            <w:pPr>
              <w:tabs>
                <w:tab w:val="left" w:pos="-720"/>
              </w:tabs>
              <w:suppressAutoHyphens/>
              <w:jc w:val="center"/>
              <w:rPr>
                <w:b/>
              </w:rPr>
            </w:pPr>
            <w:r w:rsidRPr="00D3411B">
              <w:rPr>
                <w:b/>
              </w:rPr>
              <w:t>Page #</w:t>
            </w:r>
          </w:p>
        </w:tc>
        <w:tc>
          <w:tcPr>
            <w:tcW w:w="1396" w:type="dxa"/>
            <w:shd w:val="clear" w:color="auto" w:fill="BFBFBF" w:themeFill="background1" w:themeFillShade="BF"/>
          </w:tcPr>
          <w:p w:rsidR="00E432CE" w:rsidRPr="00D3411B" w:rsidP="007D004D" w14:paraId="75EB230C" w14:textId="77777777">
            <w:pPr>
              <w:tabs>
                <w:tab w:val="left" w:pos="-720"/>
              </w:tabs>
              <w:suppressAutoHyphens/>
              <w:jc w:val="center"/>
              <w:rPr>
                <w:b/>
              </w:rPr>
            </w:pPr>
            <w:r w:rsidRPr="00D3411B">
              <w:rPr>
                <w:b/>
              </w:rPr>
              <w:t>Comments Addressed</w:t>
            </w:r>
          </w:p>
        </w:tc>
      </w:tr>
      <w:tr w14:paraId="1AAF2914" w14:textId="77777777" w:rsidTr="32816805">
        <w:tblPrEx>
          <w:tblW w:w="0" w:type="auto"/>
          <w:tblLook w:val="04A0"/>
        </w:tblPrEx>
        <w:tc>
          <w:tcPr>
            <w:tcW w:w="2268" w:type="dxa"/>
            <w:vAlign w:val="center"/>
          </w:tcPr>
          <w:p w:rsidR="00E432CE" w:rsidRPr="00D3411B" w:rsidP="00E432CE" w14:paraId="6CBEAE57" w14:textId="77777777">
            <w:pPr>
              <w:tabs>
                <w:tab w:val="left" w:pos="-720"/>
              </w:tabs>
              <w:suppressAutoHyphens/>
              <w:rPr>
                <w:i/>
              </w:rPr>
            </w:pPr>
            <w:r w:rsidRPr="00D3411B">
              <w:rPr>
                <w:i/>
              </w:rPr>
              <w:t>60Day Federal Register Notice:</w:t>
            </w:r>
          </w:p>
        </w:tc>
        <w:tc>
          <w:tcPr>
            <w:tcW w:w="1530" w:type="dxa"/>
            <w:vAlign w:val="center"/>
          </w:tcPr>
          <w:p w:rsidR="00E432CE" w:rsidP="32816805" w14:paraId="6A3337F0" w14:textId="12068488">
            <w:pPr>
              <w:suppressAutoHyphens/>
              <w:jc w:val="center"/>
            </w:pPr>
            <w:r>
              <w:t>4/10/2023</w:t>
            </w:r>
          </w:p>
        </w:tc>
        <w:tc>
          <w:tcPr>
            <w:tcW w:w="1226" w:type="dxa"/>
            <w:vAlign w:val="center"/>
          </w:tcPr>
          <w:p w:rsidR="00E432CE" w:rsidP="32816805" w14:paraId="49F5E79A" w14:textId="1DD063DB">
            <w:pPr>
              <w:suppressAutoHyphens/>
              <w:jc w:val="center"/>
            </w:pPr>
            <w:r>
              <w:t>88</w:t>
            </w:r>
          </w:p>
        </w:tc>
        <w:tc>
          <w:tcPr>
            <w:tcW w:w="1924" w:type="dxa"/>
            <w:vAlign w:val="center"/>
          </w:tcPr>
          <w:p w:rsidR="00E432CE" w:rsidP="32816805" w14:paraId="79C2CA9F" w14:textId="586D0F0C">
            <w:pPr>
              <w:suppressAutoHyphens/>
              <w:jc w:val="center"/>
            </w:pPr>
            <w:r w:rsidRPr="32816805">
              <w:t>21203</w:t>
            </w:r>
          </w:p>
        </w:tc>
        <w:tc>
          <w:tcPr>
            <w:tcW w:w="1216" w:type="dxa"/>
            <w:vAlign w:val="center"/>
          </w:tcPr>
          <w:p w:rsidR="00E432CE" w:rsidP="32816805" w14:paraId="40E42122" w14:textId="50872912">
            <w:pPr>
              <w:suppressAutoHyphens/>
              <w:jc w:val="center"/>
            </w:pPr>
            <w:r w:rsidRPr="32816805">
              <w:t>21203</w:t>
            </w:r>
          </w:p>
        </w:tc>
        <w:tc>
          <w:tcPr>
            <w:tcW w:w="1396" w:type="dxa"/>
            <w:vAlign w:val="center"/>
          </w:tcPr>
          <w:p w:rsidR="00E432CE" w:rsidP="00E432CE" w14:paraId="0AD7FA6F" w14:textId="77777777">
            <w:pPr>
              <w:tabs>
                <w:tab w:val="left" w:pos="-720"/>
              </w:tabs>
              <w:suppressAutoHyphens/>
              <w:jc w:val="center"/>
            </w:pPr>
            <w:r>
              <w:t>0</w:t>
            </w:r>
          </w:p>
        </w:tc>
      </w:tr>
      <w:tr w14:paraId="4F240FC9" w14:textId="77777777" w:rsidTr="32816805">
        <w:tblPrEx>
          <w:tblW w:w="0" w:type="auto"/>
          <w:tblLook w:val="04A0"/>
        </w:tblPrEx>
        <w:tc>
          <w:tcPr>
            <w:tcW w:w="2268" w:type="dxa"/>
            <w:vAlign w:val="center"/>
          </w:tcPr>
          <w:p w:rsidR="00E432CE" w:rsidP="00E432CE" w14:paraId="4CC792F2" w14:textId="286EA673">
            <w:pPr>
              <w:tabs>
                <w:tab w:val="left" w:pos="-720"/>
              </w:tabs>
              <w:suppressAutoHyphens/>
            </w:pPr>
            <w:r w:rsidRPr="00D3411B">
              <w:rPr>
                <w:i/>
              </w:rPr>
              <w:t>30-Day Federal Register Notice</w:t>
            </w:r>
            <w:r>
              <w:rPr>
                <w:i/>
              </w:rPr>
              <w:t xml:space="preserve">: </w:t>
            </w:r>
          </w:p>
        </w:tc>
        <w:tc>
          <w:tcPr>
            <w:tcW w:w="1530" w:type="dxa"/>
            <w:vAlign w:val="center"/>
          </w:tcPr>
          <w:p w:rsidR="00E432CE" w:rsidP="00E432CE" w14:paraId="1F5D2DF9" w14:textId="43C8FEF8">
            <w:pPr>
              <w:tabs>
                <w:tab w:val="left" w:pos="-720"/>
              </w:tabs>
              <w:suppressAutoHyphens/>
              <w:jc w:val="center"/>
            </w:pPr>
            <w:r>
              <w:t>11/02/2023</w:t>
            </w:r>
          </w:p>
        </w:tc>
        <w:tc>
          <w:tcPr>
            <w:tcW w:w="1226" w:type="dxa"/>
            <w:vAlign w:val="center"/>
          </w:tcPr>
          <w:p w:rsidR="00E432CE" w:rsidP="00E432CE" w14:paraId="54B97E0D" w14:textId="6BD8F256">
            <w:pPr>
              <w:tabs>
                <w:tab w:val="left" w:pos="-720"/>
              </w:tabs>
              <w:suppressAutoHyphens/>
              <w:jc w:val="center"/>
            </w:pPr>
            <w:r>
              <w:t>88</w:t>
            </w:r>
          </w:p>
        </w:tc>
        <w:tc>
          <w:tcPr>
            <w:tcW w:w="1924" w:type="dxa"/>
            <w:vAlign w:val="center"/>
          </w:tcPr>
          <w:p w:rsidR="00E432CE" w:rsidP="00E432CE" w14:paraId="6B259555" w14:textId="1B35A19C">
            <w:pPr>
              <w:tabs>
                <w:tab w:val="left" w:pos="-720"/>
              </w:tabs>
              <w:suppressAutoHyphens/>
              <w:jc w:val="center"/>
            </w:pPr>
            <w:r>
              <w:t>24215</w:t>
            </w:r>
          </w:p>
        </w:tc>
        <w:tc>
          <w:tcPr>
            <w:tcW w:w="1216" w:type="dxa"/>
            <w:vAlign w:val="center"/>
          </w:tcPr>
          <w:p w:rsidR="00E432CE" w:rsidP="007F012F" w14:paraId="1BDECB34" w14:textId="2DE52476">
            <w:r w:rsidRPr="00FA04B7">
              <w:t>75301-75302</w:t>
            </w:r>
          </w:p>
        </w:tc>
        <w:tc>
          <w:tcPr>
            <w:tcW w:w="1396" w:type="dxa"/>
            <w:vAlign w:val="center"/>
          </w:tcPr>
          <w:p w:rsidR="00E432CE" w:rsidP="00E432CE" w14:paraId="4D263DF7" w14:textId="77777777">
            <w:pPr>
              <w:tabs>
                <w:tab w:val="left" w:pos="-720"/>
              </w:tabs>
              <w:suppressAutoHyphens/>
              <w:jc w:val="center"/>
            </w:pPr>
            <w:r>
              <w:t>0</w:t>
            </w:r>
          </w:p>
        </w:tc>
      </w:tr>
    </w:tbl>
    <w:p w:rsidR="00E432CE" w:rsidP="000C4293" w14:paraId="2AB85B3E" w14:textId="31248F32">
      <w:pPr>
        <w:tabs>
          <w:tab w:val="left" w:pos="-720"/>
        </w:tabs>
        <w:suppressAutoHyphens/>
        <w:jc w:val="both"/>
      </w:pPr>
    </w:p>
    <w:p w:rsidR="00E432CE" w:rsidRPr="00596A43" w:rsidP="000C4293" w14:paraId="62963AD1" w14:textId="77777777">
      <w:pPr>
        <w:tabs>
          <w:tab w:val="left" w:pos="-720"/>
        </w:tabs>
        <w:suppressAutoHyphens/>
        <w:jc w:val="both"/>
      </w:pPr>
    </w:p>
    <w:p w:rsidR="000924B8" w:rsidP="000924B8" w14:paraId="65C221F5" w14:textId="77777777">
      <w:pPr>
        <w:shd w:val="pct25" w:color="auto" w:fill="auto"/>
        <w:tabs>
          <w:tab w:val="left" w:pos="-720"/>
        </w:tabs>
        <w:suppressAutoHyphens/>
        <w:rPr>
          <w:sz w:val="22"/>
          <w:szCs w:val="22"/>
        </w:rPr>
      </w:pPr>
      <w:r>
        <w:rPr>
          <w:sz w:val="22"/>
          <w:szCs w:val="22"/>
        </w:rPr>
        <w:t xml:space="preserve"> (</w:t>
      </w:r>
      <w:r>
        <w:rPr>
          <w:sz w:val="22"/>
          <w:szCs w:val="22"/>
        </w:rPr>
        <w:t>b</w:t>
      </w:r>
      <w:r>
        <w:rPr>
          <w:sz w:val="22"/>
          <w:szCs w:val="22"/>
        </w:rPr>
        <w:t>)</w:t>
      </w:r>
      <w:r>
        <w:rPr>
          <w:sz w:val="22"/>
          <w:szCs w:val="22"/>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924B8" w:rsidP="000924B8" w14:paraId="639DA36C" w14:textId="77777777">
      <w:pPr>
        <w:tabs>
          <w:tab w:val="left" w:pos="-720"/>
        </w:tabs>
        <w:suppressAutoHyphens/>
        <w:rPr>
          <w:sz w:val="22"/>
          <w:szCs w:val="22"/>
        </w:rPr>
      </w:pPr>
    </w:p>
    <w:p w:rsidR="000924B8" w:rsidRPr="000D1014" w:rsidP="000924B8" w14:paraId="319343E5" w14:textId="03829265">
      <w:pPr>
        <w:tabs>
          <w:tab w:val="left" w:pos="-720"/>
        </w:tabs>
        <w:suppressAutoHyphens/>
      </w:pPr>
      <w:bookmarkStart w:id="0" w:name="OLE_LINK1"/>
      <w:bookmarkStart w:id="1" w:name="OLE_LINK2"/>
      <w:r w:rsidRPr="000D1014">
        <w:t xml:space="preserve">The </w:t>
      </w:r>
      <w:r w:rsidR="00E432CE">
        <w:t>ECD</w:t>
      </w:r>
      <w:r w:rsidRPr="000D1014">
        <w:t xml:space="preserve"> works</w:t>
      </w:r>
      <w:r w:rsidRPr="000D1014">
        <w:t xml:space="preserve"> with the </w:t>
      </w:r>
      <w:r w:rsidR="00B02BF1">
        <w:t>Communications I</w:t>
      </w:r>
      <w:r w:rsidR="003B665D">
        <w:t>nformation Sharing</w:t>
      </w:r>
      <w:r w:rsidR="00361691">
        <w:t xml:space="preserve"> and</w:t>
      </w:r>
      <w:r w:rsidR="003B665D">
        <w:t xml:space="preserve"> Analysis Center</w:t>
      </w:r>
      <w:r w:rsidRPr="000D1014">
        <w:t xml:space="preserve"> </w:t>
      </w:r>
      <w:r w:rsidR="00361691">
        <w:t>(Comm-ISAC)</w:t>
      </w:r>
      <w:r w:rsidR="0002785F">
        <w:t xml:space="preserve"> </w:t>
      </w:r>
      <w:r w:rsidRPr="000D1014">
        <w:t xml:space="preserve">to confirm that this collection of data </w:t>
      </w:r>
      <w:r w:rsidRPr="000D1014">
        <w:t>is</w:t>
      </w:r>
      <w:r w:rsidRPr="000D1014">
        <w:t xml:space="preserve"> adequate and necessary.</w:t>
      </w:r>
    </w:p>
    <w:bookmarkEnd w:id="0"/>
    <w:bookmarkEnd w:id="1"/>
    <w:p w:rsidR="000924B8" w:rsidP="000924B8" w14:paraId="79A083FA" w14:textId="77777777">
      <w:pPr>
        <w:tabs>
          <w:tab w:val="left" w:pos="-720"/>
        </w:tabs>
        <w:suppressAutoHyphens/>
        <w:rPr>
          <w:sz w:val="22"/>
          <w:szCs w:val="22"/>
        </w:rPr>
      </w:pPr>
    </w:p>
    <w:p w:rsidR="000924B8" w:rsidP="000924B8" w14:paraId="1DF3FB38" w14:textId="77777777">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sidR="00AC5474">
        <w:rPr>
          <w:sz w:val="22"/>
          <w:szCs w:val="22"/>
        </w:rPr>
        <w:t xml:space="preserve"> (c) </w:t>
      </w:r>
      <w:r>
        <w:rPr>
          <w:sz w:val="22"/>
          <w:szCs w:val="22"/>
        </w:rPr>
        <w:t xml:space="preserve">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0924B8" w:rsidP="000924B8" w14:paraId="33F94E50" w14:textId="77777777">
      <w:pPr>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p>
    <w:p w:rsidR="000924B8" w:rsidRPr="000D1014" w:rsidP="000924B8" w14:paraId="7E3E2B06" w14:textId="4C06ABDF">
      <w:pPr>
        <w:tabs>
          <w:tab w:val="left" w:pos="-720"/>
        </w:tabs>
        <w:suppressAutoHyphens/>
      </w:pPr>
      <w:r w:rsidRPr="000D1014">
        <w:t xml:space="preserve">The </w:t>
      </w:r>
      <w:r w:rsidR="00E432CE">
        <w:t>ECD</w:t>
      </w:r>
      <w:r w:rsidRPr="000D1014" w:rsidR="00B02FA4">
        <w:t xml:space="preserve"> works</w:t>
      </w:r>
      <w:r w:rsidRPr="000D1014">
        <w:t xml:space="preserve"> with the </w:t>
      </w:r>
      <w:r w:rsidR="0002785F">
        <w:t>Comm-ISAC</w:t>
      </w:r>
      <w:r w:rsidRPr="000D1014">
        <w:t xml:space="preserve"> to confirm</w:t>
      </w:r>
      <w:r w:rsidRPr="000D1014" w:rsidR="00B02FA4">
        <w:t xml:space="preserve"> that this collection of data i</w:t>
      </w:r>
      <w:r w:rsidRPr="000D1014">
        <w:t>s adequate and necessary.</w:t>
      </w:r>
    </w:p>
    <w:p w:rsidR="00B67664" w:rsidP="000C4293" w14:paraId="32058ED3" w14:textId="77777777">
      <w:pPr>
        <w:tabs>
          <w:tab w:val="left" w:pos="-720"/>
        </w:tabs>
        <w:suppressAutoHyphens/>
        <w:jc w:val="both"/>
      </w:pPr>
    </w:p>
    <w:p w:rsidR="00EB5E96" w:rsidRPr="00596A43" w:rsidP="000C4293" w14:paraId="1A45020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646C9EE9" w14:textId="77777777">
      <w:pPr>
        <w:tabs>
          <w:tab w:val="left" w:pos="-720"/>
        </w:tabs>
        <w:suppressAutoHyphens/>
        <w:jc w:val="both"/>
      </w:pPr>
    </w:p>
    <w:p w:rsidR="00F62BBB" w:rsidRPr="000D1014" w:rsidP="00F62BBB" w14:paraId="361949F4" w14:textId="77777777">
      <w:pPr>
        <w:tabs>
          <w:tab w:val="left" w:pos="-720"/>
        </w:tabs>
        <w:suppressAutoHyphens/>
      </w:pPr>
      <w:r w:rsidRPr="000D1014">
        <w:t>No gifts or payments of any kind were provided to those associated with the program.</w:t>
      </w:r>
    </w:p>
    <w:p w:rsidR="00EB5E96" w:rsidRPr="00596A43" w:rsidP="000C4293" w14:paraId="0336F268" w14:textId="77777777">
      <w:pPr>
        <w:tabs>
          <w:tab w:val="left" w:pos="-720"/>
        </w:tabs>
        <w:suppressAutoHyphens/>
        <w:jc w:val="both"/>
      </w:pPr>
    </w:p>
    <w:p w:rsidR="00EB5E96" w:rsidRPr="00596A43" w:rsidP="000C4293" w14:paraId="6DFE2E4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P="000C4293" w14:paraId="4B438530" w14:textId="61485375">
      <w:pPr>
        <w:tabs>
          <w:tab w:val="left" w:pos="-720"/>
        </w:tabs>
        <w:suppressAutoHyphens/>
        <w:jc w:val="both"/>
      </w:pPr>
      <w:r w:rsidRPr="00596A43">
        <w:fldChar w:fldCharType="begin"/>
      </w:r>
      <w:r w:rsidRPr="00596A43">
        <w:instrText>ADVANCE \R 0.95</w:instrText>
      </w:r>
      <w:r w:rsidRPr="00596A43">
        <w:fldChar w:fldCharType="end"/>
      </w:r>
    </w:p>
    <w:p w:rsidR="000C721D" w:rsidP="00007DF1" w14:paraId="77FD5A12" w14:textId="36FC72D6">
      <w:pPr>
        <w:tabs>
          <w:tab w:val="left" w:pos="-720"/>
        </w:tabs>
        <w:suppressAutoHyphens/>
      </w:pPr>
      <w:r w:rsidRPr="000D1014">
        <w:t>While there are no assurances of confidentiality provided to respondents, t</w:t>
      </w:r>
      <w:r w:rsidRPr="000D1014" w:rsidR="00F62BBB">
        <w:t xml:space="preserve">he TSP Program database is maintained at the “Sensitive Information” level.  </w:t>
      </w:r>
      <w:r w:rsidRPr="000D1014">
        <w:t>Following the DHS 4300</w:t>
      </w:r>
      <w:r w:rsidR="00AA2D31">
        <w:t>a Sensitive Systems Handbook</w:t>
      </w:r>
      <w:r w:rsidRPr="000D1014">
        <w:t>, a</w:t>
      </w:r>
      <w:r w:rsidRPr="000D1014" w:rsidR="00F62BBB">
        <w:t xml:space="preserve">ccess to the database will be limited to U.S. Government employees and U.S. citizen contractor </w:t>
      </w:r>
      <w:r w:rsidRPr="000D1014">
        <w:t xml:space="preserve">employees with a need to access </w:t>
      </w:r>
      <w:r w:rsidRPr="000D1014" w:rsidR="00F62BBB">
        <w:t>the database to perform their work</w:t>
      </w:r>
      <w:r w:rsidRPr="000D1014">
        <w:t>, applying principles of least privilege</w:t>
      </w:r>
      <w:r w:rsidRPr="000D1014" w:rsidR="00F62BBB">
        <w:t xml:space="preserve">.  Password and privacy techniques are used to limit access to the database and the data within the database.  </w:t>
      </w:r>
    </w:p>
    <w:p w:rsidR="000C721D" w:rsidP="00007DF1" w14:paraId="25794EB2" w14:textId="6EAE7AF4">
      <w:pPr>
        <w:tabs>
          <w:tab w:val="left" w:pos="-720"/>
        </w:tabs>
        <w:suppressAutoHyphens/>
      </w:pPr>
    </w:p>
    <w:p w:rsidR="000C721D" w:rsidRPr="000C721D" w:rsidP="000C721D" w14:paraId="0FC79131" w14:textId="77777777">
      <w:pPr>
        <w:tabs>
          <w:tab w:val="left" w:pos="-720"/>
        </w:tabs>
        <w:suppressAutoHyphens/>
      </w:pPr>
      <w:r w:rsidRPr="000C721D">
        <w:t xml:space="preserve">The DHS Privacy Office review finds that this is a privacy sensitive collection requiring a Privacy Impact Assessment (PIA) and System of Records Notice (SORN).  The collection is covered by PIA – DHS/ALL/PIA-006 DHS General Contacts List and SORN – DHS/ALL-002 DHS Mailing and Other Lists System, 73 FR 71659 (Nov. 25, 2008). </w:t>
      </w:r>
    </w:p>
    <w:p w:rsidR="0095441D" w:rsidP="0095441D" w14:paraId="45AADF79" w14:textId="77777777">
      <w:pPr>
        <w:pStyle w:val="Default"/>
        <w:rPr>
          <w:color w:val="auto"/>
        </w:rPr>
      </w:pPr>
    </w:p>
    <w:p w:rsidR="00AA3F82" w:rsidRPr="00596A43" w:rsidP="000C4293" w14:paraId="474C10EE" w14:textId="77777777">
      <w:pPr>
        <w:tabs>
          <w:tab w:val="left" w:pos="-720"/>
        </w:tabs>
        <w:suppressAutoHyphens/>
        <w:jc w:val="both"/>
      </w:pPr>
    </w:p>
    <w:p w:rsidR="00EB5E96" w:rsidRPr="00596A43" w:rsidP="000C4293" w14:paraId="4C324A7C"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40605096" w14:textId="77777777">
      <w:pPr>
        <w:shd w:val="clear" w:color="auto" w:fill="FFFFFF"/>
        <w:tabs>
          <w:tab w:val="left" w:pos="-720"/>
        </w:tabs>
        <w:suppressAutoHyphens/>
        <w:jc w:val="both"/>
      </w:pPr>
    </w:p>
    <w:p w:rsidR="00F62BBB" w:rsidRPr="000D1014" w:rsidP="00F62BBB" w14:paraId="4A0066A7" w14:textId="77777777">
      <w:pPr>
        <w:shd w:val="clear" w:color="auto" w:fill="FFFFFF"/>
        <w:tabs>
          <w:tab w:val="left" w:pos="-720"/>
        </w:tabs>
        <w:suppressAutoHyphens/>
      </w:pPr>
      <w:r w:rsidRPr="000D1014">
        <w:t>No information that is commonly considered sensitive is required in this collection.</w:t>
      </w:r>
    </w:p>
    <w:p w:rsidR="00AA3F82" w:rsidRPr="00596A43" w:rsidP="000C4293" w14:paraId="0C6EFE8C" w14:textId="77777777">
      <w:pPr>
        <w:shd w:val="clear" w:color="auto" w:fill="FFFFFF"/>
        <w:tabs>
          <w:tab w:val="left" w:pos="-720"/>
        </w:tabs>
        <w:suppressAutoHyphens/>
        <w:jc w:val="both"/>
      </w:pPr>
    </w:p>
    <w:p w:rsidR="00EB5E96" w:rsidRPr="00596A43" w:rsidP="000C4293" w14:paraId="1927E73A"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12. </w:t>
      </w:r>
      <w:r w:rsidR="00AC5474">
        <w:t xml:space="preserve"> </w:t>
      </w:r>
      <w:r w:rsidRPr="00596A43">
        <w:t>Provide estimates of the hour burden of the collection of information.  The statement should:</w:t>
      </w:r>
    </w:p>
    <w:p w:rsidR="00EB5E96" w:rsidRPr="00596A43" w:rsidP="000C4293" w14:paraId="2ADE4F8C" w14:textId="77777777">
      <w:pPr>
        <w:tabs>
          <w:tab w:val="left" w:pos="-720"/>
        </w:tabs>
        <w:suppressAutoHyphens/>
        <w:jc w:val="both"/>
      </w:pPr>
      <w:r w:rsidRPr="00596A43">
        <w:fldChar w:fldCharType="begin"/>
      </w:r>
      <w:r w:rsidRPr="00596A43">
        <w:instrText>ADVANCE \R 0.95</w:instrText>
      </w:r>
      <w:r w:rsidRPr="00596A43">
        <w:fldChar w:fldCharType="end"/>
      </w:r>
    </w:p>
    <w:p w:rsidR="00EB5E96" w:rsidRPr="00596A43" w:rsidP="000C4293" w14:paraId="2D9E7F8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AC5474">
        <w:t xml:space="preserve"> (</w:t>
      </w:r>
      <w:r w:rsidRPr="00596A43">
        <w:t>a</w:t>
      </w:r>
      <w:r w:rsidR="00AC5474">
        <w:t>)</w:t>
      </w:r>
      <w:r w:rsidRPr="00596A43">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5E96" w:rsidRPr="00596A43" w:rsidP="000C4293" w14:paraId="348F5DCC" w14:textId="77777777">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00EB5E96" w:rsidRPr="00596A43" w:rsidP="000C4293" w14:paraId="7B0E2955" w14:textId="77777777">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P="003B68FA" w14:paraId="695493FE" w14:textId="77777777">
      <w:pPr>
        <w:tabs>
          <w:tab w:val="left" w:pos="-720"/>
        </w:tabs>
        <w:suppressAutoHyphens/>
        <w:jc w:val="both"/>
      </w:pPr>
    </w:p>
    <w:p w:rsidR="0054664C" w:rsidP="00EF7DCB" w14:paraId="1F66417E" w14:textId="2F6A276A">
      <w:pPr>
        <w:tabs>
          <w:tab w:val="left" w:pos="-720"/>
        </w:tabs>
        <w:suppressAutoHyphens/>
      </w:pPr>
      <w:r>
        <w:t>The Department estimates</w:t>
      </w:r>
      <w:r w:rsidR="00EA6D94">
        <w:t xml:space="preserve"> that annually there would be</w:t>
      </w:r>
      <w:r>
        <w:t xml:space="preserve"> 304 respondents for form SF314 based on the number of organizations contacted annually</w:t>
      </w:r>
      <w:r w:rsidR="00EA6D94">
        <w:t>,</w:t>
      </w:r>
      <w:r>
        <w:t xml:space="preserve"> </w:t>
      </w:r>
      <w:r w:rsidR="00FB02DB">
        <w:t>24,750</w:t>
      </w:r>
      <w:r>
        <w:t xml:space="preserve"> respondents for form SF315 based on the number of requests received in </w:t>
      </w:r>
      <w:r w:rsidR="00893771">
        <w:t>FY</w:t>
      </w:r>
      <w:r>
        <w:t>20</w:t>
      </w:r>
      <w:r w:rsidR="002B5F80">
        <w:t>2</w:t>
      </w:r>
      <w:r w:rsidR="004819BC">
        <w:t>2</w:t>
      </w:r>
      <w:r>
        <w:t xml:space="preserve">, 1 respondent for form SF317 due to the infrequent nature of appeals, and 428 respondents for both forms SF318 and SF319 based on the number of telecommunications vendors </w:t>
      </w:r>
      <w:r w:rsidR="00EA6D94">
        <w:t>with which</w:t>
      </w:r>
      <w:r>
        <w:t xml:space="preserve"> the Department works. </w:t>
      </w:r>
      <w:r w:rsidR="00F93305">
        <w:t xml:space="preserve"> </w:t>
      </w:r>
      <w:r>
        <w:t xml:space="preserve">The Department estimates that </w:t>
      </w:r>
      <w:r w:rsidR="00EA6D94">
        <w:t xml:space="preserve">it </w:t>
      </w:r>
      <w:r>
        <w:t>would take a telecommunications specialist 0.75 hours (45 minutes) to complete SF314, 0.25 hours (15 minutes) to complete SF315, 0.42 hours (25 minutes) to complete SF317, 0.75 hours (45 minutes) to complete SF318, and 1 hour to complete SF319.</w:t>
      </w:r>
    </w:p>
    <w:p w:rsidR="00105028" w:rsidP="00EF7DCB" w14:paraId="1A4E5938" w14:textId="77777777">
      <w:pPr>
        <w:tabs>
          <w:tab w:val="left" w:pos="-720"/>
        </w:tabs>
        <w:suppressAutoHyphens/>
      </w:pPr>
    </w:p>
    <w:p w:rsidR="0054664C" w:rsidP="2EEC75C0" w14:paraId="75F0879E" w14:textId="5DA10B0F">
      <w:pPr>
        <w:suppressAutoHyphens/>
      </w:pPr>
      <w:r>
        <w:t xml:space="preserve">The Department </w:t>
      </w:r>
      <w:r w:rsidR="00CA30BB">
        <w:t>expects</w:t>
      </w:r>
      <w:r>
        <w:t xml:space="preserve"> that </w:t>
      </w:r>
      <w:r w:rsidR="00CA30BB">
        <w:t xml:space="preserve">a telecommunication specialist would complete </w:t>
      </w:r>
      <w:r>
        <w:t xml:space="preserve">all </w:t>
      </w:r>
      <w:r w:rsidR="00CA30BB">
        <w:t>of</w:t>
      </w:r>
      <w:r w:rsidR="00CA30BB">
        <w:t xml:space="preserve"> the forms</w:t>
      </w:r>
      <w:r>
        <w:t>. To estimate their labor cost, the Department used the average hourly wage for all occupations in the telecommunications industry from the Bureau of Labor Statistics (BLS).</w:t>
      </w:r>
      <w:r>
        <w:rPr>
          <w:rStyle w:val="FootnoteReference"/>
        </w:rPr>
        <w:footnoteReference w:id="2"/>
      </w:r>
      <w:r>
        <w:t xml:space="preserve">  To account for benefits, we multiply the average hourly wage of $</w:t>
      </w:r>
      <w:r w:rsidR="001A3703">
        <w:t>36.65</w:t>
      </w:r>
      <w:r>
        <w:t xml:space="preserve"> by a compensation factor of 1.</w:t>
      </w:r>
      <w:r w:rsidR="001A3703">
        <w:t>418</w:t>
      </w:r>
      <w:r>
        <w:rPr>
          <w:rStyle w:val="FootnoteReference"/>
        </w:rPr>
        <w:footnoteReference w:id="3"/>
      </w:r>
      <w:r>
        <w:t xml:space="preserve"> to get an average hourly compensation rate of $</w:t>
      </w:r>
      <w:r w:rsidR="001A3703">
        <w:t>51.98</w:t>
      </w:r>
      <w:r>
        <w:t>.</w:t>
      </w:r>
      <w:r>
        <w:rPr>
          <w:rStyle w:val="FootnoteReference"/>
        </w:rPr>
        <w:footnoteReference w:id="4"/>
      </w:r>
      <w:r>
        <w:t xml:space="preserve">  </w:t>
      </w:r>
    </w:p>
    <w:p w:rsidR="00105028" w:rsidP="003B68FA" w14:paraId="347C87C7" w14:textId="77777777">
      <w:pPr>
        <w:tabs>
          <w:tab w:val="left" w:pos="-720"/>
        </w:tabs>
        <w:suppressAutoHyphens/>
        <w:jc w:val="both"/>
      </w:pPr>
    </w:p>
    <w:p w:rsidR="00C978D3" w:rsidP="2EEC75C0" w14:paraId="6CBE69B0" w14:textId="3E22A276">
      <w:pPr>
        <w:suppressAutoHyphens/>
      </w:pPr>
      <w:r>
        <w:t xml:space="preserve">To estimate the burden of this collection, the Department </w:t>
      </w:r>
      <w:r w:rsidR="00EA6D94">
        <w:t xml:space="preserve">multiplied </w:t>
      </w:r>
      <w:r>
        <w:t xml:space="preserve">the number of annual respondents for each form by the average time to complete each form.  </w:t>
      </w:r>
      <w:r w:rsidR="00105028">
        <w:t>We then multiplied t</w:t>
      </w:r>
      <w:r>
        <w:t xml:space="preserve">his </w:t>
      </w:r>
      <w:r w:rsidR="00EA6D94">
        <w:t xml:space="preserve">annual </w:t>
      </w:r>
      <w:r>
        <w:t xml:space="preserve">time burden by the average </w:t>
      </w:r>
      <w:r w:rsidR="0054664C">
        <w:t>hourly compensation rate</w:t>
      </w:r>
      <w:r>
        <w:t xml:space="preserve"> for </w:t>
      </w:r>
      <w:r>
        <w:t>a telecommunication specialist</w:t>
      </w:r>
      <w:r>
        <w:t>.</w:t>
      </w:r>
      <w:r w:rsidR="001B400D">
        <w:t xml:space="preserve"> </w:t>
      </w:r>
      <w:r w:rsidR="00BE4ADA">
        <w:t xml:space="preserve"> </w:t>
      </w:r>
      <w:r w:rsidR="00644A45">
        <w:t xml:space="preserve">As presented in Table A.12, the </w:t>
      </w:r>
      <w:r w:rsidR="00BE4ADA">
        <w:t xml:space="preserve">total </w:t>
      </w:r>
      <w:r w:rsidR="00644A45">
        <w:t>estimated annual cost for this collection is expected to be $</w:t>
      </w:r>
      <w:r w:rsidR="001A3703">
        <w:t>372,408</w:t>
      </w:r>
      <w:r w:rsidR="00644A45">
        <w:t>.</w:t>
      </w:r>
    </w:p>
    <w:p w:rsidR="00C978D3" w14:paraId="655360C1" w14:textId="77777777">
      <w:r>
        <w:br w:type="page"/>
      </w:r>
    </w:p>
    <w:p w:rsidR="003B68FA" w:rsidRPr="000D1014" w:rsidP="000A4447" w14:paraId="18FF51EF" w14:textId="681A6AD3">
      <w:r>
        <w:t>Table A.12: Estimated Annualized Burden Hours and Costs</w:t>
      </w:r>
    </w:p>
    <w:tbl>
      <w:tblPr>
        <w:tblW w:w="8885" w:type="dxa"/>
        <w:tblInd w:w="208" w:type="dxa"/>
        <w:tblLayout w:type="fixed"/>
        <w:tblLook w:val="04A0"/>
      </w:tblPr>
      <w:tblGrid>
        <w:gridCol w:w="903"/>
        <w:gridCol w:w="1316"/>
        <w:gridCol w:w="1273"/>
        <w:gridCol w:w="1123"/>
        <w:gridCol w:w="1416"/>
        <w:gridCol w:w="1401"/>
        <w:gridCol w:w="1453"/>
      </w:tblGrid>
      <w:tr w14:paraId="1E92B6DB" w14:textId="77777777" w:rsidTr="2EEC75C0">
        <w:tblPrEx>
          <w:tblW w:w="8885" w:type="dxa"/>
          <w:tblInd w:w="208" w:type="dxa"/>
          <w:tblLayout w:type="fixed"/>
          <w:tblLook w:val="04A0"/>
        </w:tblPrEx>
        <w:trPr>
          <w:trHeight w:val="1051"/>
        </w:trPr>
        <w:tc>
          <w:tcPr>
            <w:tcW w:w="9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E4ADA" w14:paraId="3F17F730" w14:textId="77777777">
            <w:pPr>
              <w:rPr>
                <w:color w:val="000000"/>
                <w:sz w:val="20"/>
                <w:szCs w:val="20"/>
              </w:rPr>
            </w:pPr>
            <w:r>
              <w:rPr>
                <w:bCs/>
                <w:color w:val="000000"/>
                <w:sz w:val="20"/>
                <w:szCs w:val="20"/>
              </w:rPr>
              <w:t xml:space="preserve">Form Name </w:t>
            </w:r>
          </w:p>
        </w:tc>
        <w:tc>
          <w:tcPr>
            <w:tcW w:w="1316" w:type="dxa"/>
            <w:tcBorders>
              <w:top w:val="single" w:sz="8" w:space="0" w:color="auto"/>
              <w:left w:val="nil"/>
              <w:bottom w:val="single" w:sz="4" w:space="0" w:color="auto"/>
              <w:right w:val="single" w:sz="8" w:space="0" w:color="auto"/>
            </w:tcBorders>
            <w:shd w:val="clear" w:color="auto" w:fill="auto"/>
            <w:vAlign w:val="center"/>
            <w:hideMark/>
          </w:tcPr>
          <w:p w:rsidR="00BE4ADA" w:rsidP="00007DF1" w14:paraId="1572B293" w14:textId="6ECBD8CA">
            <w:pPr>
              <w:suppressAutoHyphens/>
              <w:jc w:val="center"/>
              <w:rPr>
                <w:color w:val="000000"/>
                <w:sz w:val="20"/>
                <w:szCs w:val="20"/>
              </w:rPr>
            </w:pPr>
            <w:r>
              <w:rPr>
                <w:bCs/>
                <w:color w:val="000000"/>
                <w:sz w:val="20"/>
                <w:szCs w:val="20"/>
              </w:rPr>
              <w:t>No. of</w:t>
            </w:r>
            <w:r w:rsidR="00007DF1">
              <w:rPr>
                <w:color w:val="000000"/>
                <w:sz w:val="20"/>
                <w:szCs w:val="20"/>
              </w:rPr>
              <w:t xml:space="preserve"> </w:t>
            </w:r>
            <w:r>
              <w:rPr>
                <w:color w:val="000000"/>
                <w:sz w:val="20"/>
                <w:szCs w:val="20"/>
              </w:rPr>
              <w:t>Respondents</w:t>
            </w:r>
          </w:p>
        </w:tc>
        <w:tc>
          <w:tcPr>
            <w:tcW w:w="1273" w:type="dxa"/>
            <w:tcBorders>
              <w:top w:val="single" w:sz="8" w:space="0" w:color="auto"/>
              <w:left w:val="nil"/>
              <w:bottom w:val="single" w:sz="4" w:space="0" w:color="auto"/>
              <w:right w:val="single" w:sz="8" w:space="0" w:color="auto"/>
            </w:tcBorders>
            <w:shd w:val="clear" w:color="auto" w:fill="auto"/>
            <w:vAlign w:val="center"/>
            <w:hideMark/>
          </w:tcPr>
          <w:p w:rsidR="00BE4ADA" w:rsidP="00007DF1" w14:paraId="6C39657A" w14:textId="171DA839">
            <w:pPr>
              <w:suppressAutoHyphens/>
              <w:jc w:val="center"/>
              <w:rPr>
                <w:color w:val="000000"/>
                <w:sz w:val="20"/>
                <w:szCs w:val="20"/>
              </w:rPr>
            </w:pPr>
            <w:r>
              <w:rPr>
                <w:bCs/>
                <w:color w:val="000000"/>
                <w:sz w:val="20"/>
                <w:szCs w:val="20"/>
              </w:rPr>
              <w:t>No. of</w:t>
            </w:r>
            <w:r w:rsidR="00007DF1">
              <w:rPr>
                <w:bCs/>
                <w:color w:val="000000"/>
                <w:sz w:val="20"/>
                <w:szCs w:val="20"/>
              </w:rPr>
              <w:t xml:space="preserve"> </w:t>
            </w:r>
            <w:r>
              <w:rPr>
                <w:bCs/>
                <w:color w:val="000000"/>
                <w:sz w:val="20"/>
                <w:szCs w:val="20"/>
              </w:rPr>
              <w:t>Responses per</w:t>
            </w:r>
            <w:r w:rsidR="00007DF1">
              <w:rPr>
                <w:bCs/>
                <w:color w:val="000000"/>
                <w:sz w:val="20"/>
                <w:szCs w:val="20"/>
              </w:rPr>
              <w:t xml:space="preserve"> </w:t>
            </w:r>
            <w:r>
              <w:rPr>
                <w:bCs/>
                <w:color w:val="000000"/>
                <w:sz w:val="20"/>
                <w:szCs w:val="20"/>
              </w:rPr>
              <w:t>Respondent</w:t>
            </w:r>
          </w:p>
        </w:tc>
        <w:tc>
          <w:tcPr>
            <w:tcW w:w="1123" w:type="dxa"/>
            <w:tcBorders>
              <w:top w:val="single" w:sz="8" w:space="0" w:color="auto"/>
              <w:left w:val="nil"/>
              <w:bottom w:val="single" w:sz="4" w:space="0" w:color="auto"/>
              <w:right w:val="single" w:sz="8" w:space="0" w:color="auto"/>
            </w:tcBorders>
            <w:shd w:val="clear" w:color="auto" w:fill="auto"/>
            <w:vAlign w:val="center"/>
            <w:hideMark/>
          </w:tcPr>
          <w:p w:rsidR="00BE4ADA" w:rsidP="00007DF1" w14:paraId="70F6DC5F" w14:textId="56A6E5F5">
            <w:pPr>
              <w:suppressAutoHyphens/>
              <w:jc w:val="center"/>
              <w:rPr>
                <w:color w:val="000000"/>
                <w:sz w:val="20"/>
                <w:szCs w:val="20"/>
              </w:rPr>
            </w:pPr>
            <w:r>
              <w:rPr>
                <w:bCs/>
                <w:color w:val="000000"/>
                <w:sz w:val="20"/>
                <w:szCs w:val="20"/>
              </w:rPr>
              <w:t>Average Burden per Response (in hours)</w:t>
            </w:r>
          </w:p>
        </w:tc>
        <w:tc>
          <w:tcPr>
            <w:tcW w:w="1416" w:type="dxa"/>
            <w:tcBorders>
              <w:top w:val="single" w:sz="8" w:space="0" w:color="auto"/>
              <w:left w:val="nil"/>
              <w:bottom w:val="single" w:sz="4" w:space="0" w:color="auto"/>
              <w:right w:val="single" w:sz="8" w:space="0" w:color="auto"/>
            </w:tcBorders>
            <w:shd w:val="clear" w:color="auto" w:fill="auto"/>
            <w:vAlign w:val="center"/>
            <w:hideMark/>
          </w:tcPr>
          <w:p w:rsidR="00BE4ADA" w:rsidP="00007DF1" w14:paraId="446B8FF4" w14:textId="77777777">
            <w:pPr>
              <w:suppressAutoHyphens/>
              <w:jc w:val="center"/>
              <w:rPr>
                <w:bCs/>
                <w:color w:val="000000"/>
                <w:sz w:val="20"/>
                <w:szCs w:val="20"/>
              </w:rPr>
            </w:pPr>
            <w:r>
              <w:rPr>
                <w:bCs/>
                <w:color w:val="000000"/>
                <w:sz w:val="20"/>
                <w:szCs w:val="20"/>
              </w:rPr>
              <w:t xml:space="preserve">Total Annual Burden </w:t>
            </w:r>
          </w:p>
          <w:p w:rsidR="00BE4ADA" w:rsidP="00007DF1" w14:paraId="49712DCF" w14:textId="4FFD5325">
            <w:pPr>
              <w:suppressAutoHyphens/>
              <w:jc w:val="center"/>
              <w:rPr>
                <w:color w:val="000000"/>
                <w:sz w:val="20"/>
                <w:szCs w:val="20"/>
              </w:rPr>
            </w:pPr>
            <w:r>
              <w:rPr>
                <w:bCs/>
                <w:color w:val="000000"/>
                <w:sz w:val="20"/>
                <w:szCs w:val="20"/>
              </w:rPr>
              <w:t>(</w:t>
            </w:r>
            <w:r>
              <w:rPr>
                <w:bCs/>
                <w:color w:val="000000"/>
                <w:sz w:val="20"/>
                <w:szCs w:val="20"/>
              </w:rPr>
              <w:t>in</w:t>
            </w:r>
            <w:r>
              <w:rPr>
                <w:bCs/>
                <w:color w:val="000000"/>
                <w:sz w:val="20"/>
                <w:szCs w:val="20"/>
              </w:rPr>
              <w:t xml:space="preserve"> hours)</w:t>
            </w:r>
          </w:p>
        </w:tc>
        <w:tc>
          <w:tcPr>
            <w:tcW w:w="14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E4ADA" w:rsidP="00007DF1" w14:paraId="15F73D70" w14:textId="1D48B3FF">
            <w:pPr>
              <w:suppressAutoHyphens/>
              <w:jc w:val="center"/>
              <w:rPr>
                <w:color w:val="000000"/>
                <w:sz w:val="20"/>
                <w:szCs w:val="20"/>
              </w:rPr>
            </w:pPr>
            <w:r>
              <w:rPr>
                <w:bCs/>
                <w:color w:val="000000"/>
                <w:sz w:val="20"/>
                <w:szCs w:val="20"/>
              </w:rPr>
              <w:t>Average Hourly Compensation Rate</w:t>
            </w:r>
          </w:p>
        </w:tc>
        <w:tc>
          <w:tcPr>
            <w:tcW w:w="1453" w:type="dxa"/>
            <w:tcBorders>
              <w:top w:val="single" w:sz="8" w:space="0" w:color="auto"/>
              <w:left w:val="nil"/>
              <w:bottom w:val="single" w:sz="4" w:space="0" w:color="auto"/>
              <w:right w:val="single" w:sz="8" w:space="0" w:color="auto"/>
            </w:tcBorders>
            <w:shd w:val="clear" w:color="auto" w:fill="auto"/>
            <w:vAlign w:val="center"/>
            <w:hideMark/>
          </w:tcPr>
          <w:p w:rsidR="00BE4ADA" w:rsidP="00007DF1" w14:paraId="48FC9FFE" w14:textId="2128D602">
            <w:pPr>
              <w:suppressAutoHyphens/>
              <w:jc w:val="center"/>
              <w:rPr>
                <w:color w:val="000000"/>
                <w:sz w:val="20"/>
                <w:szCs w:val="20"/>
              </w:rPr>
            </w:pPr>
            <w:r>
              <w:rPr>
                <w:bCs/>
                <w:color w:val="000000"/>
                <w:sz w:val="20"/>
                <w:szCs w:val="20"/>
              </w:rPr>
              <w:t>Total Annual Respondent Cost</w:t>
            </w:r>
          </w:p>
        </w:tc>
      </w:tr>
      <w:tr w14:paraId="2B2674B2" w14:textId="77777777" w:rsidTr="2EEC75C0">
        <w:tblPrEx>
          <w:tblW w:w="8885" w:type="dxa"/>
          <w:tblInd w:w="208" w:type="dxa"/>
          <w:tblLayout w:type="fixed"/>
          <w:tblLook w:val="04A0"/>
        </w:tblPrEx>
        <w:trPr>
          <w:trHeight w:val="450"/>
        </w:trPr>
        <w:tc>
          <w:tcPr>
            <w:tcW w:w="903"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rsidR="001A3703" w:rsidP="001A3703" w14:paraId="74570874" w14:textId="77777777">
            <w:pPr>
              <w:rPr>
                <w:color w:val="000000"/>
                <w:sz w:val="20"/>
                <w:szCs w:val="20"/>
              </w:rPr>
            </w:pPr>
            <w:r>
              <w:rPr>
                <w:bCs/>
                <w:color w:val="000000"/>
                <w:sz w:val="20"/>
                <w:szCs w:val="20"/>
              </w:rPr>
              <w:t>SF314</w:t>
            </w:r>
          </w:p>
        </w:tc>
        <w:tc>
          <w:tcPr>
            <w:tcW w:w="1316"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rsidR="001A3703" w:rsidP="001A3703" w14:paraId="49EC3CC8" w14:textId="77777777">
            <w:pPr>
              <w:jc w:val="center"/>
              <w:rPr>
                <w:color w:val="000000"/>
                <w:sz w:val="20"/>
                <w:szCs w:val="20"/>
              </w:rPr>
            </w:pPr>
            <w:r>
              <w:rPr>
                <w:bCs/>
                <w:color w:val="000000"/>
                <w:sz w:val="20"/>
                <w:szCs w:val="20"/>
              </w:rPr>
              <w:t>304</w:t>
            </w:r>
          </w:p>
        </w:tc>
        <w:tc>
          <w:tcPr>
            <w:tcW w:w="1273"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rsidR="001A3703" w:rsidP="001A3703" w14:paraId="06E49B34" w14:textId="77777777">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rsidR="001A3703" w:rsidP="001A3703" w14:paraId="0B22C581" w14:textId="77777777">
            <w:pPr>
              <w:jc w:val="center"/>
              <w:rPr>
                <w:color w:val="000000"/>
                <w:sz w:val="20"/>
                <w:szCs w:val="20"/>
              </w:rPr>
            </w:pPr>
            <w:r>
              <w:rPr>
                <w:bCs/>
                <w:color w:val="000000"/>
                <w:sz w:val="20"/>
                <w:szCs w:val="20"/>
              </w:rPr>
              <w:t>0.75</w:t>
            </w:r>
          </w:p>
        </w:tc>
        <w:tc>
          <w:tcPr>
            <w:tcW w:w="1416"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rsidR="001A3703" w:rsidP="001A3703" w14:paraId="4FFF8E66" w14:textId="77777777">
            <w:pPr>
              <w:jc w:val="center"/>
              <w:rPr>
                <w:color w:val="000000"/>
                <w:sz w:val="20"/>
                <w:szCs w:val="20"/>
              </w:rPr>
            </w:pPr>
            <w:r>
              <w:rPr>
                <w:bCs/>
                <w:color w:val="000000"/>
                <w:sz w:val="20"/>
                <w:szCs w:val="20"/>
              </w:rPr>
              <w:t>228</w:t>
            </w:r>
          </w:p>
        </w:tc>
        <w:tc>
          <w:tcPr>
            <w:tcW w:w="1401"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rsidR="001A3703" w:rsidP="001A3703" w14:paraId="1A06C329" w14:textId="3E2D487C">
            <w:pPr>
              <w:jc w:val="center"/>
              <w:rPr>
                <w:color w:val="000000"/>
                <w:sz w:val="20"/>
                <w:szCs w:val="20"/>
              </w:rPr>
            </w:pPr>
            <w:r w:rsidRPr="2EEC75C0">
              <w:rPr>
                <w:color w:val="000000" w:themeColor="text1"/>
                <w:sz w:val="20"/>
                <w:szCs w:val="20"/>
              </w:rPr>
              <w:t xml:space="preserve">$51.98 </w:t>
            </w:r>
          </w:p>
        </w:tc>
        <w:tc>
          <w:tcPr>
            <w:tcW w:w="1453" w:type="dxa"/>
            <w:tcBorders>
              <w:top w:val="single" w:sz="4" w:space="0" w:color="auto"/>
              <w:left w:val="single" w:sz="8" w:space="0" w:color="auto"/>
              <w:bottom w:val="single" w:sz="8" w:space="0" w:color="000000" w:themeColor="text1"/>
              <w:right w:val="single" w:sz="8" w:space="0" w:color="auto"/>
            </w:tcBorders>
            <w:shd w:val="clear" w:color="auto" w:fill="auto"/>
            <w:vAlign w:val="center"/>
            <w:hideMark/>
          </w:tcPr>
          <w:p w:rsidR="001A3703" w:rsidP="001A3703" w14:paraId="1079C926" w14:textId="35BE16CF">
            <w:pPr>
              <w:jc w:val="center"/>
              <w:rPr>
                <w:color w:val="000000"/>
                <w:sz w:val="20"/>
                <w:szCs w:val="20"/>
              </w:rPr>
            </w:pPr>
            <w:r w:rsidRPr="2EEC75C0">
              <w:rPr>
                <w:color w:val="000000" w:themeColor="text1"/>
                <w:sz w:val="20"/>
                <w:szCs w:val="20"/>
              </w:rPr>
              <w:t xml:space="preserve">$11,851 </w:t>
            </w:r>
          </w:p>
        </w:tc>
      </w:tr>
      <w:tr w14:paraId="21C590F1" w14:textId="77777777" w:rsidTr="2EEC75C0">
        <w:tblPrEx>
          <w:tblW w:w="8885" w:type="dxa"/>
          <w:tblInd w:w="208" w:type="dxa"/>
          <w:tblLayout w:type="fixed"/>
          <w:tblLook w:val="04A0"/>
        </w:tblPrEx>
        <w:trPr>
          <w:trHeight w:val="450"/>
        </w:trPr>
        <w:tc>
          <w:tcPr>
            <w:tcW w:w="90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27CE6F2B" w14:textId="77777777">
            <w:pPr>
              <w:rPr>
                <w:color w:val="000000"/>
                <w:sz w:val="20"/>
                <w:szCs w:val="20"/>
              </w:rPr>
            </w:pPr>
            <w:r>
              <w:rPr>
                <w:bCs/>
                <w:color w:val="000000"/>
                <w:sz w:val="20"/>
                <w:szCs w:val="20"/>
              </w:rPr>
              <w:t>SF315</w:t>
            </w:r>
          </w:p>
        </w:tc>
        <w:tc>
          <w:tcPr>
            <w:tcW w:w="13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58B8CA1" w14:textId="6217520F">
            <w:pPr>
              <w:jc w:val="center"/>
              <w:rPr>
                <w:color w:val="000000"/>
                <w:sz w:val="20"/>
                <w:szCs w:val="20"/>
              </w:rPr>
            </w:pPr>
            <w:r>
              <w:rPr>
                <w:bCs/>
                <w:color w:val="000000"/>
                <w:sz w:val="20"/>
                <w:szCs w:val="20"/>
              </w:rPr>
              <w:t>24,750</w:t>
            </w:r>
          </w:p>
        </w:tc>
        <w:tc>
          <w:tcPr>
            <w:tcW w:w="127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459EC552" w14:textId="77777777">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rsidR="001A3703" w:rsidP="001A3703" w14:paraId="7704A38B" w14:textId="77777777">
            <w:pPr>
              <w:jc w:val="center"/>
              <w:rPr>
                <w:color w:val="000000"/>
                <w:sz w:val="20"/>
                <w:szCs w:val="20"/>
              </w:rPr>
            </w:pPr>
            <w:r>
              <w:rPr>
                <w:bCs/>
                <w:color w:val="000000"/>
                <w:sz w:val="20"/>
                <w:szCs w:val="20"/>
              </w:rPr>
              <w:t>0.25</w:t>
            </w:r>
          </w:p>
        </w:tc>
        <w:tc>
          <w:tcPr>
            <w:tcW w:w="14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0802F3A6" w14:textId="33B40276">
            <w:pPr>
              <w:jc w:val="center"/>
              <w:rPr>
                <w:color w:val="000000"/>
                <w:sz w:val="20"/>
                <w:szCs w:val="20"/>
              </w:rPr>
            </w:pPr>
            <w:r>
              <w:rPr>
                <w:bCs/>
                <w:color w:val="000000"/>
                <w:sz w:val="20"/>
                <w:szCs w:val="20"/>
              </w:rPr>
              <w:t>6,188</w:t>
            </w:r>
          </w:p>
        </w:tc>
        <w:tc>
          <w:tcPr>
            <w:tcW w:w="1401"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7449ED5C" w14:textId="6FD9991B">
            <w:pPr>
              <w:jc w:val="center"/>
              <w:rPr>
                <w:color w:val="000000"/>
                <w:sz w:val="20"/>
                <w:szCs w:val="20"/>
              </w:rPr>
            </w:pPr>
            <w:r w:rsidRPr="2EEC75C0">
              <w:rPr>
                <w:color w:val="000000" w:themeColor="text1"/>
                <w:sz w:val="20"/>
                <w:szCs w:val="20"/>
              </w:rPr>
              <w:t xml:space="preserve">$51.98 </w:t>
            </w:r>
          </w:p>
        </w:tc>
        <w:tc>
          <w:tcPr>
            <w:tcW w:w="145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5323DC41" w14:textId="3A4A7B4A">
            <w:pPr>
              <w:jc w:val="center"/>
              <w:rPr>
                <w:color w:val="000000"/>
                <w:sz w:val="20"/>
                <w:szCs w:val="20"/>
              </w:rPr>
            </w:pPr>
            <w:r w:rsidRPr="2EEC75C0">
              <w:rPr>
                <w:color w:val="000000" w:themeColor="text1"/>
                <w:sz w:val="20"/>
                <w:szCs w:val="20"/>
              </w:rPr>
              <w:t xml:space="preserve">$321,605 </w:t>
            </w:r>
          </w:p>
        </w:tc>
      </w:tr>
      <w:tr w14:paraId="69C24D75" w14:textId="77777777" w:rsidTr="2EEC75C0">
        <w:tblPrEx>
          <w:tblW w:w="8885" w:type="dxa"/>
          <w:tblInd w:w="208" w:type="dxa"/>
          <w:tblLayout w:type="fixed"/>
          <w:tblLook w:val="04A0"/>
        </w:tblPrEx>
        <w:trPr>
          <w:trHeight w:val="450"/>
        </w:trPr>
        <w:tc>
          <w:tcPr>
            <w:tcW w:w="90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1C035C3A" w14:textId="77777777">
            <w:pPr>
              <w:rPr>
                <w:color w:val="000000"/>
                <w:sz w:val="20"/>
                <w:szCs w:val="20"/>
              </w:rPr>
            </w:pPr>
            <w:r>
              <w:rPr>
                <w:bCs/>
                <w:color w:val="000000"/>
                <w:sz w:val="20"/>
                <w:szCs w:val="20"/>
              </w:rPr>
              <w:t>SF317</w:t>
            </w:r>
          </w:p>
        </w:tc>
        <w:tc>
          <w:tcPr>
            <w:tcW w:w="13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47F5E3BA" w14:textId="77777777">
            <w:pPr>
              <w:jc w:val="center"/>
              <w:rPr>
                <w:color w:val="000000"/>
                <w:sz w:val="20"/>
                <w:szCs w:val="20"/>
              </w:rPr>
            </w:pPr>
            <w:r>
              <w:rPr>
                <w:bCs/>
                <w:color w:val="000000"/>
                <w:sz w:val="20"/>
                <w:szCs w:val="20"/>
              </w:rPr>
              <w:t>1</w:t>
            </w:r>
          </w:p>
        </w:tc>
        <w:tc>
          <w:tcPr>
            <w:tcW w:w="127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F2E3B6D" w14:textId="77777777">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rsidR="001A3703" w:rsidP="001A3703" w14:paraId="6BAA8ACE" w14:textId="77777777">
            <w:pPr>
              <w:jc w:val="center"/>
              <w:rPr>
                <w:color w:val="000000"/>
                <w:sz w:val="20"/>
                <w:szCs w:val="20"/>
              </w:rPr>
            </w:pPr>
            <w:r>
              <w:rPr>
                <w:bCs/>
                <w:color w:val="000000"/>
                <w:sz w:val="20"/>
                <w:szCs w:val="20"/>
              </w:rPr>
              <w:t>0.42</w:t>
            </w:r>
          </w:p>
        </w:tc>
        <w:tc>
          <w:tcPr>
            <w:tcW w:w="14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089BE23F" w14:textId="77777777">
            <w:pPr>
              <w:jc w:val="center"/>
              <w:rPr>
                <w:color w:val="000000"/>
                <w:sz w:val="20"/>
                <w:szCs w:val="20"/>
              </w:rPr>
            </w:pPr>
            <w:r>
              <w:rPr>
                <w:bCs/>
                <w:color w:val="000000"/>
                <w:sz w:val="20"/>
                <w:szCs w:val="20"/>
              </w:rPr>
              <w:t>0.42</w:t>
            </w:r>
          </w:p>
        </w:tc>
        <w:tc>
          <w:tcPr>
            <w:tcW w:w="1401"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5F434375" w14:textId="70552356">
            <w:pPr>
              <w:jc w:val="center"/>
              <w:rPr>
                <w:color w:val="000000"/>
                <w:sz w:val="20"/>
                <w:szCs w:val="20"/>
              </w:rPr>
            </w:pPr>
            <w:r w:rsidRPr="2EEC75C0">
              <w:rPr>
                <w:color w:val="000000" w:themeColor="text1"/>
                <w:sz w:val="20"/>
                <w:szCs w:val="20"/>
              </w:rPr>
              <w:t xml:space="preserve">$51.98 </w:t>
            </w:r>
          </w:p>
        </w:tc>
        <w:tc>
          <w:tcPr>
            <w:tcW w:w="145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27FBEAA" w14:textId="5838C293">
            <w:pPr>
              <w:jc w:val="center"/>
              <w:rPr>
                <w:color w:val="000000"/>
                <w:sz w:val="20"/>
                <w:szCs w:val="20"/>
              </w:rPr>
            </w:pPr>
            <w:r w:rsidRPr="2EEC75C0">
              <w:rPr>
                <w:color w:val="000000" w:themeColor="text1"/>
                <w:sz w:val="20"/>
                <w:szCs w:val="20"/>
              </w:rPr>
              <w:t xml:space="preserve">$22 </w:t>
            </w:r>
          </w:p>
        </w:tc>
      </w:tr>
      <w:tr w14:paraId="0B330531" w14:textId="77777777" w:rsidTr="2EEC75C0">
        <w:tblPrEx>
          <w:tblW w:w="8885" w:type="dxa"/>
          <w:tblInd w:w="208" w:type="dxa"/>
          <w:tblLayout w:type="fixed"/>
          <w:tblLook w:val="04A0"/>
        </w:tblPrEx>
        <w:trPr>
          <w:trHeight w:val="450"/>
        </w:trPr>
        <w:tc>
          <w:tcPr>
            <w:tcW w:w="90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17B7C3A4" w14:textId="77777777">
            <w:pPr>
              <w:rPr>
                <w:color w:val="000000"/>
                <w:sz w:val="20"/>
                <w:szCs w:val="20"/>
              </w:rPr>
            </w:pPr>
            <w:r>
              <w:rPr>
                <w:bCs/>
                <w:color w:val="000000"/>
                <w:sz w:val="20"/>
                <w:szCs w:val="20"/>
              </w:rPr>
              <w:t>SF318</w:t>
            </w:r>
          </w:p>
        </w:tc>
        <w:tc>
          <w:tcPr>
            <w:tcW w:w="13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7FD92D09" w14:textId="77777777">
            <w:pPr>
              <w:jc w:val="center"/>
              <w:rPr>
                <w:color w:val="000000"/>
                <w:sz w:val="20"/>
                <w:szCs w:val="20"/>
              </w:rPr>
            </w:pPr>
            <w:r>
              <w:rPr>
                <w:bCs/>
                <w:color w:val="000000"/>
                <w:sz w:val="20"/>
                <w:szCs w:val="20"/>
              </w:rPr>
              <w:t>428</w:t>
            </w:r>
          </w:p>
        </w:tc>
        <w:tc>
          <w:tcPr>
            <w:tcW w:w="127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49A1B6E4" w14:textId="77777777">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rsidR="001A3703" w:rsidP="001A3703" w14:paraId="5BF23626" w14:textId="77777777">
            <w:pPr>
              <w:jc w:val="center"/>
              <w:rPr>
                <w:color w:val="000000"/>
                <w:sz w:val="20"/>
                <w:szCs w:val="20"/>
              </w:rPr>
            </w:pPr>
            <w:r>
              <w:rPr>
                <w:bCs/>
                <w:color w:val="000000"/>
                <w:sz w:val="20"/>
                <w:szCs w:val="20"/>
              </w:rPr>
              <w:t>0.75</w:t>
            </w:r>
          </w:p>
        </w:tc>
        <w:tc>
          <w:tcPr>
            <w:tcW w:w="14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76142A2A" w14:textId="77777777">
            <w:pPr>
              <w:jc w:val="center"/>
              <w:rPr>
                <w:color w:val="000000"/>
                <w:sz w:val="20"/>
                <w:szCs w:val="20"/>
              </w:rPr>
            </w:pPr>
            <w:r>
              <w:rPr>
                <w:bCs/>
                <w:color w:val="000000"/>
                <w:sz w:val="20"/>
                <w:szCs w:val="20"/>
              </w:rPr>
              <w:t>321</w:t>
            </w:r>
          </w:p>
        </w:tc>
        <w:tc>
          <w:tcPr>
            <w:tcW w:w="1401"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7EA28FB4" w14:textId="6437C03E">
            <w:pPr>
              <w:jc w:val="center"/>
              <w:rPr>
                <w:color w:val="000000"/>
                <w:sz w:val="20"/>
                <w:szCs w:val="20"/>
              </w:rPr>
            </w:pPr>
            <w:r w:rsidRPr="2EEC75C0">
              <w:rPr>
                <w:color w:val="000000" w:themeColor="text1"/>
                <w:sz w:val="20"/>
                <w:szCs w:val="20"/>
              </w:rPr>
              <w:t xml:space="preserve">$51.98 </w:t>
            </w:r>
          </w:p>
        </w:tc>
        <w:tc>
          <w:tcPr>
            <w:tcW w:w="145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D6FF5BC" w14:textId="19DECD07">
            <w:pPr>
              <w:jc w:val="center"/>
              <w:rPr>
                <w:color w:val="000000"/>
                <w:sz w:val="20"/>
                <w:szCs w:val="20"/>
              </w:rPr>
            </w:pPr>
            <w:r w:rsidRPr="2EEC75C0">
              <w:rPr>
                <w:color w:val="000000" w:themeColor="text1"/>
                <w:sz w:val="20"/>
                <w:szCs w:val="20"/>
              </w:rPr>
              <w:t xml:space="preserve">$16,684 </w:t>
            </w:r>
          </w:p>
        </w:tc>
      </w:tr>
      <w:tr w14:paraId="03D1A19A" w14:textId="77777777" w:rsidTr="2EEC75C0">
        <w:tblPrEx>
          <w:tblW w:w="8885" w:type="dxa"/>
          <w:tblInd w:w="208" w:type="dxa"/>
          <w:tblLayout w:type="fixed"/>
          <w:tblLook w:val="04A0"/>
        </w:tblPrEx>
        <w:trPr>
          <w:trHeight w:val="450"/>
        </w:trPr>
        <w:tc>
          <w:tcPr>
            <w:tcW w:w="90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0C58229" w14:textId="77777777">
            <w:pPr>
              <w:rPr>
                <w:color w:val="000000"/>
                <w:sz w:val="20"/>
                <w:szCs w:val="20"/>
              </w:rPr>
            </w:pPr>
            <w:r>
              <w:rPr>
                <w:bCs/>
                <w:color w:val="000000"/>
                <w:sz w:val="20"/>
                <w:szCs w:val="20"/>
              </w:rPr>
              <w:t>SF319</w:t>
            </w:r>
          </w:p>
        </w:tc>
        <w:tc>
          <w:tcPr>
            <w:tcW w:w="13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241F3A16" w14:textId="77777777">
            <w:pPr>
              <w:jc w:val="center"/>
              <w:rPr>
                <w:color w:val="000000"/>
                <w:sz w:val="20"/>
                <w:szCs w:val="20"/>
              </w:rPr>
            </w:pPr>
            <w:r>
              <w:rPr>
                <w:bCs/>
                <w:color w:val="000000"/>
                <w:sz w:val="20"/>
                <w:szCs w:val="20"/>
              </w:rPr>
              <w:t>428</w:t>
            </w:r>
          </w:p>
        </w:tc>
        <w:tc>
          <w:tcPr>
            <w:tcW w:w="127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5D0413A4" w14:textId="77777777">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rsidR="001A3703" w:rsidP="001A3703" w14:paraId="00725685" w14:textId="77777777">
            <w:pPr>
              <w:jc w:val="center"/>
              <w:rPr>
                <w:color w:val="000000"/>
                <w:sz w:val="20"/>
                <w:szCs w:val="20"/>
              </w:rPr>
            </w:pPr>
            <w:r>
              <w:rPr>
                <w:bCs/>
                <w:color w:val="000000"/>
                <w:sz w:val="20"/>
                <w:szCs w:val="20"/>
              </w:rPr>
              <w:t>1</w:t>
            </w:r>
          </w:p>
        </w:tc>
        <w:tc>
          <w:tcPr>
            <w:tcW w:w="14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D6DDAEC" w14:textId="77777777">
            <w:pPr>
              <w:jc w:val="center"/>
              <w:rPr>
                <w:color w:val="000000"/>
                <w:sz w:val="20"/>
                <w:szCs w:val="20"/>
              </w:rPr>
            </w:pPr>
            <w:r>
              <w:rPr>
                <w:bCs/>
                <w:color w:val="000000"/>
                <w:sz w:val="20"/>
                <w:szCs w:val="20"/>
              </w:rPr>
              <w:t>428</w:t>
            </w:r>
          </w:p>
        </w:tc>
        <w:tc>
          <w:tcPr>
            <w:tcW w:w="1401"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3A7468D3" w14:textId="7056C324">
            <w:pPr>
              <w:jc w:val="center"/>
              <w:rPr>
                <w:color w:val="000000"/>
                <w:sz w:val="20"/>
                <w:szCs w:val="20"/>
              </w:rPr>
            </w:pPr>
            <w:r w:rsidRPr="2EEC75C0">
              <w:rPr>
                <w:color w:val="000000" w:themeColor="text1"/>
                <w:sz w:val="20"/>
                <w:szCs w:val="20"/>
              </w:rPr>
              <w:t xml:space="preserve">$51.98 </w:t>
            </w:r>
          </w:p>
        </w:tc>
        <w:tc>
          <w:tcPr>
            <w:tcW w:w="145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1EE64AD5" w14:textId="4742A2F6">
            <w:pPr>
              <w:jc w:val="center"/>
              <w:rPr>
                <w:color w:val="000000"/>
                <w:sz w:val="20"/>
                <w:szCs w:val="20"/>
              </w:rPr>
            </w:pPr>
            <w:r w:rsidRPr="2EEC75C0">
              <w:rPr>
                <w:color w:val="000000" w:themeColor="text1"/>
                <w:sz w:val="20"/>
                <w:szCs w:val="20"/>
              </w:rPr>
              <w:t xml:space="preserve">$22,246 </w:t>
            </w:r>
          </w:p>
        </w:tc>
      </w:tr>
      <w:tr w14:paraId="73CB9FF9" w14:textId="77777777" w:rsidTr="2EEC75C0">
        <w:tblPrEx>
          <w:tblW w:w="8885" w:type="dxa"/>
          <w:tblInd w:w="208" w:type="dxa"/>
          <w:tblLayout w:type="fixed"/>
          <w:tblLook w:val="04A0"/>
        </w:tblPrEx>
        <w:trPr>
          <w:trHeight w:val="300"/>
        </w:trPr>
        <w:tc>
          <w:tcPr>
            <w:tcW w:w="90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P="001A3703" w14:paraId="61C41F26" w14:textId="58618E70">
            <w:pPr>
              <w:rPr>
                <w:color w:val="000000"/>
                <w:sz w:val="20"/>
                <w:szCs w:val="20"/>
              </w:rPr>
            </w:pPr>
            <w:r>
              <w:rPr>
                <w:bCs/>
                <w:color w:val="000000"/>
                <w:sz w:val="20"/>
                <w:szCs w:val="20"/>
              </w:rPr>
              <w:t> Total</w:t>
            </w:r>
          </w:p>
        </w:tc>
        <w:tc>
          <w:tcPr>
            <w:tcW w:w="13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RPr="004C205A" w:rsidP="001A3703" w14:paraId="3BEBE5CC" w14:textId="7581B67D">
            <w:pPr>
              <w:jc w:val="center"/>
              <w:rPr>
                <w:b/>
                <w:color w:val="000000"/>
                <w:sz w:val="20"/>
                <w:szCs w:val="20"/>
              </w:rPr>
            </w:pPr>
            <w:r>
              <w:rPr>
                <w:b/>
                <w:bCs/>
                <w:color w:val="000000"/>
                <w:sz w:val="20"/>
                <w:szCs w:val="20"/>
              </w:rPr>
              <w:t>25,911</w:t>
            </w:r>
          </w:p>
        </w:tc>
        <w:tc>
          <w:tcPr>
            <w:tcW w:w="127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RPr="004C205A" w:rsidP="001A3703" w14:paraId="63DB99A6" w14:textId="77777777">
            <w:pPr>
              <w:jc w:val="center"/>
              <w:rPr>
                <w:b/>
                <w:color w:val="000000"/>
                <w:sz w:val="20"/>
                <w:szCs w:val="20"/>
              </w:rPr>
            </w:pPr>
            <w:r w:rsidRPr="004C205A">
              <w:rPr>
                <w:b/>
                <w:color w:val="000000"/>
                <w:sz w:val="20"/>
                <w:szCs w:val="20"/>
              </w:rPr>
              <w:t> </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rsidR="001A3703" w:rsidRPr="004C205A" w:rsidP="001A3703" w14:paraId="7AA26DA3" w14:textId="77777777">
            <w:pPr>
              <w:jc w:val="center"/>
              <w:rPr>
                <w:b/>
                <w:color w:val="000000"/>
                <w:sz w:val="20"/>
                <w:szCs w:val="20"/>
              </w:rPr>
            </w:pPr>
            <w:r w:rsidRPr="004C205A">
              <w:rPr>
                <w:b/>
                <w:color w:val="000000"/>
                <w:sz w:val="20"/>
                <w:szCs w:val="20"/>
              </w:rPr>
              <w:t> </w:t>
            </w:r>
          </w:p>
        </w:tc>
        <w:tc>
          <w:tcPr>
            <w:tcW w:w="1416"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RPr="004C205A" w:rsidP="001A3703" w14:paraId="4454FB7A" w14:textId="0C42D066">
            <w:pPr>
              <w:jc w:val="center"/>
              <w:rPr>
                <w:b/>
                <w:color w:val="000000"/>
                <w:sz w:val="20"/>
                <w:szCs w:val="20"/>
              </w:rPr>
            </w:pPr>
            <w:r>
              <w:rPr>
                <w:b/>
                <w:bCs/>
                <w:color w:val="000000"/>
                <w:sz w:val="20"/>
                <w:szCs w:val="20"/>
              </w:rPr>
              <w:t>7,165</w:t>
            </w:r>
          </w:p>
        </w:tc>
        <w:tc>
          <w:tcPr>
            <w:tcW w:w="1401"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RPr="004C205A" w:rsidP="2EEC75C0" w14:paraId="0B405B81" w14:textId="0D20ACB7">
            <w:pPr>
              <w:jc w:val="center"/>
              <w:rPr>
                <w:b/>
                <w:bCs/>
                <w:color w:val="000000"/>
                <w:sz w:val="20"/>
                <w:szCs w:val="20"/>
              </w:rPr>
            </w:pPr>
            <w:r w:rsidRPr="2EEC75C0">
              <w:rPr>
                <w:b/>
                <w:bCs/>
                <w:color w:val="000000" w:themeColor="text1"/>
                <w:sz w:val="20"/>
                <w:szCs w:val="20"/>
              </w:rPr>
              <w:t> </w:t>
            </w:r>
          </w:p>
        </w:tc>
        <w:tc>
          <w:tcPr>
            <w:tcW w:w="1453" w:type="dxa"/>
            <w:tcBorders>
              <w:top w:val="nil"/>
              <w:left w:val="single" w:sz="8" w:space="0" w:color="auto"/>
              <w:bottom w:val="single" w:sz="8" w:space="0" w:color="000000" w:themeColor="text1"/>
              <w:right w:val="single" w:sz="8" w:space="0" w:color="auto"/>
            </w:tcBorders>
            <w:shd w:val="clear" w:color="auto" w:fill="auto"/>
            <w:vAlign w:val="center"/>
            <w:hideMark/>
          </w:tcPr>
          <w:p w:rsidR="001A3703" w:rsidRPr="004C205A" w:rsidP="2EEC75C0" w14:paraId="3F0311B8" w14:textId="5C60646F">
            <w:pPr>
              <w:jc w:val="center"/>
              <w:rPr>
                <w:b/>
                <w:bCs/>
                <w:color w:val="000000"/>
                <w:sz w:val="20"/>
                <w:szCs w:val="20"/>
              </w:rPr>
            </w:pPr>
            <w:r w:rsidRPr="2EEC75C0">
              <w:rPr>
                <w:b/>
                <w:bCs/>
                <w:color w:val="000000" w:themeColor="text1"/>
                <w:sz w:val="20"/>
                <w:szCs w:val="20"/>
              </w:rPr>
              <w:t>$372,408</w:t>
            </w:r>
          </w:p>
        </w:tc>
      </w:tr>
    </w:tbl>
    <w:p w:rsidR="00105028" w:rsidRPr="00305884" w:rsidP="00105028" w14:paraId="4B1DD27B" w14:textId="77777777">
      <w:pPr>
        <w:ind w:firstLine="180"/>
        <w:rPr>
          <w:sz w:val="22"/>
        </w:rPr>
      </w:pPr>
      <w:r>
        <w:rPr>
          <w:sz w:val="22"/>
        </w:rPr>
        <w:t>Note: Totals may not</w:t>
      </w:r>
      <w:r w:rsidRPr="00305884">
        <w:rPr>
          <w:sz w:val="22"/>
        </w:rPr>
        <w:t xml:space="preserve"> add due to rounding.</w:t>
      </w:r>
    </w:p>
    <w:p w:rsidR="00715543" w:rsidRPr="000D1014" w:rsidP="000C4293" w14:paraId="048170BB" w14:textId="77777777">
      <w:pPr>
        <w:tabs>
          <w:tab w:val="left" w:pos="-720"/>
        </w:tabs>
        <w:suppressAutoHyphens/>
        <w:jc w:val="both"/>
        <w:rPr>
          <w:highlight w:val="yellow"/>
        </w:rPr>
      </w:pPr>
    </w:p>
    <w:p w:rsidR="00884E9D" w:rsidRPr="00596A43" w:rsidP="000C4293" w14:paraId="74CE5E3E" w14:textId="77777777">
      <w:pPr>
        <w:tabs>
          <w:tab w:val="left" w:pos="-720"/>
        </w:tabs>
        <w:suppressAutoHyphens/>
        <w:jc w:val="both"/>
        <w:rPr>
          <w:highlight w:val="yellow"/>
        </w:rPr>
      </w:pPr>
    </w:p>
    <w:p w:rsidR="00EB5E96" w:rsidRPr="00596A43" w:rsidP="000C4293" w14:paraId="2C02661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EB5E96" w:rsidRPr="00596A43" w:rsidP="000C4293" w14:paraId="731333AE" w14:textId="77777777">
      <w:pPr>
        <w:shd w:val="pct25" w:color="auto" w:fill="auto"/>
        <w:tabs>
          <w:tab w:val="left" w:pos="-720"/>
        </w:tabs>
        <w:suppressAutoHyphens/>
        <w:jc w:val="both"/>
      </w:pPr>
    </w:p>
    <w:p w:rsidR="00EB5E96" w:rsidRPr="00596A43" w:rsidP="000C4293" w14:paraId="42B2844F" w14:textId="77777777">
      <w:pPr>
        <w:pStyle w:val="BodyText3"/>
        <w:tabs>
          <w:tab w:val="clear" w:pos="720"/>
          <w:tab w:val="left" w:pos="810"/>
        </w:tabs>
        <w:jc w:val="both"/>
        <w:rPr>
          <w:sz w:val="24"/>
          <w:szCs w:val="24"/>
        </w:rPr>
      </w:pPr>
      <w:r w:rsidRPr="00596A43">
        <w:rPr>
          <w:sz w:val="24"/>
          <w:szCs w:val="24"/>
        </w:rPr>
        <w:t>The cost estimate should be split into two components</w:t>
      </w:r>
      <w:r w:rsidRPr="00596A43">
        <w:rPr>
          <w:sz w:val="24"/>
          <w:szCs w:val="24"/>
        </w:rPr>
        <w:t>:  (</w:t>
      </w:r>
      <w:r w:rsidRPr="00596A43">
        <w:rPr>
          <w:sz w:val="24"/>
          <w:szCs w:val="24"/>
        </w:rPr>
        <w:t xml:space="preserve">1) a total capital and start-up cost component (annualized over its expected useful life); and (b) a total operation and maintenance and purchase of services component.  The estimates should </w:t>
      </w:r>
      <w:r w:rsidRPr="00596A43">
        <w:rPr>
          <w:sz w:val="24"/>
          <w:szCs w:val="24"/>
        </w:rPr>
        <w:t>take into account</w:t>
      </w:r>
      <w:r w:rsidRPr="00596A43">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596A43">
        <w:rPr>
          <w:sz w:val="24"/>
          <w:szCs w:val="24"/>
        </w:rPr>
        <w:t>time period</w:t>
      </w:r>
      <w:r w:rsidRPr="00596A43">
        <w:rPr>
          <w:sz w:val="24"/>
          <w:szCs w:val="24"/>
        </w:rPr>
        <w:t xml:space="preserve"> over which costs will be incurred.  Capital and start-up costs include, among other items, preparations for collecting information such as purchasing computers and software; monitoring, sampling, </w:t>
      </w:r>
      <w:r w:rsidRPr="00596A43">
        <w:rPr>
          <w:sz w:val="24"/>
          <w:szCs w:val="24"/>
        </w:rPr>
        <w:t>drilling</w:t>
      </w:r>
      <w:r w:rsidRPr="00596A43">
        <w:rPr>
          <w:sz w:val="24"/>
          <w:szCs w:val="24"/>
        </w:rPr>
        <w:t xml:space="preserve"> and testing equipment; and record storage facilities.</w:t>
      </w:r>
    </w:p>
    <w:p w:rsidR="00EB5E96" w:rsidRPr="00596A43" w:rsidP="000C4293" w14:paraId="558AAC54"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p>
    <w:p w:rsidR="00EB5E96" w:rsidRPr="00596A43" w:rsidP="000C4293" w14:paraId="4402065B" w14:textId="77777777">
      <w:pPr>
        <w:shd w:val="pct25" w:color="auto" w:fill="FFFFFF"/>
        <w:tabs>
          <w:tab w:val="left" w:pos="-720"/>
        </w:tabs>
        <w:suppressAutoHyphens/>
        <w:jc w:val="both"/>
      </w:pPr>
      <w:r w:rsidRPr="00596A43">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596A43">
        <w:t>process</w:t>
      </w:r>
      <w:r w:rsidRPr="00596A43">
        <w:t xml:space="preserve"> and use existing economic or regulatory impact analysis associated with the rulemaking containing the information collection as appropriate.</w:t>
      </w:r>
    </w:p>
    <w:p w:rsidR="00EB5E96" w:rsidRPr="00596A43" w:rsidP="000C4293" w14:paraId="1CBAA3DB" w14:textId="77777777">
      <w:pPr>
        <w:shd w:val="pct25" w:color="auto" w:fill="FFFFFF"/>
        <w:tabs>
          <w:tab w:val="left" w:pos="-720"/>
        </w:tabs>
        <w:suppressAutoHyphens/>
        <w:jc w:val="both"/>
      </w:pPr>
    </w:p>
    <w:p w:rsidR="00EB5E96" w:rsidRPr="00596A43" w:rsidP="000C4293" w14:paraId="3F2CD762" w14:textId="77777777">
      <w:pPr>
        <w:shd w:val="pct25" w:color="auto" w:fill="FFFFFF"/>
        <w:tabs>
          <w:tab w:val="left" w:pos="-720"/>
        </w:tabs>
        <w:suppressAutoHyphens/>
        <w:jc w:val="both"/>
      </w:pPr>
      <w:r w:rsidRPr="00596A43">
        <w:t>Generally, estimates should not include purchases of equipment or services, or portions thereof, made</w:t>
      </w:r>
      <w:r w:rsidRPr="00596A43">
        <w:t>:  (</w:t>
      </w:r>
      <w:r w:rsidRPr="00596A43">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B5E96" w:rsidRPr="00596A43" w:rsidP="000C4293" w14:paraId="364FA7BD" w14:textId="77777777">
      <w:pPr>
        <w:shd w:val="clear" w:color="auto" w:fill="FFFFFF"/>
        <w:tabs>
          <w:tab w:val="left" w:pos="-720"/>
        </w:tabs>
        <w:suppressAutoHyphens/>
        <w:jc w:val="both"/>
      </w:pPr>
    </w:p>
    <w:p w:rsidR="00820D6B" w:rsidRPr="000D1014" w:rsidP="00105028" w14:paraId="28E2CF09" w14:textId="77777777">
      <w:pPr>
        <w:shd w:val="clear" w:color="auto" w:fill="FFFFFF"/>
        <w:tabs>
          <w:tab w:val="left" w:pos="-720"/>
        </w:tabs>
        <w:suppressAutoHyphens/>
      </w:pPr>
      <w:r w:rsidRPr="000D1014">
        <w:t>There is no additional cost to the responde</w:t>
      </w:r>
      <w:r w:rsidRPr="000D1014" w:rsidR="007A66BD">
        <w:t>nts</w:t>
      </w:r>
      <w:r w:rsidRPr="000D1014">
        <w:t xml:space="preserve"> due to this collection of information.  </w:t>
      </w:r>
    </w:p>
    <w:p w:rsidR="00AC5474" w:rsidRPr="00596A43" w:rsidP="000C4293" w14:paraId="202D49CA" w14:textId="77777777">
      <w:pPr>
        <w:shd w:val="clear" w:color="auto" w:fill="FFFFFF"/>
        <w:tabs>
          <w:tab w:val="left" w:pos="-720"/>
        </w:tabs>
        <w:suppressAutoHyphens/>
        <w:jc w:val="both"/>
      </w:pPr>
    </w:p>
    <w:p w:rsidR="00EB5E96" w:rsidRPr="00596A43" w:rsidP="000C4293" w14:paraId="047482B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00EB5E96" w:rsidRPr="00596A43" w:rsidP="000C4293" w14:paraId="04C80A31" w14:textId="77777777">
      <w:pPr>
        <w:suppressAutoHyphens/>
        <w:jc w:val="both"/>
      </w:pPr>
      <w:r w:rsidRPr="00596A43">
        <w:fldChar w:fldCharType="begin"/>
      </w:r>
      <w:r w:rsidRPr="00596A43">
        <w:instrText>ADVANCE \R 0.95</w:instrText>
      </w:r>
      <w:r w:rsidRPr="00596A43">
        <w:fldChar w:fldCharType="end"/>
      </w:r>
    </w:p>
    <w:p w:rsidR="00820D6B" w:rsidRPr="000D1014" w:rsidP="00007DF1" w14:paraId="093BAD81" w14:textId="119C9FDE">
      <w:pPr>
        <w:suppressAutoHyphens/>
        <w:spacing w:after="240"/>
      </w:pPr>
      <w:r>
        <w:t>The Department</w:t>
      </w:r>
      <w:r w:rsidRPr="000D1014">
        <w:t xml:space="preserve"> expect</w:t>
      </w:r>
      <w:r>
        <w:t>s</w:t>
      </w:r>
      <w:r w:rsidRPr="000D1014">
        <w:t xml:space="preserve"> a mid-level manager and </w:t>
      </w:r>
      <w:r w:rsidRPr="000D1014" w:rsidR="00AC5474">
        <w:t xml:space="preserve">his or her </w:t>
      </w:r>
      <w:r w:rsidRPr="000D1014">
        <w:t xml:space="preserve">staff or contractors to manage the data collection process.  It is expected that the minimum requirement for Federal Government support would be </w:t>
      </w:r>
      <w:r w:rsidRPr="000D1014" w:rsidR="00907E31">
        <w:t>three</w:t>
      </w:r>
      <w:r w:rsidRPr="000D1014">
        <w:t xml:space="preserve"> full time</w:t>
      </w:r>
      <w:r w:rsidR="00A63132">
        <w:t xml:space="preserve"> employees</w:t>
      </w:r>
      <w:r w:rsidRPr="000D1014" w:rsidR="00AC5474">
        <w:t xml:space="preserve"> (FTE)</w:t>
      </w:r>
      <w:r w:rsidR="00A63132">
        <w:t>, or the equivalent</w:t>
      </w:r>
      <w:r w:rsidRPr="000D1014">
        <w:t>.  There are also</w:t>
      </w:r>
      <w:r w:rsidR="00F93305">
        <w:t xml:space="preserve"> maintenance</w:t>
      </w:r>
      <w:r w:rsidRPr="000D1014">
        <w:t xml:space="preserve"> costs associated with the database used to hold the information collected. </w:t>
      </w:r>
    </w:p>
    <w:p w:rsidR="00F93305" w:rsidP="00007DF1" w14:paraId="12539F8A" w14:textId="620262CA">
      <w:pPr>
        <w:suppressAutoHyphens/>
        <w:spacing w:after="240"/>
      </w:pPr>
      <w:r w:rsidRPr="000D1014">
        <w:t xml:space="preserve">Based on the </w:t>
      </w:r>
      <w:r w:rsidR="00820C23">
        <w:t>Office of Personnel Management</w:t>
      </w:r>
      <w:r w:rsidR="0044585A">
        <w:t xml:space="preserve"> (OPM) </w:t>
      </w:r>
      <w:r w:rsidRPr="000D1014" w:rsidR="00C34510">
        <w:t>20</w:t>
      </w:r>
      <w:r w:rsidR="003353E9">
        <w:t>22</w:t>
      </w:r>
      <w:r w:rsidRPr="000D1014" w:rsidR="00C34510">
        <w:t xml:space="preserve"> </w:t>
      </w:r>
      <w:r w:rsidRPr="000D1014">
        <w:t>Federal Government General Schedule Salary Table</w:t>
      </w:r>
      <w:r w:rsidRPr="000D1014" w:rsidR="00C34510">
        <w:t xml:space="preserve"> </w:t>
      </w:r>
      <w:r>
        <w:t xml:space="preserve">for the </w:t>
      </w:r>
      <w:r w:rsidRPr="000D1014" w:rsidR="00C34510">
        <w:t>DC</w:t>
      </w:r>
      <w:r w:rsidR="0044585A">
        <w:t xml:space="preserve"> area</w:t>
      </w:r>
      <w:r w:rsidRPr="000D1014">
        <w:t>, the annual salary of a GS-1</w:t>
      </w:r>
      <w:r w:rsidRPr="000D1014" w:rsidR="00C77B04">
        <w:t>2</w:t>
      </w:r>
      <w:r w:rsidRPr="000D1014" w:rsidR="00C34510">
        <w:t>, Step 1</w:t>
      </w:r>
      <w:r w:rsidRPr="000D1014">
        <w:t xml:space="preserve"> employ</w:t>
      </w:r>
      <w:r w:rsidRPr="000D1014" w:rsidR="00C34510">
        <w:t>ee is $</w:t>
      </w:r>
      <w:r w:rsidR="003178ED">
        <w:t>94,199</w:t>
      </w:r>
      <w:r w:rsidRPr="000D1014" w:rsidR="00C77B04">
        <w:t xml:space="preserve"> and a GS-13, Step 1 employee is $</w:t>
      </w:r>
      <w:r w:rsidR="003178ED">
        <w:t>112,015</w:t>
      </w:r>
      <w:r w:rsidRPr="000D1014">
        <w:t>.</w:t>
      </w:r>
      <w:r>
        <w:rPr>
          <w:rStyle w:val="FootnoteReference"/>
        </w:rPr>
        <w:footnoteReference w:id="5"/>
      </w:r>
      <w:r w:rsidRPr="000D1014">
        <w:t xml:space="preserve">  </w:t>
      </w:r>
      <w:r w:rsidR="00341558">
        <w:t xml:space="preserve">To account for benefits, the Department multiplies this annual salary by a compensation factor of </w:t>
      </w:r>
      <w:r w:rsidR="003178ED">
        <w:t>1.449</w:t>
      </w:r>
      <w:r>
        <w:rPr>
          <w:rStyle w:val="FootnoteReference"/>
        </w:rPr>
        <w:footnoteReference w:id="6"/>
      </w:r>
      <w:r w:rsidR="00341558">
        <w:t>, which is the ratio of total compensation to wages for federal employees.  Therefore, the estimated annual compensation for a GS-12, Step 1 employee is $134,879</w:t>
      </w:r>
      <w:r>
        <w:rPr>
          <w:rStyle w:val="FootnoteReference"/>
        </w:rPr>
        <w:footnoteReference w:id="7"/>
      </w:r>
      <w:r w:rsidR="00341558">
        <w:t xml:space="preserve"> and the estimated annual compensation for a GS-13, Step 1 employees is $160,386</w:t>
      </w:r>
      <w:r>
        <w:rPr>
          <w:rStyle w:val="FootnoteReference"/>
        </w:rPr>
        <w:footnoteReference w:id="8"/>
      </w:r>
      <w:r w:rsidR="00341558">
        <w:t>.</w:t>
      </w:r>
      <w:r w:rsidR="00820C23">
        <w:t xml:space="preserve">  In addition, t</w:t>
      </w:r>
      <w:r w:rsidRPr="000D1014">
        <w:t xml:space="preserve">he annual </w:t>
      </w:r>
      <w:r w:rsidR="00820C23">
        <w:t>compensation</w:t>
      </w:r>
      <w:r w:rsidRPr="000D1014">
        <w:t xml:space="preserve"> for an Emergency Communications Specialist un</w:t>
      </w:r>
      <w:r w:rsidRPr="000D1014" w:rsidR="00F27310">
        <w:t xml:space="preserve">der the </w:t>
      </w:r>
      <w:r w:rsidR="00E432CE">
        <w:t>ECD</w:t>
      </w:r>
      <w:r w:rsidRPr="000D1014">
        <w:t xml:space="preserve"> </w:t>
      </w:r>
      <w:r w:rsidR="008F0738">
        <w:t>Scientific, Engineering, and Technical Assistance</w:t>
      </w:r>
      <w:r w:rsidRPr="000D1014">
        <w:t xml:space="preserve"> Contract is $</w:t>
      </w:r>
      <w:r w:rsidRPr="000D1014" w:rsidR="00466056">
        <w:t>65,000</w:t>
      </w:r>
      <w:r w:rsidRPr="000D1014">
        <w:t xml:space="preserve">.  </w:t>
      </w:r>
      <w:r>
        <w:t>T</w:t>
      </w:r>
      <w:r w:rsidR="00960800">
        <w:t>hus, t</w:t>
      </w:r>
      <w:r>
        <w:t xml:space="preserve">he total annual labor cost </w:t>
      </w:r>
      <w:r w:rsidR="00820C23">
        <w:t xml:space="preserve">for these three FTEs </w:t>
      </w:r>
      <w:r>
        <w:t>is $</w:t>
      </w:r>
      <w:r w:rsidR="003178ED">
        <w:t>363,896</w:t>
      </w:r>
      <w:r>
        <w:t>.</w:t>
      </w:r>
      <w:r>
        <w:rPr>
          <w:rStyle w:val="FootnoteReference"/>
        </w:rPr>
        <w:footnoteReference w:id="9"/>
      </w:r>
    </w:p>
    <w:p w:rsidR="00820D6B" w:rsidRPr="000D1014" w:rsidP="00007DF1" w14:paraId="53210698" w14:textId="73B66C80">
      <w:pPr>
        <w:suppressAutoHyphens/>
        <w:spacing w:after="240"/>
      </w:pPr>
      <w:r>
        <w:t>The e</w:t>
      </w:r>
      <w:r w:rsidRPr="000D1014">
        <w:t>stimated average maintenance cost for the database is $</w:t>
      </w:r>
      <w:r w:rsidR="00935028">
        <w:t>782,000</w:t>
      </w:r>
      <w:r w:rsidRPr="000D1014" w:rsidR="00AC5474">
        <w:t xml:space="preserve"> per year</w:t>
      </w:r>
      <w:r w:rsidRPr="000D1014">
        <w:t>.</w:t>
      </w:r>
      <w:r>
        <w:t xml:space="preserve">  Therefore, the all-inclusive total annualized cost to the Federal Government (the sum of the labor and maintenance costs) is $</w:t>
      </w:r>
      <w:r w:rsidR="003178ED">
        <w:t>1,145,896</w:t>
      </w:r>
      <w:r>
        <w:t>.</w:t>
      </w:r>
      <w:r>
        <w:rPr>
          <w:rStyle w:val="FootnoteReference"/>
        </w:rPr>
        <w:footnoteReference w:id="10"/>
      </w:r>
      <w:r>
        <w:t xml:space="preserve">  </w:t>
      </w:r>
    </w:p>
    <w:p w:rsidR="00EB5E96" w:rsidRPr="00596A43" w:rsidP="000C4293" w14:paraId="3506DCC5"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P="000C4293" w14:paraId="63504C74" w14:textId="77777777">
      <w:pPr>
        <w:tabs>
          <w:tab w:val="left" w:pos="-720"/>
        </w:tabs>
        <w:suppressAutoHyphens/>
        <w:jc w:val="both"/>
      </w:pPr>
      <w:r w:rsidRPr="00596A43">
        <w:fldChar w:fldCharType="begin"/>
      </w:r>
      <w:r w:rsidRPr="00596A43">
        <w:instrText>ADVANCE \R 0.95</w:instrText>
      </w:r>
      <w:r w:rsidRPr="00596A43">
        <w:fldChar w:fldCharType="end"/>
      </w:r>
    </w:p>
    <w:p w:rsidR="00633BA1" w:rsidP="00CA30BB" w14:paraId="1A91E4A5" w14:textId="3DE11834">
      <w:pPr>
        <w:tabs>
          <w:tab w:val="left" w:pos="-720"/>
        </w:tabs>
        <w:suppressAutoHyphens/>
      </w:pPr>
      <w:r w:rsidRPr="000D1014">
        <w:t xml:space="preserve">There have </w:t>
      </w:r>
      <w:r w:rsidR="00F93305">
        <w:t xml:space="preserve">been </w:t>
      </w:r>
      <w:r w:rsidRPr="000D1014">
        <w:t>no changes to the information being collected</w:t>
      </w:r>
      <w:r w:rsidRPr="000D1014">
        <w:t>.</w:t>
      </w:r>
      <w:r w:rsidR="00AD4C06">
        <w:t xml:space="preserve">  The </w:t>
      </w:r>
      <w:r w:rsidR="00AD4C06">
        <w:rPr>
          <w:bCs/>
        </w:rPr>
        <w:t>annual government cost has increased due to increased wage rates</w:t>
      </w:r>
      <w:r w:rsidR="00435504">
        <w:rPr>
          <w:bCs/>
        </w:rPr>
        <w:t>/</w:t>
      </w:r>
      <w:r w:rsidR="001E1AE8">
        <w:rPr>
          <w:bCs/>
        </w:rPr>
        <w:t>compensation factors</w:t>
      </w:r>
      <w:r w:rsidR="00435504">
        <w:rPr>
          <w:bCs/>
        </w:rPr>
        <w:t xml:space="preserve"> and </w:t>
      </w:r>
      <w:r w:rsidR="00113936">
        <w:rPr>
          <w:bCs/>
        </w:rPr>
        <w:t xml:space="preserve">IT </w:t>
      </w:r>
      <w:r w:rsidR="00435504">
        <w:rPr>
          <w:bCs/>
        </w:rPr>
        <w:t>system security</w:t>
      </w:r>
      <w:r w:rsidR="00113936">
        <w:rPr>
          <w:bCs/>
        </w:rPr>
        <w:t xml:space="preserve"> requirements</w:t>
      </w:r>
      <w:r w:rsidR="00AD4C06">
        <w:rPr>
          <w:bCs/>
        </w:rPr>
        <w:t xml:space="preserve">. </w:t>
      </w:r>
    </w:p>
    <w:p w:rsidR="00F52DE4" w:rsidP="000C4293" w14:paraId="69FD53FF" w14:textId="77777777">
      <w:pPr>
        <w:tabs>
          <w:tab w:val="left" w:pos="-720"/>
        </w:tabs>
        <w:suppressAutoHyphens/>
        <w:jc w:val="both"/>
      </w:pPr>
    </w:p>
    <w:p w:rsidR="00AD4C06" w:rsidP="00007DF1" w14:paraId="368C5779" w14:textId="1B90BFE4">
      <w:pPr>
        <w:suppressAutoHyphens/>
      </w:pPr>
      <w:r>
        <w:t xml:space="preserve">The estimated number of respondents for the SF315 Form has </w:t>
      </w:r>
      <w:r w:rsidR="00A413F7">
        <w:t>decreased</w:t>
      </w:r>
      <w:r>
        <w:t xml:space="preserve"> from </w:t>
      </w:r>
      <w:r w:rsidR="00A413F7">
        <w:t>37,505</w:t>
      </w:r>
      <w:r>
        <w:t xml:space="preserve"> </w:t>
      </w:r>
      <w:r w:rsidRPr="005D7B7E">
        <w:t xml:space="preserve">to </w:t>
      </w:r>
      <w:r w:rsidR="00A413F7">
        <w:t>24,750</w:t>
      </w:r>
      <w:r w:rsidRPr="005D7B7E" w:rsidR="00F00558">
        <w:t>.</w:t>
      </w:r>
      <w:r w:rsidR="00F00558">
        <w:t xml:space="preserve">  </w:t>
      </w:r>
      <w:r>
        <w:t>This update results in a</w:t>
      </w:r>
      <w:r w:rsidR="00153222">
        <w:t>n</w:t>
      </w:r>
      <w:r>
        <w:t xml:space="preserve"> </w:t>
      </w:r>
      <w:r w:rsidR="0048283B">
        <w:t xml:space="preserve">annual </w:t>
      </w:r>
      <w:r w:rsidR="00F937F6">
        <w:t xml:space="preserve">decrease </w:t>
      </w:r>
      <w:r>
        <w:t>in the burden estimates by</w:t>
      </w:r>
      <w:r w:rsidR="00153222">
        <w:t xml:space="preserve"> </w:t>
      </w:r>
      <w:r w:rsidR="00A051B4">
        <w:t>12,755</w:t>
      </w:r>
      <w:r w:rsidR="00F00558">
        <w:t xml:space="preserve"> </w:t>
      </w:r>
      <w:r w:rsidR="00153222">
        <w:t>responses and</w:t>
      </w:r>
      <w:r>
        <w:t xml:space="preserve"> </w:t>
      </w:r>
      <w:r w:rsidR="00697222">
        <w:t>3,188</w:t>
      </w:r>
      <w:r w:rsidR="00F00558">
        <w:t xml:space="preserve"> </w:t>
      </w:r>
      <w:r>
        <w:t xml:space="preserve">burden hours.  </w:t>
      </w:r>
    </w:p>
    <w:p w:rsidR="00F52DE4" w:rsidP="000C4293" w14:paraId="41047DC5" w14:textId="77777777">
      <w:pPr>
        <w:tabs>
          <w:tab w:val="left" w:pos="-720"/>
        </w:tabs>
        <w:suppressAutoHyphens/>
        <w:jc w:val="both"/>
      </w:pPr>
    </w:p>
    <w:p w:rsidR="00F52DE4" w:rsidRPr="00146E48" w:rsidP="00007DF1" w14:paraId="6459CCF9" w14:textId="19719628">
      <w:pPr>
        <w:suppressAutoHyphens/>
      </w:pPr>
      <w:r w:rsidRPr="00146E48">
        <w:t xml:space="preserve"> </w:t>
      </w:r>
      <w:r>
        <w:t xml:space="preserve"> </w:t>
      </w:r>
    </w:p>
    <w:p w:rsidR="00633BA1" w:rsidRPr="00596A43" w:rsidP="000C4293" w14:paraId="3DA6E9DC" w14:textId="77777777">
      <w:pPr>
        <w:tabs>
          <w:tab w:val="left" w:pos="-720"/>
        </w:tabs>
        <w:suppressAutoHyphens/>
        <w:jc w:val="both"/>
      </w:pPr>
    </w:p>
    <w:p w:rsidR="00EB5E96" w:rsidRPr="00596A43" w:rsidP="000C4293" w14:paraId="4766820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4296151D" w14:textId="77777777">
      <w:pPr>
        <w:suppressAutoHyphens/>
        <w:jc w:val="both"/>
      </w:pPr>
      <w:r w:rsidRPr="00596A43">
        <w:fldChar w:fldCharType="begin"/>
      </w:r>
      <w:r w:rsidRPr="00596A43">
        <w:instrText>ADVANCE \R 0.95</w:instrText>
      </w:r>
      <w:r w:rsidRPr="00596A43">
        <w:fldChar w:fldCharType="end"/>
      </w:r>
    </w:p>
    <w:p w:rsidR="00633BA1" w:rsidRPr="000D1014" w:rsidP="00633BA1" w14:paraId="12B4CE95" w14:textId="77777777">
      <w:r w:rsidRPr="000D1014">
        <w:t>The TSP collection of information will not be published.</w:t>
      </w:r>
    </w:p>
    <w:p w:rsidR="00EB5E96" w:rsidRPr="00596A43" w:rsidP="000C4293" w14:paraId="3D65E3D3" w14:textId="77777777">
      <w:pPr>
        <w:suppressAutoHyphens/>
        <w:jc w:val="both"/>
      </w:pPr>
    </w:p>
    <w:p w:rsidR="00EB5E96" w:rsidRPr="00596A43" w:rsidP="000C4293" w14:paraId="08E1EA4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5DE44F7F" w14:textId="77777777">
      <w:pPr>
        <w:tabs>
          <w:tab w:val="left" w:pos="-720"/>
        </w:tabs>
        <w:suppressAutoHyphens/>
        <w:jc w:val="both"/>
      </w:pPr>
      <w:r w:rsidRPr="00596A43">
        <w:fldChar w:fldCharType="begin"/>
      </w:r>
      <w:r w:rsidRPr="00596A43">
        <w:instrText>ADVANCE \R 0.95</w:instrText>
      </w:r>
      <w:r w:rsidRPr="00596A43">
        <w:fldChar w:fldCharType="end"/>
      </w:r>
    </w:p>
    <w:p w:rsidR="005D7B7E" w:rsidRPr="005B56AC" w:rsidP="005D7B7E" w14:paraId="5B63E895" w14:textId="2B6AE65A">
      <w:r>
        <w:t>ECD</w:t>
      </w:r>
      <w:r w:rsidRPr="005B56AC">
        <w:t xml:space="preserve"> will display the expiration date for OMB approval of this information collection.</w:t>
      </w:r>
    </w:p>
    <w:p w:rsidR="00633BA1" w:rsidRPr="00596A43" w:rsidP="000C4293" w14:paraId="6BAD6ADD" w14:textId="77777777">
      <w:pPr>
        <w:tabs>
          <w:tab w:val="left" w:pos="-720"/>
        </w:tabs>
        <w:suppressAutoHyphens/>
        <w:jc w:val="both"/>
      </w:pPr>
    </w:p>
    <w:p w:rsidR="0077056F" w:rsidRPr="00596A43" w:rsidP="000C4293" w14:paraId="76E9A2B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7C14E946" w14:textId="77777777">
      <w:pPr>
        <w:tabs>
          <w:tab w:val="left" w:pos="-720"/>
        </w:tabs>
        <w:suppressAutoHyphens/>
        <w:jc w:val="both"/>
      </w:pPr>
    </w:p>
    <w:p w:rsidR="005D7B7E" w:rsidP="005D7B7E" w14:paraId="19580208" w14:textId="627AB2AB">
      <w:r>
        <w:t>ECD</w:t>
      </w:r>
      <w:r w:rsidRPr="005B56AC">
        <w:t xml:space="preserve"> does not request an exception to the certification of this information collection.</w:t>
      </w:r>
    </w:p>
    <w:p w:rsidR="0077056F" w:rsidRPr="00596A43" w:rsidP="0077056F" w14:paraId="2260B5F7" w14:textId="77777777">
      <w:pPr>
        <w:tabs>
          <w:tab w:val="left" w:pos="-720"/>
        </w:tabs>
        <w:suppressAutoHyphens/>
        <w:jc w:val="both"/>
      </w:pP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85A" w:rsidP="00DB0532" w14:paraId="497AC14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585A" w:rsidP="00DC6E79" w14:paraId="055686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85A" w:rsidP="00DB0532" w14:paraId="6F63DC18" w14:textId="6D509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ADF">
      <w:rPr>
        <w:rStyle w:val="PageNumber"/>
        <w:noProof/>
      </w:rPr>
      <w:t>2</w:t>
    </w:r>
    <w:r>
      <w:rPr>
        <w:rStyle w:val="PageNumber"/>
      </w:rPr>
      <w:fldChar w:fldCharType="end"/>
    </w:r>
  </w:p>
  <w:p w:rsidR="0044585A" w:rsidP="00DC6E79" w14:paraId="64FF6EAA"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0DB2" w14:paraId="24353EA3" w14:textId="77777777">
      <w:r>
        <w:separator/>
      </w:r>
    </w:p>
  </w:footnote>
  <w:footnote w:type="continuationSeparator" w:id="1">
    <w:p w:rsidR="00990DB2" w14:paraId="7E92056F" w14:textId="77777777">
      <w:r>
        <w:continuationSeparator/>
      </w:r>
    </w:p>
  </w:footnote>
  <w:footnote w:id="2">
    <w:p w:rsidR="0044585A" w:rsidP="00105028" w14:paraId="218F3938" w14:textId="436542FD">
      <w:pPr>
        <w:pStyle w:val="FootnoteText"/>
        <w:spacing w:after="60"/>
      </w:pPr>
      <w:r>
        <w:rPr>
          <w:rStyle w:val="FootnoteReference"/>
        </w:rPr>
        <w:footnoteRef/>
      </w:r>
      <w:r w:rsidR="2EEC75C0">
        <w:t xml:space="preserve"> BLS.  Occupational Employment Statistics.  May 2021.  OES data for NAICS 517000 – Telecommunications, All Occupations (00-0000).  </w:t>
      </w:r>
      <w:hyperlink r:id="rId1" w:history="1">
        <w:r w:rsidRPr="001A3703" w:rsidR="2EEC75C0">
          <w:rPr>
            <w:rStyle w:val="Hyperlink"/>
          </w:rPr>
          <w:t>https://www.bls.gov/oes/</w:t>
        </w:r>
        <w:r w:rsidRPr="00BB6338" w:rsidR="2EEC75C0">
          <w:rPr>
            <w:rStyle w:val="Hyperlink"/>
          </w:rPr>
          <w:t>2021/may/naics3_517000.htm</w:t>
        </w:r>
      </w:hyperlink>
      <w:r w:rsidR="2EEC75C0">
        <w:t>.  BLS reports an average hourly wage of $36.65.</w:t>
      </w:r>
    </w:p>
  </w:footnote>
  <w:footnote w:id="3">
    <w:p w:rsidR="0044585A" w:rsidP="00105028" w14:paraId="0E92CB19" w14:textId="3BD50278">
      <w:pPr>
        <w:pStyle w:val="FootnoteText"/>
        <w:spacing w:after="60"/>
      </w:pPr>
      <w:r>
        <w:rPr>
          <w:rStyle w:val="FootnoteReference"/>
        </w:rPr>
        <w:footnoteRef/>
      </w:r>
      <w:r w:rsidR="2EEC75C0">
        <w:t xml:space="preserve"> BLS.  (2022).  </w:t>
      </w:r>
      <w:r w:rsidRPr="001A3703" w:rsidR="2EEC75C0">
        <w:t xml:space="preserve">Employer Costs for Employee Compensation – December 2022.  Table 4. </w:t>
      </w:r>
      <w:r w:rsidRPr="001A3703" w:rsidR="2EEC75C0">
        <w:rPr>
          <w:color w:val="660000"/>
          <w:shd w:val="clear" w:color="auto" w:fill="FFFFFF"/>
        </w:rPr>
        <w:t>Employer Costs for Employee Compensation for private industry workers by occupational and industry group</w:t>
      </w:r>
      <w:r w:rsidRPr="001A3703" w:rsidR="2EEC75C0">
        <w:t>, September 2022.</w:t>
      </w:r>
      <w:r w:rsidR="2EEC75C0">
        <w:t xml:space="preserve">  </w:t>
      </w:r>
      <w:hyperlink r:id="rId2" w:history="1">
        <w:r w:rsidRPr="00A01B28" w:rsidR="2EEC75C0">
          <w:rPr>
            <w:rStyle w:val="Hyperlink"/>
          </w:rPr>
          <w:t>https://www.bls.gov/news.release/archives/ecec_03202018.pdf</w:t>
        </w:r>
      </w:hyperlink>
      <w:r w:rsidR="2EEC75C0">
        <w:t xml:space="preserve">.  The compensation factor of 1.4367 is calculated by dividing the total compensation for all private industry workers ($33.72) by the wages and salaries for all private industry workers ($23.47). </w:t>
      </w:r>
    </w:p>
  </w:footnote>
  <w:footnote w:id="4">
    <w:p w:rsidR="0044585A" w:rsidP="00105028" w14:paraId="308648F0" w14:textId="26AB4679">
      <w:pPr>
        <w:pStyle w:val="FootnoteText"/>
      </w:pPr>
      <w:r>
        <w:rPr>
          <w:rStyle w:val="FootnoteReference"/>
        </w:rPr>
        <w:footnoteRef/>
      </w:r>
      <w:r w:rsidR="2EEC75C0">
        <w:t xml:space="preserve"> $48.65 = $36.65 × 1.418.</w:t>
      </w:r>
    </w:p>
  </w:footnote>
  <w:footnote w:id="5">
    <w:p w:rsidR="0044585A" w:rsidP="00105028" w14:paraId="568D6303" w14:textId="01D12BCD">
      <w:pPr>
        <w:pStyle w:val="FootnoteText"/>
        <w:spacing w:after="60"/>
      </w:pPr>
      <w:r>
        <w:rPr>
          <w:rStyle w:val="FootnoteReference"/>
        </w:rPr>
        <w:footnoteRef/>
      </w:r>
      <w:r w:rsidR="2EEC75C0">
        <w:t xml:space="preserve"> OPM.  Pay &amp; Leave: Salaries &amp; Wages.  Salary Table 2023-DCB. Locality Pay Area of Washington-Baltimore-Arlington, DC-MD-VA-WV-PA. Effective January 2023.  </w:t>
      </w:r>
      <w:hyperlink r:id="rId3" w:history="1">
        <w:r w:rsidRPr="003178ED" w:rsidR="2EEC75C0">
          <w:rPr>
            <w:rStyle w:val="Hyperlink"/>
          </w:rPr>
          <w:t>https://www.opm.gov/policy-data-oversight/pay-leave/salaries-wages/salary-tables/pdf/</w:t>
        </w:r>
        <w:r w:rsidRPr="00BB6338" w:rsidR="2EEC75C0">
          <w:rPr>
            <w:rStyle w:val="Hyperlink"/>
          </w:rPr>
          <w:t>2023/DCB.pdf</w:t>
        </w:r>
      </w:hyperlink>
      <w:r w:rsidR="2EEC75C0">
        <w:t>.</w:t>
      </w:r>
    </w:p>
  </w:footnote>
  <w:footnote w:id="6">
    <w:p w:rsidR="00341558" w:rsidP="00341558" w14:paraId="708BFCBC" w14:textId="562FD916">
      <w:pPr>
        <w:pStyle w:val="FootnoteText"/>
        <w:spacing w:after="60"/>
      </w:pPr>
      <w:r>
        <w:rPr>
          <w:rStyle w:val="FootnoteReference"/>
        </w:rPr>
        <w:footnoteRef/>
      </w:r>
      <w:r w:rsidR="2EEC75C0">
        <w:t xml:space="preserve"> BLS.  (2022).  </w:t>
      </w:r>
      <w:r w:rsidRPr="001A3703" w:rsidR="2EEC75C0">
        <w:t xml:space="preserve">Employer Costs for Employee Compensation – December </w:t>
      </w:r>
      <w:r w:rsidRPr="00B35A11" w:rsidR="2EEC75C0">
        <w:t xml:space="preserve">2022.  Table </w:t>
      </w:r>
      <w:r w:rsidR="2EEC75C0">
        <w:t>1</w:t>
      </w:r>
      <w:r w:rsidRPr="00B35A11" w:rsidR="2EEC75C0">
        <w:t xml:space="preserve">. </w:t>
      </w:r>
      <w:r w:rsidRPr="001A3703" w:rsidR="2EEC75C0">
        <w:rPr>
          <w:color w:val="660000"/>
          <w:shd w:val="clear" w:color="auto" w:fill="FFFFFF"/>
        </w:rPr>
        <w:t xml:space="preserve">Employer Costs for Employee Compensation </w:t>
      </w:r>
      <w:r w:rsidR="2EEC75C0">
        <w:rPr>
          <w:color w:val="660000"/>
          <w:shd w:val="clear" w:color="auto" w:fill="FFFFFF"/>
        </w:rPr>
        <w:t>by Owner</w:t>
      </w:r>
      <w:r w:rsidRPr="00B35A11" w:rsidR="2EEC75C0">
        <w:t>, September 2022.</w:t>
      </w:r>
      <w:r w:rsidR="2EEC75C0">
        <w:t xml:space="preserve">  </w:t>
      </w:r>
      <w:hyperlink r:id="rId2" w:history="1">
        <w:r w:rsidRPr="00A01B28" w:rsidR="2EEC75C0">
          <w:rPr>
            <w:rStyle w:val="Hyperlink"/>
          </w:rPr>
          <w:t>https://www.bls.gov/news.release/archives/ecec_03202018.pdf</w:t>
        </w:r>
      </w:hyperlink>
      <w:r w:rsidR="2EEC75C0">
        <w:t>.  The compensation factor of 1.449 is calculated by dividing the total compensation for all civilian workers ($41.86) by the wages and salaries for all civilian workers ($27.93).</w:t>
      </w:r>
    </w:p>
  </w:footnote>
  <w:footnote w:id="7">
    <w:p w:rsidR="00820C23" w:rsidP="00820C23" w14:paraId="14189DAF" w14:textId="4A8394B8">
      <w:pPr>
        <w:pStyle w:val="FootnoteText"/>
        <w:spacing w:after="60"/>
      </w:pPr>
      <w:r>
        <w:rPr>
          <w:rStyle w:val="FootnoteReference"/>
        </w:rPr>
        <w:footnoteRef/>
      </w:r>
      <w:r w:rsidR="2EEC75C0">
        <w:t xml:space="preserve"> $136,536 = $94,199 × 1.449.</w:t>
      </w:r>
    </w:p>
  </w:footnote>
  <w:footnote w:id="8">
    <w:p w:rsidR="00341558" w:rsidP="00341558" w14:paraId="5FF49528" w14:textId="76CD3DF4">
      <w:pPr>
        <w:pStyle w:val="FootnoteText"/>
        <w:spacing w:after="60"/>
      </w:pPr>
      <w:r>
        <w:rPr>
          <w:rStyle w:val="FootnoteReference"/>
        </w:rPr>
        <w:footnoteRef/>
      </w:r>
      <w:r w:rsidR="2EEC75C0">
        <w:t xml:space="preserve"> $162,360 = $112,015 × 1.449.</w:t>
      </w:r>
    </w:p>
  </w:footnote>
  <w:footnote w:id="9">
    <w:p w:rsidR="0044585A" w:rsidP="00105028" w14:paraId="6D75D1CD" w14:textId="3870ECE2">
      <w:pPr>
        <w:pStyle w:val="FootnoteText"/>
        <w:spacing w:after="60"/>
      </w:pPr>
      <w:r>
        <w:rPr>
          <w:rStyle w:val="FootnoteReference"/>
        </w:rPr>
        <w:footnoteRef/>
      </w:r>
      <w:r w:rsidR="2EEC75C0">
        <w:t xml:space="preserve"> $363,896 = $136,536 for one GS-12, Step 1 employee + $162,360 for one GS-13, Step 1 employee + $65,000 for one Emergency Communications Specialist.</w:t>
      </w:r>
    </w:p>
  </w:footnote>
  <w:footnote w:id="10">
    <w:p w:rsidR="0044585A" w14:paraId="35402F51" w14:textId="02A35C54">
      <w:pPr>
        <w:pStyle w:val="FootnoteText"/>
      </w:pPr>
      <w:r>
        <w:rPr>
          <w:rStyle w:val="FootnoteReference"/>
        </w:rPr>
        <w:footnoteRef/>
      </w:r>
      <w:r w:rsidR="32816805">
        <w:t xml:space="preserve"> $1,145,896 = $363,896 in annual labor costs + $782,000 in annual maintenance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0">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3">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7">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1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9">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1">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2">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3">
    <w:nsid w:val="6B765740"/>
    <w:multiLevelType w:val="hybridMultilevel"/>
    <w:tmpl w:val="A8205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203251408">
    <w:abstractNumId w:val="5"/>
  </w:num>
  <w:num w:numId="2" w16cid:durableId="1021279293">
    <w:abstractNumId w:val="17"/>
  </w:num>
  <w:num w:numId="3" w16cid:durableId="80375570">
    <w:abstractNumId w:val="20"/>
  </w:num>
  <w:num w:numId="4" w16cid:durableId="621695266">
    <w:abstractNumId w:val="9"/>
  </w:num>
  <w:num w:numId="5" w16cid:durableId="1779907824">
    <w:abstractNumId w:val="12"/>
  </w:num>
  <w:num w:numId="6" w16cid:durableId="1068112080">
    <w:abstractNumId w:val="18"/>
  </w:num>
  <w:num w:numId="7" w16cid:durableId="718744802">
    <w:abstractNumId w:val="19"/>
  </w:num>
  <w:num w:numId="8" w16cid:durableId="1046639776">
    <w:abstractNumId w:val="14"/>
  </w:num>
  <w:num w:numId="9" w16cid:durableId="1365254385">
    <w:abstractNumId w:val="7"/>
  </w:num>
  <w:num w:numId="10" w16cid:durableId="1285040266">
    <w:abstractNumId w:val="24"/>
  </w:num>
  <w:num w:numId="11" w16cid:durableId="1929653481">
    <w:abstractNumId w:val="11"/>
  </w:num>
  <w:num w:numId="12" w16cid:durableId="1187673644">
    <w:abstractNumId w:val="6"/>
  </w:num>
  <w:num w:numId="13" w16cid:durableId="1896893715">
    <w:abstractNumId w:val="25"/>
  </w:num>
  <w:num w:numId="14" w16cid:durableId="804271436">
    <w:abstractNumId w:val="4"/>
  </w:num>
  <w:num w:numId="15" w16cid:durableId="788478032">
    <w:abstractNumId w:val="13"/>
  </w:num>
  <w:num w:numId="16" w16cid:durableId="1976250985">
    <w:abstractNumId w:val="8"/>
  </w:num>
  <w:num w:numId="17" w16cid:durableId="1740975664">
    <w:abstractNumId w:val="22"/>
  </w:num>
  <w:num w:numId="18" w16cid:durableId="1276599470">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746463186">
    <w:abstractNumId w:val="16"/>
  </w:num>
  <w:num w:numId="20" w16cid:durableId="485318936">
    <w:abstractNumId w:val="21"/>
  </w:num>
  <w:num w:numId="21" w16cid:durableId="1445685896">
    <w:abstractNumId w:val="15"/>
  </w:num>
  <w:num w:numId="22" w16cid:durableId="1004551756">
    <w:abstractNumId w:val="10"/>
  </w:num>
  <w:num w:numId="23" w16cid:durableId="420181419">
    <w:abstractNumId w:val="3"/>
  </w:num>
  <w:num w:numId="24" w16cid:durableId="386875371">
    <w:abstractNumId w:val="2"/>
  </w:num>
  <w:num w:numId="25" w16cid:durableId="1487622950">
    <w:abstractNumId w:val="1"/>
  </w:num>
  <w:num w:numId="26" w16cid:durableId="135491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2A4B"/>
    <w:rsid w:val="00007D6C"/>
    <w:rsid w:val="00007DF1"/>
    <w:rsid w:val="00012FBC"/>
    <w:rsid w:val="00015E3D"/>
    <w:rsid w:val="00017BE1"/>
    <w:rsid w:val="0002785F"/>
    <w:rsid w:val="000319C5"/>
    <w:rsid w:val="000335C8"/>
    <w:rsid w:val="00036CBE"/>
    <w:rsid w:val="000411E5"/>
    <w:rsid w:val="00042924"/>
    <w:rsid w:val="00042C72"/>
    <w:rsid w:val="00047173"/>
    <w:rsid w:val="00051794"/>
    <w:rsid w:val="00051FDA"/>
    <w:rsid w:val="00053802"/>
    <w:rsid w:val="00074DD1"/>
    <w:rsid w:val="00076EF2"/>
    <w:rsid w:val="00086E68"/>
    <w:rsid w:val="00091019"/>
    <w:rsid w:val="000924B8"/>
    <w:rsid w:val="000925CB"/>
    <w:rsid w:val="000938A1"/>
    <w:rsid w:val="0009677A"/>
    <w:rsid w:val="000A0C00"/>
    <w:rsid w:val="000A4447"/>
    <w:rsid w:val="000A6FC5"/>
    <w:rsid w:val="000C4293"/>
    <w:rsid w:val="000C721D"/>
    <w:rsid w:val="000D1014"/>
    <w:rsid w:val="000D26F2"/>
    <w:rsid w:val="000E6F69"/>
    <w:rsid w:val="000E7B5C"/>
    <w:rsid w:val="00105028"/>
    <w:rsid w:val="001137C6"/>
    <w:rsid w:val="00113936"/>
    <w:rsid w:val="00113AB7"/>
    <w:rsid w:val="00131BBB"/>
    <w:rsid w:val="001408DE"/>
    <w:rsid w:val="00141549"/>
    <w:rsid w:val="00141C5C"/>
    <w:rsid w:val="00146E48"/>
    <w:rsid w:val="00153222"/>
    <w:rsid w:val="00186986"/>
    <w:rsid w:val="00191158"/>
    <w:rsid w:val="00192C93"/>
    <w:rsid w:val="00194A62"/>
    <w:rsid w:val="001A199D"/>
    <w:rsid w:val="001A2C95"/>
    <w:rsid w:val="001A3703"/>
    <w:rsid w:val="001A5E68"/>
    <w:rsid w:val="001B299F"/>
    <w:rsid w:val="001B400D"/>
    <w:rsid w:val="001B6DF0"/>
    <w:rsid w:val="001C007B"/>
    <w:rsid w:val="001C1735"/>
    <w:rsid w:val="001C18B1"/>
    <w:rsid w:val="001C4B22"/>
    <w:rsid w:val="001C4CC1"/>
    <w:rsid w:val="001C65A4"/>
    <w:rsid w:val="001D0BCD"/>
    <w:rsid w:val="001E1AE8"/>
    <w:rsid w:val="001F719A"/>
    <w:rsid w:val="002030D4"/>
    <w:rsid w:val="00211776"/>
    <w:rsid w:val="002160A7"/>
    <w:rsid w:val="00222489"/>
    <w:rsid w:val="0022399E"/>
    <w:rsid w:val="00235123"/>
    <w:rsid w:val="002359E1"/>
    <w:rsid w:val="002366B4"/>
    <w:rsid w:val="00237711"/>
    <w:rsid w:val="00251725"/>
    <w:rsid w:val="00254C9E"/>
    <w:rsid w:val="00257C4E"/>
    <w:rsid w:val="0026033E"/>
    <w:rsid w:val="0026174A"/>
    <w:rsid w:val="00264251"/>
    <w:rsid w:val="00264743"/>
    <w:rsid w:val="00270880"/>
    <w:rsid w:val="0027117E"/>
    <w:rsid w:val="00271398"/>
    <w:rsid w:val="00272CF0"/>
    <w:rsid w:val="00290AAB"/>
    <w:rsid w:val="00297C37"/>
    <w:rsid w:val="002A7031"/>
    <w:rsid w:val="002B0649"/>
    <w:rsid w:val="002B3748"/>
    <w:rsid w:val="002B4BF6"/>
    <w:rsid w:val="002B5F80"/>
    <w:rsid w:val="002C05B0"/>
    <w:rsid w:val="002D6219"/>
    <w:rsid w:val="002F0757"/>
    <w:rsid w:val="002F2A01"/>
    <w:rsid w:val="00305554"/>
    <w:rsid w:val="00305884"/>
    <w:rsid w:val="003178ED"/>
    <w:rsid w:val="0032209D"/>
    <w:rsid w:val="00325B14"/>
    <w:rsid w:val="00326E9C"/>
    <w:rsid w:val="00333D1E"/>
    <w:rsid w:val="00334538"/>
    <w:rsid w:val="0033462C"/>
    <w:rsid w:val="003353E9"/>
    <w:rsid w:val="00341049"/>
    <w:rsid w:val="0034148A"/>
    <w:rsid w:val="00341558"/>
    <w:rsid w:val="003449D2"/>
    <w:rsid w:val="00361691"/>
    <w:rsid w:val="00363AF7"/>
    <w:rsid w:val="00364E2E"/>
    <w:rsid w:val="00364EE8"/>
    <w:rsid w:val="00376A41"/>
    <w:rsid w:val="00376C69"/>
    <w:rsid w:val="00377D10"/>
    <w:rsid w:val="00377E67"/>
    <w:rsid w:val="00381F93"/>
    <w:rsid w:val="00383A50"/>
    <w:rsid w:val="00384CFD"/>
    <w:rsid w:val="00385F8F"/>
    <w:rsid w:val="0039325E"/>
    <w:rsid w:val="00394081"/>
    <w:rsid w:val="003A10B8"/>
    <w:rsid w:val="003A3B94"/>
    <w:rsid w:val="003A4655"/>
    <w:rsid w:val="003A555F"/>
    <w:rsid w:val="003A623D"/>
    <w:rsid w:val="003B5E20"/>
    <w:rsid w:val="003B665D"/>
    <w:rsid w:val="003B68FA"/>
    <w:rsid w:val="003C4DEC"/>
    <w:rsid w:val="003D5B06"/>
    <w:rsid w:val="003D64C9"/>
    <w:rsid w:val="003E0D23"/>
    <w:rsid w:val="003E2CC1"/>
    <w:rsid w:val="003E4418"/>
    <w:rsid w:val="003E6DD8"/>
    <w:rsid w:val="004076BD"/>
    <w:rsid w:val="00411EA2"/>
    <w:rsid w:val="00413E8E"/>
    <w:rsid w:val="00414FD1"/>
    <w:rsid w:val="00427C83"/>
    <w:rsid w:val="004328C0"/>
    <w:rsid w:val="00435504"/>
    <w:rsid w:val="0044585A"/>
    <w:rsid w:val="00447C3A"/>
    <w:rsid w:val="004564EE"/>
    <w:rsid w:val="00460234"/>
    <w:rsid w:val="00462C47"/>
    <w:rsid w:val="00466056"/>
    <w:rsid w:val="004819BC"/>
    <w:rsid w:val="0048283B"/>
    <w:rsid w:val="00482F9B"/>
    <w:rsid w:val="00490D0F"/>
    <w:rsid w:val="00497860"/>
    <w:rsid w:val="004A0DE6"/>
    <w:rsid w:val="004A42B4"/>
    <w:rsid w:val="004B171F"/>
    <w:rsid w:val="004B1937"/>
    <w:rsid w:val="004B3B75"/>
    <w:rsid w:val="004B62D9"/>
    <w:rsid w:val="004C205A"/>
    <w:rsid w:val="004C21F8"/>
    <w:rsid w:val="004D20C2"/>
    <w:rsid w:val="004E13A3"/>
    <w:rsid w:val="004E2A0E"/>
    <w:rsid w:val="004E7E65"/>
    <w:rsid w:val="004F19C6"/>
    <w:rsid w:val="0051005D"/>
    <w:rsid w:val="005202D4"/>
    <w:rsid w:val="005248D8"/>
    <w:rsid w:val="005348AD"/>
    <w:rsid w:val="005420D3"/>
    <w:rsid w:val="0054664C"/>
    <w:rsid w:val="00550B78"/>
    <w:rsid w:val="00573B59"/>
    <w:rsid w:val="00580711"/>
    <w:rsid w:val="005817B5"/>
    <w:rsid w:val="0058560A"/>
    <w:rsid w:val="005924FE"/>
    <w:rsid w:val="00596A43"/>
    <w:rsid w:val="005A0C14"/>
    <w:rsid w:val="005B56AC"/>
    <w:rsid w:val="005C2F8A"/>
    <w:rsid w:val="005C3DCA"/>
    <w:rsid w:val="005C7058"/>
    <w:rsid w:val="005D0717"/>
    <w:rsid w:val="005D071D"/>
    <w:rsid w:val="005D52B6"/>
    <w:rsid w:val="005D6EC2"/>
    <w:rsid w:val="005D7769"/>
    <w:rsid w:val="005D781B"/>
    <w:rsid w:val="005D7B7E"/>
    <w:rsid w:val="005E353D"/>
    <w:rsid w:val="005E6238"/>
    <w:rsid w:val="005E6D20"/>
    <w:rsid w:val="006145D1"/>
    <w:rsid w:val="00615DFD"/>
    <w:rsid w:val="006210E6"/>
    <w:rsid w:val="00625391"/>
    <w:rsid w:val="00633BA1"/>
    <w:rsid w:val="00643C60"/>
    <w:rsid w:val="00644A45"/>
    <w:rsid w:val="00647226"/>
    <w:rsid w:val="00657687"/>
    <w:rsid w:val="006651B2"/>
    <w:rsid w:val="006656DE"/>
    <w:rsid w:val="006749D4"/>
    <w:rsid w:val="006767A7"/>
    <w:rsid w:val="0068209D"/>
    <w:rsid w:val="0068258B"/>
    <w:rsid w:val="00691E44"/>
    <w:rsid w:val="00697222"/>
    <w:rsid w:val="006A0B1C"/>
    <w:rsid w:val="006A7FF1"/>
    <w:rsid w:val="006B12B3"/>
    <w:rsid w:val="006B4994"/>
    <w:rsid w:val="006D0E62"/>
    <w:rsid w:val="006D555D"/>
    <w:rsid w:val="006D5CCE"/>
    <w:rsid w:val="006D785E"/>
    <w:rsid w:val="006E32D9"/>
    <w:rsid w:val="006F0321"/>
    <w:rsid w:val="00701DF1"/>
    <w:rsid w:val="00702467"/>
    <w:rsid w:val="00702895"/>
    <w:rsid w:val="0071229A"/>
    <w:rsid w:val="00712CD1"/>
    <w:rsid w:val="00715543"/>
    <w:rsid w:val="0072539B"/>
    <w:rsid w:val="007277A8"/>
    <w:rsid w:val="00733FCD"/>
    <w:rsid w:val="00741B83"/>
    <w:rsid w:val="00742F2D"/>
    <w:rsid w:val="007443F3"/>
    <w:rsid w:val="007453FB"/>
    <w:rsid w:val="00752D76"/>
    <w:rsid w:val="00766DA0"/>
    <w:rsid w:val="0077056F"/>
    <w:rsid w:val="00773AD2"/>
    <w:rsid w:val="00781420"/>
    <w:rsid w:val="007846D6"/>
    <w:rsid w:val="00784901"/>
    <w:rsid w:val="007A66BD"/>
    <w:rsid w:val="007C176B"/>
    <w:rsid w:val="007D004D"/>
    <w:rsid w:val="007D0399"/>
    <w:rsid w:val="007E5D5D"/>
    <w:rsid w:val="007F012F"/>
    <w:rsid w:val="007F61EC"/>
    <w:rsid w:val="007F79EE"/>
    <w:rsid w:val="00820C23"/>
    <w:rsid w:val="00820D6B"/>
    <w:rsid w:val="00840338"/>
    <w:rsid w:val="008409DE"/>
    <w:rsid w:val="008419A6"/>
    <w:rsid w:val="008430BA"/>
    <w:rsid w:val="008500FB"/>
    <w:rsid w:val="00851BF1"/>
    <w:rsid w:val="008719E8"/>
    <w:rsid w:val="00875586"/>
    <w:rsid w:val="0087663A"/>
    <w:rsid w:val="008804CB"/>
    <w:rsid w:val="00883EA4"/>
    <w:rsid w:val="00884E9D"/>
    <w:rsid w:val="00887178"/>
    <w:rsid w:val="008924F0"/>
    <w:rsid w:val="00893771"/>
    <w:rsid w:val="008A165F"/>
    <w:rsid w:val="008A221D"/>
    <w:rsid w:val="008A698A"/>
    <w:rsid w:val="008B7403"/>
    <w:rsid w:val="008C27C3"/>
    <w:rsid w:val="008D1689"/>
    <w:rsid w:val="008D61ED"/>
    <w:rsid w:val="008D6F8C"/>
    <w:rsid w:val="008D744F"/>
    <w:rsid w:val="008E4152"/>
    <w:rsid w:val="008F0738"/>
    <w:rsid w:val="008F2F44"/>
    <w:rsid w:val="008F3435"/>
    <w:rsid w:val="008F43DF"/>
    <w:rsid w:val="00907E31"/>
    <w:rsid w:val="00913A27"/>
    <w:rsid w:val="00924C84"/>
    <w:rsid w:val="00933A6F"/>
    <w:rsid w:val="00935028"/>
    <w:rsid w:val="0093542A"/>
    <w:rsid w:val="009409C4"/>
    <w:rsid w:val="00942617"/>
    <w:rsid w:val="0094389A"/>
    <w:rsid w:val="00944494"/>
    <w:rsid w:val="009501B2"/>
    <w:rsid w:val="00951ABF"/>
    <w:rsid w:val="009539A8"/>
    <w:rsid w:val="0095441D"/>
    <w:rsid w:val="00960800"/>
    <w:rsid w:val="00961FD6"/>
    <w:rsid w:val="0096453F"/>
    <w:rsid w:val="0096736F"/>
    <w:rsid w:val="00990DB2"/>
    <w:rsid w:val="00993F06"/>
    <w:rsid w:val="00995211"/>
    <w:rsid w:val="009A66C9"/>
    <w:rsid w:val="009A7B24"/>
    <w:rsid w:val="009B4A68"/>
    <w:rsid w:val="009C165B"/>
    <w:rsid w:val="009C4719"/>
    <w:rsid w:val="009D0EDC"/>
    <w:rsid w:val="009E6BFF"/>
    <w:rsid w:val="009F0446"/>
    <w:rsid w:val="009F06EB"/>
    <w:rsid w:val="009F5E5D"/>
    <w:rsid w:val="00A00007"/>
    <w:rsid w:val="00A01B28"/>
    <w:rsid w:val="00A051B4"/>
    <w:rsid w:val="00A0781B"/>
    <w:rsid w:val="00A07E40"/>
    <w:rsid w:val="00A1184A"/>
    <w:rsid w:val="00A413F7"/>
    <w:rsid w:val="00A42A18"/>
    <w:rsid w:val="00A45C48"/>
    <w:rsid w:val="00A476E8"/>
    <w:rsid w:val="00A517E8"/>
    <w:rsid w:val="00A63132"/>
    <w:rsid w:val="00A708CD"/>
    <w:rsid w:val="00A9084B"/>
    <w:rsid w:val="00A939FE"/>
    <w:rsid w:val="00AA2D31"/>
    <w:rsid w:val="00AA3F82"/>
    <w:rsid w:val="00AA6813"/>
    <w:rsid w:val="00AC4E15"/>
    <w:rsid w:val="00AC5474"/>
    <w:rsid w:val="00AD4C06"/>
    <w:rsid w:val="00AE0D1F"/>
    <w:rsid w:val="00AE41B7"/>
    <w:rsid w:val="00AF1B71"/>
    <w:rsid w:val="00AF4918"/>
    <w:rsid w:val="00AF7FFC"/>
    <w:rsid w:val="00B02152"/>
    <w:rsid w:val="00B02BF1"/>
    <w:rsid w:val="00B02FA4"/>
    <w:rsid w:val="00B132B2"/>
    <w:rsid w:val="00B13515"/>
    <w:rsid w:val="00B139CF"/>
    <w:rsid w:val="00B17D05"/>
    <w:rsid w:val="00B24FCC"/>
    <w:rsid w:val="00B35A11"/>
    <w:rsid w:val="00B35A9A"/>
    <w:rsid w:val="00B410FE"/>
    <w:rsid w:val="00B44BC7"/>
    <w:rsid w:val="00B452DE"/>
    <w:rsid w:val="00B57157"/>
    <w:rsid w:val="00B64DE6"/>
    <w:rsid w:val="00B67664"/>
    <w:rsid w:val="00B7563D"/>
    <w:rsid w:val="00B763AB"/>
    <w:rsid w:val="00B80C73"/>
    <w:rsid w:val="00B91395"/>
    <w:rsid w:val="00BA11D1"/>
    <w:rsid w:val="00BA2768"/>
    <w:rsid w:val="00BB6338"/>
    <w:rsid w:val="00BC0228"/>
    <w:rsid w:val="00BC06A5"/>
    <w:rsid w:val="00BC4542"/>
    <w:rsid w:val="00BD4ADF"/>
    <w:rsid w:val="00BE1037"/>
    <w:rsid w:val="00BE2CC3"/>
    <w:rsid w:val="00BE4ADA"/>
    <w:rsid w:val="00BE4B9B"/>
    <w:rsid w:val="00BF1853"/>
    <w:rsid w:val="00C009C9"/>
    <w:rsid w:val="00C05E12"/>
    <w:rsid w:val="00C10ACB"/>
    <w:rsid w:val="00C16A74"/>
    <w:rsid w:val="00C234A4"/>
    <w:rsid w:val="00C3419E"/>
    <w:rsid w:val="00C34510"/>
    <w:rsid w:val="00C443A2"/>
    <w:rsid w:val="00C520DC"/>
    <w:rsid w:val="00C56B3D"/>
    <w:rsid w:val="00C62A9C"/>
    <w:rsid w:val="00C7191E"/>
    <w:rsid w:val="00C75797"/>
    <w:rsid w:val="00C77539"/>
    <w:rsid w:val="00C77B04"/>
    <w:rsid w:val="00C808E3"/>
    <w:rsid w:val="00C978D3"/>
    <w:rsid w:val="00CA30BB"/>
    <w:rsid w:val="00CA51E1"/>
    <w:rsid w:val="00CA7AF8"/>
    <w:rsid w:val="00CB393B"/>
    <w:rsid w:val="00CB5F3C"/>
    <w:rsid w:val="00CB6507"/>
    <w:rsid w:val="00CC00B6"/>
    <w:rsid w:val="00CC51B9"/>
    <w:rsid w:val="00CD2DFE"/>
    <w:rsid w:val="00CD540B"/>
    <w:rsid w:val="00CD6A65"/>
    <w:rsid w:val="00CE3D0D"/>
    <w:rsid w:val="00CF45CF"/>
    <w:rsid w:val="00CF5E16"/>
    <w:rsid w:val="00D04C05"/>
    <w:rsid w:val="00D2029A"/>
    <w:rsid w:val="00D3411B"/>
    <w:rsid w:val="00D35F36"/>
    <w:rsid w:val="00D37BAC"/>
    <w:rsid w:val="00D73BBC"/>
    <w:rsid w:val="00D7770D"/>
    <w:rsid w:val="00D8230C"/>
    <w:rsid w:val="00D8462C"/>
    <w:rsid w:val="00D93841"/>
    <w:rsid w:val="00D95B9B"/>
    <w:rsid w:val="00DA0968"/>
    <w:rsid w:val="00DB0532"/>
    <w:rsid w:val="00DB6BCE"/>
    <w:rsid w:val="00DB76D1"/>
    <w:rsid w:val="00DC6E79"/>
    <w:rsid w:val="00DD300E"/>
    <w:rsid w:val="00DD6682"/>
    <w:rsid w:val="00DF761A"/>
    <w:rsid w:val="00E04932"/>
    <w:rsid w:val="00E12104"/>
    <w:rsid w:val="00E2481E"/>
    <w:rsid w:val="00E25BBA"/>
    <w:rsid w:val="00E41CAB"/>
    <w:rsid w:val="00E432CE"/>
    <w:rsid w:val="00E476EF"/>
    <w:rsid w:val="00E7563C"/>
    <w:rsid w:val="00E83463"/>
    <w:rsid w:val="00E8476C"/>
    <w:rsid w:val="00E95DAE"/>
    <w:rsid w:val="00EA09A8"/>
    <w:rsid w:val="00EA6D94"/>
    <w:rsid w:val="00EB49C1"/>
    <w:rsid w:val="00EB5E96"/>
    <w:rsid w:val="00EC4005"/>
    <w:rsid w:val="00ED541A"/>
    <w:rsid w:val="00EF5593"/>
    <w:rsid w:val="00EF73D7"/>
    <w:rsid w:val="00EF7DCB"/>
    <w:rsid w:val="00F00558"/>
    <w:rsid w:val="00F049F5"/>
    <w:rsid w:val="00F147D8"/>
    <w:rsid w:val="00F27310"/>
    <w:rsid w:val="00F33B1A"/>
    <w:rsid w:val="00F37F32"/>
    <w:rsid w:val="00F415B7"/>
    <w:rsid w:val="00F41991"/>
    <w:rsid w:val="00F420F4"/>
    <w:rsid w:val="00F4411A"/>
    <w:rsid w:val="00F52DE4"/>
    <w:rsid w:val="00F557E3"/>
    <w:rsid w:val="00F62BBB"/>
    <w:rsid w:val="00F715B2"/>
    <w:rsid w:val="00F7240A"/>
    <w:rsid w:val="00F7539A"/>
    <w:rsid w:val="00F77F69"/>
    <w:rsid w:val="00F930EE"/>
    <w:rsid w:val="00F93305"/>
    <w:rsid w:val="00F937F6"/>
    <w:rsid w:val="00F96FC0"/>
    <w:rsid w:val="00FA04B7"/>
    <w:rsid w:val="00FA3287"/>
    <w:rsid w:val="00FB02DB"/>
    <w:rsid w:val="00FC6093"/>
    <w:rsid w:val="00FD2846"/>
    <w:rsid w:val="00FE4978"/>
    <w:rsid w:val="00FE5940"/>
    <w:rsid w:val="00FF1073"/>
    <w:rsid w:val="00FF39AE"/>
    <w:rsid w:val="00FF6C93"/>
    <w:rsid w:val="1D9C0B45"/>
    <w:rsid w:val="25A6CDB3"/>
    <w:rsid w:val="2EEC75C0"/>
    <w:rsid w:val="32816805"/>
    <w:rsid w:val="32A8D6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8FA6A1"/>
  <w15:docId w15:val="{1BFAD521-013D-47D3-986A-3F2D26B5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CC00B6"/>
  </w:style>
  <w:style w:type="paragraph" w:styleId="ListParagraph">
    <w:name w:val="List Paragraph"/>
    <w:basedOn w:val="Normal"/>
    <w:uiPriority w:val="34"/>
    <w:qFormat/>
    <w:rsid w:val="0095441D"/>
    <w:pPr>
      <w:ind w:left="720"/>
    </w:pPr>
    <w:rPr>
      <w:rFonts w:ascii="Calibri" w:eastAsia="Calibri" w:hAnsi="Calibri"/>
      <w:sz w:val="22"/>
      <w:szCs w:val="22"/>
    </w:rPr>
  </w:style>
  <w:style w:type="paragraph" w:customStyle="1" w:styleId="Default">
    <w:name w:val="Default"/>
    <w:basedOn w:val="Normal"/>
    <w:rsid w:val="0095441D"/>
    <w:pPr>
      <w:autoSpaceDE w:val="0"/>
      <w:autoSpaceDN w:val="0"/>
    </w:pPr>
    <w:rPr>
      <w:rFonts w:eastAsia="Calibri"/>
      <w:color w:val="000000"/>
    </w:rPr>
  </w:style>
  <w:style w:type="paragraph" w:styleId="FootnoteText">
    <w:name w:val="footnote text"/>
    <w:basedOn w:val="Normal"/>
    <w:link w:val="FootnoteTextChar"/>
    <w:rsid w:val="006D555D"/>
    <w:rPr>
      <w:sz w:val="20"/>
      <w:szCs w:val="20"/>
    </w:rPr>
  </w:style>
  <w:style w:type="character" w:customStyle="1" w:styleId="FootnoteTextChar">
    <w:name w:val="Footnote Text Char"/>
    <w:basedOn w:val="DefaultParagraphFont"/>
    <w:link w:val="FootnoteText"/>
    <w:rsid w:val="006D555D"/>
  </w:style>
  <w:style w:type="character" w:styleId="FootnoteReference">
    <w:name w:val="footnote reference"/>
    <w:basedOn w:val="DefaultParagraphFont"/>
    <w:rsid w:val="006D555D"/>
    <w:rPr>
      <w:vertAlign w:val="superscript"/>
    </w:rPr>
  </w:style>
  <w:style w:type="character" w:styleId="FollowedHyperlink">
    <w:name w:val="FollowedHyperlink"/>
    <w:basedOn w:val="DefaultParagraphFont"/>
    <w:rsid w:val="00AC4E15"/>
    <w:rPr>
      <w:color w:val="954F72" w:themeColor="followedHyperlink"/>
      <w:u w:val="single"/>
    </w:rPr>
  </w:style>
  <w:style w:type="paragraph" w:styleId="Revision">
    <w:name w:val="Revision"/>
    <w:hidden/>
    <w:uiPriority w:val="99"/>
    <w:semiHidden/>
    <w:rsid w:val="00A517E8"/>
    <w:rPr>
      <w:sz w:val="24"/>
      <w:szCs w:val="24"/>
    </w:rPr>
  </w:style>
  <w:style w:type="character" w:styleId="UnresolvedMention">
    <w:name w:val="Unresolved Mention"/>
    <w:basedOn w:val="DefaultParagraphFont"/>
    <w:uiPriority w:val="99"/>
    <w:semiHidden/>
    <w:unhideWhenUsed/>
    <w:rsid w:val="001A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naics3_517000.htm" TargetMode="External" /><Relationship Id="rId2" Type="http://schemas.openxmlformats.org/officeDocument/2006/relationships/hyperlink" Target="https://www.bls.gov/news.release/archives/ecec_03202018.pdf" TargetMode="External" /><Relationship Id="rId3" Type="http://schemas.openxmlformats.org/officeDocument/2006/relationships/hyperlink" Target="https://www.opm.gov/policy-data-oversight/pay-leave/salaries-wages/salary-tables/pdf/2023/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PRA-ECD-00001395</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tle xmlns="35ed0374-b151-4ae4-94a0-04f0fe2616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40" ma:contentTypeDescription="Create a new document." ma:contentTypeScope="" ma:versionID="2f8c9fe89a3a69e6194f0d60813fd3b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6a9589bfdff1f4283c56811365a6083d"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ATT Approval (30 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9B563036-04C0-4063-881F-A64E91B60FA6}">
  <ds:schemaRefs>
    <ds:schemaRef ds:uri="http://schemas.microsoft.com/office/2006/metadata/properties"/>
    <ds:schemaRef ds:uri="http://schemas.microsoft.com/office/infopath/2007/PartnerControls"/>
    <ds:schemaRef ds:uri="35ed0374-b151-4ae4-94a0-04f0fe261645"/>
  </ds:schemaRefs>
</ds:datastoreItem>
</file>

<file path=customXml/itemProps4.xml><?xml version="1.0" encoding="utf-8"?>
<ds:datastoreItem xmlns:ds="http://schemas.openxmlformats.org/officeDocument/2006/customXml" ds:itemID="{7A2A377F-B194-41E6-97C3-AEB232D04820}">
  <ds:schemaRefs>
    <ds:schemaRef ds:uri="http://schemas.openxmlformats.org/officeDocument/2006/bibliography"/>
  </ds:schemaRefs>
</ds:datastoreItem>
</file>

<file path=customXml/itemProps5.xml><?xml version="1.0" encoding="utf-8"?>
<ds:datastoreItem xmlns:ds="http://schemas.openxmlformats.org/officeDocument/2006/customXml" ds:itemID="{D10E9073-96E8-4350-9516-6CBDBF23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3552</Words>
  <Characters>21039</Characters>
  <Application>Microsoft Office Word</Application>
  <DocSecurity>0</DocSecurity>
  <Lines>175</Lines>
  <Paragraphs>49</Paragraphs>
  <ScaleCrop>false</ScaleCrop>
  <Company>FEMA</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TSP 2011_08-10-2011 (v3 knc clean)</dc:title>
  <dc:creator>fema user</dc:creator>
  <cp:lastModifiedBy>Thomsen, Benjamin</cp:lastModifiedBy>
  <cp:revision>13</cp:revision>
  <cp:lastPrinted>2011-05-17T12:55:00Z</cp:lastPrinted>
  <dcterms:created xsi:type="dcterms:W3CDTF">2023-02-27T22:36:00Z</dcterms:created>
  <dcterms:modified xsi:type="dcterms:W3CDTF">2023-11-02T14:27:00Z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a2eef23d-2e95-4428-9a3c-2526d95b164a_ActionId">
    <vt:lpwstr>c57882b1-e412-4c69-becb-29d16f85cd56</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2022-10-28T19:24:44Z</vt:lpwstr>
  </property>
  <property fmtid="{D5CDD505-2E9C-101B-9397-08002B2CF9AE}" pid="13" name="MSIP_Label_a2eef23d-2e95-4428-9a3c-2526d95b164a_SiteId">
    <vt:lpwstr>3ccde76c-946d-4a12-bb7a-fc9d0842354a</vt:lpwstr>
  </property>
  <property fmtid="{D5CDD505-2E9C-101B-9397-08002B2CF9AE}" pid="14" name="MSIP_Label_c968a81f-7ed4-4faa-9408-9652e001dd96_ActionId">
    <vt:lpwstr>b61a93d7-e5a2-43bd-a8b5-2f5b6ba9584a</vt:lpwstr>
  </property>
  <property fmtid="{D5CDD505-2E9C-101B-9397-08002B2CF9AE}" pid="15" name="MSIP_Label_c968a81f-7ed4-4faa-9408-9652e001dd96_ContentBits">
    <vt:lpwstr>0</vt:lpwstr>
  </property>
  <property fmtid="{D5CDD505-2E9C-101B-9397-08002B2CF9AE}" pid="16" name="MSIP_Label_c968a81f-7ed4-4faa-9408-9652e001dd96_Enabled">
    <vt:lpwstr>true</vt:lpwstr>
  </property>
  <property fmtid="{D5CDD505-2E9C-101B-9397-08002B2CF9AE}" pid="17" name="MSIP_Label_c968a81f-7ed4-4faa-9408-9652e001dd96_Method">
    <vt:lpwstr>Privileged</vt:lpwstr>
  </property>
  <property fmtid="{D5CDD505-2E9C-101B-9397-08002B2CF9AE}" pid="18" name="MSIP_Label_c968a81f-7ed4-4faa-9408-9652e001dd96_Name">
    <vt:lpwstr>Unrestricted</vt:lpwstr>
  </property>
  <property fmtid="{D5CDD505-2E9C-101B-9397-08002B2CF9AE}" pid="19" name="MSIP_Label_c968a81f-7ed4-4faa-9408-9652e001dd96_SetDate">
    <vt:lpwstr>2022-12-05T21:05:08Z</vt:lpwstr>
  </property>
  <property fmtid="{D5CDD505-2E9C-101B-9397-08002B2CF9AE}" pid="20" name="MSIP_Label_c968a81f-7ed4-4faa-9408-9652e001dd96_SiteId">
    <vt:lpwstr>b64da4ac-e800-4cfc-8931-e607f720a1b8</vt:lpwstr>
  </property>
  <property fmtid="{D5CDD505-2E9C-101B-9397-08002B2CF9AE}" pid="21" name="_dlc_DocId">
    <vt:lpwstr>5YJZXJV6V4SC-1276-888</vt:lpwstr>
  </property>
  <property fmtid="{D5CDD505-2E9C-101B-9397-08002B2CF9AE}" pid="22" name="_dlc_DocIdItemGuid">
    <vt:lpwstr>86d4d40e-f5c6-4213-85aa-ebd9216065dd</vt:lpwstr>
  </property>
  <property fmtid="{D5CDD505-2E9C-101B-9397-08002B2CF9AE}" pid="23" name="_dlc_DocIdUrl">
    <vt:lpwstr>http://sptapp.dhs.gov/ESTT/NPPD_CIO/_layouts/DocIdRedir.aspx?ID=5YJZXJV6V4SC-1276-888, 5YJZXJV6V4SC-1276-888</vt:lpwstr>
  </property>
</Properties>
</file>