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00AD381B" w14:paraId="0F1FA20B" w14:textId="6DFD1C5A">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Pr="001A0F1F" w:rsidR="001A0F1F">
        <w:rPr>
          <w:rFonts w:ascii="Times New Roman" w:hAnsi="Times New Roman"/>
          <w:szCs w:val="24"/>
        </w:rPr>
        <w:t xml:space="preserve">(04736) 1820-0624 </w:t>
      </w:r>
    </w:p>
    <w:p w:rsidR="00EA1767" w:rsidRPr="00AD381B" w:rsidP="006B4172" w14:paraId="4B9831D3" w14:textId="6CC07A3E">
      <w:pPr>
        <w:pStyle w:val="Header"/>
        <w:rPr>
          <w:rFonts w:ascii="Times New Roman" w:hAnsi="Times New Roman"/>
          <w:color w:val="FFFFFF" w:themeColor="background1"/>
          <w:szCs w:val="24"/>
        </w:rPr>
      </w:pPr>
      <w:r w:rsidRPr="00C875E8">
        <w:rPr>
          <w:rFonts w:ascii="Times New Roman" w:hAnsi="Times New Roman"/>
          <w:szCs w:val="24"/>
        </w:rPr>
        <w:t xml:space="preserve">Revised: </w:t>
      </w:r>
      <w:r w:rsidR="00B83189">
        <w:rPr>
          <w:rFonts w:ascii="Times New Roman" w:hAnsi="Times New Roman"/>
          <w:szCs w:val="24"/>
        </w:rPr>
        <w:t>8</w:t>
      </w:r>
      <w:r w:rsidRPr="00B83189" w:rsidR="00246722">
        <w:rPr>
          <w:rFonts w:ascii="Times New Roman" w:hAnsi="Times New Roman"/>
          <w:szCs w:val="24"/>
        </w:rPr>
        <w:t>/</w:t>
      </w:r>
      <w:r w:rsidR="00B83189">
        <w:rPr>
          <w:rFonts w:ascii="Times New Roman" w:hAnsi="Times New Roman"/>
          <w:szCs w:val="24"/>
        </w:rPr>
        <w:t>4</w:t>
      </w:r>
      <w:r w:rsidRPr="00B83189" w:rsidR="001A0F1F">
        <w:rPr>
          <w:rFonts w:ascii="Times New Roman" w:hAnsi="Times New Roman"/>
          <w:szCs w:val="24"/>
        </w:rPr>
        <w:t>/2023</w:t>
      </w:r>
    </w:p>
    <w:p w:rsidR="00043C32" w:rsidRPr="00AD381B" w:rsidP="00AD381B" w14:paraId="28BC3D7A" w14:textId="77777777">
      <w:pPr>
        <w:pStyle w:val="Heading1"/>
        <w:rPr>
          <w:sz w:val="24"/>
          <w:szCs w:val="24"/>
        </w:rPr>
      </w:pPr>
      <w:r w:rsidRPr="00AD381B">
        <w:rPr>
          <w:sz w:val="24"/>
          <w:szCs w:val="24"/>
        </w:rPr>
        <w:t>SUPPORTING STATEMENT</w:t>
      </w:r>
    </w:p>
    <w:p w:rsidR="00043C32" w:rsidRPr="00AD381B" w:rsidP="00AD381B" w14:paraId="588F3248" w14:textId="77777777">
      <w:pPr>
        <w:pStyle w:val="Heading1"/>
        <w:rPr>
          <w:sz w:val="24"/>
          <w:szCs w:val="24"/>
        </w:rPr>
      </w:pPr>
      <w:r w:rsidRPr="00AD381B">
        <w:rPr>
          <w:sz w:val="24"/>
          <w:szCs w:val="24"/>
        </w:rPr>
        <w:t>FOR PAPERWORK REDUCTION ACT SUBMISSION</w:t>
      </w:r>
    </w:p>
    <w:p w:rsidR="00043C32" w:rsidRPr="00AD381B" w:rsidP="00AD381B" w14:paraId="0888E082" w14:textId="77777777">
      <w:pPr>
        <w:tabs>
          <w:tab w:val="left" w:pos="0"/>
        </w:tabs>
        <w:suppressAutoHyphens/>
        <w:rPr>
          <w:rFonts w:ascii="Times New Roman" w:hAnsi="Times New Roman"/>
          <w:szCs w:val="24"/>
        </w:rPr>
      </w:pPr>
    </w:p>
    <w:p w:rsidR="00EA1767" w:rsidP="00AD381B" w14:paraId="0619815E" w14:textId="2E9C1168">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1A0F1F" w:rsidP="001A0F1F" w14:paraId="42956B3C" w14:textId="794364C2">
      <w:pPr>
        <w:pStyle w:val="ListParagraph"/>
        <w:suppressAutoHyphens/>
        <w:spacing w:line="240" w:lineRule="exact"/>
        <w:rPr>
          <w:rFonts w:ascii="Times New Roman" w:hAnsi="Times New Roman"/>
          <w:bCs/>
          <w:szCs w:val="24"/>
        </w:rPr>
      </w:pPr>
      <w:r w:rsidRPr="001A0F1F">
        <w:rPr>
          <w:rFonts w:ascii="Times New Roman" w:hAnsi="Times New Roman"/>
          <w:bCs/>
          <w:szCs w:val="24"/>
        </w:rPr>
        <w:t xml:space="preserve">This is a request for review and approval of a revision of the approved Part B State Performance Plan (Part B SPP) and Annual Performance Report (Part B APR) [Information Collection 1820-0624 / Expiration Date: </w:t>
      </w:r>
      <w:r w:rsidR="008D0E07">
        <w:rPr>
          <w:rFonts w:ascii="Times New Roman" w:hAnsi="Times New Roman"/>
          <w:bCs/>
          <w:szCs w:val="24"/>
        </w:rPr>
        <w:t>10</w:t>
      </w:r>
      <w:r w:rsidRPr="001A0F1F">
        <w:rPr>
          <w:rFonts w:ascii="Times New Roman" w:hAnsi="Times New Roman"/>
          <w:bCs/>
          <w:szCs w:val="24"/>
        </w:rPr>
        <w:t>/31/2</w:t>
      </w:r>
      <w:r w:rsidR="008D0E07">
        <w:rPr>
          <w:rFonts w:ascii="Times New Roman" w:hAnsi="Times New Roman"/>
          <w:bCs/>
          <w:szCs w:val="24"/>
        </w:rPr>
        <w:t>3</w:t>
      </w:r>
      <w:r w:rsidRPr="001A0F1F">
        <w:rPr>
          <w:rFonts w:ascii="Times New Roman" w:hAnsi="Times New Roman"/>
          <w:bCs/>
          <w:szCs w:val="24"/>
        </w:rPr>
        <w:t xml:space="preserve">].  In accordance with 20 U.S.C. 1416(b)(1)(A), not later than one year after the date of enactment of the Individuals with Disabilities Education Act (IDEA) Improvement Act of 2004, each State was required to have in place a Part B SPP that evaluated the State’s efforts to implement the requirements and purposes of </w:t>
      </w:r>
      <w:r w:rsidR="009E5E84">
        <w:rPr>
          <w:rFonts w:ascii="Times New Roman" w:hAnsi="Times New Roman"/>
          <w:bCs/>
          <w:szCs w:val="24"/>
        </w:rPr>
        <w:t xml:space="preserve">IDEA </w:t>
      </w:r>
      <w:r w:rsidRPr="001A0F1F">
        <w:rPr>
          <w:rFonts w:ascii="Times New Roman" w:hAnsi="Times New Roman"/>
          <w:bCs/>
          <w:szCs w:val="24"/>
        </w:rPr>
        <w:t>Part B and described how the State would improve such implementation.  IDEA section 616(b)(1)(C) requires each State to review its SPP at least once every six years.  In accordance with 20 U.S.C. 1416(b)(2)(C)(ii), each State must report annually to the public on the performance of each local educational agency located in the State on the targets in the State’s performance plan.  The State also must annually submit a Part B APR to the Secretary on the performance of the State under the State’s performance plan. Information Collection 1820-0624 corresponds to</w:t>
      </w:r>
      <w:r w:rsidR="00AD742A">
        <w:rPr>
          <w:rFonts w:ascii="Times New Roman" w:hAnsi="Times New Roman"/>
          <w:bCs/>
          <w:szCs w:val="24"/>
        </w:rPr>
        <w:t xml:space="preserve"> the reporting requirements that the Office of Special Education Programs (OSEP) has identified under the monitoring priorities in 20 U</w:t>
      </w:r>
      <w:r w:rsidR="00164BE4">
        <w:rPr>
          <w:rFonts w:ascii="Times New Roman" w:hAnsi="Times New Roman"/>
          <w:bCs/>
          <w:szCs w:val="24"/>
        </w:rPr>
        <w:t>.</w:t>
      </w:r>
      <w:r w:rsidR="00AD742A">
        <w:rPr>
          <w:rFonts w:ascii="Times New Roman" w:hAnsi="Times New Roman"/>
          <w:bCs/>
          <w:szCs w:val="24"/>
        </w:rPr>
        <w:t>S</w:t>
      </w:r>
      <w:r w:rsidR="00164BE4">
        <w:rPr>
          <w:rFonts w:ascii="Times New Roman" w:hAnsi="Times New Roman"/>
          <w:bCs/>
          <w:szCs w:val="24"/>
        </w:rPr>
        <w:t>.</w:t>
      </w:r>
      <w:r w:rsidR="00AD742A">
        <w:rPr>
          <w:rFonts w:ascii="Times New Roman" w:hAnsi="Times New Roman"/>
          <w:bCs/>
          <w:szCs w:val="24"/>
        </w:rPr>
        <w:t>C</w:t>
      </w:r>
      <w:r w:rsidR="00164BE4">
        <w:rPr>
          <w:rFonts w:ascii="Times New Roman" w:hAnsi="Times New Roman"/>
          <w:bCs/>
          <w:szCs w:val="24"/>
        </w:rPr>
        <w:t>.</w:t>
      </w:r>
      <w:r w:rsidR="00AD742A">
        <w:rPr>
          <w:rFonts w:ascii="Times New Roman" w:hAnsi="Times New Roman"/>
          <w:bCs/>
          <w:szCs w:val="24"/>
        </w:rPr>
        <w:t xml:space="preserve"> 1416(a)(3) and</w:t>
      </w:r>
      <w:r w:rsidRPr="001A0F1F">
        <w:rPr>
          <w:rFonts w:ascii="Times New Roman" w:hAnsi="Times New Roman"/>
          <w:bCs/>
          <w:szCs w:val="24"/>
        </w:rPr>
        <w:t xml:space="preserve"> 34 CFR §300.600</w:t>
      </w:r>
      <w:r w:rsidR="00164BE4">
        <w:rPr>
          <w:rFonts w:ascii="Times New Roman" w:hAnsi="Times New Roman"/>
          <w:bCs/>
          <w:szCs w:val="24"/>
        </w:rPr>
        <w:t>(d)</w:t>
      </w:r>
      <w:r w:rsidRPr="001A0F1F">
        <w:rPr>
          <w:rFonts w:ascii="Times New Roman" w:hAnsi="Times New Roman"/>
          <w:bCs/>
          <w:szCs w:val="24"/>
        </w:rPr>
        <w:t xml:space="preserve">.  </w:t>
      </w:r>
    </w:p>
    <w:p w:rsidR="001A0F1F" w:rsidP="001A0F1F" w14:paraId="793FB0A3" w14:textId="602D0D0E">
      <w:pPr>
        <w:pStyle w:val="ListParagraph"/>
        <w:suppressAutoHyphens/>
        <w:spacing w:line="240" w:lineRule="exact"/>
        <w:rPr>
          <w:rFonts w:ascii="Times New Roman" w:hAnsi="Times New Roman"/>
          <w:bCs/>
          <w:szCs w:val="24"/>
        </w:rPr>
      </w:pPr>
      <w:r w:rsidRPr="001A0F1F">
        <w:rPr>
          <w:rFonts w:ascii="Times New Roman" w:hAnsi="Times New Roman"/>
          <w:bCs/>
          <w:szCs w:val="24"/>
        </w:rPr>
        <w:t>This collection is conducted in a manner that is consistent with the guidelines in 5 CFR 1320.5.</w:t>
      </w:r>
    </w:p>
    <w:p w:rsidR="009E13E8" w:rsidRPr="001A0F1F" w:rsidP="001A0F1F" w14:paraId="3B5AC627" w14:textId="77777777">
      <w:pPr>
        <w:pStyle w:val="ListParagraph"/>
        <w:suppressAutoHyphens/>
        <w:spacing w:line="240" w:lineRule="exact"/>
        <w:rPr>
          <w:rFonts w:ascii="Times New Roman" w:hAnsi="Times New Roman"/>
          <w:bCs/>
          <w:szCs w:val="24"/>
        </w:rPr>
      </w:pPr>
    </w:p>
    <w:p w:rsidR="001A0F1F" w:rsidP="001A0F1F" w14:paraId="1B68673C" w14:textId="054C3F18">
      <w:pPr>
        <w:pStyle w:val="ListParagraph"/>
        <w:suppressAutoHyphens/>
        <w:spacing w:line="240" w:lineRule="exact"/>
        <w:rPr>
          <w:rFonts w:ascii="Times New Roman" w:hAnsi="Times New Roman"/>
          <w:bCs/>
          <w:szCs w:val="24"/>
        </w:rPr>
      </w:pPr>
      <w:r>
        <w:rPr>
          <w:rFonts w:ascii="Times New Roman" w:hAnsi="Times New Roman"/>
          <w:bCs/>
          <w:szCs w:val="24"/>
        </w:rPr>
        <w:t>In December 2005, e</w:t>
      </w:r>
      <w:r w:rsidRPr="001A0F1F">
        <w:rPr>
          <w:rFonts w:ascii="Times New Roman" w:hAnsi="Times New Roman"/>
          <w:bCs/>
          <w:szCs w:val="24"/>
        </w:rPr>
        <w:t xml:space="preserve">ach State submitted its </w:t>
      </w:r>
      <w:r w:rsidR="000D4FD7">
        <w:rPr>
          <w:rFonts w:ascii="Times New Roman" w:hAnsi="Times New Roman"/>
          <w:bCs/>
          <w:szCs w:val="24"/>
        </w:rPr>
        <w:t xml:space="preserve">first six-year </w:t>
      </w:r>
      <w:r w:rsidRPr="001A0F1F">
        <w:rPr>
          <w:rFonts w:ascii="Times New Roman" w:hAnsi="Times New Roman"/>
          <w:bCs/>
          <w:szCs w:val="24"/>
        </w:rPr>
        <w:t xml:space="preserve">SPP, including targets </w:t>
      </w:r>
      <w:r w:rsidR="000D4FD7">
        <w:rPr>
          <w:rFonts w:ascii="Times New Roman" w:hAnsi="Times New Roman"/>
          <w:bCs/>
          <w:szCs w:val="24"/>
        </w:rPr>
        <w:t xml:space="preserve">for FFY 2005 </w:t>
      </w:r>
      <w:r w:rsidRPr="001A0F1F">
        <w:rPr>
          <w:rFonts w:ascii="Times New Roman" w:hAnsi="Times New Roman"/>
          <w:bCs/>
          <w:szCs w:val="24"/>
        </w:rPr>
        <w:t xml:space="preserve">through FFY 2010.  In 2011, to meet the requirement set forth in IDEA section 616(b)(1)(C) that the State review its SPP every six years, and in the absence of IDEA reauthorization, the </w:t>
      </w:r>
      <w:r w:rsidR="00684902">
        <w:rPr>
          <w:rFonts w:ascii="Times New Roman" w:hAnsi="Times New Roman"/>
          <w:bCs/>
          <w:szCs w:val="24"/>
        </w:rPr>
        <w:t xml:space="preserve">U.S. </w:t>
      </w:r>
      <w:r w:rsidRPr="001A0F1F">
        <w:rPr>
          <w:rFonts w:ascii="Times New Roman" w:hAnsi="Times New Roman"/>
          <w:bCs/>
          <w:szCs w:val="24"/>
        </w:rPr>
        <w:t>Department of Education (the Department) proposed to make no major changes to the SPP (i.e., significant revisions to indicators) and allowed States to extend their targets and improvement activities</w:t>
      </w:r>
      <w:r w:rsidR="00684902">
        <w:rPr>
          <w:rFonts w:ascii="Times New Roman" w:hAnsi="Times New Roman"/>
          <w:bCs/>
          <w:szCs w:val="24"/>
        </w:rPr>
        <w:t xml:space="preserve"> for FFY 2011</w:t>
      </w:r>
      <w:r w:rsidRPr="001A0F1F">
        <w:rPr>
          <w:rFonts w:ascii="Times New Roman" w:hAnsi="Times New Roman"/>
          <w:bCs/>
          <w:szCs w:val="24"/>
        </w:rPr>
        <w:t xml:space="preserve"> through FFY 2012.  The </w:t>
      </w:r>
      <w:r w:rsidR="00D7012F">
        <w:rPr>
          <w:rFonts w:ascii="Times New Roman" w:hAnsi="Times New Roman"/>
          <w:bCs/>
          <w:szCs w:val="24"/>
        </w:rPr>
        <w:t xml:space="preserve">SPP/APR information </w:t>
      </w:r>
      <w:r w:rsidRPr="001A0F1F">
        <w:rPr>
          <w:rFonts w:ascii="Times New Roman" w:hAnsi="Times New Roman"/>
          <w:bCs/>
          <w:szCs w:val="24"/>
        </w:rPr>
        <w:t>collection was revised in 2012</w:t>
      </w:r>
      <w:r w:rsidR="00D7012F">
        <w:rPr>
          <w:rFonts w:ascii="Times New Roman" w:hAnsi="Times New Roman"/>
          <w:bCs/>
          <w:szCs w:val="24"/>
        </w:rPr>
        <w:t xml:space="preserve"> for the second </w:t>
      </w:r>
      <w:r w:rsidR="00921BF3">
        <w:rPr>
          <w:rFonts w:ascii="Times New Roman" w:hAnsi="Times New Roman"/>
          <w:bCs/>
          <w:szCs w:val="24"/>
        </w:rPr>
        <w:t>six-year SPP covering FFY 2013 through FFY 2018. The SPP/APR information collection was revised in</w:t>
      </w:r>
      <w:r w:rsidRPr="001A0F1F">
        <w:rPr>
          <w:rFonts w:ascii="Times New Roman" w:hAnsi="Times New Roman"/>
          <w:bCs/>
          <w:szCs w:val="24"/>
        </w:rPr>
        <w:t xml:space="preserve"> 2014 and 2017</w:t>
      </w:r>
      <w:r w:rsidR="009F15F8">
        <w:rPr>
          <w:rFonts w:ascii="Times New Roman" w:hAnsi="Times New Roman"/>
          <w:bCs/>
          <w:szCs w:val="24"/>
        </w:rPr>
        <w:t xml:space="preserve"> to streamline data reporting,</w:t>
      </w:r>
      <w:r w:rsidR="00691D6C">
        <w:rPr>
          <w:rFonts w:ascii="Times New Roman" w:hAnsi="Times New Roman"/>
          <w:bCs/>
          <w:szCs w:val="24"/>
        </w:rPr>
        <w:t xml:space="preserve"> reduce</w:t>
      </w:r>
      <w:r w:rsidRPr="001A0F1F">
        <w:rPr>
          <w:rFonts w:ascii="Times New Roman" w:hAnsi="Times New Roman"/>
          <w:bCs/>
          <w:szCs w:val="24"/>
        </w:rPr>
        <w:t xml:space="preserve"> burden</w:t>
      </w:r>
      <w:r w:rsidR="009F15F8">
        <w:rPr>
          <w:rFonts w:ascii="Times New Roman" w:hAnsi="Times New Roman"/>
          <w:bCs/>
          <w:szCs w:val="24"/>
        </w:rPr>
        <w:t>, and align with changes to the Elementary and Secondary Education Act of 1965</w:t>
      </w:r>
      <w:r w:rsidRPr="001A0F1F">
        <w:rPr>
          <w:rFonts w:ascii="Times New Roman" w:hAnsi="Times New Roman"/>
          <w:bCs/>
          <w:szCs w:val="24"/>
        </w:rPr>
        <w:t xml:space="preserve">.  States submitted a </w:t>
      </w:r>
      <w:r w:rsidR="005F7214">
        <w:rPr>
          <w:rFonts w:ascii="Times New Roman" w:hAnsi="Times New Roman"/>
          <w:bCs/>
          <w:szCs w:val="24"/>
        </w:rPr>
        <w:t>second</w:t>
      </w:r>
      <w:r w:rsidRPr="001A0F1F">
        <w:rPr>
          <w:rFonts w:ascii="Times New Roman" w:hAnsi="Times New Roman"/>
          <w:bCs/>
          <w:szCs w:val="24"/>
        </w:rPr>
        <w:t xml:space="preserve"> </w:t>
      </w:r>
      <w:r w:rsidR="00DF45CC">
        <w:rPr>
          <w:rFonts w:ascii="Times New Roman" w:hAnsi="Times New Roman"/>
          <w:bCs/>
          <w:szCs w:val="24"/>
        </w:rPr>
        <w:t>six</w:t>
      </w:r>
      <w:r w:rsidRPr="001A0F1F">
        <w:rPr>
          <w:rFonts w:ascii="Times New Roman" w:hAnsi="Times New Roman"/>
          <w:bCs/>
          <w:szCs w:val="24"/>
        </w:rPr>
        <w:t>-year SPP in 2015, covering FFY 2013 through FFY 2018</w:t>
      </w:r>
      <w:r w:rsidR="00E45C6F">
        <w:rPr>
          <w:rFonts w:ascii="Times New Roman" w:hAnsi="Times New Roman"/>
          <w:bCs/>
          <w:szCs w:val="24"/>
        </w:rPr>
        <w:t>, and</w:t>
      </w:r>
      <w:r w:rsidR="00397670">
        <w:rPr>
          <w:rFonts w:ascii="Times New Roman" w:hAnsi="Times New Roman"/>
          <w:bCs/>
          <w:szCs w:val="24"/>
        </w:rPr>
        <w:t xml:space="preserve"> the Department allowed </w:t>
      </w:r>
      <w:r w:rsidR="00DF45CC">
        <w:rPr>
          <w:rFonts w:ascii="Times New Roman" w:hAnsi="Times New Roman"/>
          <w:bCs/>
          <w:szCs w:val="24"/>
        </w:rPr>
        <w:t>States to extend targets through FFY 20</w:t>
      </w:r>
      <w:r w:rsidR="009F1CC2">
        <w:rPr>
          <w:rFonts w:ascii="Times New Roman" w:hAnsi="Times New Roman"/>
          <w:bCs/>
          <w:szCs w:val="24"/>
        </w:rPr>
        <w:t>19</w:t>
      </w:r>
      <w:r w:rsidR="00DF45CC">
        <w:rPr>
          <w:rFonts w:ascii="Times New Roman" w:hAnsi="Times New Roman"/>
          <w:bCs/>
          <w:szCs w:val="24"/>
        </w:rPr>
        <w:t xml:space="preserve">. </w:t>
      </w:r>
      <w:r w:rsidR="00017F30">
        <w:rPr>
          <w:rFonts w:ascii="Times New Roman" w:hAnsi="Times New Roman"/>
          <w:bCs/>
          <w:szCs w:val="24"/>
        </w:rPr>
        <w:t xml:space="preserve">The SPP/APR information collection was </w:t>
      </w:r>
      <w:r w:rsidR="00FD73DC">
        <w:rPr>
          <w:rFonts w:ascii="Times New Roman" w:hAnsi="Times New Roman"/>
          <w:bCs/>
          <w:szCs w:val="24"/>
        </w:rPr>
        <w:t xml:space="preserve">further </w:t>
      </w:r>
      <w:r w:rsidR="00017F30">
        <w:rPr>
          <w:rFonts w:ascii="Times New Roman" w:hAnsi="Times New Roman"/>
          <w:bCs/>
          <w:szCs w:val="24"/>
        </w:rPr>
        <w:t xml:space="preserve">revised in 2020 </w:t>
      </w:r>
      <w:r w:rsidR="00456A97">
        <w:rPr>
          <w:rFonts w:ascii="Times New Roman" w:hAnsi="Times New Roman"/>
          <w:bCs/>
          <w:szCs w:val="24"/>
        </w:rPr>
        <w:t xml:space="preserve">for the third six-year SPP covering FFY 2020 through FFY 2025, and </w:t>
      </w:r>
      <w:r w:rsidR="00DF45CC">
        <w:rPr>
          <w:rFonts w:ascii="Times New Roman" w:hAnsi="Times New Roman"/>
          <w:bCs/>
          <w:szCs w:val="24"/>
        </w:rPr>
        <w:t xml:space="preserve">States submitted </w:t>
      </w:r>
      <w:r w:rsidR="005F7214">
        <w:rPr>
          <w:rFonts w:ascii="Times New Roman" w:hAnsi="Times New Roman"/>
          <w:bCs/>
          <w:szCs w:val="24"/>
        </w:rPr>
        <w:t>the third and current</w:t>
      </w:r>
      <w:r w:rsidR="00DF45CC">
        <w:rPr>
          <w:rFonts w:ascii="Times New Roman" w:hAnsi="Times New Roman"/>
          <w:bCs/>
          <w:szCs w:val="24"/>
        </w:rPr>
        <w:t xml:space="preserve"> six-year</w:t>
      </w:r>
      <w:r w:rsidR="00E45C6F">
        <w:rPr>
          <w:rFonts w:ascii="Times New Roman" w:hAnsi="Times New Roman"/>
          <w:bCs/>
          <w:szCs w:val="24"/>
        </w:rPr>
        <w:t xml:space="preserve"> </w:t>
      </w:r>
      <w:r w:rsidR="005F7214">
        <w:rPr>
          <w:rFonts w:ascii="Times New Roman" w:hAnsi="Times New Roman"/>
          <w:bCs/>
          <w:szCs w:val="24"/>
        </w:rPr>
        <w:t xml:space="preserve">SPP </w:t>
      </w:r>
      <w:r w:rsidR="00E45C6F">
        <w:rPr>
          <w:rFonts w:ascii="Times New Roman" w:hAnsi="Times New Roman"/>
          <w:bCs/>
          <w:szCs w:val="24"/>
        </w:rPr>
        <w:t>in 2022</w:t>
      </w:r>
      <w:r w:rsidR="009F1CC2">
        <w:rPr>
          <w:rFonts w:ascii="Times New Roman" w:hAnsi="Times New Roman"/>
          <w:bCs/>
          <w:szCs w:val="24"/>
        </w:rPr>
        <w:t>,</w:t>
      </w:r>
      <w:r w:rsidR="00E45C6F">
        <w:rPr>
          <w:rFonts w:ascii="Times New Roman" w:hAnsi="Times New Roman"/>
          <w:bCs/>
          <w:szCs w:val="24"/>
        </w:rPr>
        <w:t xml:space="preserve"> covering FFY 2020 through FFY 2025. </w:t>
      </w:r>
    </w:p>
    <w:p w:rsidR="009E13E8" w:rsidRPr="001A0F1F" w:rsidP="001A0F1F" w14:paraId="23603122" w14:textId="77777777">
      <w:pPr>
        <w:pStyle w:val="ListParagraph"/>
        <w:suppressAutoHyphens/>
        <w:spacing w:line="240" w:lineRule="exact"/>
        <w:rPr>
          <w:rFonts w:ascii="Times New Roman" w:hAnsi="Times New Roman"/>
          <w:bCs/>
          <w:szCs w:val="24"/>
        </w:rPr>
      </w:pPr>
    </w:p>
    <w:p w:rsidR="009E13E8" w:rsidP="001A0F1F" w14:paraId="22F66AD5" w14:textId="460DC22B">
      <w:pPr>
        <w:pStyle w:val="ListParagraph"/>
        <w:suppressAutoHyphens/>
        <w:spacing w:line="240" w:lineRule="exact"/>
        <w:contextualSpacing w:val="0"/>
        <w:rPr>
          <w:rFonts w:ascii="Times New Roman" w:hAnsi="Times New Roman"/>
          <w:bCs/>
          <w:szCs w:val="24"/>
        </w:rPr>
      </w:pPr>
      <w:r w:rsidRPr="001A0F1F">
        <w:rPr>
          <w:rFonts w:ascii="Times New Roman" w:hAnsi="Times New Roman"/>
          <w:bCs/>
          <w:szCs w:val="24"/>
        </w:rPr>
        <w:t xml:space="preserve">With this request, the Department is proposing to make </w:t>
      </w:r>
      <w:r>
        <w:rPr>
          <w:rFonts w:ascii="Times New Roman" w:hAnsi="Times New Roman"/>
          <w:bCs/>
          <w:szCs w:val="24"/>
        </w:rPr>
        <w:t xml:space="preserve">two </w:t>
      </w:r>
      <w:r w:rsidRPr="001A0F1F">
        <w:rPr>
          <w:rFonts w:ascii="Times New Roman" w:hAnsi="Times New Roman"/>
          <w:bCs/>
          <w:szCs w:val="24"/>
        </w:rPr>
        <w:t>revisions to the approved information collection</w:t>
      </w:r>
      <w:r w:rsidR="00EF1A5F">
        <w:rPr>
          <w:rFonts w:ascii="Times New Roman" w:hAnsi="Times New Roman"/>
          <w:bCs/>
          <w:szCs w:val="24"/>
        </w:rPr>
        <w:t xml:space="preserve"> for the </w:t>
      </w:r>
      <w:r w:rsidR="00587E5E">
        <w:rPr>
          <w:rFonts w:ascii="Times New Roman" w:hAnsi="Times New Roman"/>
          <w:bCs/>
          <w:szCs w:val="24"/>
        </w:rPr>
        <w:t>FFY 20</w:t>
      </w:r>
      <w:r w:rsidR="00384B24">
        <w:rPr>
          <w:rFonts w:ascii="Times New Roman" w:hAnsi="Times New Roman"/>
          <w:bCs/>
          <w:szCs w:val="24"/>
        </w:rPr>
        <w:t>2</w:t>
      </w:r>
      <w:r w:rsidR="00587E5E">
        <w:rPr>
          <w:rFonts w:ascii="Times New Roman" w:hAnsi="Times New Roman"/>
          <w:bCs/>
          <w:szCs w:val="24"/>
        </w:rPr>
        <w:t>3,</w:t>
      </w:r>
      <w:r w:rsidR="00CC51E3">
        <w:rPr>
          <w:rFonts w:ascii="Times New Roman" w:hAnsi="Times New Roman"/>
          <w:bCs/>
          <w:szCs w:val="24"/>
        </w:rPr>
        <w:t xml:space="preserve"> </w:t>
      </w:r>
      <w:r w:rsidR="00EF1A5F">
        <w:rPr>
          <w:rFonts w:ascii="Times New Roman" w:hAnsi="Times New Roman"/>
          <w:bCs/>
          <w:szCs w:val="24"/>
        </w:rPr>
        <w:t>FFY 2024</w:t>
      </w:r>
      <w:r w:rsidR="00CC51E3">
        <w:rPr>
          <w:rFonts w:ascii="Times New Roman" w:hAnsi="Times New Roman"/>
          <w:bCs/>
          <w:szCs w:val="24"/>
        </w:rPr>
        <w:t>,</w:t>
      </w:r>
      <w:r w:rsidR="00EF1A5F">
        <w:rPr>
          <w:rFonts w:ascii="Times New Roman" w:hAnsi="Times New Roman"/>
          <w:bCs/>
          <w:szCs w:val="24"/>
        </w:rPr>
        <w:t xml:space="preserve"> and FFY 2025 SPP/APRs</w:t>
      </w:r>
      <w:r>
        <w:rPr>
          <w:rFonts w:ascii="Times New Roman" w:hAnsi="Times New Roman"/>
          <w:bCs/>
          <w:szCs w:val="24"/>
        </w:rPr>
        <w:t xml:space="preserve">: (1) </w:t>
      </w:r>
      <w:r w:rsidRPr="000C67A3">
        <w:rPr>
          <w:rFonts w:ascii="Times New Roman" w:hAnsi="Times New Roman"/>
          <w:bCs/>
          <w:szCs w:val="24"/>
        </w:rPr>
        <w:t>adding a separate general supervision indicator and</w:t>
      </w:r>
      <w:r w:rsidRPr="000C67A3" w:rsidR="00BE2E08">
        <w:rPr>
          <w:rFonts w:ascii="Times New Roman" w:hAnsi="Times New Roman"/>
          <w:bCs/>
          <w:szCs w:val="24"/>
        </w:rPr>
        <w:t xml:space="preserve"> continuing the</w:t>
      </w:r>
      <w:r w:rsidRPr="000C67A3">
        <w:rPr>
          <w:rFonts w:ascii="Times New Roman" w:hAnsi="Times New Roman"/>
          <w:bCs/>
          <w:szCs w:val="24"/>
        </w:rPr>
        <w:t xml:space="preserve"> requirement to </w:t>
      </w:r>
      <w:r w:rsidRPr="000C67A3" w:rsidR="00BE2E08">
        <w:rPr>
          <w:rFonts w:ascii="Times New Roman" w:hAnsi="Times New Roman"/>
          <w:bCs/>
          <w:szCs w:val="24"/>
        </w:rPr>
        <w:t>report</w:t>
      </w:r>
      <w:r w:rsidRPr="000C67A3">
        <w:rPr>
          <w:rFonts w:ascii="Times New Roman" w:hAnsi="Times New Roman"/>
          <w:bCs/>
          <w:szCs w:val="24"/>
        </w:rPr>
        <w:t xml:space="preserve"> on the </w:t>
      </w:r>
      <w:r w:rsidR="00337347">
        <w:rPr>
          <w:rFonts w:ascii="Times New Roman" w:hAnsi="Times New Roman"/>
          <w:bCs/>
          <w:szCs w:val="24"/>
        </w:rPr>
        <w:t xml:space="preserve">identification and </w:t>
      </w:r>
      <w:r w:rsidRPr="000C67A3">
        <w:rPr>
          <w:rFonts w:ascii="Times New Roman" w:hAnsi="Times New Roman"/>
          <w:bCs/>
          <w:szCs w:val="24"/>
        </w:rPr>
        <w:t xml:space="preserve">correction of findings of </w:t>
      </w:r>
      <w:r w:rsidR="00337347">
        <w:rPr>
          <w:rFonts w:ascii="Times New Roman" w:hAnsi="Times New Roman"/>
          <w:bCs/>
          <w:szCs w:val="24"/>
        </w:rPr>
        <w:t xml:space="preserve">all </w:t>
      </w:r>
      <w:r w:rsidRPr="000C67A3">
        <w:rPr>
          <w:rFonts w:ascii="Times New Roman" w:hAnsi="Times New Roman"/>
          <w:bCs/>
          <w:szCs w:val="24"/>
        </w:rPr>
        <w:t>noncompliance related to SPP/APR compliance indicators</w:t>
      </w:r>
      <w:r>
        <w:rPr>
          <w:rFonts w:ascii="Times New Roman" w:hAnsi="Times New Roman"/>
          <w:bCs/>
          <w:szCs w:val="24"/>
        </w:rPr>
        <w:t xml:space="preserve">; and (2) revising Indicators 4A and 4B to require States to report </w:t>
      </w:r>
      <w:r>
        <w:rPr>
          <w:rFonts w:ascii="Times New Roman" w:hAnsi="Times New Roman"/>
          <w:bCs/>
          <w:szCs w:val="24"/>
        </w:rPr>
        <w:t>on elements of their existing methodology that are necessary for OSEP to analyze and determine the reasonableness of such methodology for identifying significant discrepancies in local educational agencies (LEAs)</w:t>
      </w:r>
      <w:r w:rsidR="009F1CC2">
        <w:rPr>
          <w:rFonts w:ascii="Times New Roman" w:hAnsi="Times New Roman"/>
          <w:bCs/>
          <w:szCs w:val="24"/>
        </w:rPr>
        <w:t>.</w:t>
      </w:r>
      <w:r w:rsidRPr="001A0F1F">
        <w:rPr>
          <w:rFonts w:ascii="Times New Roman" w:hAnsi="Times New Roman"/>
          <w:bCs/>
          <w:szCs w:val="24"/>
        </w:rPr>
        <w:t xml:space="preserve"> The proposed revisions to the Part B SPP/APR, which would go into effect with States’ FFY 20</w:t>
      </w:r>
      <w:r w:rsidR="009F1CC2">
        <w:rPr>
          <w:rFonts w:ascii="Times New Roman" w:hAnsi="Times New Roman"/>
          <w:bCs/>
          <w:szCs w:val="24"/>
        </w:rPr>
        <w:t>23</w:t>
      </w:r>
      <w:r w:rsidRPr="001A0F1F">
        <w:rPr>
          <w:rFonts w:ascii="Times New Roman" w:hAnsi="Times New Roman"/>
          <w:bCs/>
          <w:szCs w:val="24"/>
        </w:rPr>
        <w:t xml:space="preserve"> SPP/APR to be submitted in February 202</w:t>
      </w:r>
      <w:r w:rsidR="009F1CC2">
        <w:rPr>
          <w:rFonts w:ascii="Times New Roman" w:hAnsi="Times New Roman"/>
          <w:bCs/>
          <w:szCs w:val="24"/>
        </w:rPr>
        <w:t>5</w:t>
      </w:r>
      <w:r w:rsidRPr="001A0F1F">
        <w:rPr>
          <w:rFonts w:ascii="Times New Roman" w:hAnsi="Times New Roman"/>
          <w:bCs/>
          <w:szCs w:val="24"/>
        </w:rPr>
        <w:t>, are focused on</w:t>
      </w:r>
      <w:r w:rsidR="00645BBA">
        <w:rPr>
          <w:rFonts w:ascii="Times New Roman" w:hAnsi="Times New Roman"/>
          <w:bCs/>
          <w:szCs w:val="24"/>
        </w:rPr>
        <w:t xml:space="preserve"> </w:t>
      </w:r>
      <w:r w:rsidRPr="006A5133" w:rsidR="006A5133">
        <w:rPr>
          <w:rFonts w:ascii="Times New Roman" w:hAnsi="Times New Roman"/>
          <w:bCs/>
          <w:szCs w:val="24"/>
        </w:rPr>
        <w:t>improving results and the development and learning for all children with disabilities</w:t>
      </w:r>
      <w:r w:rsidR="00E11EEF">
        <w:rPr>
          <w:rFonts w:ascii="Times New Roman" w:hAnsi="Times New Roman"/>
          <w:bCs/>
          <w:szCs w:val="24"/>
        </w:rPr>
        <w:t xml:space="preserve">, and aligning with the </w:t>
      </w:r>
      <w:r w:rsidR="00CA50F6">
        <w:rPr>
          <w:rFonts w:ascii="Times New Roman" w:hAnsi="Times New Roman"/>
          <w:bCs/>
          <w:szCs w:val="24"/>
        </w:rPr>
        <w:t>administration’s priorities including</w:t>
      </w:r>
      <w:r w:rsidR="00DC226C">
        <w:rPr>
          <w:rFonts w:ascii="Times New Roman" w:hAnsi="Times New Roman"/>
          <w:bCs/>
          <w:szCs w:val="24"/>
        </w:rPr>
        <w:t>,</w:t>
      </w:r>
      <w:r w:rsidR="00CA50F6">
        <w:rPr>
          <w:rFonts w:ascii="Times New Roman" w:hAnsi="Times New Roman"/>
          <w:bCs/>
          <w:szCs w:val="24"/>
        </w:rPr>
        <w:t xml:space="preserve"> </w:t>
      </w:r>
      <w:r w:rsidR="002B1598">
        <w:rPr>
          <w:rFonts w:ascii="Times New Roman" w:hAnsi="Times New Roman"/>
          <w:bCs/>
          <w:szCs w:val="24"/>
        </w:rPr>
        <w:t xml:space="preserve">State general supervision systems and </w:t>
      </w:r>
      <w:r w:rsidR="00CA50F6">
        <w:rPr>
          <w:rFonts w:ascii="Times New Roman" w:hAnsi="Times New Roman"/>
          <w:bCs/>
          <w:szCs w:val="24"/>
        </w:rPr>
        <w:t xml:space="preserve">the disparities </w:t>
      </w:r>
      <w:r w:rsidR="002B1598">
        <w:rPr>
          <w:rFonts w:ascii="Times New Roman" w:hAnsi="Times New Roman"/>
          <w:bCs/>
          <w:szCs w:val="24"/>
        </w:rPr>
        <w:t>in the use of discipline for children with disabilities.</w:t>
      </w:r>
      <w:r w:rsidRPr="001A0F1F">
        <w:rPr>
          <w:rFonts w:ascii="Times New Roman" w:hAnsi="Times New Roman"/>
          <w:bCs/>
          <w:szCs w:val="24"/>
        </w:rPr>
        <w:t xml:space="preserve"> </w:t>
      </w:r>
    </w:p>
    <w:p w:rsidR="009E13E8" w:rsidP="009E13E8" w14:paraId="69D904F8" w14:textId="449046A9">
      <w:pPr>
        <w:spacing w:before="120" w:after="120"/>
        <w:ind w:left="720"/>
        <w:rPr>
          <w:rFonts w:ascii="Times New Roman" w:hAnsi="Times New Roman"/>
          <w:szCs w:val="24"/>
        </w:rPr>
      </w:pPr>
      <w:r w:rsidRPr="1BA2B52C">
        <w:rPr>
          <w:rFonts w:ascii="Times New Roman" w:hAnsi="Times New Roman"/>
          <w:szCs w:val="24"/>
        </w:rPr>
        <w:t>A number of</w:t>
      </w:r>
      <w:r w:rsidRPr="1BA2B52C">
        <w:rPr>
          <w:rFonts w:ascii="Times New Roman" w:hAnsi="Times New Roman"/>
          <w:szCs w:val="24"/>
        </w:rPr>
        <w:t xml:space="preserve"> factors contribut</w:t>
      </w:r>
      <w:r w:rsidR="008B33CE">
        <w:rPr>
          <w:rFonts w:ascii="Times New Roman" w:hAnsi="Times New Roman"/>
          <w:szCs w:val="24"/>
        </w:rPr>
        <w:t>ed</w:t>
      </w:r>
      <w:r w:rsidRPr="1BA2B52C">
        <w:rPr>
          <w:rFonts w:ascii="Times New Roman" w:hAnsi="Times New Roman"/>
          <w:szCs w:val="24"/>
        </w:rPr>
        <w:t xml:space="preserve"> to the </w:t>
      </w:r>
      <w:r>
        <w:rPr>
          <w:rFonts w:ascii="Times New Roman" w:hAnsi="Times New Roman"/>
          <w:szCs w:val="24"/>
        </w:rPr>
        <w:t>proposed revision to add a separate general supervision indicator</w:t>
      </w:r>
      <w:r w:rsidRPr="1BA2B52C">
        <w:rPr>
          <w:rFonts w:ascii="Times New Roman" w:hAnsi="Times New Roman"/>
          <w:szCs w:val="24"/>
        </w:rPr>
        <w:t>, which is the need for focus on State general supervision systems</w:t>
      </w:r>
      <w:r w:rsidR="00D1320E">
        <w:rPr>
          <w:rFonts w:ascii="Times New Roman" w:hAnsi="Times New Roman"/>
          <w:szCs w:val="24"/>
        </w:rPr>
        <w:t xml:space="preserve"> under IDEA</w:t>
      </w:r>
      <w:r w:rsidRPr="1BA2B52C">
        <w:rPr>
          <w:rFonts w:ascii="Times New Roman" w:hAnsi="Times New Roman"/>
          <w:szCs w:val="24"/>
        </w:rPr>
        <w:t xml:space="preserve">. </w:t>
      </w:r>
      <w:r w:rsidR="00D834DF">
        <w:rPr>
          <w:rFonts w:ascii="Times New Roman" w:hAnsi="Times New Roman"/>
          <w:szCs w:val="24"/>
        </w:rPr>
        <w:t>Through its monitoring activities,</w:t>
      </w:r>
      <w:r w:rsidRPr="1BA2B52C">
        <w:rPr>
          <w:rFonts w:ascii="Times New Roman" w:hAnsi="Times New Roman"/>
          <w:szCs w:val="24"/>
        </w:rPr>
        <w:t xml:space="preserve"> OSEP has learned that virtually all </w:t>
      </w:r>
      <w:r w:rsidR="00D834DF">
        <w:rPr>
          <w:rFonts w:ascii="Times New Roman" w:hAnsi="Times New Roman"/>
          <w:szCs w:val="24"/>
        </w:rPr>
        <w:t>monitored</w:t>
      </w:r>
      <w:r w:rsidR="000967CC">
        <w:rPr>
          <w:rFonts w:ascii="Times New Roman" w:hAnsi="Times New Roman"/>
          <w:szCs w:val="24"/>
        </w:rPr>
        <w:t xml:space="preserve"> </w:t>
      </w:r>
      <w:r w:rsidRPr="1BA2B52C">
        <w:rPr>
          <w:rFonts w:ascii="Times New Roman" w:hAnsi="Times New Roman"/>
          <w:szCs w:val="24"/>
        </w:rPr>
        <w:t>States have not been monitoring LEA activities outside of the SPP/APR compliance indicators. Monitoring for IDEA requirements beyond the SPP/APR compliance indicators is critical for S</w:t>
      </w:r>
      <w:r w:rsidR="00655B7C">
        <w:rPr>
          <w:rFonts w:ascii="Times New Roman" w:hAnsi="Times New Roman"/>
          <w:szCs w:val="24"/>
        </w:rPr>
        <w:t xml:space="preserve">tate </w:t>
      </w:r>
      <w:r w:rsidRPr="1BA2B52C">
        <w:rPr>
          <w:rFonts w:ascii="Times New Roman" w:hAnsi="Times New Roman"/>
          <w:szCs w:val="24"/>
        </w:rPr>
        <w:t>E</w:t>
      </w:r>
      <w:r w:rsidR="00655B7C">
        <w:rPr>
          <w:rFonts w:ascii="Times New Roman" w:hAnsi="Times New Roman"/>
          <w:szCs w:val="24"/>
        </w:rPr>
        <w:t xml:space="preserve">ducational </w:t>
      </w:r>
      <w:r w:rsidRPr="1BA2B52C">
        <w:rPr>
          <w:rFonts w:ascii="Times New Roman" w:hAnsi="Times New Roman"/>
          <w:szCs w:val="24"/>
        </w:rPr>
        <w:t>A</w:t>
      </w:r>
      <w:r w:rsidR="00655B7C">
        <w:rPr>
          <w:rFonts w:ascii="Times New Roman" w:hAnsi="Times New Roman"/>
          <w:szCs w:val="24"/>
        </w:rPr>
        <w:t>gencie</w:t>
      </w:r>
      <w:r w:rsidRPr="1BA2B52C">
        <w:rPr>
          <w:rFonts w:ascii="Times New Roman" w:hAnsi="Times New Roman"/>
          <w:szCs w:val="24"/>
        </w:rPr>
        <w:t xml:space="preserve">s </w:t>
      </w:r>
      <w:r w:rsidR="004C3FD2">
        <w:rPr>
          <w:rFonts w:ascii="Times New Roman" w:hAnsi="Times New Roman"/>
          <w:szCs w:val="24"/>
        </w:rPr>
        <w:t xml:space="preserve">(SEAs) </w:t>
      </w:r>
      <w:r w:rsidRPr="1BA2B52C">
        <w:rPr>
          <w:rFonts w:ascii="Times New Roman" w:hAnsi="Times New Roman"/>
          <w:szCs w:val="24"/>
        </w:rPr>
        <w:t>as part of the State’s general supervision responsibilities under IDEA section</w:t>
      </w:r>
      <w:r w:rsidR="002A0E05">
        <w:rPr>
          <w:rFonts w:ascii="Times New Roman" w:hAnsi="Times New Roman"/>
          <w:szCs w:val="24"/>
        </w:rPr>
        <w:t>s 612</w:t>
      </w:r>
      <w:r w:rsidR="008E3D7D">
        <w:rPr>
          <w:rFonts w:ascii="Times New Roman" w:hAnsi="Times New Roman"/>
          <w:szCs w:val="24"/>
        </w:rPr>
        <w:t xml:space="preserve">(a)(11) and 34 C.F.R. </w:t>
      </w:r>
      <w:r w:rsidR="0049360A">
        <w:rPr>
          <w:rFonts w:ascii="Times New Roman" w:hAnsi="Times New Roman"/>
          <w:szCs w:val="24"/>
        </w:rPr>
        <w:t>§ </w:t>
      </w:r>
      <w:r w:rsidR="008E3D7D">
        <w:rPr>
          <w:rFonts w:ascii="Times New Roman" w:hAnsi="Times New Roman"/>
          <w:szCs w:val="24"/>
        </w:rPr>
        <w:t>300.149</w:t>
      </w:r>
      <w:r w:rsidRPr="0031368E">
        <w:rPr>
          <w:rFonts w:ascii="Times New Roman" w:hAnsi="Times New Roman"/>
          <w:szCs w:val="24"/>
        </w:rPr>
        <w:t>.</w:t>
      </w:r>
      <w:r w:rsidRPr="1BA2B52C">
        <w:rPr>
          <w:rFonts w:ascii="Times New Roman" w:hAnsi="Times New Roman"/>
          <w:szCs w:val="24"/>
        </w:rPr>
        <w:t xml:space="preserve"> Without monitoring, SEAs do not know whether and how children and youth with disabilities and their families are receiving needed IDEA Part B services. In addition, in key results areas such as FAPE in the LRE, child find, the use of resolution meetings, mediation, transition services, </w:t>
      </w:r>
      <w:r>
        <w:rPr>
          <w:rFonts w:ascii="Times New Roman" w:hAnsi="Times New Roman"/>
          <w:szCs w:val="24"/>
        </w:rPr>
        <w:t xml:space="preserve">and </w:t>
      </w:r>
      <w:r w:rsidRPr="1BA2B52C">
        <w:rPr>
          <w:rFonts w:ascii="Times New Roman" w:hAnsi="Times New Roman"/>
          <w:szCs w:val="24"/>
        </w:rPr>
        <w:t>disproportionate representation of racial and ethnic groups in special education, effective monitoring for related requirements helps the SEA examine potential causes for poor performance on outcomes. Thus, it is critical for SEAs to comprehensively monitor LEAs and identify and correct noncompliance consistent with IDEA requirements. Now, as LEAs and families continue to recover from the pandemic and OSEP is focusing on improving results and the development and learning for all children with disabilities, it is essential to ensure that SEAs are fully aware of and acting on their general supervision obligations under IDEA section</w:t>
      </w:r>
      <w:r w:rsidR="008E3D7D">
        <w:rPr>
          <w:rFonts w:ascii="Times New Roman" w:hAnsi="Times New Roman"/>
          <w:szCs w:val="24"/>
        </w:rPr>
        <w:t>s 612(a)(11) and</w:t>
      </w:r>
      <w:r w:rsidRPr="1BA2B52C">
        <w:rPr>
          <w:rFonts w:ascii="Times New Roman" w:hAnsi="Times New Roman"/>
          <w:szCs w:val="24"/>
        </w:rPr>
        <w:t xml:space="preserve"> 6</w:t>
      </w:r>
      <w:r>
        <w:rPr>
          <w:rFonts w:ascii="Times New Roman" w:hAnsi="Times New Roman"/>
          <w:szCs w:val="24"/>
        </w:rPr>
        <w:t>16</w:t>
      </w:r>
      <w:r w:rsidRPr="1BA2B52C">
        <w:rPr>
          <w:rFonts w:ascii="Times New Roman" w:hAnsi="Times New Roman"/>
          <w:szCs w:val="24"/>
        </w:rPr>
        <w:t>(a)</w:t>
      </w:r>
      <w:r w:rsidR="00FC221A">
        <w:rPr>
          <w:rFonts w:ascii="Times New Roman" w:hAnsi="Times New Roman"/>
          <w:szCs w:val="24"/>
        </w:rPr>
        <w:t>(3)(B)</w:t>
      </w:r>
      <w:r w:rsidR="00B06EBC">
        <w:rPr>
          <w:rFonts w:ascii="Times New Roman" w:hAnsi="Times New Roman"/>
          <w:szCs w:val="24"/>
        </w:rPr>
        <w:t xml:space="preserve"> and 34 C.F.R. </w:t>
      </w:r>
      <w:r w:rsidR="0049360A">
        <w:rPr>
          <w:rFonts w:ascii="Times New Roman" w:hAnsi="Times New Roman"/>
          <w:szCs w:val="24"/>
        </w:rPr>
        <w:t>§§ </w:t>
      </w:r>
      <w:r w:rsidR="00B06EBC">
        <w:rPr>
          <w:rFonts w:ascii="Times New Roman" w:hAnsi="Times New Roman"/>
          <w:szCs w:val="24"/>
        </w:rPr>
        <w:t>300.149 and 300.600(d)(2)</w:t>
      </w:r>
      <w:r w:rsidRPr="1BA2B52C">
        <w:rPr>
          <w:rFonts w:ascii="Times New Roman" w:hAnsi="Times New Roman"/>
          <w:szCs w:val="24"/>
        </w:rPr>
        <w:t>.</w:t>
      </w:r>
    </w:p>
    <w:p w:rsidR="009E13E8" w:rsidP="00D21D1D" w14:paraId="66751BB3" w14:textId="40965E10">
      <w:pPr>
        <w:pStyle w:val="ListParagraph"/>
        <w:suppressAutoHyphens/>
        <w:spacing w:before="120" w:after="120"/>
        <w:contextualSpacing w:val="0"/>
        <w:rPr>
          <w:rFonts w:ascii="Times New Roman" w:hAnsi="Times New Roman"/>
          <w:bCs/>
          <w:szCs w:val="24"/>
        </w:rPr>
      </w:pPr>
      <w:r>
        <w:rPr>
          <w:rFonts w:ascii="Times New Roman" w:hAnsi="Times New Roman"/>
          <w:szCs w:val="24"/>
        </w:rPr>
        <w:t>Additionally, with respect to the proposed revisions to Indicators 4A and 4B</w:t>
      </w:r>
      <w:r w:rsidRPr="4B8FE542" w:rsidR="00707A7B">
        <w:rPr>
          <w:rFonts w:ascii="Times New Roman" w:hAnsi="Times New Roman"/>
          <w:szCs w:val="24"/>
        </w:rPr>
        <w:t xml:space="preserve">, OSEP has voiced significant concern regarding disparities in the use of discipline for children with disabilities, particularly children with disabilities of color, as noted in OSEP’s Dear Colleague Letter on the Implementation of IDEA Discipline Provisions and </w:t>
      </w:r>
      <w:r w:rsidR="00707A7B">
        <w:rPr>
          <w:rFonts w:ascii="Times New Roman" w:hAnsi="Times New Roman"/>
          <w:szCs w:val="24"/>
        </w:rPr>
        <w:t>in</w:t>
      </w:r>
      <w:r w:rsidRPr="4B8FE542" w:rsidR="00707A7B">
        <w:rPr>
          <w:rFonts w:ascii="Times New Roman" w:hAnsi="Times New Roman"/>
          <w:szCs w:val="24"/>
        </w:rPr>
        <w:t xml:space="preserve"> the</w:t>
      </w:r>
      <w:r w:rsidR="00707A7B">
        <w:rPr>
          <w:rFonts w:ascii="Times New Roman" w:hAnsi="Times New Roman"/>
          <w:szCs w:val="24"/>
        </w:rPr>
        <w:t xml:space="preserve"> accompanying</w:t>
      </w:r>
      <w:r w:rsidRPr="4B8FE542" w:rsidR="00707A7B">
        <w:rPr>
          <w:rFonts w:ascii="Times New Roman" w:hAnsi="Times New Roman"/>
          <w:szCs w:val="24"/>
        </w:rPr>
        <w:t xml:space="preserve"> guidance entitled Questions and Answers: Addressing the Needs of Children with Disabilities and IDEA’s Discipline Provisions (both released July 2022).  As OSEP stated in this guidance, States must select a methodology that is reasonably designed to determine whether significant discrepancies are occurring in the rate of long-term suspensions and expulsions of children with disabilities, including by race and ethnicity, among LEAs in the State or compared to the rates for nondisabled children within those LEAs.</w:t>
      </w:r>
    </w:p>
    <w:p w:rsidR="001A0F1F" w:rsidRPr="001A0F1F" w:rsidP="00D21D1D" w14:paraId="345491D5" w14:textId="226D219B">
      <w:pPr>
        <w:pStyle w:val="ListParagraph"/>
        <w:suppressAutoHyphens/>
        <w:spacing w:before="120" w:after="120"/>
        <w:contextualSpacing w:val="0"/>
        <w:rPr>
          <w:rFonts w:ascii="Times New Roman" w:hAnsi="Times New Roman"/>
          <w:bCs/>
          <w:szCs w:val="24"/>
        </w:rPr>
      </w:pPr>
      <w:r w:rsidRPr="57B1D63C">
        <w:rPr>
          <w:rStyle w:val="a"/>
          <w:rFonts w:ascii="Times New Roman" w:hAnsi="Times New Roman"/>
        </w:rPr>
        <w:t xml:space="preserve">Based on feedback received during the 60-day public comment period, the Department is proposing to nominally increase </w:t>
      </w:r>
      <w:r w:rsidR="00D20218">
        <w:rPr>
          <w:rStyle w:val="a"/>
          <w:rFonts w:ascii="Times New Roman" w:hAnsi="Times New Roman"/>
        </w:rPr>
        <w:t xml:space="preserve">the estimate of the </w:t>
      </w:r>
      <w:r w:rsidRPr="57B1D63C">
        <w:rPr>
          <w:rStyle w:val="a"/>
          <w:rFonts w:ascii="Times New Roman" w:hAnsi="Times New Roman"/>
        </w:rPr>
        <w:t>reporting burden</w:t>
      </w:r>
      <w:r w:rsidR="00D20218">
        <w:rPr>
          <w:rStyle w:val="a"/>
          <w:rFonts w:ascii="Times New Roman" w:hAnsi="Times New Roman"/>
        </w:rPr>
        <w:t xml:space="preserve"> for this information collection</w:t>
      </w:r>
      <w:r w:rsidRPr="57B1D63C">
        <w:rPr>
          <w:rStyle w:val="a"/>
          <w:rFonts w:ascii="Times New Roman" w:hAnsi="Times New Roman"/>
        </w:rPr>
        <w:t xml:space="preserve">. </w:t>
      </w:r>
      <w:r w:rsidRPr="001A0F1F">
        <w:rPr>
          <w:rFonts w:ascii="Times New Roman" w:hAnsi="Times New Roman"/>
          <w:bCs/>
          <w:szCs w:val="24"/>
        </w:rPr>
        <w:t>See the Department’s answer to Question 12 for additional explanation.</w:t>
      </w:r>
    </w:p>
    <w:p w:rsidR="00AD381B" w:rsidRPr="001A0F1F" w:rsidP="00AD381B" w14:paraId="1B84B816" w14:textId="77777777">
      <w:pPr>
        <w:pStyle w:val="ListParagraph"/>
        <w:suppressAutoHyphens/>
        <w:spacing w:line="240" w:lineRule="exact"/>
        <w:rPr>
          <w:rFonts w:ascii="Times New Roman" w:hAnsi="Times New Roman"/>
          <w:bCs/>
          <w:szCs w:val="24"/>
        </w:rPr>
      </w:pPr>
    </w:p>
    <w:p w:rsidR="00AD381B" w:rsidRPr="00AD381B" w:rsidP="00AD381B" w14:paraId="4D96DBAA" w14:textId="77777777">
      <w:pPr>
        <w:pStyle w:val="ListParagraph"/>
        <w:suppressAutoHyphens/>
        <w:spacing w:line="240" w:lineRule="exact"/>
        <w:contextualSpacing w:val="0"/>
        <w:rPr>
          <w:rFonts w:ascii="Times New Roman" w:hAnsi="Times New Roman"/>
          <w:szCs w:val="24"/>
        </w:rPr>
      </w:pPr>
    </w:p>
    <w:p w:rsidR="00AD381B" w:rsidP="00AD381B" w14:paraId="2F75E106"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14:paraId="58467BF8" w14:textId="77777777">
      <w:pPr>
        <w:suppressAutoHyphens/>
        <w:spacing w:line="240" w:lineRule="exact"/>
        <w:rPr>
          <w:rFonts w:ascii="Times New Roman" w:hAnsi="Times New Roman"/>
          <w:szCs w:val="24"/>
        </w:rPr>
      </w:pPr>
    </w:p>
    <w:p w:rsidR="001A0F1F" w:rsidRPr="004846C6" w:rsidP="001A0F1F" w14:paraId="24FE400C" w14:textId="77777777">
      <w:pPr>
        <w:pStyle w:val="MediumGrid1-Accent21"/>
        <w:spacing w:before="240"/>
      </w:pPr>
      <w:r w:rsidRPr="004846C6">
        <w:t xml:space="preserve">As required by </w:t>
      </w:r>
      <w:r>
        <w:t xml:space="preserve">IDEA </w:t>
      </w:r>
      <w:r w:rsidRPr="004846C6">
        <w:t>section 616(b)(1)(A), each State must have</w:t>
      </w:r>
      <w:r>
        <w:t xml:space="preserve"> </w:t>
      </w:r>
      <w:r w:rsidRPr="004846C6">
        <w:t>a</w:t>
      </w:r>
      <w:r>
        <w:t>n</w:t>
      </w:r>
      <w:r w:rsidRPr="004846C6">
        <w:t xml:space="preserve"> SPP in place that evaluates the State's efforts to implement the requir</w:t>
      </w:r>
      <w:r>
        <w:t>e</w:t>
      </w:r>
      <w:r w:rsidRPr="004846C6">
        <w:t xml:space="preserve">ments and purposes of Part B of the </w:t>
      </w:r>
      <w:r w:rsidRPr="004846C6">
        <w:t>IDEA, and</w:t>
      </w:r>
      <w:r w:rsidRPr="004846C6">
        <w:t xml:space="preserve"> describes how the State will improve its implementation.  </w:t>
      </w:r>
      <w:r>
        <w:t>IDEA s</w:t>
      </w:r>
      <w:r w:rsidRPr="004846C6">
        <w:t>ection 616(b)(2) requires that the State report annually to the Secretary on its performance under the State</w:t>
      </w:r>
      <w:r>
        <w:t>’s SPP</w:t>
      </w:r>
      <w:r w:rsidRPr="004846C6">
        <w:t xml:space="preserve"> for Part B of the IDEA.  Specifically, the State must report, in its APR, on its progress in meeting the measurable and rigorous targets it established in its SPP.</w:t>
      </w:r>
      <w:r>
        <w:t xml:space="preserve">  In the past, the Department required States to maintain a separate SPP and APR.  Beginning in 2015, the Department combined the SPP/APR into one document.  </w:t>
      </w:r>
    </w:p>
    <w:p w:rsidR="001A0F1F" w:rsidP="001A0F1F" w14:paraId="48EBE00E" w14:textId="0FE1BA04">
      <w:pPr>
        <w:pStyle w:val="MediumGrid1-Accent21"/>
      </w:pPr>
      <w:r>
        <w:t>IDEA s</w:t>
      </w:r>
      <w:r w:rsidRPr="004846C6">
        <w:t>ection 616(d) requires that the Department review the APR</w:t>
      </w:r>
      <w:r w:rsidR="0053415E">
        <w:t>s submitted by States</w:t>
      </w:r>
      <w:r w:rsidRPr="004846C6">
        <w:t xml:space="preserve"> each year.  Based on the information provided in the State's APR, information obtained through monitoring visits, and any other public</w:t>
      </w:r>
      <w:r>
        <w:t>ly available</w:t>
      </w:r>
      <w:r w:rsidRPr="004846C6">
        <w:t xml:space="preserve"> information, </w:t>
      </w:r>
      <w:r>
        <w:t xml:space="preserve">each year </w:t>
      </w:r>
      <w:r w:rsidRPr="004846C6">
        <w:t xml:space="preserve">the Department </w:t>
      </w:r>
      <w:r>
        <w:t xml:space="preserve">must </w:t>
      </w:r>
      <w:r w:rsidRPr="004846C6">
        <w:t>determine if the State</w:t>
      </w:r>
      <w:r w:rsidRPr="004846C6">
        <w:t xml:space="preserve">:  </w:t>
      </w:r>
      <w:r>
        <w:t>“</w:t>
      </w:r>
      <w:r w:rsidRPr="004846C6">
        <w:t xml:space="preserve">Meets </w:t>
      </w:r>
      <w:r>
        <w:t>r</w:t>
      </w:r>
      <w:r w:rsidRPr="004846C6">
        <w:t>equirements</w:t>
      </w:r>
      <w:r>
        <w:t>” and purposes of the IDEA or</w:t>
      </w:r>
      <w:r w:rsidRPr="004846C6">
        <w:t xml:space="preserve"> </w:t>
      </w:r>
      <w:r>
        <w:t xml:space="preserve"> “</w:t>
      </w:r>
      <w:r w:rsidRPr="004846C6">
        <w:t>Needs Assistance</w:t>
      </w:r>
      <w:r>
        <w:t>,”</w:t>
      </w:r>
      <w:r w:rsidRPr="004846C6">
        <w:t xml:space="preserve"> </w:t>
      </w:r>
      <w:r>
        <w:t>“</w:t>
      </w:r>
      <w:r w:rsidRPr="004846C6">
        <w:t>Needs Intervention</w:t>
      </w:r>
      <w:r>
        <w:t>,”</w:t>
      </w:r>
      <w:r w:rsidRPr="004846C6">
        <w:t xml:space="preserve"> or</w:t>
      </w:r>
      <w:r>
        <w:t xml:space="preserve"> </w:t>
      </w:r>
      <w:r w:rsidRPr="004846C6">
        <w:t xml:space="preserve"> </w:t>
      </w:r>
      <w:r>
        <w:t>“</w:t>
      </w:r>
      <w:r w:rsidRPr="004846C6">
        <w:t>Needs Substantial Intervention</w:t>
      </w:r>
      <w:r>
        <w:t>” in implementing the requirements of the IDEA</w:t>
      </w:r>
      <w:r w:rsidRPr="004846C6">
        <w:t>.</w:t>
      </w:r>
    </w:p>
    <w:p w:rsidR="00043C32" w:rsidRPr="00AD381B" w:rsidP="00AD381B" w14:paraId="230EBC4D" w14:textId="77777777">
      <w:pPr>
        <w:suppressAutoHyphens/>
        <w:spacing w:line="240" w:lineRule="exact"/>
        <w:rPr>
          <w:rFonts w:ascii="Times New Roman" w:hAnsi="Times New Roman"/>
          <w:szCs w:val="24"/>
        </w:rPr>
      </w:pPr>
    </w:p>
    <w:p w:rsidR="00043C32" w:rsidRPr="00AD381B" w:rsidP="00AD381B" w14:paraId="075A9C56"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r w:rsidRPr="00AD381B">
        <w:rPr>
          <w:rFonts w:ascii="Times New Roman" w:hAnsi="Times New Roman"/>
          <w:b/>
          <w:szCs w:val="24"/>
        </w:rPr>
        <w:t>e.g.</w:t>
      </w:r>
      <w:r w:rsidRPr="00AD381B">
        <w:rPr>
          <w:rFonts w:ascii="Times New Roman" w:hAnsi="Times New Roman"/>
          <w:b/>
          <w:szCs w:val="24"/>
        </w:rPr>
        <w:t xml:space="preserve">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r w:rsidR="00A23F26">
        <w:rPr>
          <w:rFonts w:ascii="Times New Roman" w:hAnsi="Times New Roman"/>
          <w:b/>
          <w:szCs w:val="24"/>
        </w:rPr>
        <w:t>e.g.</w:t>
      </w:r>
      <w:r w:rsidR="00A23F26">
        <w:rPr>
          <w:rFonts w:ascii="Times New Roman" w:hAnsi="Times New Roman"/>
          <w:b/>
          <w:szCs w:val="24"/>
        </w:rPr>
        <w:t xml:space="preserve"> using an electronic form, system or website from paper), please explain in number 12.</w:t>
      </w:r>
    </w:p>
    <w:p w:rsidR="001A0F1F" w:rsidP="001A0F1F" w14:paraId="3C29143A" w14:textId="27CC87C3">
      <w:pPr>
        <w:pStyle w:val="MediumGrid1-Accent21"/>
        <w:spacing w:before="240"/>
      </w:pPr>
      <w:r>
        <w:t xml:space="preserve">States are required to submit the SPP/APR using the Department’s online </w:t>
      </w:r>
      <w:r w:rsidR="00EA0817">
        <w:t>SPP/</w:t>
      </w:r>
      <w:r>
        <w:t xml:space="preserve">APR </w:t>
      </w:r>
      <w:r w:rsidR="00EA0817">
        <w:t>submission</w:t>
      </w:r>
      <w:r>
        <w:t xml:space="preserve"> tool.  The online reporting system allows for </w:t>
      </w:r>
      <w:r>
        <w:t>prepopulation</w:t>
      </w:r>
      <w:r>
        <w:t xml:space="preserve"> of data already submitted to the Department through other data collections, as well as preloading of the previous year’s SPP/APR data.  This process significantly reduces the reporting burden associated with this collection.</w:t>
      </w:r>
    </w:p>
    <w:p w:rsidR="00AD381B" w:rsidP="00AD381B" w14:paraId="3A2C31DC" w14:textId="77777777">
      <w:pPr>
        <w:pStyle w:val="ListParagraph"/>
        <w:tabs>
          <w:tab w:val="left" w:pos="-720"/>
        </w:tabs>
        <w:suppressAutoHyphens/>
        <w:contextualSpacing w:val="0"/>
        <w:rPr>
          <w:rFonts w:ascii="Times New Roman" w:hAnsi="Times New Roman"/>
          <w:szCs w:val="24"/>
        </w:rPr>
      </w:pPr>
    </w:p>
    <w:p w:rsidR="00AD381B" w:rsidP="00AD381B" w14:paraId="4C819B9D" w14:textId="77777777">
      <w:pPr>
        <w:pStyle w:val="ListParagraph"/>
        <w:tabs>
          <w:tab w:val="left" w:pos="-720"/>
        </w:tabs>
        <w:suppressAutoHyphens/>
        <w:contextualSpacing w:val="0"/>
        <w:rPr>
          <w:rFonts w:ascii="Times New Roman" w:hAnsi="Times New Roman"/>
          <w:szCs w:val="24"/>
        </w:rPr>
      </w:pPr>
    </w:p>
    <w:p w:rsidR="00AD381B" w:rsidP="00AD381B" w14:paraId="233BB5F2"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1A0F1F" w:rsidP="001A0F1F" w14:paraId="22AA5108" w14:textId="2FD377D2">
      <w:pPr>
        <w:pStyle w:val="ListParagraph"/>
        <w:spacing w:before="240"/>
        <w:rPr>
          <w:rFonts w:ascii="Times New Roman" w:hAnsi="Times New Roman"/>
        </w:rPr>
      </w:pPr>
      <w:r w:rsidRPr="00DB6446">
        <w:rPr>
          <w:rFonts w:ascii="Times New Roman" w:hAnsi="Times New Roman"/>
        </w:rPr>
        <w:t>Since 2005, all States have completed and submitted 1</w:t>
      </w:r>
      <w:r w:rsidR="00CD7E14">
        <w:rPr>
          <w:rFonts w:ascii="Times New Roman" w:hAnsi="Times New Roman"/>
        </w:rPr>
        <w:t>7</w:t>
      </w:r>
      <w:r w:rsidRPr="00DB6446">
        <w:rPr>
          <w:rFonts w:ascii="Times New Roman" w:hAnsi="Times New Roman"/>
        </w:rPr>
        <w:t xml:space="preserve"> APRs.  Beginning with the FFY 2013 SPP/APR submitted in February 2015, a combined Part B SPP/APR took the place of the previous SPP and APR. This change eliminated duplicate reporting in the SPP and in the APR on the State’s targets and its discussion of improvement activities completed.  </w:t>
      </w:r>
      <w:r w:rsidRPr="00904E25">
        <w:rPr>
          <w:rFonts w:ascii="Times New Roman" w:hAnsi="Times New Roman"/>
        </w:rPr>
        <w:t xml:space="preserve">In addition, the Department allowed States to use data already collected for other purposes whenever possible.  </w:t>
      </w:r>
    </w:p>
    <w:p w:rsidR="00CA6E0C" w:rsidRPr="00904E25" w:rsidP="001A0F1F" w14:paraId="5EA87899" w14:textId="77777777">
      <w:pPr>
        <w:pStyle w:val="ListParagraph"/>
        <w:spacing w:before="240"/>
        <w:rPr>
          <w:rFonts w:ascii="Times New Roman" w:hAnsi="Times New Roman"/>
        </w:rPr>
      </w:pPr>
    </w:p>
    <w:p w:rsidR="001A0F1F" w:rsidRPr="00904E25" w:rsidP="001A0F1F" w14:paraId="7AF358A0" w14:textId="6E2EAB7E">
      <w:pPr>
        <w:pStyle w:val="ListParagraph"/>
        <w:rPr>
          <w:rFonts w:ascii="Times New Roman" w:hAnsi="Times New Roman"/>
        </w:rPr>
      </w:pPr>
      <w:r w:rsidRPr="00904E25">
        <w:rPr>
          <w:rFonts w:ascii="Times New Roman" w:hAnsi="Times New Roman"/>
        </w:rPr>
        <w:t xml:space="preserve">As explained below, the Department has already eliminated those reporting requirements where the information in the SPP/APR would duplicate another collection, and in cases where the Department can perform the necessary analysis without additional information from the State.  However, for the remaining indicators, the SPP/APR provides States an opportunity to analyze and explain data that the State is required to report annually under section 618 of the IDEA, </w:t>
      </w:r>
      <w:r w:rsidRPr="00904E25">
        <w:rPr>
          <w:rFonts w:ascii="Times New Roman" w:hAnsi="Times New Roman"/>
          <w:i/>
        </w:rPr>
        <w:t>e.g.</w:t>
      </w:r>
      <w:r w:rsidRPr="00904E25">
        <w:rPr>
          <w:rFonts w:ascii="Times New Roman" w:hAnsi="Times New Roman"/>
        </w:rPr>
        <w:t xml:space="preserve">, data on educational environments, dispute resolution, assessment, and exiting.  During previous approval cycles, with stakeholder input, the Department determined that it was no longer necessary for States to report on Indicators 16 and 17 – the timeliness of State complaint and due process hearing decisions – as the Department </w:t>
      </w:r>
      <w:r w:rsidRPr="00904E25">
        <w:rPr>
          <w:rFonts w:ascii="Times New Roman" w:hAnsi="Times New Roman"/>
        </w:rPr>
        <w:t>is able to</w:t>
      </w:r>
      <w:r w:rsidRPr="00904E25">
        <w:rPr>
          <w:rFonts w:ascii="Times New Roman" w:hAnsi="Times New Roman"/>
        </w:rPr>
        <w:t xml:space="preserve"> evaluate State performance on these indicators by using data collected through IDEA section 618 without having to require States to report this information through the SPP/APR collection.  The Department also eliminated Indicator 20 because, as with previous Indicators 16 and 17, the Department is able to evaluate State performance</w:t>
      </w:r>
      <w:r w:rsidRPr="00904E25">
        <w:rPr>
          <w:rFonts w:ascii="Times New Roman" w:hAnsi="Times New Roman"/>
        </w:rPr>
        <w:t xml:space="preserve"> </w:t>
      </w:r>
      <w:r w:rsidRPr="00904E25">
        <w:rPr>
          <w:rFonts w:ascii="Times New Roman" w:hAnsi="Times New Roman"/>
        </w:rPr>
        <w:t xml:space="preserve">in </w:t>
      </w:r>
      <w:r w:rsidRPr="00904E25">
        <w:rPr>
          <w:rFonts w:ascii="Times New Roman" w:hAnsi="Times New Roman"/>
        </w:rPr>
        <w:t>th</w:t>
      </w:r>
      <w:r w:rsidR="007B3869">
        <w:rPr>
          <w:rFonts w:ascii="Times New Roman" w:hAnsi="Times New Roman"/>
        </w:rPr>
        <w:t>is</w:t>
      </w:r>
      <w:r w:rsidRPr="00904E25">
        <w:rPr>
          <w:rFonts w:ascii="Times New Roman" w:hAnsi="Times New Roman"/>
        </w:rPr>
        <w:t xml:space="preserve"> areas (data collection)</w:t>
      </w:r>
      <w:r w:rsidRPr="00904E25">
        <w:rPr>
          <w:rFonts w:ascii="Times New Roman" w:hAnsi="Times New Roman"/>
        </w:rPr>
        <w:t xml:space="preserve"> without the information provided in th</w:t>
      </w:r>
      <w:r w:rsidR="00D51B60">
        <w:rPr>
          <w:rFonts w:ascii="Times New Roman" w:hAnsi="Times New Roman"/>
        </w:rPr>
        <w:t>is</w:t>
      </w:r>
      <w:r w:rsidRPr="00904E25">
        <w:rPr>
          <w:rFonts w:ascii="Times New Roman" w:hAnsi="Times New Roman"/>
        </w:rPr>
        <w:t xml:space="preserve"> indicator. </w:t>
      </w:r>
    </w:p>
    <w:p w:rsidR="00246FE9" w:rsidRPr="00246FE9" w:rsidP="00246FE9" w14:paraId="44BFCB92" w14:textId="77777777">
      <w:pPr>
        <w:pStyle w:val="ListParagraph"/>
        <w:tabs>
          <w:tab w:val="left" w:pos="-720"/>
        </w:tabs>
        <w:suppressAutoHyphens/>
        <w:contextualSpacing w:val="0"/>
        <w:rPr>
          <w:rFonts w:ascii="Times New Roman" w:hAnsi="Times New Roman"/>
          <w:b/>
          <w:szCs w:val="24"/>
        </w:rPr>
      </w:pPr>
    </w:p>
    <w:p w:rsidR="00043C32" w:rsidP="00AD381B" w14:paraId="0CF184E5"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1A0F1F" w:rsidP="001A0F1F" w14:paraId="62AEF30B" w14:textId="77777777">
      <w:pPr>
        <w:pStyle w:val="MediumGrid1-Accent21"/>
        <w:spacing w:before="240"/>
      </w:pPr>
      <w:r w:rsidRPr="00651FCB">
        <w:t>The information requested does not involve the collection of information from entities classified as small business</w:t>
      </w:r>
      <w:r>
        <w:t>es or other small entities</w:t>
      </w:r>
      <w:r w:rsidRPr="00651FCB">
        <w:t>.</w:t>
      </w:r>
    </w:p>
    <w:p w:rsidR="00AD381B" w:rsidP="00AD381B" w14:paraId="6CB62976" w14:textId="77777777">
      <w:pPr>
        <w:pStyle w:val="ListParagraph"/>
        <w:contextualSpacing w:val="0"/>
        <w:rPr>
          <w:rFonts w:ascii="Times New Roman" w:hAnsi="Times New Roman"/>
          <w:szCs w:val="24"/>
        </w:rPr>
      </w:pPr>
    </w:p>
    <w:p w:rsidR="00043C32" w:rsidP="00AD381B" w14:paraId="236172CE" w14:textId="06B579D6">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CC24B9" w:rsidP="00CC24B9" w14:paraId="2789EF72" w14:textId="77777777">
      <w:pPr>
        <w:pStyle w:val="MediumGrid1-Accent21"/>
        <w:spacing w:before="240"/>
      </w:pPr>
      <w:r w:rsidRPr="00651FCB">
        <w:t>Activities described in answers A1 and A2 would not be completed</w:t>
      </w:r>
      <w:r>
        <w:t xml:space="preserve">, and the Department would be in violation of section 616 of the </w:t>
      </w:r>
      <w:r>
        <w:t>IDEA,</w:t>
      </w:r>
      <w:r w:rsidRPr="00651FCB">
        <w:t xml:space="preserve"> if</w:t>
      </w:r>
      <w:r w:rsidRPr="00651FCB">
        <w:t xml:space="preserve"> this collection was not conducted.</w:t>
      </w:r>
    </w:p>
    <w:p w:rsidR="00CC24B9" w:rsidRPr="00AD381B" w:rsidP="00CC24B9" w14:paraId="7B0FC873" w14:textId="77777777">
      <w:pPr>
        <w:pStyle w:val="ListParagraph"/>
        <w:tabs>
          <w:tab w:val="left" w:pos="-720"/>
        </w:tabs>
        <w:suppressAutoHyphens/>
        <w:contextualSpacing w:val="0"/>
        <w:rPr>
          <w:rFonts w:ascii="Times New Roman" w:hAnsi="Times New Roman"/>
          <w:b/>
          <w:szCs w:val="24"/>
        </w:rPr>
      </w:pPr>
    </w:p>
    <w:p w:rsidR="00043C32" w:rsidRPr="00AD381B" w:rsidP="00AD381B" w14:paraId="6C7E01B4"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3914516C" w14:textId="77777777">
      <w:pPr>
        <w:tabs>
          <w:tab w:val="left" w:pos="-720"/>
        </w:tabs>
        <w:suppressAutoHyphens/>
        <w:rPr>
          <w:rFonts w:ascii="Times New Roman" w:hAnsi="Times New Roman"/>
          <w:b/>
          <w:szCs w:val="24"/>
        </w:rPr>
      </w:pPr>
    </w:p>
    <w:p w:rsidR="00043C32" w:rsidRPr="00AD381B" w:rsidP="00AD381B" w14:paraId="5B847FF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AD381B" w14:paraId="052DF782" w14:textId="77777777">
      <w:pPr>
        <w:numPr>
          <w:ilvl w:val="12"/>
          <w:numId w:val="0"/>
        </w:numPr>
        <w:tabs>
          <w:tab w:val="left" w:pos="-720"/>
        </w:tabs>
        <w:suppressAutoHyphens/>
        <w:ind w:left="340"/>
        <w:rPr>
          <w:rFonts w:ascii="Times New Roman" w:hAnsi="Times New Roman"/>
          <w:b/>
          <w:szCs w:val="24"/>
        </w:rPr>
      </w:pPr>
    </w:p>
    <w:p w:rsidR="00043C32" w:rsidRPr="00AD381B" w:rsidP="00AD381B" w14:paraId="4F7CE25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AD381B" w14:paraId="0504BCBE" w14:textId="77777777">
      <w:pPr>
        <w:numPr>
          <w:ilvl w:val="12"/>
          <w:numId w:val="0"/>
        </w:numPr>
        <w:tabs>
          <w:tab w:val="left" w:pos="-720"/>
        </w:tabs>
        <w:suppressAutoHyphens/>
        <w:rPr>
          <w:rFonts w:ascii="Times New Roman" w:hAnsi="Times New Roman"/>
          <w:b/>
          <w:szCs w:val="24"/>
        </w:rPr>
      </w:pPr>
    </w:p>
    <w:p w:rsidR="00043C32" w:rsidRPr="00AD381B" w:rsidP="00AD381B" w14:paraId="21C965EB"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AD381B" w14:paraId="4657B83F" w14:textId="77777777">
      <w:pPr>
        <w:numPr>
          <w:ilvl w:val="12"/>
          <w:numId w:val="0"/>
        </w:numPr>
        <w:tabs>
          <w:tab w:val="left" w:pos="-720"/>
        </w:tabs>
        <w:suppressAutoHyphens/>
        <w:rPr>
          <w:rFonts w:ascii="Times New Roman" w:hAnsi="Times New Roman"/>
          <w:b/>
          <w:szCs w:val="24"/>
        </w:rPr>
      </w:pPr>
    </w:p>
    <w:p w:rsidR="00043C32" w:rsidRPr="00AD381B" w:rsidP="00AD381B" w14:paraId="2E44147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AD381B" w14:paraId="04D2E3D1" w14:textId="77777777">
      <w:pPr>
        <w:numPr>
          <w:ilvl w:val="12"/>
          <w:numId w:val="0"/>
        </w:numPr>
        <w:tabs>
          <w:tab w:val="left" w:pos="-720"/>
        </w:tabs>
        <w:suppressAutoHyphens/>
        <w:rPr>
          <w:rFonts w:ascii="Times New Roman" w:hAnsi="Times New Roman"/>
          <w:b/>
          <w:szCs w:val="24"/>
        </w:rPr>
      </w:pPr>
    </w:p>
    <w:p w:rsidR="00043C32" w:rsidRPr="00AD381B" w:rsidP="00AD381B" w14:paraId="297A8BB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AD381B" w14:paraId="5D4DB2B5" w14:textId="77777777">
      <w:pPr>
        <w:numPr>
          <w:ilvl w:val="12"/>
          <w:numId w:val="0"/>
        </w:numPr>
        <w:tabs>
          <w:tab w:val="left" w:pos="-720"/>
        </w:tabs>
        <w:suppressAutoHyphens/>
        <w:rPr>
          <w:rFonts w:ascii="Times New Roman" w:hAnsi="Times New Roman"/>
          <w:b/>
          <w:szCs w:val="24"/>
        </w:rPr>
      </w:pPr>
    </w:p>
    <w:p w:rsidR="00043C32" w:rsidRPr="00AD381B" w:rsidP="00AD381B" w14:paraId="08CDA6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AD381B" w14:paraId="54770AFA" w14:textId="77777777">
      <w:pPr>
        <w:numPr>
          <w:ilvl w:val="12"/>
          <w:numId w:val="0"/>
        </w:numPr>
        <w:tabs>
          <w:tab w:val="left" w:pos="-720"/>
        </w:tabs>
        <w:suppressAutoHyphens/>
        <w:rPr>
          <w:rFonts w:ascii="Times New Roman" w:hAnsi="Times New Roman"/>
          <w:b/>
          <w:szCs w:val="24"/>
        </w:rPr>
      </w:pPr>
    </w:p>
    <w:p w:rsidR="00043C32" w:rsidRPr="00AD381B" w:rsidP="00AD381B" w14:paraId="75ECEF0F"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1D9C1547" w14:textId="77777777">
      <w:pPr>
        <w:numPr>
          <w:ilvl w:val="12"/>
          <w:numId w:val="0"/>
        </w:numPr>
        <w:tabs>
          <w:tab w:val="left" w:pos="-720"/>
        </w:tabs>
        <w:suppressAutoHyphens/>
        <w:rPr>
          <w:rFonts w:ascii="Times New Roman" w:hAnsi="Times New Roman"/>
          <w:b/>
          <w:szCs w:val="24"/>
        </w:rPr>
      </w:pPr>
    </w:p>
    <w:p w:rsidR="00043C32" w:rsidP="00AD381B" w14:paraId="07E8FDF8" w14:textId="5734B61A">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CC24B9" w:rsidP="00CC24B9" w14:paraId="19E62415" w14:textId="77777777">
      <w:pPr>
        <w:pStyle w:val="ListParagraph"/>
        <w:rPr>
          <w:rFonts w:ascii="Times New Roman" w:hAnsi="Times New Roman"/>
          <w:b/>
          <w:szCs w:val="24"/>
        </w:rPr>
      </w:pPr>
    </w:p>
    <w:p w:rsidR="00CC24B9" w:rsidRPr="00CC24B9" w:rsidP="00CC24B9" w14:paraId="1C3AE168" w14:textId="77777777">
      <w:pPr>
        <w:tabs>
          <w:tab w:val="left" w:pos="-720"/>
        </w:tabs>
        <w:suppressAutoHyphens/>
        <w:ind w:left="1440"/>
        <w:rPr>
          <w:rFonts w:ascii="Times New Roman" w:hAnsi="Times New Roman"/>
          <w:bCs/>
          <w:szCs w:val="24"/>
        </w:rPr>
      </w:pPr>
    </w:p>
    <w:p w:rsidR="00AD381B" w:rsidRPr="00CC24B9" w:rsidP="00AD381B" w14:paraId="1063B6EA" w14:textId="0D1857B8">
      <w:pPr>
        <w:pStyle w:val="ListParagraph"/>
        <w:rPr>
          <w:rFonts w:ascii="Times New Roman" w:hAnsi="Times New Roman"/>
          <w:bCs/>
          <w:szCs w:val="24"/>
        </w:rPr>
      </w:pPr>
      <w:r w:rsidRPr="00CC24B9">
        <w:rPr>
          <w:rFonts w:ascii="Times New Roman" w:hAnsi="Times New Roman"/>
          <w:bCs/>
          <w:szCs w:val="24"/>
        </w:rPr>
        <w:t>There are no special circumstances that would cause an information collection to be conducted as described in the bulleted items.</w:t>
      </w:r>
    </w:p>
    <w:p w:rsidR="00AD381B" w:rsidRPr="00AD381B" w:rsidP="00AD381B" w14:paraId="5C6CDBBD" w14:textId="77777777">
      <w:pPr>
        <w:tabs>
          <w:tab w:val="left" w:pos="-720"/>
        </w:tabs>
        <w:suppressAutoHyphens/>
        <w:rPr>
          <w:rFonts w:ascii="Times New Roman" w:hAnsi="Times New Roman"/>
          <w:szCs w:val="24"/>
        </w:rPr>
      </w:pPr>
    </w:p>
    <w:p w:rsidR="00D75313" w:rsidP="00AD381B" w14:paraId="5736CC5B"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C4AB212"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089E55C7"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3D4D62DF"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5CD6EBF6" w14:textId="0CC13025">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w:t>
      </w:r>
      <w:r w:rsidR="002C082B">
        <w:rPr>
          <w:rFonts w:ascii="Times New Roman" w:hAnsi="Times New Roman"/>
          <w:b/>
          <w:szCs w:val="24"/>
        </w:rPr>
        <w:t>-</w:t>
      </w:r>
      <w:r>
        <w:rPr>
          <w:rFonts w:ascii="Times New Roman" w:hAnsi="Times New Roman"/>
          <w:b/>
          <w:szCs w:val="24"/>
        </w:rPr>
        <w:t>day notice, indicate that a notice will be published.</w:t>
      </w:r>
    </w:p>
    <w:p w:rsidR="00043C32" w:rsidRPr="00AD381B" w:rsidP="00AD381B" w14:paraId="3C272C3C"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45D8DAE7" w14:textId="77777777">
      <w:pPr>
        <w:tabs>
          <w:tab w:val="left" w:pos="-720"/>
        </w:tabs>
        <w:suppressAutoHyphens/>
        <w:rPr>
          <w:rStyle w:val="a"/>
          <w:rFonts w:ascii="Times New Roman" w:hAnsi="Times New Roman"/>
          <w:b/>
          <w:szCs w:val="24"/>
        </w:rPr>
      </w:pPr>
    </w:p>
    <w:p w:rsidR="00043C32" w:rsidP="00AD381B" w14:paraId="2B52B958"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57D9A" w:rsidRPr="00357D9A" w:rsidP="00357D9A" w14:paraId="2B8691F3" w14:textId="34030E46">
      <w:pPr>
        <w:pStyle w:val="MediumGrid1-Accent21"/>
        <w:spacing w:before="240"/>
      </w:pPr>
      <w:r w:rsidRPr="00357D9A">
        <w:t xml:space="preserve">OSEP consulted with the field during the development of this revision.  Additionally, Information Collection 1820-0624 was placed in the Federal Register for a 60-day comment period as a part of this approval of the revision to an approved collection. This is the request for the 30-day Federal Register notice inviting public comment. OSEP’s responses to the comments received during the 60-day comment period are included with this 30-day Federal Register notice.  </w:t>
      </w:r>
    </w:p>
    <w:p w:rsidR="00E66550" w:rsidP="00AD381B" w14:paraId="6C041973" w14:textId="77777777">
      <w:pPr>
        <w:tabs>
          <w:tab w:val="left" w:pos="-720"/>
        </w:tabs>
        <w:suppressAutoHyphens/>
        <w:ind w:left="720"/>
        <w:rPr>
          <w:rFonts w:ascii="Times New Roman" w:hAnsi="Times New Roman"/>
          <w:szCs w:val="24"/>
        </w:rPr>
      </w:pPr>
    </w:p>
    <w:p w:rsidR="00043C32" w:rsidP="00AD381B" w14:paraId="74514690"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3A2035" w:rsidP="003A2035" w14:paraId="53D14A19" w14:textId="77777777">
      <w:pPr>
        <w:pStyle w:val="MediumGrid1-Accent21"/>
        <w:spacing w:before="240"/>
      </w:pPr>
      <w:r w:rsidRPr="00651FCB">
        <w:t>This collection does not require gifts or payments to be made to respondents.</w:t>
      </w:r>
    </w:p>
    <w:p w:rsidR="00920F63" w:rsidRPr="00920F63" w:rsidP="00920F63" w14:paraId="247FF239" w14:textId="77777777">
      <w:pPr>
        <w:pStyle w:val="ListParagraph"/>
        <w:tabs>
          <w:tab w:val="left" w:pos="-720"/>
        </w:tabs>
        <w:suppressAutoHyphens/>
        <w:contextualSpacing w:val="0"/>
        <w:rPr>
          <w:rFonts w:ascii="Times New Roman" w:hAnsi="Times New Roman"/>
          <w:b/>
          <w:szCs w:val="24"/>
        </w:rPr>
      </w:pPr>
    </w:p>
    <w:p w:rsidR="00043C32" w:rsidRPr="00D75313" w:rsidP="00AD381B" w14:paraId="5B7C3C4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3A2035" w:rsidP="003A2035" w14:paraId="04B4F085" w14:textId="42A55601">
      <w:pPr>
        <w:pStyle w:val="MediumGrid1-Accent21"/>
        <w:spacing w:before="240"/>
      </w:pPr>
      <w:r w:rsidRPr="00651FCB">
        <w:t>No assurance of confidentiality is provided to respondent States.  However</w:t>
      </w:r>
      <w:r>
        <w:t>,</w:t>
      </w:r>
      <w:r w:rsidRPr="00651FCB">
        <w:t xml:space="preserve"> </w:t>
      </w:r>
      <w:r>
        <w:t xml:space="preserve">under </w:t>
      </w:r>
      <w:r w:rsidRPr="00651FCB">
        <w:t>20 U.S.C. 1416(b)(2)(C)(iii)</w:t>
      </w:r>
      <w:r>
        <w:t xml:space="preserve">, a </w:t>
      </w:r>
      <w:r w:rsidRPr="00651FCB">
        <w:t xml:space="preserve">State </w:t>
      </w:r>
      <w:r>
        <w:t xml:space="preserve">must </w:t>
      </w:r>
      <w:r w:rsidRPr="00651FCB">
        <w:t xml:space="preserve">not report to the public or the Secretary any information on performance that would result in the disclosure of </w:t>
      </w:r>
      <w:r w:rsidRPr="00651FCB">
        <w:t>personally</w:t>
      </w:r>
      <w:r>
        <w:t>-</w:t>
      </w:r>
      <w:r w:rsidRPr="00651FCB">
        <w:t>identifiable</w:t>
      </w:r>
      <w:r w:rsidRPr="00651FCB">
        <w:t xml:space="preserve"> information about individual children or where the available data is insufficient to yield statistically reliable information.  All data </w:t>
      </w:r>
      <w:r>
        <w:t xml:space="preserve">required to be reported in the SPP/APR </w:t>
      </w:r>
      <w:r w:rsidRPr="00651FCB">
        <w:t>are aggregated at the State level.</w:t>
      </w:r>
    </w:p>
    <w:p w:rsidR="00920F63" w:rsidRPr="00920F63" w:rsidP="00E25EBC" w14:paraId="2BC2A77A" w14:textId="77777777">
      <w:pPr>
        <w:tabs>
          <w:tab w:val="left" w:pos="-720"/>
        </w:tabs>
        <w:suppressAutoHyphens/>
        <w:rPr>
          <w:rFonts w:ascii="Times New Roman" w:hAnsi="Times New Roman"/>
          <w:szCs w:val="24"/>
        </w:rPr>
      </w:pPr>
    </w:p>
    <w:p w:rsidR="00043C32" w:rsidP="00AD381B" w14:paraId="659FB2DC"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A2035" w:rsidRPr="002F7FA2" w:rsidP="003A2035" w14:paraId="7E01CC54" w14:textId="53DEDB92">
      <w:pPr>
        <w:pStyle w:val="MediumGrid1-Accent21"/>
        <w:spacing w:before="240"/>
        <w:rPr>
          <w:szCs w:val="22"/>
        </w:rPr>
      </w:pPr>
      <w:r w:rsidRPr="00013B17">
        <w:rPr>
          <w:szCs w:val="22"/>
        </w:rPr>
        <w:t>There are no questions of a sensitive nature.</w:t>
      </w:r>
    </w:p>
    <w:p w:rsidR="00920F63" w:rsidRPr="00920F63" w:rsidP="00920F63" w14:paraId="46CFB771" w14:textId="77777777">
      <w:pPr>
        <w:tabs>
          <w:tab w:val="left" w:pos="-720"/>
        </w:tabs>
        <w:suppressAutoHyphens/>
        <w:ind w:left="180"/>
        <w:rPr>
          <w:rFonts w:ascii="Times New Roman" w:hAnsi="Times New Roman"/>
          <w:szCs w:val="24"/>
        </w:rPr>
      </w:pPr>
    </w:p>
    <w:p w:rsidR="00043C32" w:rsidRPr="00920F63" w:rsidP="00AD381B" w14:paraId="29BD4E3B"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5E6F01A7" w14:textId="77777777">
      <w:pPr>
        <w:tabs>
          <w:tab w:val="left" w:pos="-720"/>
        </w:tabs>
        <w:suppressAutoHyphens/>
        <w:rPr>
          <w:rStyle w:val="a"/>
          <w:rFonts w:ascii="Times New Roman" w:hAnsi="Times New Roman"/>
          <w:b/>
          <w:szCs w:val="24"/>
        </w:rPr>
      </w:pPr>
    </w:p>
    <w:p w:rsidR="00C224FD" w:rsidP="00C224FD" w14:paraId="639F43CD"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FF8EB08"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3B5D90C3"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0F875040"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551E5EB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0923BC64" w14:textId="77777777">
      <w:pPr>
        <w:tabs>
          <w:tab w:val="left" w:pos="-720"/>
          <w:tab w:val="left" w:pos="1247"/>
        </w:tabs>
        <w:suppressAutoHyphens/>
        <w:rPr>
          <w:rStyle w:val="a"/>
          <w:rFonts w:ascii="Times New Roman" w:hAnsi="Times New Roman"/>
          <w:b/>
          <w:szCs w:val="24"/>
        </w:rPr>
      </w:pPr>
    </w:p>
    <w:p w:rsidR="00946126" w:rsidP="00946126" w14:paraId="3AFF071E" w14:textId="7A50F7FB">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CD084D" w:rsidRPr="000D522B" w:rsidP="00CD084D" w14:paraId="3C3B0B8B" w14:textId="44750745">
      <w:pPr>
        <w:pStyle w:val="ListParagraph"/>
        <w:tabs>
          <w:tab w:val="left" w:pos="-720"/>
        </w:tabs>
        <w:suppressAutoHyphens/>
        <w:rPr>
          <w:rStyle w:val="a"/>
          <w:rFonts w:ascii="Times New Roman" w:hAnsi="Times New Roman"/>
        </w:rPr>
      </w:pPr>
      <w:r w:rsidRPr="57B1D63C">
        <w:rPr>
          <w:rStyle w:val="a"/>
          <w:rFonts w:ascii="Times New Roman" w:hAnsi="Times New Roman"/>
        </w:rPr>
        <w:t xml:space="preserve">Based on feedback received during the 60-day public comment period, the Department is proposing to nominally increase </w:t>
      </w:r>
      <w:r w:rsidR="00D20218">
        <w:rPr>
          <w:rStyle w:val="a"/>
          <w:rFonts w:ascii="Times New Roman" w:hAnsi="Times New Roman"/>
        </w:rPr>
        <w:t xml:space="preserve">the estimate of the </w:t>
      </w:r>
      <w:r w:rsidRPr="57B1D63C">
        <w:rPr>
          <w:rStyle w:val="a"/>
          <w:rFonts w:ascii="Times New Roman" w:hAnsi="Times New Roman"/>
        </w:rPr>
        <w:t>reporting burden</w:t>
      </w:r>
      <w:r w:rsidR="00D20218">
        <w:rPr>
          <w:rStyle w:val="a"/>
          <w:rFonts w:ascii="Times New Roman" w:hAnsi="Times New Roman"/>
        </w:rPr>
        <w:t xml:space="preserve"> for this information collection</w:t>
      </w:r>
      <w:r w:rsidRPr="57B1D63C">
        <w:rPr>
          <w:rStyle w:val="a"/>
          <w:rFonts w:ascii="Times New Roman" w:hAnsi="Times New Roman"/>
        </w:rPr>
        <w:t xml:space="preserve">. The Department believes that any burden associated with this </w:t>
      </w:r>
      <w:r w:rsidR="00D20218">
        <w:rPr>
          <w:rStyle w:val="a"/>
          <w:rFonts w:ascii="Times New Roman" w:hAnsi="Times New Roman"/>
        </w:rPr>
        <w:t>information collection</w:t>
      </w:r>
      <w:r w:rsidRPr="57B1D63C">
        <w:rPr>
          <w:rStyle w:val="a"/>
          <w:rFonts w:ascii="Times New Roman" w:hAnsi="Times New Roman"/>
        </w:rPr>
        <w:t xml:space="preserve"> is outweighed </w:t>
      </w:r>
      <w:r w:rsidRPr="57B1D63C" w:rsidR="00841059">
        <w:rPr>
          <w:rStyle w:val="a"/>
          <w:rFonts w:ascii="Times New Roman" w:hAnsi="Times New Roman"/>
        </w:rPr>
        <w:t xml:space="preserve">by </w:t>
      </w:r>
      <w:r w:rsidRPr="57B1D63C">
        <w:rPr>
          <w:rStyle w:val="a"/>
          <w:rFonts w:ascii="Times New Roman" w:hAnsi="Times New Roman"/>
        </w:rPr>
        <w:t>transparenc</w:t>
      </w:r>
      <w:r w:rsidR="00BE2663">
        <w:rPr>
          <w:rStyle w:val="a"/>
          <w:rFonts w:ascii="Times New Roman" w:hAnsi="Times New Roman"/>
        </w:rPr>
        <w:t xml:space="preserve">y </w:t>
      </w:r>
      <w:r w:rsidRPr="57B1D63C">
        <w:rPr>
          <w:rStyle w:val="a"/>
          <w:rFonts w:ascii="Times New Roman" w:hAnsi="Times New Roman"/>
        </w:rPr>
        <w:t>and efforts to improve outcomes for children with disabilities</w:t>
      </w:r>
      <w:r w:rsidR="00751C01">
        <w:rPr>
          <w:rStyle w:val="a"/>
          <w:rFonts w:ascii="Times New Roman" w:hAnsi="Times New Roman"/>
        </w:rPr>
        <w:t xml:space="preserve"> gained by </w:t>
      </w:r>
      <w:r w:rsidR="007B648F">
        <w:rPr>
          <w:rStyle w:val="a"/>
          <w:rFonts w:ascii="Times New Roman" w:hAnsi="Times New Roman"/>
        </w:rPr>
        <w:t xml:space="preserve">the focus on State </w:t>
      </w:r>
      <w:r w:rsidR="00AF7339">
        <w:rPr>
          <w:rStyle w:val="a"/>
          <w:rFonts w:ascii="Times New Roman" w:hAnsi="Times New Roman"/>
        </w:rPr>
        <w:t xml:space="preserve">general supervision </w:t>
      </w:r>
      <w:r w:rsidR="007B648F">
        <w:rPr>
          <w:rStyle w:val="a"/>
          <w:rFonts w:ascii="Times New Roman" w:hAnsi="Times New Roman"/>
        </w:rPr>
        <w:t>systems under IDEA</w:t>
      </w:r>
      <w:r w:rsidRPr="57B1D63C">
        <w:rPr>
          <w:rStyle w:val="a"/>
          <w:rFonts w:ascii="Times New Roman" w:hAnsi="Times New Roman"/>
        </w:rPr>
        <w:t xml:space="preserve">. It is estimated that it will take an average of </w:t>
      </w:r>
      <w:r w:rsidR="00645781">
        <w:rPr>
          <w:rStyle w:val="a"/>
          <w:rFonts w:ascii="Times New Roman" w:hAnsi="Times New Roman"/>
        </w:rPr>
        <w:t>5</w:t>
      </w:r>
      <w:r w:rsidRPr="57B1D63C">
        <w:rPr>
          <w:rStyle w:val="a"/>
          <w:rFonts w:ascii="Times New Roman" w:hAnsi="Times New Roman"/>
        </w:rPr>
        <w:t xml:space="preserve"> hours, i.e., </w:t>
      </w:r>
      <w:r w:rsidR="00645781">
        <w:rPr>
          <w:rStyle w:val="a"/>
          <w:rFonts w:ascii="Times New Roman" w:hAnsi="Times New Roman"/>
        </w:rPr>
        <w:t xml:space="preserve">approximately </w:t>
      </w:r>
      <w:r w:rsidRPr="57B1D63C">
        <w:rPr>
          <w:rStyle w:val="a"/>
          <w:rFonts w:ascii="Times New Roman" w:hAnsi="Times New Roman"/>
        </w:rPr>
        <w:t>the equivalent of a half-day meeting, to</w:t>
      </w:r>
      <w:r w:rsidR="00EC5636">
        <w:rPr>
          <w:rStyle w:val="a"/>
          <w:rFonts w:ascii="Times New Roman" w:hAnsi="Times New Roman"/>
        </w:rPr>
        <w:t xml:space="preserve"> </w:t>
      </w:r>
      <w:r w:rsidR="002B7B22">
        <w:rPr>
          <w:rStyle w:val="a"/>
          <w:rFonts w:ascii="Times New Roman" w:hAnsi="Times New Roman"/>
        </w:rPr>
        <w:t>run reports</w:t>
      </w:r>
      <w:r w:rsidR="006A7C87">
        <w:rPr>
          <w:rStyle w:val="a"/>
          <w:rFonts w:ascii="Times New Roman" w:hAnsi="Times New Roman"/>
        </w:rPr>
        <w:t xml:space="preserve"> or </w:t>
      </w:r>
      <w:r w:rsidR="00EC5636">
        <w:rPr>
          <w:rStyle w:val="a"/>
          <w:rFonts w:ascii="Times New Roman" w:hAnsi="Times New Roman"/>
        </w:rPr>
        <w:t>obtain</w:t>
      </w:r>
      <w:r w:rsidR="008F1A01">
        <w:rPr>
          <w:rStyle w:val="a"/>
          <w:rFonts w:ascii="Times New Roman" w:hAnsi="Times New Roman"/>
        </w:rPr>
        <w:t xml:space="preserve"> </w:t>
      </w:r>
      <w:r w:rsidR="00E21BEB">
        <w:rPr>
          <w:rStyle w:val="a"/>
          <w:rFonts w:ascii="Times New Roman" w:hAnsi="Times New Roman"/>
        </w:rPr>
        <w:t xml:space="preserve">relevant </w:t>
      </w:r>
      <w:r w:rsidR="00EC5636">
        <w:rPr>
          <w:rStyle w:val="a"/>
          <w:rFonts w:ascii="Times New Roman" w:hAnsi="Times New Roman"/>
        </w:rPr>
        <w:t xml:space="preserve">information from </w:t>
      </w:r>
      <w:r w:rsidR="00901660">
        <w:rPr>
          <w:rFonts w:ascii="Times New Roman" w:hAnsi="Times New Roman"/>
        </w:rPr>
        <w:t>State staff</w:t>
      </w:r>
      <w:r w:rsidR="00DA0D07">
        <w:rPr>
          <w:rFonts w:ascii="Times New Roman" w:hAnsi="Times New Roman"/>
        </w:rPr>
        <w:t xml:space="preserve"> </w:t>
      </w:r>
      <w:r w:rsidR="0076687F">
        <w:rPr>
          <w:rFonts w:ascii="Times New Roman" w:hAnsi="Times New Roman"/>
        </w:rPr>
        <w:t xml:space="preserve">regarding </w:t>
      </w:r>
      <w:r w:rsidR="00DA0D07">
        <w:rPr>
          <w:rFonts w:ascii="Times New Roman" w:hAnsi="Times New Roman"/>
        </w:rPr>
        <w:t xml:space="preserve">the correction of findings of noncompliance </w:t>
      </w:r>
      <w:r w:rsidR="0076687F">
        <w:rPr>
          <w:rFonts w:ascii="Times New Roman" w:hAnsi="Times New Roman"/>
        </w:rPr>
        <w:t>related to SPP/APR compliance indicator</w:t>
      </w:r>
      <w:r w:rsidR="009D62E5">
        <w:rPr>
          <w:rFonts w:ascii="Times New Roman" w:hAnsi="Times New Roman"/>
        </w:rPr>
        <w:t>s</w:t>
      </w:r>
      <w:r w:rsidR="00DA0D07">
        <w:rPr>
          <w:rFonts w:ascii="Times New Roman" w:hAnsi="Times New Roman"/>
        </w:rPr>
        <w:t xml:space="preserve">, </w:t>
      </w:r>
      <w:r w:rsidR="006A7C87">
        <w:rPr>
          <w:rFonts w:ascii="Times New Roman" w:hAnsi="Times New Roman"/>
        </w:rPr>
        <w:t xml:space="preserve">analyze data, and </w:t>
      </w:r>
      <w:r w:rsidR="00D31DDD">
        <w:rPr>
          <w:rFonts w:ascii="Times New Roman" w:hAnsi="Times New Roman"/>
        </w:rPr>
        <w:t>complete data entry</w:t>
      </w:r>
      <w:r w:rsidRPr="57B1D63C">
        <w:rPr>
          <w:rStyle w:val="a"/>
          <w:rFonts w:ascii="Times New Roman" w:hAnsi="Times New Roman"/>
        </w:rPr>
        <w:t xml:space="preserve">. Therefore, OSEP is revising the burden estimate to reflect an additional </w:t>
      </w:r>
      <w:r w:rsidR="000141AB">
        <w:rPr>
          <w:rStyle w:val="a"/>
          <w:rFonts w:ascii="Times New Roman" w:hAnsi="Times New Roman"/>
        </w:rPr>
        <w:t xml:space="preserve">five </w:t>
      </w:r>
      <w:r w:rsidRPr="57B1D63C">
        <w:rPr>
          <w:rStyle w:val="a"/>
          <w:rFonts w:ascii="Times New Roman" w:hAnsi="Times New Roman"/>
        </w:rPr>
        <w:t>hours in burden per response.</w:t>
      </w:r>
    </w:p>
    <w:p w:rsidR="00CD084D" w:rsidP="00CD084D" w14:paraId="4036B607" w14:textId="77777777">
      <w:pPr>
        <w:pStyle w:val="ListParagraph"/>
        <w:tabs>
          <w:tab w:val="left" w:pos="-720"/>
        </w:tabs>
        <w:suppressAutoHyphens/>
        <w:rPr>
          <w:rStyle w:val="a"/>
          <w:rFonts w:ascii="Times New Roman" w:hAnsi="Times New Roman"/>
          <w:szCs w:val="24"/>
        </w:rPr>
      </w:pPr>
    </w:p>
    <w:p w:rsidR="00275018" w:rsidRPr="000D522B" w:rsidP="00275018" w14:paraId="59C640F6" w14:textId="7986EFC7">
      <w:pPr>
        <w:pStyle w:val="ListParagraph"/>
        <w:tabs>
          <w:tab w:val="left" w:pos="-720"/>
        </w:tabs>
        <w:suppressAutoHyphens/>
        <w:rPr>
          <w:rStyle w:val="a"/>
          <w:rFonts w:ascii="Times New Roman" w:hAnsi="Times New Roman"/>
        </w:rPr>
      </w:pPr>
      <w:r w:rsidRPr="2FCA6397">
        <w:rPr>
          <w:rStyle w:val="a"/>
          <w:rFonts w:ascii="Times New Roman" w:hAnsi="Times New Roman"/>
        </w:rPr>
        <w:t>Total burden hours for the combined SPP/APR (submitted annually) will be 60 respondents times 1,79</w:t>
      </w:r>
      <w:r w:rsidR="00177411">
        <w:rPr>
          <w:rStyle w:val="a"/>
          <w:rFonts w:ascii="Times New Roman" w:hAnsi="Times New Roman"/>
        </w:rPr>
        <w:t>5</w:t>
      </w:r>
      <w:r w:rsidRPr="2FCA6397">
        <w:rPr>
          <w:rStyle w:val="a"/>
          <w:rFonts w:ascii="Times New Roman" w:hAnsi="Times New Roman"/>
        </w:rPr>
        <w:t xml:space="preserve"> hours (or an average</w:t>
      </w:r>
      <w:r>
        <w:rPr>
          <w:rStyle w:val="FootnoteReference"/>
        </w:rPr>
        <w:footnoteReference w:id="3"/>
      </w:r>
      <w:r w:rsidRPr="2FCA6397">
        <w:rPr>
          <w:rStyle w:val="a"/>
          <w:rFonts w:ascii="Times New Roman" w:hAnsi="Times New Roman"/>
        </w:rPr>
        <w:t xml:space="preserve"> of 10</w:t>
      </w:r>
      <w:r w:rsidR="00177411">
        <w:rPr>
          <w:rStyle w:val="a"/>
          <w:rFonts w:ascii="Times New Roman" w:hAnsi="Times New Roman"/>
        </w:rPr>
        <w:t>0</w:t>
      </w:r>
      <w:r w:rsidRPr="2FCA6397">
        <w:rPr>
          <w:rStyle w:val="a"/>
          <w:rFonts w:ascii="Times New Roman" w:hAnsi="Times New Roman"/>
        </w:rPr>
        <w:t xml:space="preserve"> hours per indicator), which equals 107,</w:t>
      </w:r>
      <w:r w:rsidR="00FC7F1D">
        <w:rPr>
          <w:rStyle w:val="a"/>
          <w:rFonts w:ascii="Times New Roman" w:hAnsi="Times New Roman"/>
        </w:rPr>
        <w:t>7</w:t>
      </w:r>
      <w:r w:rsidRPr="2FCA6397">
        <w:rPr>
          <w:rStyle w:val="a"/>
          <w:rFonts w:ascii="Times New Roman" w:hAnsi="Times New Roman"/>
        </w:rPr>
        <w:t>00 hours.  Of the total 1,79</w:t>
      </w:r>
      <w:r w:rsidR="000C2306">
        <w:rPr>
          <w:rStyle w:val="a"/>
          <w:rFonts w:ascii="Times New Roman" w:hAnsi="Times New Roman"/>
        </w:rPr>
        <w:t>5</w:t>
      </w:r>
      <w:r w:rsidRPr="2FCA6397">
        <w:rPr>
          <w:rStyle w:val="a"/>
          <w:rFonts w:ascii="Times New Roman" w:hAnsi="Times New Roman"/>
        </w:rPr>
        <w:t xml:space="preserve"> hours, it is estimated that 1,710 hours will be spent planning the report, 4</w:t>
      </w:r>
      <w:r w:rsidR="002B340C">
        <w:rPr>
          <w:rStyle w:val="a"/>
          <w:rFonts w:ascii="Times New Roman" w:hAnsi="Times New Roman"/>
        </w:rPr>
        <w:t>3</w:t>
      </w:r>
      <w:r w:rsidRPr="2FCA6397">
        <w:rPr>
          <w:rStyle w:val="a"/>
          <w:rFonts w:ascii="Times New Roman" w:hAnsi="Times New Roman"/>
        </w:rPr>
        <w:t xml:space="preserve"> hours will be spent writing the report, and 4</w:t>
      </w:r>
      <w:r w:rsidR="00E60C81">
        <w:rPr>
          <w:rStyle w:val="a"/>
          <w:rFonts w:ascii="Times New Roman" w:hAnsi="Times New Roman"/>
        </w:rPr>
        <w:t>2</w:t>
      </w:r>
      <w:r w:rsidRPr="2FCA6397">
        <w:rPr>
          <w:rStyle w:val="a"/>
          <w:rFonts w:ascii="Times New Roman" w:hAnsi="Times New Roman"/>
        </w:rPr>
        <w:t xml:space="preserve"> hours will be spent </w:t>
      </w:r>
      <w:r w:rsidR="001613BC">
        <w:rPr>
          <w:rStyle w:val="a"/>
          <w:rFonts w:ascii="Times New Roman" w:hAnsi="Times New Roman"/>
        </w:rPr>
        <w:t>completing data entry</w:t>
      </w:r>
      <w:r w:rsidRPr="2FCA6397">
        <w:rPr>
          <w:rStyle w:val="a"/>
          <w:rFonts w:ascii="Times New Roman" w:hAnsi="Times New Roman"/>
        </w:rPr>
        <w:t xml:space="preserve"> and compiling the report.</w:t>
      </w:r>
    </w:p>
    <w:p w:rsidR="00275018" w:rsidP="00275018" w14:paraId="25B714BB" w14:textId="77777777">
      <w:pPr>
        <w:pStyle w:val="ListParagraph"/>
        <w:tabs>
          <w:tab w:val="left" w:pos="-720"/>
        </w:tabs>
        <w:suppressAutoHyphens/>
        <w:rPr>
          <w:rStyle w:val="a"/>
          <w:rFonts w:ascii="Times New Roman" w:hAnsi="Times New Roman"/>
          <w:szCs w:val="24"/>
        </w:rPr>
      </w:pPr>
    </w:p>
    <w:p w:rsidR="00275018" w:rsidP="00275018" w14:paraId="7BA30AF8" w14:textId="0D012FC1">
      <w:pPr>
        <w:pStyle w:val="ListParagraph"/>
        <w:tabs>
          <w:tab w:val="left" w:pos="-720"/>
        </w:tabs>
        <w:suppressAutoHyphens/>
        <w:rPr>
          <w:rStyle w:val="a"/>
          <w:rFonts w:ascii="Times New Roman" w:hAnsi="Times New Roman"/>
        </w:rPr>
      </w:pPr>
      <w:r w:rsidRPr="2FCA6397">
        <w:rPr>
          <w:rStyle w:val="a"/>
          <w:rFonts w:ascii="Times New Roman" w:hAnsi="Times New Roman"/>
        </w:rPr>
        <w:t>The estimated cost burden to public agencies of preparing the SPP/APR is $3,3</w:t>
      </w:r>
      <w:r w:rsidR="00F45FD8">
        <w:rPr>
          <w:rStyle w:val="a"/>
          <w:rFonts w:ascii="Times New Roman" w:hAnsi="Times New Roman"/>
        </w:rPr>
        <w:t>38</w:t>
      </w:r>
      <w:r w:rsidRPr="2FCA6397">
        <w:rPr>
          <w:rStyle w:val="a"/>
          <w:rFonts w:ascii="Times New Roman" w:hAnsi="Times New Roman"/>
        </w:rPr>
        <w:t>,</w:t>
      </w:r>
      <w:r w:rsidR="00F45FD8">
        <w:rPr>
          <w:rStyle w:val="a"/>
          <w:rFonts w:ascii="Times New Roman" w:hAnsi="Times New Roman"/>
        </w:rPr>
        <w:t>7</w:t>
      </w:r>
      <w:r w:rsidRPr="2FCA6397">
        <w:rPr>
          <w:rStyle w:val="a"/>
          <w:rFonts w:ascii="Times New Roman" w:hAnsi="Times New Roman"/>
        </w:rPr>
        <w:t>00 annually.  The estimated total cost burden is reached by multiplying the hours of response (1,79</w:t>
      </w:r>
      <w:r w:rsidR="00CC667A">
        <w:rPr>
          <w:rStyle w:val="a"/>
          <w:rFonts w:ascii="Times New Roman" w:hAnsi="Times New Roman"/>
        </w:rPr>
        <w:t>5</w:t>
      </w:r>
      <w:r w:rsidRPr="2FCA6397">
        <w:rPr>
          <w:rStyle w:val="a"/>
          <w:rFonts w:ascii="Times New Roman" w:hAnsi="Times New Roman"/>
        </w:rPr>
        <w:t xml:space="preserve">) by the number of responses (60) and then multiplying the </w:t>
      </w:r>
      <w:r w:rsidRPr="2FCA6397">
        <w:rPr>
          <w:rStyle w:val="a"/>
          <w:rFonts w:ascii="Times New Roman" w:hAnsi="Times New Roman"/>
        </w:rPr>
        <w:t>newly-obtained</w:t>
      </w:r>
      <w:r w:rsidRPr="2FCA6397">
        <w:rPr>
          <w:rStyle w:val="a"/>
          <w:rFonts w:ascii="Times New Roman" w:hAnsi="Times New Roman"/>
        </w:rPr>
        <w:t xml:space="preserve"> product by the average hourly pay rate ($31) of the staff preparing the report.</w:t>
      </w:r>
    </w:p>
    <w:p w:rsidR="00275018" w:rsidP="00275018" w14:paraId="38E8BF69" w14:textId="77777777">
      <w:pPr>
        <w:pStyle w:val="ListParagraph"/>
        <w:tabs>
          <w:tab w:val="left" w:pos="-720"/>
        </w:tabs>
        <w:suppressAutoHyphens/>
        <w:rPr>
          <w:rStyle w:val="a"/>
          <w:rFonts w:ascii="Times New Roman" w:hAnsi="Times New Roman"/>
          <w:szCs w:val="24"/>
        </w:rPr>
      </w:pPr>
    </w:p>
    <w:p w:rsidR="00275018" w:rsidRPr="006C36A3" w:rsidP="006C36A3" w14:paraId="5C1CD939" w14:textId="77777777">
      <w:pPr>
        <w:pStyle w:val="ListParagraph"/>
        <w:tabs>
          <w:tab w:val="left" w:pos="-720"/>
        </w:tabs>
        <w:suppressAutoHyphens/>
        <w:rPr>
          <w:rFonts w:ascii="Times New Roman" w:hAnsi="Times New Roman"/>
          <w:szCs w:val="24"/>
        </w:rPr>
      </w:pPr>
    </w:p>
    <w:p w:rsidR="003A2035" w:rsidRPr="00756FD3" w:rsidP="00946126" w14:paraId="0F464A27" w14:textId="77777777">
      <w:pPr>
        <w:pStyle w:val="ListParagraph"/>
        <w:tabs>
          <w:tab w:val="left" w:pos="-720"/>
        </w:tabs>
        <w:suppressAutoHyphens/>
        <w:contextualSpacing w:val="0"/>
        <w:rPr>
          <w:rFonts w:ascii="Times New Roman" w:hAnsi="Times New Roman"/>
          <w:b/>
          <w:sz w:val="26"/>
          <w:szCs w:val="26"/>
        </w:rPr>
      </w:pPr>
    </w:p>
    <w:p w:rsidR="00920F63" w:rsidP="00920F63" w14:paraId="64C0EBFA" w14:textId="77777777">
      <w:pPr>
        <w:pStyle w:val="ListParagraph"/>
        <w:tabs>
          <w:tab w:val="left" w:pos="-720"/>
        </w:tabs>
        <w:suppressAutoHyphens/>
        <w:rPr>
          <w:rStyle w:val="a"/>
          <w:rFonts w:ascii="Times New Roman" w:hAnsi="Times New Roman"/>
          <w:szCs w:val="24"/>
        </w:rPr>
      </w:pPr>
    </w:p>
    <w:p w:rsidR="00ED7195" w:rsidRPr="00920F63" w:rsidP="00756FD3" w14:paraId="5829CD1B"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170"/>
        <w:gridCol w:w="1170"/>
        <w:gridCol w:w="1260"/>
        <w:gridCol w:w="1170"/>
        <w:gridCol w:w="1170"/>
        <w:gridCol w:w="1170"/>
        <w:gridCol w:w="1530"/>
        <w:gridCol w:w="1350"/>
      </w:tblGrid>
      <w:tr w14:paraId="06D88DA4" w14:textId="77777777" w:rsidTr="00FF157E">
        <w:tblPrEx>
          <w:tblW w:w="11335" w:type="dxa"/>
          <w:tblLayout w:type="fixed"/>
          <w:tblLook w:val="0020"/>
        </w:tblPrEx>
        <w:trPr>
          <w:tblHeader/>
        </w:trPr>
        <w:tc>
          <w:tcPr>
            <w:tcW w:w="1345" w:type="dxa"/>
          </w:tcPr>
          <w:p w:rsidR="00C86713" w:rsidP="00FE1BAE" w14:paraId="56AE653E" w14:textId="77777777">
            <w:pPr>
              <w:jc w:val="center"/>
              <w:rPr>
                <w:rFonts w:ascii="Times New Roman" w:hAnsi="Times New Roman"/>
                <w:sz w:val="20"/>
              </w:rPr>
            </w:pPr>
          </w:p>
          <w:p w:rsidR="00C86713" w:rsidP="00FE1BAE" w14:paraId="7B6ECC98" w14:textId="77777777">
            <w:pPr>
              <w:jc w:val="center"/>
              <w:rPr>
                <w:rFonts w:ascii="Times New Roman" w:hAnsi="Times New Roman"/>
                <w:sz w:val="20"/>
              </w:rPr>
            </w:pPr>
          </w:p>
          <w:p w:rsidR="00C86713" w:rsidRPr="007F6104" w:rsidP="00FE1BAE" w14:paraId="64ABD196"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170" w:type="dxa"/>
          </w:tcPr>
          <w:p w:rsidR="00C86713" w:rsidP="00FE1BAE" w14:paraId="2E9456C3" w14:textId="77777777">
            <w:pPr>
              <w:jc w:val="center"/>
              <w:rPr>
                <w:rFonts w:ascii="Times New Roman" w:hAnsi="Times New Roman"/>
                <w:sz w:val="20"/>
              </w:rPr>
            </w:pPr>
          </w:p>
          <w:p w:rsidR="00C86713" w:rsidP="00FE1BAE" w14:paraId="0BD14691" w14:textId="77777777">
            <w:pPr>
              <w:jc w:val="center"/>
              <w:rPr>
                <w:rFonts w:ascii="Times New Roman" w:hAnsi="Times New Roman"/>
                <w:sz w:val="20"/>
              </w:rPr>
            </w:pPr>
          </w:p>
          <w:p w:rsidR="00C86713" w:rsidRPr="007F6104" w:rsidP="00FE1BAE" w14:paraId="768CE657"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170" w:type="dxa"/>
          </w:tcPr>
          <w:p w:rsidR="00C86713" w:rsidP="00FE1BAE" w14:paraId="166D8441" w14:textId="77777777">
            <w:pPr>
              <w:jc w:val="center"/>
              <w:rPr>
                <w:rFonts w:ascii="Times New Roman" w:hAnsi="Times New Roman"/>
                <w:sz w:val="20"/>
              </w:rPr>
            </w:pPr>
          </w:p>
          <w:p w:rsidR="00C86713" w:rsidP="00581C11" w14:paraId="027773C7" w14:textId="77777777">
            <w:pPr>
              <w:shd w:val="clear" w:color="auto" w:fill="F2F2F2" w:themeFill="background1" w:themeFillShade="F2"/>
              <w:jc w:val="center"/>
              <w:rPr>
                <w:rFonts w:ascii="Times New Roman" w:hAnsi="Times New Roman"/>
                <w:sz w:val="20"/>
              </w:rPr>
            </w:pPr>
          </w:p>
          <w:p w:rsidR="00C86713" w:rsidRPr="007F6104" w:rsidP="00581C11" w14:paraId="3BA15BAE"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60" w:type="dxa"/>
          </w:tcPr>
          <w:p w:rsidR="00C86713" w:rsidRPr="007F6104" w:rsidP="00FE1BAE" w14:paraId="3846F981"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170" w:type="dxa"/>
          </w:tcPr>
          <w:p w:rsidR="00C86713" w:rsidP="00FE1BAE" w14:paraId="15DEABCC" w14:textId="77777777">
            <w:pPr>
              <w:jc w:val="center"/>
              <w:rPr>
                <w:rFonts w:ascii="Times New Roman" w:hAnsi="Times New Roman"/>
                <w:sz w:val="20"/>
              </w:rPr>
            </w:pPr>
          </w:p>
          <w:p w:rsidR="00C86713" w:rsidP="00FE1BAE" w14:paraId="1A717419" w14:textId="77777777">
            <w:pPr>
              <w:jc w:val="center"/>
              <w:rPr>
                <w:rFonts w:ascii="Times New Roman" w:hAnsi="Times New Roman"/>
                <w:sz w:val="20"/>
              </w:rPr>
            </w:pPr>
          </w:p>
          <w:p w:rsidR="00C86713" w:rsidRPr="007F6104" w:rsidP="00FE1BAE" w14:paraId="0D7FA566" w14:textId="77777777">
            <w:pPr>
              <w:jc w:val="center"/>
              <w:rPr>
                <w:rFonts w:ascii="Times New Roman" w:hAnsi="Times New Roman"/>
                <w:sz w:val="20"/>
              </w:rPr>
            </w:pPr>
            <w:r w:rsidRPr="007F6104">
              <w:rPr>
                <w:rFonts w:ascii="Times New Roman" w:hAnsi="Times New Roman"/>
                <w:sz w:val="20"/>
              </w:rPr>
              <w:t>Number of Responses</w:t>
            </w:r>
          </w:p>
        </w:tc>
        <w:tc>
          <w:tcPr>
            <w:tcW w:w="1170" w:type="dxa"/>
          </w:tcPr>
          <w:p w:rsidR="00C86713" w:rsidP="00FE1BAE" w14:paraId="74F8E403" w14:textId="77777777">
            <w:pPr>
              <w:jc w:val="center"/>
              <w:rPr>
                <w:rFonts w:ascii="Times New Roman" w:hAnsi="Times New Roman"/>
                <w:sz w:val="20"/>
              </w:rPr>
            </w:pPr>
          </w:p>
          <w:p w:rsidR="00C86713" w:rsidRPr="007F6104" w:rsidP="00FE1BAE" w14:paraId="0B503C82" w14:textId="77777777">
            <w:pPr>
              <w:jc w:val="center"/>
              <w:rPr>
                <w:rFonts w:ascii="Times New Roman" w:hAnsi="Times New Roman"/>
                <w:sz w:val="20"/>
              </w:rPr>
            </w:pPr>
            <w:r w:rsidRPr="007F6104">
              <w:rPr>
                <w:rFonts w:ascii="Times New Roman" w:hAnsi="Times New Roman"/>
                <w:sz w:val="20"/>
              </w:rPr>
              <w:t>Average Burden Hours per Response</w:t>
            </w:r>
          </w:p>
        </w:tc>
        <w:tc>
          <w:tcPr>
            <w:tcW w:w="1170" w:type="dxa"/>
          </w:tcPr>
          <w:p w:rsidR="00F31BEC" w:rsidP="00FE1BAE" w14:paraId="202DEC9E" w14:textId="77777777">
            <w:pPr>
              <w:jc w:val="center"/>
              <w:rPr>
                <w:rFonts w:ascii="Times New Roman" w:hAnsi="Times New Roman"/>
                <w:sz w:val="20"/>
              </w:rPr>
            </w:pPr>
          </w:p>
          <w:p w:rsidR="00C86713" w:rsidRPr="007F6104" w:rsidP="00F31BEC" w14:paraId="1CDB3561"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14:paraId="209B84C2" w14:textId="77777777">
            <w:pPr>
              <w:jc w:val="center"/>
              <w:rPr>
                <w:rFonts w:ascii="Times New Roman" w:hAnsi="Times New Roman"/>
                <w:sz w:val="20"/>
              </w:rPr>
            </w:pPr>
          </w:p>
          <w:p w:rsidR="00C86713" w:rsidP="00FE1BAE" w14:paraId="0940DB00" w14:textId="77777777">
            <w:pPr>
              <w:jc w:val="center"/>
              <w:rPr>
                <w:rFonts w:ascii="Times New Roman" w:hAnsi="Times New Roman"/>
                <w:sz w:val="20"/>
              </w:rPr>
            </w:pPr>
          </w:p>
          <w:p w:rsidR="00C86713" w:rsidRPr="007F6104" w:rsidP="00FE1BAE" w14:paraId="181E3E48"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14:paraId="5B481B3C" w14:textId="77777777">
            <w:pPr>
              <w:jc w:val="center"/>
              <w:rPr>
                <w:rFonts w:ascii="Times New Roman" w:hAnsi="Times New Roman"/>
                <w:sz w:val="20"/>
              </w:rPr>
            </w:pPr>
          </w:p>
          <w:p w:rsidR="00C86713" w:rsidP="00FE1BAE" w14:paraId="7849A6C8" w14:textId="77777777">
            <w:pPr>
              <w:jc w:val="center"/>
              <w:rPr>
                <w:rFonts w:ascii="Times New Roman" w:hAnsi="Times New Roman"/>
                <w:sz w:val="20"/>
              </w:rPr>
            </w:pPr>
          </w:p>
          <w:p w:rsidR="00C86713" w:rsidRPr="007F6104" w:rsidP="00FE1BAE" w14:paraId="3C904CA1"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012AAC8" w14:textId="77777777" w:rsidTr="00FF157E">
        <w:tblPrEx>
          <w:tblW w:w="11335" w:type="dxa"/>
          <w:tblLayout w:type="fixed"/>
          <w:tblLook w:val="0020"/>
        </w:tblPrEx>
        <w:tc>
          <w:tcPr>
            <w:tcW w:w="1345" w:type="dxa"/>
          </w:tcPr>
          <w:p w:rsidR="00C86713" w:rsidRPr="00442E07" w:rsidP="00FE1BAE" w14:paraId="3CBE7531" w14:textId="6EC7F2BA">
            <w:pPr>
              <w:rPr>
                <w:rFonts w:ascii="Times New Roman" w:hAnsi="Times New Roman"/>
                <w:szCs w:val="24"/>
              </w:rPr>
            </w:pPr>
            <w:r>
              <w:rPr>
                <w:rFonts w:ascii="Times New Roman" w:hAnsi="Times New Roman"/>
                <w:szCs w:val="24"/>
              </w:rPr>
              <w:t>Part B SPP/APR</w:t>
            </w:r>
          </w:p>
        </w:tc>
        <w:tc>
          <w:tcPr>
            <w:tcW w:w="1170" w:type="dxa"/>
          </w:tcPr>
          <w:p w:rsidR="00C86713" w:rsidRPr="00442E07" w:rsidP="00FE1BAE" w14:paraId="71A29D82" w14:textId="77777777">
            <w:pPr>
              <w:rPr>
                <w:rFonts w:ascii="Times New Roman" w:hAnsi="Times New Roman"/>
                <w:szCs w:val="24"/>
              </w:rPr>
            </w:pPr>
          </w:p>
        </w:tc>
        <w:tc>
          <w:tcPr>
            <w:tcW w:w="1170" w:type="dxa"/>
          </w:tcPr>
          <w:p w:rsidR="00C86713" w:rsidRPr="00442E07" w:rsidP="00FE1BAE" w14:paraId="068173B9" w14:textId="77777777">
            <w:pPr>
              <w:rPr>
                <w:rFonts w:ascii="Times New Roman" w:hAnsi="Times New Roman"/>
                <w:szCs w:val="24"/>
              </w:rPr>
            </w:pPr>
          </w:p>
        </w:tc>
        <w:tc>
          <w:tcPr>
            <w:tcW w:w="1260" w:type="dxa"/>
          </w:tcPr>
          <w:p w:rsidR="00C86713" w:rsidRPr="00442E07" w:rsidP="00FE1BAE" w14:paraId="2F413E79" w14:textId="2A6500A1">
            <w:pPr>
              <w:rPr>
                <w:rFonts w:ascii="Times New Roman" w:hAnsi="Times New Roman"/>
                <w:szCs w:val="24"/>
              </w:rPr>
            </w:pPr>
            <w:r>
              <w:rPr>
                <w:rFonts w:ascii="Times New Roman" w:hAnsi="Times New Roman"/>
                <w:szCs w:val="24"/>
              </w:rPr>
              <w:t>60</w:t>
            </w:r>
          </w:p>
        </w:tc>
        <w:tc>
          <w:tcPr>
            <w:tcW w:w="1170" w:type="dxa"/>
          </w:tcPr>
          <w:p w:rsidR="00C86713" w:rsidRPr="00442E07" w:rsidP="00FE1BAE" w14:paraId="75067F9F" w14:textId="420AA4AB">
            <w:pPr>
              <w:jc w:val="center"/>
              <w:rPr>
                <w:rFonts w:ascii="Times New Roman" w:hAnsi="Times New Roman"/>
                <w:szCs w:val="24"/>
              </w:rPr>
            </w:pPr>
            <w:r>
              <w:rPr>
                <w:rFonts w:ascii="Times New Roman" w:hAnsi="Times New Roman"/>
                <w:szCs w:val="24"/>
              </w:rPr>
              <w:t>60</w:t>
            </w:r>
          </w:p>
        </w:tc>
        <w:tc>
          <w:tcPr>
            <w:tcW w:w="1170" w:type="dxa"/>
          </w:tcPr>
          <w:p w:rsidR="00C86713" w:rsidRPr="00442E07" w:rsidP="00FE1BAE" w14:paraId="155AE489" w14:textId="2F0D7CD1">
            <w:pPr>
              <w:jc w:val="center"/>
              <w:rPr>
                <w:rFonts w:ascii="Times New Roman" w:hAnsi="Times New Roman"/>
                <w:szCs w:val="24"/>
              </w:rPr>
            </w:pPr>
            <w:r>
              <w:rPr>
                <w:rFonts w:ascii="Times New Roman" w:hAnsi="Times New Roman"/>
                <w:szCs w:val="24"/>
              </w:rPr>
              <w:t>1</w:t>
            </w:r>
            <w:r w:rsidR="00EE2050">
              <w:rPr>
                <w:rFonts w:ascii="Times New Roman" w:hAnsi="Times New Roman"/>
                <w:szCs w:val="24"/>
              </w:rPr>
              <w:t>7</w:t>
            </w:r>
            <w:r>
              <w:rPr>
                <w:rFonts w:ascii="Times New Roman" w:hAnsi="Times New Roman"/>
                <w:szCs w:val="24"/>
              </w:rPr>
              <w:t>9</w:t>
            </w:r>
            <w:r w:rsidR="00F87C38">
              <w:rPr>
                <w:rFonts w:ascii="Times New Roman" w:hAnsi="Times New Roman"/>
                <w:szCs w:val="24"/>
              </w:rPr>
              <w:t>5</w:t>
            </w:r>
          </w:p>
        </w:tc>
        <w:tc>
          <w:tcPr>
            <w:tcW w:w="1170" w:type="dxa"/>
          </w:tcPr>
          <w:p w:rsidR="00C86713" w:rsidRPr="00442E07" w:rsidP="00FE1BAE" w14:paraId="5AFE134A" w14:textId="17A8EB15">
            <w:pPr>
              <w:rPr>
                <w:rFonts w:ascii="Times New Roman" w:hAnsi="Times New Roman"/>
                <w:szCs w:val="24"/>
              </w:rPr>
            </w:pPr>
            <w:r>
              <w:rPr>
                <w:rFonts w:ascii="Times New Roman" w:hAnsi="Times New Roman"/>
                <w:szCs w:val="24"/>
              </w:rPr>
              <w:t>10</w:t>
            </w:r>
            <w:r w:rsidR="00753F3D">
              <w:rPr>
                <w:rFonts w:ascii="Times New Roman" w:hAnsi="Times New Roman"/>
                <w:szCs w:val="24"/>
              </w:rPr>
              <w:t>7</w:t>
            </w:r>
            <w:r>
              <w:rPr>
                <w:rFonts w:ascii="Times New Roman" w:hAnsi="Times New Roman"/>
                <w:szCs w:val="24"/>
              </w:rPr>
              <w:t>,</w:t>
            </w:r>
            <w:r w:rsidR="00701564">
              <w:rPr>
                <w:rFonts w:ascii="Times New Roman" w:hAnsi="Times New Roman"/>
                <w:szCs w:val="24"/>
              </w:rPr>
              <w:t>7</w:t>
            </w:r>
            <w:r>
              <w:rPr>
                <w:rFonts w:ascii="Times New Roman" w:hAnsi="Times New Roman"/>
                <w:szCs w:val="24"/>
              </w:rPr>
              <w:t>00</w:t>
            </w:r>
          </w:p>
        </w:tc>
        <w:tc>
          <w:tcPr>
            <w:tcW w:w="1530" w:type="dxa"/>
          </w:tcPr>
          <w:p w:rsidR="00C86713" w:rsidRPr="00442E07" w:rsidP="00FE1BAE" w14:paraId="6036EE93" w14:textId="52C1B9BC">
            <w:pPr>
              <w:rPr>
                <w:rFonts w:ascii="Times New Roman" w:hAnsi="Times New Roman"/>
                <w:szCs w:val="24"/>
              </w:rPr>
            </w:pPr>
            <w:r>
              <w:rPr>
                <w:rFonts w:ascii="Times New Roman" w:hAnsi="Times New Roman"/>
                <w:szCs w:val="24"/>
              </w:rPr>
              <w:t>$</w:t>
            </w:r>
            <w:r w:rsidR="001E03B2">
              <w:rPr>
                <w:rFonts w:ascii="Times New Roman" w:hAnsi="Times New Roman"/>
                <w:szCs w:val="24"/>
              </w:rPr>
              <w:t>31</w:t>
            </w:r>
          </w:p>
        </w:tc>
        <w:tc>
          <w:tcPr>
            <w:tcW w:w="1350" w:type="dxa"/>
          </w:tcPr>
          <w:p w:rsidR="00C86713" w:rsidRPr="00442E07" w:rsidP="00FE1BAE" w14:paraId="366B5E6F" w14:textId="3D9B6912">
            <w:pPr>
              <w:rPr>
                <w:rFonts w:ascii="Times New Roman" w:hAnsi="Times New Roman"/>
                <w:szCs w:val="24"/>
              </w:rPr>
            </w:pPr>
            <w:r>
              <w:rPr>
                <w:rFonts w:ascii="Times New Roman" w:hAnsi="Times New Roman"/>
                <w:szCs w:val="24"/>
              </w:rPr>
              <w:t>$</w:t>
            </w:r>
            <w:r w:rsidR="0028555F">
              <w:rPr>
                <w:rFonts w:ascii="Times New Roman" w:hAnsi="Times New Roman"/>
                <w:szCs w:val="24"/>
              </w:rPr>
              <w:t>3,</w:t>
            </w:r>
            <w:r w:rsidR="00753F3D">
              <w:rPr>
                <w:rFonts w:ascii="Times New Roman" w:hAnsi="Times New Roman"/>
                <w:szCs w:val="24"/>
              </w:rPr>
              <w:t>3</w:t>
            </w:r>
            <w:r w:rsidR="00701564">
              <w:rPr>
                <w:rFonts w:ascii="Times New Roman" w:hAnsi="Times New Roman"/>
                <w:szCs w:val="24"/>
              </w:rPr>
              <w:t>38</w:t>
            </w:r>
            <w:r w:rsidR="0028555F">
              <w:rPr>
                <w:rFonts w:ascii="Times New Roman" w:hAnsi="Times New Roman"/>
                <w:szCs w:val="24"/>
              </w:rPr>
              <w:t>,</w:t>
            </w:r>
            <w:r w:rsidR="00701564">
              <w:rPr>
                <w:rFonts w:ascii="Times New Roman" w:hAnsi="Times New Roman"/>
                <w:szCs w:val="24"/>
              </w:rPr>
              <w:t>7</w:t>
            </w:r>
            <w:r w:rsidR="0028555F">
              <w:rPr>
                <w:rFonts w:ascii="Times New Roman" w:hAnsi="Times New Roman"/>
                <w:szCs w:val="24"/>
              </w:rPr>
              <w:t>00</w:t>
            </w:r>
          </w:p>
        </w:tc>
      </w:tr>
      <w:tr w14:paraId="4F36A7D8" w14:textId="77777777" w:rsidTr="00FF157E">
        <w:tblPrEx>
          <w:tblW w:w="11335" w:type="dxa"/>
          <w:tblLayout w:type="fixed"/>
          <w:tblLook w:val="0020"/>
        </w:tblPrEx>
        <w:tc>
          <w:tcPr>
            <w:tcW w:w="1345" w:type="dxa"/>
          </w:tcPr>
          <w:p w:rsidR="00C86713" w:rsidRPr="00442E07" w:rsidP="00FE1BAE" w14:paraId="772E880E" w14:textId="77777777">
            <w:pPr>
              <w:rPr>
                <w:rFonts w:ascii="Times New Roman" w:hAnsi="Times New Roman"/>
                <w:szCs w:val="24"/>
              </w:rPr>
            </w:pPr>
          </w:p>
        </w:tc>
        <w:tc>
          <w:tcPr>
            <w:tcW w:w="1170" w:type="dxa"/>
          </w:tcPr>
          <w:p w:rsidR="00C86713" w:rsidRPr="00442E07" w:rsidP="00FE1BAE" w14:paraId="4F267347" w14:textId="77777777">
            <w:pPr>
              <w:rPr>
                <w:rFonts w:ascii="Times New Roman" w:hAnsi="Times New Roman"/>
                <w:szCs w:val="24"/>
              </w:rPr>
            </w:pPr>
          </w:p>
        </w:tc>
        <w:tc>
          <w:tcPr>
            <w:tcW w:w="1170" w:type="dxa"/>
          </w:tcPr>
          <w:p w:rsidR="00C86713" w:rsidRPr="00442E07" w:rsidP="00FE1BAE" w14:paraId="11213DBE" w14:textId="77777777">
            <w:pPr>
              <w:rPr>
                <w:rFonts w:ascii="Times New Roman" w:hAnsi="Times New Roman"/>
                <w:szCs w:val="24"/>
              </w:rPr>
            </w:pPr>
          </w:p>
        </w:tc>
        <w:tc>
          <w:tcPr>
            <w:tcW w:w="1260" w:type="dxa"/>
          </w:tcPr>
          <w:p w:rsidR="00C86713" w:rsidRPr="00442E07" w:rsidP="00FE1BAE" w14:paraId="434A586C" w14:textId="77777777">
            <w:pPr>
              <w:rPr>
                <w:rFonts w:ascii="Times New Roman" w:hAnsi="Times New Roman"/>
                <w:szCs w:val="24"/>
              </w:rPr>
            </w:pPr>
          </w:p>
        </w:tc>
        <w:tc>
          <w:tcPr>
            <w:tcW w:w="1170" w:type="dxa"/>
          </w:tcPr>
          <w:p w:rsidR="00C86713" w:rsidRPr="00442E07" w:rsidP="00FE1BAE" w14:paraId="162EFC22" w14:textId="77777777">
            <w:pPr>
              <w:jc w:val="center"/>
              <w:rPr>
                <w:rFonts w:ascii="Times New Roman" w:hAnsi="Times New Roman"/>
                <w:szCs w:val="24"/>
              </w:rPr>
            </w:pPr>
          </w:p>
        </w:tc>
        <w:tc>
          <w:tcPr>
            <w:tcW w:w="1170" w:type="dxa"/>
          </w:tcPr>
          <w:p w:rsidR="00C86713" w:rsidRPr="00442E07" w:rsidP="00FE1BAE" w14:paraId="238B501D" w14:textId="77777777">
            <w:pPr>
              <w:jc w:val="center"/>
              <w:rPr>
                <w:rFonts w:ascii="Times New Roman" w:hAnsi="Times New Roman"/>
                <w:szCs w:val="24"/>
              </w:rPr>
            </w:pPr>
          </w:p>
        </w:tc>
        <w:tc>
          <w:tcPr>
            <w:tcW w:w="1170" w:type="dxa"/>
          </w:tcPr>
          <w:p w:rsidR="00C86713" w:rsidRPr="00442E07" w:rsidP="00FE1BAE" w14:paraId="328D1F02" w14:textId="77777777">
            <w:pPr>
              <w:pStyle w:val="EndnoteText"/>
              <w:tabs>
                <w:tab w:val="clear" w:pos="-720"/>
              </w:tabs>
              <w:suppressAutoHyphens w:val="0"/>
              <w:rPr>
                <w:rFonts w:ascii="Times New Roman" w:hAnsi="Times New Roman"/>
                <w:szCs w:val="24"/>
              </w:rPr>
            </w:pPr>
          </w:p>
        </w:tc>
        <w:tc>
          <w:tcPr>
            <w:tcW w:w="1530" w:type="dxa"/>
          </w:tcPr>
          <w:p w:rsidR="00C86713" w:rsidRPr="00442E07" w:rsidP="00FE1BAE" w14:paraId="6AEB6B96" w14:textId="77777777">
            <w:pPr>
              <w:rPr>
                <w:rFonts w:ascii="Times New Roman" w:hAnsi="Times New Roman"/>
                <w:szCs w:val="24"/>
              </w:rPr>
            </w:pPr>
          </w:p>
        </w:tc>
        <w:tc>
          <w:tcPr>
            <w:tcW w:w="1350" w:type="dxa"/>
          </w:tcPr>
          <w:p w:rsidR="00C86713" w:rsidRPr="00442E07" w:rsidP="00FE1BAE" w14:paraId="648B4DDB" w14:textId="77777777">
            <w:pPr>
              <w:rPr>
                <w:rFonts w:ascii="Times New Roman" w:hAnsi="Times New Roman"/>
                <w:szCs w:val="24"/>
              </w:rPr>
            </w:pPr>
          </w:p>
        </w:tc>
      </w:tr>
      <w:tr w14:paraId="25BFBBB1" w14:textId="77777777" w:rsidTr="00FF157E">
        <w:tblPrEx>
          <w:tblW w:w="11335" w:type="dxa"/>
          <w:tblLayout w:type="fixed"/>
          <w:tblLook w:val="0020"/>
        </w:tblPrEx>
        <w:tc>
          <w:tcPr>
            <w:tcW w:w="1345" w:type="dxa"/>
          </w:tcPr>
          <w:p w:rsidR="00C86713" w:rsidRPr="00442E07" w:rsidP="00FE1BAE" w14:paraId="7ED1E8C6" w14:textId="77777777">
            <w:pPr>
              <w:rPr>
                <w:rFonts w:ascii="Times New Roman" w:hAnsi="Times New Roman"/>
                <w:szCs w:val="24"/>
              </w:rPr>
            </w:pPr>
          </w:p>
        </w:tc>
        <w:tc>
          <w:tcPr>
            <w:tcW w:w="1170" w:type="dxa"/>
          </w:tcPr>
          <w:p w:rsidR="00C86713" w:rsidRPr="00442E07" w:rsidP="00FE1BAE" w14:paraId="55DBF5EE" w14:textId="77777777">
            <w:pPr>
              <w:rPr>
                <w:rFonts w:ascii="Times New Roman" w:hAnsi="Times New Roman"/>
                <w:szCs w:val="24"/>
              </w:rPr>
            </w:pPr>
          </w:p>
        </w:tc>
        <w:tc>
          <w:tcPr>
            <w:tcW w:w="1170" w:type="dxa"/>
          </w:tcPr>
          <w:p w:rsidR="00C86713" w:rsidRPr="00442E07" w:rsidP="00FE1BAE" w14:paraId="72768AFE" w14:textId="77777777">
            <w:pPr>
              <w:rPr>
                <w:rFonts w:ascii="Times New Roman" w:hAnsi="Times New Roman"/>
                <w:szCs w:val="24"/>
              </w:rPr>
            </w:pPr>
          </w:p>
        </w:tc>
        <w:tc>
          <w:tcPr>
            <w:tcW w:w="1260" w:type="dxa"/>
          </w:tcPr>
          <w:p w:rsidR="00C86713" w:rsidRPr="00442E07" w:rsidP="00FE1BAE" w14:paraId="48BF22D1" w14:textId="77777777">
            <w:pPr>
              <w:rPr>
                <w:rFonts w:ascii="Times New Roman" w:hAnsi="Times New Roman"/>
                <w:szCs w:val="24"/>
              </w:rPr>
            </w:pPr>
          </w:p>
        </w:tc>
        <w:tc>
          <w:tcPr>
            <w:tcW w:w="1170" w:type="dxa"/>
          </w:tcPr>
          <w:p w:rsidR="00C86713" w:rsidRPr="00442E07" w:rsidP="00FE1BAE" w14:paraId="67A77F2B" w14:textId="77777777">
            <w:pPr>
              <w:jc w:val="center"/>
              <w:rPr>
                <w:rFonts w:ascii="Times New Roman" w:hAnsi="Times New Roman"/>
                <w:szCs w:val="24"/>
              </w:rPr>
            </w:pPr>
          </w:p>
        </w:tc>
        <w:tc>
          <w:tcPr>
            <w:tcW w:w="1170" w:type="dxa"/>
          </w:tcPr>
          <w:p w:rsidR="00C86713" w:rsidRPr="00442E07" w:rsidP="00FE1BAE" w14:paraId="1FC68D42" w14:textId="77777777">
            <w:pPr>
              <w:jc w:val="center"/>
              <w:rPr>
                <w:rFonts w:ascii="Times New Roman" w:hAnsi="Times New Roman"/>
                <w:szCs w:val="24"/>
              </w:rPr>
            </w:pPr>
          </w:p>
        </w:tc>
        <w:tc>
          <w:tcPr>
            <w:tcW w:w="1170" w:type="dxa"/>
          </w:tcPr>
          <w:p w:rsidR="00C86713" w:rsidRPr="00442E07" w:rsidP="00FE1BAE" w14:paraId="1F25E163" w14:textId="77777777">
            <w:pPr>
              <w:pStyle w:val="EndnoteText"/>
              <w:tabs>
                <w:tab w:val="clear" w:pos="-720"/>
              </w:tabs>
              <w:suppressAutoHyphens w:val="0"/>
              <w:rPr>
                <w:rFonts w:ascii="Times New Roman" w:hAnsi="Times New Roman"/>
                <w:szCs w:val="24"/>
              </w:rPr>
            </w:pPr>
          </w:p>
        </w:tc>
        <w:tc>
          <w:tcPr>
            <w:tcW w:w="1530" w:type="dxa"/>
          </w:tcPr>
          <w:p w:rsidR="00C86713" w:rsidRPr="00442E07" w:rsidP="00FE1BAE" w14:paraId="0B446697" w14:textId="77777777">
            <w:pPr>
              <w:rPr>
                <w:rFonts w:ascii="Times New Roman" w:hAnsi="Times New Roman"/>
                <w:szCs w:val="24"/>
              </w:rPr>
            </w:pPr>
          </w:p>
        </w:tc>
        <w:tc>
          <w:tcPr>
            <w:tcW w:w="1350" w:type="dxa"/>
          </w:tcPr>
          <w:p w:rsidR="00C86713" w:rsidRPr="00442E07" w:rsidP="00FE1BAE" w14:paraId="5A20573E" w14:textId="77777777">
            <w:pPr>
              <w:rPr>
                <w:rFonts w:ascii="Times New Roman" w:hAnsi="Times New Roman"/>
                <w:szCs w:val="24"/>
              </w:rPr>
            </w:pPr>
          </w:p>
        </w:tc>
      </w:tr>
      <w:tr w14:paraId="745205AD" w14:textId="77777777" w:rsidTr="00FF157E">
        <w:tblPrEx>
          <w:tblW w:w="11335" w:type="dxa"/>
          <w:tblLayout w:type="fixed"/>
          <w:tblLook w:val="0020"/>
        </w:tblPrEx>
        <w:tc>
          <w:tcPr>
            <w:tcW w:w="1345" w:type="dxa"/>
          </w:tcPr>
          <w:p w:rsidR="00C86713" w:rsidRPr="00442E07" w:rsidP="00FE1BAE" w14:paraId="47904ACB" w14:textId="77777777">
            <w:pPr>
              <w:rPr>
                <w:rFonts w:ascii="Times New Roman" w:hAnsi="Times New Roman"/>
                <w:szCs w:val="24"/>
              </w:rPr>
            </w:pPr>
          </w:p>
        </w:tc>
        <w:tc>
          <w:tcPr>
            <w:tcW w:w="1170" w:type="dxa"/>
          </w:tcPr>
          <w:p w:rsidR="00C86713" w:rsidRPr="00442E07" w:rsidP="00FE1BAE" w14:paraId="05923141" w14:textId="77777777">
            <w:pPr>
              <w:rPr>
                <w:rFonts w:ascii="Times New Roman" w:hAnsi="Times New Roman"/>
                <w:szCs w:val="24"/>
              </w:rPr>
            </w:pPr>
          </w:p>
        </w:tc>
        <w:tc>
          <w:tcPr>
            <w:tcW w:w="1170" w:type="dxa"/>
          </w:tcPr>
          <w:p w:rsidR="00C86713" w:rsidRPr="00442E07" w:rsidP="00FE1BAE" w14:paraId="5478467B" w14:textId="77777777">
            <w:pPr>
              <w:rPr>
                <w:rFonts w:ascii="Times New Roman" w:hAnsi="Times New Roman"/>
                <w:szCs w:val="24"/>
              </w:rPr>
            </w:pPr>
          </w:p>
        </w:tc>
        <w:tc>
          <w:tcPr>
            <w:tcW w:w="1260" w:type="dxa"/>
          </w:tcPr>
          <w:p w:rsidR="00C86713" w:rsidRPr="00442E07" w:rsidP="00FE1BAE" w14:paraId="2534BB8B" w14:textId="77777777">
            <w:pPr>
              <w:rPr>
                <w:rFonts w:ascii="Times New Roman" w:hAnsi="Times New Roman"/>
                <w:szCs w:val="24"/>
              </w:rPr>
            </w:pPr>
          </w:p>
        </w:tc>
        <w:tc>
          <w:tcPr>
            <w:tcW w:w="1170" w:type="dxa"/>
          </w:tcPr>
          <w:p w:rsidR="00C86713" w:rsidRPr="00442E07" w:rsidP="00FE1BAE" w14:paraId="730B9BAF" w14:textId="77777777">
            <w:pPr>
              <w:rPr>
                <w:rFonts w:ascii="Times New Roman" w:hAnsi="Times New Roman"/>
                <w:szCs w:val="24"/>
              </w:rPr>
            </w:pPr>
          </w:p>
        </w:tc>
        <w:tc>
          <w:tcPr>
            <w:tcW w:w="1170" w:type="dxa"/>
          </w:tcPr>
          <w:p w:rsidR="00C86713" w:rsidRPr="00442E07" w:rsidP="00FE1BAE" w14:paraId="1F6080C3" w14:textId="77777777">
            <w:pPr>
              <w:rPr>
                <w:rFonts w:ascii="Times New Roman" w:hAnsi="Times New Roman"/>
                <w:szCs w:val="24"/>
              </w:rPr>
            </w:pPr>
          </w:p>
        </w:tc>
        <w:tc>
          <w:tcPr>
            <w:tcW w:w="1170" w:type="dxa"/>
          </w:tcPr>
          <w:p w:rsidR="00C86713" w:rsidRPr="00442E07" w:rsidP="00FE1BAE" w14:paraId="543879CD" w14:textId="77777777">
            <w:pPr>
              <w:rPr>
                <w:rFonts w:ascii="Times New Roman" w:hAnsi="Times New Roman"/>
                <w:szCs w:val="24"/>
              </w:rPr>
            </w:pPr>
          </w:p>
        </w:tc>
        <w:tc>
          <w:tcPr>
            <w:tcW w:w="1530" w:type="dxa"/>
          </w:tcPr>
          <w:p w:rsidR="00C86713" w:rsidRPr="00442E07" w:rsidP="00FE1BAE" w14:paraId="15A599D2" w14:textId="77777777">
            <w:pPr>
              <w:rPr>
                <w:rFonts w:ascii="Times New Roman" w:hAnsi="Times New Roman"/>
                <w:szCs w:val="24"/>
              </w:rPr>
            </w:pPr>
          </w:p>
        </w:tc>
        <w:tc>
          <w:tcPr>
            <w:tcW w:w="1350" w:type="dxa"/>
          </w:tcPr>
          <w:p w:rsidR="00C86713" w:rsidRPr="00442E07" w:rsidP="00FE1BAE" w14:paraId="0D0AD9CB" w14:textId="77777777">
            <w:pPr>
              <w:rPr>
                <w:rFonts w:ascii="Times New Roman" w:hAnsi="Times New Roman"/>
                <w:szCs w:val="24"/>
              </w:rPr>
            </w:pPr>
          </w:p>
        </w:tc>
      </w:tr>
      <w:tr w14:paraId="46CE1196" w14:textId="77777777" w:rsidTr="00FF157E">
        <w:tblPrEx>
          <w:tblW w:w="11335" w:type="dxa"/>
          <w:tblLayout w:type="fixed"/>
          <w:tblLook w:val="0020"/>
        </w:tblPrEx>
        <w:tc>
          <w:tcPr>
            <w:tcW w:w="1345" w:type="dxa"/>
          </w:tcPr>
          <w:p w:rsidR="009767AF" w:rsidRPr="00442E07" w:rsidP="00FE1BAE" w14:paraId="09B0C240" w14:textId="77777777">
            <w:pPr>
              <w:rPr>
                <w:rFonts w:ascii="Times New Roman" w:hAnsi="Times New Roman"/>
                <w:szCs w:val="24"/>
              </w:rPr>
            </w:pPr>
            <w:r>
              <w:rPr>
                <w:rFonts w:ascii="Times New Roman" w:hAnsi="Times New Roman"/>
                <w:szCs w:val="24"/>
              </w:rPr>
              <w:t>Annualized Totals</w:t>
            </w:r>
          </w:p>
        </w:tc>
        <w:tc>
          <w:tcPr>
            <w:tcW w:w="1170" w:type="dxa"/>
          </w:tcPr>
          <w:p w:rsidR="009767AF" w:rsidRPr="00442E07" w:rsidP="00FE1BAE" w14:paraId="5D18C33A" w14:textId="77777777">
            <w:pPr>
              <w:rPr>
                <w:rFonts w:ascii="Times New Roman" w:hAnsi="Times New Roman"/>
                <w:szCs w:val="24"/>
              </w:rPr>
            </w:pPr>
          </w:p>
        </w:tc>
        <w:tc>
          <w:tcPr>
            <w:tcW w:w="1170" w:type="dxa"/>
          </w:tcPr>
          <w:p w:rsidR="009767AF" w:rsidRPr="00442E07" w:rsidP="00FE1BAE" w14:paraId="1A0667D5" w14:textId="77777777">
            <w:pPr>
              <w:rPr>
                <w:rFonts w:ascii="Times New Roman" w:hAnsi="Times New Roman"/>
                <w:szCs w:val="24"/>
              </w:rPr>
            </w:pPr>
          </w:p>
        </w:tc>
        <w:tc>
          <w:tcPr>
            <w:tcW w:w="1260" w:type="dxa"/>
          </w:tcPr>
          <w:p w:rsidR="009767AF" w:rsidRPr="00442E07" w:rsidP="00FE1BAE" w14:paraId="02CA0F1B" w14:textId="157C4D82">
            <w:pPr>
              <w:rPr>
                <w:rFonts w:ascii="Times New Roman" w:hAnsi="Times New Roman"/>
                <w:szCs w:val="24"/>
              </w:rPr>
            </w:pPr>
            <w:r>
              <w:rPr>
                <w:rFonts w:ascii="Times New Roman" w:hAnsi="Times New Roman"/>
                <w:szCs w:val="24"/>
              </w:rPr>
              <w:t>60</w:t>
            </w:r>
          </w:p>
        </w:tc>
        <w:tc>
          <w:tcPr>
            <w:tcW w:w="1170" w:type="dxa"/>
          </w:tcPr>
          <w:p w:rsidR="009767AF" w:rsidRPr="00442E07" w:rsidP="00FE1BAE" w14:paraId="1CB21F2E" w14:textId="2AD8933C">
            <w:pPr>
              <w:rPr>
                <w:rFonts w:ascii="Times New Roman" w:hAnsi="Times New Roman"/>
                <w:szCs w:val="24"/>
              </w:rPr>
            </w:pPr>
            <w:r>
              <w:rPr>
                <w:rFonts w:ascii="Times New Roman" w:hAnsi="Times New Roman"/>
                <w:szCs w:val="24"/>
              </w:rPr>
              <w:t>60</w:t>
            </w:r>
          </w:p>
        </w:tc>
        <w:tc>
          <w:tcPr>
            <w:tcW w:w="1170" w:type="dxa"/>
          </w:tcPr>
          <w:p w:rsidR="009767AF" w:rsidRPr="00442E07" w:rsidP="00FE1BAE" w14:paraId="7862ED2B" w14:textId="07697FC8">
            <w:pPr>
              <w:rPr>
                <w:rFonts w:ascii="Times New Roman" w:hAnsi="Times New Roman"/>
                <w:szCs w:val="24"/>
              </w:rPr>
            </w:pPr>
            <w:r>
              <w:rPr>
                <w:rFonts w:ascii="Times New Roman" w:hAnsi="Times New Roman"/>
                <w:szCs w:val="24"/>
              </w:rPr>
              <w:t>1</w:t>
            </w:r>
            <w:r w:rsidR="00EE2050">
              <w:rPr>
                <w:rFonts w:ascii="Times New Roman" w:hAnsi="Times New Roman"/>
                <w:szCs w:val="24"/>
              </w:rPr>
              <w:t>7</w:t>
            </w:r>
            <w:r>
              <w:rPr>
                <w:rFonts w:ascii="Times New Roman" w:hAnsi="Times New Roman"/>
                <w:szCs w:val="24"/>
              </w:rPr>
              <w:t>9</w:t>
            </w:r>
            <w:r w:rsidR="00177411">
              <w:rPr>
                <w:rFonts w:ascii="Times New Roman" w:hAnsi="Times New Roman"/>
                <w:szCs w:val="24"/>
              </w:rPr>
              <w:t>5</w:t>
            </w:r>
          </w:p>
        </w:tc>
        <w:tc>
          <w:tcPr>
            <w:tcW w:w="1170" w:type="dxa"/>
          </w:tcPr>
          <w:p w:rsidR="009767AF" w:rsidRPr="00442E07" w:rsidP="00FE1BAE" w14:paraId="06318A14" w14:textId="7557E0BD">
            <w:pPr>
              <w:rPr>
                <w:rFonts w:ascii="Times New Roman" w:hAnsi="Times New Roman"/>
                <w:szCs w:val="24"/>
              </w:rPr>
            </w:pPr>
            <w:r>
              <w:rPr>
                <w:rFonts w:ascii="Times New Roman" w:hAnsi="Times New Roman"/>
                <w:szCs w:val="24"/>
              </w:rPr>
              <w:t>10</w:t>
            </w:r>
            <w:r w:rsidR="00753F3D">
              <w:rPr>
                <w:rFonts w:ascii="Times New Roman" w:hAnsi="Times New Roman"/>
                <w:szCs w:val="24"/>
              </w:rPr>
              <w:t>7</w:t>
            </w:r>
            <w:r>
              <w:rPr>
                <w:rFonts w:ascii="Times New Roman" w:hAnsi="Times New Roman"/>
                <w:szCs w:val="24"/>
              </w:rPr>
              <w:t>,</w:t>
            </w:r>
            <w:r w:rsidR="00CC667A">
              <w:rPr>
                <w:rFonts w:ascii="Times New Roman" w:hAnsi="Times New Roman"/>
                <w:szCs w:val="24"/>
              </w:rPr>
              <w:t>7</w:t>
            </w:r>
            <w:r>
              <w:rPr>
                <w:rFonts w:ascii="Times New Roman" w:hAnsi="Times New Roman"/>
                <w:szCs w:val="24"/>
              </w:rPr>
              <w:t>00</w:t>
            </w:r>
          </w:p>
        </w:tc>
        <w:tc>
          <w:tcPr>
            <w:tcW w:w="1530" w:type="dxa"/>
          </w:tcPr>
          <w:p w:rsidR="009767AF" w:rsidRPr="00442E07" w:rsidP="00FE1BAE" w14:paraId="358AD3B1" w14:textId="10FE26DF">
            <w:pPr>
              <w:rPr>
                <w:rFonts w:ascii="Times New Roman" w:hAnsi="Times New Roman"/>
                <w:szCs w:val="24"/>
              </w:rPr>
            </w:pPr>
            <w:r>
              <w:rPr>
                <w:rFonts w:ascii="Times New Roman" w:hAnsi="Times New Roman"/>
                <w:szCs w:val="24"/>
              </w:rPr>
              <w:t>$</w:t>
            </w:r>
            <w:r w:rsidR="00D5004B">
              <w:rPr>
                <w:rFonts w:ascii="Times New Roman" w:hAnsi="Times New Roman"/>
                <w:szCs w:val="24"/>
              </w:rPr>
              <w:t>5</w:t>
            </w:r>
            <w:r w:rsidR="00F71F3D">
              <w:rPr>
                <w:rFonts w:ascii="Times New Roman" w:hAnsi="Times New Roman"/>
                <w:szCs w:val="24"/>
              </w:rPr>
              <w:t>5</w:t>
            </w:r>
            <w:r w:rsidR="00D5004B">
              <w:rPr>
                <w:rFonts w:ascii="Times New Roman" w:hAnsi="Times New Roman"/>
                <w:szCs w:val="24"/>
              </w:rPr>
              <w:t>,</w:t>
            </w:r>
            <w:r w:rsidR="00D53085">
              <w:rPr>
                <w:rFonts w:ascii="Times New Roman" w:hAnsi="Times New Roman"/>
                <w:szCs w:val="24"/>
              </w:rPr>
              <w:t>645</w:t>
            </w:r>
          </w:p>
        </w:tc>
        <w:tc>
          <w:tcPr>
            <w:tcW w:w="1350" w:type="dxa"/>
          </w:tcPr>
          <w:p w:rsidR="009767AF" w:rsidRPr="00442E07" w:rsidP="00FE1BAE" w14:paraId="29E81082" w14:textId="004DF203">
            <w:pPr>
              <w:rPr>
                <w:rFonts w:ascii="Times New Roman" w:hAnsi="Times New Roman"/>
                <w:szCs w:val="24"/>
              </w:rPr>
            </w:pPr>
            <w:r>
              <w:rPr>
                <w:rFonts w:ascii="Times New Roman" w:hAnsi="Times New Roman"/>
                <w:szCs w:val="24"/>
              </w:rPr>
              <w:t>$</w:t>
            </w:r>
            <w:r w:rsidR="00102A7D">
              <w:rPr>
                <w:rFonts w:ascii="Times New Roman" w:hAnsi="Times New Roman"/>
                <w:szCs w:val="24"/>
              </w:rPr>
              <w:t>3,</w:t>
            </w:r>
            <w:r w:rsidR="00753F3D">
              <w:rPr>
                <w:rFonts w:ascii="Times New Roman" w:hAnsi="Times New Roman"/>
                <w:szCs w:val="24"/>
              </w:rPr>
              <w:t>3</w:t>
            </w:r>
            <w:r w:rsidR="00CC667A">
              <w:rPr>
                <w:rFonts w:ascii="Times New Roman" w:hAnsi="Times New Roman"/>
                <w:szCs w:val="24"/>
              </w:rPr>
              <w:t>38</w:t>
            </w:r>
            <w:r w:rsidR="00102A7D">
              <w:rPr>
                <w:rFonts w:ascii="Times New Roman" w:hAnsi="Times New Roman"/>
                <w:szCs w:val="24"/>
              </w:rPr>
              <w:t>,</w:t>
            </w:r>
            <w:r w:rsidR="00CC667A">
              <w:rPr>
                <w:rFonts w:ascii="Times New Roman" w:hAnsi="Times New Roman"/>
                <w:szCs w:val="24"/>
              </w:rPr>
              <w:t>7</w:t>
            </w:r>
            <w:r w:rsidR="00102A7D">
              <w:rPr>
                <w:rFonts w:ascii="Times New Roman" w:hAnsi="Times New Roman"/>
                <w:szCs w:val="24"/>
              </w:rPr>
              <w:t>00</w:t>
            </w:r>
          </w:p>
        </w:tc>
      </w:tr>
    </w:tbl>
    <w:p w:rsidR="001A6AE0" w:rsidP="000446F5" w14:paraId="6A857078"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1C38A8A7"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r w:rsidRPr="00AF5D1A">
        <w:rPr>
          <w:rStyle w:val="a"/>
          <w:rFonts w:ascii="Times New Roman" w:hAnsi="Times New Roman"/>
          <w:b/>
          <w:bCs/>
          <w:i/>
          <w:iCs/>
          <w:sz w:val="22"/>
          <w:szCs w:val="22"/>
        </w:rPr>
        <w:t>respondents</w:t>
      </w:r>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44AAC837" w14:textId="77777777">
      <w:pPr>
        <w:pStyle w:val="ListParagraph"/>
        <w:tabs>
          <w:tab w:val="left" w:pos="-720"/>
        </w:tabs>
        <w:suppressAutoHyphens/>
        <w:rPr>
          <w:rStyle w:val="a"/>
          <w:rFonts w:ascii="Times New Roman" w:hAnsi="Times New Roman"/>
          <w:szCs w:val="24"/>
        </w:rPr>
      </w:pPr>
    </w:p>
    <w:p w:rsidR="00043C32" w:rsidRPr="00ED7195" w:rsidP="00AD381B" w14:paraId="66CFACA3"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481ECE11" w14:textId="77777777">
      <w:pPr>
        <w:tabs>
          <w:tab w:val="left" w:pos="-720"/>
        </w:tabs>
        <w:suppressAutoHyphens/>
        <w:rPr>
          <w:rFonts w:ascii="Times New Roman" w:hAnsi="Times New Roman"/>
          <w:b/>
          <w:szCs w:val="24"/>
        </w:rPr>
      </w:pPr>
    </w:p>
    <w:p w:rsidR="00043C32" w:rsidRPr="00ED7195" w:rsidP="00AD381B" w14:paraId="60D44EBF"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ED7195">
        <w:rPr>
          <w:rFonts w:ascii="Times New Roman" w:hAnsi="Times New Roman"/>
          <w:b/>
          <w:szCs w:val="24"/>
        </w:rPr>
        <w:t>time period</w:t>
      </w:r>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r w:rsidRPr="00ED7195">
        <w:rPr>
          <w:rFonts w:ascii="Times New Roman" w:hAnsi="Times New Roman"/>
          <w:b/>
          <w:szCs w:val="24"/>
        </w:rPr>
        <w:t>drilling</w:t>
      </w:r>
      <w:r w:rsidRPr="00ED7195">
        <w:rPr>
          <w:rFonts w:ascii="Times New Roman" w:hAnsi="Times New Roman"/>
          <w:b/>
          <w:szCs w:val="24"/>
        </w:rPr>
        <w:t xml:space="preserve"> and testing equipment; and acquiring and maintaining record storage facilities.</w:t>
      </w:r>
    </w:p>
    <w:p w:rsidR="00043C32" w:rsidRPr="00AD381B" w:rsidP="00AD381B" w14:paraId="4BDDD6CB" w14:textId="77777777">
      <w:pPr>
        <w:numPr>
          <w:ilvl w:val="12"/>
          <w:numId w:val="0"/>
        </w:numPr>
        <w:tabs>
          <w:tab w:val="left" w:pos="-720"/>
        </w:tabs>
        <w:suppressAutoHyphens/>
        <w:ind w:left="340"/>
        <w:rPr>
          <w:rFonts w:ascii="Times New Roman" w:hAnsi="Times New Roman"/>
          <w:szCs w:val="24"/>
        </w:rPr>
      </w:pPr>
    </w:p>
    <w:p w:rsidR="00043C32" w:rsidRPr="00ED7195" w:rsidP="00AD381B" w14:paraId="188608AF"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ED7195">
        <w:rPr>
          <w:rFonts w:ascii="Times New Roman" w:hAnsi="Times New Roman"/>
          <w:b/>
          <w:szCs w:val="24"/>
        </w:rPr>
        <w:t>process</w:t>
      </w:r>
      <w:r w:rsidRPr="00ED7195">
        <w:rPr>
          <w:rFonts w:ascii="Times New Roman" w:hAnsi="Times New Roman"/>
          <w:b/>
          <w:szCs w:val="24"/>
        </w:rPr>
        <w:t xml:space="preserve"> and use existing economic or regulatory impact analysis associated with the rulemaking containing the information collection, as appropriate.</w:t>
      </w:r>
    </w:p>
    <w:p w:rsidR="00043C32" w:rsidRPr="00ED7195" w:rsidP="00AD381B" w14:paraId="6907DA5E" w14:textId="77777777">
      <w:pPr>
        <w:tabs>
          <w:tab w:val="left" w:pos="-720"/>
          <w:tab w:val="left" w:pos="1247"/>
        </w:tabs>
        <w:suppressAutoHyphens/>
        <w:ind w:left="340"/>
        <w:rPr>
          <w:rFonts w:ascii="Times New Roman" w:hAnsi="Times New Roman"/>
          <w:b/>
          <w:szCs w:val="24"/>
        </w:rPr>
      </w:pPr>
    </w:p>
    <w:p w:rsidR="00043C32" w:rsidRPr="00ED7195" w:rsidP="00AD381B" w14:paraId="6D513C36"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07FCB51" w14:textId="77777777">
      <w:pPr>
        <w:tabs>
          <w:tab w:val="left" w:pos="-720"/>
        </w:tabs>
        <w:suppressAutoHyphens/>
        <w:rPr>
          <w:rFonts w:ascii="Times New Roman" w:hAnsi="Times New Roman"/>
          <w:b/>
          <w:szCs w:val="24"/>
        </w:rPr>
      </w:pPr>
    </w:p>
    <w:p w:rsidR="00043C32" w:rsidRPr="00ED7195" w:rsidP="00AD381B" w14:paraId="21A7CB41"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3D2D3483"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w:t>
      </w:r>
      <w:r w:rsidRPr="00ED7195">
        <w:rPr>
          <w:rFonts w:ascii="Times New Roman" w:hAnsi="Times New Roman"/>
          <w:b/>
          <w:szCs w:val="24"/>
        </w:rPr>
        <w:t>___________________</w:t>
      </w:r>
    </w:p>
    <w:p w:rsidR="00043C32" w:rsidP="00AD381B" w14:paraId="0A444C67" w14:textId="3477FB53">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3A2035" w:rsidRPr="00ED7195" w:rsidP="00AD381B" w14:paraId="79F168E1" w14:textId="77777777">
      <w:pPr>
        <w:tabs>
          <w:tab w:val="left" w:pos="-720"/>
        </w:tabs>
        <w:suppressAutoHyphens/>
        <w:rPr>
          <w:rFonts w:ascii="Times New Roman" w:hAnsi="Times New Roman"/>
          <w:b/>
          <w:szCs w:val="24"/>
        </w:rPr>
      </w:pPr>
    </w:p>
    <w:p w:rsidR="003A2035" w:rsidRPr="003A2035" w:rsidP="003A2035" w14:paraId="72BD5AB0" w14:textId="7CA2FAA7">
      <w:pPr>
        <w:tabs>
          <w:tab w:val="left" w:pos="-720"/>
        </w:tabs>
        <w:suppressAutoHyphens/>
        <w:ind w:left="720"/>
        <w:rPr>
          <w:rFonts w:ascii="Times New Roman" w:hAnsi="Times New Roman"/>
          <w:szCs w:val="24"/>
        </w:rPr>
      </w:pPr>
      <w:r w:rsidRPr="003A2035">
        <w:rPr>
          <w:rFonts w:ascii="Times New Roman" w:hAnsi="Times New Roman"/>
          <w:szCs w:val="24"/>
        </w:rPr>
        <w:t xml:space="preserve">States have been preparing </w:t>
      </w:r>
      <w:r w:rsidR="00997B7B">
        <w:rPr>
          <w:rFonts w:ascii="Times New Roman" w:hAnsi="Times New Roman"/>
          <w:szCs w:val="24"/>
        </w:rPr>
        <w:t>their</w:t>
      </w:r>
      <w:r w:rsidRPr="003A2035">
        <w:rPr>
          <w:rFonts w:ascii="Times New Roman" w:hAnsi="Times New Roman"/>
          <w:szCs w:val="24"/>
        </w:rPr>
        <w:t xml:space="preserve"> </w:t>
      </w:r>
      <w:r w:rsidR="00997B7B">
        <w:rPr>
          <w:rFonts w:ascii="Times New Roman" w:hAnsi="Times New Roman"/>
          <w:szCs w:val="24"/>
        </w:rPr>
        <w:t>SPP/</w:t>
      </w:r>
      <w:r w:rsidRPr="003A2035">
        <w:rPr>
          <w:rFonts w:ascii="Times New Roman" w:hAnsi="Times New Roman"/>
          <w:szCs w:val="24"/>
        </w:rPr>
        <w:t>APR</w:t>
      </w:r>
      <w:r w:rsidR="00997B7B">
        <w:rPr>
          <w:rFonts w:ascii="Times New Roman" w:hAnsi="Times New Roman"/>
          <w:szCs w:val="24"/>
        </w:rPr>
        <w:t>s</w:t>
      </w:r>
      <w:r w:rsidRPr="003A2035">
        <w:rPr>
          <w:rFonts w:ascii="Times New Roman" w:hAnsi="Times New Roman"/>
          <w:szCs w:val="24"/>
        </w:rPr>
        <w:t xml:space="preserve"> for the past 1</w:t>
      </w:r>
      <w:r w:rsidR="00AD7CD4">
        <w:rPr>
          <w:rFonts w:ascii="Times New Roman" w:hAnsi="Times New Roman"/>
          <w:szCs w:val="24"/>
        </w:rPr>
        <w:t>7</w:t>
      </w:r>
      <w:r w:rsidRPr="003A2035">
        <w:rPr>
          <w:rFonts w:ascii="Times New Roman" w:hAnsi="Times New Roman"/>
          <w:szCs w:val="24"/>
        </w:rPr>
        <w:t xml:space="preserve"> years. Therefore, there are no start-up costs.  There are no anticipated costs for operation, maintenance, or purchase of services that are imposed on States by these requirements, other than those noted above.</w:t>
      </w:r>
    </w:p>
    <w:p w:rsidR="00043C32" w:rsidP="00AD381B" w14:paraId="7933B17A" w14:textId="654D0B3F">
      <w:pPr>
        <w:tabs>
          <w:tab w:val="left" w:pos="-720"/>
        </w:tabs>
        <w:suppressAutoHyphens/>
        <w:rPr>
          <w:rFonts w:ascii="Times New Roman" w:hAnsi="Times New Roman"/>
          <w:szCs w:val="24"/>
        </w:rPr>
      </w:pPr>
    </w:p>
    <w:p w:rsidR="00043C32" w:rsidRPr="00534B4A" w:rsidP="00AD381B" w14:paraId="4F2CA003"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A2035" w:rsidP="003A2035" w14:paraId="159640D1" w14:textId="77777777">
      <w:pPr>
        <w:tabs>
          <w:tab w:val="left" w:pos="-720"/>
        </w:tabs>
        <w:suppressAutoHyphens/>
        <w:rPr>
          <w:rFonts w:ascii="Times New Roman" w:hAnsi="Times New Roman"/>
          <w:szCs w:val="24"/>
        </w:rPr>
      </w:pPr>
      <w:r>
        <w:rPr>
          <w:rFonts w:ascii="Times New Roman" w:hAnsi="Times New Roman"/>
          <w:szCs w:val="24"/>
        </w:rPr>
        <w:tab/>
      </w:r>
    </w:p>
    <w:p w:rsidR="003A2035" w:rsidRPr="003A2035" w:rsidP="003A2035" w14:paraId="5F4C4D57" w14:textId="253B1922">
      <w:pPr>
        <w:tabs>
          <w:tab w:val="left" w:pos="-720"/>
        </w:tabs>
        <w:suppressAutoHyphens/>
        <w:ind w:left="720"/>
        <w:rPr>
          <w:rFonts w:ascii="Times New Roman" w:hAnsi="Times New Roman"/>
          <w:szCs w:val="24"/>
        </w:rPr>
      </w:pPr>
      <w:r w:rsidRPr="003A2035">
        <w:rPr>
          <w:rFonts w:ascii="Times New Roman" w:hAnsi="Times New Roman"/>
          <w:szCs w:val="24"/>
        </w:rPr>
        <w:t>The estimated cost to the Federal Government includes the staff time to review and analyze the reports.  It is estimated that it will take 10 hours of staff time to review each of the 60 responses, which equals 600 hours.  The 600 hours is multiplied by the average hourly rate of pay for each reviewer ($45), to equal an estimated cost to the Federal Government of $27,000.00.</w:t>
      </w:r>
    </w:p>
    <w:p w:rsidR="00534B4A" w:rsidP="00534B4A" w14:paraId="65B8A9A5" w14:textId="77777777">
      <w:pPr>
        <w:pStyle w:val="ListParagraph"/>
        <w:tabs>
          <w:tab w:val="left" w:pos="-720"/>
        </w:tabs>
        <w:suppressAutoHyphens/>
        <w:ind w:left="907"/>
        <w:contextualSpacing w:val="0"/>
        <w:rPr>
          <w:rFonts w:ascii="Times New Roman" w:hAnsi="Times New Roman"/>
          <w:szCs w:val="24"/>
        </w:rPr>
      </w:pPr>
    </w:p>
    <w:p w:rsidR="00800D30" w:rsidP="00800D30" w14:paraId="78511DA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800D30">
        <w:rPr>
          <w:rFonts w:ascii="Times New Roman" w:hAnsi="Times New Roman"/>
          <w:b/>
          <w:szCs w:val="24"/>
        </w:rPr>
        <w:t>responses</w:t>
      </w:r>
      <w:r w:rsidRPr="00800D30">
        <w:rPr>
          <w:rFonts w:ascii="Times New Roman" w:hAnsi="Times New Roman"/>
          <w:b/>
          <w:szCs w:val="24"/>
        </w:rPr>
        <w:t xml:space="preserve"> and costs (if applicable).</w:t>
      </w:r>
      <w:r w:rsidRPr="00800D30">
        <w:rPr>
          <w:rFonts w:ascii="Times New Roman" w:hAnsi="Times New Roman"/>
          <w:b/>
          <w:szCs w:val="24"/>
        </w:rPr>
        <w:t xml:space="preserve"> </w:t>
      </w:r>
    </w:p>
    <w:p w:rsidR="00800D30" w:rsidP="00800D30" w14:paraId="5AEB22B3" w14:textId="1A1985C0">
      <w:pPr>
        <w:pStyle w:val="ListParagraph"/>
        <w:tabs>
          <w:tab w:val="left" w:pos="-720"/>
        </w:tabs>
        <w:suppressAutoHyphens/>
        <w:contextualSpacing w:val="0"/>
        <w:rPr>
          <w:rFonts w:ascii="Times New Roman" w:hAnsi="Times New Roman"/>
          <w:b/>
          <w:szCs w:val="24"/>
        </w:rPr>
      </w:pPr>
    </w:p>
    <w:p w:rsidR="001613BC" w:rsidP="00AC2B8C" w14:paraId="48F38447" w14:textId="12A66506">
      <w:pPr>
        <w:pStyle w:val="ListParagraph"/>
        <w:suppressAutoHyphens/>
        <w:spacing w:line="240" w:lineRule="exact"/>
        <w:contextualSpacing w:val="0"/>
        <w:rPr>
          <w:rFonts w:ascii="Times New Roman" w:hAnsi="Times New Roman"/>
          <w:bCs/>
          <w:szCs w:val="24"/>
        </w:rPr>
      </w:pPr>
    </w:p>
    <w:p w:rsidR="00541661" w:rsidRPr="00AC2B8C" w:rsidP="00AC2B8C" w14:paraId="56462B86" w14:textId="00813208">
      <w:pPr>
        <w:pStyle w:val="ListParagraph"/>
        <w:suppressAutoHyphens/>
        <w:spacing w:line="240" w:lineRule="exact"/>
        <w:contextualSpacing w:val="0"/>
        <w:rPr>
          <w:rFonts w:ascii="Times New Roman" w:hAnsi="Times New Roman"/>
          <w:bCs/>
          <w:szCs w:val="24"/>
        </w:rPr>
      </w:pPr>
      <w:r w:rsidRPr="78097D23">
        <w:rPr>
          <w:rFonts w:ascii="Times New Roman" w:hAnsi="Times New Roman"/>
        </w:rPr>
        <w:t xml:space="preserve">The Department is </w:t>
      </w:r>
      <w:r w:rsidRPr="78097D23">
        <w:rPr>
          <w:rFonts w:ascii="Times New Roman" w:hAnsi="Times New Roman"/>
        </w:rPr>
        <w:t>making revisions to</w:t>
      </w:r>
      <w:r w:rsidRPr="78097D23">
        <w:rPr>
          <w:rFonts w:ascii="Times New Roman" w:hAnsi="Times New Roman"/>
        </w:rPr>
        <w:t xml:space="preserve"> the approved information collection</w:t>
      </w:r>
      <w:r w:rsidR="00862592">
        <w:rPr>
          <w:rFonts w:ascii="Times New Roman" w:hAnsi="Times New Roman"/>
        </w:rPr>
        <w:t xml:space="preserve">. </w:t>
      </w:r>
      <w:r w:rsidRPr="78097D23">
        <w:rPr>
          <w:rFonts w:ascii="Times New Roman" w:hAnsi="Times New Roman"/>
        </w:rPr>
        <w:t>The program changes and subsequent revisions to the Part B SPP/APR, which would go into effect with States’ FFY 20</w:t>
      </w:r>
      <w:r>
        <w:rPr>
          <w:rFonts w:ascii="Times New Roman" w:hAnsi="Times New Roman"/>
        </w:rPr>
        <w:t>2</w:t>
      </w:r>
      <w:r w:rsidR="00806FDE">
        <w:rPr>
          <w:rFonts w:ascii="Times New Roman" w:hAnsi="Times New Roman"/>
        </w:rPr>
        <w:t>3</w:t>
      </w:r>
      <w:r w:rsidRPr="78097D23">
        <w:rPr>
          <w:rFonts w:ascii="Times New Roman" w:hAnsi="Times New Roman"/>
        </w:rPr>
        <w:t xml:space="preserve"> SPP/APR to be submitted in February 202</w:t>
      </w:r>
      <w:r w:rsidR="00806FDE">
        <w:rPr>
          <w:rFonts w:ascii="Times New Roman" w:hAnsi="Times New Roman"/>
        </w:rPr>
        <w:t>5</w:t>
      </w:r>
      <w:r w:rsidRPr="78097D23">
        <w:rPr>
          <w:rFonts w:ascii="Times New Roman" w:hAnsi="Times New Roman"/>
        </w:rPr>
        <w:t>, are focused on</w:t>
      </w:r>
      <w:r w:rsidR="00AC2B8C">
        <w:rPr>
          <w:rFonts w:ascii="Times New Roman" w:hAnsi="Times New Roman"/>
          <w:bCs/>
          <w:szCs w:val="24"/>
        </w:rPr>
        <w:t xml:space="preserve"> </w:t>
      </w:r>
      <w:r w:rsidRPr="006A5133" w:rsidR="00AC2B8C">
        <w:rPr>
          <w:rFonts w:ascii="Times New Roman" w:hAnsi="Times New Roman"/>
          <w:bCs/>
          <w:szCs w:val="24"/>
        </w:rPr>
        <w:t>improving results and the development and learning for all children with disabilities</w:t>
      </w:r>
      <w:r w:rsidR="00AC2B8C">
        <w:rPr>
          <w:rFonts w:ascii="Times New Roman" w:hAnsi="Times New Roman"/>
          <w:bCs/>
          <w:szCs w:val="24"/>
        </w:rPr>
        <w:t>, and aligning with the administration’s priorities</w:t>
      </w:r>
      <w:r w:rsidR="00D20218">
        <w:rPr>
          <w:rFonts w:ascii="Times New Roman" w:hAnsi="Times New Roman"/>
          <w:bCs/>
          <w:szCs w:val="24"/>
        </w:rPr>
        <w:t>,</w:t>
      </w:r>
      <w:r w:rsidR="00AC2B8C">
        <w:rPr>
          <w:rFonts w:ascii="Times New Roman" w:hAnsi="Times New Roman"/>
          <w:bCs/>
          <w:szCs w:val="24"/>
        </w:rPr>
        <w:t xml:space="preserve"> including State general supervision systems and the disparities in the use of discipline for children with disabilities.</w:t>
      </w:r>
      <w:r w:rsidRPr="001A0F1F" w:rsidR="00AC2B8C">
        <w:rPr>
          <w:rFonts w:ascii="Times New Roman" w:hAnsi="Times New Roman"/>
          <w:bCs/>
          <w:szCs w:val="24"/>
        </w:rPr>
        <w:t xml:space="preserve"> </w:t>
      </w:r>
      <w:r>
        <w:rPr>
          <w:rFonts w:ascii="Times New Roman" w:hAnsi="Times New Roman"/>
        </w:rPr>
        <w:t xml:space="preserve">The burden is increased by </w:t>
      </w:r>
      <w:r w:rsidR="00A41E27">
        <w:rPr>
          <w:rFonts w:ascii="Times New Roman" w:hAnsi="Times New Roman"/>
        </w:rPr>
        <w:t>five</w:t>
      </w:r>
      <w:r>
        <w:rPr>
          <w:rFonts w:ascii="Times New Roman" w:hAnsi="Times New Roman"/>
        </w:rPr>
        <w:t xml:space="preserve"> hours per response due to program changes due to agency discretion. </w:t>
      </w:r>
    </w:p>
    <w:p w:rsidR="003A2035" w:rsidRPr="00AD7CD4" w:rsidP="003A2035" w14:paraId="6656EB71" w14:textId="5D009CBA">
      <w:pPr>
        <w:pStyle w:val="ListParagraph"/>
        <w:tabs>
          <w:tab w:val="left" w:pos="-720"/>
        </w:tabs>
        <w:suppressAutoHyphens/>
        <w:rPr>
          <w:rFonts w:ascii="Times New Roman" w:hAnsi="Times New Roman"/>
          <w:bCs/>
          <w:szCs w:val="24"/>
        </w:rPr>
      </w:pPr>
    </w:p>
    <w:p w:rsidR="003A2035" w:rsidP="00800D30" w14:paraId="602CC701" w14:textId="77777777">
      <w:pPr>
        <w:pStyle w:val="ListParagraph"/>
        <w:tabs>
          <w:tab w:val="left" w:pos="-720"/>
        </w:tabs>
        <w:suppressAutoHyphens/>
        <w:contextualSpacing w:val="0"/>
        <w:rPr>
          <w:rFonts w:ascii="Times New Roman" w:hAnsi="Times New Roman"/>
          <w:b/>
          <w:szCs w:val="24"/>
        </w:rPr>
      </w:pPr>
    </w:p>
    <w:p w:rsidR="00800D30" w:rsidRPr="00756FD3" w:rsidP="00800D30" w14:paraId="099F0C44"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35A63B03"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91B1F32" w14:textId="77777777" w:rsidTr="0052073E">
        <w:tblPrEx>
          <w:tblW w:w="9445" w:type="dxa"/>
          <w:tblLook w:val="04A0"/>
        </w:tblPrEx>
        <w:tc>
          <w:tcPr>
            <w:tcW w:w="2048" w:type="dxa"/>
            <w:shd w:val="clear" w:color="auto" w:fill="D9D9D9" w:themeFill="background1" w:themeFillShade="D9"/>
          </w:tcPr>
          <w:p w:rsidR="0052073E" w:rsidP="00534B4A" w14:paraId="45329F4E" w14:textId="77777777">
            <w:pPr>
              <w:tabs>
                <w:tab w:val="left" w:pos="-720"/>
              </w:tabs>
              <w:suppressAutoHyphens/>
              <w:rPr>
                <w:rFonts w:ascii="Times New Roman" w:hAnsi="Times New Roman"/>
                <w:b/>
                <w:szCs w:val="24"/>
              </w:rPr>
            </w:pPr>
          </w:p>
        </w:tc>
        <w:tc>
          <w:tcPr>
            <w:tcW w:w="2048" w:type="dxa"/>
          </w:tcPr>
          <w:p w:rsidR="0052073E" w:rsidP="00534B4A" w14:paraId="42165C89"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EE8CE81"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744729C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30A5A777" w14:textId="77777777" w:rsidTr="0052073E">
        <w:tblPrEx>
          <w:tblW w:w="9445" w:type="dxa"/>
          <w:tblLook w:val="04A0"/>
        </w:tblPrEx>
        <w:tc>
          <w:tcPr>
            <w:tcW w:w="2048" w:type="dxa"/>
          </w:tcPr>
          <w:p w:rsidR="0052073E" w:rsidP="00534B4A" w14:paraId="5088A1E5"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24B7BB24" w14:textId="77777777">
            <w:pPr>
              <w:tabs>
                <w:tab w:val="left" w:pos="-720"/>
              </w:tabs>
              <w:suppressAutoHyphens/>
              <w:rPr>
                <w:rFonts w:ascii="Times New Roman" w:hAnsi="Times New Roman"/>
                <w:b/>
                <w:szCs w:val="24"/>
              </w:rPr>
            </w:pPr>
          </w:p>
        </w:tc>
        <w:tc>
          <w:tcPr>
            <w:tcW w:w="2829" w:type="dxa"/>
          </w:tcPr>
          <w:p w:rsidR="0052073E" w:rsidP="00534B4A" w14:paraId="37930B9A" w14:textId="38D864E1">
            <w:pPr>
              <w:tabs>
                <w:tab w:val="left" w:pos="-720"/>
              </w:tabs>
              <w:suppressAutoHyphens/>
              <w:rPr>
                <w:rFonts w:ascii="Times New Roman" w:hAnsi="Times New Roman"/>
                <w:b/>
                <w:szCs w:val="24"/>
              </w:rPr>
            </w:pPr>
            <w:r>
              <w:rPr>
                <w:b/>
                <w:szCs w:val="24"/>
              </w:rPr>
              <w:t>300</w:t>
            </w:r>
          </w:p>
        </w:tc>
        <w:tc>
          <w:tcPr>
            <w:tcW w:w="2520" w:type="dxa"/>
          </w:tcPr>
          <w:p w:rsidR="0052073E" w:rsidP="00534B4A" w14:paraId="1F30DD47" w14:textId="473335D3">
            <w:pPr>
              <w:tabs>
                <w:tab w:val="left" w:pos="-720"/>
              </w:tabs>
              <w:suppressAutoHyphens/>
              <w:rPr>
                <w:rFonts w:ascii="Times New Roman" w:hAnsi="Times New Roman"/>
                <w:b/>
                <w:szCs w:val="24"/>
              </w:rPr>
            </w:pPr>
          </w:p>
        </w:tc>
      </w:tr>
      <w:tr w14:paraId="22A317E7" w14:textId="77777777" w:rsidTr="0052073E">
        <w:tblPrEx>
          <w:tblW w:w="9445" w:type="dxa"/>
          <w:tblLook w:val="04A0"/>
        </w:tblPrEx>
        <w:tc>
          <w:tcPr>
            <w:tcW w:w="2048" w:type="dxa"/>
          </w:tcPr>
          <w:p w:rsidR="0052073E" w:rsidP="00534B4A" w14:paraId="5E163C52"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1615098E" w14:textId="77777777">
            <w:pPr>
              <w:tabs>
                <w:tab w:val="left" w:pos="-720"/>
              </w:tabs>
              <w:suppressAutoHyphens/>
              <w:rPr>
                <w:rFonts w:ascii="Times New Roman" w:hAnsi="Times New Roman"/>
                <w:b/>
                <w:szCs w:val="24"/>
              </w:rPr>
            </w:pPr>
          </w:p>
        </w:tc>
        <w:tc>
          <w:tcPr>
            <w:tcW w:w="2829" w:type="dxa"/>
          </w:tcPr>
          <w:p w:rsidR="0052073E" w:rsidP="00534B4A" w14:paraId="401C586A" w14:textId="77777777">
            <w:pPr>
              <w:tabs>
                <w:tab w:val="left" w:pos="-720"/>
              </w:tabs>
              <w:suppressAutoHyphens/>
              <w:rPr>
                <w:rFonts w:ascii="Times New Roman" w:hAnsi="Times New Roman"/>
                <w:b/>
                <w:szCs w:val="24"/>
              </w:rPr>
            </w:pPr>
          </w:p>
        </w:tc>
        <w:tc>
          <w:tcPr>
            <w:tcW w:w="2520" w:type="dxa"/>
          </w:tcPr>
          <w:p w:rsidR="0052073E" w:rsidP="00534B4A" w14:paraId="1A78AD75" w14:textId="4941F067">
            <w:pPr>
              <w:tabs>
                <w:tab w:val="left" w:pos="-720"/>
              </w:tabs>
              <w:suppressAutoHyphens/>
              <w:rPr>
                <w:rFonts w:ascii="Times New Roman" w:hAnsi="Times New Roman"/>
                <w:b/>
                <w:szCs w:val="24"/>
              </w:rPr>
            </w:pPr>
          </w:p>
        </w:tc>
      </w:tr>
      <w:tr w14:paraId="36ECE6E1" w14:textId="77777777" w:rsidTr="0052073E">
        <w:tblPrEx>
          <w:tblW w:w="9445" w:type="dxa"/>
          <w:tblLook w:val="04A0"/>
        </w:tblPrEx>
        <w:tc>
          <w:tcPr>
            <w:tcW w:w="2048" w:type="dxa"/>
          </w:tcPr>
          <w:p w:rsidR="0052073E" w:rsidP="00534B4A" w14:paraId="65D8CDCF"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495C76AF" w14:textId="77777777">
            <w:pPr>
              <w:tabs>
                <w:tab w:val="left" w:pos="-720"/>
              </w:tabs>
              <w:suppressAutoHyphens/>
              <w:rPr>
                <w:rFonts w:ascii="Times New Roman" w:hAnsi="Times New Roman"/>
                <w:b/>
                <w:szCs w:val="24"/>
              </w:rPr>
            </w:pPr>
          </w:p>
        </w:tc>
        <w:tc>
          <w:tcPr>
            <w:tcW w:w="2829" w:type="dxa"/>
          </w:tcPr>
          <w:p w:rsidR="0052073E" w:rsidP="00534B4A" w14:paraId="7B41F468" w14:textId="77777777">
            <w:pPr>
              <w:tabs>
                <w:tab w:val="left" w:pos="-720"/>
              </w:tabs>
              <w:suppressAutoHyphens/>
              <w:rPr>
                <w:rFonts w:ascii="Times New Roman" w:hAnsi="Times New Roman"/>
                <w:b/>
                <w:szCs w:val="24"/>
              </w:rPr>
            </w:pPr>
          </w:p>
        </w:tc>
        <w:tc>
          <w:tcPr>
            <w:tcW w:w="2520" w:type="dxa"/>
          </w:tcPr>
          <w:p w:rsidR="0052073E" w:rsidP="00534B4A" w14:paraId="2C4A3C02" w14:textId="77777777">
            <w:pPr>
              <w:tabs>
                <w:tab w:val="left" w:pos="-720"/>
              </w:tabs>
              <w:suppressAutoHyphens/>
              <w:rPr>
                <w:rFonts w:ascii="Times New Roman" w:hAnsi="Times New Roman"/>
                <w:b/>
                <w:szCs w:val="24"/>
              </w:rPr>
            </w:pPr>
          </w:p>
        </w:tc>
      </w:tr>
    </w:tbl>
    <w:p w:rsidR="00534B4A" w:rsidRPr="00534B4A" w:rsidP="00534B4A" w14:paraId="013A86C8" w14:textId="77777777">
      <w:pPr>
        <w:tabs>
          <w:tab w:val="left" w:pos="-720"/>
        </w:tabs>
        <w:suppressAutoHyphens/>
        <w:rPr>
          <w:rFonts w:ascii="Times New Roman" w:hAnsi="Times New Roman"/>
          <w:szCs w:val="24"/>
        </w:rPr>
      </w:pPr>
    </w:p>
    <w:p w:rsidR="00043C32" w:rsidP="00AD381B" w14:paraId="3D5160C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A2035" w:rsidP="003A2035" w14:paraId="71BFEC5E" w14:textId="0A6A29AE">
      <w:pPr>
        <w:pStyle w:val="MediumGrid1-Accent21"/>
        <w:spacing w:before="240"/>
        <w:rPr>
          <w:rStyle w:val="a"/>
        </w:rPr>
      </w:pPr>
      <w:r w:rsidRPr="00E04BE0">
        <w:t>The collection of information does not require publication of the information or use of complex analytical techniques.</w:t>
      </w:r>
    </w:p>
    <w:p w:rsidR="00534B4A" w:rsidRPr="00534B4A" w:rsidP="00534B4A" w14:paraId="4A18474D" w14:textId="77777777">
      <w:pPr>
        <w:tabs>
          <w:tab w:val="left" w:pos="-720"/>
        </w:tabs>
        <w:suppressAutoHyphens/>
        <w:rPr>
          <w:rFonts w:ascii="Times New Roman" w:hAnsi="Times New Roman"/>
          <w:szCs w:val="24"/>
        </w:rPr>
      </w:pPr>
    </w:p>
    <w:p w:rsidR="00043C32" w:rsidRPr="00534B4A" w:rsidP="00AD381B" w14:paraId="20743C9A"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14:paraId="26459B71" w14:textId="77777777">
      <w:pPr>
        <w:tabs>
          <w:tab w:val="left" w:pos="-720"/>
        </w:tabs>
        <w:suppressAutoHyphens/>
        <w:ind w:left="360"/>
        <w:rPr>
          <w:rFonts w:ascii="Times New Roman" w:hAnsi="Times New Roman"/>
          <w:b/>
          <w:szCs w:val="24"/>
        </w:rPr>
      </w:pPr>
    </w:p>
    <w:p w:rsidR="003A2035" w:rsidRPr="003A2035" w:rsidP="003A2035" w14:paraId="3A2D02B6" w14:textId="26CE6EF1">
      <w:pPr>
        <w:tabs>
          <w:tab w:val="left" w:pos="-720"/>
        </w:tabs>
        <w:suppressAutoHyphens/>
        <w:ind w:left="360"/>
        <w:rPr>
          <w:rFonts w:ascii="Times New Roman" w:hAnsi="Times New Roman"/>
          <w:szCs w:val="24"/>
        </w:rPr>
      </w:pPr>
      <w:r>
        <w:rPr>
          <w:rFonts w:ascii="Times New Roman" w:hAnsi="Times New Roman"/>
          <w:szCs w:val="24"/>
        </w:rPr>
        <w:tab/>
      </w:r>
      <w:r w:rsidRPr="003A2035">
        <w:rPr>
          <w:rFonts w:ascii="Times New Roman" w:hAnsi="Times New Roman"/>
          <w:szCs w:val="24"/>
        </w:rPr>
        <w:t>There is no request to ask for an approval not to display the expiration date.</w:t>
      </w:r>
    </w:p>
    <w:p w:rsidR="00534B4A" w:rsidRPr="00534B4A" w:rsidP="00534B4A" w14:paraId="5768FA11" w14:textId="77777777">
      <w:pPr>
        <w:tabs>
          <w:tab w:val="left" w:pos="-720"/>
        </w:tabs>
        <w:suppressAutoHyphens/>
        <w:ind w:left="360"/>
        <w:rPr>
          <w:rFonts w:ascii="Times New Roman" w:hAnsi="Times New Roman"/>
          <w:szCs w:val="24"/>
        </w:rPr>
      </w:pPr>
    </w:p>
    <w:p w:rsidR="001C73C0" w:rsidP="00AD381B" w14:paraId="714E4AF8" w14:textId="31EE0619">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3A2035" w:rsidRPr="00E04BE0" w:rsidP="003A2035" w14:paraId="4AB42FF9" w14:textId="77777777">
      <w:pPr>
        <w:pStyle w:val="MediumGrid1-Accent21"/>
        <w:spacing w:before="240"/>
      </w:pPr>
      <w:r w:rsidRPr="00E04BE0">
        <w:t>There are no proposed exceptions to the certifications.</w:t>
      </w:r>
    </w:p>
    <w:p w:rsidR="003A2035" w:rsidRPr="009767AF" w:rsidP="003A2035" w14:paraId="136CA9A1" w14:textId="77777777">
      <w:pPr>
        <w:pStyle w:val="ListParagraph"/>
        <w:tabs>
          <w:tab w:val="left" w:pos="-720"/>
        </w:tabs>
        <w:suppressAutoHyphens/>
        <w:ind w:left="900"/>
        <w:rPr>
          <w:rFonts w:ascii="Times New Roman" w:hAnsi="Times New Roman"/>
          <w:b/>
          <w:szCs w:val="24"/>
        </w:rPr>
      </w:pPr>
    </w:p>
    <w:sectPr w:rsidSect="00043C32">
      <w:headerReference w:type="default" r:id="rId10"/>
      <w:footerReference w:type="default" r:id="rId11"/>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7D06CFD4" w14:textId="77777777">
    <w:pPr>
      <w:spacing w:before="140" w:line="100" w:lineRule="exact"/>
      <w:rPr>
        <w:sz w:val="10"/>
      </w:rPr>
    </w:pPr>
  </w:p>
  <w:p w:rsidR="00386054" w14:paraId="095FECD5" w14:textId="77777777">
    <w:pPr>
      <w:tabs>
        <w:tab w:val="left" w:pos="0"/>
      </w:tabs>
      <w:suppressAutoHyphens/>
    </w:pPr>
  </w:p>
  <w:p w:rsidR="00386054" w14:paraId="400D61C0"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343A1B0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40FAC" w:rsidP="00043C32" w14:paraId="7E568759" w14:textId="77777777">
      <w:r>
        <w:separator/>
      </w:r>
    </w:p>
  </w:footnote>
  <w:footnote w:type="continuationSeparator" w:id="1">
    <w:p w:rsidR="00F40FAC" w:rsidP="00043C32" w14:paraId="26E6CF8E" w14:textId="77777777">
      <w:r>
        <w:continuationSeparator/>
      </w:r>
    </w:p>
  </w:footnote>
  <w:footnote w:id="2">
    <w:p w:rsidR="00043C32" w:rsidP="00043C32" w14:paraId="590BF124" w14:textId="7418D485">
      <w:pPr>
        <w:pStyle w:val="FootnoteText"/>
      </w:pPr>
      <w:r>
        <w:rPr>
          <w:rStyle w:val="FootnoteReference"/>
        </w:rPr>
        <w:footnoteRef/>
      </w:r>
      <w:r>
        <w:t xml:space="preserve"> </w:t>
      </w:r>
      <w:r w:rsidR="00F62B37">
        <w:rPr>
          <w:rFonts w:ascii="Times New Roman" w:hAnsi="Times New Roman"/>
          <w:sz w:val="20"/>
        </w:rPr>
        <w:t xml:space="preserve">Requests for this information collection are in accordance with the following ED and OMB policies: Privacy Act of 1974; </w:t>
      </w:r>
      <w:r w:rsidRPr="00CF3F89" w:rsidR="00F62B37">
        <w:rPr>
          <w:rFonts w:ascii="Times New Roman" w:hAnsi="Times New Roman"/>
          <w:sz w:val="20"/>
        </w:rPr>
        <w:t>Paperwork Reduction Act (PRA) of 1995, as amended (44 U.S.C</w:t>
      </w:r>
      <w:r w:rsidR="00F62B37">
        <w:rPr>
          <w:rFonts w:ascii="Times New Roman" w:hAnsi="Times New Roman"/>
          <w:sz w:val="20"/>
        </w:rPr>
        <w:t>.</w:t>
      </w:r>
      <w:r w:rsidRPr="00CF3F89" w:rsidR="00F62B37">
        <w:rPr>
          <w:rFonts w:ascii="Times New Roman" w:hAnsi="Times New Roman"/>
          <w:sz w:val="20"/>
        </w:rPr>
        <w:t xml:space="preserve"> chapter 35; </w:t>
      </w:r>
      <w:r w:rsidR="00F62B37">
        <w:rPr>
          <w:rFonts w:ascii="Times New Roman" w:hAnsi="Times New Roman"/>
          <w:sz w:val="20"/>
        </w:rPr>
        <w:t xml:space="preserve">and </w:t>
      </w:r>
      <w:r w:rsidRPr="00CF3F89" w:rsidR="00F62B37">
        <w:rPr>
          <w:rFonts w:ascii="Times New Roman" w:hAnsi="Times New Roman"/>
          <w:sz w:val="20"/>
        </w:rPr>
        <w:t xml:space="preserve"> 5 CFR Part 1320)</w:t>
      </w:r>
      <w:r w:rsidR="00F62B37">
        <w:rPr>
          <w:rFonts w:ascii="Times New Roman" w:hAnsi="Times New Roman"/>
          <w:sz w:val="20"/>
        </w:rPr>
        <w:t xml:space="preserve">; OMB Circular A-108 – </w:t>
      </w:r>
      <w:r w:rsidRPr="00CF5CD0" w:rsidR="00F62B37">
        <w:rPr>
          <w:rFonts w:ascii="Times New Roman" w:hAnsi="Times New Roman"/>
          <w:sz w:val="20"/>
        </w:rPr>
        <w:t xml:space="preserve">Federal Agency Responsibilities for Review, Reporting, and Publication  under the </w:t>
      </w:r>
      <w:r w:rsidR="00F62B37">
        <w:rPr>
          <w:rFonts w:ascii="Times New Roman" w:hAnsi="Times New Roman"/>
          <w:sz w:val="20"/>
        </w:rPr>
        <w:t xml:space="preserve">Privacy Act; OMB Circular A-130 </w:t>
      </w:r>
      <w:r w:rsidRPr="00736DAD" w:rsidR="00F62B37">
        <w:rPr>
          <w:rFonts w:ascii="Times New Roman" w:hAnsi="Times New Roman"/>
          <w:sz w:val="20"/>
        </w:rPr>
        <w:t>Managing Federal Information as a Strategic Resource</w:t>
      </w:r>
      <w:r w:rsidR="00F62B37">
        <w:rPr>
          <w:rFonts w:ascii="Times New Roman" w:hAnsi="Times New Roman"/>
          <w:sz w:val="20"/>
        </w:rPr>
        <w:t xml:space="preserve">; OMB M-03-22 – OMB Guidance for </w:t>
      </w:r>
      <w:r w:rsidR="00EF6294">
        <w:rPr>
          <w:rFonts w:ascii="Times New Roman" w:hAnsi="Times New Roman"/>
          <w:sz w:val="20"/>
        </w:rPr>
        <w:t xml:space="preserve">Implementing the Privacy Provisions of the E-Government Act of 2002, OMB M-06-15 – Safeguarding Personally Identifiable Information; and Departmental Directive </w:t>
      </w:r>
      <w:r w:rsidRPr="00104F74" w:rsidR="00EF6294">
        <w:rPr>
          <w:rFonts w:ascii="Times New Roman" w:hAnsi="Times New Roman"/>
          <w:sz w:val="20"/>
        </w:rPr>
        <w:t>ACSD-OPEPD-001</w:t>
      </w:r>
      <w:r w:rsidR="00EF6294">
        <w:rPr>
          <w:rFonts w:ascii="Times New Roman" w:hAnsi="Times New Roman"/>
          <w:sz w:val="20"/>
        </w:rPr>
        <w:t xml:space="preserve"> (Information Collection Activities and Burden Control) (8/22/2021)</w:t>
      </w:r>
    </w:p>
  </w:footnote>
  <w:footnote w:id="3">
    <w:p w:rsidR="00096023" w:rsidRPr="00FD19D3" w:rsidP="00096023" w14:paraId="27210269" w14:textId="5EF1462B">
      <w:pPr>
        <w:pStyle w:val="FootnoteText"/>
        <w:rPr>
          <w:sz w:val="20"/>
        </w:rPr>
      </w:pPr>
      <w:r>
        <w:rPr>
          <w:rStyle w:val="FootnoteReference"/>
        </w:rPr>
        <w:footnoteRef/>
      </w:r>
      <w:r>
        <w:t xml:space="preserve"> </w:t>
      </w:r>
      <w:r w:rsidRPr="00AB1F3C">
        <w:rPr>
          <w:rFonts w:ascii="Times New Roman" w:hAnsi="Times New Roman"/>
          <w:sz w:val="20"/>
        </w:rPr>
        <w:t xml:space="preserve">OSEP bases its average on the staff hours associated with collecting and analyzing data, and reporting in the SPP/APR for each indicator.  Some indicators may require more staff time than the average, </w:t>
      </w:r>
      <w:r w:rsidRPr="00AB1F3C">
        <w:rPr>
          <w:rFonts w:ascii="Times New Roman" w:hAnsi="Times New Roman"/>
          <w:i/>
          <w:sz w:val="20"/>
        </w:rPr>
        <w:t>e.g.</w:t>
      </w:r>
      <w:r w:rsidRPr="00AB1F3C">
        <w:rPr>
          <w:rFonts w:ascii="Times New Roman" w:hAnsi="Times New Roman"/>
          <w:sz w:val="20"/>
        </w:rPr>
        <w:t xml:space="preserve">, Indicator </w:t>
      </w:r>
      <w:r w:rsidR="009D5A69">
        <w:rPr>
          <w:rFonts w:ascii="Times New Roman" w:hAnsi="Times New Roman"/>
          <w:sz w:val="20"/>
        </w:rPr>
        <w:t>7</w:t>
      </w:r>
      <w:r w:rsidRPr="00AB1F3C">
        <w:rPr>
          <w:rFonts w:ascii="Times New Roman" w:hAnsi="Times New Roman"/>
          <w:sz w:val="20"/>
        </w:rPr>
        <w:t xml:space="preserve">, while others may require far less than average, </w:t>
      </w:r>
      <w:r w:rsidRPr="00AB1F3C">
        <w:rPr>
          <w:rFonts w:ascii="Times New Roman" w:hAnsi="Times New Roman"/>
          <w:i/>
          <w:sz w:val="20"/>
        </w:rPr>
        <w:t>e.g.</w:t>
      </w:r>
      <w:r w:rsidRPr="00AB1F3C">
        <w:rPr>
          <w:rFonts w:ascii="Times New Roman" w:hAnsi="Times New Roman"/>
          <w:sz w:val="20"/>
        </w:rPr>
        <w:t xml:space="preserve">, Indicators </w:t>
      </w:r>
      <w:r w:rsidR="00095BB8">
        <w:rPr>
          <w:rFonts w:ascii="Times New Roman" w:hAnsi="Times New Roman"/>
          <w:sz w:val="20"/>
        </w:rPr>
        <w:t>15</w:t>
      </w:r>
      <w:r w:rsidRPr="00AB1F3C">
        <w:rPr>
          <w:rFonts w:ascii="Times New Roman" w:hAnsi="Times New Roman"/>
          <w:sz w:val="20"/>
        </w:rPr>
        <w:t xml:space="preserve"> and 1</w:t>
      </w:r>
      <w:r w:rsidR="00095BB8">
        <w:rPr>
          <w:rFonts w:ascii="Times New Roman" w:hAnsi="Times New Roman"/>
          <w:sz w:val="20"/>
        </w:rPr>
        <w:t>6</w:t>
      </w:r>
      <w:r w:rsidRPr="00AB1F3C">
        <w:rPr>
          <w:rFonts w:ascii="Times New Roman" w:hAnsi="Times New Roman"/>
          <w:sz w:val="20"/>
        </w:rPr>
        <w:t>.</w:t>
      </w:r>
    </w:p>
    <w:p w:rsidR="007031D7" w14:paraId="2AE98AD6" w14:textId="38662D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4048" w:rsidP="00004048" w14:paraId="351AF332" w14:textId="3C20173C">
    <w:pPr>
      <w:pStyle w:val="Header"/>
      <w:jc w:val="center"/>
    </w:pPr>
    <w:r>
      <w:t>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47345713">
    <w:abstractNumId w:val="0"/>
  </w:num>
  <w:num w:numId="2" w16cid:durableId="70079253">
    <w:abstractNumId w:val="2"/>
  </w:num>
  <w:num w:numId="3" w16cid:durableId="99378004">
    <w:abstractNumId w:val="1"/>
  </w:num>
  <w:num w:numId="4" w16cid:durableId="827550889">
    <w:abstractNumId w:val="3"/>
  </w:num>
  <w:num w:numId="5" w16cid:durableId="1551509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4048"/>
    <w:rsid w:val="00010D85"/>
    <w:rsid w:val="00013B17"/>
    <w:rsid w:val="000141AB"/>
    <w:rsid w:val="00017F30"/>
    <w:rsid w:val="00035ED5"/>
    <w:rsid w:val="00043C32"/>
    <w:rsid w:val="000446F5"/>
    <w:rsid w:val="000453BA"/>
    <w:rsid w:val="000847BF"/>
    <w:rsid w:val="00093017"/>
    <w:rsid w:val="00095BB8"/>
    <w:rsid w:val="00096023"/>
    <w:rsid w:val="000967CC"/>
    <w:rsid w:val="000B1004"/>
    <w:rsid w:val="000B51DD"/>
    <w:rsid w:val="000C2306"/>
    <w:rsid w:val="000C3E2D"/>
    <w:rsid w:val="000C3F65"/>
    <w:rsid w:val="000C67A3"/>
    <w:rsid w:val="000D4FD7"/>
    <w:rsid w:val="000D522B"/>
    <w:rsid w:val="00102A7D"/>
    <w:rsid w:val="00104F74"/>
    <w:rsid w:val="0012271F"/>
    <w:rsid w:val="001613BC"/>
    <w:rsid w:val="00164BE4"/>
    <w:rsid w:val="00177411"/>
    <w:rsid w:val="00180B84"/>
    <w:rsid w:val="001824F3"/>
    <w:rsid w:val="00193084"/>
    <w:rsid w:val="001A0F1F"/>
    <w:rsid w:val="001A6AE0"/>
    <w:rsid w:val="001C73C0"/>
    <w:rsid w:val="001E03B2"/>
    <w:rsid w:val="001E6F2B"/>
    <w:rsid w:val="001E79BD"/>
    <w:rsid w:val="0020573B"/>
    <w:rsid w:val="00210193"/>
    <w:rsid w:val="002138C5"/>
    <w:rsid w:val="002225CC"/>
    <w:rsid w:val="0022281D"/>
    <w:rsid w:val="00224A3B"/>
    <w:rsid w:val="002330DE"/>
    <w:rsid w:val="00240A39"/>
    <w:rsid w:val="00246722"/>
    <w:rsid w:val="00246FE9"/>
    <w:rsid w:val="00250100"/>
    <w:rsid w:val="002531F9"/>
    <w:rsid w:val="00260EA8"/>
    <w:rsid w:val="00262A69"/>
    <w:rsid w:val="00270AF7"/>
    <w:rsid w:val="00275018"/>
    <w:rsid w:val="00281C6F"/>
    <w:rsid w:val="0028555F"/>
    <w:rsid w:val="00286F38"/>
    <w:rsid w:val="002A0E05"/>
    <w:rsid w:val="002A0E28"/>
    <w:rsid w:val="002A3221"/>
    <w:rsid w:val="002B1598"/>
    <w:rsid w:val="002B2D18"/>
    <w:rsid w:val="002B340C"/>
    <w:rsid w:val="002B4773"/>
    <w:rsid w:val="002B7B22"/>
    <w:rsid w:val="002C082B"/>
    <w:rsid w:val="002C1520"/>
    <w:rsid w:val="002C3520"/>
    <w:rsid w:val="002E14E0"/>
    <w:rsid w:val="002F55E5"/>
    <w:rsid w:val="002F7FA2"/>
    <w:rsid w:val="0031368E"/>
    <w:rsid w:val="0032078A"/>
    <w:rsid w:val="0032539E"/>
    <w:rsid w:val="00337347"/>
    <w:rsid w:val="00357D9A"/>
    <w:rsid w:val="00373D85"/>
    <w:rsid w:val="003821EF"/>
    <w:rsid w:val="00383BF8"/>
    <w:rsid w:val="00384B24"/>
    <w:rsid w:val="00386054"/>
    <w:rsid w:val="003860E4"/>
    <w:rsid w:val="00397670"/>
    <w:rsid w:val="003A2035"/>
    <w:rsid w:val="003A3137"/>
    <w:rsid w:val="003B1545"/>
    <w:rsid w:val="003B4624"/>
    <w:rsid w:val="003C20E6"/>
    <w:rsid w:val="003E5474"/>
    <w:rsid w:val="003F445B"/>
    <w:rsid w:val="004046CD"/>
    <w:rsid w:val="00412915"/>
    <w:rsid w:val="00416BAA"/>
    <w:rsid w:val="00427C78"/>
    <w:rsid w:val="00431D14"/>
    <w:rsid w:val="00437F08"/>
    <w:rsid w:val="00441262"/>
    <w:rsid w:val="00442E07"/>
    <w:rsid w:val="00456A97"/>
    <w:rsid w:val="0046449E"/>
    <w:rsid w:val="00477340"/>
    <w:rsid w:val="00480DCE"/>
    <w:rsid w:val="004816EA"/>
    <w:rsid w:val="004846C6"/>
    <w:rsid w:val="0049360A"/>
    <w:rsid w:val="00495873"/>
    <w:rsid w:val="004B4719"/>
    <w:rsid w:val="004C3FD2"/>
    <w:rsid w:val="004D0F33"/>
    <w:rsid w:val="004D4A89"/>
    <w:rsid w:val="004E0593"/>
    <w:rsid w:val="004F01D7"/>
    <w:rsid w:val="004F68E0"/>
    <w:rsid w:val="005011DE"/>
    <w:rsid w:val="00504C49"/>
    <w:rsid w:val="0052073E"/>
    <w:rsid w:val="00532396"/>
    <w:rsid w:val="0053415E"/>
    <w:rsid w:val="00534B4A"/>
    <w:rsid w:val="00541661"/>
    <w:rsid w:val="005463E3"/>
    <w:rsid w:val="00571137"/>
    <w:rsid w:val="005755B3"/>
    <w:rsid w:val="00581C11"/>
    <w:rsid w:val="005826BE"/>
    <w:rsid w:val="00587E5E"/>
    <w:rsid w:val="005C53C1"/>
    <w:rsid w:val="005D24D7"/>
    <w:rsid w:val="005D2986"/>
    <w:rsid w:val="005F326B"/>
    <w:rsid w:val="005F7214"/>
    <w:rsid w:val="00617C09"/>
    <w:rsid w:val="00633733"/>
    <w:rsid w:val="00642F79"/>
    <w:rsid w:val="00645781"/>
    <w:rsid w:val="00645BBA"/>
    <w:rsid w:val="00651FCB"/>
    <w:rsid w:val="00655B7C"/>
    <w:rsid w:val="00667D1F"/>
    <w:rsid w:val="00684902"/>
    <w:rsid w:val="0068567A"/>
    <w:rsid w:val="00691D6C"/>
    <w:rsid w:val="006A292A"/>
    <w:rsid w:val="006A38F7"/>
    <w:rsid w:val="006A4EBB"/>
    <w:rsid w:val="006A5133"/>
    <w:rsid w:val="006A7C87"/>
    <w:rsid w:val="006B4172"/>
    <w:rsid w:val="006B7698"/>
    <w:rsid w:val="006C36A3"/>
    <w:rsid w:val="00701564"/>
    <w:rsid w:val="007031D7"/>
    <w:rsid w:val="00707A7B"/>
    <w:rsid w:val="00736DAD"/>
    <w:rsid w:val="00751C01"/>
    <w:rsid w:val="00753F3D"/>
    <w:rsid w:val="00755D99"/>
    <w:rsid w:val="00756FD3"/>
    <w:rsid w:val="00765392"/>
    <w:rsid w:val="0076687F"/>
    <w:rsid w:val="007672EF"/>
    <w:rsid w:val="0077013F"/>
    <w:rsid w:val="007751C0"/>
    <w:rsid w:val="00785AD4"/>
    <w:rsid w:val="00790E3E"/>
    <w:rsid w:val="0079650B"/>
    <w:rsid w:val="007A21B8"/>
    <w:rsid w:val="007B3869"/>
    <w:rsid w:val="007B4785"/>
    <w:rsid w:val="007B648F"/>
    <w:rsid w:val="007C0A4C"/>
    <w:rsid w:val="007C5799"/>
    <w:rsid w:val="007E4614"/>
    <w:rsid w:val="007F6104"/>
    <w:rsid w:val="00800878"/>
    <w:rsid w:val="00800D30"/>
    <w:rsid w:val="00802321"/>
    <w:rsid w:val="00805478"/>
    <w:rsid w:val="00806FDE"/>
    <w:rsid w:val="00807D1A"/>
    <w:rsid w:val="00816EE3"/>
    <w:rsid w:val="00822416"/>
    <w:rsid w:val="00841059"/>
    <w:rsid w:val="00855C21"/>
    <w:rsid w:val="00862592"/>
    <w:rsid w:val="008677E4"/>
    <w:rsid w:val="00874EFE"/>
    <w:rsid w:val="00882126"/>
    <w:rsid w:val="00883F10"/>
    <w:rsid w:val="00886E42"/>
    <w:rsid w:val="0089313B"/>
    <w:rsid w:val="008933F1"/>
    <w:rsid w:val="008B33CE"/>
    <w:rsid w:val="008C72A3"/>
    <w:rsid w:val="008C7303"/>
    <w:rsid w:val="008D0601"/>
    <w:rsid w:val="008D0E07"/>
    <w:rsid w:val="008D1F11"/>
    <w:rsid w:val="008D2FF3"/>
    <w:rsid w:val="008D59AE"/>
    <w:rsid w:val="008E3B2C"/>
    <w:rsid w:val="008E3D7D"/>
    <w:rsid w:val="008E5919"/>
    <w:rsid w:val="008F1A01"/>
    <w:rsid w:val="008F7728"/>
    <w:rsid w:val="00901660"/>
    <w:rsid w:val="00904E25"/>
    <w:rsid w:val="00905951"/>
    <w:rsid w:val="00912D2C"/>
    <w:rsid w:val="00916EE4"/>
    <w:rsid w:val="00917719"/>
    <w:rsid w:val="00920F63"/>
    <w:rsid w:val="00921BF3"/>
    <w:rsid w:val="009243F3"/>
    <w:rsid w:val="0092641C"/>
    <w:rsid w:val="0093366B"/>
    <w:rsid w:val="00934185"/>
    <w:rsid w:val="009357AA"/>
    <w:rsid w:val="00936F0C"/>
    <w:rsid w:val="00946126"/>
    <w:rsid w:val="00947423"/>
    <w:rsid w:val="00952DF9"/>
    <w:rsid w:val="0095421D"/>
    <w:rsid w:val="00960C86"/>
    <w:rsid w:val="009767AF"/>
    <w:rsid w:val="00981F58"/>
    <w:rsid w:val="0098576D"/>
    <w:rsid w:val="00986D0A"/>
    <w:rsid w:val="00996427"/>
    <w:rsid w:val="00997B7B"/>
    <w:rsid w:val="009D5A69"/>
    <w:rsid w:val="009D62E5"/>
    <w:rsid w:val="009E13E8"/>
    <w:rsid w:val="009E3E86"/>
    <w:rsid w:val="009E5E84"/>
    <w:rsid w:val="009F15F8"/>
    <w:rsid w:val="009F1CC2"/>
    <w:rsid w:val="009F7444"/>
    <w:rsid w:val="00A118A2"/>
    <w:rsid w:val="00A23F26"/>
    <w:rsid w:val="00A26A1C"/>
    <w:rsid w:val="00A4001C"/>
    <w:rsid w:val="00A40AAB"/>
    <w:rsid w:val="00A41E27"/>
    <w:rsid w:val="00A46D01"/>
    <w:rsid w:val="00A50E4D"/>
    <w:rsid w:val="00A70816"/>
    <w:rsid w:val="00A7636D"/>
    <w:rsid w:val="00A9138E"/>
    <w:rsid w:val="00AA41EB"/>
    <w:rsid w:val="00AB1F3C"/>
    <w:rsid w:val="00AC12F8"/>
    <w:rsid w:val="00AC1C89"/>
    <w:rsid w:val="00AC2B8C"/>
    <w:rsid w:val="00AC67D5"/>
    <w:rsid w:val="00AD381B"/>
    <w:rsid w:val="00AD742A"/>
    <w:rsid w:val="00AD7CD4"/>
    <w:rsid w:val="00AE2DD9"/>
    <w:rsid w:val="00AF3634"/>
    <w:rsid w:val="00AF5B5B"/>
    <w:rsid w:val="00AF5D1A"/>
    <w:rsid w:val="00AF7339"/>
    <w:rsid w:val="00B017F9"/>
    <w:rsid w:val="00B06EBC"/>
    <w:rsid w:val="00B07213"/>
    <w:rsid w:val="00B10A05"/>
    <w:rsid w:val="00B27198"/>
    <w:rsid w:val="00B372E4"/>
    <w:rsid w:val="00B537B0"/>
    <w:rsid w:val="00B54167"/>
    <w:rsid w:val="00B6233E"/>
    <w:rsid w:val="00B62E06"/>
    <w:rsid w:val="00B64B1D"/>
    <w:rsid w:val="00B81E65"/>
    <w:rsid w:val="00B83189"/>
    <w:rsid w:val="00B9671B"/>
    <w:rsid w:val="00BA1D31"/>
    <w:rsid w:val="00BB26E0"/>
    <w:rsid w:val="00BE2663"/>
    <w:rsid w:val="00BE2E08"/>
    <w:rsid w:val="00C02253"/>
    <w:rsid w:val="00C164D3"/>
    <w:rsid w:val="00C20670"/>
    <w:rsid w:val="00C224FD"/>
    <w:rsid w:val="00C559A4"/>
    <w:rsid w:val="00C8178B"/>
    <w:rsid w:val="00C86713"/>
    <w:rsid w:val="00C875E8"/>
    <w:rsid w:val="00C917D9"/>
    <w:rsid w:val="00C92035"/>
    <w:rsid w:val="00CA478A"/>
    <w:rsid w:val="00CA50F6"/>
    <w:rsid w:val="00CA67D1"/>
    <w:rsid w:val="00CA6E0C"/>
    <w:rsid w:val="00CB0223"/>
    <w:rsid w:val="00CC24B9"/>
    <w:rsid w:val="00CC2A72"/>
    <w:rsid w:val="00CC3FB5"/>
    <w:rsid w:val="00CC51E3"/>
    <w:rsid w:val="00CC667A"/>
    <w:rsid w:val="00CD0814"/>
    <w:rsid w:val="00CD084D"/>
    <w:rsid w:val="00CD2067"/>
    <w:rsid w:val="00CD3ECD"/>
    <w:rsid w:val="00CD47BC"/>
    <w:rsid w:val="00CD65D5"/>
    <w:rsid w:val="00CD7E14"/>
    <w:rsid w:val="00CF3F89"/>
    <w:rsid w:val="00CF4188"/>
    <w:rsid w:val="00CF5BDD"/>
    <w:rsid w:val="00CF5CD0"/>
    <w:rsid w:val="00D1320E"/>
    <w:rsid w:val="00D20218"/>
    <w:rsid w:val="00D21D1D"/>
    <w:rsid w:val="00D25843"/>
    <w:rsid w:val="00D262EE"/>
    <w:rsid w:val="00D2734A"/>
    <w:rsid w:val="00D31DDD"/>
    <w:rsid w:val="00D34984"/>
    <w:rsid w:val="00D352FD"/>
    <w:rsid w:val="00D361FB"/>
    <w:rsid w:val="00D36C35"/>
    <w:rsid w:val="00D440AB"/>
    <w:rsid w:val="00D5004B"/>
    <w:rsid w:val="00D51B60"/>
    <w:rsid w:val="00D53085"/>
    <w:rsid w:val="00D7012F"/>
    <w:rsid w:val="00D75313"/>
    <w:rsid w:val="00D774BA"/>
    <w:rsid w:val="00D77E88"/>
    <w:rsid w:val="00D834DF"/>
    <w:rsid w:val="00D940CF"/>
    <w:rsid w:val="00DA0D07"/>
    <w:rsid w:val="00DB6446"/>
    <w:rsid w:val="00DC226C"/>
    <w:rsid w:val="00DC4924"/>
    <w:rsid w:val="00DE61FA"/>
    <w:rsid w:val="00DF45CC"/>
    <w:rsid w:val="00DF7BBC"/>
    <w:rsid w:val="00E04BE0"/>
    <w:rsid w:val="00E11EEF"/>
    <w:rsid w:val="00E16828"/>
    <w:rsid w:val="00E16ACD"/>
    <w:rsid w:val="00E17134"/>
    <w:rsid w:val="00E21BEB"/>
    <w:rsid w:val="00E25EBC"/>
    <w:rsid w:val="00E2678F"/>
    <w:rsid w:val="00E41965"/>
    <w:rsid w:val="00E45C6F"/>
    <w:rsid w:val="00E46E78"/>
    <w:rsid w:val="00E55A66"/>
    <w:rsid w:val="00E60C81"/>
    <w:rsid w:val="00E6351F"/>
    <w:rsid w:val="00E66550"/>
    <w:rsid w:val="00E67E9D"/>
    <w:rsid w:val="00E80662"/>
    <w:rsid w:val="00E877BF"/>
    <w:rsid w:val="00EA0817"/>
    <w:rsid w:val="00EA1767"/>
    <w:rsid w:val="00EA36BB"/>
    <w:rsid w:val="00EB0929"/>
    <w:rsid w:val="00EB0FA5"/>
    <w:rsid w:val="00EB2731"/>
    <w:rsid w:val="00EB3101"/>
    <w:rsid w:val="00EC01DD"/>
    <w:rsid w:val="00EC35E3"/>
    <w:rsid w:val="00EC5636"/>
    <w:rsid w:val="00EC6799"/>
    <w:rsid w:val="00ED7195"/>
    <w:rsid w:val="00EE0ADD"/>
    <w:rsid w:val="00EE2050"/>
    <w:rsid w:val="00EF03EE"/>
    <w:rsid w:val="00EF1A5F"/>
    <w:rsid w:val="00EF6294"/>
    <w:rsid w:val="00F0414F"/>
    <w:rsid w:val="00F11788"/>
    <w:rsid w:val="00F241B3"/>
    <w:rsid w:val="00F27A0B"/>
    <w:rsid w:val="00F27AAF"/>
    <w:rsid w:val="00F31BEC"/>
    <w:rsid w:val="00F40FAC"/>
    <w:rsid w:val="00F41A35"/>
    <w:rsid w:val="00F45FD8"/>
    <w:rsid w:val="00F55878"/>
    <w:rsid w:val="00F5782B"/>
    <w:rsid w:val="00F62B37"/>
    <w:rsid w:val="00F71F3D"/>
    <w:rsid w:val="00F73131"/>
    <w:rsid w:val="00F7541B"/>
    <w:rsid w:val="00F87C38"/>
    <w:rsid w:val="00FC221A"/>
    <w:rsid w:val="00FC669D"/>
    <w:rsid w:val="00FC7F1D"/>
    <w:rsid w:val="00FD19D3"/>
    <w:rsid w:val="00FD4F0B"/>
    <w:rsid w:val="00FD73DC"/>
    <w:rsid w:val="00FE02FC"/>
    <w:rsid w:val="00FE1BAE"/>
    <w:rsid w:val="00FE682D"/>
    <w:rsid w:val="00FF0C6C"/>
    <w:rsid w:val="00FF157E"/>
    <w:rsid w:val="00FF5064"/>
    <w:rsid w:val="01C60A08"/>
    <w:rsid w:val="1BA2B52C"/>
    <w:rsid w:val="2FCA6397"/>
    <w:rsid w:val="4B8FE542"/>
    <w:rsid w:val="57B1D63C"/>
    <w:rsid w:val="78097D23"/>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482C4501"/>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diumGrid1-Accent21">
    <w:name w:val="Medium Grid 1 - Accent 21"/>
    <w:basedOn w:val="Normal"/>
    <w:uiPriority w:val="34"/>
    <w:qFormat/>
    <w:rsid w:val="001A0F1F"/>
    <w:pPr>
      <w:spacing w:before="120" w:after="120"/>
      <w:ind w:left="720"/>
    </w:pPr>
    <w:rPr>
      <w:rFonts w:ascii="Times New Roman" w:hAnsi="Times New Roman"/>
      <w:szCs w:val="24"/>
    </w:rPr>
  </w:style>
  <w:style w:type="character" w:styleId="FollowedHyperlink">
    <w:name w:val="FollowedHyperlink"/>
    <w:basedOn w:val="DefaultParagraphFont"/>
    <w:uiPriority w:val="99"/>
    <w:semiHidden/>
    <w:unhideWhenUsed/>
    <w:rsid w:val="00AD7CD4"/>
    <w:rPr>
      <w:color w:val="800080" w:themeColor="followedHyperlink"/>
      <w:u w:val="single"/>
    </w:rPr>
  </w:style>
  <w:style w:type="paragraph" w:styleId="Revision">
    <w:name w:val="Revision"/>
    <w:hidden/>
    <w:uiPriority w:val="99"/>
    <w:semiHidden/>
    <w:rsid w:val="004F01D7"/>
    <w:rPr>
      <w:rFonts w:ascii="Courier" w:hAnsi="Courier"/>
      <w:sz w:val="24"/>
    </w:rPr>
  </w:style>
  <w:style w:type="character" w:customStyle="1" w:styleId="ui-provider">
    <w:name w:val="ui-provider"/>
    <w:basedOn w:val="DefaultParagraphFont"/>
    <w:rsid w:val="00EA0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2F844620E99C544B9CAEB60993AAFC5" ma:contentTypeVersion="11" ma:contentTypeDescription="Create a new document." ma:contentTypeScope="" ma:versionID="e0a8644d851232618a955d98598b3ba3">
  <xsd:schema xmlns:xsd="http://www.w3.org/2001/XMLSchema" xmlns:xs="http://www.w3.org/2001/XMLSchema" xmlns:p="http://schemas.microsoft.com/office/2006/metadata/properties" xmlns:ns2="602c3f6d-8db3-426e-978a-eb6dfe0214f4" xmlns:ns3="734389df-e8b9-4aac-9023-5d37527740c6" targetNamespace="http://schemas.microsoft.com/office/2006/metadata/properties" ma:root="true" ma:fieldsID="e1728af1ad982ed1695f35c62e97a421" ns2:_="" ns3:_="">
    <xsd:import namespace="602c3f6d-8db3-426e-978a-eb6dfe0214f4"/>
    <xsd:import namespace="734389df-e8b9-4aac-9023-5d37527740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c3f6d-8db3-426e-978a-eb6dfe0214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Notes" ma:index="17" nillable="true" ma:displayName="Notes" ma:format="Dropdown" ma:internalName="Notes">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4389df-e8b9-4aac-9023-5d37527740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602c3f6d-8db3-426e-978a-eb6dfe0214f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2.xml><?xml version="1.0" encoding="utf-8"?>
<ds:datastoreItem xmlns:ds="http://schemas.openxmlformats.org/officeDocument/2006/customXml" ds:itemID="{AA7B4367-36DF-4BC5-9837-7727B68A4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c3f6d-8db3-426e-978a-eb6dfe0214f4"/>
    <ds:schemaRef ds:uri="734389df-e8b9-4aac-9023-5d3752774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602c3f6d-8db3-426e-978a-eb6dfe0214f4"/>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4256</Words>
  <Characters>24265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Christine Pilgrim</cp:lastModifiedBy>
  <cp:revision>2</cp:revision>
  <dcterms:created xsi:type="dcterms:W3CDTF">2023-09-06T21:27:00Z</dcterms:created>
  <dcterms:modified xsi:type="dcterms:W3CDTF">2023-09-06T21:27:00Z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0x010100A2F844620E99C544B9CAEB60993AAFC5</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41013e83-931d-4b51-a694-340c449e8e68</vt:lpwstr>
  </property>
  <property fmtid="{D5CDD505-2E9C-101B-9397-08002B2CF9AE}" pid="14" name="_dlc_LastRun">
    <vt:lpwstr>03/23/2021 01:12:33</vt:lpwstr>
  </property>
  <property fmtid="{D5CDD505-2E9C-101B-9397-08002B2CF9AE}" pid="15" name="_dlc_policyId">
    <vt:lpwstr>0x0101001C22A2B9DBEDBB4DB130C1FAF5F2F008|-874002092</vt:lpwstr>
  </property>
</Properties>
</file>