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3860" w:type="dxa"/>
        <w:tblInd w:w="-455" w:type="dxa"/>
        <w:tblLook w:val="04A0"/>
      </w:tblPr>
      <w:tblGrid>
        <w:gridCol w:w="1100"/>
        <w:gridCol w:w="1565"/>
        <w:gridCol w:w="4659"/>
        <w:gridCol w:w="4372"/>
        <w:gridCol w:w="2164"/>
      </w:tblGrid>
      <w:tr w14:paraId="642A0AE9" w14:textId="77777777" w:rsidTr="544379F8">
        <w:tblPrEx>
          <w:tblW w:w="13860" w:type="dxa"/>
          <w:tblInd w:w="-455" w:type="dxa"/>
          <w:tblLook w:val="04A0"/>
        </w:tblPrEx>
        <w:tc>
          <w:tcPr>
            <w:tcW w:w="1100" w:type="dxa"/>
          </w:tcPr>
          <w:p w:rsidR="00E359E1" w14:paraId="5C22BD0C" w14:textId="32CB3B94">
            <w:r>
              <w:t>Comment #</w:t>
            </w:r>
          </w:p>
        </w:tc>
        <w:tc>
          <w:tcPr>
            <w:tcW w:w="1565" w:type="dxa"/>
          </w:tcPr>
          <w:p w:rsidR="00E359E1" w14:paraId="3BBB5604" w14:textId="6AB372C1">
            <w:r>
              <w:t>Commenter Name</w:t>
            </w:r>
          </w:p>
        </w:tc>
        <w:tc>
          <w:tcPr>
            <w:tcW w:w="4659" w:type="dxa"/>
          </w:tcPr>
          <w:p w:rsidR="00E359E1" w14:paraId="1CDFBD6F" w14:textId="6F3CDFF4">
            <w:r>
              <w:t>Comment</w:t>
            </w:r>
          </w:p>
        </w:tc>
        <w:tc>
          <w:tcPr>
            <w:tcW w:w="4372" w:type="dxa"/>
          </w:tcPr>
          <w:p w:rsidR="00E359E1" w14:paraId="4E7306F7" w14:textId="5E3794D9">
            <w:r>
              <w:t>FSA Response</w:t>
            </w:r>
          </w:p>
        </w:tc>
        <w:tc>
          <w:tcPr>
            <w:tcW w:w="2164" w:type="dxa"/>
          </w:tcPr>
          <w:p w:rsidR="00E359E1" w14:paraId="2DDF220D" w14:textId="345F972E">
            <w:r>
              <w:t>Change to ICR or Form</w:t>
            </w:r>
          </w:p>
        </w:tc>
      </w:tr>
      <w:tr w14:paraId="132CDEC8" w14:textId="77777777" w:rsidTr="544379F8">
        <w:tblPrEx>
          <w:tblW w:w="13860" w:type="dxa"/>
          <w:tblInd w:w="-455" w:type="dxa"/>
          <w:tblLook w:val="04A0"/>
        </w:tblPrEx>
        <w:tc>
          <w:tcPr>
            <w:tcW w:w="1100" w:type="dxa"/>
          </w:tcPr>
          <w:p w:rsidR="00E359E1" w14:paraId="3BF183B5" w14:textId="431EE9A8">
            <w:r w:rsidRPr="003346EC">
              <w:t>0005</w:t>
            </w:r>
          </w:p>
        </w:tc>
        <w:tc>
          <w:tcPr>
            <w:tcW w:w="1565" w:type="dxa"/>
          </w:tcPr>
          <w:p w:rsidR="00E359E1" w14:paraId="3B568248" w14:textId="5ECE49AF">
            <w:r w:rsidRPr="00DC7AB8">
              <w:t>Kemia</w:t>
            </w:r>
            <w:r w:rsidRPr="00DC7AB8">
              <w:t xml:space="preserve"> </w:t>
            </w:r>
            <w:r w:rsidRPr="00DC7AB8">
              <w:t>Himon</w:t>
            </w:r>
          </w:p>
        </w:tc>
        <w:tc>
          <w:tcPr>
            <w:tcW w:w="4659" w:type="dxa"/>
          </w:tcPr>
          <w:p w:rsidR="00E359E1" w14:paraId="00D0E199" w14:textId="2FA683B8">
            <w:r w:rsidRPr="003346EC">
              <w:t xml:space="preserve">They should also expand those who worked in the field at for profit institution. I started working in Financial Aid at a for profit school. I wasn't aware that it would not have benefitted me. The school that I started my career is not closed. </w:t>
            </w:r>
            <w:r w:rsidRPr="003346EC">
              <w:t>However</w:t>
            </w:r>
            <w:r w:rsidRPr="003346EC">
              <w:t xml:space="preserve"> the 3 years that I worked there does not qualify for forgiveness.</w:t>
            </w:r>
          </w:p>
        </w:tc>
        <w:tc>
          <w:tcPr>
            <w:tcW w:w="4372" w:type="dxa"/>
          </w:tcPr>
          <w:p w:rsidR="00E359E1" w14:paraId="686B4B19" w14:textId="5E081F2F">
            <w:r>
              <w:t>Thank you for your comment.</w:t>
            </w:r>
            <w:r w:rsidR="3D18565F">
              <w:t xml:space="preserve"> The </w:t>
            </w:r>
            <w:r w:rsidR="473D86C4">
              <w:t>eligibility requirements of a qualifying employer</w:t>
            </w:r>
            <w:r w:rsidR="63B0F855">
              <w:t xml:space="preserve"> were addressed through the negotiated rulemaking</w:t>
            </w:r>
            <w:r w:rsidR="637B4B46">
              <w:t>.</w:t>
            </w:r>
            <w:r w:rsidR="0EA63383">
              <w:t xml:space="preserve"> This form</w:t>
            </w:r>
            <w:r w:rsidR="59189C4F">
              <w:t xml:space="preserve"> reflects updates to</w:t>
            </w:r>
            <w:r w:rsidR="0EA63383">
              <w:t xml:space="preserve"> those rules</w:t>
            </w:r>
            <w:r w:rsidR="077280B6">
              <w:t xml:space="preserve"> and cannot address program eligibility requirements</w:t>
            </w:r>
            <w:r w:rsidR="5D5E688D">
              <w:t>.</w:t>
            </w:r>
          </w:p>
        </w:tc>
        <w:tc>
          <w:tcPr>
            <w:tcW w:w="2164" w:type="dxa"/>
          </w:tcPr>
          <w:p w:rsidR="00E359E1" w14:paraId="772CF7D7" w14:textId="503FB09E">
            <w:r>
              <w:t>none</w:t>
            </w:r>
          </w:p>
        </w:tc>
      </w:tr>
      <w:tr w14:paraId="79285349" w14:textId="77777777" w:rsidTr="544379F8">
        <w:tblPrEx>
          <w:tblW w:w="13860" w:type="dxa"/>
          <w:tblInd w:w="-455" w:type="dxa"/>
          <w:tblLook w:val="04A0"/>
        </w:tblPrEx>
        <w:tc>
          <w:tcPr>
            <w:tcW w:w="1100" w:type="dxa"/>
          </w:tcPr>
          <w:p w:rsidR="00E359E1" w14:paraId="3B6B52E2" w14:textId="2821C720">
            <w:r w:rsidRPr="003346EC">
              <w:t>000</w:t>
            </w:r>
            <w:r>
              <w:t>4</w:t>
            </w:r>
          </w:p>
        </w:tc>
        <w:tc>
          <w:tcPr>
            <w:tcW w:w="1565" w:type="dxa"/>
          </w:tcPr>
          <w:p w:rsidR="00E359E1" w14:paraId="1F5772BC" w14:textId="6E4EAE85">
            <w:r w:rsidRPr="00A30629">
              <w:t>Elijah Root</w:t>
            </w:r>
          </w:p>
        </w:tc>
        <w:tc>
          <w:tcPr>
            <w:tcW w:w="4659" w:type="dxa"/>
          </w:tcPr>
          <w:p w:rsidR="00E359E1" w14:paraId="78D94679" w14:textId="20FCA344">
            <w:r w:rsidRPr="003346EC">
              <w:t xml:space="preserve">I applied for PSLF and consolidated my loans through Great Lake. I then had to </w:t>
            </w:r>
            <w:r w:rsidRPr="003346EC">
              <w:t>re-consolidated</w:t>
            </w:r>
            <w:r w:rsidRPr="003346EC">
              <w:t xml:space="preserve"> my loans under Fed Loans. They were then re-consolidated under MOHELA. I have served in the military since 2009 and commanders that were not in my Chain-of-Command during that time will not sign off on the forms needed to qualify for PSLF. If you transfer </w:t>
            </w:r>
            <w:r w:rsidRPr="003346EC">
              <w:t>units</w:t>
            </w:r>
            <w:r w:rsidRPr="003346EC">
              <w:t xml:space="preserve"> it makes that process even harder. The ability to provide a DD-214 with dates served should be enough to qualify for PSLF.</w:t>
            </w:r>
          </w:p>
        </w:tc>
        <w:tc>
          <w:tcPr>
            <w:tcW w:w="4372" w:type="dxa"/>
          </w:tcPr>
          <w:p w:rsidR="00E359E1" w14:paraId="4271884B" w14:textId="5C848B26">
            <w:r>
              <w:t>Thank you for your comment</w:t>
            </w:r>
            <w:r w:rsidR="2FD787DD">
              <w:t xml:space="preserve"> regarding obtaining signatures to complete the PSLF Form </w:t>
            </w:r>
            <w:r w:rsidR="4B18F96E">
              <w:t>as a member of the military.</w:t>
            </w:r>
            <w:r>
              <w:t xml:space="preserve"> </w:t>
            </w:r>
            <w:r w:rsidR="19017FE6">
              <w:t>The</w:t>
            </w:r>
            <w:r w:rsidR="5CF173FC">
              <w:t xml:space="preserve"> issue </w:t>
            </w:r>
            <w:r w:rsidR="1893BD40">
              <w:t xml:space="preserve">is addressed </w:t>
            </w:r>
            <w:r w:rsidR="240C3B39">
              <w:t>with the new form</w:t>
            </w:r>
            <w:r w:rsidR="6F2F47A4">
              <w:t xml:space="preserve"> in this Information Collection Request. If </w:t>
            </w:r>
            <w:r w:rsidR="3905F1D4">
              <w:t>your military employer</w:t>
            </w:r>
            <w:r w:rsidR="6F2F47A4">
              <w:t xml:space="preserve"> is unable to certify your employment</w:t>
            </w:r>
            <w:r w:rsidR="274547B6">
              <w:t xml:space="preserve">, you can submit the form </w:t>
            </w:r>
            <w:r w:rsidR="3CA32A93">
              <w:t xml:space="preserve">along </w:t>
            </w:r>
            <w:r w:rsidR="274547B6">
              <w:t xml:space="preserve">with your DD-214 </w:t>
            </w:r>
            <w:r w:rsidR="62949318">
              <w:t>as</w:t>
            </w:r>
            <w:r w:rsidR="3CA32A93">
              <w:t xml:space="preserve"> </w:t>
            </w:r>
            <w:r w:rsidR="62949318">
              <w:t>certification of</w:t>
            </w:r>
            <w:r w:rsidR="3CA32A93">
              <w:t xml:space="preserve"> your dates of employment</w:t>
            </w:r>
            <w:r w:rsidR="60DC307E">
              <w:t xml:space="preserve"> without the need for an authorized official’s signature</w:t>
            </w:r>
            <w:r w:rsidR="3CA32A93">
              <w:t>.</w:t>
            </w:r>
          </w:p>
        </w:tc>
        <w:tc>
          <w:tcPr>
            <w:tcW w:w="2164" w:type="dxa"/>
          </w:tcPr>
          <w:p w:rsidR="00E359E1" w14:paraId="1886744C" w14:textId="7B13BFF4">
            <w:r>
              <w:t>none</w:t>
            </w:r>
          </w:p>
        </w:tc>
      </w:tr>
      <w:tr w14:paraId="3CFFF6A8" w14:textId="77777777" w:rsidTr="544379F8">
        <w:tblPrEx>
          <w:tblW w:w="13860" w:type="dxa"/>
          <w:tblInd w:w="-455" w:type="dxa"/>
          <w:tblLook w:val="04A0"/>
        </w:tblPrEx>
        <w:tc>
          <w:tcPr>
            <w:tcW w:w="1100" w:type="dxa"/>
          </w:tcPr>
          <w:p w:rsidR="00E359E1" w14:paraId="1B1002E5" w14:textId="3CD22E0D">
            <w:r w:rsidRPr="003346EC">
              <w:t>000</w:t>
            </w:r>
            <w:r>
              <w:t>6</w:t>
            </w:r>
          </w:p>
        </w:tc>
        <w:tc>
          <w:tcPr>
            <w:tcW w:w="1565" w:type="dxa"/>
          </w:tcPr>
          <w:p w:rsidR="00E359E1" w14:paraId="504BC9E8" w14:textId="1CCBF43D">
            <w:r>
              <w:t>Anonymous</w:t>
            </w:r>
          </w:p>
        </w:tc>
        <w:tc>
          <w:tcPr>
            <w:tcW w:w="4659" w:type="dxa"/>
          </w:tcPr>
          <w:p w:rsidR="007E0A43" w:rsidP="007E0A43" w14:paraId="152165F4" w14:textId="77777777">
            <w:r>
              <w:t>On the application, I think you should have space for providing an explanation for why an Employer should be certified. I've worked for the same company, in the same building, doing the same job for 10 years but started with their 501c4, while working on everything to grow the 501c3 Foundation. Then I became an employee of it, and my time there has already been certified. You should also go by the IRS's definition of "Other Nonprofits" exempt organization types because the 501c4 I'm trying to have certified is classified as a social welfare organization.</w:t>
            </w:r>
          </w:p>
          <w:p w:rsidR="00E359E1" w14:paraId="068DA466" w14:textId="3A5C0055">
            <w:r>
              <w:t xml:space="preserve">You should allow the studentaid.gov reps the ability to send messages to the department that </w:t>
            </w:r>
            <w:r>
              <w:t>handles reconsideration cases. They don't even know the name of the department that certifies employers. I've been trying to get my employer certified for over a year now, and every time I call to find out anything on my reconsideration request, the studentaid.gov rep can't see anything except that it's still open. They have no information for me, and no estimated date for completion, so I have to keep calling, which is a huge waste of time &amp; money for everyone. It would be an even more colossal waste of time if my request was denied over something missing that I could provide if only someone told me first. That's why there is such a ridiculous backlog.</w:t>
            </w:r>
          </w:p>
        </w:tc>
        <w:tc>
          <w:tcPr>
            <w:tcW w:w="4372" w:type="dxa"/>
          </w:tcPr>
          <w:p w:rsidR="00A65C69" w14:paraId="69C6E05D" w14:textId="662684D7">
            <w:r>
              <w:t xml:space="preserve">Thank you for your comment. The </w:t>
            </w:r>
            <w:r w:rsidR="403F8506">
              <w:t xml:space="preserve">PSLF form is only generated </w:t>
            </w:r>
            <w:r w:rsidR="3208C443">
              <w:t>once</w:t>
            </w:r>
            <w:r w:rsidR="403F8506">
              <w:t xml:space="preserve"> the employer has been determined to be a qualifying employer</w:t>
            </w:r>
            <w:r w:rsidR="54356693">
              <w:t xml:space="preserve">. </w:t>
            </w:r>
          </w:p>
          <w:p w:rsidR="00A65C69" w14:paraId="705258BD" w14:textId="77777777"/>
          <w:p w:rsidR="00E359E1" w14:paraId="02E88BBD" w14:textId="63DB167B">
            <w:r>
              <w:t xml:space="preserve">The opportunity to provide additional information regarding </w:t>
            </w:r>
            <w:r w:rsidR="003C3FA4">
              <w:t>an</w:t>
            </w:r>
            <w:r>
              <w:t xml:space="preserve"> employer’s eligibility</w:t>
            </w:r>
            <w:r w:rsidR="000F6218">
              <w:t xml:space="preserve"> </w:t>
            </w:r>
            <w:r>
              <w:t>is available through the reconsideration process</w:t>
            </w:r>
            <w:r w:rsidR="00502066">
              <w:t xml:space="preserve"> </w:t>
            </w:r>
            <w:r w:rsidR="000F6218">
              <w:t xml:space="preserve">and </w:t>
            </w:r>
            <w:r w:rsidR="00462752">
              <w:t xml:space="preserve">in the PSLF Help Tool </w:t>
            </w:r>
            <w:r w:rsidR="22135AEE">
              <w:t xml:space="preserve">if an </w:t>
            </w:r>
            <w:r w:rsidR="00462752">
              <w:t xml:space="preserve">employer </w:t>
            </w:r>
            <w:r w:rsidR="4421B519">
              <w:t>eligibility</w:t>
            </w:r>
            <w:r w:rsidR="00462752">
              <w:t xml:space="preserve"> determination </w:t>
            </w:r>
            <w:r w:rsidR="4E822C7B">
              <w:t>has not been</w:t>
            </w:r>
            <w:r w:rsidR="00A65C69">
              <w:t xml:space="preserve"> made</w:t>
            </w:r>
            <w:r w:rsidR="00462752">
              <w:t>.</w:t>
            </w:r>
          </w:p>
        </w:tc>
        <w:tc>
          <w:tcPr>
            <w:tcW w:w="2164" w:type="dxa"/>
          </w:tcPr>
          <w:p w:rsidR="00E359E1" w14:paraId="2E458B5B" w14:textId="502DAE8A">
            <w:r>
              <w:t>none</w:t>
            </w:r>
          </w:p>
        </w:tc>
      </w:tr>
      <w:tr w14:paraId="4967D7AE" w14:textId="77777777" w:rsidTr="544379F8">
        <w:tblPrEx>
          <w:tblW w:w="13860" w:type="dxa"/>
          <w:tblInd w:w="-455" w:type="dxa"/>
          <w:tblLook w:val="04A0"/>
        </w:tblPrEx>
        <w:tc>
          <w:tcPr>
            <w:tcW w:w="1100" w:type="dxa"/>
            <w:vMerge w:val="restart"/>
          </w:tcPr>
          <w:p w:rsidR="00DA4E99" w14:paraId="721DE0CD" w14:textId="284AB270">
            <w:r>
              <w:t>007, 008, 009</w:t>
            </w:r>
          </w:p>
        </w:tc>
        <w:tc>
          <w:tcPr>
            <w:tcW w:w="1565" w:type="dxa"/>
            <w:vMerge w:val="restart"/>
          </w:tcPr>
          <w:p w:rsidR="00DA4E99" w14:paraId="7F460E68" w14:textId="1B319B7D">
            <w:r>
              <w:t>CMA, CHA, TMA, THA</w:t>
            </w:r>
          </w:p>
        </w:tc>
        <w:tc>
          <w:tcPr>
            <w:tcW w:w="4659" w:type="dxa"/>
          </w:tcPr>
          <w:p w:rsidR="00DA4E99" w:rsidP="00E742A5" w14:paraId="3DA3A863" w14:textId="2FCA09ED">
            <w:r>
              <w:rPr>
                <w:color w:val="111111"/>
                <w:w w:val="105"/>
              </w:rPr>
              <w:t>We have</w:t>
            </w:r>
            <w:r>
              <w:rPr>
                <w:color w:val="111111"/>
                <w:spacing w:val="23"/>
                <w:w w:val="105"/>
              </w:rPr>
              <w:t xml:space="preserve"> </w:t>
            </w:r>
            <w:r>
              <w:rPr>
                <w:color w:val="232323"/>
                <w:w w:val="105"/>
              </w:rPr>
              <w:t xml:space="preserve">real </w:t>
            </w:r>
            <w:r>
              <w:rPr>
                <w:color w:val="111111"/>
                <w:w w:val="105"/>
              </w:rPr>
              <w:t>concerns</w:t>
            </w:r>
            <w:r>
              <w:rPr>
                <w:color w:val="111111"/>
                <w:spacing w:val="40"/>
                <w:w w:val="105"/>
              </w:rPr>
              <w:t xml:space="preserve"> </w:t>
            </w:r>
            <w:r>
              <w:rPr>
                <w:color w:val="111111"/>
                <w:w w:val="105"/>
              </w:rPr>
              <w:t xml:space="preserve">that, </w:t>
            </w:r>
            <w:r>
              <w:rPr>
                <w:color w:val="232323"/>
                <w:w w:val="105"/>
              </w:rPr>
              <w:t>notwithstanding the good</w:t>
            </w:r>
            <w:r>
              <w:rPr>
                <w:color w:val="232323"/>
                <w:spacing w:val="25"/>
                <w:w w:val="105"/>
              </w:rPr>
              <w:t xml:space="preserve"> </w:t>
            </w:r>
            <w:r>
              <w:rPr>
                <w:color w:val="232323"/>
                <w:w w:val="105"/>
              </w:rPr>
              <w:t>work</w:t>
            </w:r>
            <w:r>
              <w:rPr>
                <w:color w:val="232323"/>
                <w:spacing w:val="22"/>
                <w:w w:val="105"/>
              </w:rPr>
              <w:t xml:space="preserve"> </w:t>
            </w:r>
            <w:r>
              <w:rPr>
                <w:color w:val="111111"/>
                <w:w w:val="105"/>
              </w:rPr>
              <w:t>done</w:t>
            </w:r>
            <w:r>
              <w:rPr>
                <w:color w:val="111111"/>
                <w:spacing w:val="24"/>
                <w:w w:val="105"/>
              </w:rPr>
              <w:t xml:space="preserve"> </w:t>
            </w:r>
            <w:r>
              <w:rPr>
                <w:color w:val="232323"/>
                <w:w w:val="105"/>
              </w:rPr>
              <w:t>through</w:t>
            </w:r>
            <w:r>
              <w:rPr>
                <w:color w:val="232323"/>
                <w:spacing w:val="40"/>
                <w:w w:val="105"/>
              </w:rPr>
              <w:t xml:space="preserve"> </w:t>
            </w:r>
            <w:r>
              <w:rPr>
                <w:color w:val="111111"/>
                <w:w w:val="105"/>
              </w:rPr>
              <w:t xml:space="preserve">the </w:t>
            </w:r>
            <w:r>
              <w:rPr>
                <w:color w:val="232323"/>
                <w:w w:val="105"/>
              </w:rPr>
              <w:t xml:space="preserve">Final </w:t>
            </w:r>
            <w:r>
              <w:rPr>
                <w:color w:val="111111"/>
                <w:w w:val="105"/>
              </w:rPr>
              <w:t>Rule,</w:t>
            </w:r>
            <w:r>
              <w:rPr>
                <w:color w:val="111111"/>
                <w:spacing w:val="23"/>
                <w:w w:val="105"/>
              </w:rPr>
              <w:t xml:space="preserve"> </w:t>
            </w:r>
            <w:r>
              <w:rPr>
                <w:color w:val="111111"/>
                <w:w w:val="105"/>
              </w:rPr>
              <w:t xml:space="preserve">the </w:t>
            </w:r>
            <w:r>
              <w:rPr>
                <w:color w:val="232323"/>
                <w:w w:val="105"/>
              </w:rPr>
              <w:t xml:space="preserve">Application Materials will once again lead </w:t>
            </w:r>
            <w:r>
              <w:rPr>
                <w:color w:val="111111"/>
                <w:w w:val="105"/>
              </w:rPr>
              <w:t xml:space="preserve">to </w:t>
            </w:r>
            <w:r>
              <w:rPr>
                <w:color w:val="232323"/>
                <w:w w:val="105"/>
              </w:rPr>
              <w:t>an</w:t>
            </w:r>
            <w:r>
              <w:rPr>
                <w:color w:val="232323"/>
                <w:spacing w:val="-10"/>
                <w:w w:val="105"/>
              </w:rPr>
              <w:t xml:space="preserve"> </w:t>
            </w:r>
            <w:r>
              <w:rPr>
                <w:color w:val="111111"/>
                <w:w w:val="105"/>
              </w:rPr>
              <w:t xml:space="preserve">inadvertent </w:t>
            </w:r>
            <w:r>
              <w:rPr>
                <w:color w:val="232323"/>
                <w:w w:val="105"/>
              </w:rPr>
              <w:t xml:space="preserve">exclusion of eligible physicians from </w:t>
            </w:r>
            <w:r>
              <w:rPr>
                <w:color w:val="111111"/>
                <w:w w:val="105"/>
              </w:rPr>
              <w:t>PSLF</w:t>
            </w:r>
            <w:r>
              <w:rPr>
                <w:color w:val="111111"/>
                <w:spacing w:val="-7"/>
                <w:w w:val="105"/>
              </w:rPr>
              <w:t xml:space="preserve"> </w:t>
            </w:r>
            <w:r>
              <w:rPr>
                <w:color w:val="111111"/>
                <w:w w:val="105"/>
              </w:rPr>
              <w:t xml:space="preserve">in </w:t>
            </w:r>
            <w:r>
              <w:rPr>
                <w:color w:val="232323"/>
                <w:w w:val="105"/>
              </w:rPr>
              <w:t>California and Texas and disadvantage</w:t>
            </w:r>
            <w:r>
              <w:rPr>
                <w:color w:val="232323"/>
                <w:spacing w:val="23"/>
                <w:w w:val="105"/>
              </w:rPr>
              <w:t xml:space="preserve"> </w:t>
            </w:r>
            <w:r>
              <w:rPr>
                <w:color w:val="232323"/>
                <w:w w:val="105"/>
              </w:rPr>
              <w:t xml:space="preserve">our </w:t>
            </w:r>
            <w:r>
              <w:rPr>
                <w:color w:val="111111"/>
                <w:w w:val="105"/>
              </w:rPr>
              <w:t xml:space="preserve">physicians </w:t>
            </w:r>
            <w:r>
              <w:rPr>
                <w:color w:val="232323"/>
                <w:w w:val="105"/>
              </w:rPr>
              <w:t xml:space="preserve">and </w:t>
            </w:r>
            <w:r>
              <w:rPr>
                <w:color w:val="111111"/>
                <w:w w:val="105"/>
              </w:rPr>
              <w:t xml:space="preserve">hospitals </w:t>
            </w:r>
            <w:r>
              <w:rPr>
                <w:color w:val="232323"/>
                <w:w w:val="105"/>
              </w:rPr>
              <w:t xml:space="preserve">and </w:t>
            </w:r>
            <w:r>
              <w:rPr>
                <w:color w:val="111111"/>
                <w:w w:val="105"/>
              </w:rPr>
              <w:t xml:space="preserve">their </w:t>
            </w:r>
            <w:r>
              <w:rPr>
                <w:color w:val="232323"/>
                <w:w w:val="105"/>
              </w:rPr>
              <w:t xml:space="preserve">ability </w:t>
            </w:r>
            <w:r>
              <w:rPr>
                <w:color w:val="111111"/>
                <w:w w:val="105"/>
              </w:rPr>
              <w:t>to</w:t>
            </w:r>
            <w:r>
              <w:rPr>
                <w:color w:val="111111"/>
                <w:spacing w:val="21"/>
                <w:w w:val="105"/>
              </w:rPr>
              <w:t xml:space="preserve"> </w:t>
            </w:r>
            <w:r>
              <w:rPr>
                <w:color w:val="111111"/>
                <w:w w:val="105"/>
              </w:rPr>
              <w:t xml:space="preserve">care </w:t>
            </w:r>
            <w:r>
              <w:rPr>
                <w:color w:val="232323"/>
                <w:w w:val="105"/>
              </w:rPr>
              <w:t xml:space="preserve">for </w:t>
            </w:r>
            <w:r>
              <w:rPr>
                <w:color w:val="111111"/>
                <w:w w:val="105"/>
              </w:rPr>
              <w:t>underserved</w:t>
            </w:r>
            <w:r>
              <w:rPr>
                <w:color w:val="111111"/>
                <w:spacing w:val="29"/>
                <w:w w:val="105"/>
              </w:rPr>
              <w:t xml:space="preserve"> </w:t>
            </w:r>
            <w:r>
              <w:rPr>
                <w:color w:val="111111"/>
                <w:w w:val="105"/>
              </w:rPr>
              <w:t xml:space="preserve">patients. </w:t>
            </w:r>
            <w:r>
              <w:rPr>
                <w:color w:val="232323"/>
                <w:w w:val="105"/>
              </w:rPr>
              <w:t xml:space="preserve">It </w:t>
            </w:r>
            <w:r>
              <w:rPr>
                <w:color w:val="111111"/>
                <w:w w:val="105"/>
              </w:rPr>
              <w:t xml:space="preserve">is </w:t>
            </w:r>
            <w:r>
              <w:rPr>
                <w:color w:val="232323"/>
                <w:w w:val="105"/>
              </w:rPr>
              <w:t xml:space="preserve">vital </w:t>
            </w:r>
            <w:r>
              <w:rPr>
                <w:color w:val="111111"/>
                <w:w w:val="105"/>
              </w:rPr>
              <w:t xml:space="preserve">to </w:t>
            </w:r>
            <w:r>
              <w:rPr>
                <w:color w:val="232323"/>
                <w:w w:val="105"/>
              </w:rPr>
              <w:t xml:space="preserve">avoid such an </w:t>
            </w:r>
            <w:r>
              <w:rPr>
                <w:color w:val="111111"/>
                <w:w w:val="105"/>
              </w:rPr>
              <w:t xml:space="preserve">unfair result </w:t>
            </w:r>
            <w:r>
              <w:rPr>
                <w:color w:val="232323"/>
                <w:w w:val="105"/>
              </w:rPr>
              <w:t xml:space="preserve">and </w:t>
            </w:r>
            <w:r>
              <w:rPr>
                <w:color w:val="111111"/>
                <w:w w:val="105"/>
              </w:rPr>
              <w:t>make minor, but</w:t>
            </w:r>
            <w:r>
              <w:rPr>
                <w:color w:val="111111"/>
                <w:spacing w:val="-1"/>
                <w:w w:val="105"/>
              </w:rPr>
              <w:t xml:space="preserve"> </w:t>
            </w:r>
            <w:r>
              <w:rPr>
                <w:color w:val="232323"/>
                <w:w w:val="105"/>
              </w:rPr>
              <w:t xml:space="preserve">important, </w:t>
            </w:r>
            <w:r>
              <w:rPr>
                <w:color w:val="111111"/>
                <w:w w:val="105"/>
              </w:rPr>
              <w:t xml:space="preserve">corrections </w:t>
            </w:r>
            <w:r>
              <w:rPr>
                <w:color w:val="232323"/>
                <w:w w:val="105"/>
              </w:rPr>
              <w:t xml:space="preserve">to </w:t>
            </w:r>
            <w:r>
              <w:rPr>
                <w:color w:val="111111"/>
                <w:w w:val="105"/>
              </w:rPr>
              <w:t>the</w:t>
            </w:r>
            <w:r>
              <w:rPr>
                <w:color w:val="111111"/>
                <w:spacing w:val="-1"/>
                <w:w w:val="105"/>
              </w:rPr>
              <w:t xml:space="preserve"> </w:t>
            </w:r>
            <w:r>
              <w:rPr>
                <w:color w:val="232323"/>
                <w:w w:val="105"/>
              </w:rPr>
              <w:t xml:space="preserve">Application Materials </w:t>
            </w:r>
            <w:r>
              <w:rPr>
                <w:color w:val="111111"/>
                <w:w w:val="105"/>
              </w:rPr>
              <w:t xml:space="preserve">to </w:t>
            </w:r>
            <w:r>
              <w:rPr>
                <w:color w:val="232323"/>
                <w:w w:val="105"/>
              </w:rPr>
              <w:t xml:space="preserve">ensure full </w:t>
            </w:r>
            <w:r>
              <w:rPr>
                <w:color w:val="111111"/>
                <w:w w:val="105"/>
              </w:rPr>
              <w:t xml:space="preserve">conformity </w:t>
            </w:r>
            <w:r>
              <w:rPr>
                <w:color w:val="232323"/>
                <w:w w:val="105"/>
              </w:rPr>
              <w:t xml:space="preserve">with </w:t>
            </w:r>
            <w:r>
              <w:rPr>
                <w:color w:val="111111"/>
                <w:w w:val="105"/>
              </w:rPr>
              <w:t xml:space="preserve">the </w:t>
            </w:r>
            <w:r>
              <w:rPr>
                <w:color w:val="232323"/>
                <w:w w:val="105"/>
              </w:rPr>
              <w:t xml:space="preserve">Final </w:t>
            </w:r>
            <w:r>
              <w:rPr>
                <w:color w:val="111111"/>
                <w:w w:val="105"/>
              </w:rPr>
              <w:t xml:space="preserve">Rule's </w:t>
            </w:r>
            <w:r>
              <w:rPr>
                <w:color w:val="232323"/>
                <w:w w:val="105"/>
              </w:rPr>
              <w:t xml:space="preserve">new definition of </w:t>
            </w:r>
            <w:r>
              <w:rPr>
                <w:color w:val="111111"/>
                <w:w w:val="105"/>
              </w:rPr>
              <w:t xml:space="preserve">"employee </w:t>
            </w:r>
            <w:r>
              <w:rPr>
                <w:color w:val="232323"/>
                <w:w w:val="105"/>
              </w:rPr>
              <w:t>or employed."</w:t>
            </w:r>
          </w:p>
        </w:tc>
        <w:tc>
          <w:tcPr>
            <w:tcW w:w="4372" w:type="dxa"/>
            <w:vMerge w:val="restart"/>
          </w:tcPr>
          <w:p w:rsidR="00DA4E99" w:rsidP="003405D7" w14:paraId="4A7FBA80" w14:textId="0445A7D6">
            <w:r>
              <w:t>Thank you for your comment</w:t>
            </w:r>
            <w:r w:rsidR="2F0C872B">
              <w:t xml:space="preserve"> that</w:t>
            </w:r>
            <w:r w:rsidR="001226D4">
              <w:t xml:space="preserve"> </w:t>
            </w:r>
            <w:r>
              <w:t>the language on the form does not accurately reflect the new regulatory definition of “employee or employed”. We agree that including the additional distinction of a “contracted organization” to the instructions of the form may lead to misinterpretation. The regulatory text contains the phrase “employed under a contract” which we believe</w:t>
            </w:r>
            <w:r w:rsidR="1553B99C">
              <w:t xml:space="preserve"> is</w:t>
            </w:r>
            <w:r>
              <w:t xml:space="preserve"> sufficient for the purposes of the form. However, we will maintain the description of the situation where the contract employment is through an organization or group rather than a direct contract in the Frequently Asked Questions section of the PSLF page on StudentAid.gov.</w:t>
            </w:r>
          </w:p>
        </w:tc>
        <w:tc>
          <w:tcPr>
            <w:tcW w:w="2164" w:type="dxa"/>
            <w:vMerge w:val="restart"/>
          </w:tcPr>
          <w:p w:rsidR="00DA4E99" w14:paraId="0A7671C2" w14:textId="77777777">
            <w:r>
              <w:t>Change</w:t>
            </w:r>
          </w:p>
          <w:p w:rsidR="00DA4E99" w14:paraId="243B69FD" w14:textId="77777777"/>
          <w:p w:rsidR="00DA4E99" w14:paraId="2122A6DB" w14:textId="7CF6D44C">
            <w:r>
              <w:t>remove mentions of “contracted organization” in sections 5A, 7, and 9</w:t>
            </w:r>
          </w:p>
        </w:tc>
      </w:tr>
      <w:tr w14:paraId="7263AB77" w14:textId="77777777" w:rsidTr="544379F8">
        <w:tblPrEx>
          <w:tblW w:w="13860" w:type="dxa"/>
          <w:tblInd w:w="-455" w:type="dxa"/>
          <w:tblLook w:val="04A0"/>
        </w:tblPrEx>
        <w:tc>
          <w:tcPr>
            <w:tcW w:w="1100" w:type="dxa"/>
            <w:vMerge/>
          </w:tcPr>
          <w:p w:rsidR="00DA4E99" w14:paraId="42A65848" w14:textId="7A5EF785"/>
        </w:tc>
        <w:tc>
          <w:tcPr>
            <w:tcW w:w="1565" w:type="dxa"/>
            <w:vMerge/>
          </w:tcPr>
          <w:p w:rsidR="00DA4E99" w14:paraId="0295A66A" w14:textId="41880B98"/>
        </w:tc>
        <w:tc>
          <w:tcPr>
            <w:tcW w:w="4659" w:type="dxa"/>
          </w:tcPr>
          <w:p w:rsidR="00DA4E99" w:rsidP="00E742A5" w14:paraId="421DE555" w14:textId="37A0A882">
            <w:r>
              <w:t xml:space="preserve">In defining "contracted organization," Section 7 explains that "if the direct employees of the contracted organization are in positions or providing services that, under State law, cannot be filled or provided by a direct employee of a qualifying employer, the Authorized Official of the qualifying employer can certify their employment as if those employees were direct </w:t>
            </w:r>
            <w:r>
              <w:t>employees of the qualifying employer." (</w:t>
            </w:r>
            <w:r>
              <w:t>emphasis</w:t>
            </w:r>
            <w:r>
              <w:t xml:space="preserve"> added) Section 7 thus appears to eliminate the second pathway to PSLF eligibility where any individual borrower, regardless of their employment situation, who provides services but cannot be directly employed by the qualifying employer would still be eligible.</w:t>
            </w:r>
          </w:p>
        </w:tc>
        <w:tc>
          <w:tcPr>
            <w:tcW w:w="4372" w:type="dxa"/>
            <w:vMerge/>
          </w:tcPr>
          <w:p w:rsidR="00DA4E99" w14:paraId="0FF3C9E5" w14:textId="17FE3D9D"/>
        </w:tc>
        <w:tc>
          <w:tcPr>
            <w:tcW w:w="2164" w:type="dxa"/>
            <w:vMerge/>
          </w:tcPr>
          <w:p w:rsidR="00DA4E99" w14:paraId="169522C5" w14:textId="77777777"/>
        </w:tc>
      </w:tr>
      <w:tr w14:paraId="134D37AA" w14:textId="77777777" w:rsidTr="544379F8">
        <w:tblPrEx>
          <w:tblW w:w="13860" w:type="dxa"/>
          <w:tblInd w:w="-455" w:type="dxa"/>
          <w:tblLook w:val="04A0"/>
        </w:tblPrEx>
        <w:tc>
          <w:tcPr>
            <w:tcW w:w="1100" w:type="dxa"/>
            <w:vMerge/>
          </w:tcPr>
          <w:p w:rsidR="00DA4E99" w14:paraId="60FBF737" w14:textId="77777777"/>
        </w:tc>
        <w:tc>
          <w:tcPr>
            <w:tcW w:w="1565" w:type="dxa"/>
            <w:vMerge/>
          </w:tcPr>
          <w:p w:rsidR="00DA4E99" w14:paraId="3D47D8D0" w14:textId="77777777"/>
        </w:tc>
        <w:tc>
          <w:tcPr>
            <w:tcW w:w="4659" w:type="dxa"/>
          </w:tcPr>
          <w:p w:rsidR="00DA4E99" w:rsidP="00E742A5" w14:paraId="0855899E" w14:textId="36719FF5">
            <w:r w:rsidRPr="00236853">
              <w:t>Section 9 (providing "IMPORTANT INFORMATION ABOUT PSLF AND TEPSLF") states, "if you are a direct employee of a contracted organization that is in a position or providing services that, under applicable State law, cannot be filled or provided by direct employees of the qualifying employer, you can be treated as a direct employee of the qualifying employer where you perform your work." As with Section 7, this statement will be read by potential applicants to exclude the secondary pathway for PSLF eligibility established in the Final Rule, where borrowers are eligible if they "provide services" for the qualifying employer where such services cannot be "provided" by a direct employee of the qualifying employer. Section 9 suggests inaccurately that borrowers are eligible if and only if they are direct employees of a contracted organization.</w:t>
            </w:r>
          </w:p>
        </w:tc>
        <w:tc>
          <w:tcPr>
            <w:tcW w:w="4372" w:type="dxa"/>
            <w:vMerge/>
          </w:tcPr>
          <w:p w:rsidR="00DA4E99" w14:paraId="548D3502" w14:textId="77777777"/>
        </w:tc>
        <w:tc>
          <w:tcPr>
            <w:tcW w:w="2164" w:type="dxa"/>
            <w:vMerge/>
          </w:tcPr>
          <w:p w:rsidR="00DA4E99" w14:paraId="483779EC" w14:textId="77777777"/>
        </w:tc>
      </w:tr>
      <w:tr w14:paraId="34F30034" w14:textId="77777777" w:rsidTr="544379F8">
        <w:tblPrEx>
          <w:tblW w:w="13860" w:type="dxa"/>
          <w:tblInd w:w="-455" w:type="dxa"/>
          <w:tblLook w:val="04A0"/>
        </w:tblPrEx>
        <w:tc>
          <w:tcPr>
            <w:tcW w:w="1100" w:type="dxa"/>
          </w:tcPr>
          <w:p w:rsidR="001A60A0" w:rsidP="001A60A0" w14:paraId="69359FE1" w14:textId="2ECAC457">
            <w:r>
              <w:t>010</w:t>
            </w:r>
          </w:p>
        </w:tc>
        <w:tc>
          <w:tcPr>
            <w:tcW w:w="1565" w:type="dxa"/>
          </w:tcPr>
          <w:p w:rsidR="001A60A0" w:rsidP="001A60A0" w14:paraId="49435A32" w14:textId="33DB08C2">
            <w:r>
              <w:t>SBPC</w:t>
            </w:r>
          </w:p>
        </w:tc>
        <w:tc>
          <w:tcPr>
            <w:tcW w:w="4659" w:type="dxa"/>
          </w:tcPr>
          <w:p w:rsidR="001A60A0" w:rsidP="001A60A0" w14:paraId="37E819BD" w14:textId="77777777"/>
        </w:tc>
        <w:tc>
          <w:tcPr>
            <w:tcW w:w="4372" w:type="dxa"/>
          </w:tcPr>
          <w:p w:rsidR="001A60A0" w:rsidP="001A60A0" w14:paraId="5E303EE0" w14:textId="4C91AAC5">
            <w:r>
              <w:t xml:space="preserve">See SBPC </w:t>
            </w:r>
            <w:r w:rsidR="004B7FCB">
              <w:t>6</w:t>
            </w:r>
            <w:r>
              <w:t>0 day</w:t>
            </w:r>
            <w:r>
              <w:t xml:space="preserve"> comment responses document</w:t>
            </w:r>
          </w:p>
        </w:tc>
        <w:tc>
          <w:tcPr>
            <w:tcW w:w="2164" w:type="dxa"/>
          </w:tcPr>
          <w:p w:rsidR="001A60A0" w:rsidP="001A60A0" w14:paraId="7BE901B2" w14:textId="77777777"/>
        </w:tc>
      </w:tr>
      <w:tr w14:paraId="7AFCCCB9" w14:textId="77777777" w:rsidTr="544379F8">
        <w:tblPrEx>
          <w:tblW w:w="13860" w:type="dxa"/>
          <w:tblInd w:w="-455" w:type="dxa"/>
          <w:tblLook w:val="04A0"/>
        </w:tblPrEx>
        <w:tc>
          <w:tcPr>
            <w:tcW w:w="1100" w:type="dxa"/>
          </w:tcPr>
          <w:p w:rsidR="00756AD0" w:rsidP="00756AD0" w14:paraId="45047FE9" w14:textId="5A3EE661">
            <w:r>
              <w:t>011</w:t>
            </w:r>
          </w:p>
        </w:tc>
        <w:tc>
          <w:tcPr>
            <w:tcW w:w="1565" w:type="dxa"/>
          </w:tcPr>
          <w:p w:rsidR="00756AD0" w:rsidP="00756AD0" w14:paraId="58ABDA72" w14:textId="3A190695">
            <w:r>
              <w:t>MA AG</w:t>
            </w:r>
          </w:p>
        </w:tc>
        <w:tc>
          <w:tcPr>
            <w:tcW w:w="4659" w:type="dxa"/>
          </w:tcPr>
          <w:p w:rsidR="00756AD0" w:rsidP="00756AD0" w14:paraId="53E82838" w14:textId="77777777"/>
        </w:tc>
        <w:tc>
          <w:tcPr>
            <w:tcW w:w="4372" w:type="dxa"/>
          </w:tcPr>
          <w:p w:rsidR="00756AD0" w:rsidP="00756AD0" w14:paraId="0C5BE043" w14:textId="0B51315E">
            <w:r>
              <w:t xml:space="preserve">See </w:t>
            </w:r>
            <w:r w:rsidR="00811776">
              <w:t xml:space="preserve">MA </w:t>
            </w:r>
            <w:r w:rsidR="00811776">
              <w:t>Att</w:t>
            </w:r>
            <w:r w:rsidR="00811776">
              <w:t xml:space="preserve"> Gen </w:t>
            </w:r>
            <w:r w:rsidR="004B7FCB">
              <w:t>6</w:t>
            </w:r>
            <w:r w:rsidR="00811776">
              <w:t>0 day</w:t>
            </w:r>
            <w:r w:rsidR="00811776">
              <w:t xml:space="preserve"> </w:t>
            </w:r>
            <w:r w:rsidR="003F3D53">
              <w:t>c</w:t>
            </w:r>
            <w:r w:rsidR="00811776">
              <w:t>omment responses doc</w:t>
            </w:r>
            <w:r w:rsidR="00FB7785">
              <w:t>ument</w:t>
            </w:r>
          </w:p>
        </w:tc>
        <w:tc>
          <w:tcPr>
            <w:tcW w:w="2164" w:type="dxa"/>
          </w:tcPr>
          <w:p w:rsidR="00756AD0" w:rsidP="00756AD0" w14:paraId="3BB71DBE" w14:textId="77777777"/>
        </w:tc>
      </w:tr>
    </w:tbl>
    <w:p w:rsidR="005F5E05" w14:paraId="4F7B5C7D" w14:textId="77777777"/>
    <w:sectPr w:rsidSect="00E359E1">
      <w:headerReference w:type="default" r:id="rId6"/>
      <w:footerReference w:type="default" r:id="rId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1045439"/>
      <w:docPartObj>
        <w:docPartGallery w:val="Page Numbers (Bottom of Page)"/>
        <w:docPartUnique/>
      </w:docPartObj>
    </w:sdtPr>
    <w:sdtEndPr>
      <w:rPr>
        <w:noProof/>
      </w:rPr>
    </w:sdtEndPr>
    <w:sdtContent>
      <w:p w:rsidR="00907A6C" w14:paraId="77677D4D" w14:textId="00350B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07A6C" w14:paraId="50BEE7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A6C" w:rsidP="00907A6C" w14:paraId="418D9081" w14:textId="19006FC5">
    <w:pPr>
      <w:pStyle w:val="Header"/>
    </w:pPr>
    <w:r>
      <w:t>ICR Number 1845-</w:t>
    </w:r>
    <w:r w:rsidR="00DA13CD">
      <w:t xml:space="preserve">0110 </w:t>
    </w:r>
    <w:r>
      <w:t xml:space="preserve">– </w:t>
    </w:r>
    <w:r w:rsidRPr="00287957" w:rsidR="00287957">
      <w:t>PUBLIC SERVICE LOAN FORGIVENESS (PSLF) &amp; TEMPORARY EXPANDED PSLF (TEPSLF) CERTIFICATION &amp; APPLICATION</w:t>
    </w:r>
  </w:p>
  <w:p w:rsidR="00E359E1" w:rsidP="00907A6C" w14:paraId="3A4C3886" w14:textId="40CC9688">
    <w:pPr>
      <w:pStyle w:val="Header"/>
    </w:pPr>
    <w:r>
      <w:t>(60D) Comment Response Table</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096695"/>
    <w:multiLevelType w:val="hybridMultilevel"/>
    <w:tmpl w:val="39745EAA"/>
    <w:lvl w:ilvl="0">
      <w:start w:val="1"/>
      <w:numFmt w:val="decimal"/>
      <w:lvlText w:val="%1."/>
      <w:lvlJc w:val="left"/>
      <w:pPr>
        <w:ind w:left="846" w:hanging="357"/>
      </w:pPr>
      <w:rPr>
        <w:rFonts w:ascii="Times New Roman" w:eastAsia="Times New Roman" w:hAnsi="Times New Roman" w:cs="Times New Roman" w:hint="default"/>
        <w:b w:val="0"/>
        <w:bCs w:val="0"/>
        <w:i w:val="0"/>
        <w:iCs w:val="0"/>
        <w:color w:val="0C0C0C"/>
        <w:spacing w:val="0"/>
        <w:w w:val="102"/>
        <w:sz w:val="23"/>
        <w:szCs w:val="23"/>
        <w:lang w:val="en-US" w:eastAsia="en-US" w:bidi="ar-SA"/>
      </w:rPr>
    </w:lvl>
    <w:lvl w:ilvl="1">
      <w:start w:val="0"/>
      <w:numFmt w:val="bullet"/>
      <w:lvlText w:val="•"/>
      <w:lvlJc w:val="left"/>
      <w:pPr>
        <w:ind w:left="845" w:hanging="352"/>
      </w:pPr>
      <w:rPr>
        <w:rFonts w:ascii="Times New Roman" w:eastAsia="Times New Roman" w:hAnsi="Times New Roman" w:cs="Times New Roman" w:hint="default"/>
        <w:spacing w:val="0"/>
        <w:w w:val="103"/>
        <w:lang w:val="en-US" w:eastAsia="en-US" w:bidi="ar-SA"/>
      </w:rPr>
    </w:lvl>
    <w:lvl w:ilvl="2">
      <w:start w:val="0"/>
      <w:numFmt w:val="bullet"/>
      <w:lvlText w:val="o"/>
      <w:lvlJc w:val="left"/>
      <w:pPr>
        <w:ind w:left="1570" w:hanging="356"/>
      </w:pPr>
      <w:rPr>
        <w:rFonts w:ascii="Times New Roman" w:eastAsia="Times New Roman" w:hAnsi="Times New Roman" w:cs="Times New Roman" w:hint="default"/>
        <w:spacing w:val="0"/>
        <w:w w:val="109"/>
        <w:lang w:val="en-US" w:eastAsia="en-US" w:bidi="ar-SA"/>
      </w:rPr>
    </w:lvl>
    <w:lvl w:ilvl="3">
      <w:start w:val="0"/>
      <w:numFmt w:val="bullet"/>
      <w:lvlText w:val="•"/>
      <w:lvlJc w:val="left"/>
      <w:pPr>
        <w:ind w:left="2585" w:hanging="356"/>
      </w:pPr>
      <w:rPr>
        <w:rFonts w:hint="default"/>
        <w:lang w:val="en-US" w:eastAsia="en-US" w:bidi="ar-SA"/>
      </w:rPr>
    </w:lvl>
    <w:lvl w:ilvl="4">
      <w:start w:val="0"/>
      <w:numFmt w:val="bullet"/>
      <w:lvlText w:val="•"/>
      <w:lvlJc w:val="left"/>
      <w:pPr>
        <w:ind w:left="3590" w:hanging="356"/>
      </w:pPr>
      <w:rPr>
        <w:rFonts w:hint="default"/>
        <w:lang w:val="en-US" w:eastAsia="en-US" w:bidi="ar-SA"/>
      </w:rPr>
    </w:lvl>
    <w:lvl w:ilvl="5">
      <w:start w:val="0"/>
      <w:numFmt w:val="bullet"/>
      <w:lvlText w:val="•"/>
      <w:lvlJc w:val="left"/>
      <w:pPr>
        <w:ind w:left="4595" w:hanging="356"/>
      </w:pPr>
      <w:rPr>
        <w:rFonts w:hint="default"/>
        <w:lang w:val="en-US" w:eastAsia="en-US" w:bidi="ar-SA"/>
      </w:rPr>
    </w:lvl>
    <w:lvl w:ilvl="6">
      <w:start w:val="0"/>
      <w:numFmt w:val="bullet"/>
      <w:lvlText w:val="•"/>
      <w:lvlJc w:val="left"/>
      <w:pPr>
        <w:ind w:left="5600" w:hanging="356"/>
      </w:pPr>
      <w:rPr>
        <w:rFonts w:hint="default"/>
        <w:lang w:val="en-US" w:eastAsia="en-US" w:bidi="ar-SA"/>
      </w:rPr>
    </w:lvl>
    <w:lvl w:ilvl="7">
      <w:start w:val="0"/>
      <w:numFmt w:val="bullet"/>
      <w:lvlText w:val="•"/>
      <w:lvlJc w:val="left"/>
      <w:pPr>
        <w:ind w:left="6605" w:hanging="356"/>
      </w:pPr>
      <w:rPr>
        <w:rFonts w:hint="default"/>
        <w:lang w:val="en-US" w:eastAsia="en-US" w:bidi="ar-SA"/>
      </w:rPr>
    </w:lvl>
    <w:lvl w:ilvl="8">
      <w:start w:val="0"/>
      <w:numFmt w:val="bullet"/>
      <w:lvlText w:val="•"/>
      <w:lvlJc w:val="left"/>
      <w:pPr>
        <w:ind w:left="7610" w:hanging="356"/>
      </w:pPr>
      <w:rPr>
        <w:rFonts w:hint="default"/>
        <w:lang w:val="en-US" w:eastAsia="en-US" w:bidi="ar-SA"/>
      </w:rPr>
    </w:lvl>
  </w:abstractNum>
  <w:num w:numId="1" w16cid:durableId="1482968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E1"/>
    <w:rsid w:val="00000B19"/>
    <w:rsid w:val="0000403F"/>
    <w:rsid w:val="0001319D"/>
    <w:rsid w:val="000259F1"/>
    <w:rsid w:val="000318E8"/>
    <w:rsid w:val="000431AE"/>
    <w:rsid w:val="000616F1"/>
    <w:rsid w:val="000700E2"/>
    <w:rsid w:val="00072F89"/>
    <w:rsid w:val="00075D39"/>
    <w:rsid w:val="000773BB"/>
    <w:rsid w:val="0008486D"/>
    <w:rsid w:val="000923E8"/>
    <w:rsid w:val="000B0C9D"/>
    <w:rsid w:val="000F6218"/>
    <w:rsid w:val="001123B3"/>
    <w:rsid w:val="0012091A"/>
    <w:rsid w:val="001226D4"/>
    <w:rsid w:val="00125ECD"/>
    <w:rsid w:val="00187A9F"/>
    <w:rsid w:val="0019058B"/>
    <w:rsid w:val="001A60A0"/>
    <w:rsid w:val="001B434D"/>
    <w:rsid w:val="001B7EF5"/>
    <w:rsid w:val="001C140B"/>
    <w:rsid w:val="001D25E4"/>
    <w:rsid w:val="001D43E5"/>
    <w:rsid w:val="001D5CDA"/>
    <w:rsid w:val="001F594F"/>
    <w:rsid w:val="00210587"/>
    <w:rsid w:val="002127E6"/>
    <w:rsid w:val="00226180"/>
    <w:rsid w:val="00236853"/>
    <w:rsid w:val="00237BBD"/>
    <w:rsid w:val="00240DDD"/>
    <w:rsid w:val="0024216F"/>
    <w:rsid w:val="00251D8E"/>
    <w:rsid w:val="00255650"/>
    <w:rsid w:val="002567B9"/>
    <w:rsid w:val="00257210"/>
    <w:rsid w:val="0026428C"/>
    <w:rsid w:val="0027048D"/>
    <w:rsid w:val="00271DF3"/>
    <w:rsid w:val="00287957"/>
    <w:rsid w:val="002908A6"/>
    <w:rsid w:val="00290EAF"/>
    <w:rsid w:val="00294A2D"/>
    <w:rsid w:val="002B2970"/>
    <w:rsid w:val="002C002A"/>
    <w:rsid w:val="002C356F"/>
    <w:rsid w:val="002C3B58"/>
    <w:rsid w:val="002C3EA5"/>
    <w:rsid w:val="002C759C"/>
    <w:rsid w:val="002E3257"/>
    <w:rsid w:val="002F3688"/>
    <w:rsid w:val="002F3FB5"/>
    <w:rsid w:val="002F7410"/>
    <w:rsid w:val="00303B32"/>
    <w:rsid w:val="00316222"/>
    <w:rsid w:val="00332977"/>
    <w:rsid w:val="003346EC"/>
    <w:rsid w:val="003405D7"/>
    <w:rsid w:val="003514AB"/>
    <w:rsid w:val="00352570"/>
    <w:rsid w:val="003A2F77"/>
    <w:rsid w:val="003B4ADE"/>
    <w:rsid w:val="003C3FA4"/>
    <w:rsid w:val="003D0292"/>
    <w:rsid w:val="003D057E"/>
    <w:rsid w:val="003F3D53"/>
    <w:rsid w:val="004150E8"/>
    <w:rsid w:val="00435CBD"/>
    <w:rsid w:val="0043678D"/>
    <w:rsid w:val="004444C4"/>
    <w:rsid w:val="00450A55"/>
    <w:rsid w:val="00462752"/>
    <w:rsid w:val="00494EC3"/>
    <w:rsid w:val="004B17C2"/>
    <w:rsid w:val="004B7FCB"/>
    <w:rsid w:val="004C0A41"/>
    <w:rsid w:val="004C7E38"/>
    <w:rsid w:val="004D33F5"/>
    <w:rsid w:val="004D5152"/>
    <w:rsid w:val="004D630D"/>
    <w:rsid w:val="004D7B09"/>
    <w:rsid w:val="004D7BB3"/>
    <w:rsid w:val="004E522B"/>
    <w:rsid w:val="004F142B"/>
    <w:rsid w:val="004F35FD"/>
    <w:rsid w:val="004F7C17"/>
    <w:rsid w:val="00502066"/>
    <w:rsid w:val="00503791"/>
    <w:rsid w:val="0050388D"/>
    <w:rsid w:val="0050434C"/>
    <w:rsid w:val="0052166B"/>
    <w:rsid w:val="005346AC"/>
    <w:rsid w:val="0053550E"/>
    <w:rsid w:val="00537DBC"/>
    <w:rsid w:val="005435CA"/>
    <w:rsid w:val="00543C91"/>
    <w:rsid w:val="00545A3B"/>
    <w:rsid w:val="005521E5"/>
    <w:rsid w:val="00564646"/>
    <w:rsid w:val="00572EE1"/>
    <w:rsid w:val="0057457B"/>
    <w:rsid w:val="005B2F89"/>
    <w:rsid w:val="005B59A4"/>
    <w:rsid w:val="005D3993"/>
    <w:rsid w:val="005D7DD2"/>
    <w:rsid w:val="005E6A17"/>
    <w:rsid w:val="005F5E05"/>
    <w:rsid w:val="006028E7"/>
    <w:rsid w:val="00606719"/>
    <w:rsid w:val="00640672"/>
    <w:rsid w:val="006458F8"/>
    <w:rsid w:val="00667494"/>
    <w:rsid w:val="00675D50"/>
    <w:rsid w:val="00686731"/>
    <w:rsid w:val="006911F2"/>
    <w:rsid w:val="00692387"/>
    <w:rsid w:val="006A35EE"/>
    <w:rsid w:val="006C70FF"/>
    <w:rsid w:val="006D3577"/>
    <w:rsid w:val="006E2E0D"/>
    <w:rsid w:val="006E2E62"/>
    <w:rsid w:val="006E7559"/>
    <w:rsid w:val="00716BD9"/>
    <w:rsid w:val="00724C4B"/>
    <w:rsid w:val="00735B34"/>
    <w:rsid w:val="00743D83"/>
    <w:rsid w:val="0074715E"/>
    <w:rsid w:val="00750A95"/>
    <w:rsid w:val="00756AD0"/>
    <w:rsid w:val="00764517"/>
    <w:rsid w:val="00772763"/>
    <w:rsid w:val="007776E6"/>
    <w:rsid w:val="007A58F9"/>
    <w:rsid w:val="007B1E90"/>
    <w:rsid w:val="007C09A9"/>
    <w:rsid w:val="007C3E7E"/>
    <w:rsid w:val="007E0A43"/>
    <w:rsid w:val="007E185C"/>
    <w:rsid w:val="007E62B6"/>
    <w:rsid w:val="007E64BB"/>
    <w:rsid w:val="007E6997"/>
    <w:rsid w:val="007F6A7B"/>
    <w:rsid w:val="008025A5"/>
    <w:rsid w:val="00811776"/>
    <w:rsid w:val="008169D6"/>
    <w:rsid w:val="00824637"/>
    <w:rsid w:val="008375A3"/>
    <w:rsid w:val="00842435"/>
    <w:rsid w:val="00861554"/>
    <w:rsid w:val="00874E99"/>
    <w:rsid w:val="008834A1"/>
    <w:rsid w:val="008B3FC9"/>
    <w:rsid w:val="008C1656"/>
    <w:rsid w:val="008C58E5"/>
    <w:rsid w:val="008D1F5E"/>
    <w:rsid w:val="008D6423"/>
    <w:rsid w:val="008F3E69"/>
    <w:rsid w:val="008F6936"/>
    <w:rsid w:val="008F6972"/>
    <w:rsid w:val="0090303B"/>
    <w:rsid w:val="00907A6C"/>
    <w:rsid w:val="00910BD8"/>
    <w:rsid w:val="009206C6"/>
    <w:rsid w:val="0092594E"/>
    <w:rsid w:val="00927EAC"/>
    <w:rsid w:val="00930DEB"/>
    <w:rsid w:val="00944457"/>
    <w:rsid w:val="00952330"/>
    <w:rsid w:val="00973ED8"/>
    <w:rsid w:val="00976C08"/>
    <w:rsid w:val="00977E22"/>
    <w:rsid w:val="00983022"/>
    <w:rsid w:val="0098447D"/>
    <w:rsid w:val="00986964"/>
    <w:rsid w:val="009A3BF9"/>
    <w:rsid w:val="009D5BC2"/>
    <w:rsid w:val="009D7043"/>
    <w:rsid w:val="009E5BEE"/>
    <w:rsid w:val="009E7C9C"/>
    <w:rsid w:val="009F1401"/>
    <w:rsid w:val="009F3D9F"/>
    <w:rsid w:val="009F50FC"/>
    <w:rsid w:val="00A11768"/>
    <w:rsid w:val="00A14032"/>
    <w:rsid w:val="00A30629"/>
    <w:rsid w:val="00A37FCD"/>
    <w:rsid w:val="00A64FA4"/>
    <w:rsid w:val="00A65C69"/>
    <w:rsid w:val="00A66E34"/>
    <w:rsid w:val="00A7411A"/>
    <w:rsid w:val="00A75317"/>
    <w:rsid w:val="00A91F6F"/>
    <w:rsid w:val="00AA0AC3"/>
    <w:rsid w:val="00AA6807"/>
    <w:rsid w:val="00AB6DFA"/>
    <w:rsid w:val="00AD4569"/>
    <w:rsid w:val="00AE1610"/>
    <w:rsid w:val="00AE2AE2"/>
    <w:rsid w:val="00AE465F"/>
    <w:rsid w:val="00AF3530"/>
    <w:rsid w:val="00B03D8A"/>
    <w:rsid w:val="00B06DB1"/>
    <w:rsid w:val="00B2706A"/>
    <w:rsid w:val="00B30D8A"/>
    <w:rsid w:val="00B3268F"/>
    <w:rsid w:val="00B34B65"/>
    <w:rsid w:val="00B357CC"/>
    <w:rsid w:val="00B41E67"/>
    <w:rsid w:val="00B454EE"/>
    <w:rsid w:val="00B81B1C"/>
    <w:rsid w:val="00B82103"/>
    <w:rsid w:val="00B853DA"/>
    <w:rsid w:val="00BA207F"/>
    <w:rsid w:val="00BC5ECF"/>
    <w:rsid w:val="00BD4F28"/>
    <w:rsid w:val="00BE226D"/>
    <w:rsid w:val="00BF59B7"/>
    <w:rsid w:val="00C02364"/>
    <w:rsid w:val="00C10E40"/>
    <w:rsid w:val="00C1165A"/>
    <w:rsid w:val="00C423B7"/>
    <w:rsid w:val="00C51D19"/>
    <w:rsid w:val="00C7390E"/>
    <w:rsid w:val="00C87B14"/>
    <w:rsid w:val="00C9531C"/>
    <w:rsid w:val="00CA1C63"/>
    <w:rsid w:val="00CE1130"/>
    <w:rsid w:val="00CE2E94"/>
    <w:rsid w:val="00CF1935"/>
    <w:rsid w:val="00CF3A2B"/>
    <w:rsid w:val="00D00505"/>
    <w:rsid w:val="00D02E1F"/>
    <w:rsid w:val="00D03FF4"/>
    <w:rsid w:val="00D068C8"/>
    <w:rsid w:val="00D23592"/>
    <w:rsid w:val="00D308F8"/>
    <w:rsid w:val="00D3414C"/>
    <w:rsid w:val="00D37806"/>
    <w:rsid w:val="00D50CFD"/>
    <w:rsid w:val="00D65326"/>
    <w:rsid w:val="00D708B1"/>
    <w:rsid w:val="00D74B87"/>
    <w:rsid w:val="00D97465"/>
    <w:rsid w:val="00DA13CD"/>
    <w:rsid w:val="00DA4E99"/>
    <w:rsid w:val="00DA68F3"/>
    <w:rsid w:val="00DA6C65"/>
    <w:rsid w:val="00DC2A76"/>
    <w:rsid w:val="00DC7AB8"/>
    <w:rsid w:val="00DD0ADF"/>
    <w:rsid w:val="00DD3F22"/>
    <w:rsid w:val="00DF2C91"/>
    <w:rsid w:val="00E06859"/>
    <w:rsid w:val="00E07B1F"/>
    <w:rsid w:val="00E20121"/>
    <w:rsid w:val="00E31E42"/>
    <w:rsid w:val="00E359E1"/>
    <w:rsid w:val="00E5050C"/>
    <w:rsid w:val="00E5322F"/>
    <w:rsid w:val="00E742A5"/>
    <w:rsid w:val="00E86C3D"/>
    <w:rsid w:val="00E97F62"/>
    <w:rsid w:val="00EA79AE"/>
    <w:rsid w:val="00EB2AAD"/>
    <w:rsid w:val="00ED52CE"/>
    <w:rsid w:val="00ED62D9"/>
    <w:rsid w:val="00ED773F"/>
    <w:rsid w:val="00EE3FC1"/>
    <w:rsid w:val="00EE548D"/>
    <w:rsid w:val="00F22865"/>
    <w:rsid w:val="00F23B56"/>
    <w:rsid w:val="00F3127D"/>
    <w:rsid w:val="00F36DF2"/>
    <w:rsid w:val="00F66313"/>
    <w:rsid w:val="00F76563"/>
    <w:rsid w:val="00F85796"/>
    <w:rsid w:val="00FB6ED4"/>
    <w:rsid w:val="00FB7785"/>
    <w:rsid w:val="00FB7E0C"/>
    <w:rsid w:val="00FD49E0"/>
    <w:rsid w:val="00FF54F6"/>
    <w:rsid w:val="00FF6964"/>
    <w:rsid w:val="00FF6B14"/>
    <w:rsid w:val="016BCA57"/>
    <w:rsid w:val="04D8D14A"/>
    <w:rsid w:val="05460DEC"/>
    <w:rsid w:val="05E34B89"/>
    <w:rsid w:val="077280B6"/>
    <w:rsid w:val="0C3E72E1"/>
    <w:rsid w:val="0CE14290"/>
    <w:rsid w:val="0E7D12F1"/>
    <w:rsid w:val="0EA63383"/>
    <w:rsid w:val="0FD786F3"/>
    <w:rsid w:val="107FCC38"/>
    <w:rsid w:val="120962CC"/>
    <w:rsid w:val="1553B99C"/>
    <w:rsid w:val="1885C7B0"/>
    <w:rsid w:val="1893BD40"/>
    <w:rsid w:val="19017FE6"/>
    <w:rsid w:val="19E930FD"/>
    <w:rsid w:val="1A28A5F4"/>
    <w:rsid w:val="1AEF6304"/>
    <w:rsid w:val="1CA58AB2"/>
    <w:rsid w:val="1D1799F9"/>
    <w:rsid w:val="1FEFE898"/>
    <w:rsid w:val="203B0020"/>
    <w:rsid w:val="22135AEE"/>
    <w:rsid w:val="2245519C"/>
    <w:rsid w:val="240C3B39"/>
    <w:rsid w:val="274547B6"/>
    <w:rsid w:val="2A1E7DF6"/>
    <w:rsid w:val="2DEFADB8"/>
    <w:rsid w:val="2E09D01E"/>
    <w:rsid w:val="2E4DC3BE"/>
    <w:rsid w:val="2E96B755"/>
    <w:rsid w:val="2ED192AA"/>
    <w:rsid w:val="2F0C872B"/>
    <w:rsid w:val="2F6656CA"/>
    <w:rsid w:val="2FD787DD"/>
    <w:rsid w:val="3208C443"/>
    <w:rsid w:val="32FCCDCC"/>
    <w:rsid w:val="3593DEC6"/>
    <w:rsid w:val="35D3B54E"/>
    <w:rsid w:val="37231160"/>
    <w:rsid w:val="3905F1D4"/>
    <w:rsid w:val="3CA32A93"/>
    <w:rsid w:val="3CD04AF9"/>
    <w:rsid w:val="3D18565F"/>
    <w:rsid w:val="3F0235EE"/>
    <w:rsid w:val="3F20B734"/>
    <w:rsid w:val="3F20D010"/>
    <w:rsid w:val="3F6A875E"/>
    <w:rsid w:val="4009C835"/>
    <w:rsid w:val="403F8506"/>
    <w:rsid w:val="408E3DDB"/>
    <w:rsid w:val="43F258BA"/>
    <w:rsid w:val="4421B519"/>
    <w:rsid w:val="4631928E"/>
    <w:rsid w:val="464E1E87"/>
    <w:rsid w:val="4658F6E4"/>
    <w:rsid w:val="473D86C4"/>
    <w:rsid w:val="4740B28A"/>
    <w:rsid w:val="4791A39E"/>
    <w:rsid w:val="49693350"/>
    <w:rsid w:val="49E8D47B"/>
    <w:rsid w:val="4B18F96E"/>
    <w:rsid w:val="4B7DC5A5"/>
    <w:rsid w:val="4C280017"/>
    <w:rsid w:val="4C33CCBB"/>
    <w:rsid w:val="4D074CE0"/>
    <w:rsid w:val="4E822C7B"/>
    <w:rsid w:val="54356693"/>
    <w:rsid w:val="544379F8"/>
    <w:rsid w:val="56D27358"/>
    <w:rsid w:val="59189C4F"/>
    <w:rsid w:val="5B0C1C8E"/>
    <w:rsid w:val="5B444BCB"/>
    <w:rsid w:val="5BF2F237"/>
    <w:rsid w:val="5CF173FC"/>
    <w:rsid w:val="5D5E688D"/>
    <w:rsid w:val="5F1FA0CF"/>
    <w:rsid w:val="60DC307E"/>
    <w:rsid w:val="62949318"/>
    <w:rsid w:val="637B4B46"/>
    <w:rsid w:val="63B0F855"/>
    <w:rsid w:val="640D6EFB"/>
    <w:rsid w:val="647132B6"/>
    <w:rsid w:val="67761694"/>
    <w:rsid w:val="6820F121"/>
    <w:rsid w:val="68EEE6DE"/>
    <w:rsid w:val="6E2B3260"/>
    <w:rsid w:val="6F2F47A4"/>
    <w:rsid w:val="7103D07D"/>
    <w:rsid w:val="72D5F995"/>
    <w:rsid w:val="786DBAF5"/>
    <w:rsid w:val="7B6B290C"/>
    <w:rsid w:val="7EFCEE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F3403B"/>
  <w15:chartTrackingRefBased/>
  <w15:docId w15:val="{C3EA3C88-EDEF-4D77-AC09-A9238FEF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9E1"/>
  </w:style>
  <w:style w:type="paragraph" w:styleId="Footer">
    <w:name w:val="footer"/>
    <w:basedOn w:val="Normal"/>
    <w:link w:val="FooterChar"/>
    <w:uiPriority w:val="99"/>
    <w:unhideWhenUsed/>
    <w:rsid w:val="00E3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9E1"/>
  </w:style>
  <w:style w:type="paragraph" w:styleId="ListParagraph">
    <w:name w:val="List Paragraph"/>
    <w:basedOn w:val="Normal"/>
    <w:uiPriority w:val="1"/>
    <w:qFormat/>
    <w:rsid w:val="00D37806"/>
    <w:pPr>
      <w:widowControl w:val="0"/>
      <w:autoSpaceDE w:val="0"/>
      <w:autoSpaceDN w:val="0"/>
      <w:spacing w:after="0" w:line="240" w:lineRule="auto"/>
      <w:ind w:left="1566" w:hanging="351"/>
    </w:pPr>
    <w:rPr>
      <w:rFonts w:ascii="Times New Roman" w:eastAsia="Times New Roman" w:hAnsi="Times New Roman" w:cs="Times New Roman"/>
    </w:rPr>
  </w:style>
  <w:style w:type="character" w:styleId="Strong">
    <w:name w:val="Strong"/>
    <w:basedOn w:val="DefaultParagraphFont"/>
    <w:uiPriority w:val="22"/>
    <w:qFormat/>
    <w:rsid w:val="007C09A9"/>
    <w:rPr>
      <w:rFonts w:ascii="Arial Narrow" w:hAnsi="Arial Narrow"/>
      <w:b/>
      <w:bCs/>
      <w:sz w:val="22"/>
    </w:rPr>
  </w:style>
  <w:style w:type="paragraph" w:styleId="BodyText">
    <w:name w:val="Body Text"/>
    <w:basedOn w:val="Normal"/>
    <w:link w:val="BodyTextChar"/>
    <w:uiPriority w:val="1"/>
    <w:qFormat/>
    <w:rsid w:val="000923E8"/>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0923E8"/>
    <w:rPr>
      <w:rFonts w:ascii="Times New Roman" w:eastAsia="Times New Roman" w:hAnsi="Times New Roman" w:cs="Times New Roman"/>
      <w:sz w:val="23"/>
      <w:szCs w:val="23"/>
    </w:rPr>
  </w:style>
  <w:style w:type="character" w:styleId="Hyperlink">
    <w:name w:val="Hyperlink"/>
    <w:basedOn w:val="DefaultParagraphFont"/>
    <w:uiPriority w:val="99"/>
    <w:unhideWhenUsed/>
    <w:rsid w:val="00C1165A"/>
    <w:rPr>
      <w:rFonts w:ascii="Arial Narrow" w:hAnsi="Arial Narrow"/>
      <w:b/>
      <w:color w:val="1A729F"/>
      <w:sz w:val="22"/>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57210"/>
    <w:pPr>
      <w:spacing w:after="0" w:line="240" w:lineRule="auto"/>
    </w:pPr>
  </w:style>
  <w:style w:type="paragraph" w:styleId="CommentSubject">
    <w:name w:val="annotation subject"/>
    <w:basedOn w:val="CommentText"/>
    <w:next w:val="CommentText"/>
    <w:link w:val="CommentSubjectChar"/>
    <w:uiPriority w:val="99"/>
    <w:semiHidden/>
    <w:unhideWhenUsed/>
    <w:rsid w:val="00257210"/>
    <w:rPr>
      <w:b/>
      <w:bCs/>
    </w:rPr>
  </w:style>
  <w:style w:type="character" w:customStyle="1" w:styleId="CommentSubjectChar">
    <w:name w:val="Comment Subject Char"/>
    <w:basedOn w:val="CommentTextChar"/>
    <w:link w:val="CommentSubject"/>
    <w:uiPriority w:val="99"/>
    <w:semiHidden/>
    <w:rsid w:val="002572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8" ma:contentTypeDescription="Create a new document." ma:contentTypeScope="" ma:versionID="f1550481335c9abdee16dc61ad8fe89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6ac1096963e04c7165fe21ed3fa1ab0"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9B1E8-8795-455B-A51F-23F222700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D2206-560C-45DF-9DA1-2406FECBF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2023-08-31T17:29:00Z</dcterms:created>
  <dcterms:modified xsi:type="dcterms:W3CDTF">2023-08-31T17:29:00Z</dcterms:modified>
</cp:coreProperties>
</file>