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P="00040BE4" w14:paraId="64280E56" w14:textId="14844258">
      <w:pPr>
        <w:tabs>
          <w:tab w:val="left" w:pos="0"/>
        </w:tabs>
        <w:suppressAutoHyphens/>
        <w:jc w:val="center"/>
        <w:rPr>
          <w:rFonts w:asciiTheme="minorHAnsi" w:hAnsiTheme="minorHAnsi" w:cstheme="minorHAnsi"/>
          <w:szCs w:val="24"/>
        </w:rPr>
      </w:pPr>
      <w:r w:rsidRPr="00040BE4">
        <w:rPr>
          <w:rFonts w:asciiTheme="minorHAnsi" w:hAnsiTheme="minorHAnsi" w:cstheme="minorHAnsi"/>
          <w:szCs w:val="24"/>
        </w:rPr>
        <w:t>Loan Discharge Application: Forgery</w:t>
      </w:r>
    </w:p>
    <w:p w:rsidR="00040BE4" w:rsidRPr="00040BE4" w:rsidP="00040BE4" w14:paraId="30F1D4BF" w14:textId="77777777">
      <w:pPr>
        <w:tabs>
          <w:tab w:val="left" w:pos="0"/>
        </w:tabs>
        <w:suppressAutoHyphens/>
        <w:jc w:val="center"/>
        <w:rPr>
          <w:rFonts w:asciiTheme="minorHAnsi" w:hAnsiTheme="minorHAnsi" w:cstheme="minorHAnsi"/>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040BE4" w:rsidRPr="00F1038D" w:rsidP="00040BE4" w14:paraId="6AFB3DFD" w14:textId="77777777">
      <w:pPr>
        <w:ind w:left="720"/>
        <w:rPr>
          <w:rFonts w:asciiTheme="minorHAnsi" w:hAnsiTheme="minorHAnsi" w:cstheme="minorHAnsi"/>
          <w:szCs w:val="24"/>
        </w:rPr>
      </w:pPr>
      <w:r w:rsidRPr="00F1038D">
        <w:rPr>
          <w:rFonts w:asciiTheme="minorHAnsi" w:hAnsiTheme="minorHAnsi" w:cstheme="minorHAnsi"/>
          <w:szCs w:val="24"/>
        </w:rPr>
        <w:t>This is a request for an extension of the information collection for the form used to obtain information from federal student loan borrowers who allege that the loans in their name were the result of a forgery.  This information is used by the Secretary to make a determination of forgery for the Direct Loans, FFEL Program Loans, and Federal Perkins Loans held by the Department.  This information collection stems from the common law legal principal of forgery, which is not reflected in the Department’s statute or regulations, but with which the Department must comply.</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040BE4" w:rsidRPr="00F1038D" w:rsidP="00040BE4" w14:paraId="112582C6" w14:textId="77777777">
      <w:pPr>
        <w:ind w:left="720"/>
        <w:rPr>
          <w:rFonts w:asciiTheme="minorHAnsi" w:hAnsiTheme="minorHAnsi" w:cstheme="minorHAnsi"/>
          <w:szCs w:val="24"/>
        </w:rPr>
      </w:pPr>
      <w:r w:rsidRPr="00F1038D">
        <w:rPr>
          <w:rFonts w:asciiTheme="minorHAnsi" w:hAnsiTheme="minorHAnsi" w:cstheme="minorHAnsi"/>
          <w:szCs w:val="24"/>
        </w:rPr>
        <w:t>This information is used by the Secretary to make a determination of forgery of a federal student loan.</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040BE4" w:rsidRPr="00583BFD" w:rsidP="00040BE4" w14:paraId="1DD91B22" w14:textId="77777777">
      <w:pPr>
        <w:tabs>
          <w:tab w:val="left" w:pos="0"/>
        </w:tabs>
        <w:suppressAutoHyphens/>
        <w:ind w:left="720"/>
        <w:rPr>
          <w:rFonts w:asciiTheme="minorHAnsi" w:hAnsiTheme="minorHAnsi" w:cstheme="minorHAnsi"/>
        </w:rPr>
      </w:pPr>
      <w:r w:rsidRPr="00F1038D">
        <w:rPr>
          <w:rFonts w:asciiTheme="minorHAnsi" w:hAnsiTheme="minorHAnsi" w:cstheme="minorHAnsi"/>
          <w:szCs w:val="24"/>
        </w:rPr>
        <w:t xml:space="preserve">While the  form is downloadable from the Department’s Web site, once printed it is completed by the borrower, and submitted with copies of supporting documentation to the Department.  </w:t>
      </w:r>
      <w:r w:rsidRPr="00583BFD">
        <w:rPr>
          <w:rFonts w:asciiTheme="minorHAnsi" w:hAnsiTheme="minorHAnsi" w:cstheme="minorHAnsi"/>
        </w:rPr>
        <w:t>Although this form cannot be submitted electronically, it can be downloaded and completed electronically using common or free software.</w:t>
      </w:r>
    </w:p>
    <w:p w:rsidR="00040BE4" w:rsidRPr="00583BFD" w:rsidP="00040BE4" w14:paraId="2CF2B235" w14:textId="77777777">
      <w:pPr>
        <w:tabs>
          <w:tab w:val="left" w:pos="0"/>
        </w:tabs>
        <w:suppressAutoHyphens/>
        <w:ind w:left="720"/>
        <w:rPr>
          <w:rFonts w:ascii="Times New Roman" w:hAnsi="Times New Roman"/>
        </w:rPr>
      </w:pPr>
    </w:p>
    <w:p w:rsidR="00040BE4" w:rsidRPr="00F1038D" w:rsidP="00040BE4" w14:paraId="75AB6056" w14:textId="7B363AF1">
      <w:pPr>
        <w:tabs>
          <w:tab w:val="left" w:pos="0"/>
        </w:tabs>
        <w:suppressAutoHyphens/>
        <w:ind w:left="720"/>
        <w:rPr>
          <w:rFonts w:asciiTheme="minorHAnsi" w:hAnsiTheme="minorHAnsi" w:cstheme="minorHAnsi"/>
          <w:szCs w:val="24"/>
        </w:rPr>
      </w:pPr>
      <w:r w:rsidRPr="00583BFD">
        <w:rPr>
          <w:rFonts w:asciiTheme="minorHAnsi" w:hAnsiTheme="minorHAnsi" w:cstheme="minorHAnsi"/>
        </w:rPr>
        <w:t>The Department will continue its effort to maximize the use of available information technology in making and servicing Direct Loans when it is feasible and cost-effective.</w:t>
      </w:r>
    </w:p>
    <w:p w:rsidR="00EF4C67" w:rsidRPr="00FB6309" w:rsidP="00EF4C67" w14:paraId="2D2F6A02" w14:textId="004F3F26">
      <w:pPr>
        <w:tabs>
          <w:tab w:val="left" w:pos="0"/>
        </w:tabs>
        <w:suppressAutoHyphens/>
        <w:ind w:left="720"/>
        <w:rPr>
          <w:rFonts w:asciiTheme="minorHAnsi" w:hAnsiTheme="minorHAnsi" w:cstheme="minorHAnsi"/>
          <w:szCs w:val="24"/>
        </w:rPr>
      </w:pP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040BE4" w:rsidRPr="00040BE4" w:rsidP="00040BE4" w14:paraId="38A1460F" w14:textId="77777777">
      <w:pPr>
        <w:pStyle w:val="ListParagraph"/>
        <w:tabs>
          <w:tab w:val="left" w:pos="0"/>
        </w:tabs>
        <w:suppressAutoHyphens/>
        <w:rPr>
          <w:rFonts w:asciiTheme="minorHAnsi" w:hAnsiTheme="minorHAnsi" w:cstheme="minorHAnsi"/>
        </w:rPr>
      </w:pPr>
      <w:r w:rsidRPr="00040BE4">
        <w:rPr>
          <w:rFonts w:asciiTheme="minorHAnsi" w:hAnsiTheme="minorHAnsi" w:cstheme="minorHAnsi"/>
        </w:rPr>
        <w:t>There is no similar information already available from other sources that can be used for the purposes described in Item 2.</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RPr="00FB6309" w:rsidP="00EF4C67" w14:paraId="27DEE347" w14:textId="6E9DBFDF">
      <w:pPr>
        <w:tabs>
          <w:tab w:val="left" w:pos="0"/>
        </w:tabs>
        <w:suppressAutoHyphens/>
        <w:ind w:left="720"/>
        <w:rPr>
          <w:rFonts w:asciiTheme="minorHAnsi" w:hAnsiTheme="minorHAnsi" w:cstheme="minorHAnsi"/>
          <w:szCs w:val="24"/>
        </w:rPr>
      </w:pPr>
      <w:r w:rsidRPr="00F1038D">
        <w:rPr>
          <w:rFonts w:asciiTheme="minorHAnsi" w:hAnsiTheme="minorHAnsi" w:cstheme="minorHAnsi"/>
        </w:rPr>
        <w:t>No small businesses are affected by this information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040BE4" w:rsidRPr="00F1038D" w:rsidP="00040BE4" w14:paraId="6F30FBF4" w14:textId="77777777">
      <w:pPr>
        <w:pStyle w:val="BodyTextIndent"/>
        <w:rPr>
          <w:rFonts w:asciiTheme="minorHAnsi" w:hAnsiTheme="minorHAnsi" w:cstheme="minorHAnsi"/>
        </w:rPr>
      </w:pPr>
      <w:r w:rsidRPr="00F1038D">
        <w:rPr>
          <w:rFonts w:asciiTheme="minorHAnsi" w:hAnsiTheme="minorHAnsi" w:cstheme="minorHAnsi"/>
        </w:rPr>
        <w:t>Absent this data collection form, the loan holder will not have sufficient or accurate information required to determine if a borrower was eligible to receive a discharge based on a forgery claim.</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040BE4" w:rsidRPr="00F1038D" w:rsidP="00040BE4" w14:paraId="0B286FE6" w14:textId="77777777">
      <w:pPr>
        <w:tabs>
          <w:tab w:val="left" w:pos="0"/>
        </w:tabs>
        <w:suppressAutoHyphens/>
        <w:ind w:left="720"/>
        <w:rPr>
          <w:rFonts w:asciiTheme="minorHAnsi" w:hAnsiTheme="minorHAnsi" w:cstheme="minorHAnsi"/>
        </w:rPr>
      </w:pPr>
      <w:r w:rsidRPr="00F1038D">
        <w:rPr>
          <w:rFonts w:asciiTheme="minorHAnsi" w:hAnsiTheme="minorHAnsi" w:cstheme="minorHAnsi"/>
        </w:rPr>
        <w:t>This information collection does not involve any of the above conditions.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B9430A" w:rsidP="00040BE4" w14:paraId="700242AB" w14:textId="3E2DEB7D">
      <w:pPr>
        <w:tabs>
          <w:tab w:val="left" w:pos="-720"/>
        </w:tabs>
        <w:suppressAutoHyphens/>
        <w:spacing w:after="120"/>
        <w:ind w:left="720"/>
        <w:rPr>
          <w:rFonts w:asciiTheme="minorHAnsi" w:hAnsiTheme="minorHAnsi" w:cstheme="minorHAnsi"/>
        </w:rPr>
      </w:pPr>
      <w:r>
        <w:rPr>
          <w:rFonts w:asciiTheme="minorHAnsi" w:hAnsiTheme="minorHAnsi" w:cstheme="minorHAnsi"/>
        </w:rPr>
        <w:t>On May 24, 2023, a notice was published in the Federal Register</w:t>
      </w:r>
      <w:r>
        <w:rPr>
          <w:rFonts w:asciiTheme="minorHAnsi" w:hAnsiTheme="minorHAnsi" w:cstheme="minorHAnsi"/>
        </w:rPr>
        <w:t xml:space="preserve"> (Vol.88, No. 100, 33592) inviting public comment on this information collection.  The 60-day public comment period expired July 24, 2023 and 2 comments were received.  See the attached document for FSA responses to these comments.  No changes have been made to the form based on these comments.</w:t>
      </w:r>
    </w:p>
    <w:p w:rsidR="00040BE4" w:rsidRPr="00F1038D" w:rsidP="00040BE4" w14:paraId="33BC8E9F" w14:textId="5643076D">
      <w:pPr>
        <w:tabs>
          <w:tab w:val="left" w:pos="-720"/>
        </w:tabs>
        <w:suppressAutoHyphens/>
        <w:spacing w:after="120"/>
        <w:ind w:left="720"/>
        <w:rPr>
          <w:rFonts w:asciiTheme="minorHAnsi" w:hAnsiTheme="minorHAnsi" w:cstheme="minorHAnsi"/>
          <w:szCs w:val="24"/>
        </w:rPr>
      </w:pPr>
      <w:r w:rsidRPr="00F1038D">
        <w:rPr>
          <w:rFonts w:asciiTheme="minorHAnsi" w:hAnsiTheme="minorHAnsi" w:cstheme="minorHAnsi"/>
        </w:rPr>
        <w:t xml:space="preserve">This is a request for </w:t>
      </w:r>
      <w:r w:rsidR="00B9430A">
        <w:rPr>
          <w:rFonts w:asciiTheme="minorHAnsi" w:hAnsiTheme="minorHAnsi" w:cstheme="minorHAnsi"/>
        </w:rPr>
        <w:t>the</w:t>
      </w:r>
      <w:r w:rsidRPr="00F1038D">
        <w:rPr>
          <w:rFonts w:asciiTheme="minorHAnsi" w:hAnsiTheme="minorHAnsi" w:cstheme="minorHAnsi"/>
        </w:rPr>
        <w:t xml:space="preserve"> 30-day comment period during which the public will have an additional opportunity to submit comments on the proposed form.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040BE4" w:rsidRPr="00F1038D" w:rsidP="00040BE4" w14:paraId="1A10D5D3" w14:textId="77777777">
      <w:pPr>
        <w:tabs>
          <w:tab w:val="left" w:pos="0"/>
        </w:tabs>
        <w:suppressAutoHyphens/>
        <w:ind w:left="720"/>
        <w:rPr>
          <w:rFonts w:asciiTheme="minorHAnsi" w:hAnsiTheme="minorHAnsi" w:cstheme="minorHAnsi"/>
        </w:rPr>
      </w:pPr>
      <w:r w:rsidRPr="00F1038D">
        <w:rPr>
          <w:rFonts w:asciiTheme="minorHAnsi" w:hAnsiTheme="minorHAnsi" w:cstheme="minorHAnsi"/>
        </w:rPr>
        <w:t>No payments or gifts have been or will be provided to respondents.</w:t>
      </w:r>
    </w:p>
    <w:p w:rsidR="00920F63" w:rsidRPr="00040BE4" w:rsidP="00040BE4" w14:paraId="64280E85" w14:textId="77777777">
      <w:pPr>
        <w:tabs>
          <w:tab w:val="left" w:pos="-720"/>
        </w:tabs>
        <w:suppressAutoHyphens/>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040BE4" w:rsidRPr="00F1038D" w:rsidP="00040BE4" w14:paraId="509463E7" w14:textId="051CB7DF">
      <w:pPr>
        <w:tabs>
          <w:tab w:val="left" w:pos="0"/>
        </w:tabs>
        <w:suppressAutoHyphens/>
        <w:ind w:left="720"/>
        <w:rPr>
          <w:rFonts w:asciiTheme="minorHAnsi" w:hAnsiTheme="minorHAnsi" w:cstheme="minorHAnsi"/>
        </w:rPr>
      </w:pPr>
      <w:r w:rsidRPr="00F1038D">
        <w:rPr>
          <w:rFonts w:asciiTheme="minorHAnsi" w:hAnsiTheme="minorHAnsi" w:cstheme="minorHAnsi"/>
        </w:rPr>
        <w:t>The form include</w:t>
      </w:r>
      <w:r w:rsidR="00583BFD">
        <w:rPr>
          <w:rFonts w:asciiTheme="minorHAnsi" w:hAnsiTheme="minorHAnsi" w:cstheme="minorHAnsi"/>
        </w:rPr>
        <w:t>s</w:t>
      </w:r>
      <w:r w:rsidRPr="00F1038D">
        <w:rPr>
          <w:rFonts w:asciiTheme="minorHAnsi" w:hAnsiTheme="minorHAnsi" w:cstheme="minorHAnsi"/>
        </w:rPr>
        <w:t xml:space="preserve"> a Privacy Act Notice that (1) informs borrowers of the statutory authority for the information collection; (2) explains that the disclosure of the information is </w:t>
      </w:r>
      <w:r w:rsidRPr="00F1038D">
        <w:rPr>
          <w:rFonts w:asciiTheme="minorHAnsi" w:hAnsiTheme="minorHAnsi" w:cstheme="minorHAnsi"/>
        </w:rPr>
        <w:t>voluntary, but</w:t>
      </w:r>
      <w:r w:rsidRPr="00F1038D">
        <w:rPr>
          <w:rFonts w:asciiTheme="minorHAnsi" w:hAnsiTheme="minorHAnsi" w:cstheme="minorHAnsi"/>
        </w:rPr>
        <w:t xml:space="preserve"> is required in order to qualify for a loan discharge; and (3) identifies the third parties to whom the information may be disclosed and explains the circumstances under which those disclosures may occur.</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040BE4" w:rsidRPr="00F1038D" w:rsidP="00040BE4" w14:paraId="665BB19C" w14:textId="77777777">
      <w:pPr>
        <w:tabs>
          <w:tab w:val="left" w:pos="0"/>
        </w:tabs>
        <w:suppressAutoHyphens/>
        <w:ind w:left="720"/>
        <w:rPr>
          <w:rFonts w:asciiTheme="minorHAnsi" w:hAnsiTheme="minorHAnsi" w:cstheme="minorHAnsi"/>
        </w:rPr>
      </w:pPr>
      <w:r w:rsidRPr="00F1038D">
        <w:rPr>
          <w:rFonts w:asciiTheme="minorHAnsi" w:hAnsiTheme="minorHAnsi" w:cstheme="minorHAnsi"/>
        </w:rPr>
        <w:t>The form does not require borrowers to provide information of a sensitive nature as described above.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040BE4" w:rsidRPr="00F1038D" w:rsidP="00040BE4" w14:paraId="119B464D" w14:textId="77777777">
      <w:pPr>
        <w:tabs>
          <w:tab w:val="left" w:pos="-720"/>
        </w:tabs>
        <w:suppressAutoHyphens/>
        <w:ind w:left="1080"/>
        <w:rPr>
          <w:rFonts w:asciiTheme="minorHAnsi" w:hAnsiTheme="minorHAnsi" w:cstheme="minorHAnsi"/>
        </w:rPr>
      </w:pPr>
      <w:r w:rsidRPr="00F1038D">
        <w:rPr>
          <w:rFonts w:asciiTheme="minorHAnsi" w:hAnsiTheme="minorHAnsi" w:cstheme="minorHAnsi"/>
        </w:rPr>
        <w:t xml:space="preserve">The estimated time required to complete the forms is 1 hour (60 minutes) per form.  </w:t>
      </w:r>
    </w:p>
    <w:p w:rsidR="00040BE4" w:rsidRPr="00F1038D" w:rsidP="00040BE4" w14:paraId="0CE4BB7D" w14:textId="77777777">
      <w:pPr>
        <w:tabs>
          <w:tab w:val="left" w:pos="-720"/>
        </w:tabs>
        <w:suppressAutoHyphens/>
        <w:ind w:left="1080"/>
        <w:rPr>
          <w:rFonts w:asciiTheme="minorHAnsi" w:hAnsiTheme="minorHAnsi" w:cstheme="minorHAnsi"/>
        </w:rPr>
      </w:pPr>
      <w:r w:rsidRPr="00F1038D">
        <w:rPr>
          <w:rFonts w:asciiTheme="minorHAnsi" w:hAnsiTheme="minorHAnsi" w:cstheme="minorHAnsi"/>
        </w:rPr>
        <w:t xml:space="preserve">Based on one response per respondent, this equates to a total estimated annual reporting burden of 2,786 hours, calculated as follows:  </w:t>
      </w:r>
    </w:p>
    <w:tbl>
      <w:tblPr>
        <w:tblW w:w="0" w:type="auto"/>
        <w:jc w:val="center"/>
        <w:tblLayout w:type="fixed"/>
        <w:tblLook w:val="04A0"/>
      </w:tblPr>
      <w:tblGrid>
        <w:gridCol w:w="4288"/>
        <w:gridCol w:w="504"/>
        <w:gridCol w:w="1710"/>
      </w:tblGrid>
      <w:tr w14:paraId="7B9D1072" w14:textId="77777777" w:rsidTr="00620E25">
        <w:tblPrEx>
          <w:tblW w:w="0" w:type="auto"/>
          <w:jc w:val="center"/>
          <w:tblLayout w:type="fixed"/>
          <w:tblLook w:val="04A0"/>
        </w:tblPrEx>
        <w:trPr>
          <w:jc w:val="center"/>
        </w:trPr>
        <w:tc>
          <w:tcPr>
            <w:tcW w:w="4288" w:type="dxa"/>
            <w:hideMark/>
          </w:tcPr>
          <w:p w:rsidR="00040BE4" w:rsidRPr="005E44AA" w:rsidP="00620E25" w14:paraId="209C95C5" w14:textId="51EDF342">
            <w:pPr>
              <w:pStyle w:val="EndnoteText"/>
              <w:rPr>
                <w:rFonts w:asciiTheme="minorHAnsi" w:hAnsiTheme="minorHAnsi" w:cstheme="minorHAnsi"/>
              </w:rPr>
            </w:pPr>
            <w:r>
              <w:rPr>
                <w:rFonts w:ascii="Times New Roman" w:hAnsi="Times New Roman"/>
              </w:rPr>
              <w:br/>
            </w:r>
            <w:r w:rsidRPr="005E44AA">
              <w:rPr>
                <w:rFonts w:asciiTheme="minorHAnsi" w:hAnsiTheme="minorHAnsi" w:cstheme="minorHAnsi"/>
              </w:rPr>
              <w:t>Estimated annual number of respondents:</w:t>
            </w:r>
          </w:p>
        </w:tc>
        <w:tc>
          <w:tcPr>
            <w:tcW w:w="504" w:type="dxa"/>
          </w:tcPr>
          <w:p w:rsidR="00040BE4" w:rsidP="00620E25" w14:paraId="20A34CFF" w14:textId="77777777">
            <w:pPr>
              <w:tabs>
                <w:tab w:val="left" w:pos="-720"/>
              </w:tabs>
              <w:suppressAutoHyphens/>
              <w:rPr>
                <w:rFonts w:asciiTheme="minorHAnsi" w:hAnsiTheme="minorHAnsi" w:cstheme="minorHAnsi"/>
              </w:rPr>
            </w:pPr>
          </w:p>
          <w:p w:rsidR="00040BE4" w:rsidRPr="005E44AA" w:rsidP="00620E25" w14:paraId="322A783D" w14:textId="309A0AF6">
            <w:pPr>
              <w:tabs>
                <w:tab w:val="left" w:pos="-720"/>
              </w:tabs>
              <w:suppressAutoHyphens/>
              <w:rPr>
                <w:rFonts w:asciiTheme="minorHAnsi" w:hAnsiTheme="minorHAnsi" w:cstheme="minorHAnsi"/>
              </w:rPr>
            </w:pPr>
          </w:p>
        </w:tc>
        <w:tc>
          <w:tcPr>
            <w:tcW w:w="1710" w:type="dxa"/>
            <w:hideMark/>
          </w:tcPr>
          <w:p w:rsidR="00040BE4" w:rsidP="00620E25" w14:paraId="6FA74C4E" w14:textId="77777777">
            <w:pPr>
              <w:tabs>
                <w:tab w:val="left" w:pos="-720"/>
              </w:tabs>
              <w:suppressAutoHyphens/>
              <w:jc w:val="right"/>
              <w:rPr>
                <w:rFonts w:asciiTheme="minorHAnsi" w:hAnsiTheme="minorHAnsi" w:cstheme="minorHAnsi"/>
              </w:rPr>
            </w:pPr>
          </w:p>
          <w:p w:rsidR="00040BE4" w:rsidP="00620E25" w14:paraId="7F4B54E4" w14:textId="77777777">
            <w:pPr>
              <w:tabs>
                <w:tab w:val="left" w:pos="-720"/>
              </w:tabs>
              <w:suppressAutoHyphens/>
              <w:jc w:val="right"/>
              <w:rPr>
                <w:rFonts w:asciiTheme="minorHAnsi" w:hAnsiTheme="minorHAnsi" w:cstheme="minorHAnsi"/>
              </w:rPr>
            </w:pPr>
          </w:p>
          <w:p w:rsidR="00040BE4" w:rsidRPr="005E44AA" w:rsidP="00620E25" w14:paraId="2253958D" w14:textId="00275097">
            <w:pPr>
              <w:tabs>
                <w:tab w:val="left" w:pos="-720"/>
              </w:tabs>
              <w:suppressAutoHyphens/>
              <w:jc w:val="right"/>
              <w:rPr>
                <w:rFonts w:asciiTheme="minorHAnsi" w:hAnsiTheme="minorHAnsi" w:cstheme="minorHAnsi"/>
              </w:rPr>
            </w:pPr>
            <w:r w:rsidRPr="005E44AA">
              <w:rPr>
                <w:rFonts w:asciiTheme="minorHAnsi" w:hAnsiTheme="minorHAnsi" w:cstheme="minorHAnsi"/>
              </w:rPr>
              <w:t>2,786</w:t>
            </w:r>
          </w:p>
        </w:tc>
      </w:tr>
      <w:tr w14:paraId="36C6AB75" w14:textId="77777777" w:rsidTr="00620E25">
        <w:tblPrEx>
          <w:tblW w:w="0" w:type="auto"/>
          <w:jc w:val="center"/>
          <w:tblLayout w:type="fixed"/>
          <w:tblLook w:val="04A0"/>
        </w:tblPrEx>
        <w:trPr>
          <w:jc w:val="center"/>
        </w:trPr>
        <w:tc>
          <w:tcPr>
            <w:tcW w:w="4288" w:type="dxa"/>
            <w:hideMark/>
          </w:tcPr>
          <w:p w:rsidR="00040BE4" w:rsidRPr="005E44AA" w:rsidP="00620E25" w14:paraId="538CD787" w14:textId="77777777">
            <w:pPr>
              <w:tabs>
                <w:tab w:val="left" w:pos="-720"/>
              </w:tabs>
              <w:suppressAutoHyphens/>
              <w:rPr>
                <w:rFonts w:asciiTheme="minorHAnsi" w:hAnsiTheme="minorHAnsi" w:cstheme="minorHAnsi"/>
              </w:rPr>
            </w:pPr>
            <w:r w:rsidRPr="005E44AA">
              <w:rPr>
                <w:rFonts w:asciiTheme="minorHAnsi" w:hAnsiTheme="minorHAnsi" w:cstheme="minorHAnsi"/>
              </w:rPr>
              <w:t>Number of responses per borrower:</w:t>
            </w:r>
          </w:p>
        </w:tc>
        <w:tc>
          <w:tcPr>
            <w:tcW w:w="504" w:type="dxa"/>
            <w:hideMark/>
          </w:tcPr>
          <w:p w:rsidR="00040BE4" w:rsidRPr="005E44AA" w:rsidP="00620E25" w14:paraId="5D354875" w14:textId="77777777">
            <w:pPr>
              <w:tabs>
                <w:tab w:val="left" w:pos="-720"/>
              </w:tabs>
              <w:suppressAutoHyphens/>
              <w:rPr>
                <w:rFonts w:asciiTheme="minorHAnsi" w:hAnsiTheme="minorHAnsi" w:cstheme="minorHAnsi"/>
              </w:rPr>
            </w:pPr>
            <w:r w:rsidRPr="005E44AA">
              <w:rPr>
                <w:rFonts w:asciiTheme="minorHAnsi" w:hAnsiTheme="minorHAnsi" w:cstheme="minorHAnsi"/>
              </w:rPr>
              <w:t>x</w:t>
            </w:r>
          </w:p>
        </w:tc>
        <w:tc>
          <w:tcPr>
            <w:tcW w:w="1710" w:type="dxa"/>
            <w:hideMark/>
          </w:tcPr>
          <w:p w:rsidR="00040BE4" w:rsidRPr="005E44AA" w:rsidP="00620E25" w14:paraId="6029985A" w14:textId="77777777">
            <w:pPr>
              <w:tabs>
                <w:tab w:val="left" w:pos="-720"/>
              </w:tabs>
              <w:suppressAutoHyphens/>
              <w:jc w:val="right"/>
              <w:rPr>
                <w:rFonts w:asciiTheme="minorHAnsi" w:hAnsiTheme="minorHAnsi" w:cstheme="minorHAnsi"/>
              </w:rPr>
            </w:pPr>
            <w:r w:rsidRPr="005E44AA">
              <w:rPr>
                <w:rFonts w:asciiTheme="minorHAnsi" w:hAnsiTheme="minorHAnsi" w:cstheme="minorHAnsi"/>
              </w:rPr>
              <w:t>1</w:t>
            </w:r>
          </w:p>
        </w:tc>
      </w:tr>
      <w:tr w14:paraId="266FD19E" w14:textId="77777777" w:rsidTr="00620E25">
        <w:tblPrEx>
          <w:tblW w:w="0" w:type="auto"/>
          <w:jc w:val="center"/>
          <w:tblLayout w:type="fixed"/>
          <w:tblLook w:val="04A0"/>
        </w:tblPrEx>
        <w:trPr>
          <w:jc w:val="center"/>
        </w:trPr>
        <w:tc>
          <w:tcPr>
            <w:tcW w:w="4288" w:type="dxa"/>
            <w:hideMark/>
          </w:tcPr>
          <w:p w:rsidR="00040BE4" w:rsidRPr="005E44AA" w:rsidP="00620E25" w14:paraId="7EAC7D85" w14:textId="77777777">
            <w:pPr>
              <w:tabs>
                <w:tab w:val="left" w:pos="-720"/>
              </w:tabs>
              <w:suppressAutoHyphens/>
              <w:rPr>
                <w:rFonts w:asciiTheme="minorHAnsi" w:hAnsiTheme="minorHAnsi" w:cstheme="minorHAnsi"/>
              </w:rPr>
            </w:pPr>
            <w:r w:rsidRPr="005E44AA">
              <w:rPr>
                <w:rFonts w:asciiTheme="minorHAnsi" w:hAnsiTheme="minorHAnsi" w:cstheme="minorHAnsi"/>
              </w:rPr>
              <w:t>Hours per response:</w:t>
            </w:r>
          </w:p>
        </w:tc>
        <w:tc>
          <w:tcPr>
            <w:tcW w:w="504" w:type="dxa"/>
            <w:hideMark/>
          </w:tcPr>
          <w:p w:rsidR="00040BE4" w:rsidRPr="005E44AA" w:rsidP="00620E25" w14:paraId="3A58453D" w14:textId="77777777">
            <w:pPr>
              <w:tabs>
                <w:tab w:val="left" w:pos="-720"/>
              </w:tabs>
              <w:suppressAutoHyphens/>
              <w:rPr>
                <w:rFonts w:asciiTheme="minorHAnsi" w:hAnsiTheme="minorHAnsi" w:cstheme="minorHAnsi"/>
              </w:rPr>
            </w:pPr>
            <w:r w:rsidRPr="005E44AA">
              <w:rPr>
                <w:rFonts w:asciiTheme="minorHAnsi" w:hAnsiTheme="minorHAnsi" w:cstheme="minorHAnsi"/>
              </w:rPr>
              <w:t>x</w:t>
            </w:r>
          </w:p>
        </w:tc>
        <w:tc>
          <w:tcPr>
            <w:tcW w:w="1710" w:type="dxa"/>
            <w:tcBorders>
              <w:top w:val="nil"/>
              <w:left w:val="nil"/>
              <w:bottom w:val="single" w:sz="4" w:space="0" w:color="auto"/>
              <w:right w:val="nil"/>
            </w:tcBorders>
            <w:hideMark/>
          </w:tcPr>
          <w:p w:rsidR="00040BE4" w:rsidRPr="005E44AA" w:rsidP="00040BE4" w14:paraId="27EF67DA" w14:textId="4173CFB3">
            <w:pPr>
              <w:tabs>
                <w:tab w:val="left" w:pos="-720"/>
              </w:tabs>
              <w:suppressAutoHyphens/>
              <w:jc w:val="right"/>
              <w:rPr>
                <w:rFonts w:asciiTheme="minorHAnsi" w:hAnsiTheme="minorHAnsi" w:cstheme="minorHAnsi"/>
              </w:rPr>
            </w:pPr>
            <w:r w:rsidRPr="005E44AA">
              <w:rPr>
                <w:rFonts w:asciiTheme="minorHAnsi" w:hAnsiTheme="minorHAnsi" w:cstheme="minorHAnsi"/>
              </w:rPr>
              <w:t>1</w:t>
            </w:r>
          </w:p>
        </w:tc>
      </w:tr>
      <w:tr w14:paraId="65D5553B" w14:textId="77777777" w:rsidTr="00620E25">
        <w:tblPrEx>
          <w:tblW w:w="0" w:type="auto"/>
          <w:jc w:val="center"/>
          <w:tblLayout w:type="fixed"/>
          <w:tblLook w:val="04A0"/>
        </w:tblPrEx>
        <w:trPr>
          <w:jc w:val="center"/>
        </w:trPr>
        <w:tc>
          <w:tcPr>
            <w:tcW w:w="4288" w:type="dxa"/>
            <w:hideMark/>
          </w:tcPr>
          <w:p w:rsidR="00040BE4" w:rsidRPr="005E44AA" w:rsidP="00620E25" w14:paraId="2AC94F73" w14:textId="77777777">
            <w:pPr>
              <w:tabs>
                <w:tab w:val="left" w:pos="-720"/>
              </w:tabs>
              <w:suppressAutoHyphens/>
              <w:rPr>
                <w:rFonts w:asciiTheme="minorHAnsi" w:hAnsiTheme="minorHAnsi" w:cstheme="minorHAnsi"/>
              </w:rPr>
            </w:pPr>
            <w:r w:rsidRPr="005E44AA">
              <w:rPr>
                <w:rFonts w:asciiTheme="minorHAnsi" w:hAnsiTheme="minorHAnsi" w:cstheme="minorHAnsi"/>
              </w:rPr>
              <w:t>Annual hour burden:</w:t>
            </w:r>
          </w:p>
        </w:tc>
        <w:tc>
          <w:tcPr>
            <w:tcW w:w="504" w:type="dxa"/>
          </w:tcPr>
          <w:p w:rsidR="00040BE4" w:rsidRPr="005E44AA" w:rsidP="00620E25" w14:paraId="07F9B956" w14:textId="77777777">
            <w:pPr>
              <w:tabs>
                <w:tab w:val="left" w:pos="-720"/>
              </w:tabs>
              <w:suppressAutoHyphens/>
              <w:rPr>
                <w:rFonts w:asciiTheme="minorHAnsi" w:hAnsiTheme="minorHAnsi" w:cstheme="minorHAnsi"/>
              </w:rPr>
            </w:pPr>
          </w:p>
        </w:tc>
        <w:tc>
          <w:tcPr>
            <w:tcW w:w="1710" w:type="dxa"/>
            <w:hideMark/>
          </w:tcPr>
          <w:p w:rsidR="00040BE4" w:rsidRPr="005E44AA" w:rsidP="00620E25" w14:paraId="1247C175" w14:textId="77777777">
            <w:pPr>
              <w:tabs>
                <w:tab w:val="left" w:pos="-720"/>
              </w:tabs>
              <w:suppressAutoHyphens/>
              <w:jc w:val="right"/>
              <w:rPr>
                <w:rFonts w:asciiTheme="minorHAnsi" w:hAnsiTheme="minorHAnsi" w:cstheme="minorHAnsi"/>
              </w:rPr>
            </w:pPr>
            <w:r w:rsidRPr="005E44AA">
              <w:rPr>
                <w:rFonts w:asciiTheme="minorHAnsi" w:hAnsiTheme="minorHAnsi" w:cstheme="minorHAnsi"/>
              </w:rPr>
              <w:t>2,786 hours</w:t>
            </w:r>
          </w:p>
        </w:tc>
      </w:tr>
    </w:tbl>
    <w:p w:rsidR="00040BE4" w:rsidP="00040BE4" w14:paraId="4433AD52" w14:textId="77777777">
      <w:pPr>
        <w:tabs>
          <w:tab w:val="left" w:pos="-720"/>
        </w:tabs>
        <w:suppressAutoHyphens/>
        <w:ind w:left="700"/>
        <w:rPr>
          <w:rFonts w:ascii="Times New Roman" w:hAnsi="Times New Roman"/>
        </w:rPr>
      </w:pPr>
    </w:p>
    <w:p w:rsidR="00040BE4" w:rsidP="00040BE4" w14:paraId="0D8D0A6B" w14:textId="628067FC">
      <w:pPr>
        <w:tabs>
          <w:tab w:val="left" w:pos="-720"/>
        </w:tabs>
        <w:suppressAutoHyphens/>
        <w:ind w:left="1080"/>
        <w:rPr>
          <w:rFonts w:asciiTheme="minorHAnsi" w:hAnsiTheme="minorHAnsi" w:cstheme="minorHAnsi"/>
        </w:rPr>
      </w:pPr>
      <w:r w:rsidRPr="005E44AA">
        <w:rPr>
          <w:rFonts w:asciiTheme="minorHAnsi" w:hAnsiTheme="minorHAnsi" w:cstheme="minorHAnsi"/>
        </w:rPr>
        <w:t>There are no annual costs to respondents associated with operating or maintaining systems or purchasing services.</w:t>
      </w:r>
      <w:r w:rsidR="00583BFD">
        <w:rPr>
          <w:rFonts w:asciiTheme="minorHAnsi" w:hAnsiTheme="minorHAnsi" w:cstheme="minorHAnsi"/>
        </w:rPr>
        <w:t xml:space="preserve">  </w:t>
      </w:r>
      <w:r w:rsidRPr="00FA48B5" w:rsidR="00583BFD">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w:t>
      </w:r>
      <w:r w:rsidR="00583BFD">
        <w:rPr>
          <w:rFonts w:asciiTheme="minorHAnsi" w:hAnsiTheme="minorHAnsi" w:cstheme="minorHAnsi"/>
        </w:rPr>
        <w:t xml:space="preserve">For individuals we have used the median hourly wage for all occupations, $22 per hour according to BLS. </w:t>
      </w:r>
      <w:hyperlink r:id="rId10" w:anchor="00-0000" w:history="1">
        <w:r w:rsidR="00583BFD">
          <w:rPr>
            <w:rStyle w:val="Hyperlink"/>
            <w:rFonts w:asciiTheme="minorHAnsi" w:hAnsiTheme="minorHAnsi" w:cstheme="minorHAnsi"/>
          </w:rPr>
          <w:t>https://www.bls.gov/oes/current/oes_nat.htm#00-0000</w:t>
        </w:r>
      </w:hyperlink>
      <w:r w:rsidR="00583BFD">
        <w:rPr>
          <w:rFonts w:asciiTheme="minorHAnsi" w:hAnsiTheme="minorHAnsi" w:cstheme="minorHAnsi"/>
        </w:rPr>
        <w:t> .</w:t>
      </w:r>
    </w:p>
    <w:p w:rsidR="00040BE4" w:rsidRPr="005E44AA" w:rsidP="00040BE4" w14:paraId="2E05FA2C" w14:textId="77777777">
      <w:pPr>
        <w:tabs>
          <w:tab w:val="left" w:pos="-720"/>
        </w:tabs>
        <w:suppressAutoHyphens/>
        <w:ind w:left="1080"/>
        <w:rPr>
          <w:rFonts w:asciiTheme="minorHAnsi" w:hAnsiTheme="minorHAnsi" w:cstheme="minorHAnsi"/>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30194A75" w14:textId="77777777" w:rsidTr="009C37AF">
        <w:tblPrEx>
          <w:tblW w:w="881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9C37AF">
        <w:tblPrEx>
          <w:tblW w:w="8815" w:type="dxa"/>
          <w:tblLayout w:type="fixed"/>
          <w:tblLook w:val="0020"/>
        </w:tblPrEx>
        <w:tc>
          <w:tcPr>
            <w:tcW w:w="1345"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583BFD" w:rsidP="00583BFD" w14:paraId="55A5A72E" w14:textId="3B1A3801">
            <w:pPr>
              <w:jc w:val="right"/>
              <w:rPr>
                <w:rFonts w:asciiTheme="minorHAnsi" w:hAnsiTheme="minorHAnsi" w:cstheme="minorHAnsi"/>
                <w:szCs w:val="24"/>
              </w:rPr>
            </w:pPr>
            <w:r w:rsidRPr="00583BFD">
              <w:rPr>
                <w:rFonts w:asciiTheme="minorHAnsi" w:hAnsiTheme="minorHAnsi" w:cstheme="minorHAnsi"/>
                <w:szCs w:val="24"/>
              </w:rPr>
              <w:t>2,786</w:t>
            </w:r>
          </w:p>
        </w:tc>
        <w:tc>
          <w:tcPr>
            <w:tcW w:w="1080" w:type="dxa"/>
          </w:tcPr>
          <w:p w:rsidR="009C37AF" w:rsidRPr="00583BFD" w:rsidP="00583BFD" w14:paraId="4F0B7217" w14:textId="77E34ED5">
            <w:pPr>
              <w:jc w:val="right"/>
              <w:rPr>
                <w:rFonts w:asciiTheme="minorHAnsi" w:hAnsiTheme="minorHAnsi" w:cstheme="minorHAnsi"/>
                <w:szCs w:val="24"/>
              </w:rPr>
            </w:pPr>
            <w:r w:rsidRPr="00583BFD">
              <w:rPr>
                <w:rFonts w:asciiTheme="minorHAnsi" w:hAnsiTheme="minorHAnsi" w:cstheme="minorHAnsi"/>
                <w:szCs w:val="24"/>
              </w:rPr>
              <w:t>2,786</w:t>
            </w:r>
          </w:p>
        </w:tc>
        <w:tc>
          <w:tcPr>
            <w:tcW w:w="1335" w:type="dxa"/>
          </w:tcPr>
          <w:p w:rsidR="009C37AF" w:rsidRPr="00583BFD" w:rsidP="00583BFD" w14:paraId="0524C928" w14:textId="54AA3A9E">
            <w:pPr>
              <w:jc w:val="right"/>
              <w:rPr>
                <w:rFonts w:asciiTheme="minorHAnsi" w:hAnsiTheme="minorHAnsi" w:cstheme="minorHAnsi"/>
                <w:szCs w:val="24"/>
              </w:rPr>
            </w:pPr>
            <w:r w:rsidRPr="00583BFD">
              <w:rPr>
                <w:rFonts w:asciiTheme="minorHAnsi" w:hAnsiTheme="minorHAnsi" w:cstheme="minorHAnsi"/>
                <w:szCs w:val="24"/>
              </w:rPr>
              <w:t>1</w:t>
            </w:r>
          </w:p>
        </w:tc>
        <w:tc>
          <w:tcPr>
            <w:tcW w:w="900" w:type="dxa"/>
          </w:tcPr>
          <w:p w:rsidR="009C37AF" w:rsidRPr="00583BFD" w:rsidP="00583BFD" w14:paraId="6F45AD1D" w14:textId="665444BA">
            <w:pPr>
              <w:jc w:val="right"/>
              <w:rPr>
                <w:rFonts w:asciiTheme="minorHAnsi" w:hAnsiTheme="minorHAnsi" w:cstheme="minorHAnsi"/>
                <w:szCs w:val="24"/>
              </w:rPr>
            </w:pPr>
            <w:r w:rsidRPr="00583BFD">
              <w:rPr>
                <w:rFonts w:asciiTheme="minorHAnsi" w:hAnsiTheme="minorHAnsi" w:cstheme="minorHAnsi"/>
                <w:szCs w:val="24"/>
              </w:rPr>
              <w:t>2,786</w:t>
            </w:r>
          </w:p>
        </w:tc>
        <w:tc>
          <w:tcPr>
            <w:tcW w:w="1530" w:type="dxa"/>
          </w:tcPr>
          <w:p w:rsidR="009C37AF" w:rsidRPr="00583BFD" w:rsidP="00583BFD" w14:paraId="5F0F2A78" w14:textId="65605142">
            <w:pPr>
              <w:jc w:val="right"/>
              <w:rPr>
                <w:rFonts w:asciiTheme="minorHAnsi" w:hAnsiTheme="minorHAnsi" w:cstheme="minorHAnsi"/>
                <w:szCs w:val="24"/>
              </w:rPr>
            </w:pPr>
            <w:r w:rsidRPr="00583BFD">
              <w:rPr>
                <w:rFonts w:asciiTheme="minorHAnsi" w:hAnsiTheme="minorHAnsi" w:cstheme="minorHAnsi"/>
                <w:szCs w:val="24"/>
              </w:rPr>
              <w:t>$22.00</w:t>
            </w:r>
          </w:p>
        </w:tc>
        <w:tc>
          <w:tcPr>
            <w:tcW w:w="1350" w:type="dxa"/>
          </w:tcPr>
          <w:p w:rsidR="009C37AF" w:rsidRPr="00583BFD" w:rsidP="00583BFD" w14:paraId="63DD1E06" w14:textId="7FDEB24B">
            <w:pPr>
              <w:jc w:val="right"/>
              <w:rPr>
                <w:rFonts w:asciiTheme="minorHAnsi" w:hAnsiTheme="minorHAnsi" w:cstheme="minorHAnsi"/>
                <w:szCs w:val="24"/>
              </w:rPr>
            </w:pPr>
            <w:r>
              <w:rPr>
                <w:rFonts w:asciiTheme="minorHAnsi" w:hAnsiTheme="minorHAnsi" w:cstheme="minorHAnsi"/>
                <w:szCs w:val="24"/>
              </w:rPr>
              <w:t>$61,292.00</w:t>
            </w:r>
          </w:p>
        </w:tc>
      </w:tr>
      <w:tr w14:paraId="0E729D89" w14:textId="77777777" w:rsidTr="009C37AF">
        <w:tblPrEx>
          <w:tblW w:w="8815" w:type="dxa"/>
          <w:tblLayout w:type="fixed"/>
          <w:tblLook w:val="0020"/>
        </w:tblPrEx>
        <w:tc>
          <w:tcPr>
            <w:tcW w:w="1345" w:type="dxa"/>
          </w:tcPr>
          <w:p w:rsidR="00583BFD" w:rsidRPr="009C37AF" w:rsidP="00583BFD"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583BFD" w:rsidRPr="00583BFD" w:rsidP="00583BFD" w14:paraId="2DD92A89" w14:textId="74D2C980">
            <w:pPr>
              <w:jc w:val="right"/>
              <w:rPr>
                <w:rFonts w:asciiTheme="minorHAnsi" w:hAnsiTheme="minorHAnsi" w:cstheme="minorHAnsi"/>
                <w:szCs w:val="24"/>
              </w:rPr>
            </w:pPr>
            <w:r w:rsidRPr="00583BFD">
              <w:rPr>
                <w:rFonts w:asciiTheme="minorHAnsi" w:hAnsiTheme="minorHAnsi" w:cstheme="minorHAnsi"/>
                <w:szCs w:val="24"/>
              </w:rPr>
              <w:t>N/A</w:t>
            </w:r>
          </w:p>
        </w:tc>
        <w:tc>
          <w:tcPr>
            <w:tcW w:w="1080" w:type="dxa"/>
          </w:tcPr>
          <w:p w:rsidR="00583BFD" w:rsidRPr="00583BFD" w:rsidP="00583BFD" w14:paraId="7F418FD3" w14:textId="65AE3C60">
            <w:pPr>
              <w:jc w:val="right"/>
              <w:rPr>
                <w:rFonts w:asciiTheme="minorHAnsi" w:hAnsiTheme="minorHAnsi" w:cstheme="minorHAnsi"/>
                <w:szCs w:val="24"/>
              </w:rPr>
            </w:pPr>
            <w:r w:rsidRPr="00583BFD">
              <w:rPr>
                <w:rFonts w:asciiTheme="minorHAnsi" w:hAnsiTheme="minorHAnsi" w:cstheme="minorHAnsi"/>
                <w:szCs w:val="24"/>
              </w:rPr>
              <w:t>N/A</w:t>
            </w:r>
          </w:p>
        </w:tc>
        <w:tc>
          <w:tcPr>
            <w:tcW w:w="1335" w:type="dxa"/>
          </w:tcPr>
          <w:p w:rsidR="00583BFD" w:rsidRPr="00583BFD" w:rsidP="00583BFD" w14:paraId="11378B7D" w14:textId="684F0CC2">
            <w:pPr>
              <w:jc w:val="right"/>
              <w:rPr>
                <w:rFonts w:asciiTheme="minorHAnsi" w:hAnsiTheme="minorHAnsi" w:cstheme="minorHAnsi"/>
                <w:szCs w:val="24"/>
              </w:rPr>
            </w:pPr>
            <w:r w:rsidRPr="00583BFD">
              <w:rPr>
                <w:rFonts w:asciiTheme="minorHAnsi" w:hAnsiTheme="minorHAnsi" w:cstheme="minorHAnsi"/>
                <w:szCs w:val="24"/>
              </w:rPr>
              <w:t>N/A</w:t>
            </w:r>
          </w:p>
        </w:tc>
        <w:tc>
          <w:tcPr>
            <w:tcW w:w="900" w:type="dxa"/>
          </w:tcPr>
          <w:p w:rsidR="00583BFD" w:rsidRPr="00583BFD" w:rsidP="00583BFD" w14:paraId="1AEEFB60" w14:textId="3BA95F2B">
            <w:pPr>
              <w:pStyle w:val="EndnoteText"/>
              <w:tabs>
                <w:tab w:val="clear" w:pos="-720"/>
              </w:tabs>
              <w:suppressAutoHyphens w:val="0"/>
              <w:jc w:val="right"/>
              <w:rPr>
                <w:rFonts w:asciiTheme="minorHAnsi" w:hAnsiTheme="minorHAnsi" w:cstheme="minorHAnsi"/>
                <w:szCs w:val="24"/>
              </w:rPr>
            </w:pPr>
            <w:r w:rsidRPr="00583BFD">
              <w:rPr>
                <w:rFonts w:asciiTheme="minorHAnsi" w:hAnsiTheme="minorHAnsi" w:cstheme="minorHAnsi"/>
                <w:szCs w:val="24"/>
              </w:rPr>
              <w:t>N/A</w:t>
            </w:r>
          </w:p>
        </w:tc>
        <w:tc>
          <w:tcPr>
            <w:tcW w:w="1530" w:type="dxa"/>
          </w:tcPr>
          <w:p w:rsidR="00583BFD" w:rsidRPr="00583BFD" w:rsidP="00583BFD" w14:paraId="5D2E57DB" w14:textId="6BB4D5A7">
            <w:pPr>
              <w:jc w:val="right"/>
              <w:rPr>
                <w:rFonts w:asciiTheme="minorHAnsi" w:hAnsiTheme="minorHAnsi" w:cstheme="minorHAnsi"/>
                <w:szCs w:val="24"/>
              </w:rPr>
            </w:pPr>
            <w:r w:rsidRPr="00583BFD">
              <w:rPr>
                <w:rFonts w:asciiTheme="minorHAnsi" w:hAnsiTheme="minorHAnsi" w:cstheme="minorHAnsi"/>
                <w:szCs w:val="24"/>
              </w:rPr>
              <w:t>N/A</w:t>
            </w:r>
          </w:p>
        </w:tc>
        <w:tc>
          <w:tcPr>
            <w:tcW w:w="1350" w:type="dxa"/>
          </w:tcPr>
          <w:p w:rsidR="00583BFD" w:rsidRPr="00583BFD" w:rsidP="00583BFD" w14:paraId="55ED5F6C" w14:textId="13754A20">
            <w:pPr>
              <w:jc w:val="right"/>
              <w:rPr>
                <w:rFonts w:asciiTheme="minorHAnsi" w:hAnsiTheme="minorHAnsi" w:cstheme="minorHAnsi"/>
                <w:szCs w:val="24"/>
              </w:rPr>
            </w:pPr>
            <w:r w:rsidRPr="00583BFD">
              <w:rPr>
                <w:rFonts w:asciiTheme="minorHAnsi" w:hAnsiTheme="minorHAnsi" w:cstheme="minorHAnsi"/>
                <w:szCs w:val="24"/>
              </w:rPr>
              <w:t>N/A</w:t>
            </w:r>
          </w:p>
        </w:tc>
      </w:tr>
      <w:tr w14:paraId="3613CD1F" w14:textId="77777777" w:rsidTr="009C37AF">
        <w:tblPrEx>
          <w:tblW w:w="8815" w:type="dxa"/>
          <w:tblLayout w:type="fixed"/>
          <w:tblLook w:val="0020"/>
        </w:tblPrEx>
        <w:tc>
          <w:tcPr>
            <w:tcW w:w="1345" w:type="dxa"/>
          </w:tcPr>
          <w:p w:rsidR="00583BFD" w:rsidRPr="009C37AF" w:rsidP="00583BFD"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583BFD" w:rsidRPr="00583BFD" w:rsidP="00583BFD" w14:paraId="5E785442" w14:textId="60386E61">
            <w:pPr>
              <w:jc w:val="right"/>
              <w:rPr>
                <w:rFonts w:asciiTheme="minorHAnsi" w:hAnsiTheme="minorHAnsi" w:cstheme="minorHAnsi"/>
                <w:szCs w:val="24"/>
              </w:rPr>
            </w:pPr>
            <w:r w:rsidRPr="00583BFD">
              <w:rPr>
                <w:rFonts w:asciiTheme="minorHAnsi" w:hAnsiTheme="minorHAnsi" w:cstheme="minorHAnsi"/>
                <w:szCs w:val="24"/>
              </w:rPr>
              <w:t>N/A</w:t>
            </w:r>
          </w:p>
        </w:tc>
        <w:tc>
          <w:tcPr>
            <w:tcW w:w="1080" w:type="dxa"/>
          </w:tcPr>
          <w:p w:rsidR="00583BFD" w:rsidRPr="00583BFD" w:rsidP="00583BFD" w14:paraId="49455BBE" w14:textId="6FEF5B9F">
            <w:pPr>
              <w:jc w:val="right"/>
              <w:rPr>
                <w:rFonts w:asciiTheme="minorHAnsi" w:hAnsiTheme="minorHAnsi" w:cstheme="minorHAnsi"/>
                <w:szCs w:val="24"/>
              </w:rPr>
            </w:pPr>
            <w:r w:rsidRPr="00583BFD">
              <w:rPr>
                <w:rFonts w:asciiTheme="minorHAnsi" w:hAnsiTheme="minorHAnsi" w:cstheme="minorHAnsi"/>
                <w:szCs w:val="24"/>
              </w:rPr>
              <w:t>N/A</w:t>
            </w:r>
          </w:p>
        </w:tc>
        <w:tc>
          <w:tcPr>
            <w:tcW w:w="1335" w:type="dxa"/>
          </w:tcPr>
          <w:p w:rsidR="00583BFD" w:rsidRPr="00583BFD" w:rsidP="00583BFD" w14:paraId="04DD53DB" w14:textId="4C9AE18A">
            <w:pPr>
              <w:jc w:val="right"/>
              <w:rPr>
                <w:rFonts w:asciiTheme="minorHAnsi" w:hAnsiTheme="minorHAnsi" w:cstheme="minorHAnsi"/>
                <w:szCs w:val="24"/>
              </w:rPr>
            </w:pPr>
            <w:r w:rsidRPr="00583BFD">
              <w:rPr>
                <w:rFonts w:asciiTheme="minorHAnsi" w:hAnsiTheme="minorHAnsi" w:cstheme="minorHAnsi"/>
                <w:szCs w:val="24"/>
              </w:rPr>
              <w:t>N/A</w:t>
            </w:r>
          </w:p>
        </w:tc>
        <w:tc>
          <w:tcPr>
            <w:tcW w:w="900" w:type="dxa"/>
          </w:tcPr>
          <w:p w:rsidR="00583BFD" w:rsidRPr="00583BFD" w:rsidP="00583BFD" w14:paraId="39E6A524" w14:textId="6CCB51DB">
            <w:pPr>
              <w:pStyle w:val="EndnoteText"/>
              <w:tabs>
                <w:tab w:val="clear" w:pos="-720"/>
              </w:tabs>
              <w:suppressAutoHyphens w:val="0"/>
              <w:jc w:val="right"/>
              <w:rPr>
                <w:rFonts w:asciiTheme="minorHAnsi" w:hAnsiTheme="minorHAnsi" w:cstheme="minorHAnsi"/>
                <w:szCs w:val="24"/>
              </w:rPr>
            </w:pPr>
            <w:r w:rsidRPr="00583BFD">
              <w:rPr>
                <w:rFonts w:asciiTheme="minorHAnsi" w:hAnsiTheme="minorHAnsi" w:cstheme="minorHAnsi"/>
                <w:szCs w:val="24"/>
              </w:rPr>
              <w:t>N/A</w:t>
            </w:r>
          </w:p>
        </w:tc>
        <w:tc>
          <w:tcPr>
            <w:tcW w:w="1530" w:type="dxa"/>
          </w:tcPr>
          <w:p w:rsidR="00583BFD" w:rsidRPr="00583BFD" w:rsidP="00583BFD" w14:paraId="605A32D6" w14:textId="4F103FE2">
            <w:pPr>
              <w:jc w:val="right"/>
              <w:rPr>
                <w:rFonts w:asciiTheme="minorHAnsi" w:hAnsiTheme="minorHAnsi" w:cstheme="minorHAnsi"/>
                <w:szCs w:val="24"/>
              </w:rPr>
            </w:pPr>
            <w:r w:rsidRPr="00583BFD">
              <w:rPr>
                <w:rFonts w:asciiTheme="minorHAnsi" w:hAnsiTheme="minorHAnsi" w:cstheme="minorHAnsi"/>
                <w:szCs w:val="24"/>
              </w:rPr>
              <w:t>N/A</w:t>
            </w:r>
          </w:p>
        </w:tc>
        <w:tc>
          <w:tcPr>
            <w:tcW w:w="1350" w:type="dxa"/>
          </w:tcPr>
          <w:p w:rsidR="00583BFD" w:rsidRPr="00583BFD" w:rsidP="00583BFD" w14:paraId="7F5D36FF" w14:textId="3D6FAEB9">
            <w:pPr>
              <w:jc w:val="right"/>
              <w:rPr>
                <w:rFonts w:asciiTheme="minorHAnsi" w:hAnsiTheme="minorHAnsi" w:cstheme="minorHAnsi"/>
                <w:szCs w:val="24"/>
              </w:rPr>
            </w:pPr>
            <w:r w:rsidRPr="00583BFD">
              <w:rPr>
                <w:rFonts w:asciiTheme="minorHAnsi" w:hAnsiTheme="minorHAnsi" w:cstheme="minorHAnsi"/>
                <w:szCs w:val="24"/>
              </w:rPr>
              <w:t>N/A</w:t>
            </w:r>
          </w:p>
        </w:tc>
      </w:tr>
      <w:tr w14:paraId="17134648" w14:textId="77777777" w:rsidTr="009C37AF">
        <w:tblPrEx>
          <w:tblW w:w="8815" w:type="dxa"/>
          <w:tblLayout w:type="fixed"/>
          <w:tblLook w:val="0020"/>
        </w:tblPrEx>
        <w:tc>
          <w:tcPr>
            <w:tcW w:w="1345" w:type="dxa"/>
          </w:tcPr>
          <w:p w:rsidR="00583BFD" w:rsidRPr="009C37AF" w:rsidP="00583BFD"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583BFD" w:rsidRPr="00583BFD" w:rsidP="00583BFD" w14:paraId="44D0EC38" w14:textId="64616DF2">
            <w:pPr>
              <w:jc w:val="right"/>
              <w:rPr>
                <w:rFonts w:asciiTheme="minorHAnsi" w:hAnsiTheme="minorHAnsi" w:cstheme="minorHAnsi"/>
                <w:szCs w:val="24"/>
              </w:rPr>
            </w:pPr>
            <w:r w:rsidRPr="00583BFD">
              <w:rPr>
                <w:rFonts w:asciiTheme="minorHAnsi" w:hAnsiTheme="minorHAnsi" w:cstheme="minorHAnsi"/>
                <w:szCs w:val="24"/>
              </w:rPr>
              <w:t>N/A</w:t>
            </w:r>
          </w:p>
        </w:tc>
        <w:tc>
          <w:tcPr>
            <w:tcW w:w="1080" w:type="dxa"/>
          </w:tcPr>
          <w:p w:rsidR="00583BFD" w:rsidRPr="00583BFD" w:rsidP="00583BFD" w14:paraId="1E02F8B0" w14:textId="08C3BFC0">
            <w:pPr>
              <w:jc w:val="right"/>
              <w:rPr>
                <w:rFonts w:asciiTheme="minorHAnsi" w:hAnsiTheme="minorHAnsi" w:cstheme="minorHAnsi"/>
                <w:szCs w:val="24"/>
              </w:rPr>
            </w:pPr>
            <w:r w:rsidRPr="00583BFD">
              <w:rPr>
                <w:rFonts w:asciiTheme="minorHAnsi" w:hAnsiTheme="minorHAnsi" w:cstheme="minorHAnsi"/>
                <w:szCs w:val="24"/>
              </w:rPr>
              <w:t>N/A</w:t>
            </w:r>
          </w:p>
        </w:tc>
        <w:tc>
          <w:tcPr>
            <w:tcW w:w="1335" w:type="dxa"/>
          </w:tcPr>
          <w:p w:rsidR="00583BFD" w:rsidRPr="00583BFD" w:rsidP="00583BFD" w14:paraId="730B3154" w14:textId="589FCC44">
            <w:pPr>
              <w:jc w:val="right"/>
              <w:rPr>
                <w:rFonts w:asciiTheme="minorHAnsi" w:hAnsiTheme="minorHAnsi" w:cstheme="minorHAnsi"/>
                <w:szCs w:val="24"/>
              </w:rPr>
            </w:pPr>
            <w:r w:rsidRPr="00583BFD">
              <w:rPr>
                <w:rFonts w:asciiTheme="minorHAnsi" w:hAnsiTheme="minorHAnsi" w:cstheme="minorHAnsi"/>
                <w:szCs w:val="24"/>
              </w:rPr>
              <w:t>N/A</w:t>
            </w:r>
          </w:p>
        </w:tc>
        <w:tc>
          <w:tcPr>
            <w:tcW w:w="900" w:type="dxa"/>
          </w:tcPr>
          <w:p w:rsidR="00583BFD" w:rsidRPr="00583BFD" w:rsidP="00583BFD" w14:paraId="0F7068F7" w14:textId="056C2A4B">
            <w:pPr>
              <w:jc w:val="right"/>
              <w:rPr>
                <w:rFonts w:asciiTheme="minorHAnsi" w:hAnsiTheme="minorHAnsi" w:cstheme="minorHAnsi"/>
                <w:szCs w:val="24"/>
              </w:rPr>
            </w:pPr>
            <w:r w:rsidRPr="00583BFD">
              <w:rPr>
                <w:rFonts w:asciiTheme="minorHAnsi" w:hAnsiTheme="minorHAnsi" w:cstheme="minorHAnsi"/>
                <w:szCs w:val="24"/>
              </w:rPr>
              <w:t>N/A</w:t>
            </w:r>
          </w:p>
        </w:tc>
        <w:tc>
          <w:tcPr>
            <w:tcW w:w="1530" w:type="dxa"/>
          </w:tcPr>
          <w:p w:rsidR="00583BFD" w:rsidRPr="00583BFD" w:rsidP="00583BFD" w14:paraId="66779289" w14:textId="219F2DB4">
            <w:pPr>
              <w:jc w:val="right"/>
              <w:rPr>
                <w:rFonts w:asciiTheme="minorHAnsi" w:hAnsiTheme="minorHAnsi" w:cstheme="minorHAnsi"/>
                <w:szCs w:val="24"/>
              </w:rPr>
            </w:pPr>
            <w:r w:rsidRPr="00583BFD">
              <w:rPr>
                <w:rFonts w:asciiTheme="minorHAnsi" w:hAnsiTheme="minorHAnsi" w:cstheme="minorHAnsi"/>
                <w:szCs w:val="24"/>
              </w:rPr>
              <w:t>N/A</w:t>
            </w:r>
          </w:p>
        </w:tc>
        <w:tc>
          <w:tcPr>
            <w:tcW w:w="1350" w:type="dxa"/>
          </w:tcPr>
          <w:p w:rsidR="00583BFD" w:rsidRPr="00583BFD" w:rsidP="00583BFD" w14:paraId="143D8490" w14:textId="72A91D8A">
            <w:pPr>
              <w:jc w:val="right"/>
              <w:rPr>
                <w:rFonts w:asciiTheme="minorHAnsi" w:hAnsiTheme="minorHAnsi" w:cstheme="minorHAnsi"/>
                <w:szCs w:val="24"/>
              </w:rPr>
            </w:pPr>
            <w:r w:rsidRPr="00583BFD">
              <w:rPr>
                <w:rFonts w:asciiTheme="minorHAnsi" w:hAnsiTheme="minorHAnsi" w:cstheme="minorHAnsi"/>
                <w:szCs w:val="24"/>
              </w:rPr>
              <w:t>N/A</w:t>
            </w:r>
          </w:p>
        </w:tc>
      </w:tr>
      <w:tr w14:paraId="3DEE77D3" w14:textId="77777777" w:rsidTr="009C37AF">
        <w:tblPrEx>
          <w:tblW w:w="8815" w:type="dxa"/>
          <w:tblLayout w:type="fixed"/>
          <w:tblLook w:val="0020"/>
        </w:tblPrEx>
        <w:tc>
          <w:tcPr>
            <w:tcW w:w="1345" w:type="dxa"/>
          </w:tcPr>
          <w:p w:rsidR="00583BFD" w:rsidRPr="00442E07" w:rsidP="00583BFD"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583BFD" w:rsidRPr="00583BFD" w:rsidP="00583BFD" w14:paraId="224C2C47" w14:textId="081811D2">
            <w:pPr>
              <w:jc w:val="right"/>
              <w:rPr>
                <w:rFonts w:asciiTheme="minorHAnsi" w:hAnsiTheme="minorHAnsi" w:cstheme="minorHAnsi"/>
                <w:b/>
                <w:bCs/>
                <w:szCs w:val="24"/>
              </w:rPr>
            </w:pPr>
            <w:r w:rsidRPr="00583BFD">
              <w:rPr>
                <w:rFonts w:asciiTheme="minorHAnsi" w:hAnsiTheme="minorHAnsi" w:cstheme="minorHAnsi"/>
                <w:b/>
                <w:bCs/>
                <w:szCs w:val="24"/>
              </w:rPr>
              <w:t>2,786</w:t>
            </w:r>
          </w:p>
        </w:tc>
        <w:tc>
          <w:tcPr>
            <w:tcW w:w="1080" w:type="dxa"/>
          </w:tcPr>
          <w:p w:rsidR="00583BFD" w:rsidRPr="00583BFD" w:rsidP="00583BFD" w14:paraId="5F4B54EA" w14:textId="557A9ADA">
            <w:pPr>
              <w:jc w:val="right"/>
              <w:rPr>
                <w:rFonts w:asciiTheme="minorHAnsi" w:hAnsiTheme="minorHAnsi" w:cstheme="minorHAnsi"/>
                <w:b/>
                <w:bCs/>
                <w:szCs w:val="24"/>
              </w:rPr>
            </w:pPr>
            <w:r w:rsidRPr="00583BFD">
              <w:rPr>
                <w:rFonts w:asciiTheme="minorHAnsi" w:hAnsiTheme="minorHAnsi" w:cstheme="minorHAnsi"/>
                <w:b/>
                <w:bCs/>
                <w:szCs w:val="24"/>
              </w:rPr>
              <w:t>2,786</w:t>
            </w:r>
          </w:p>
        </w:tc>
        <w:tc>
          <w:tcPr>
            <w:tcW w:w="1335" w:type="dxa"/>
          </w:tcPr>
          <w:p w:rsidR="00583BFD" w:rsidRPr="00583BFD" w:rsidP="00583BFD" w14:paraId="68058CE4" w14:textId="6E08BA78">
            <w:pPr>
              <w:jc w:val="right"/>
              <w:rPr>
                <w:rFonts w:asciiTheme="minorHAnsi" w:hAnsiTheme="minorHAnsi" w:cstheme="minorHAnsi"/>
                <w:b/>
                <w:bCs/>
                <w:szCs w:val="24"/>
              </w:rPr>
            </w:pPr>
          </w:p>
        </w:tc>
        <w:tc>
          <w:tcPr>
            <w:tcW w:w="900" w:type="dxa"/>
          </w:tcPr>
          <w:p w:rsidR="00583BFD" w:rsidRPr="00583BFD" w:rsidP="00583BFD" w14:paraId="37FAF8A5" w14:textId="6EEEB26C">
            <w:pPr>
              <w:jc w:val="right"/>
              <w:rPr>
                <w:rFonts w:asciiTheme="minorHAnsi" w:hAnsiTheme="minorHAnsi" w:cstheme="minorHAnsi"/>
                <w:b/>
                <w:bCs/>
                <w:szCs w:val="24"/>
              </w:rPr>
            </w:pPr>
            <w:r w:rsidRPr="00583BFD">
              <w:rPr>
                <w:rFonts w:asciiTheme="minorHAnsi" w:hAnsiTheme="minorHAnsi" w:cstheme="minorHAnsi"/>
                <w:b/>
                <w:bCs/>
                <w:szCs w:val="24"/>
              </w:rPr>
              <w:t>2,786</w:t>
            </w:r>
          </w:p>
        </w:tc>
        <w:tc>
          <w:tcPr>
            <w:tcW w:w="1530" w:type="dxa"/>
          </w:tcPr>
          <w:p w:rsidR="00583BFD" w:rsidRPr="00583BFD" w:rsidP="00583BFD" w14:paraId="3221A869" w14:textId="5FE68614">
            <w:pPr>
              <w:jc w:val="right"/>
              <w:rPr>
                <w:rFonts w:asciiTheme="minorHAnsi" w:hAnsiTheme="minorHAnsi" w:cstheme="minorHAnsi"/>
                <w:b/>
                <w:bCs/>
                <w:szCs w:val="24"/>
              </w:rPr>
            </w:pPr>
          </w:p>
        </w:tc>
        <w:tc>
          <w:tcPr>
            <w:tcW w:w="1350" w:type="dxa"/>
          </w:tcPr>
          <w:p w:rsidR="00583BFD" w:rsidRPr="00583BFD" w:rsidP="00583BFD" w14:paraId="50468F26" w14:textId="090BED0C">
            <w:pPr>
              <w:jc w:val="right"/>
              <w:rPr>
                <w:rFonts w:asciiTheme="minorHAnsi" w:hAnsiTheme="minorHAnsi" w:cstheme="minorHAnsi"/>
                <w:b/>
                <w:bCs/>
                <w:szCs w:val="24"/>
              </w:rPr>
            </w:pPr>
            <w:r w:rsidRPr="00583BFD">
              <w:rPr>
                <w:rFonts w:asciiTheme="minorHAnsi" w:hAnsiTheme="minorHAnsi" w:cstheme="minorHAnsi"/>
                <w:b/>
                <w:bCs/>
                <w:szCs w:val="24"/>
              </w:rPr>
              <w:t>$61,292.00</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040BE4" w:rsidRPr="005E44AA" w:rsidP="00040BE4" w14:paraId="6218776F" w14:textId="77777777">
      <w:pPr>
        <w:tabs>
          <w:tab w:val="left" w:pos="-720"/>
        </w:tabs>
        <w:suppressAutoHyphens/>
        <w:ind w:left="1080"/>
        <w:rPr>
          <w:rFonts w:asciiTheme="minorHAnsi" w:hAnsiTheme="minorHAnsi" w:cstheme="minorHAnsi"/>
        </w:rPr>
      </w:pPr>
      <w:r w:rsidRPr="005E44AA">
        <w:rPr>
          <w:rFonts w:asciiTheme="minorHAnsi" w:hAnsiTheme="minorHAnsi" w:cstheme="minorHAnsi"/>
        </w:rPr>
        <w:t>There are no capital/startup costs to respondents.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040BE4" w:rsidRPr="005E44AA" w:rsidP="00040BE4" w14:paraId="29519807" w14:textId="77777777">
      <w:pPr>
        <w:ind w:left="720"/>
        <w:rPr>
          <w:rFonts w:asciiTheme="minorHAnsi" w:hAnsiTheme="minorHAnsi" w:cstheme="minorHAnsi"/>
        </w:rPr>
      </w:pPr>
      <w:r w:rsidRPr="005E44AA">
        <w:rPr>
          <w:rFonts w:asciiTheme="minorHAnsi" w:hAnsiTheme="minorHAnsi" w:cstheme="minorHAnsi"/>
        </w:rPr>
        <w:t>There is no significant cost to the federal government related to these forms for its loan portfolio and the Department does not specifically pay its contractors for these services.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040BE4" w:rsidRPr="005E44AA" w:rsidP="00040BE4" w14:paraId="3048059C" w14:textId="77777777">
      <w:pPr>
        <w:tabs>
          <w:tab w:val="left" w:pos="-720"/>
        </w:tabs>
        <w:suppressAutoHyphens/>
        <w:ind w:left="720"/>
        <w:rPr>
          <w:rFonts w:asciiTheme="minorHAnsi" w:hAnsiTheme="minorHAnsi" w:cstheme="minorHAnsi"/>
        </w:rPr>
      </w:pPr>
      <w:r w:rsidRPr="005E44AA">
        <w:rPr>
          <w:rFonts w:asciiTheme="minorHAnsi" w:hAnsiTheme="minorHAnsi" w:cstheme="minorHAnsi"/>
          <w:szCs w:val="24"/>
        </w:rPr>
        <w:t xml:space="preserve">This is a request for an extension of this information collection.  The anticipated  burden for the use of this form remains </w:t>
      </w:r>
      <w:r w:rsidRPr="005E44AA">
        <w:rPr>
          <w:rFonts w:asciiTheme="minorHAnsi" w:hAnsiTheme="minorHAnsi" w:cstheme="minorHAnsi"/>
        </w:rPr>
        <w:t>2,786</w:t>
      </w:r>
      <w:r w:rsidRPr="005E44AA">
        <w:rPr>
          <w:rFonts w:asciiTheme="minorHAnsi" w:hAnsiTheme="minorHAnsi" w:cstheme="minorHAnsi"/>
          <w:szCs w:val="24"/>
        </w:rPr>
        <w:t xml:space="preserve"> hours (</w:t>
      </w:r>
      <w:r w:rsidRPr="005E44AA">
        <w:rPr>
          <w:rFonts w:asciiTheme="minorHAnsi" w:hAnsiTheme="minorHAnsi" w:cstheme="minorHAnsi"/>
        </w:rPr>
        <w:t>2,786</w:t>
      </w:r>
      <w:r w:rsidRPr="005E44AA">
        <w:rPr>
          <w:rFonts w:asciiTheme="minorHAnsi" w:hAnsiTheme="minorHAnsi" w:cstheme="minorHAnsi"/>
          <w:szCs w:val="24"/>
        </w:rPr>
        <w:t xml:space="preserve"> application filers x 1 hour).</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t>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040BE4" w:rsidRPr="005E44AA" w:rsidP="00040BE4" w14:paraId="4B476329" w14:textId="77777777">
      <w:pPr>
        <w:tabs>
          <w:tab w:val="left" w:pos="-720"/>
        </w:tabs>
        <w:suppressAutoHyphens/>
        <w:ind w:left="720"/>
        <w:rPr>
          <w:rFonts w:asciiTheme="minorHAnsi" w:hAnsiTheme="minorHAnsi" w:cstheme="minorHAnsi"/>
        </w:rPr>
      </w:pPr>
      <w:r w:rsidRPr="005E44AA">
        <w:rPr>
          <w:rFonts w:asciiTheme="minorHAnsi" w:hAnsiTheme="minorHAnsi" w:cstheme="minorHAnsi"/>
        </w:rPr>
        <w:t>The results of 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040BE4" w:rsidRPr="005E44AA" w:rsidP="00040BE4" w14:paraId="3F4FAB2F" w14:textId="5EA904E2">
      <w:pPr>
        <w:tabs>
          <w:tab w:val="left" w:pos="-720"/>
        </w:tabs>
        <w:suppressAutoHyphens/>
        <w:ind w:left="720"/>
        <w:rPr>
          <w:rFonts w:asciiTheme="minorHAnsi" w:hAnsiTheme="minorHAnsi" w:cstheme="minorHAnsi"/>
        </w:rPr>
      </w:pPr>
      <w:r>
        <w:rPr>
          <w:rFonts w:asciiTheme="minorHAnsi" w:hAnsiTheme="minorHAnsi" w:cstheme="minorHAnsi"/>
          <w:szCs w:val="24"/>
        </w:rPr>
        <w:t>T</w:t>
      </w:r>
      <w:r w:rsidRPr="005E44AA">
        <w:rPr>
          <w:rFonts w:asciiTheme="minorHAnsi" w:hAnsiTheme="minorHAnsi" w:cstheme="minorHAnsi"/>
        </w:rPr>
        <w: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040BE4" w:rsidRPr="005E44AA" w:rsidP="00040BE4" w14:paraId="4E9AAAE0" w14:textId="77777777">
      <w:pPr>
        <w:tabs>
          <w:tab w:val="left" w:pos="-720"/>
        </w:tabs>
        <w:suppressAutoHyphens/>
        <w:ind w:left="720"/>
        <w:rPr>
          <w:rFonts w:asciiTheme="minorHAnsi" w:hAnsiTheme="minorHAnsi" w:cstheme="minorHAnsi"/>
        </w:rPr>
      </w:pPr>
      <w:r w:rsidRPr="005E44AA">
        <w:rPr>
          <w:rFonts w:asciiTheme="minorHAnsi" w:hAnsiTheme="minorHAnsi" w:cstheme="minorHAnsi"/>
        </w:rPr>
        <w:t>The Department is not requesting any exceptions to the "Certification for Paperwork Reduction Act Submissions".</w:t>
      </w:r>
    </w:p>
    <w:p w:rsidR="00AA5138" w:rsidRPr="00AA5138" w:rsidP="00040BE4" w14:paraId="1D395179" w14:textId="5FAEC3CE">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01011AF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040BE4">
      <w:rPr>
        <w:rFonts w:ascii="Times New Roman" w:hAnsi="Times New Roman"/>
        <w:szCs w:val="24"/>
      </w:rPr>
      <w:t>1845</w:t>
    </w:r>
    <w:r w:rsidR="007C700A">
      <w:rPr>
        <w:rFonts w:ascii="Times New Roman" w:hAnsi="Times New Roman"/>
        <w:szCs w:val="24"/>
      </w:rPr>
      <w:t>-</w:t>
    </w:r>
    <w:r w:rsidR="00040BE4">
      <w:rPr>
        <w:rFonts w:ascii="Times New Roman" w:hAnsi="Times New Roman"/>
        <w:szCs w:val="24"/>
      </w:rPr>
      <w:t>0148</w:t>
    </w:r>
    <w:r w:rsidR="00E22FD3">
      <w:rPr>
        <w:rFonts w:ascii="Times New Roman" w:hAnsi="Times New Roman"/>
        <w:szCs w:val="24"/>
      </w:rPr>
      <w:tab/>
    </w:r>
    <w:r w:rsidRPr="00C875E8">
      <w:rPr>
        <w:rFonts w:ascii="Times New Roman" w:hAnsi="Times New Roman"/>
        <w:szCs w:val="24"/>
      </w:rPr>
      <w:t xml:space="preserve">Revised: </w:t>
    </w:r>
    <w:r w:rsidR="00970A68">
      <w:rPr>
        <w:rFonts w:ascii="Times New Roman" w:hAnsi="Times New Roman"/>
        <w:szCs w:val="24"/>
      </w:rPr>
      <w:t>8/9</w:t>
    </w:r>
    <w:r w:rsidR="0026335A">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0BE4"/>
    <w:rsid w:val="00043C32"/>
    <w:rsid w:val="000446F5"/>
    <w:rsid w:val="00093017"/>
    <w:rsid w:val="001824F3"/>
    <w:rsid w:val="001A6AE0"/>
    <w:rsid w:val="001C73C0"/>
    <w:rsid w:val="001E79BD"/>
    <w:rsid w:val="002225CC"/>
    <w:rsid w:val="00224A3B"/>
    <w:rsid w:val="00240A39"/>
    <w:rsid w:val="00246FE9"/>
    <w:rsid w:val="00250100"/>
    <w:rsid w:val="00262A69"/>
    <w:rsid w:val="0026335A"/>
    <w:rsid w:val="00270AF7"/>
    <w:rsid w:val="002A3221"/>
    <w:rsid w:val="002C3520"/>
    <w:rsid w:val="002D0780"/>
    <w:rsid w:val="002E14E0"/>
    <w:rsid w:val="002F55E5"/>
    <w:rsid w:val="0032078A"/>
    <w:rsid w:val="0032539E"/>
    <w:rsid w:val="003772A6"/>
    <w:rsid w:val="00386054"/>
    <w:rsid w:val="003860E4"/>
    <w:rsid w:val="003B1545"/>
    <w:rsid w:val="003F34B2"/>
    <w:rsid w:val="00412915"/>
    <w:rsid w:val="00442E07"/>
    <w:rsid w:val="0052073E"/>
    <w:rsid w:val="00534B4A"/>
    <w:rsid w:val="00575DDA"/>
    <w:rsid w:val="00581C11"/>
    <w:rsid w:val="00583BFD"/>
    <w:rsid w:val="005D28E6"/>
    <w:rsid w:val="005E44AA"/>
    <w:rsid w:val="005F4E11"/>
    <w:rsid w:val="00616E9C"/>
    <w:rsid w:val="00620E25"/>
    <w:rsid w:val="0068567A"/>
    <w:rsid w:val="006A292A"/>
    <w:rsid w:val="006A38F7"/>
    <w:rsid w:val="006A4EBB"/>
    <w:rsid w:val="006B4172"/>
    <w:rsid w:val="00713B69"/>
    <w:rsid w:val="00755D99"/>
    <w:rsid w:val="00756FD3"/>
    <w:rsid w:val="00765392"/>
    <w:rsid w:val="00790E3E"/>
    <w:rsid w:val="007A5F49"/>
    <w:rsid w:val="007C0A4C"/>
    <w:rsid w:val="007C700A"/>
    <w:rsid w:val="007F6104"/>
    <w:rsid w:val="00800D30"/>
    <w:rsid w:val="00807D1A"/>
    <w:rsid w:val="00834A62"/>
    <w:rsid w:val="00861EBD"/>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0A68"/>
    <w:rsid w:val="009767AF"/>
    <w:rsid w:val="00981F58"/>
    <w:rsid w:val="00986D0A"/>
    <w:rsid w:val="009C37AF"/>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9430A"/>
    <w:rsid w:val="00B9671B"/>
    <w:rsid w:val="00BA1D31"/>
    <w:rsid w:val="00BB03CE"/>
    <w:rsid w:val="00BC1A67"/>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EF4C67"/>
    <w:rsid w:val="00F0414F"/>
    <w:rsid w:val="00F070F3"/>
    <w:rsid w:val="00F1038D"/>
    <w:rsid w:val="00F27AAF"/>
    <w:rsid w:val="00F31BEC"/>
    <w:rsid w:val="00F5782B"/>
    <w:rsid w:val="00F73131"/>
    <w:rsid w:val="00F74288"/>
    <w:rsid w:val="00FA48B5"/>
    <w:rsid w:val="00FB6309"/>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2023-08-09T14:02:00Z</dcterms:created>
  <dcterms:modified xsi:type="dcterms:W3CDTF">2023-08-09T14:02:00Z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