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04FF" w14:paraId="6AF17A25" w14:textId="77777777">
      <w:pPr>
        <w:jc w:val="center"/>
      </w:pPr>
      <w:r>
        <w:t>182 FERC ¶ 61,094</w:t>
      </w:r>
    </w:p>
    <w:p w:rsidR="004327B8" w:rsidRPr="004F4940" w:rsidP="00077BD8" w14:paraId="50C20698" w14:textId="77777777">
      <w:pPr>
        <w:jc w:val="center"/>
        <w:rPr>
          <w:rFonts w:eastAsia="Times New Roman"/>
        </w:rPr>
      </w:pPr>
      <w:r w:rsidRPr="004F4940">
        <w:rPr>
          <w:rFonts w:eastAsia="Times New Roman"/>
        </w:rPr>
        <w:t>UNITED STATES OF AMERICA</w:t>
      </w:r>
    </w:p>
    <w:p w:rsidR="004327B8" w:rsidRPr="004F4940" w:rsidP="00077BD8" w14:paraId="3E83C7F1" w14:textId="42CD2671">
      <w:pPr>
        <w:jc w:val="center"/>
        <w:rPr>
          <w:rFonts w:eastAsia="Times New Roman"/>
        </w:rPr>
      </w:pPr>
      <w:r w:rsidRPr="004F4940">
        <w:rPr>
          <w:rFonts w:eastAsia="Times New Roman"/>
        </w:rPr>
        <w:t>FEDERAL ENERGY REGULATORY COMMISSION</w:t>
      </w:r>
    </w:p>
    <w:p w:rsidR="004327B8" w:rsidRPr="004F4940" w:rsidP="00077BD8" w14:paraId="609A3068" w14:textId="77777777">
      <w:pPr>
        <w:rPr>
          <w:rFonts w:eastAsia="Times New Roman"/>
        </w:rPr>
      </w:pPr>
    </w:p>
    <w:p w:rsidR="004327B8" w:rsidRPr="00E20E34" w:rsidP="00E20E34" w14:paraId="163FE70B" w14:textId="248DAC5F">
      <w:pPr>
        <w:widowControl/>
        <w:rPr>
          <w:rFonts w:eastAsia="Times New Roman"/>
        </w:rPr>
      </w:pPr>
      <w:r w:rsidRPr="00E20E34">
        <w:rPr>
          <w:rFonts w:eastAsia="Times New Roman"/>
        </w:rPr>
        <w:t xml:space="preserve">Before Commissioners:  Willie L. Phillips, Acting </w:t>
      </w:r>
      <w:r w:rsidRPr="00E20E34">
        <w:rPr>
          <w:rFonts w:eastAsia="Times New Roman"/>
        </w:rPr>
        <w:t>Chairman;</w:t>
      </w:r>
    </w:p>
    <w:p w:rsidR="00E20E34" w:rsidRPr="00E20E34" w:rsidP="00E20E34" w14:paraId="6A1A7161" w14:textId="2CDDE7A6">
      <w:pPr>
        <w:widowControl/>
        <w:rPr>
          <w:rFonts w:eastAsia="Times New Roman"/>
        </w:rPr>
      </w:pPr>
      <w:r w:rsidRPr="00E20E34">
        <w:rPr>
          <w:rFonts w:eastAsia="Times New Roman"/>
        </w:rPr>
        <w:t xml:space="preserve">                                        James P. Danly, Allison Clements,</w:t>
      </w:r>
    </w:p>
    <w:p w:rsidR="00E20E34" w:rsidRPr="004F4940" w:rsidP="00E20E34" w14:paraId="580C8E24" w14:textId="74B5D5D0">
      <w:pPr>
        <w:widowControl/>
        <w:rPr>
          <w:rFonts w:eastAsia="Times New Roman"/>
        </w:rPr>
      </w:pPr>
      <w:r w:rsidRPr="00E20E34">
        <w:rPr>
          <w:rFonts w:eastAsia="Times New Roman"/>
        </w:rPr>
        <w:t xml:space="preserve">                                        and Mark C. Christie.</w:t>
      </w:r>
    </w:p>
    <w:p w:rsidR="004327B8" w:rsidRPr="004F4940" w:rsidP="00077BD8" w14:paraId="2C8F3BA2" w14:textId="77777777">
      <w:pPr>
        <w:rPr>
          <w:rFonts w:eastAsia="Times New Roman"/>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098"/>
        <w:gridCol w:w="1318"/>
        <w:gridCol w:w="1504"/>
        <w:gridCol w:w="1440"/>
      </w:tblGrid>
      <w:tr w14:paraId="3B549EF1" w14:textId="77777777" w:rsidTr="00E20E34">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300"/>
        </w:trPr>
        <w:tc>
          <w:tcPr>
            <w:tcW w:w="5098" w:type="dxa"/>
            <w:shd w:val="clear" w:color="auto" w:fill="auto"/>
          </w:tcPr>
          <w:p w:rsidR="004327B8" w:rsidRPr="004F4940" w:rsidP="00077BD8" w14:paraId="0DEF76E5" w14:textId="77777777">
            <w:pPr>
              <w:autoSpaceDE/>
              <w:autoSpaceDN/>
              <w:adjustRightInd/>
              <w:rPr>
                <w:rFonts w:eastAsiaTheme="minorHAnsi"/>
              </w:rPr>
            </w:pPr>
            <w:r w:rsidRPr="004F4940">
              <w:rPr>
                <w:rFonts w:eastAsiaTheme="minorHAnsi"/>
              </w:rPr>
              <w:t>North American Electric Reliability Corporation</w:t>
            </w:r>
          </w:p>
        </w:tc>
        <w:tc>
          <w:tcPr>
            <w:tcW w:w="1318" w:type="dxa"/>
            <w:shd w:val="clear" w:color="auto" w:fill="auto"/>
          </w:tcPr>
          <w:p w:rsidR="004327B8" w:rsidRPr="004F4940" w:rsidP="00077BD8" w14:paraId="36B0D5C8" w14:textId="29C09A75">
            <w:pPr>
              <w:autoSpaceDE/>
              <w:autoSpaceDN/>
              <w:adjustRightInd/>
              <w:jc w:val="right"/>
              <w:rPr>
                <w:rFonts w:eastAsiaTheme="minorHAnsi"/>
              </w:rPr>
            </w:pPr>
          </w:p>
        </w:tc>
        <w:tc>
          <w:tcPr>
            <w:tcW w:w="1504" w:type="dxa"/>
            <w:shd w:val="clear" w:color="auto" w:fill="auto"/>
          </w:tcPr>
          <w:p w:rsidR="3DD5951A" w:rsidRPr="004F4940" w:rsidP="00DE3D32" w14:paraId="55A81194" w14:textId="7200642D">
            <w:pPr>
              <w:jc w:val="center"/>
              <w:rPr>
                <w:rFonts w:eastAsiaTheme="minorEastAsia"/>
              </w:rPr>
            </w:pPr>
            <w:r>
              <w:rPr>
                <w:rFonts w:eastAsiaTheme="minorHAnsi"/>
              </w:rPr>
              <w:t xml:space="preserve">   </w:t>
            </w:r>
            <w:r w:rsidRPr="004F4940" w:rsidR="008D24FB">
              <w:rPr>
                <w:rFonts w:eastAsiaTheme="minorHAnsi"/>
              </w:rPr>
              <w:t>Docket No.</w:t>
            </w:r>
          </w:p>
        </w:tc>
        <w:tc>
          <w:tcPr>
            <w:tcW w:w="1440" w:type="dxa"/>
            <w:shd w:val="clear" w:color="auto" w:fill="auto"/>
            <w:tcMar>
              <w:left w:w="144" w:type="dxa"/>
            </w:tcMar>
          </w:tcPr>
          <w:p w:rsidR="004327B8" w:rsidRPr="004F4940" w:rsidP="00E20E34" w14:paraId="3906220A" w14:textId="77777777">
            <w:pPr>
              <w:autoSpaceDE/>
              <w:autoSpaceDN/>
              <w:adjustRightInd/>
              <w:ind w:hanging="150"/>
              <w:rPr>
                <w:rFonts w:eastAsiaTheme="minorHAnsi"/>
              </w:rPr>
            </w:pPr>
            <w:r w:rsidRPr="004F4940">
              <w:rPr>
                <w:rFonts w:eastAsiaTheme="minorHAnsi"/>
              </w:rPr>
              <w:t>RD23-1-000</w:t>
            </w:r>
          </w:p>
        </w:tc>
      </w:tr>
    </w:tbl>
    <w:p w:rsidR="004327B8" w:rsidRPr="004F4940" w:rsidP="00077BD8" w14:paraId="38625E11" w14:textId="77777777">
      <w:pPr>
        <w:rPr>
          <w:rFonts w:eastAsia="Times New Roman"/>
        </w:rPr>
      </w:pPr>
    </w:p>
    <w:p w:rsidR="004327B8" w:rsidP="00077BD8" w14:paraId="30BF75D6" w14:textId="0236FC20">
      <w:pPr>
        <w:jc w:val="center"/>
        <w:rPr>
          <w:rFonts w:eastAsia="Times New Roman"/>
        </w:rPr>
      </w:pPr>
      <w:r w:rsidRPr="004F4940">
        <w:rPr>
          <w:rFonts w:eastAsia="Times New Roman"/>
        </w:rPr>
        <w:t xml:space="preserve">ORDER APPROVING </w:t>
      </w:r>
      <w:r w:rsidRPr="004F4940" w:rsidR="56672167">
        <w:rPr>
          <w:rFonts w:eastAsia="Times New Roman"/>
        </w:rPr>
        <w:t xml:space="preserve">EXTREME COLD WEATHER </w:t>
      </w:r>
      <w:r w:rsidRPr="004F4940">
        <w:rPr>
          <w:rFonts w:eastAsia="Times New Roman"/>
        </w:rPr>
        <w:t>RELIABILITY STANDARDS EOP-011-3 AND EOP-012-1</w:t>
      </w:r>
      <w:r w:rsidRPr="004F4940" w:rsidR="0064068F">
        <w:rPr>
          <w:rFonts w:eastAsia="Times New Roman"/>
        </w:rPr>
        <w:t xml:space="preserve"> </w:t>
      </w:r>
      <w:r w:rsidRPr="004F4940" w:rsidR="04700A03">
        <w:rPr>
          <w:rFonts w:eastAsia="Times New Roman"/>
        </w:rPr>
        <w:t>AND DIRECTING MODIFICA</w:t>
      </w:r>
      <w:r w:rsidRPr="004F4940" w:rsidR="00A143C3">
        <w:rPr>
          <w:rFonts w:eastAsia="Times New Roman"/>
        </w:rPr>
        <w:t>T</w:t>
      </w:r>
      <w:r w:rsidRPr="004F4940" w:rsidR="04700A03">
        <w:rPr>
          <w:rFonts w:eastAsia="Times New Roman"/>
        </w:rPr>
        <w:t xml:space="preserve">ION </w:t>
      </w:r>
      <w:r w:rsidRPr="004F4940" w:rsidR="0EA41510">
        <w:rPr>
          <w:rFonts w:eastAsia="Times New Roman"/>
        </w:rPr>
        <w:t>OF</w:t>
      </w:r>
      <w:r w:rsidRPr="004F4940" w:rsidR="04700A03">
        <w:rPr>
          <w:rFonts w:eastAsia="Times New Roman"/>
        </w:rPr>
        <w:t xml:space="preserve"> </w:t>
      </w:r>
      <w:r w:rsidRPr="004F4940" w:rsidR="004C2CBE">
        <w:rPr>
          <w:rFonts w:eastAsia="Times New Roman"/>
        </w:rPr>
        <w:t xml:space="preserve">RELIABILITY STANDARD </w:t>
      </w:r>
      <w:r w:rsidRPr="004F4940" w:rsidR="04700A03">
        <w:rPr>
          <w:rFonts w:eastAsia="Times New Roman"/>
        </w:rPr>
        <w:t>EOP-012-1</w:t>
      </w:r>
    </w:p>
    <w:p w:rsidR="00E20E34" w:rsidRPr="004F4940" w:rsidP="00077BD8" w14:paraId="1273093B" w14:textId="77777777">
      <w:pPr>
        <w:jc w:val="center"/>
        <w:rPr>
          <w:rFonts w:eastAsia="Times New Roman"/>
        </w:rPr>
      </w:pPr>
    </w:p>
    <w:p w:rsidR="004327B8" w:rsidP="00E20E34" w14:paraId="365D5BA9" w14:textId="61087ED1">
      <w:pPr>
        <w:widowControl/>
        <w:jc w:val="center"/>
        <w:rPr>
          <w:rFonts w:eastAsia="Times New Roman"/>
        </w:rPr>
      </w:pPr>
      <w:r w:rsidRPr="00E20E34">
        <w:rPr>
          <w:rFonts w:eastAsia="Times New Roman"/>
        </w:rPr>
        <w:t>(Issued February 16, 2023)</w:t>
      </w:r>
    </w:p>
    <w:p w:rsidR="00E20E34" w:rsidRPr="00E20E34" w:rsidP="00E20E34" w14:paraId="1DF60553" w14:textId="77777777">
      <w:pPr>
        <w:widowControl/>
        <w:rPr>
          <w:rFonts w:eastAsia="Times New Roman"/>
        </w:rPr>
      </w:pPr>
    </w:p>
    <w:p w:rsidR="004E449F" w:rsidRPr="004F4940" w:rsidP="00283E2E" w14:paraId="369234BE" w14:textId="0D08192A">
      <w:pPr>
        <w:pStyle w:val="FERCparanumber"/>
        <w:rPr>
          <w:rFonts w:eastAsia="Times New Roman"/>
        </w:rPr>
      </w:pPr>
      <w:r w:rsidRPr="004F4940">
        <w:rPr>
          <w:rFonts w:eastAsia="Times New Roman"/>
        </w:rPr>
        <w:t xml:space="preserve">On October 28, 2022, the North American Electric Reliability Corporation (NERC), the Commission-certified Electric Reliability Organization (ERO), submitted </w:t>
      </w:r>
      <w:r w:rsidR="00F90F35">
        <w:rPr>
          <w:rFonts w:eastAsia="Times New Roman"/>
        </w:rPr>
        <w:br/>
      </w:r>
      <w:r w:rsidRPr="004F4940">
        <w:rPr>
          <w:rFonts w:eastAsia="Times New Roman"/>
        </w:rPr>
        <w:t xml:space="preserve">a petition seeking approval of proposed Reliability Standards </w:t>
      </w:r>
      <w:bookmarkStart w:id="0" w:name="_Hlk126573970"/>
      <w:r w:rsidRPr="004F4940">
        <w:rPr>
          <w:rFonts w:eastAsia="Times New Roman"/>
        </w:rPr>
        <w:t xml:space="preserve">EOP-011-3 </w:t>
      </w:r>
      <w:bookmarkEnd w:id="0"/>
      <w:r w:rsidRPr="004F4940">
        <w:rPr>
          <w:rFonts w:eastAsia="Times New Roman"/>
        </w:rPr>
        <w:t xml:space="preserve">(Emergency Operations) and </w:t>
      </w:r>
      <w:bookmarkStart w:id="1" w:name="_Hlk126573980"/>
      <w:r w:rsidRPr="004F4940">
        <w:rPr>
          <w:rFonts w:eastAsia="Times New Roman"/>
        </w:rPr>
        <w:t>EOP-012-1</w:t>
      </w:r>
      <w:bookmarkStart w:id="2" w:name="_Hlk78274143"/>
      <w:r w:rsidRPr="004F4940">
        <w:rPr>
          <w:rFonts w:eastAsia="Times New Roman"/>
        </w:rPr>
        <w:t xml:space="preserve"> </w:t>
      </w:r>
      <w:bookmarkEnd w:id="1"/>
      <w:r w:rsidRPr="004F4940">
        <w:rPr>
          <w:rFonts w:eastAsia="Times New Roman"/>
        </w:rPr>
        <w:t>(Extreme Cold Weather Preparedness and Operations).</w:t>
      </w:r>
      <w:r>
        <w:rPr>
          <w:rFonts w:eastAsia="Times New Roman"/>
          <w:b/>
          <w:vertAlign w:val="superscript"/>
        </w:rPr>
        <w:footnoteReference w:id="3"/>
      </w:r>
      <w:r w:rsidRPr="004F4940" w:rsidR="00464896">
        <w:rPr>
          <w:rFonts w:eastAsia="Times New Roman"/>
        </w:rPr>
        <w:t xml:space="preserve">  </w:t>
      </w:r>
      <w:r w:rsidR="00F90F35">
        <w:rPr>
          <w:rFonts w:eastAsia="Times New Roman"/>
        </w:rPr>
        <w:br/>
      </w:r>
      <w:r w:rsidRPr="004F4940">
        <w:rPr>
          <w:rFonts w:eastAsia="Times New Roman"/>
        </w:rPr>
        <w:t>As discussed in this order, we</w:t>
      </w:r>
      <w:r w:rsidRPr="004F4940" w:rsidR="00F84B8E">
        <w:rPr>
          <w:rFonts w:eastAsia="Times New Roman"/>
        </w:rPr>
        <w:t xml:space="preserve"> </w:t>
      </w:r>
      <w:r w:rsidRPr="004F4940">
        <w:rPr>
          <w:rFonts w:eastAsia="Times New Roman"/>
        </w:rPr>
        <w:t>approve</w:t>
      </w:r>
      <w:r w:rsidRPr="004F4940" w:rsidR="00864ACD">
        <w:rPr>
          <w:rFonts w:eastAsia="Times New Roman"/>
        </w:rPr>
        <w:t xml:space="preserve"> </w:t>
      </w:r>
      <w:r w:rsidRPr="004F4940" w:rsidR="00864ACD">
        <w:rPr>
          <w:rFonts w:eastAsia="Times New Roman"/>
        </w:rPr>
        <w:t xml:space="preserve">proposed </w:t>
      </w:r>
      <w:r w:rsidRPr="004F4940">
        <w:rPr>
          <w:rFonts w:eastAsia="Times New Roman"/>
        </w:rPr>
        <w:t>Reliability Standards</w:t>
      </w:r>
      <w:r w:rsidRPr="004F4940" w:rsidR="000316A1">
        <w:rPr>
          <w:rFonts w:eastAsia="Times New Roman"/>
        </w:rPr>
        <w:t xml:space="preserve"> EOP-011-3 and EOP-012-1</w:t>
      </w:r>
      <w:bookmarkStart w:id="3" w:name="_Hlk77140430"/>
      <w:r w:rsidRPr="004F4940" w:rsidR="00386C99">
        <w:rPr>
          <w:rFonts w:eastAsia="Times New Roman"/>
        </w:rPr>
        <w:t xml:space="preserve">, </w:t>
      </w:r>
      <w:r w:rsidRPr="004F4940" w:rsidR="00493E41">
        <w:rPr>
          <w:rFonts w:eastAsia="Times New Roman"/>
        </w:rPr>
        <w:t xml:space="preserve">their </w:t>
      </w:r>
      <w:r w:rsidRPr="004F4940">
        <w:rPr>
          <w:rFonts w:eastAsia="Times New Roman"/>
        </w:rPr>
        <w:t xml:space="preserve">associated </w:t>
      </w:r>
      <w:bookmarkStart w:id="4" w:name="_Hlk117586949"/>
      <w:r w:rsidRPr="004F4940">
        <w:rPr>
          <w:rFonts w:eastAsia="Times New Roman"/>
        </w:rPr>
        <w:t>violation risk factors and violation severity levels</w:t>
      </w:r>
      <w:bookmarkEnd w:id="4"/>
      <w:r w:rsidRPr="004F4940">
        <w:rPr>
          <w:rFonts w:eastAsia="Times New Roman"/>
        </w:rPr>
        <w:t xml:space="preserve">, </w:t>
      </w:r>
      <w:r w:rsidRPr="004F4940" w:rsidR="00C450E5">
        <w:rPr>
          <w:rFonts w:eastAsia="Times New Roman"/>
        </w:rPr>
        <w:t xml:space="preserve">and </w:t>
      </w:r>
      <w:r w:rsidRPr="004F4940">
        <w:rPr>
          <w:rFonts w:eastAsia="Times New Roman"/>
        </w:rPr>
        <w:t xml:space="preserve">the </w:t>
      </w:r>
      <w:r w:rsidRPr="004F4940" w:rsidR="004E5ED8">
        <w:rPr>
          <w:rFonts w:eastAsia="Times New Roman"/>
        </w:rPr>
        <w:t xml:space="preserve">newly </w:t>
      </w:r>
      <w:r w:rsidRPr="004F4940">
        <w:rPr>
          <w:rFonts w:eastAsia="Times New Roman"/>
        </w:rPr>
        <w:t>defined terms Generator Cold Weather Critical Component, Extreme Cold Weather Temperature, and Generator Cold Weather Reliability Event</w:t>
      </w:r>
      <w:r w:rsidRPr="004F4940" w:rsidR="000B0F30">
        <w:rPr>
          <w:rFonts w:eastAsia="Times New Roman"/>
        </w:rPr>
        <w:t>.</w:t>
      </w:r>
      <w:bookmarkEnd w:id="3"/>
    </w:p>
    <w:p w:rsidR="00F55662" w:rsidRPr="004F4940" w:rsidP="005903DF" w14:paraId="76F4280D" w14:textId="6649AA26">
      <w:pPr>
        <w:pStyle w:val="FERCparanumber"/>
        <w:widowControl w:val="0"/>
        <w:suppressLineNumbers/>
        <w:rPr>
          <w:rFonts w:eastAsia="Times New Roman"/>
        </w:rPr>
      </w:pPr>
      <w:r w:rsidRPr="004F4940">
        <w:t>It is essential to the reliable operation of the Bulk-Power System to “ensure enough generating units will be available during the next cold weather event.”</w:t>
      </w:r>
      <w:r>
        <w:rPr>
          <w:b/>
          <w:vertAlign w:val="superscript"/>
        </w:rPr>
        <w:footnoteReference w:id="4"/>
      </w:r>
      <w:r w:rsidRPr="004F4940">
        <w:t xml:space="preserve">  </w:t>
      </w:r>
      <w:r w:rsidRPr="004F4940" w:rsidR="000A57F5">
        <w:t>As</w:t>
      </w:r>
      <w:r w:rsidRPr="004F4940" w:rsidR="008F7BDF">
        <w:t xml:space="preserve"> </w:t>
      </w:r>
      <w:r w:rsidR="00C36E44">
        <w:br/>
      </w:r>
      <w:r w:rsidRPr="004F4940" w:rsidR="008F7BDF">
        <w:t>t</w:t>
      </w:r>
      <w:r w:rsidRPr="004F4940" w:rsidR="00DC2C06">
        <w:t xml:space="preserve">he </w:t>
      </w:r>
      <w:r w:rsidRPr="004F4940" w:rsidR="00FD420F">
        <w:t xml:space="preserve">November 2021 </w:t>
      </w:r>
      <w:r w:rsidRPr="004F4940" w:rsidR="00DC2C06">
        <w:t>Report</w:t>
      </w:r>
      <w:r w:rsidRPr="004F4940" w:rsidR="000A57F5">
        <w:t xml:space="preserve"> found, the Bulk-Power System “</w:t>
      </w:r>
      <w:r w:rsidRPr="004F4940" w:rsidR="00DC2C06">
        <w:t>cannot operate reliably without adequate generation.</w:t>
      </w:r>
      <w:r w:rsidRPr="004F4940" w:rsidR="004A1CAD">
        <w:t>”</w:t>
      </w:r>
      <w:r w:rsidRPr="004F4940" w:rsidR="00DC2C06">
        <w:t xml:space="preserve"> </w:t>
      </w:r>
      <w:r w:rsidRPr="004F4940" w:rsidR="00332E5C">
        <w:t xml:space="preserve"> When</w:t>
      </w:r>
      <w:r w:rsidRPr="004F4940" w:rsidR="00DE548C">
        <w:t xml:space="preserve"> cold weather</w:t>
      </w:r>
      <w:r w:rsidRPr="004F4940" w:rsidR="00332E5C">
        <w:t xml:space="preserve"> events such as Winter Storm Uri occur</w:t>
      </w:r>
      <w:r w:rsidRPr="004F4940" w:rsidR="00DE548C">
        <w:t>, with “</w:t>
      </w:r>
      <w:r w:rsidRPr="004F4940" w:rsidR="00DC2C06">
        <w:t>massive numbers of generating units</w:t>
      </w:r>
      <w:r w:rsidRPr="004F4940" w:rsidR="00DE548C">
        <w:t>”</w:t>
      </w:r>
      <w:r w:rsidRPr="004F4940" w:rsidR="00DC2C06">
        <w:t xml:space="preserve"> </w:t>
      </w:r>
      <w:r w:rsidRPr="004F4940" w:rsidR="00DE548C">
        <w:t>failing</w:t>
      </w:r>
      <w:r w:rsidRPr="004F4940" w:rsidR="00DC2C06">
        <w:t xml:space="preserve">, grid operators </w:t>
      </w:r>
      <w:r w:rsidRPr="004F4940" w:rsidR="000F37DD">
        <w:t xml:space="preserve">could </w:t>
      </w:r>
      <w:r w:rsidRPr="004F4940" w:rsidR="001F4F4F">
        <w:t xml:space="preserve">have no other option than to </w:t>
      </w:r>
      <w:r w:rsidRPr="004F4940" w:rsidR="00DC2C06">
        <w:t xml:space="preserve">shed firm customer load to prevent uncontrolled load shedding and cascading outages.  </w:t>
      </w:r>
      <w:r w:rsidRPr="004F4940" w:rsidR="001F4F4F">
        <w:t xml:space="preserve">And as </w:t>
      </w:r>
      <w:r w:rsidRPr="004F4940" w:rsidR="008C3D14">
        <w:t>unfortunately illustrated by</w:t>
      </w:r>
      <w:r w:rsidRPr="004F4940" w:rsidR="001F4F4F">
        <w:t xml:space="preserve"> Winter Storm Uri,</w:t>
      </w:r>
      <w:r w:rsidRPr="004F4940" w:rsidR="000F5E1A">
        <w:t xml:space="preserve"> “</w:t>
      </w:r>
      <w:r w:rsidRPr="004F4940" w:rsidR="005F42F5">
        <w:t>[t]</w:t>
      </w:r>
      <w:r w:rsidRPr="004F4940" w:rsidR="00DC2C06">
        <w:t>hese</w:t>
      </w:r>
      <w:r w:rsidRPr="004F4940" w:rsidR="00DC2C06">
        <w:t xml:space="preserve"> firm load shedding events . . . have very real human consequences.  Millions went without </w:t>
      </w:r>
      <w:r w:rsidRPr="004F4940" w:rsidR="00DC2C06">
        <w:t>heat . . . Hundreds died from hypothermia.”</w:t>
      </w:r>
      <w:r>
        <w:rPr>
          <w:b/>
          <w:vertAlign w:val="superscript"/>
        </w:rPr>
        <w:footnoteReference w:id="5"/>
      </w:r>
      <w:r w:rsidRPr="004F4940" w:rsidR="00C904A7">
        <w:t xml:space="preserve">  </w:t>
      </w:r>
      <w:r w:rsidRPr="004F4940" w:rsidR="00A66328">
        <w:rPr>
          <w:rFonts w:eastAsia="Times New Roman"/>
        </w:rPr>
        <w:t>Accordingly, w</w:t>
      </w:r>
      <w:r w:rsidRPr="004F4940" w:rsidR="00211AD9">
        <w:rPr>
          <w:rFonts w:eastAsia="Times New Roman"/>
        </w:rPr>
        <w:t>e</w:t>
      </w:r>
      <w:r w:rsidRPr="004F4940" w:rsidR="005D11C5">
        <w:rPr>
          <w:rFonts w:eastAsia="Times New Roman"/>
        </w:rPr>
        <w:t xml:space="preserve"> </w:t>
      </w:r>
      <w:r w:rsidRPr="004F4940" w:rsidR="00085CD7">
        <w:rPr>
          <w:rFonts w:eastAsia="Times New Roman"/>
        </w:rPr>
        <w:t>approve</w:t>
      </w:r>
      <w:r w:rsidRPr="004F4940" w:rsidR="00243F34">
        <w:rPr>
          <w:rFonts w:eastAsia="Times New Roman"/>
        </w:rPr>
        <w:t xml:space="preserve"> </w:t>
      </w:r>
      <w:r w:rsidRPr="004F4940" w:rsidR="00A74F1E">
        <w:rPr>
          <w:rFonts w:eastAsia="Times New Roman"/>
        </w:rPr>
        <w:t>proposed</w:t>
      </w:r>
      <w:r w:rsidRPr="004F4940" w:rsidR="004E449F">
        <w:rPr>
          <w:rFonts w:eastAsia="Times New Roman"/>
        </w:rPr>
        <w:t xml:space="preserve"> Reliability Standards EOP-011-3 and EOP-012-1 </w:t>
      </w:r>
      <w:r w:rsidRPr="004F4940" w:rsidR="00243F34">
        <w:rPr>
          <w:rFonts w:eastAsia="Times New Roman"/>
        </w:rPr>
        <w:t xml:space="preserve">as </w:t>
      </w:r>
      <w:r w:rsidRPr="004F4940" w:rsidR="49849811">
        <w:rPr>
          <w:rFonts w:eastAsia="Times New Roman"/>
        </w:rPr>
        <w:t>just, reasonable, not unduly discriminatory or preferential, and in the public interest</w:t>
      </w:r>
      <w:r w:rsidRPr="004F4940" w:rsidR="004E449F">
        <w:rPr>
          <w:rFonts w:eastAsia="Times New Roman"/>
        </w:rPr>
        <w:t>.</w:t>
      </w:r>
    </w:p>
    <w:p w:rsidR="00DA1FA2" w:rsidRPr="004F4940" w:rsidP="002B6CE8" w14:paraId="6607E2FD" w14:textId="66E11A60">
      <w:pPr>
        <w:pStyle w:val="FERCparanumber"/>
        <w:widowControl w:val="0"/>
        <w:suppressLineNumbers/>
        <w:rPr>
          <w:rFonts w:eastAsia="Times New Roman"/>
        </w:rPr>
      </w:pPr>
      <w:r w:rsidRPr="004F4940">
        <w:rPr>
          <w:rFonts w:eastAsia="Times New Roman"/>
        </w:rPr>
        <w:t xml:space="preserve">While NERC’s </w:t>
      </w:r>
      <w:r w:rsidRPr="004F4940" w:rsidR="00C04815">
        <w:rPr>
          <w:rFonts w:eastAsia="Times New Roman"/>
        </w:rPr>
        <w:t>proposed Reliability S</w:t>
      </w:r>
      <w:r w:rsidRPr="004F4940">
        <w:rPr>
          <w:rFonts w:eastAsia="Times New Roman"/>
        </w:rPr>
        <w:t xml:space="preserve">tandards may “provide new protections </w:t>
      </w:r>
      <w:r w:rsidR="00C36E44">
        <w:rPr>
          <w:rFonts w:eastAsia="Times New Roman"/>
        </w:rPr>
        <w:br/>
      </w:r>
      <w:r w:rsidRPr="004F4940">
        <w:rPr>
          <w:rFonts w:eastAsia="Times New Roman"/>
        </w:rPr>
        <w:t>not currently found in any Reliability Standard,”</w:t>
      </w:r>
      <w:r>
        <w:rPr>
          <w:rStyle w:val="FootnoteReference"/>
          <w:rFonts w:eastAsia="Times New Roman"/>
        </w:rPr>
        <w:footnoteReference w:id="6"/>
      </w:r>
      <w:r w:rsidRPr="004F4940" w:rsidR="00CA1FB9">
        <w:rPr>
          <w:rFonts w:eastAsia="Times New Roman"/>
        </w:rPr>
        <w:t xml:space="preserve"> </w:t>
      </w:r>
      <w:r w:rsidRPr="004F4940">
        <w:rPr>
          <w:rFonts w:eastAsia="Times New Roman"/>
        </w:rPr>
        <w:t xml:space="preserve">EOP-012-1, in its current form, </w:t>
      </w:r>
      <w:r w:rsidRPr="004F4940" w:rsidR="00A66328">
        <w:rPr>
          <w:rFonts w:eastAsia="Times New Roman"/>
        </w:rPr>
        <w:t xml:space="preserve">includes undefined terms, broad </w:t>
      </w:r>
      <w:r w:rsidRPr="004F4940" w:rsidR="005518E9">
        <w:rPr>
          <w:rFonts w:eastAsia="Times New Roman"/>
        </w:rPr>
        <w:t xml:space="preserve">limitations, </w:t>
      </w:r>
      <w:r w:rsidRPr="004F4940" w:rsidR="00A66328">
        <w:rPr>
          <w:rFonts w:eastAsia="Times New Roman"/>
        </w:rPr>
        <w:t xml:space="preserve">exceptions </w:t>
      </w:r>
      <w:r w:rsidRPr="004F4940" w:rsidR="005518E9">
        <w:rPr>
          <w:rFonts w:eastAsia="Times New Roman"/>
        </w:rPr>
        <w:t>and exemptions</w:t>
      </w:r>
      <w:r w:rsidRPr="004F4940" w:rsidR="000B1CF6">
        <w:rPr>
          <w:rFonts w:eastAsia="Times New Roman"/>
        </w:rPr>
        <w:t>,</w:t>
      </w:r>
      <w:r w:rsidRPr="004F4940" w:rsidR="005518E9">
        <w:rPr>
          <w:rFonts w:eastAsia="Times New Roman"/>
        </w:rPr>
        <w:t xml:space="preserve"> </w:t>
      </w:r>
      <w:r w:rsidRPr="004F4940" w:rsidR="00A66328">
        <w:rPr>
          <w:rFonts w:eastAsia="Times New Roman"/>
        </w:rPr>
        <w:t>and prolonged compliance periods</w:t>
      </w:r>
      <w:r w:rsidRPr="004F4940">
        <w:rPr>
          <w:rFonts w:eastAsia="Times New Roman"/>
        </w:rPr>
        <w:t xml:space="preserve">.  </w:t>
      </w:r>
      <w:r w:rsidRPr="004F4940" w:rsidR="00D90AA4">
        <w:rPr>
          <w:rFonts w:eastAsia="Times New Roman"/>
        </w:rPr>
        <w:t>Thus, we</w:t>
      </w:r>
      <w:r w:rsidRPr="004F4940" w:rsidR="004E449F">
        <w:rPr>
          <w:rFonts w:eastAsia="Times New Roman"/>
        </w:rPr>
        <w:t xml:space="preserve"> </w:t>
      </w:r>
      <w:r w:rsidRPr="004F4940" w:rsidR="00E865BF">
        <w:rPr>
          <w:rFonts w:eastAsia="Times New Roman"/>
        </w:rPr>
        <w:t>find</w:t>
      </w:r>
      <w:r w:rsidRPr="004F4940" w:rsidR="004E449F">
        <w:rPr>
          <w:rFonts w:eastAsia="Times New Roman"/>
        </w:rPr>
        <w:t xml:space="preserve"> that Reliability Standard EOP-012-1</w:t>
      </w:r>
      <w:r w:rsidRPr="004F4940" w:rsidR="00091DBB">
        <w:rPr>
          <w:rFonts w:eastAsia="Times New Roman"/>
        </w:rPr>
        <w:t xml:space="preserve"> requires improvement to address</w:t>
      </w:r>
      <w:r w:rsidRPr="004F4940" w:rsidR="00941ED5">
        <w:rPr>
          <w:rFonts w:eastAsia="Times New Roman"/>
        </w:rPr>
        <w:t xml:space="preserve"> concerns, as discussed further below.  Therefore, pursuant to section 215(d)(5) of the </w:t>
      </w:r>
      <w:r w:rsidRPr="004F4940" w:rsidR="00B06E98">
        <w:rPr>
          <w:rFonts w:eastAsia="Times New Roman"/>
        </w:rPr>
        <w:t>Federal Power Act (</w:t>
      </w:r>
      <w:r w:rsidRPr="004F4940" w:rsidR="00941ED5">
        <w:rPr>
          <w:rFonts w:eastAsia="Times New Roman"/>
        </w:rPr>
        <w:t>FPA</w:t>
      </w:r>
      <w:r w:rsidRPr="004F4940" w:rsidR="00B06E98">
        <w:rPr>
          <w:rFonts w:eastAsia="Times New Roman"/>
        </w:rPr>
        <w:t>)</w:t>
      </w:r>
      <w:r w:rsidRPr="004F4940" w:rsidR="00CB5307">
        <w:rPr>
          <w:rFonts w:eastAsia="Times New Roman"/>
        </w:rPr>
        <w:t>,</w:t>
      </w:r>
      <w:r>
        <w:rPr>
          <w:rStyle w:val="FootnoteReference"/>
          <w:rFonts w:eastAsia="Times New Roman"/>
        </w:rPr>
        <w:footnoteReference w:id="7"/>
      </w:r>
      <w:r w:rsidRPr="004F4940" w:rsidR="00CB5307">
        <w:rPr>
          <w:rFonts w:eastAsia="Times New Roman"/>
        </w:rPr>
        <w:t xml:space="preserve"> </w:t>
      </w:r>
      <w:r w:rsidRPr="004F4940" w:rsidR="00974008">
        <w:rPr>
          <w:rFonts w:eastAsia="Times New Roman"/>
        </w:rPr>
        <w:t>we</w:t>
      </w:r>
      <w:r w:rsidRPr="004F4940" w:rsidR="00CB5307">
        <w:rPr>
          <w:rFonts w:eastAsia="Times New Roman"/>
        </w:rPr>
        <w:t xml:space="preserve"> direct NERC to develop and submit modifications to Reliability Standard EOP-012-1</w:t>
      </w:r>
      <w:r w:rsidRPr="004F4940" w:rsidR="00131245">
        <w:rPr>
          <w:rFonts w:eastAsia="Times New Roman"/>
        </w:rPr>
        <w:t xml:space="preserve"> </w:t>
      </w:r>
      <w:r w:rsidRPr="004F4940" w:rsidR="00243F34">
        <w:rPr>
          <w:rFonts w:eastAsia="Times New Roman"/>
        </w:rPr>
        <w:t>as discussed herein.</w:t>
      </w:r>
    </w:p>
    <w:p w:rsidR="005A03A9" w:rsidRPr="004F4940" w:rsidP="008F7B4F" w14:paraId="54838CFE" w14:textId="77E34E8F">
      <w:pPr>
        <w:pStyle w:val="FERCparanumber"/>
        <w:widowControl w:val="0"/>
        <w:suppressLineNumbers/>
        <w:rPr>
          <w:rFonts w:eastAsia="Times New Roman"/>
        </w:rPr>
      </w:pPr>
      <w:r w:rsidRPr="004F4940">
        <w:rPr>
          <w:rFonts w:eastAsia="Times New Roman"/>
        </w:rPr>
        <w:t>As an initial matter, we</w:t>
      </w:r>
      <w:r w:rsidRPr="004F4940" w:rsidR="00853977">
        <w:rPr>
          <w:rFonts w:eastAsia="Times New Roman"/>
        </w:rPr>
        <w:t xml:space="preserve"> are concerned that </w:t>
      </w:r>
      <w:r w:rsidRPr="004F4940" w:rsidR="00556990">
        <w:rPr>
          <w:rFonts w:eastAsia="Times New Roman"/>
        </w:rPr>
        <w:t>use of the terms “continuous</w:t>
      </w:r>
      <w:r w:rsidRPr="004F4940" w:rsidR="00D30A2C">
        <w:rPr>
          <w:rFonts w:eastAsia="Times New Roman"/>
        </w:rPr>
        <w:t xml:space="preserve"> run</w:t>
      </w:r>
      <w:r w:rsidRPr="004F4940" w:rsidR="00570C7D">
        <w:rPr>
          <w:rFonts w:eastAsia="Times New Roman"/>
        </w:rPr>
        <w:t>,</w:t>
      </w:r>
      <w:r w:rsidRPr="004F4940" w:rsidR="00D30A2C">
        <w:rPr>
          <w:rFonts w:eastAsia="Times New Roman"/>
        </w:rPr>
        <w:t>”  “commits or is obligated to serve”</w:t>
      </w:r>
      <w:r w:rsidRPr="004F4940" w:rsidR="003824C6">
        <w:rPr>
          <w:rFonts w:eastAsia="Times New Roman"/>
        </w:rPr>
        <w:t xml:space="preserve"> </w:t>
      </w:r>
      <w:r w:rsidRPr="004F4940" w:rsidR="003824C6">
        <w:t>and “four hours or more,” as well as the enumerated exemptions,</w:t>
      </w:r>
      <w:r w:rsidRPr="004F4940" w:rsidR="000342D3">
        <w:rPr>
          <w:rFonts w:eastAsia="Times New Roman"/>
        </w:rPr>
        <w:t xml:space="preserve"> obfuscates </w:t>
      </w:r>
      <w:r w:rsidRPr="004F4940" w:rsidR="00853977">
        <w:rPr>
          <w:rFonts w:eastAsia="Times New Roman"/>
        </w:rPr>
        <w:t xml:space="preserve">the </w:t>
      </w:r>
      <w:r w:rsidRPr="004F4940" w:rsidR="005D1150">
        <w:rPr>
          <w:rFonts w:eastAsia="Times New Roman"/>
        </w:rPr>
        <w:t>extent of applicability of Reliability Standard EOP-012-1 to bulk electric system</w:t>
      </w:r>
      <w:r>
        <w:rPr>
          <w:rStyle w:val="FootnoteReference"/>
          <w:rFonts w:eastAsia="Times New Roman"/>
        </w:rPr>
        <w:footnoteReference w:id="8"/>
      </w:r>
      <w:r w:rsidRPr="004F4940" w:rsidR="005D1150">
        <w:rPr>
          <w:rFonts w:eastAsia="Times New Roman"/>
        </w:rPr>
        <w:t xml:space="preserve"> facilities</w:t>
      </w:r>
      <w:r w:rsidRPr="004F4940" w:rsidR="004E230A">
        <w:rPr>
          <w:rFonts w:eastAsia="Times New Roman"/>
        </w:rPr>
        <w:t>,</w:t>
      </w:r>
      <w:r w:rsidRPr="004F4940" w:rsidR="005D1150">
        <w:rPr>
          <w:rFonts w:eastAsia="Times New Roman"/>
        </w:rPr>
        <w:t xml:space="preserve"> </w:t>
      </w:r>
      <w:r w:rsidRPr="004F4940" w:rsidR="00A6438F">
        <w:rPr>
          <w:rFonts w:eastAsia="Times New Roman"/>
        </w:rPr>
        <w:t>and may not</w:t>
      </w:r>
      <w:r w:rsidRPr="004F4940" w:rsidR="000B4AB0">
        <w:rPr>
          <w:rFonts w:eastAsia="Times New Roman"/>
        </w:rPr>
        <w:t xml:space="preserve"> ensure that</w:t>
      </w:r>
      <w:r w:rsidRPr="004F4940" w:rsidR="005247B5">
        <w:rPr>
          <w:rFonts w:eastAsia="Times New Roman"/>
        </w:rPr>
        <w:t xml:space="preserve"> </w:t>
      </w:r>
      <w:r w:rsidRPr="004F4940" w:rsidR="002E1A6B">
        <w:rPr>
          <w:rFonts w:eastAsia="Times New Roman"/>
        </w:rPr>
        <w:t>compliance is required for all</w:t>
      </w:r>
      <w:r w:rsidRPr="004F4940" w:rsidR="000B4AB0">
        <w:rPr>
          <w:rFonts w:eastAsia="Times New Roman"/>
        </w:rPr>
        <w:t xml:space="preserve"> “</w:t>
      </w:r>
      <w:r w:rsidRPr="004F4940" w:rsidR="00A6438F">
        <w:rPr>
          <w:rFonts w:eastAsia="Times New Roman"/>
        </w:rPr>
        <w:t xml:space="preserve">generating units that are being depended </w:t>
      </w:r>
      <w:r w:rsidRPr="004F4940" w:rsidR="001C5267">
        <w:rPr>
          <w:rFonts w:eastAsia="Times New Roman"/>
        </w:rPr>
        <w:t>up</w:t>
      </w:r>
      <w:r w:rsidRPr="004F4940" w:rsidR="00A6438F">
        <w:rPr>
          <w:rFonts w:eastAsia="Times New Roman"/>
        </w:rPr>
        <w:t>on to operate in cold weather and on which the reliability of the system depends</w:t>
      </w:r>
      <w:r w:rsidRPr="004F4940" w:rsidR="002E1A6B">
        <w:rPr>
          <w:rFonts w:eastAsia="Times New Roman"/>
        </w:rPr>
        <w:t>.</w:t>
      </w:r>
      <w:r w:rsidRPr="004F4940" w:rsidR="005247B5">
        <w:rPr>
          <w:rFonts w:eastAsia="Times New Roman"/>
        </w:rPr>
        <w:t>”</w:t>
      </w:r>
      <w:r>
        <w:rPr>
          <w:rFonts w:eastAsia="Times New Roman"/>
          <w:b/>
          <w:vertAlign w:val="superscript"/>
        </w:rPr>
        <w:footnoteReference w:id="9"/>
      </w:r>
      <w:r w:rsidRPr="004F4940" w:rsidR="002E1A6B">
        <w:rPr>
          <w:rFonts w:eastAsia="Times New Roman"/>
        </w:rPr>
        <w:t xml:space="preserve"> </w:t>
      </w:r>
      <w:r w:rsidRPr="004F4940" w:rsidR="00A6438F">
        <w:rPr>
          <w:rFonts w:eastAsia="Times New Roman"/>
        </w:rPr>
        <w:t xml:space="preserve"> </w:t>
      </w:r>
      <w:r w:rsidRPr="004F4940" w:rsidR="005247B5">
        <w:rPr>
          <w:rFonts w:eastAsia="Times New Roman"/>
        </w:rPr>
        <w:t xml:space="preserve">We understand that </w:t>
      </w:r>
      <w:r w:rsidRPr="004F4940" w:rsidR="002775D0">
        <w:rPr>
          <w:rFonts w:eastAsia="Times New Roman"/>
        </w:rPr>
        <w:t xml:space="preserve">the proposed applicability criteria is meant to avoid “undue burden on those generating units that are not expected </w:t>
      </w:r>
      <w:r w:rsidR="00C36E44">
        <w:rPr>
          <w:rFonts w:eastAsia="Times New Roman"/>
        </w:rPr>
        <w:br/>
      </w:r>
      <w:r w:rsidRPr="004F4940" w:rsidR="002775D0">
        <w:rPr>
          <w:rFonts w:eastAsia="Times New Roman"/>
        </w:rPr>
        <w:t>to operate in cold weather</w:t>
      </w:r>
      <w:r w:rsidRPr="004F4940" w:rsidR="00A05E20">
        <w:rPr>
          <w:rFonts w:eastAsia="Times New Roman"/>
        </w:rPr>
        <w:t>;</w:t>
      </w:r>
      <w:r w:rsidRPr="004F4940" w:rsidR="002775D0">
        <w:rPr>
          <w:rFonts w:eastAsia="Times New Roman"/>
        </w:rPr>
        <w:t>”</w:t>
      </w:r>
      <w:r>
        <w:rPr>
          <w:rStyle w:val="FootnoteReference"/>
          <w:rFonts w:eastAsia="Times New Roman"/>
        </w:rPr>
        <w:footnoteReference w:id="10"/>
      </w:r>
      <w:r w:rsidRPr="004F4940" w:rsidR="00147AF5">
        <w:rPr>
          <w:rFonts w:eastAsia="Times New Roman"/>
        </w:rPr>
        <w:t xml:space="preserve"> however, we find tha</w:t>
      </w:r>
      <w:r w:rsidRPr="004F4940" w:rsidR="00083B4F">
        <w:rPr>
          <w:rFonts w:eastAsia="Times New Roman"/>
        </w:rPr>
        <w:t>t e</w:t>
      </w:r>
      <w:r w:rsidRPr="004F4940" w:rsidR="00147AF5">
        <w:rPr>
          <w:rFonts w:eastAsia="Times New Roman"/>
        </w:rPr>
        <w:t xml:space="preserve">xcluded generating units should </w:t>
      </w:r>
      <w:r w:rsidR="00C36E44">
        <w:rPr>
          <w:rFonts w:eastAsia="Times New Roman"/>
        </w:rPr>
        <w:br/>
      </w:r>
      <w:r w:rsidRPr="004F4940" w:rsidR="00147AF5">
        <w:rPr>
          <w:rFonts w:eastAsia="Times New Roman"/>
        </w:rPr>
        <w:t>be the exception and not the rule.</w:t>
      </w:r>
      <w:r>
        <w:rPr>
          <w:rStyle w:val="FootnoteReference"/>
          <w:rFonts w:eastAsia="Times New Roman"/>
        </w:rPr>
        <w:footnoteReference w:id="11"/>
      </w:r>
      <w:r w:rsidRPr="004F4940" w:rsidR="00147AF5">
        <w:rPr>
          <w:rFonts w:eastAsia="Times New Roman"/>
        </w:rPr>
        <w:t xml:space="preserve"> </w:t>
      </w:r>
      <w:r w:rsidRPr="004F4940">
        <w:rPr>
          <w:rFonts w:eastAsia="Times New Roman"/>
        </w:rPr>
        <w:t xml:space="preserve"> </w:t>
      </w:r>
      <w:r w:rsidRPr="004F4940" w:rsidR="00A66328">
        <w:rPr>
          <w:rFonts w:eastAsia="Times New Roman"/>
        </w:rPr>
        <w:t>Therefore, we direct NERC</w:t>
      </w:r>
      <w:r w:rsidRPr="004F4940" w:rsidR="0018380D">
        <w:rPr>
          <w:rFonts w:eastAsia="Times New Roman"/>
        </w:rPr>
        <w:t>,</w:t>
      </w:r>
      <w:r w:rsidRPr="004F4940" w:rsidR="00A66328">
        <w:rPr>
          <w:rFonts w:eastAsia="Times New Roman"/>
        </w:rPr>
        <w:t xml:space="preserve"> pursuant to FPA section</w:t>
      </w:r>
      <w:r w:rsidRPr="004F4940" w:rsidR="007F21D6">
        <w:rPr>
          <w:rFonts w:eastAsia="Times New Roman"/>
        </w:rPr>
        <w:t> </w:t>
      </w:r>
      <w:r w:rsidRPr="004F4940" w:rsidR="00A66328">
        <w:rPr>
          <w:rFonts w:eastAsia="Times New Roman"/>
        </w:rPr>
        <w:t xml:space="preserve">215(d)(5), to modify Reliability Standard EOP-012-1 to </w:t>
      </w:r>
      <w:r w:rsidRPr="004F4940" w:rsidR="004E093E">
        <w:rPr>
          <w:rFonts w:eastAsia="Times New Roman"/>
        </w:rPr>
        <w:t xml:space="preserve">ensure that it captures </w:t>
      </w:r>
      <w:r w:rsidR="00C36E44">
        <w:rPr>
          <w:rFonts w:eastAsia="Times New Roman"/>
        </w:rPr>
        <w:br/>
      </w:r>
      <w:r w:rsidRPr="004F4940" w:rsidR="002032B5">
        <w:rPr>
          <w:rFonts w:eastAsia="Times New Roman"/>
        </w:rPr>
        <w:t xml:space="preserve">all </w:t>
      </w:r>
      <w:r w:rsidRPr="004F4940" w:rsidR="00E31B14">
        <w:rPr>
          <w:rFonts w:eastAsia="Times New Roman"/>
        </w:rPr>
        <w:t xml:space="preserve">bulk electric system </w:t>
      </w:r>
      <w:r w:rsidRPr="004F4940" w:rsidR="002032B5">
        <w:rPr>
          <w:rFonts w:eastAsia="Times New Roman"/>
        </w:rPr>
        <w:t>generation</w:t>
      </w:r>
      <w:r w:rsidRPr="004F4940" w:rsidR="004E093E">
        <w:rPr>
          <w:rFonts w:eastAsia="Times New Roman"/>
        </w:rPr>
        <w:t xml:space="preserve"> resources needed for reliable operation</w:t>
      </w:r>
      <w:r w:rsidRPr="004F4940" w:rsidR="002032B5">
        <w:rPr>
          <w:rFonts w:eastAsia="Times New Roman"/>
        </w:rPr>
        <w:t xml:space="preserve"> and ex</w:t>
      </w:r>
      <w:r w:rsidRPr="004F4940" w:rsidR="000F6CF4">
        <w:rPr>
          <w:rFonts w:eastAsia="Times New Roman"/>
        </w:rPr>
        <w:t>c</w:t>
      </w:r>
      <w:r w:rsidRPr="004F4940" w:rsidR="002032B5">
        <w:rPr>
          <w:rFonts w:eastAsia="Times New Roman"/>
        </w:rPr>
        <w:t>ludes</w:t>
      </w:r>
      <w:r w:rsidRPr="004F4940" w:rsidR="000F6CF4">
        <w:rPr>
          <w:rFonts w:eastAsia="Times New Roman"/>
        </w:rPr>
        <w:t xml:space="preserve"> </w:t>
      </w:r>
      <w:r w:rsidRPr="004F4940" w:rsidR="000F6CF4">
        <w:rPr>
          <w:rFonts w:eastAsia="Times New Roman"/>
        </w:rPr>
        <w:t>only</w:t>
      </w:r>
      <w:r w:rsidRPr="004F4940" w:rsidR="002032B5">
        <w:rPr>
          <w:rFonts w:eastAsia="Times New Roman"/>
        </w:rPr>
        <w:t xml:space="preserve"> </w:t>
      </w:r>
      <w:r w:rsidRPr="004F4940" w:rsidR="00E31B14">
        <w:rPr>
          <w:rFonts w:eastAsia="Times New Roman"/>
        </w:rPr>
        <w:t xml:space="preserve">those </w:t>
      </w:r>
      <w:r w:rsidRPr="004F4940" w:rsidR="002032B5">
        <w:rPr>
          <w:rFonts w:eastAsia="Times New Roman"/>
        </w:rPr>
        <w:t xml:space="preserve">generation resources not relied upon during </w:t>
      </w:r>
      <w:r w:rsidRPr="004F4940" w:rsidR="000F6CF4">
        <w:rPr>
          <w:rFonts w:eastAsia="Times New Roman"/>
        </w:rPr>
        <w:t>freezing conditions</w:t>
      </w:r>
      <w:r w:rsidRPr="004F4940" w:rsidR="004E093E">
        <w:rPr>
          <w:rFonts w:eastAsia="Times New Roman"/>
        </w:rPr>
        <w:t>.</w:t>
      </w:r>
      <w:r>
        <w:rPr>
          <w:rFonts w:eastAsia="Times New Roman"/>
          <w:b/>
          <w:vertAlign w:val="superscript"/>
        </w:rPr>
        <w:footnoteReference w:id="12"/>
      </w:r>
      <w:r w:rsidRPr="004F4940" w:rsidR="004E093E">
        <w:rPr>
          <w:rFonts w:eastAsia="Times New Roman"/>
        </w:rPr>
        <w:t xml:space="preserve">  </w:t>
      </w:r>
      <w:r w:rsidRPr="004F4940">
        <w:rPr>
          <w:rFonts w:eastAsia="Times New Roman"/>
        </w:rPr>
        <w:t>A</w:t>
      </w:r>
      <w:r w:rsidRPr="004F4940" w:rsidR="003966D5">
        <w:rPr>
          <w:rFonts w:eastAsia="Times New Roman"/>
        </w:rPr>
        <w:t xml:space="preserve">s </w:t>
      </w:r>
      <w:r w:rsidRPr="004F4940" w:rsidR="00B431EF">
        <w:rPr>
          <w:rFonts w:eastAsia="Times New Roman"/>
        </w:rPr>
        <w:t>discussed further below, our directive to NERC</w:t>
      </w:r>
      <w:r w:rsidRPr="004F4940" w:rsidR="003966D5">
        <w:rPr>
          <w:rFonts w:eastAsia="Times New Roman"/>
        </w:rPr>
        <w:t xml:space="preserve"> </w:t>
      </w:r>
      <w:r w:rsidRPr="004F4940" w:rsidR="00D425C8">
        <w:rPr>
          <w:rFonts w:eastAsia="Times New Roman"/>
        </w:rPr>
        <w:t xml:space="preserve">is to clarify the language of the applicability section to align with </w:t>
      </w:r>
      <w:r w:rsidRPr="004F4940" w:rsidR="00100C29">
        <w:rPr>
          <w:rFonts w:eastAsia="Times New Roman"/>
        </w:rPr>
        <w:t xml:space="preserve">NERC’s </w:t>
      </w:r>
      <w:r w:rsidRPr="004F4940" w:rsidR="00D425C8">
        <w:rPr>
          <w:rFonts w:eastAsia="Times New Roman"/>
        </w:rPr>
        <w:t xml:space="preserve">explanation </w:t>
      </w:r>
      <w:r w:rsidRPr="004F4940" w:rsidR="00100C29">
        <w:rPr>
          <w:rFonts w:eastAsia="Times New Roman"/>
        </w:rPr>
        <w:t xml:space="preserve">of the entities that should </w:t>
      </w:r>
      <w:r w:rsidRPr="004F4940" w:rsidR="001F4F6B">
        <w:rPr>
          <w:rFonts w:eastAsia="Times New Roman"/>
        </w:rPr>
        <w:t xml:space="preserve">already be preparing to </w:t>
      </w:r>
      <w:r w:rsidRPr="004F4940" w:rsidR="00100C29">
        <w:rPr>
          <w:rFonts w:eastAsia="Times New Roman"/>
        </w:rPr>
        <w:t>comply</w:t>
      </w:r>
      <w:r w:rsidRPr="004F4940" w:rsidR="001F4F6B">
        <w:rPr>
          <w:rFonts w:eastAsia="Times New Roman"/>
        </w:rPr>
        <w:t xml:space="preserve"> with the Standard</w:t>
      </w:r>
      <w:r w:rsidRPr="004F4940" w:rsidR="00D425C8">
        <w:rPr>
          <w:rFonts w:eastAsia="Times New Roman"/>
        </w:rPr>
        <w:t xml:space="preserve">, </w:t>
      </w:r>
      <w:r w:rsidRPr="004F4940" w:rsidR="006967BA">
        <w:rPr>
          <w:rFonts w:eastAsia="Times New Roman"/>
        </w:rPr>
        <w:t xml:space="preserve">and </w:t>
      </w:r>
      <w:r w:rsidRPr="004F4940" w:rsidR="002B6CE8">
        <w:rPr>
          <w:rFonts w:eastAsia="Times New Roman"/>
        </w:rPr>
        <w:t xml:space="preserve">should </w:t>
      </w:r>
      <w:r w:rsidRPr="004F4940" w:rsidR="006967BA">
        <w:rPr>
          <w:rFonts w:eastAsia="Times New Roman"/>
        </w:rPr>
        <w:t>not</w:t>
      </w:r>
      <w:r w:rsidRPr="004F4940" w:rsidR="002B6CE8">
        <w:rPr>
          <w:rFonts w:eastAsia="Times New Roman"/>
        </w:rPr>
        <w:t xml:space="preserve"> need additional implementation time.  Therefore, </w:t>
      </w:r>
      <w:r w:rsidRPr="004F4940" w:rsidR="00D425C8">
        <w:rPr>
          <w:rFonts w:eastAsia="Times New Roman"/>
        </w:rPr>
        <w:t xml:space="preserve">NERC should ensure the </w:t>
      </w:r>
      <w:r w:rsidRPr="004F4940" w:rsidR="001454A9">
        <w:rPr>
          <w:rFonts w:eastAsia="Times New Roman"/>
        </w:rPr>
        <w:t>modified</w:t>
      </w:r>
      <w:r w:rsidRPr="004F4940" w:rsidR="00D425C8">
        <w:rPr>
          <w:rFonts w:eastAsia="Times New Roman"/>
        </w:rPr>
        <w:t xml:space="preserve"> applicability</w:t>
      </w:r>
      <w:r w:rsidRPr="004F4940" w:rsidR="002939E7">
        <w:rPr>
          <w:rFonts w:eastAsia="Times New Roman"/>
        </w:rPr>
        <w:t xml:space="preserve"> section of Reliability Standard EOP-012</w:t>
      </w:r>
      <w:r w:rsidRPr="004F4940" w:rsidR="00D425C8">
        <w:rPr>
          <w:rFonts w:eastAsia="Times New Roman"/>
        </w:rPr>
        <w:t xml:space="preserve"> is</w:t>
      </w:r>
      <w:r w:rsidRPr="004F4940" w:rsidR="00C70C3A">
        <w:rPr>
          <w:rFonts w:eastAsia="Times New Roman"/>
        </w:rPr>
        <w:t xml:space="preserve"> implemented</w:t>
      </w:r>
      <w:r w:rsidRPr="004F4940" w:rsidR="00B3750A">
        <w:rPr>
          <w:rFonts w:eastAsia="Times New Roman"/>
        </w:rPr>
        <w:t xml:space="preserve"> </w:t>
      </w:r>
      <w:r w:rsidRPr="004F4940" w:rsidR="000D5D6E">
        <w:rPr>
          <w:rFonts w:eastAsia="Times New Roman"/>
        </w:rPr>
        <w:t xml:space="preserve">as of the </w:t>
      </w:r>
      <w:r w:rsidRPr="004F4940" w:rsidR="00B3750A">
        <w:rPr>
          <w:rFonts w:eastAsia="Times New Roman"/>
        </w:rPr>
        <w:t>effective date</w:t>
      </w:r>
      <w:r>
        <w:rPr>
          <w:rStyle w:val="FootnoteReference"/>
          <w:rFonts w:eastAsia="Times New Roman"/>
        </w:rPr>
        <w:footnoteReference w:id="13"/>
      </w:r>
      <w:r w:rsidRPr="004F4940" w:rsidR="00B3750A">
        <w:rPr>
          <w:rFonts w:eastAsia="Times New Roman"/>
        </w:rPr>
        <w:t xml:space="preserve"> of Reliability Standard EOP-012-1</w:t>
      </w:r>
      <w:r w:rsidRPr="004F4940" w:rsidR="00872BF1">
        <w:rPr>
          <w:rFonts w:eastAsia="Times New Roman"/>
        </w:rPr>
        <w:t>.</w:t>
      </w:r>
    </w:p>
    <w:p w:rsidR="002B6CE8" w:rsidRPr="004F4940" w:rsidP="006E7EC2" w14:paraId="12956B9F" w14:textId="11517461">
      <w:pPr>
        <w:pStyle w:val="FERCparanumber"/>
      </w:pPr>
      <w:r w:rsidRPr="004F4940">
        <w:t xml:space="preserve">Further, as Reliability Standard EOP-011-2 </w:t>
      </w:r>
      <w:r w:rsidRPr="004F4940" w:rsidR="00CE54C0">
        <w:t xml:space="preserve">requirements to implement and maintain cold weather preparedness plan(s) and associated training </w:t>
      </w:r>
      <w:r w:rsidRPr="004F4940">
        <w:t>applies to all bulk electric system generating units, we defer our decision o</w:t>
      </w:r>
      <w:r w:rsidRPr="004F4940" w:rsidR="00E31B14">
        <w:t>n</w:t>
      </w:r>
      <w:r w:rsidRPr="004F4940">
        <w:t xml:space="preserve"> whether to approve or modify NERC’s proposed implementation date for Reliability Standard EOP-011-3 (and proposed retirement of Reliability Standard EOP-011-2) until NERC</w:t>
      </w:r>
      <w:r w:rsidRPr="004F4940" w:rsidR="00ED50E0">
        <w:t xml:space="preserve"> submits its</w:t>
      </w:r>
      <w:r w:rsidRPr="004F4940">
        <w:t xml:space="preserve"> revised applicability section </w:t>
      </w:r>
      <w:r w:rsidRPr="004F4940" w:rsidR="00E31B14">
        <w:t>for EOP-012</w:t>
      </w:r>
      <w:r w:rsidRPr="004F4940">
        <w:t xml:space="preserve">.  Allowing </w:t>
      </w:r>
      <w:r w:rsidRPr="004F4940" w:rsidR="00F62D1A">
        <w:t>EOP-011-2</w:t>
      </w:r>
      <w:r w:rsidRPr="004F4940">
        <w:t xml:space="preserve"> requirements to remain mandatory and enforceable </w:t>
      </w:r>
      <w:r w:rsidRPr="004F4940" w:rsidR="00251C5B">
        <w:t xml:space="preserve">until such time as the revised applicability </w:t>
      </w:r>
      <w:r w:rsidRPr="004F4940" w:rsidR="005C37C8">
        <w:t>is</w:t>
      </w:r>
      <w:r w:rsidRPr="004F4940" w:rsidR="00251C5B">
        <w:t xml:space="preserve"> effective for EOP-012</w:t>
      </w:r>
      <w:r w:rsidRPr="004F4940" w:rsidR="00A56940">
        <w:t xml:space="preserve"> </w:t>
      </w:r>
      <w:r w:rsidRPr="004F4940">
        <w:t xml:space="preserve">will ensure all bulk electric system generating units are </w:t>
      </w:r>
      <w:r w:rsidRPr="004F4940" w:rsidR="00D03CC8">
        <w:t xml:space="preserve">required to </w:t>
      </w:r>
      <w:r w:rsidRPr="004F4940" w:rsidR="003D1EA0">
        <w:t>maintain cold weather preparedness plans</w:t>
      </w:r>
      <w:r w:rsidRPr="004F4940">
        <w:t>.</w:t>
      </w:r>
    </w:p>
    <w:p w:rsidR="00707738" w:rsidRPr="004F4940" w:rsidP="004F4940" w14:paraId="780FA890" w14:textId="35FD735C">
      <w:pPr>
        <w:pStyle w:val="FERCparanumber"/>
        <w:suppressLineNumbers/>
        <w:rPr>
          <w:rFonts w:eastAsia="Times New Roman"/>
        </w:rPr>
      </w:pPr>
      <w:r w:rsidRPr="004F4940">
        <w:rPr>
          <w:rFonts w:eastAsia="Times New Roman"/>
        </w:rPr>
        <w:t xml:space="preserve">In addition, we direct NERC to develop and submit modifications to Reliability Standard EOP-012-1 </w:t>
      </w:r>
      <w:r w:rsidRPr="004F4940" w:rsidR="00131245">
        <w:rPr>
          <w:rFonts w:eastAsia="Times New Roman"/>
        </w:rPr>
        <w:t>Requirements R1 and R7 to address concerns related to the ambiguity</w:t>
      </w:r>
      <w:r w:rsidRPr="004F4940" w:rsidR="002C287E">
        <w:rPr>
          <w:rFonts w:eastAsia="Times New Roman"/>
        </w:rPr>
        <w:t xml:space="preserve"> </w:t>
      </w:r>
      <w:r w:rsidRPr="004F4940" w:rsidR="411DC852">
        <w:rPr>
          <w:rFonts w:eastAsia="Times New Roman"/>
        </w:rPr>
        <w:t>of generator</w:t>
      </w:r>
      <w:r w:rsidRPr="004F4940" w:rsidR="04D5E08B">
        <w:rPr>
          <w:rFonts w:eastAsia="Times New Roman"/>
        </w:rPr>
        <w:t xml:space="preserve">-defined declarations of technical, commercial, or </w:t>
      </w:r>
      <w:r w:rsidRPr="004F4940" w:rsidR="00F50302">
        <w:rPr>
          <w:rFonts w:eastAsia="Times New Roman"/>
        </w:rPr>
        <w:t xml:space="preserve">operational </w:t>
      </w:r>
      <w:r w:rsidRPr="004F4940" w:rsidR="04D5E08B">
        <w:rPr>
          <w:rFonts w:eastAsia="Times New Roman"/>
        </w:rPr>
        <w:t xml:space="preserve">constraints that </w:t>
      </w:r>
      <w:r w:rsidRPr="004F4940" w:rsidR="5CC2D324">
        <w:rPr>
          <w:rFonts w:eastAsia="Times New Roman"/>
        </w:rPr>
        <w:t>exempt</w:t>
      </w:r>
      <w:r w:rsidRPr="004F4940" w:rsidR="04D5E08B">
        <w:rPr>
          <w:rFonts w:eastAsia="Times New Roman"/>
        </w:rPr>
        <w:t xml:space="preserve"> a generator owner from implementing </w:t>
      </w:r>
      <w:r w:rsidRPr="004F4940" w:rsidR="00F73916">
        <w:rPr>
          <w:rFonts w:eastAsia="Times New Roman"/>
        </w:rPr>
        <w:t xml:space="preserve">the </w:t>
      </w:r>
      <w:r w:rsidRPr="004F4940" w:rsidR="04D5E08B">
        <w:rPr>
          <w:rFonts w:eastAsia="Times New Roman"/>
        </w:rPr>
        <w:t>appropriate freeze protection measures</w:t>
      </w:r>
      <w:r w:rsidRPr="004F4940" w:rsidR="006D04F4">
        <w:rPr>
          <w:rFonts w:eastAsia="Times New Roman"/>
        </w:rPr>
        <w:t xml:space="preserve">.  </w:t>
      </w:r>
      <w:r w:rsidRPr="004F4940" w:rsidR="00E63032">
        <w:rPr>
          <w:rFonts w:eastAsia="Times New Roman"/>
        </w:rPr>
        <w:t>W</w:t>
      </w:r>
      <w:r w:rsidRPr="004F4940" w:rsidR="00EA4EB4">
        <w:rPr>
          <w:rFonts w:eastAsia="Times New Roman"/>
        </w:rPr>
        <w:t xml:space="preserve">e direct NERC to </w:t>
      </w:r>
      <w:r w:rsidRPr="004F4940" w:rsidR="6ABC0783">
        <w:rPr>
          <w:rFonts w:eastAsia="Times New Roman"/>
        </w:rPr>
        <w:t>include</w:t>
      </w:r>
      <w:r w:rsidRPr="004F4940" w:rsidR="00EA4EB4">
        <w:rPr>
          <w:rFonts w:eastAsia="Times New Roman"/>
        </w:rPr>
        <w:t xml:space="preserve"> </w:t>
      </w:r>
      <w:r w:rsidRPr="004F4940" w:rsidR="0076150B">
        <w:rPr>
          <w:rFonts w:eastAsia="Times New Roman"/>
        </w:rPr>
        <w:t>in the Standard</w:t>
      </w:r>
      <w:r w:rsidR="0044268B">
        <w:rPr>
          <w:rFonts w:eastAsia="Times New Roman"/>
        </w:rPr>
        <w:t>:</w:t>
      </w:r>
      <w:r w:rsidRPr="004F4940" w:rsidR="0076150B">
        <w:rPr>
          <w:rFonts w:eastAsia="Times New Roman"/>
        </w:rPr>
        <w:t xml:space="preserve"> </w:t>
      </w:r>
      <w:r w:rsidRPr="004F4940" w:rsidR="00CC1BDA">
        <w:rPr>
          <w:rFonts w:eastAsia="Times New Roman"/>
        </w:rPr>
        <w:t xml:space="preserve">objective </w:t>
      </w:r>
      <w:r w:rsidRPr="004F4940" w:rsidR="00EA4EB4">
        <w:rPr>
          <w:rFonts w:eastAsia="Times New Roman"/>
        </w:rPr>
        <w:t xml:space="preserve">criteria </w:t>
      </w:r>
      <w:r w:rsidRPr="004F4940" w:rsidR="6ABC0783">
        <w:rPr>
          <w:rFonts w:eastAsia="Times New Roman"/>
        </w:rPr>
        <w:t>on</w:t>
      </w:r>
      <w:r w:rsidRPr="004F4940" w:rsidR="00EA4EB4">
        <w:rPr>
          <w:rFonts w:eastAsia="Times New Roman"/>
        </w:rPr>
        <w:t xml:space="preserve"> permissible </w:t>
      </w:r>
      <w:r w:rsidRPr="004F4940" w:rsidR="00866104">
        <w:rPr>
          <w:rFonts w:eastAsia="Times New Roman"/>
        </w:rPr>
        <w:t xml:space="preserve">technical, commercial, and operational </w:t>
      </w:r>
      <w:r w:rsidRPr="004F4940" w:rsidR="00EA4EB4">
        <w:rPr>
          <w:rFonts w:eastAsia="Times New Roman"/>
        </w:rPr>
        <w:t>constraint</w:t>
      </w:r>
      <w:r w:rsidRPr="004F4940" w:rsidR="009B0C4E">
        <w:rPr>
          <w:rFonts w:eastAsia="Times New Roman"/>
        </w:rPr>
        <w:t>s</w:t>
      </w:r>
      <w:r w:rsidR="00BA4492">
        <w:rPr>
          <w:rFonts w:eastAsia="Times New Roman"/>
        </w:rPr>
        <w:t>,</w:t>
      </w:r>
      <w:r w:rsidRPr="004F4940" w:rsidR="00EA4EB4">
        <w:rPr>
          <w:rFonts w:eastAsia="Times New Roman"/>
        </w:rPr>
        <w:t xml:space="preserve"> </w:t>
      </w:r>
      <w:r w:rsidRPr="004F4940" w:rsidR="00086158">
        <w:rPr>
          <w:rFonts w:eastAsia="Times New Roman"/>
        </w:rPr>
        <w:t>to</w:t>
      </w:r>
      <w:r w:rsidRPr="004F4940" w:rsidR="009B0C4E">
        <w:rPr>
          <w:rFonts w:eastAsia="Times New Roman"/>
        </w:rPr>
        <w:t xml:space="preserve"> identify</w:t>
      </w:r>
      <w:r w:rsidRPr="004F4940" w:rsidR="00EA4EB4">
        <w:rPr>
          <w:rFonts w:eastAsia="Times New Roman"/>
        </w:rPr>
        <w:t xml:space="preserve"> the appropriate entity that would </w:t>
      </w:r>
      <w:r w:rsidRPr="004F4940" w:rsidR="00C73F15">
        <w:rPr>
          <w:rFonts w:eastAsia="Times New Roman"/>
        </w:rPr>
        <w:t xml:space="preserve">receive </w:t>
      </w:r>
      <w:r w:rsidRPr="004F4940" w:rsidR="00EA4EB4">
        <w:rPr>
          <w:rFonts w:eastAsia="Times New Roman"/>
        </w:rPr>
        <w:t>the generator owners’ constraint declarations under EOP-012-1 Requirements R1 and R7</w:t>
      </w:r>
      <w:r w:rsidRPr="004F4940" w:rsidR="00A3281F">
        <w:rPr>
          <w:rFonts w:eastAsia="Times New Roman"/>
        </w:rPr>
        <w:t>,</w:t>
      </w:r>
      <w:r w:rsidRPr="004F4940" w:rsidR="00D43E90">
        <w:rPr>
          <w:rFonts w:eastAsia="Times New Roman"/>
        </w:rPr>
        <w:t xml:space="preserve"> </w:t>
      </w:r>
      <w:r w:rsidRPr="004F4940" w:rsidR="00F52BB1">
        <w:rPr>
          <w:rFonts w:eastAsia="Times New Roman"/>
        </w:rPr>
        <w:t>to describe how</w:t>
      </w:r>
      <w:r w:rsidRPr="004F4940" w:rsidR="00D43E90">
        <w:rPr>
          <w:rFonts w:eastAsia="Times New Roman"/>
        </w:rPr>
        <w:t xml:space="preserve"> that entity would confirm that </w:t>
      </w:r>
      <w:r w:rsidRPr="004F4940" w:rsidR="00F52BB1">
        <w:rPr>
          <w:rFonts w:eastAsia="Times New Roman"/>
        </w:rPr>
        <w:t xml:space="preserve">the </w:t>
      </w:r>
      <w:r w:rsidR="00C24FBA">
        <w:rPr>
          <w:rFonts w:eastAsia="Times New Roman"/>
        </w:rPr>
        <w:t xml:space="preserve">generator </w:t>
      </w:r>
      <w:r w:rsidRPr="004F4940" w:rsidR="00F52BB1">
        <w:rPr>
          <w:rFonts w:eastAsia="Times New Roman"/>
        </w:rPr>
        <w:t xml:space="preserve">owners </w:t>
      </w:r>
      <w:r w:rsidRPr="004F4940" w:rsidR="00D43E90">
        <w:rPr>
          <w:rFonts w:eastAsia="Times New Roman"/>
        </w:rPr>
        <w:t>comply with the objective criteria</w:t>
      </w:r>
      <w:r w:rsidRPr="004F4940" w:rsidR="005E72DC">
        <w:rPr>
          <w:rFonts w:eastAsia="Times New Roman"/>
        </w:rPr>
        <w:t xml:space="preserve">, </w:t>
      </w:r>
      <w:r w:rsidRPr="004F4940" w:rsidR="00292056">
        <w:rPr>
          <w:rFonts w:eastAsia="Times New Roman"/>
        </w:rPr>
        <w:t xml:space="preserve">and </w:t>
      </w:r>
      <w:r w:rsidRPr="004F4940" w:rsidR="00F81F1A">
        <w:rPr>
          <w:rFonts w:eastAsia="Times New Roman"/>
        </w:rPr>
        <w:t>to describe</w:t>
      </w:r>
      <w:r w:rsidRPr="004F4940" w:rsidR="00292056">
        <w:rPr>
          <w:rFonts w:eastAsia="Times New Roman"/>
        </w:rPr>
        <w:t xml:space="preserve"> the consequences of providing a </w:t>
      </w:r>
      <w:r w:rsidRPr="004F4940" w:rsidR="00F81F1A">
        <w:rPr>
          <w:rFonts w:eastAsia="Times New Roman"/>
        </w:rPr>
        <w:t xml:space="preserve">constraint </w:t>
      </w:r>
      <w:r w:rsidRPr="004F4940" w:rsidR="00292056">
        <w:rPr>
          <w:rFonts w:eastAsia="Times New Roman"/>
        </w:rPr>
        <w:t>declaration</w:t>
      </w:r>
      <w:r w:rsidRPr="004F4940" w:rsidR="00EA4EB4">
        <w:rPr>
          <w:rFonts w:eastAsia="Times New Roman"/>
        </w:rPr>
        <w:t>.</w:t>
      </w:r>
      <w:r w:rsidRPr="004F4940" w:rsidR="000D4718">
        <w:rPr>
          <w:rFonts w:eastAsia="Times New Roman"/>
        </w:rPr>
        <w:t xml:space="preserve">  </w:t>
      </w:r>
      <w:bookmarkStart w:id="5" w:name="_Hlk126907392"/>
      <w:r w:rsidRPr="004F4940" w:rsidR="00E479CC">
        <w:rPr>
          <w:rFonts w:eastAsia="Times New Roman"/>
        </w:rPr>
        <w:t xml:space="preserve">We direct NERC to modify this Standard to ensure that declarations </w:t>
      </w:r>
      <w:r w:rsidRPr="004F4940" w:rsidR="00016447">
        <w:rPr>
          <w:rFonts w:eastAsia="Times New Roman"/>
        </w:rPr>
        <w:t>cannot be used to opt</w:t>
      </w:r>
      <w:r w:rsidRPr="004F4940" w:rsidR="004F46FF">
        <w:rPr>
          <w:rFonts w:eastAsia="Times New Roman"/>
        </w:rPr>
        <w:t xml:space="preserve"> </w:t>
      </w:r>
      <w:r w:rsidRPr="004F4940" w:rsidR="00016447">
        <w:rPr>
          <w:rFonts w:eastAsia="Times New Roman"/>
        </w:rPr>
        <w:t>out of mandatory compliance with the Standard</w:t>
      </w:r>
      <w:r w:rsidRPr="004F4940" w:rsidR="00E62BE4">
        <w:rPr>
          <w:rFonts w:eastAsia="Times New Roman"/>
        </w:rPr>
        <w:t xml:space="preserve"> or obligations set forth in a corrective action plan</w:t>
      </w:r>
      <w:r w:rsidRPr="004F4940" w:rsidR="00E76675">
        <w:rPr>
          <w:rFonts w:eastAsia="Times New Roman"/>
        </w:rPr>
        <w:t>.</w:t>
      </w:r>
      <w:r w:rsidRPr="004F4940" w:rsidR="00B2167D">
        <w:rPr>
          <w:rFonts w:eastAsia="Times New Roman"/>
        </w:rPr>
        <w:t xml:space="preserve">  </w:t>
      </w:r>
      <w:r w:rsidRPr="004F4940" w:rsidR="00211AD9">
        <w:rPr>
          <w:rFonts w:eastAsia="Times New Roman"/>
        </w:rPr>
        <w:t>We</w:t>
      </w:r>
      <w:r w:rsidRPr="004F4940" w:rsidR="000D4718">
        <w:rPr>
          <w:rFonts w:eastAsia="Times New Roman"/>
        </w:rPr>
        <w:t xml:space="preserve"> direct NERC</w:t>
      </w:r>
      <w:r w:rsidRPr="004F4940" w:rsidR="00494881">
        <w:rPr>
          <w:rFonts w:eastAsia="Times New Roman"/>
        </w:rPr>
        <w:t xml:space="preserve"> </w:t>
      </w:r>
      <w:r w:rsidRPr="004F4940" w:rsidR="000D4718">
        <w:rPr>
          <w:rFonts w:eastAsia="Times New Roman"/>
        </w:rPr>
        <w:t xml:space="preserve">to </w:t>
      </w:r>
      <w:r w:rsidRPr="004F4940" w:rsidR="000D4718">
        <w:rPr>
          <w:rFonts w:eastAsia="Times New Roman"/>
        </w:rPr>
        <w:t xml:space="preserve">submit </w:t>
      </w:r>
      <w:r w:rsidR="005F075F">
        <w:rPr>
          <w:rFonts w:eastAsia="Times New Roman"/>
        </w:rPr>
        <w:t>a</w:t>
      </w:r>
      <w:r w:rsidRPr="004F4940" w:rsidR="000D4718">
        <w:rPr>
          <w:rFonts w:eastAsia="Times New Roman"/>
        </w:rPr>
        <w:t xml:space="preserve"> revised Reliability Standard</w:t>
      </w:r>
      <w:r w:rsidRPr="004F4940" w:rsidR="00C73F15">
        <w:rPr>
          <w:rFonts w:eastAsia="Times New Roman"/>
        </w:rPr>
        <w:t xml:space="preserve"> </w:t>
      </w:r>
      <w:r w:rsidRPr="004F4940" w:rsidR="003443D8">
        <w:rPr>
          <w:rFonts w:eastAsia="Times New Roman"/>
        </w:rPr>
        <w:t xml:space="preserve">that addresses these concerns </w:t>
      </w:r>
      <w:r w:rsidRPr="004F4940" w:rsidR="000D4718">
        <w:rPr>
          <w:rFonts w:eastAsia="Times New Roman"/>
        </w:rPr>
        <w:t xml:space="preserve">no later than 12 months after the </w:t>
      </w:r>
      <w:r w:rsidRPr="004F4940" w:rsidR="006C79B2">
        <w:rPr>
          <w:rFonts w:eastAsia="Times New Roman"/>
        </w:rPr>
        <w:t xml:space="preserve">date of </w:t>
      </w:r>
      <w:r w:rsidRPr="004F4940" w:rsidR="000D4718">
        <w:rPr>
          <w:rFonts w:eastAsia="Times New Roman"/>
        </w:rPr>
        <w:t>issuance of this order.</w:t>
      </w:r>
      <w:bookmarkEnd w:id="5"/>
    </w:p>
    <w:p w:rsidR="00A92610" w:rsidRPr="004F4940" w:rsidP="00576EC8" w14:paraId="0B0FBDAD" w14:textId="561081A0">
      <w:pPr>
        <w:pStyle w:val="FERCparanumber"/>
        <w:widowControl w:val="0"/>
        <w:suppressLineNumbers/>
        <w:spacing w:after="240"/>
        <w:rPr>
          <w:rFonts w:eastAsia="Times New Roman"/>
        </w:rPr>
      </w:pPr>
      <w:r w:rsidRPr="004F4940">
        <w:t xml:space="preserve">Under Requirement R1 of EOP-012-1, </w:t>
      </w:r>
      <w:r w:rsidRPr="004F4940" w:rsidR="00B67AAF">
        <w:t>generator owners must</w:t>
      </w:r>
      <w:r w:rsidRPr="004F4940">
        <w:t> </w:t>
      </w:r>
      <w:r w:rsidRPr="004F4940" w:rsidR="00B67AAF">
        <w:t>“</w:t>
      </w:r>
      <w:r w:rsidRPr="004F4940">
        <w:t>[</w:t>
      </w:r>
      <w:r w:rsidRPr="004F4940">
        <w:t>i</w:t>
      </w:r>
      <w:r w:rsidRPr="004F4940">
        <w:t>]</w:t>
      </w:r>
      <w:r w:rsidRPr="004F4940">
        <w:t>mplement</w:t>
      </w:r>
      <w:r w:rsidRPr="004F4940">
        <w:t xml:space="preserve"> freeze </w:t>
      </w:r>
      <w:r w:rsidRPr="004F4940">
        <w:t>protection measures that provide capability to operate for a period of not less than twelve (12) continuous hours at the Extreme Cold Weather Temperature” or “[e]</w:t>
      </w:r>
      <w:r w:rsidRPr="004F4940">
        <w:t>xplain</w:t>
      </w:r>
      <w:r w:rsidRPr="004F4940">
        <w:t xml:space="preserve"> in a declaration any technical, commercial, or operational constraints . . . that preclude the ability to implement appropriate freeze protection measures to provide capability of operating at twelve (12) hours at the documented Extreme Cold Weather Temperature.”</w:t>
      </w:r>
      <w:r>
        <w:rPr>
          <w:rStyle w:val="FootnoteReference"/>
        </w:rPr>
        <w:footnoteReference w:id="14"/>
      </w:r>
      <w:r w:rsidR="007301E1">
        <w:t xml:space="preserve">  </w:t>
      </w:r>
      <w:r w:rsidRPr="004F4940" w:rsidR="00657ACB">
        <w:t>Yet,</w:t>
      </w:r>
      <w:r w:rsidRPr="004F4940" w:rsidR="003B22A1">
        <w:t xml:space="preserve"> </w:t>
      </w:r>
      <w:r w:rsidRPr="004F4940" w:rsidR="00FD6431">
        <w:t xml:space="preserve">based on </w:t>
      </w:r>
      <w:r w:rsidRPr="004F4940" w:rsidR="0091634C">
        <w:t>comments</w:t>
      </w:r>
      <w:r w:rsidRPr="004F4940" w:rsidR="00FD6431">
        <w:t xml:space="preserve"> and our reading of the plain text of the Standard, we are concerned that </w:t>
      </w:r>
      <w:r w:rsidRPr="004F4940" w:rsidR="005B40A8">
        <w:t xml:space="preserve">the requirement </w:t>
      </w:r>
      <w:r w:rsidRPr="004F4940" w:rsidR="000C2507">
        <w:t xml:space="preserve">as written </w:t>
      </w:r>
      <w:r w:rsidRPr="004F4940" w:rsidR="008C7EE6">
        <w:t xml:space="preserve">is </w:t>
      </w:r>
      <w:r w:rsidRPr="004F4940" w:rsidR="00DD76B7">
        <w:rPr>
          <w:rFonts w:eastAsia="Calibri"/>
          <w:szCs w:val="20"/>
        </w:rPr>
        <w:t>un</w:t>
      </w:r>
      <w:r w:rsidRPr="004F4940" w:rsidR="00EA4371">
        <w:rPr>
          <w:rFonts w:eastAsia="Calibri"/>
          <w:szCs w:val="20"/>
        </w:rPr>
        <w:t xml:space="preserve">clear </w:t>
      </w:r>
      <w:r w:rsidRPr="004F4940" w:rsidR="008C7EE6">
        <w:rPr>
          <w:rFonts w:eastAsia="Calibri"/>
          <w:szCs w:val="20"/>
        </w:rPr>
        <w:t>whether</w:t>
      </w:r>
      <w:r w:rsidRPr="004F4940" w:rsidR="00EA4371">
        <w:rPr>
          <w:rFonts w:eastAsia="Calibri"/>
          <w:szCs w:val="20"/>
        </w:rPr>
        <w:t xml:space="preserve"> </w:t>
      </w:r>
      <w:r w:rsidRPr="004F4940" w:rsidR="00DE3E8C">
        <w:rPr>
          <w:rFonts w:eastAsia="Calibri"/>
          <w:szCs w:val="20"/>
        </w:rPr>
        <w:t xml:space="preserve">new intermittent units </w:t>
      </w:r>
      <w:r w:rsidRPr="004F4940" w:rsidR="00EA4371">
        <w:rPr>
          <w:rFonts w:eastAsia="Calibri"/>
          <w:szCs w:val="20"/>
        </w:rPr>
        <w:t xml:space="preserve">will </w:t>
      </w:r>
      <w:r w:rsidRPr="004F4940" w:rsidR="00DE3E8C">
        <w:rPr>
          <w:rFonts w:eastAsia="Calibri"/>
          <w:szCs w:val="20"/>
        </w:rPr>
        <w:t xml:space="preserve">be </w:t>
      </w:r>
      <w:r w:rsidRPr="004F4940" w:rsidR="00BC6871">
        <w:rPr>
          <w:rFonts w:eastAsia="Calibri"/>
          <w:szCs w:val="20"/>
        </w:rPr>
        <w:t>considered by all generator owners as being capable of</w:t>
      </w:r>
      <w:r w:rsidRPr="004F4940" w:rsidR="00DE3E8C">
        <w:rPr>
          <w:rFonts w:eastAsia="Calibri"/>
          <w:szCs w:val="20"/>
        </w:rPr>
        <w:t xml:space="preserve"> </w:t>
      </w:r>
      <w:r w:rsidRPr="004F4940" w:rsidR="00F67BF5">
        <w:rPr>
          <w:rFonts w:eastAsia="Calibri"/>
          <w:szCs w:val="20"/>
        </w:rPr>
        <w:t>operating for</w:t>
      </w:r>
      <w:r w:rsidRPr="004F4940" w:rsidR="00DD76B7">
        <w:rPr>
          <w:rFonts w:eastAsia="Calibri"/>
          <w:szCs w:val="20"/>
        </w:rPr>
        <w:t xml:space="preserve"> at least</w:t>
      </w:r>
      <w:r w:rsidRPr="004F4940" w:rsidR="00F67BF5">
        <w:rPr>
          <w:rFonts w:eastAsia="Calibri"/>
          <w:szCs w:val="20"/>
        </w:rPr>
        <w:t xml:space="preserve"> </w:t>
      </w:r>
      <w:r w:rsidRPr="004F4940" w:rsidR="00DD76B7">
        <w:rPr>
          <w:rFonts w:eastAsia="Calibri"/>
          <w:szCs w:val="20"/>
        </w:rPr>
        <w:t>12</w:t>
      </w:r>
      <w:r w:rsidRPr="004F4940" w:rsidR="008619DF">
        <w:rPr>
          <w:rFonts w:eastAsia="Calibri"/>
          <w:szCs w:val="20"/>
        </w:rPr>
        <w:t> </w:t>
      </w:r>
      <w:r w:rsidRPr="004F4940" w:rsidR="00DD76B7">
        <w:rPr>
          <w:rFonts w:eastAsia="Calibri"/>
          <w:szCs w:val="20"/>
        </w:rPr>
        <w:t>continuous hours</w:t>
      </w:r>
      <w:r w:rsidRPr="004F4940" w:rsidR="00750405">
        <w:rPr>
          <w:rFonts w:eastAsia="Calibri"/>
          <w:szCs w:val="20"/>
        </w:rPr>
        <w:t>, and thus</w:t>
      </w:r>
      <w:r w:rsidR="00BE7612">
        <w:rPr>
          <w:rFonts w:eastAsia="Calibri"/>
          <w:szCs w:val="20"/>
        </w:rPr>
        <w:t>,</w:t>
      </w:r>
      <w:r w:rsidRPr="004F4940" w:rsidR="002A6E0B">
        <w:rPr>
          <w:rFonts w:eastAsia="Calibri"/>
          <w:szCs w:val="20"/>
        </w:rPr>
        <w:t xml:space="preserve"> must comply with the Requirement</w:t>
      </w:r>
      <w:r w:rsidRPr="004F4940" w:rsidR="00DD76B7">
        <w:rPr>
          <w:rFonts w:eastAsia="Calibri"/>
          <w:szCs w:val="20"/>
        </w:rPr>
        <w:t xml:space="preserve">.  </w:t>
      </w:r>
      <w:r w:rsidRPr="00E16494" w:rsidR="00E33B4B">
        <w:rPr>
          <w:rFonts w:eastAsia="Calibri"/>
          <w:szCs w:val="20"/>
        </w:rPr>
        <w:t>Th</w:t>
      </w:r>
      <w:r w:rsidR="00BE7612">
        <w:rPr>
          <w:rFonts w:eastAsia="Calibri"/>
          <w:szCs w:val="20"/>
        </w:rPr>
        <w:t>erefore</w:t>
      </w:r>
      <w:r w:rsidRPr="004F4940" w:rsidR="00E33B4B">
        <w:rPr>
          <w:rFonts w:eastAsia="Calibri"/>
          <w:szCs w:val="20"/>
        </w:rPr>
        <w:t>, w</w:t>
      </w:r>
      <w:r w:rsidRPr="004F4940" w:rsidR="007B58E4">
        <w:rPr>
          <w:rFonts w:eastAsia="Calibri"/>
          <w:szCs w:val="20"/>
        </w:rPr>
        <w:t xml:space="preserve">e direct </w:t>
      </w:r>
      <w:r w:rsidRPr="004F4940" w:rsidR="004B7F52">
        <w:rPr>
          <w:rFonts w:eastAsia="Times New Roman"/>
        </w:rPr>
        <w:t xml:space="preserve">NERC </w:t>
      </w:r>
      <w:r w:rsidRPr="004F4940" w:rsidR="007B58E4">
        <w:rPr>
          <w:rFonts w:eastAsia="Times New Roman"/>
        </w:rPr>
        <w:t>to</w:t>
      </w:r>
      <w:r w:rsidRPr="004F4940" w:rsidR="00E33B4B">
        <w:rPr>
          <w:rFonts w:eastAsia="Times New Roman"/>
        </w:rPr>
        <w:t xml:space="preserve"> modify the Standard to clarify Reliability Standard EOP-012-1 Requirement R1 to </w:t>
      </w:r>
      <w:r w:rsidRPr="004F4940" w:rsidR="006F684C">
        <w:rPr>
          <w:rFonts w:eastAsia="Times New Roman"/>
        </w:rPr>
        <w:t xml:space="preserve">ensure that generators </w:t>
      </w:r>
      <w:r w:rsidRPr="004F4940" w:rsidR="002F7086">
        <w:rPr>
          <w:rFonts w:eastAsia="Times New Roman"/>
        </w:rPr>
        <w:t>that are</w:t>
      </w:r>
      <w:r w:rsidRPr="004F4940" w:rsidR="00D16D88">
        <w:rPr>
          <w:rFonts w:eastAsia="Times New Roman"/>
        </w:rPr>
        <w:t xml:space="preserve"> technically</w:t>
      </w:r>
      <w:r w:rsidRPr="004F4940" w:rsidR="002F7086">
        <w:rPr>
          <w:rFonts w:eastAsia="Times New Roman"/>
        </w:rPr>
        <w:t xml:space="preserve"> </w:t>
      </w:r>
      <w:r w:rsidRPr="004F4940" w:rsidR="00293C33">
        <w:rPr>
          <w:rFonts w:eastAsia="Times New Roman"/>
        </w:rPr>
        <w:t xml:space="preserve">incapable of </w:t>
      </w:r>
      <w:r w:rsidRPr="004F4940" w:rsidR="00684310">
        <w:rPr>
          <w:rFonts w:eastAsia="Times New Roman"/>
        </w:rPr>
        <w:t>operating for 12 continuous hours</w:t>
      </w:r>
      <w:r w:rsidRPr="004F4940" w:rsidR="00AE5D03">
        <w:rPr>
          <w:rFonts w:eastAsia="Times New Roman"/>
        </w:rPr>
        <w:t xml:space="preserve"> (e.g., solar facilities during winter months with less than 12 hours of sunlight) </w:t>
      </w:r>
      <w:r w:rsidRPr="004F4940" w:rsidR="006F684C">
        <w:rPr>
          <w:rFonts w:eastAsia="Times New Roman"/>
        </w:rPr>
        <w:t>are not excluded</w:t>
      </w:r>
      <w:r w:rsidRPr="004F4940" w:rsidR="00AE5D03">
        <w:rPr>
          <w:rFonts w:eastAsia="Times New Roman"/>
        </w:rPr>
        <w:t xml:space="preserve"> from complying with the Standard</w:t>
      </w:r>
      <w:r w:rsidRPr="004F4940" w:rsidR="00E33B4B">
        <w:rPr>
          <w:rFonts w:eastAsia="Times New Roman"/>
        </w:rPr>
        <w:t xml:space="preserve">.  We direct NERC to </w:t>
      </w:r>
      <w:r w:rsidRPr="004F4940" w:rsidR="004B7F52">
        <w:rPr>
          <w:rFonts w:eastAsia="Times New Roman"/>
        </w:rPr>
        <w:t>submit the revised Reliability Standard no later than 12 months after the date of issuance of this order.</w:t>
      </w:r>
    </w:p>
    <w:p w:rsidR="00425487" w:rsidRPr="004F4940" w:rsidP="00576EC8" w14:paraId="63FE5FF1" w14:textId="7F74A74D">
      <w:pPr>
        <w:pStyle w:val="FERCparanumber"/>
        <w:widowControl w:val="0"/>
        <w:suppressLineNumbers/>
        <w:spacing w:after="240"/>
        <w:rPr>
          <w:rFonts w:eastAsia="Times New Roman"/>
        </w:rPr>
      </w:pPr>
      <w:r w:rsidRPr="004F4940">
        <w:rPr>
          <w:rFonts w:eastAsia="Times New Roman"/>
        </w:rPr>
        <w:t xml:space="preserve">Under Requirement R2 of EOP-012-1, </w:t>
      </w:r>
      <w:r w:rsidRPr="004F4940" w:rsidR="00C11A9B">
        <w:rPr>
          <w:rFonts w:eastAsia="Times New Roman"/>
        </w:rPr>
        <w:t xml:space="preserve">each </w:t>
      </w:r>
      <w:r w:rsidRPr="004F4940" w:rsidR="00C63CFD">
        <w:rPr>
          <w:rFonts w:eastAsia="Times New Roman"/>
        </w:rPr>
        <w:t xml:space="preserve">generator owner </w:t>
      </w:r>
      <w:r w:rsidRPr="004F4940" w:rsidR="00C11A9B">
        <w:rPr>
          <w:rFonts w:eastAsia="Times New Roman"/>
        </w:rPr>
        <w:t>is</w:t>
      </w:r>
      <w:r w:rsidRPr="004F4940" w:rsidR="00C63CFD">
        <w:rPr>
          <w:rFonts w:eastAsia="Times New Roman"/>
        </w:rPr>
        <w:t xml:space="preserve"> required to</w:t>
      </w:r>
      <w:r w:rsidRPr="004F4940" w:rsidR="00E60D02">
        <w:rPr>
          <w:rFonts w:eastAsia="Times New Roman"/>
        </w:rPr>
        <w:t xml:space="preserve"> </w:t>
      </w:r>
      <w:r w:rsidRPr="004F4940" w:rsidR="00C63CFD">
        <w:rPr>
          <w:rFonts w:eastAsia="Times New Roman"/>
        </w:rPr>
        <w:t>“</w:t>
      </w:r>
      <w:r w:rsidRPr="004F4940" w:rsidR="00E60D02">
        <w:rPr>
          <w:rFonts w:eastAsia="Times New Roman"/>
        </w:rPr>
        <w:t>ensure its generating unit(s) add new or modify existing freeze protection measures as needed to provide the capability to operate for a period of not less than one (1) hour</w:t>
      </w:r>
      <w:r w:rsidRPr="004F4940" w:rsidR="0030150E">
        <w:rPr>
          <w:rFonts w:eastAsia="Times New Roman"/>
        </w:rPr>
        <w:t xml:space="preserve"> at the unit(s) Extreme Cold Weather Temperature.”</w:t>
      </w:r>
      <w:r>
        <w:rPr>
          <w:rStyle w:val="FootnoteReference"/>
          <w:rFonts w:eastAsia="Times New Roman"/>
        </w:rPr>
        <w:footnoteReference w:id="15"/>
      </w:r>
      <w:r w:rsidRPr="004F4940" w:rsidR="0030150E">
        <w:rPr>
          <w:rFonts w:eastAsia="Times New Roman"/>
        </w:rPr>
        <w:t xml:space="preserve">  </w:t>
      </w:r>
      <w:r w:rsidRPr="004F4940" w:rsidR="00CE5FD1">
        <w:rPr>
          <w:rFonts w:eastAsia="Times New Roman"/>
        </w:rPr>
        <w:t>W</w:t>
      </w:r>
      <w:r w:rsidRPr="004F4940">
        <w:rPr>
          <w:rFonts w:eastAsia="Times New Roman"/>
        </w:rPr>
        <w:t xml:space="preserve">e find that the one-hour continuous operations requirement in </w:t>
      </w:r>
      <w:r w:rsidRPr="004F4940" w:rsidR="00FF14EE">
        <w:rPr>
          <w:rFonts w:eastAsia="Times New Roman"/>
        </w:rPr>
        <w:t xml:space="preserve">Reliability Standard EOP-012-1 </w:t>
      </w:r>
      <w:r w:rsidRPr="004F4940">
        <w:rPr>
          <w:rFonts w:eastAsia="Times New Roman"/>
        </w:rPr>
        <w:t xml:space="preserve">Requirement R2 </w:t>
      </w:r>
      <w:r w:rsidRPr="004F4940" w:rsidR="003C41E3">
        <w:rPr>
          <w:rFonts w:eastAsia="Times New Roman"/>
        </w:rPr>
        <w:t>is too short of a period to</w:t>
      </w:r>
      <w:r w:rsidRPr="004F4940" w:rsidR="00B3092B">
        <w:rPr>
          <w:rFonts w:eastAsia="Times New Roman"/>
        </w:rPr>
        <w:t xml:space="preserve"> </w:t>
      </w:r>
      <w:r w:rsidRPr="004F4940" w:rsidR="00BB2087">
        <w:rPr>
          <w:rFonts w:eastAsia="Times New Roman"/>
        </w:rPr>
        <w:t xml:space="preserve">adequately </w:t>
      </w:r>
      <w:r w:rsidRPr="004F4940" w:rsidR="00FC4CC3">
        <w:rPr>
          <w:rFonts w:eastAsia="Times New Roman"/>
        </w:rPr>
        <w:t xml:space="preserve">meet the purpose of the Standard </w:t>
      </w:r>
      <w:r w:rsidRPr="004F4940" w:rsidR="00B2131D">
        <w:rPr>
          <w:rFonts w:eastAsia="Times New Roman"/>
        </w:rPr>
        <w:t>to ensure generating units</w:t>
      </w:r>
      <w:r w:rsidRPr="004F4940" w:rsidR="00BB2087">
        <w:rPr>
          <w:rFonts w:eastAsia="Times New Roman"/>
        </w:rPr>
        <w:t xml:space="preserve"> “</w:t>
      </w:r>
      <w:r w:rsidRPr="004F4940" w:rsidR="000F058D">
        <w:rPr>
          <w:rFonts w:eastAsia="Times New Roman"/>
        </w:rPr>
        <w:t>mitigate the reliability impacts of extreme cold weather</w:t>
      </w:r>
      <w:r w:rsidRPr="004F4940" w:rsidR="0050139E">
        <w:rPr>
          <w:rFonts w:eastAsia="Times New Roman"/>
        </w:rPr>
        <w:t>.</w:t>
      </w:r>
      <w:r w:rsidRPr="004F4940" w:rsidR="000F058D">
        <w:rPr>
          <w:rFonts w:eastAsia="Times New Roman"/>
        </w:rPr>
        <w:t>”</w:t>
      </w:r>
      <w:r>
        <w:rPr>
          <w:rStyle w:val="FootnoteReference"/>
          <w:rFonts w:eastAsia="Times New Roman"/>
        </w:rPr>
        <w:footnoteReference w:id="16"/>
      </w:r>
      <w:r w:rsidRPr="004F4940" w:rsidR="00FF14EE">
        <w:rPr>
          <w:rFonts w:eastAsia="Times New Roman"/>
        </w:rPr>
        <w:t xml:space="preserve"> </w:t>
      </w:r>
      <w:r w:rsidRPr="004F4940">
        <w:rPr>
          <w:rFonts w:eastAsia="Times New Roman"/>
        </w:rPr>
        <w:t xml:space="preserve"> </w:t>
      </w:r>
      <w:r w:rsidRPr="004F4940" w:rsidR="00607188">
        <w:rPr>
          <w:rFonts w:eastAsia="Times New Roman"/>
        </w:rPr>
        <w:t>Thus, we</w:t>
      </w:r>
      <w:r w:rsidRPr="004F4940">
        <w:rPr>
          <w:rFonts w:eastAsia="Times New Roman"/>
        </w:rPr>
        <w:t xml:space="preserve"> direct NERC to </w:t>
      </w:r>
      <w:r w:rsidRPr="004F4940" w:rsidR="00607188">
        <w:rPr>
          <w:rFonts w:eastAsia="Times New Roman"/>
        </w:rPr>
        <w:t>modify</w:t>
      </w:r>
      <w:r w:rsidRPr="004F4940" w:rsidR="008A69F4">
        <w:rPr>
          <w:rFonts w:eastAsia="Times New Roman"/>
        </w:rPr>
        <w:t xml:space="preserve"> the one-hour</w:t>
      </w:r>
      <w:r w:rsidRPr="004F4940">
        <w:rPr>
          <w:rFonts w:eastAsia="Times New Roman"/>
        </w:rPr>
        <w:t xml:space="preserve"> </w:t>
      </w:r>
      <w:r w:rsidRPr="004F4940" w:rsidR="002E728B">
        <w:rPr>
          <w:rFonts w:eastAsia="Times New Roman"/>
        </w:rPr>
        <w:t>continuous operations requirement of Reliability Standard EOP-012-1 Requirement R2</w:t>
      </w:r>
      <w:r w:rsidRPr="004F4940">
        <w:rPr>
          <w:rFonts w:eastAsia="Times New Roman"/>
        </w:rPr>
        <w:t>.</w:t>
      </w:r>
      <w:r w:rsidRPr="004F4940" w:rsidR="001309A1">
        <w:rPr>
          <w:rFonts w:eastAsia="Times New Roman"/>
        </w:rPr>
        <w:t xml:space="preserve">  </w:t>
      </w:r>
      <w:r w:rsidRPr="004F4940" w:rsidR="002E728B">
        <w:rPr>
          <w:rFonts w:eastAsia="Times New Roman"/>
        </w:rPr>
        <w:t xml:space="preserve">We direct </w:t>
      </w:r>
      <w:r w:rsidRPr="004F4940" w:rsidR="001309A1">
        <w:rPr>
          <w:rFonts w:eastAsia="Times New Roman"/>
        </w:rPr>
        <w:t xml:space="preserve">NERC </w:t>
      </w:r>
      <w:r w:rsidRPr="004F4940" w:rsidR="002E728B">
        <w:rPr>
          <w:rFonts w:eastAsia="Times New Roman"/>
        </w:rPr>
        <w:t>to</w:t>
      </w:r>
      <w:r w:rsidRPr="004F4940" w:rsidR="001309A1">
        <w:rPr>
          <w:rFonts w:eastAsia="Times New Roman"/>
        </w:rPr>
        <w:t xml:space="preserve"> submit the revised Reliability Standard no later than 12 months after the date of issuance of this order.</w:t>
      </w:r>
    </w:p>
    <w:p w:rsidR="000365F2" w:rsidRPr="004F4940" w:rsidP="00543141" w14:paraId="75F8BF83" w14:textId="6202F72C">
      <w:pPr>
        <w:pStyle w:val="FERCparanumber"/>
        <w:suppressLineNumbers/>
        <w:rPr>
          <w:rFonts w:eastAsia="Times New Roman"/>
        </w:rPr>
      </w:pPr>
      <w:r w:rsidRPr="004F4940">
        <w:rPr>
          <w:rFonts w:eastAsia="Times New Roman"/>
        </w:rPr>
        <w:t xml:space="preserve">In addition, </w:t>
      </w:r>
      <w:r w:rsidRPr="004F4940" w:rsidR="00F62E1B">
        <w:rPr>
          <w:rFonts w:eastAsia="Times New Roman"/>
        </w:rPr>
        <w:t>Reliability Standard EOP-012-1</w:t>
      </w:r>
      <w:r w:rsidRPr="004F4940" w:rsidR="00E00AE7">
        <w:rPr>
          <w:rFonts w:eastAsia="Times New Roman"/>
        </w:rPr>
        <w:t xml:space="preserve"> does not require </w:t>
      </w:r>
      <w:r w:rsidRPr="004F4940" w:rsidR="00946894">
        <w:rPr>
          <w:rFonts w:eastAsia="Times New Roman"/>
        </w:rPr>
        <w:t xml:space="preserve">a </w:t>
      </w:r>
      <w:r w:rsidRPr="004F4940" w:rsidR="00A71DE4">
        <w:rPr>
          <w:rFonts w:eastAsia="Times New Roman"/>
        </w:rPr>
        <w:t>dead</w:t>
      </w:r>
      <w:r w:rsidRPr="004F4940" w:rsidR="00F40948">
        <w:rPr>
          <w:rFonts w:eastAsia="Times New Roman"/>
        </w:rPr>
        <w:t>line</w:t>
      </w:r>
      <w:r w:rsidRPr="004F4940" w:rsidR="00A71DE4">
        <w:rPr>
          <w:rFonts w:eastAsia="Times New Roman"/>
        </w:rPr>
        <w:t xml:space="preserve"> for</w:t>
      </w:r>
      <w:r w:rsidRPr="004F4940" w:rsidR="003E2E21">
        <w:rPr>
          <w:rFonts w:eastAsia="Times New Roman"/>
        </w:rPr>
        <w:t>,</w:t>
      </w:r>
      <w:r w:rsidRPr="004F4940" w:rsidR="00A71DE4">
        <w:rPr>
          <w:rFonts w:eastAsia="Times New Roman"/>
        </w:rPr>
        <w:t xml:space="preserve"> or </w:t>
      </w:r>
      <w:r w:rsidR="00F90F35">
        <w:rPr>
          <w:rFonts w:eastAsia="Times New Roman"/>
        </w:rPr>
        <w:br/>
      </w:r>
      <w:r w:rsidRPr="004F4940" w:rsidR="00A71DE4">
        <w:rPr>
          <w:rFonts w:eastAsia="Times New Roman"/>
        </w:rPr>
        <w:t>a maximum duration</w:t>
      </w:r>
      <w:r w:rsidRPr="004F4940" w:rsidR="00F40948">
        <w:rPr>
          <w:rFonts w:eastAsia="Times New Roman"/>
        </w:rPr>
        <w:t xml:space="preserve"> </w:t>
      </w:r>
      <w:r w:rsidRPr="004F4940" w:rsidR="003E2E21">
        <w:rPr>
          <w:rFonts w:eastAsia="Times New Roman"/>
        </w:rPr>
        <w:t>of,</w:t>
      </w:r>
      <w:r w:rsidRPr="004F4940" w:rsidR="00F40948">
        <w:rPr>
          <w:rFonts w:eastAsia="Times New Roman"/>
        </w:rPr>
        <w:t xml:space="preserve"> </w:t>
      </w:r>
      <w:r w:rsidRPr="004F4940" w:rsidR="00946894">
        <w:rPr>
          <w:rFonts w:eastAsia="Times New Roman"/>
        </w:rPr>
        <w:t>corrective action plan</w:t>
      </w:r>
      <w:r w:rsidR="00573D6F">
        <w:rPr>
          <w:rFonts w:eastAsia="Times New Roman"/>
        </w:rPr>
        <w:t xml:space="preserve"> implementation</w:t>
      </w:r>
      <w:r w:rsidRPr="004F4940" w:rsidR="00946894">
        <w:rPr>
          <w:rFonts w:eastAsia="Times New Roman"/>
        </w:rPr>
        <w:t xml:space="preserve"> </w:t>
      </w:r>
      <w:r w:rsidR="003A38E6">
        <w:rPr>
          <w:rFonts w:eastAsia="Times New Roman"/>
        </w:rPr>
        <w:t>completion</w:t>
      </w:r>
      <w:r w:rsidRPr="00933551" w:rsidR="00F40948">
        <w:rPr>
          <w:rFonts w:eastAsia="Times New Roman"/>
        </w:rPr>
        <w:t>.</w:t>
      </w:r>
      <w:r w:rsidRPr="004F4940" w:rsidR="00F40948">
        <w:rPr>
          <w:rFonts w:eastAsia="Times New Roman"/>
        </w:rPr>
        <w:t xml:space="preserve">  </w:t>
      </w:r>
      <w:r w:rsidRPr="004F4940" w:rsidR="00FA4DD5">
        <w:rPr>
          <w:rFonts w:eastAsia="Times New Roman"/>
        </w:rPr>
        <w:t xml:space="preserve">We </w:t>
      </w:r>
      <w:r w:rsidRPr="004F4940" w:rsidR="00494276">
        <w:rPr>
          <w:rFonts w:eastAsia="Times New Roman"/>
        </w:rPr>
        <w:t xml:space="preserve">are concerned that the lack of a time limit </w:t>
      </w:r>
      <w:r w:rsidRPr="00815857" w:rsidR="00494276">
        <w:rPr>
          <w:rFonts w:eastAsia="Times New Roman"/>
        </w:rPr>
        <w:t xml:space="preserve">for </w:t>
      </w:r>
      <w:r w:rsidR="009C1B73">
        <w:rPr>
          <w:rFonts w:eastAsia="Times New Roman"/>
        </w:rPr>
        <w:t xml:space="preserve">implementation </w:t>
      </w:r>
      <w:r w:rsidRPr="00815857" w:rsidR="00494276">
        <w:rPr>
          <w:rFonts w:eastAsia="Times New Roman"/>
        </w:rPr>
        <w:t xml:space="preserve">completion </w:t>
      </w:r>
      <w:r w:rsidRPr="00815857" w:rsidR="00D3090D">
        <w:rPr>
          <w:rFonts w:eastAsia="Times New Roman"/>
        </w:rPr>
        <w:t>of</w:t>
      </w:r>
      <w:r w:rsidRPr="004F4940" w:rsidR="00D3090D">
        <w:rPr>
          <w:rFonts w:eastAsia="Times New Roman"/>
        </w:rPr>
        <w:t xml:space="preserve"> corrective </w:t>
      </w:r>
      <w:r w:rsidR="00F90F35">
        <w:rPr>
          <w:rFonts w:eastAsia="Times New Roman"/>
        </w:rPr>
        <w:br/>
      </w:r>
      <w:r w:rsidRPr="004F4940" w:rsidR="00D3090D">
        <w:rPr>
          <w:rFonts w:eastAsia="Times New Roman"/>
        </w:rPr>
        <w:t>action plans could allow identified issues to remain unresolved for a significant and indefinite period.</w:t>
      </w:r>
      <w:r w:rsidRPr="004F4940" w:rsidR="00F40948">
        <w:rPr>
          <w:rFonts w:eastAsia="Times New Roman"/>
        </w:rPr>
        <w:t xml:space="preserve">  </w:t>
      </w:r>
      <w:r w:rsidRPr="004F4940" w:rsidR="007B735C">
        <w:rPr>
          <w:rFonts w:eastAsia="Times New Roman"/>
        </w:rPr>
        <w:t>Therefore, we direct</w:t>
      </w:r>
      <w:r w:rsidRPr="004F4940" w:rsidR="00F40948">
        <w:rPr>
          <w:rFonts w:eastAsia="Times New Roman"/>
        </w:rPr>
        <w:t xml:space="preserve"> NERC </w:t>
      </w:r>
      <w:r w:rsidRPr="004F4940" w:rsidR="00213D6C">
        <w:rPr>
          <w:rFonts w:eastAsia="Times New Roman"/>
        </w:rPr>
        <w:t xml:space="preserve">pursuant </w:t>
      </w:r>
      <w:r w:rsidRPr="004F4940" w:rsidR="00F40948">
        <w:rPr>
          <w:rFonts w:eastAsia="Times New Roman"/>
        </w:rPr>
        <w:t xml:space="preserve">to </w:t>
      </w:r>
      <w:r w:rsidRPr="004F4940" w:rsidR="00213D6C">
        <w:rPr>
          <w:rFonts w:eastAsia="Times New Roman"/>
        </w:rPr>
        <w:t>FPA section 215(d)(5)</w:t>
      </w:r>
      <w:r w:rsidRPr="004F4940" w:rsidR="00A20917">
        <w:rPr>
          <w:rFonts w:eastAsia="Times New Roman"/>
        </w:rPr>
        <w:t>,</w:t>
      </w:r>
      <w:r w:rsidRPr="004F4940" w:rsidR="00213D6C">
        <w:rPr>
          <w:rFonts w:eastAsia="Times New Roman"/>
        </w:rPr>
        <w:t xml:space="preserve"> </w:t>
      </w:r>
      <w:r w:rsidRPr="004F4940" w:rsidR="00F40948">
        <w:rPr>
          <w:rFonts w:eastAsia="Times New Roman"/>
        </w:rPr>
        <w:t xml:space="preserve">to </w:t>
      </w:r>
      <w:r w:rsidRPr="004F4940" w:rsidR="00213D6C">
        <w:rPr>
          <w:rFonts w:eastAsia="Times New Roman"/>
        </w:rPr>
        <w:t>modify</w:t>
      </w:r>
      <w:r w:rsidRPr="004F4940" w:rsidR="00306F49">
        <w:rPr>
          <w:rFonts w:eastAsia="Times New Roman"/>
        </w:rPr>
        <w:t xml:space="preserve"> </w:t>
      </w:r>
      <w:r w:rsidRPr="004F4940" w:rsidR="007B735C">
        <w:rPr>
          <w:rFonts w:eastAsia="Times New Roman"/>
        </w:rPr>
        <w:t xml:space="preserve">Reliability Standard </w:t>
      </w:r>
      <w:r w:rsidRPr="004F4940" w:rsidR="00306F49">
        <w:rPr>
          <w:rFonts w:eastAsia="Times New Roman"/>
        </w:rPr>
        <w:t>EOP-012</w:t>
      </w:r>
      <w:r w:rsidRPr="004F4940" w:rsidR="007B735C">
        <w:rPr>
          <w:rFonts w:eastAsia="Times New Roman"/>
        </w:rPr>
        <w:t>-1</w:t>
      </w:r>
      <w:r w:rsidRPr="004F4940" w:rsidR="00306F49">
        <w:rPr>
          <w:rFonts w:eastAsia="Times New Roman"/>
        </w:rPr>
        <w:t xml:space="preserve"> </w:t>
      </w:r>
      <w:r w:rsidRPr="004F4940" w:rsidR="00183533">
        <w:rPr>
          <w:rFonts w:eastAsia="Times New Roman"/>
        </w:rPr>
        <w:t>Requirements R7</w:t>
      </w:r>
      <w:r w:rsidRPr="004F4940" w:rsidR="00306F49">
        <w:rPr>
          <w:rFonts w:eastAsia="Times New Roman"/>
        </w:rPr>
        <w:t xml:space="preserve"> to </w:t>
      </w:r>
      <w:r w:rsidRPr="004F4940" w:rsidR="00F03433">
        <w:rPr>
          <w:rFonts w:eastAsia="Times New Roman"/>
        </w:rPr>
        <w:t>include deadline</w:t>
      </w:r>
      <w:r w:rsidRPr="004F4940" w:rsidR="003D0A48">
        <w:rPr>
          <w:rFonts w:eastAsia="Times New Roman"/>
        </w:rPr>
        <w:t>s</w:t>
      </w:r>
      <w:r w:rsidRPr="004F4940" w:rsidR="00F03433">
        <w:rPr>
          <w:rFonts w:eastAsia="Times New Roman"/>
        </w:rPr>
        <w:t xml:space="preserve"> </w:t>
      </w:r>
      <w:r w:rsidR="00F90F35">
        <w:rPr>
          <w:rFonts w:eastAsia="Times New Roman"/>
        </w:rPr>
        <w:br/>
      </w:r>
      <w:r w:rsidRPr="004C624C" w:rsidR="00F03433">
        <w:rPr>
          <w:rFonts w:eastAsia="Times New Roman"/>
        </w:rPr>
        <w:t xml:space="preserve">for </w:t>
      </w:r>
      <w:r w:rsidRPr="009C1B73" w:rsidR="009C1B73">
        <w:rPr>
          <w:rFonts w:eastAsia="Times New Roman"/>
        </w:rPr>
        <w:t>implementation completion</w:t>
      </w:r>
      <w:r w:rsidRPr="004C624C" w:rsidR="00F03433">
        <w:rPr>
          <w:rFonts w:eastAsia="Times New Roman"/>
        </w:rPr>
        <w:t xml:space="preserve"> of</w:t>
      </w:r>
      <w:r w:rsidRPr="004F4940" w:rsidR="00306F49">
        <w:rPr>
          <w:rFonts w:eastAsia="Times New Roman"/>
        </w:rPr>
        <w:t xml:space="preserve"> corrective action plans, as</w:t>
      </w:r>
      <w:r w:rsidRPr="004F4940" w:rsidR="00497370">
        <w:rPr>
          <w:rFonts w:eastAsia="Times New Roman"/>
        </w:rPr>
        <w:t xml:space="preserve"> recommended in </w:t>
      </w:r>
      <w:r w:rsidRPr="004F4940">
        <w:rPr>
          <w:rFonts w:eastAsia="Times New Roman"/>
        </w:rPr>
        <w:t xml:space="preserve">the </w:t>
      </w:r>
      <w:r w:rsidR="00F90F35">
        <w:rPr>
          <w:rFonts w:eastAsia="Times New Roman"/>
        </w:rPr>
        <w:br/>
      </w:r>
      <w:r w:rsidRPr="004F4940" w:rsidR="00FD420F">
        <w:rPr>
          <w:rFonts w:eastAsia="Times New Roman"/>
        </w:rPr>
        <w:t>November 2021 Report</w:t>
      </w:r>
      <w:r w:rsidRPr="004F4940" w:rsidR="00E7615A">
        <w:rPr>
          <w:rFonts w:eastAsia="Times New Roman"/>
        </w:rPr>
        <w:t>.</w:t>
      </w:r>
      <w:r>
        <w:rPr>
          <w:rStyle w:val="FootnoteReference"/>
          <w:rFonts w:eastAsia="Times New Roman"/>
        </w:rPr>
        <w:footnoteReference w:id="17"/>
      </w:r>
      <w:r w:rsidRPr="004F4940">
        <w:rPr>
          <w:rFonts w:eastAsia="Times New Roman"/>
        </w:rPr>
        <w:t xml:space="preserve"> </w:t>
      </w:r>
      <w:r w:rsidRPr="004F4940" w:rsidR="00C8002D">
        <w:rPr>
          <w:rFonts w:eastAsia="Times New Roman"/>
        </w:rPr>
        <w:t xml:space="preserve"> </w:t>
      </w:r>
      <w:r w:rsidRPr="004F4940" w:rsidR="007B14A9">
        <w:rPr>
          <w:rFonts w:eastAsia="Times New Roman"/>
        </w:rPr>
        <w:t xml:space="preserve">We direct </w:t>
      </w:r>
      <w:r w:rsidRPr="004F4940" w:rsidR="00C8002D">
        <w:rPr>
          <w:rFonts w:eastAsia="Times New Roman"/>
        </w:rPr>
        <w:t xml:space="preserve">NERC </w:t>
      </w:r>
      <w:r w:rsidRPr="004F4940" w:rsidR="007B14A9">
        <w:rPr>
          <w:rFonts w:eastAsia="Times New Roman"/>
        </w:rPr>
        <w:t>to</w:t>
      </w:r>
      <w:r w:rsidRPr="004F4940" w:rsidR="00C8002D">
        <w:rPr>
          <w:rFonts w:eastAsia="Times New Roman"/>
        </w:rPr>
        <w:t xml:space="preserve"> submit the revised Reliability Standard </w:t>
      </w:r>
      <w:r w:rsidR="00F90F35">
        <w:rPr>
          <w:rFonts w:eastAsia="Times New Roman"/>
        </w:rPr>
        <w:br/>
      </w:r>
      <w:r w:rsidRPr="004F4940" w:rsidR="00C8002D">
        <w:rPr>
          <w:rFonts w:eastAsia="Times New Roman"/>
        </w:rPr>
        <w:t>no later than 12 months after the date of issuance of this order.</w:t>
      </w:r>
    </w:p>
    <w:p w:rsidR="006F60D4" w:rsidRPr="004F4940" w:rsidP="00026673" w14:paraId="411A1B72" w14:textId="0782D866">
      <w:pPr>
        <w:pStyle w:val="FERCparanumber"/>
        <w:rPr>
          <w:rFonts w:eastAsia="Times New Roman"/>
        </w:rPr>
      </w:pPr>
      <w:r w:rsidRPr="004F4940">
        <w:rPr>
          <w:rFonts w:eastAsia="Times New Roman"/>
        </w:rPr>
        <w:t>Additionally</w:t>
      </w:r>
      <w:r w:rsidRPr="004F4940" w:rsidR="00DE54D1">
        <w:rPr>
          <w:rFonts w:eastAsia="Times New Roman"/>
        </w:rPr>
        <w:t xml:space="preserve">, we </w:t>
      </w:r>
      <w:r w:rsidRPr="004F4940">
        <w:rPr>
          <w:rFonts w:eastAsia="Times New Roman"/>
        </w:rPr>
        <w:t xml:space="preserve">are concerned that </w:t>
      </w:r>
      <w:r w:rsidRPr="004F4940" w:rsidR="00FF3FFB">
        <w:rPr>
          <w:rFonts w:eastAsia="Times New Roman"/>
        </w:rPr>
        <w:t xml:space="preserve">generator owners will not </w:t>
      </w:r>
      <w:r w:rsidRPr="004F4940" w:rsidR="00DE54D1">
        <w:rPr>
          <w:rFonts w:eastAsia="Times New Roman"/>
        </w:rPr>
        <w:t xml:space="preserve">have </w:t>
      </w:r>
      <w:r w:rsidRPr="004F4940" w:rsidR="00FF3FFB">
        <w:rPr>
          <w:rFonts w:eastAsia="Times New Roman"/>
        </w:rPr>
        <w:t>to implement freeze protection measures</w:t>
      </w:r>
      <w:r w:rsidRPr="004F4940" w:rsidR="00D1713B">
        <w:rPr>
          <w:rFonts w:eastAsia="Times New Roman"/>
        </w:rPr>
        <w:t xml:space="preserve"> </w:t>
      </w:r>
      <w:r w:rsidRPr="004F4940" w:rsidR="000F439A">
        <w:rPr>
          <w:rFonts w:eastAsia="Times New Roman"/>
        </w:rPr>
        <w:t xml:space="preserve">for </w:t>
      </w:r>
      <w:r w:rsidRPr="004F4940" w:rsidR="00FF3FFB">
        <w:rPr>
          <w:rFonts w:eastAsia="Times New Roman"/>
        </w:rPr>
        <w:t xml:space="preserve">existing </w:t>
      </w:r>
      <w:r w:rsidRPr="00AF7CBA" w:rsidR="00FF3FFB">
        <w:rPr>
          <w:rFonts w:eastAsia="Times New Roman"/>
        </w:rPr>
        <w:t>generati</w:t>
      </w:r>
      <w:r w:rsidR="00730DA7">
        <w:rPr>
          <w:rFonts w:eastAsia="Times New Roman"/>
        </w:rPr>
        <w:t>ng units</w:t>
      </w:r>
      <w:r w:rsidRPr="004F4940" w:rsidR="00FF3FFB">
        <w:rPr>
          <w:rFonts w:eastAsia="Times New Roman"/>
        </w:rPr>
        <w:t xml:space="preserve"> to provide </w:t>
      </w:r>
      <w:r w:rsidR="00C26F69">
        <w:rPr>
          <w:rFonts w:eastAsia="Times New Roman"/>
        </w:rPr>
        <w:t xml:space="preserve">them with the </w:t>
      </w:r>
      <w:r w:rsidRPr="004F4940" w:rsidR="00FF3FFB">
        <w:rPr>
          <w:rFonts w:eastAsia="Times New Roman"/>
        </w:rPr>
        <w:t>capability to operate for the specified durations at</w:t>
      </w:r>
      <w:r w:rsidRPr="004F4940" w:rsidR="00DE54D1">
        <w:rPr>
          <w:rFonts w:eastAsia="Times New Roman"/>
        </w:rPr>
        <w:t xml:space="preserve"> the </w:t>
      </w:r>
      <w:r w:rsidRPr="004F4940" w:rsidR="00FF3FFB">
        <w:rPr>
          <w:rFonts w:eastAsia="Times New Roman"/>
        </w:rPr>
        <w:t xml:space="preserve">Extreme Cold Weather Temperature </w:t>
      </w:r>
      <w:r w:rsidRPr="004F4940" w:rsidR="0058040E">
        <w:rPr>
          <w:rFonts w:eastAsia="Times New Roman"/>
        </w:rPr>
        <w:t xml:space="preserve">under </w:t>
      </w:r>
      <w:r w:rsidRPr="004F4940" w:rsidR="00893474">
        <w:rPr>
          <w:rFonts w:eastAsia="Times New Roman"/>
        </w:rPr>
        <w:t xml:space="preserve">proposed </w:t>
      </w:r>
      <w:r w:rsidRPr="004F4940" w:rsidR="00FF3FFB">
        <w:rPr>
          <w:rFonts w:eastAsia="Times New Roman"/>
        </w:rPr>
        <w:t xml:space="preserve">EOP-012-1 Requirement R2 </w:t>
      </w:r>
      <w:r w:rsidRPr="004F4940" w:rsidR="004C6CDB">
        <w:rPr>
          <w:rFonts w:eastAsia="Times New Roman"/>
        </w:rPr>
        <w:t>until</w:t>
      </w:r>
      <w:r w:rsidRPr="004F4940" w:rsidR="00FF3FFB">
        <w:rPr>
          <w:rFonts w:eastAsia="Times New Roman"/>
        </w:rPr>
        <w:t xml:space="preserve"> </w:t>
      </w:r>
      <w:r w:rsidRPr="004F4940" w:rsidR="001428DD">
        <w:rPr>
          <w:rFonts w:eastAsia="Times New Roman"/>
        </w:rPr>
        <w:t>60 months from regulatory approval</w:t>
      </w:r>
      <w:r w:rsidRPr="004F4940" w:rsidR="00893474">
        <w:rPr>
          <w:rFonts w:eastAsia="Times New Roman"/>
        </w:rPr>
        <w:t>.</w:t>
      </w:r>
      <w:r w:rsidRPr="004F4940" w:rsidR="00DE54D1">
        <w:rPr>
          <w:rFonts w:eastAsia="Times New Roman"/>
        </w:rPr>
        <w:t xml:space="preserve"> </w:t>
      </w:r>
      <w:r w:rsidRPr="004F4940" w:rsidR="00893474">
        <w:rPr>
          <w:rFonts w:eastAsia="Times New Roman"/>
        </w:rPr>
        <w:t xml:space="preserve"> </w:t>
      </w:r>
      <w:r w:rsidR="00BD748D">
        <w:rPr>
          <w:rFonts w:eastAsia="Times New Roman"/>
        </w:rPr>
        <w:t xml:space="preserve">Thus, </w:t>
      </w:r>
      <w:r w:rsidRPr="00AF7CBA" w:rsidR="00BD748D">
        <w:rPr>
          <w:rFonts w:eastAsia="Times New Roman"/>
        </w:rPr>
        <w:t xml:space="preserve">we direct NERC to modify the EOP-012-1 </w:t>
      </w:r>
      <w:r w:rsidR="00595B1E">
        <w:rPr>
          <w:rFonts w:eastAsia="Times New Roman"/>
        </w:rPr>
        <w:t>60</w:t>
      </w:r>
      <w:r w:rsidR="00091B64">
        <w:rPr>
          <w:rFonts w:eastAsia="Times New Roman"/>
        </w:rPr>
        <w:t>-</w:t>
      </w:r>
      <w:r w:rsidR="00595B1E">
        <w:rPr>
          <w:rFonts w:eastAsia="Times New Roman"/>
        </w:rPr>
        <w:t>month</w:t>
      </w:r>
      <w:r w:rsidR="008021FA">
        <w:rPr>
          <w:rFonts w:eastAsia="Times New Roman"/>
        </w:rPr>
        <w:t xml:space="preserve"> </w:t>
      </w:r>
      <w:r w:rsidRPr="00AF7CBA" w:rsidR="00BD748D">
        <w:rPr>
          <w:rFonts w:eastAsia="Times New Roman"/>
        </w:rPr>
        <w:t xml:space="preserve">implementation plan </w:t>
      </w:r>
      <w:r w:rsidR="008021FA">
        <w:rPr>
          <w:rFonts w:eastAsia="Times New Roman"/>
        </w:rPr>
        <w:t xml:space="preserve">for existing generating units. </w:t>
      </w:r>
      <w:r w:rsidRPr="00AF7CBA" w:rsidR="00BD748D">
        <w:rPr>
          <w:rFonts w:eastAsia="Times New Roman"/>
        </w:rPr>
        <w:t xml:space="preserve"> </w:t>
      </w:r>
      <w:r w:rsidRPr="004F4940" w:rsidR="00071457">
        <w:rPr>
          <w:rFonts w:eastAsia="Times New Roman"/>
        </w:rPr>
        <w:t xml:space="preserve">Although </w:t>
      </w:r>
      <w:r w:rsidRPr="004F4940" w:rsidR="006101CE">
        <w:rPr>
          <w:rFonts w:eastAsia="Times New Roman"/>
        </w:rPr>
        <w:t xml:space="preserve">we are giving NERC the discretion to </w:t>
      </w:r>
      <w:r w:rsidRPr="004F4940" w:rsidR="00234F21">
        <w:rPr>
          <w:rFonts w:eastAsia="Times New Roman"/>
        </w:rPr>
        <w:t xml:space="preserve">determine </w:t>
      </w:r>
      <w:r w:rsidRPr="004F4940" w:rsidR="00BE2043">
        <w:rPr>
          <w:rFonts w:eastAsia="Times New Roman"/>
        </w:rPr>
        <w:t xml:space="preserve">what </w:t>
      </w:r>
      <w:r w:rsidRPr="004F4940" w:rsidR="00851BD7">
        <w:rPr>
          <w:rFonts w:eastAsia="Times New Roman"/>
        </w:rPr>
        <w:t xml:space="preserve">the effective date should be shortened to, we </w:t>
      </w:r>
      <w:r w:rsidRPr="004F4940" w:rsidR="00780003">
        <w:rPr>
          <w:rFonts w:eastAsia="Times New Roman"/>
        </w:rPr>
        <w:t xml:space="preserve">also </w:t>
      </w:r>
      <w:r w:rsidRPr="004F4940" w:rsidR="00743BDE">
        <w:rPr>
          <w:rFonts w:eastAsia="Times New Roman"/>
        </w:rPr>
        <w:t>emphasize that</w:t>
      </w:r>
      <w:r w:rsidRPr="004F4940" w:rsidR="00B832E5">
        <w:rPr>
          <w:rFonts w:eastAsia="Times New Roman"/>
        </w:rPr>
        <w:t xml:space="preserve"> </w:t>
      </w:r>
      <w:r w:rsidRPr="004F4940" w:rsidR="00C416B0">
        <w:rPr>
          <w:rFonts w:eastAsia="Times New Roman"/>
        </w:rPr>
        <w:t xml:space="preserve">industry </w:t>
      </w:r>
      <w:r w:rsidRPr="004F4940" w:rsidR="009F3E6F">
        <w:rPr>
          <w:rFonts w:eastAsia="Times New Roman"/>
        </w:rPr>
        <w:t>has been aware of and alerted to</w:t>
      </w:r>
      <w:r w:rsidRPr="004F4940" w:rsidR="00C416B0">
        <w:rPr>
          <w:rFonts w:eastAsia="Times New Roman"/>
        </w:rPr>
        <w:t xml:space="preserve"> the need to prepare their generat</w:t>
      </w:r>
      <w:r w:rsidRPr="004F4940" w:rsidR="001A34B0">
        <w:rPr>
          <w:rFonts w:eastAsia="Times New Roman"/>
        </w:rPr>
        <w:t>ing units for cold weather</w:t>
      </w:r>
      <w:r w:rsidRPr="004F4940" w:rsidR="00F07648">
        <w:rPr>
          <w:rFonts w:eastAsia="Times New Roman"/>
        </w:rPr>
        <w:t xml:space="preserve"> </w:t>
      </w:r>
      <w:r w:rsidRPr="004F4940" w:rsidR="009F3E6F">
        <w:rPr>
          <w:rFonts w:eastAsia="Times New Roman"/>
        </w:rPr>
        <w:t>since at least 2011.</w:t>
      </w:r>
      <w:r>
        <w:rPr>
          <w:rStyle w:val="FootnoteReference"/>
          <w:rFonts w:eastAsia="Times New Roman"/>
        </w:rPr>
        <w:footnoteReference w:id="18"/>
      </w:r>
      <w:r w:rsidRPr="004F4940" w:rsidR="00D80F91">
        <w:rPr>
          <w:rFonts w:eastAsia="Times New Roman"/>
        </w:rPr>
        <w:t xml:space="preserve">  </w:t>
      </w:r>
      <w:r w:rsidRPr="004F4940" w:rsidR="00E8021B">
        <w:rPr>
          <w:rFonts w:eastAsia="Times New Roman"/>
        </w:rPr>
        <w:t>This finding was repeated in the 201</w:t>
      </w:r>
      <w:r w:rsidRPr="004F4940" w:rsidR="00286C16">
        <w:rPr>
          <w:rFonts w:eastAsia="Times New Roman"/>
        </w:rPr>
        <w:t>9</w:t>
      </w:r>
      <w:r w:rsidRPr="004F4940" w:rsidR="00E8021B">
        <w:rPr>
          <w:rFonts w:eastAsia="Times New Roman"/>
        </w:rPr>
        <w:t xml:space="preserve"> </w:t>
      </w:r>
      <w:r w:rsidRPr="004F4940" w:rsidR="00286C16">
        <w:rPr>
          <w:rFonts w:eastAsia="Times New Roman"/>
        </w:rPr>
        <w:t xml:space="preserve">South Central Event </w:t>
      </w:r>
      <w:r w:rsidRPr="004F4940" w:rsidR="00E8021B">
        <w:rPr>
          <w:rFonts w:eastAsia="Times New Roman"/>
        </w:rPr>
        <w:t>Report</w:t>
      </w:r>
      <w:r>
        <w:rPr>
          <w:rStyle w:val="FootnoteReference"/>
          <w:rFonts w:eastAsia="Times New Roman"/>
        </w:rPr>
        <w:footnoteReference w:id="19"/>
      </w:r>
      <w:r w:rsidRPr="004F4940" w:rsidR="00E8021B">
        <w:rPr>
          <w:rFonts w:eastAsia="Times New Roman"/>
        </w:rPr>
        <w:t xml:space="preserve"> and the </w:t>
      </w:r>
      <w:r w:rsidRPr="004F4940" w:rsidR="00F07648">
        <w:rPr>
          <w:rFonts w:eastAsia="Times New Roman"/>
        </w:rPr>
        <w:t>November 2021 Report</w:t>
      </w:r>
      <w:r w:rsidRPr="004F4940" w:rsidR="00E8021B">
        <w:rPr>
          <w:rFonts w:eastAsia="Times New Roman"/>
        </w:rPr>
        <w:t>.</w:t>
      </w:r>
      <w:r>
        <w:rPr>
          <w:rStyle w:val="FootnoteReference"/>
          <w:rFonts w:eastAsia="Times New Roman"/>
        </w:rPr>
        <w:footnoteReference w:id="20"/>
      </w:r>
      <w:r w:rsidRPr="004F4940" w:rsidR="00E8021B">
        <w:rPr>
          <w:rFonts w:eastAsia="Times New Roman"/>
        </w:rPr>
        <w:t xml:space="preserve">  </w:t>
      </w:r>
      <w:r w:rsidRPr="004F4940" w:rsidR="00E052A0">
        <w:rPr>
          <w:rFonts w:eastAsia="Times New Roman"/>
        </w:rPr>
        <w:t>After the 201</w:t>
      </w:r>
      <w:r w:rsidRPr="004F4940" w:rsidR="00286C16">
        <w:rPr>
          <w:rFonts w:eastAsia="Times New Roman"/>
        </w:rPr>
        <w:t>9</w:t>
      </w:r>
      <w:r w:rsidRPr="004F4940" w:rsidR="00E052A0">
        <w:rPr>
          <w:rFonts w:eastAsia="Times New Roman"/>
        </w:rPr>
        <w:t xml:space="preserve"> </w:t>
      </w:r>
      <w:r w:rsidRPr="004F4940" w:rsidR="00286C16">
        <w:rPr>
          <w:rFonts w:eastAsia="Times New Roman"/>
        </w:rPr>
        <w:t>South Central Event Report</w:t>
      </w:r>
      <w:r w:rsidRPr="004F4940" w:rsidR="00E052A0">
        <w:rPr>
          <w:rFonts w:eastAsia="Times New Roman"/>
        </w:rPr>
        <w:t>, it was found that one third of the generator owners and operators surveyed “still had no winterization provisions after multiple recommendations on winter preparedness for generating units.”</w:t>
      </w:r>
      <w:r>
        <w:rPr>
          <w:rStyle w:val="FootnoteReference"/>
          <w:rFonts w:eastAsia="Times New Roman"/>
        </w:rPr>
        <w:footnoteReference w:id="21"/>
      </w:r>
      <w:r w:rsidRPr="004F4940" w:rsidR="00E052A0">
        <w:rPr>
          <w:rFonts w:eastAsia="Times New Roman"/>
        </w:rPr>
        <w:t xml:space="preserve">  </w:t>
      </w:r>
      <w:r w:rsidRPr="004F4940" w:rsidR="00FC35A0">
        <w:rPr>
          <w:rFonts w:eastAsia="Times New Roman"/>
        </w:rPr>
        <w:t xml:space="preserve">NERC should consider the amount of time that industry has already had to </w:t>
      </w:r>
      <w:r w:rsidRPr="004F4940" w:rsidR="000A3182">
        <w:rPr>
          <w:rFonts w:eastAsia="Times New Roman"/>
        </w:rPr>
        <w:t xml:space="preserve">implement freeze protection measures when determining </w:t>
      </w:r>
      <w:r w:rsidRPr="004F4940" w:rsidR="00F70C4C">
        <w:rPr>
          <w:rFonts w:eastAsia="Times New Roman"/>
        </w:rPr>
        <w:t xml:space="preserve">the </w:t>
      </w:r>
      <w:r w:rsidRPr="004F4940" w:rsidR="00F70C4C">
        <w:rPr>
          <w:rFonts w:eastAsia="Times New Roman"/>
        </w:rPr>
        <w:t>appropriate implementation period.  Further, w</w:t>
      </w:r>
      <w:r w:rsidRPr="004F4940" w:rsidR="00916C3F">
        <w:rPr>
          <w:rFonts w:eastAsia="Times New Roman"/>
        </w:rPr>
        <w:t xml:space="preserve">e find that </w:t>
      </w:r>
      <w:r w:rsidRPr="004F4940" w:rsidR="003E1F57">
        <w:rPr>
          <w:rFonts w:eastAsia="Times New Roman"/>
        </w:rPr>
        <w:t xml:space="preserve">a </w:t>
      </w:r>
      <w:r w:rsidRPr="004F4940" w:rsidR="00884A14">
        <w:rPr>
          <w:rFonts w:eastAsia="Times New Roman"/>
        </w:rPr>
        <w:t xml:space="preserve">phased </w:t>
      </w:r>
      <w:r w:rsidRPr="004F4940" w:rsidR="009E6B21">
        <w:rPr>
          <w:rFonts w:eastAsia="Times New Roman"/>
        </w:rPr>
        <w:t xml:space="preserve">compliance within the </w:t>
      </w:r>
      <w:r w:rsidRPr="004F4940" w:rsidR="00BD570E">
        <w:rPr>
          <w:rFonts w:eastAsia="Times New Roman"/>
        </w:rPr>
        <w:t xml:space="preserve">implementation </w:t>
      </w:r>
      <w:r w:rsidRPr="004F4940" w:rsidR="004B22F8">
        <w:rPr>
          <w:rFonts w:eastAsia="Times New Roman"/>
        </w:rPr>
        <w:t xml:space="preserve">time </w:t>
      </w:r>
      <w:r w:rsidRPr="004F4940" w:rsidR="00326921">
        <w:rPr>
          <w:rFonts w:eastAsia="Times New Roman"/>
        </w:rPr>
        <w:t xml:space="preserve">for </w:t>
      </w:r>
      <w:r w:rsidRPr="004F4940" w:rsidR="002E1583">
        <w:rPr>
          <w:rFonts w:eastAsia="Times New Roman"/>
        </w:rPr>
        <w:t xml:space="preserve">Reliability Standard EOP-012-1 </w:t>
      </w:r>
      <w:r w:rsidRPr="004F4940" w:rsidR="009716DB">
        <w:rPr>
          <w:rFonts w:eastAsia="Times New Roman"/>
        </w:rPr>
        <w:t>Requirement</w:t>
      </w:r>
      <w:r w:rsidRPr="004F4940" w:rsidR="00D964FC">
        <w:rPr>
          <w:rFonts w:eastAsia="Times New Roman"/>
        </w:rPr>
        <w:t xml:space="preserve"> R2</w:t>
      </w:r>
      <w:r w:rsidRPr="004F4940" w:rsidR="009E6B21">
        <w:rPr>
          <w:rFonts w:eastAsia="Times New Roman"/>
        </w:rPr>
        <w:t xml:space="preserve"> will</w:t>
      </w:r>
      <w:r w:rsidRPr="004F4940" w:rsidR="00F70C4C">
        <w:rPr>
          <w:rFonts w:eastAsia="Times New Roman"/>
        </w:rPr>
        <w:t xml:space="preserve"> also</w:t>
      </w:r>
      <w:r w:rsidRPr="004F4940" w:rsidR="009E6B21">
        <w:rPr>
          <w:rFonts w:eastAsia="Times New Roman"/>
        </w:rPr>
        <w:t xml:space="preserve"> reduce reliability risks</w:t>
      </w:r>
      <w:r w:rsidRPr="004F4940" w:rsidR="00193209">
        <w:rPr>
          <w:rFonts w:eastAsia="Times New Roman"/>
        </w:rPr>
        <w:t xml:space="preserve">.  </w:t>
      </w:r>
      <w:r w:rsidRPr="004F4940" w:rsidR="00051618">
        <w:rPr>
          <w:rFonts w:eastAsia="Times New Roman"/>
        </w:rPr>
        <w:t xml:space="preserve">To address these concerns, we direct NERC to </w:t>
      </w:r>
      <w:r w:rsidRPr="004F4940" w:rsidR="006037E2">
        <w:rPr>
          <w:rFonts w:eastAsia="Times New Roman"/>
        </w:rPr>
        <w:t>modify</w:t>
      </w:r>
      <w:r w:rsidRPr="004F4940" w:rsidR="00A2325F">
        <w:rPr>
          <w:rFonts w:eastAsia="Times New Roman"/>
        </w:rPr>
        <w:t xml:space="preserve"> </w:t>
      </w:r>
      <w:r w:rsidRPr="004F4940" w:rsidR="00506D05">
        <w:rPr>
          <w:rFonts w:eastAsia="Times New Roman"/>
        </w:rPr>
        <w:t xml:space="preserve">the </w:t>
      </w:r>
      <w:r w:rsidRPr="004F4940" w:rsidR="00A2325F">
        <w:rPr>
          <w:rFonts w:eastAsia="Times New Roman"/>
        </w:rPr>
        <w:t>EOP-012</w:t>
      </w:r>
      <w:r w:rsidRPr="004F4940" w:rsidR="006453B3">
        <w:rPr>
          <w:rFonts w:eastAsia="Times New Roman"/>
        </w:rPr>
        <w:t>-1</w:t>
      </w:r>
      <w:r w:rsidRPr="004F4940" w:rsidR="00A2325F">
        <w:rPr>
          <w:rFonts w:eastAsia="Times New Roman"/>
        </w:rPr>
        <w:t xml:space="preserve"> </w:t>
      </w:r>
      <w:r w:rsidRPr="004F4940" w:rsidR="00581B2A">
        <w:rPr>
          <w:rFonts w:eastAsia="Times New Roman"/>
        </w:rPr>
        <w:t xml:space="preserve">implementation </w:t>
      </w:r>
      <w:r w:rsidRPr="004F4940" w:rsidR="00506D05">
        <w:rPr>
          <w:rFonts w:eastAsia="Times New Roman"/>
        </w:rPr>
        <w:t>plan</w:t>
      </w:r>
      <w:r w:rsidRPr="004F4940" w:rsidR="00B96470">
        <w:rPr>
          <w:rFonts w:eastAsia="Times New Roman"/>
        </w:rPr>
        <w:t xml:space="preserve"> for Requirement R2</w:t>
      </w:r>
      <w:r w:rsidRPr="004F4940" w:rsidR="00581B2A">
        <w:rPr>
          <w:rFonts w:eastAsia="Times New Roman"/>
        </w:rPr>
        <w:t xml:space="preserve"> </w:t>
      </w:r>
      <w:r w:rsidRPr="004F4940" w:rsidR="00A2325F">
        <w:rPr>
          <w:rFonts w:eastAsia="Times New Roman"/>
        </w:rPr>
        <w:t xml:space="preserve">to </w:t>
      </w:r>
      <w:r w:rsidRPr="004F4940" w:rsidR="00051618">
        <w:rPr>
          <w:rFonts w:eastAsia="Times New Roman"/>
        </w:rPr>
        <w:t xml:space="preserve">require </w:t>
      </w:r>
      <w:r w:rsidRPr="004F4940" w:rsidR="006453B3">
        <w:rPr>
          <w:rFonts w:eastAsia="Times New Roman"/>
        </w:rPr>
        <w:t xml:space="preserve">a </w:t>
      </w:r>
      <w:r w:rsidRPr="004F4940" w:rsidR="00051618">
        <w:rPr>
          <w:rFonts w:eastAsia="Times New Roman"/>
        </w:rPr>
        <w:t xml:space="preserve">staggered implementation for </w:t>
      </w:r>
      <w:r w:rsidRPr="004F4940" w:rsidR="00D964FC">
        <w:rPr>
          <w:rFonts w:eastAsia="Times New Roman"/>
        </w:rPr>
        <w:t xml:space="preserve">existing </w:t>
      </w:r>
      <w:r w:rsidRPr="004F4940" w:rsidR="00051618">
        <w:rPr>
          <w:rFonts w:eastAsia="Times New Roman"/>
        </w:rPr>
        <w:t xml:space="preserve">unit(s) in a </w:t>
      </w:r>
      <w:r w:rsidRPr="004F4940" w:rsidR="00691E10">
        <w:rPr>
          <w:rFonts w:eastAsia="Times New Roman"/>
        </w:rPr>
        <w:t>g</w:t>
      </w:r>
      <w:r w:rsidRPr="004F4940" w:rsidR="00051618">
        <w:rPr>
          <w:rFonts w:eastAsia="Times New Roman"/>
        </w:rPr>
        <w:t xml:space="preserve">enerator </w:t>
      </w:r>
      <w:r w:rsidRPr="004F4940" w:rsidR="00691E10">
        <w:rPr>
          <w:rFonts w:eastAsia="Times New Roman"/>
        </w:rPr>
        <w:t>o</w:t>
      </w:r>
      <w:r w:rsidRPr="004F4940" w:rsidR="00051618">
        <w:rPr>
          <w:rFonts w:eastAsia="Times New Roman"/>
        </w:rPr>
        <w:t>wner’s fleet</w:t>
      </w:r>
      <w:r w:rsidRPr="004F4940" w:rsidR="00071457">
        <w:rPr>
          <w:rFonts w:eastAsia="Times New Roman"/>
        </w:rPr>
        <w:t xml:space="preserve"> with an effective date of less than 60 months from regulatory approval</w:t>
      </w:r>
      <w:r w:rsidRPr="004F4940" w:rsidR="00051618">
        <w:rPr>
          <w:rFonts w:eastAsia="Times New Roman"/>
        </w:rPr>
        <w:t>.</w:t>
      </w:r>
      <w:r>
        <w:rPr>
          <w:rStyle w:val="FootnoteReference"/>
          <w:rFonts w:eastAsia="Times New Roman"/>
        </w:rPr>
        <w:footnoteReference w:id="22"/>
      </w:r>
    </w:p>
    <w:p w:rsidR="00C83027" w:rsidRPr="004F4940" w:rsidP="00576EC8" w14:paraId="2E60C6EB" w14:textId="3BD7C150">
      <w:pPr>
        <w:pStyle w:val="FERCparanumber"/>
        <w:rPr>
          <w:rFonts w:eastAsia="Times New Roman"/>
        </w:rPr>
      </w:pPr>
      <w:r w:rsidRPr="004F4940">
        <w:rPr>
          <w:rFonts w:eastAsia="Times New Roman"/>
        </w:rPr>
        <w:t>We also find it necessary</w:t>
      </w:r>
      <w:r w:rsidRPr="004F4940" w:rsidR="002269DE">
        <w:rPr>
          <w:rFonts w:eastAsia="Times New Roman"/>
        </w:rPr>
        <w:t xml:space="preserve"> that NERC</w:t>
      </w:r>
      <w:r w:rsidRPr="004F4940" w:rsidR="00A32AF1">
        <w:rPr>
          <w:rFonts w:eastAsia="Times New Roman"/>
        </w:rPr>
        <w:t xml:space="preserve"> </w:t>
      </w:r>
      <w:r w:rsidRPr="004F4940" w:rsidR="00934896">
        <w:rPr>
          <w:rFonts w:eastAsia="Times New Roman"/>
        </w:rPr>
        <w:t>ensure</w:t>
      </w:r>
      <w:r w:rsidRPr="004F4940" w:rsidR="002269DE">
        <w:rPr>
          <w:rFonts w:eastAsia="Times New Roman"/>
        </w:rPr>
        <w:t xml:space="preserve"> </w:t>
      </w:r>
      <w:r w:rsidRPr="004F4940" w:rsidR="00934896">
        <w:rPr>
          <w:rFonts w:eastAsia="Times New Roman"/>
        </w:rPr>
        <w:t xml:space="preserve">that </w:t>
      </w:r>
      <w:r w:rsidRPr="004F4940" w:rsidR="0061623A">
        <w:rPr>
          <w:rFonts w:eastAsia="Times New Roman"/>
        </w:rPr>
        <w:t xml:space="preserve">Reliability Standard EOP-012-1 </w:t>
      </w:r>
      <w:r w:rsidRPr="004F4940" w:rsidR="00ED176D">
        <w:rPr>
          <w:rFonts w:eastAsia="Times New Roman"/>
        </w:rPr>
        <w:t xml:space="preserve">adequately </w:t>
      </w:r>
      <w:r w:rsidRPr="004F4940" w:rsidR="00934896">
        <w:rPr>
          <w:rFonts w:eastAsia="Times New Roman"/>
        </w:rPr>
        <w:t xml:space="preserve">addresses the reliability concerns related to </w:t>
      </w:r>
      <w:r w:rsidRPr="004F4940" w:rsidR="00663035">
        <w:rPr>
          <w:rFonts w:eastAsia="Times New Roman"/>
        </w:rPr>
        <w:t xml:space="preserve">generator </w:t>
      </w:r>
      <w:r w:rsidRPr="004F4940" w:rsidR="00F02548">
        <w:rPr>
          <w:rFonts w:eastAsia="Times New Roman"/>
        </w:rPr>
        <w:t xml:space="preserve">owner constraint declarations, </w:t>
      </w:r>
      <w:r w:rsidRPr="004F4940" w:rsidR="00F0787E">
        <w:rPr>
          <w:rFonts w:eastAsia="Times New Roman"/>
        </w:rPr>
        <w:t xml:space="preserve">the </w:t>
      </w:r>
      <w:r w:rsidRPr="004F4940" w:rsidR="003E0C30">
        <w:rPr>
          <w:rFonts w:eastAsia="Times New Roman"/>
        </w:rPr>
        <w:t>adequacy</w:t>
      </w:r>
      <w:r w:rsidRPr="004F4940" w:rsidR="00F0787E">
        <w:rPr>
          <w:rFonts w:eastAsia="Times New Roman"/>
        </w:rPr>
        <w:t xml:space="preserve"> of the</w:t>
      </w:r>
      <w:r w:rsidRPr="004F4940" w:rsidR="00B822C1">
        <w:rPr>
          <w:rFonts w:eastAsia="Times New Roman"/>
        </w:rPr>
        <w:t xml:space="preserve"> </w:t>
      </w:r>
      <w:r w:rsidRPr="004F4940" w:rsidR="00F0787E">
        <w:rPr>
          <w:rFonts w:eastAsia="Times New Roman"/>
        </w:rPr>
        <w:t>E</w:t>
      </w:r>
      <w:r w:rsidRPr="004F4940" w:rsidR="00934896">
        <w:rPr>
          <w:rFonts w:eastAsia="Times New Roman"/>
        </w:rPr>
        <w:t xml:space="preserve">xtreme </w:t>
      </w:r>
      <w:r w:rsidRPr="004F4940" w:rsidR="00F0787E">
        <w:rPr>
          <w:rFonts w:eastAsia="Times New Roman"/>
        </w:rPr>
        <w:t>C</w:t>
      </w:r>
      <w:r w:rsidRPr="004F4940" w:rsidR="00934896">
        <w:rPr>
          <w:rFonts w:eastAsia="Times New Roman"/>
        </w:rPr>
        <w:t xml:space="preserve">old </w:t>
      </w:r>
      <w:r w:rsidRPr="004F4940" w:rsidR="00F0787E">
        <w:rPr>
          <w:rFonts w:eastAsia="Times New Roman"/>
        </w:rPr>
        <w:t>W</w:t>
      </w:r>
      <w:r w:rsidRPr="004F4940" w:rsidR="00934896">
        <w:rPr>
          <w:rFonts w:eastAsia="Times New Roman"/>
        </w:rPr>
        <w:t>eather</w:t>
      </w:r>
      <w:r w:rsidRPr="004F4940" w:rsidR="00F0787E">
        <w:rPr>
          <w:rFonts w:eastAsia="Times New Roman"/>
        </w:rPr>
        <w:t xml:space="preserve"> Temperature </w:t>
      </w:r>
      <w:r w:rsidRPr="004F4940" w:rsidR="3A9BD688">
        <w:rPr>
          <w:rFonts w:eastAsia="Times New Roman"/>
        </w:rPr>
        <w:t>definition</w:t>
      </w:r>
      <w:r w:rsidRPr="004F4940" w:rsidR="00F0787E">
        <w:rPr>
          <w:rFonts w:eastAsia="Times New Roman"/>
        </w:rPr>
        <w:t>,</w:t>
      </w:r>
      <w:r w:rsidRPr="004F4940" w:rsidR="00334D2A">
        <w:rPr>
          <w:rFonts w:eastAsia="Times New Roman"/>
        </w:rPr>
        <w:t xml:space="preserve"> </w:t>
      </w:r>
      <w:r w:rsidRPr="004F4940" w:rsidR="004E11E8">
        <w:rPr>
          <w:rFonts w:eastAsia="Times New Roman"/>
        </w:rPr>
        <w:t>and</w:t>
      </w:r>
      <w:r w:rsidRPr="004F4940" w:rsidR="00334D2A">
        <w:rPr>
          <w:rFonts w:eastAsia="Times New Roman"/>
        </w:rPr>
        <w:t xml:space="preserve"> </w:t>
      </w:r>
      <w:r w:rsidR="002A64DF">
        <w:rPr>
          <w:rFonts w:eastAsia="Times New Roman"/>
        </w:rPr>
        <w:t xml:space="preserve">determine </w:t>
      </w:r>
      <w:r w:rsidRPr="004F4940" w:rsidR="00334D2A">
        <w:rPr>
          <w:rFonts w:eastAsia="Times New Roman"/>
        </w:rPr>
        <w:t>whether future modification is needed</w:t>
      </w:r>
      <w:r w:rsidRPr="004F4940" w:rsidR="00C73EB0">
        <w:rPr>
          <w:rFonts w:eastAsia="Times New Roman"/>
        </w:rPr>
        <w:t>, as discussed in more detail below</w:t>
      </w:r>
      <w:r w:rsidRPr="004F4940" w:rsidR="00934896">
        <w:rPr>
          <w:rFonts w:eastAsia="Times New Roman"/>
        </w:rPr>
        <w:t xml:space="preserve">.  </w:t>
      </w:r>
      <w:r w:rsidRPr="004F4940" w:rsidR="006A6656">
        <w:rPr>
          <w:rFonts w:eastAsia="Times New Roman"/>
        </w:rPr>
        <w:t xml:space="preserve">We note that, under the proposed implementation plan, it will be five years before certain requirements will be effective and a longer period before experiential data will be available.  </w:t>
      </w:r>
      <w:r w:rsidRPr="004F4940" w:rsidR="00F32048">
        <w:rPr>
          <w:rFonts w:eastAsia="Times New Roman"/>
        </w:rPr>
        <w:t>Notwithstanding our directives to shorten the implementation period for certain Requirements, w</w:t>
      </w:r>
      <w:r w:rsidRPr="004F4940" w:rsidR="00710011">
        <w:rPr>
          <w:rFonts w:eastAsia="Times New Roman"/>
        </w:rPr>
        <w:t xml:space="preserve">aiting to collect data until after implementation will not provide timely information on the effectiveness of winterization efforts.  </w:t>
      </w:r>
      <w:r w:rsidRPr="004F4940" w:rsidR="006A6656">
        <w:rPr>
          <w:rFonts w:eastAsia="Times New Roman"/>
        </w:rPr>
        <w:t xml:space="preserve">However, section 1600 of NERC’s Rules of Procedure provides a mechanism for data collections that </w:t>
      </w:r>
      <w:r w:rsidRPr="004F4940" w:rsidR="008C4920">
        <w:rPr>
          <w:rFonts w:eastAsia="Times New Roman"/>
        </w:rPr>
        <w:t>c</w:t>
      </w:r>
      <w:r w:rsidRPr="004F4940" w:rsidR="006A6656">
        <w:rPr>
          <w:rFonts w:eastAsia="Times New Roman"/>
        </w:rPr>
        <w:t xml:space="preserve">ould be used during the period prior to full implementation.  </w:t>
      </w:r>
      <w:r w:rsidRPr="004F4940" w:rsidR="00934896">
        <w:rPr>
          <w:rFonts w:eastAsia="Times New Roman"/>
        </w:rPr>
        <w:t>Therefore, we</w:t>
      </w:r>
      <w:r w:rsidRPr="004F4940" w:rsidR="0061623A">
        <w:rPr>
          <w:rFonts w:eastAsia="Times New Roman"/>
        </w:rPr>
        <w:t xml:space="preserve"> direct NERC</w:t>
      </w:r>
      <w:r w:rsidRPr="004F4940" w:rsidR="00CD471B">
        <w:rPr>
          <w:rFonts w:eastAsia="Times New Roman"/>
        </w:rPr>
        <w:t>, pursuant to section 39.2(d) of the Commission’s regulations,</w:t>
      </w:r>
      <w:r>
        <w:rPr>
          <w:rFonts w:eastAsia="Times New Roman"/>
          <w:b/>
          <w:vertAlign w:val="superscript"/>
        </w:rPr>
        <w:footnoteReference w:id="23"/>
      </w:r>
      <w:r w:rsidRPr="004F4940" w:rsidR="00CD471B">
        <w:rPr>
          <w:rFonts w:eastAsia="Times New Roman"/>
        </w:rPr>
        <w:t xml:space="preserve"> </w:t>
      </w:r>
      <w:r w:rsidRPr="004F4940" w:rsidR="0061623A">
        <w:rPr>
          <w:rFonts w:eastAsia="Times New Roman"/>
        </w:rPr>
        <w:t>to</w:t>
      </w:r>
      <w:r w:rsidRPr="004F4940" w:rsidR="00B324A8">
        <w:rPr>
          <w:rFonts w:eastAsia="Times New Roman"/>
        </w:rPr>
        <w:t xml:space="preserve"> work with Commission staff to submit a plan no later than 12 months after the date of issuance of this order </w:t>
      </w:r>
      <w:r w:rsidRPr="004F4940" w:rsidR="00A61E51">
        <w:rPr>
          <w:rFonts w:eastAsia="Times New Roman"/>
        </w:rPr>
        <w:t xml:space="preserve">explaining </w:t>
      </w:r>
      <w:r w:rsidRPr="004F4940" w:rsidR="00B324A8">
        <w:rPr>
          <w:rFonts w:eastAsia="Times New Roman"/>
        </w:rPr>
        <w:t xml:space="preserve">how it will collect and assess data </w:t>
      </w:r>
      <w:r w:rsidRPr="004F4940" w:rsidR="00F11894">
        <w:rPr>
          <w:rFonts w:eastAsia="Times New Roman"/>
        </w:rPr>
        <w:t xml:space="preserve">prior to and </w:t>
      </w:r>
      <w:r w:rsidRPr="004F4940" w:rsidR="00BC0434">
        <w:rPr>
          <w:rFonts w:eastAsia="Times New Roman"/>
        </w:rPr>
        <w:t xml:space="preserve">after </w:t>
      </w:r>
      <w:r w:rsidRPr="004F4940" w:rsidR="00B324A8">
        <w:rPr>
          <w:rFonts w:eastAsia="Times New Roman"/>
        </w:rPr>
        <w:t>the implementation of the following elements of Reliability Standard EOP-012-1</w:t>
      </w:r>
      <w:r w:rsidRPr="004F4940" w:rsidR="00B324A8">
        <w:rPr>
          <w:rFonts w:eastAsia="Times New Roman"/>
        </w:rPr>
        <w:t>:  (</w:t>
      </w:r>
      <w:r w:rsidRPr="004F4940" w:rsidR="00B324A8">
        <w:rPr>
          <w:rFonts w:eastAsia="Times New Roman"/>
        </w:rPr>
        <w:t>1) generator owner declared constraints and explanations thereof; and (</w:t>
      </w:r>
      <w:r w:rsidRPr="004F4940" w:rsidR="00DB445E">
        <w:rPr>
          <w:rFonts w:eastAsia="Times New Roman"/>
        </w:rPr>
        <w:t>2</w:t>
      </w:r>
      <w:r w:rsidRPr="004F4940" w:rsidR="00B324A8">
        <w:rPr>
          <w:rFonts w:eastAsia="Times New Roman"/>
        </w:rPr>
        <w:t xml:space="preserve">) the </w:t>
      </w:r>
      <w:r w:rsidRPr="004F4940" w:rsidR="00B84A9E">
        <w:rPr>
          <w:rFonts w:eastAsia="Times New Roman"/>
        </w:rPr>
        <w:t>a</w:t>
      </w:r>
      <w:r w:rsidRPr="004F4940" w:rsidR="00800398">
        <w:rPr>
          <w:rFonts w:eastAsia="Times New Roman"/>
        </w:rPr>
        <w:t>dequacy</w:t>
      </w:r>
      <w:r w:rsidRPr="004F4940" w:rsidR="00B324A8">
        <w:rPr>
          <w:rFonts w:eastAsia="Times New Roman"/>
        </w:rPr>
        <w:t xml:space="preserve"> of the Extreme Cold Weather Temperature definition.</w:t>
      </w:r>
    </w:p>
    <w:p w:rsidR="007A1F11" w:rsidRPr="004F4940" w:rsidP="004E5F32" w14:paraId="51BBF47F" w14:textId="77777777">
      <w:pPr>
        <w:pStyle w:val="Heading1"/>
        <w:keepLines w:val="0"/>
        <w:widowControl w:val="0"/>
        <w:suppressLineNumbers/>
        <w:rPr>
          <w:rFonts w:eastAsia="Times New Roman"/>
        </w:rPr>
      </w:pPr>
      <w:r w:rsidRPr="004F4940">
        <w:rPr>
          <w:rFonts w:eastAsia="Times New Roman"/>
        </w:rPr>
        <w:t>Background</w:t>
      </w:r>
    </w:p>
    <w:p w:rsidR="007A1F11" w:rsidRPr="004F4940" w:rsidP="004E5F32" w14:paraId="329F7EC9" w14:textId="77777777">
      <w:pPr>
        <w:pStyle w:val="Heading2"/>
        <w:keepLines w:val="0"/>
        <w:widowControl w:val="0"/>
        <w:suppressLineNumbers/>
        <w:rPr>
          <w:rFonts w:eastAsia="Times New Roman"/>
        </w:rPr>
      </w:pPr>
      <w:r w:rsidRPr="004F4940">
        <w:rPr>
          <w:rFonts w:eastAsia="Times New Roman"/>
        </w:rPr>
        <w:t>Section 215 and Mandatory Reliability Standards</w:t>
      </w:r>
    </w:p>
    <w:p w:rsidR="00A31F36" w:rsidRPr="004F4940" w:rsidP="00F16E24" w14:paraId="2BCFA5E9" w14:textId="77777777">
      <w:pPr>
        <w:pStyle w:val="FERCparanumber"/>
        <w:suppressLineNumbers/>
        <w:rPr>
          <w:rFonts w:eastAsia="Times New Roman"/>
        </w:rPr>
      </w:pPr>
      <w:r w:rsidRPr="004F4940">
        <w:rPr>
          <w:rFonts w:eastAsia="Times New Roman"/>
        </w:rPr>
        <w:t xml:space="preserve">Section 215 of the FPA </w:t>
      </w:r>
      <w:r w:rsidRPr="004F4940" w:rsidR="00085F6B">
        <w:rPr>
          <w:rFonts w:eastAsia="Times New Roman"/>
        </w:rPr>
        <w:t xml:space="preserve">provides that the </w:t>
      </w:r>
      <w:r w:rsidRPr="004F4940">
        <w:rPr>
          <w:rFonts w:eastAsia="Times New Roman"/>
        </w:rPr>
        <w:t>Commission</w:t>
      </w:r>
      <w:r w:rsidRPr="004F4940" w:rsidR="00085F6B">
        <w:rPr>
          <w:rFonts w:eastAsia="Times New Roman"/>
        </w:rPr>
        <w:t xml:space="preserve"> may certify an</w:t>
      </w:r>
      <w:r w:rsidRPr="004F4940">
        <w:rPr>
          <w:rFonts w:eastAsia="Times New Roman"/>
        </w:rPr>
        <w:t xml:space="preserve"> ERO</w:t>
      </w:r>
      <w:r w:rsidRPr="004F4940" w:rsidR="00085F6B">
        <w:rPr>
          <w:rFonts w:eastAsia="Times New Roman"/>
        </w:rPr>
        <w:t>, the purpose of which is</w:t>
      </w:r>
      <w:r w:rsidRPr="004F4940">
        <w:rPr>
          <w:rFonts w:eastAsia="Times New Roman"/>
        </w:rPr>
        <w:t xml:space="preserve"> to develop mandatory and enforceable Reliability Standards, subject to Commission review and approval.</w:t>
      </w:r>
      <w:r>
        <w:rPr>
          <w:rFonts w:eastAsia="Times New Roman"/>
          <w:b/>
          <w:vertAlign w:val="superscript"/>
        </w:rPr>
        <w:footnoteReference w:id="24"/>
      </w:r>
      <w:r w:rsidRPr="004F4940">
        <w:rPr>
          <w:rFonts w:eastAsia="Times New Roman"/>
        </w:rPr>
        <w:t xml:space="preserve">  Reliability Standards may be enforced by the </w:t>
      </w:r>
      <w:r w:rsidRPr="004F4940">
        <w:rPr>
          <w:rFonts w:eastAsia="Times New Roman"/>
        </w:rPr>
        <w:t>ERO, subject to Commission oversight, or by the Commission independently.</w:t>
      </w:r>
      <w:r>
        <w:rPr>
          <w:rFonts w:eastAsia="Times New Roman"/>
          <w:b/>
          <w:vertAlign w:val="superscript"/>
        </w:rPr>
        <w:footnoteReference w:id="25"/>
      </w:r>
      <w:r w:rsidRPr="004F4940">
        <w:rPr>
          <w:rFonts w:eastAsia="Times New Roman"/>
        </w:rPr>
        <w:t xml:space="preserve">  Pursuant to section 215 of the FPA, the Commission established a process to select and certify an ERO,</w:t>
      </w:r>
      <w:r>
        <w:rPr>
          <w:rFonts w:eastAsia="Times New Roman"/>
          <w:b/>
          <w:vertAlign w:val="superscript"/>
        </w:rPr>
        <w:footnoteReference w:id="26"/>
      </w:r>
      <w:r w:rsidRPr="004F4940">
        <w:rPr>
          <w:rFonts w:eastAsia="Times New Roman"/>
        </w:rPr>
        <w:t xml:space="preserve"> and subsequently certified NERC.</w:t>
      </w:r>
      <w:r>
        <w:rPr>
          <w:rFonts w:eastAsia="Times New Roman"/>
          <w:b/>
          <w:vertAlign w:val="superscript"/>
        </w:rPr>
        <w:footnoteReference w:id="27"/>
      </w:r>
    </w:p>
    <w:p w:rsidR="007A1F11" w:rsidRPr="004F4940" w:rsidP="00710D39" w14:paraId="581C9AA8" w14:textId="77777777">
      <w:pPr>
        <w:pStyle w:val="Heading2"/>
        <w:keepNext w:val="0"/>
        <w:keepLines w:val="0"/>
        <w:widowControl w:val="0"/>
        <w:suppressLineNumbers/>
        <w:rPr>
          <w:rFonts w:eastAsia="Times New Roman"/>
        </w:rPr>
      </w:pPr>
      <w:r w:rsidRPr="004F4940">
        <w:rPr>
          <w:rFonts w:eastAsia="Times New Roman"/>
        </w:rPr>
        <w:t>The February 2021 Cold Weather Reliability Event</w:t>
      </w:r>
    </w:p>
    <w:p w:rsidR="00DD13AD" w:rsidRPr="004F4940" w:rsidP="459FD18B" w14:paraId="5C661604" w14:textId="3A9488D0">
      <w:pPr>
        <w:pStyle w:val="FERCparanumber"/>
        <w:suppressLineNumbers/>
        <w:rPr>
          <w:rFonts w:eastAsia="Times New Roman"/>
        </w:rPr>
      </w:pPr>
      <w:r w:rsidRPr="004F4940">
        <w:rPr>
          <w:rFonts w:eastAsia="Times New Roman"/>
        </w:rPr>
        <w:t>On February 16, 2021</w:t>
      </w:r>
      <w:r w:rsidRPr="004F4940" w:rsidR="008A12BC">
        <w:rPr>
          <w:rFonts w:eastAsia="Times New Roman"/>
        </w:rPr>
        <w:t>,</w:t>
      </w:r>
      <w:r w:rsidRPr="004F4940" w:rsidR="6953F68B">
        <w:rPr>
          <w:rFonts w:eastAsia="Times New Roman"/>
        </w:rPr>
        <w:t xml:space="preserve"> the Commission,</w:t>
      </w:r>
      <w:r w:rsidRPr="004F4940">
        <w:rPr>
          <w:rFonts w:eastAsia="Times New Roman"/>
        </w:rPr>
        <w:t xml:space="preserve"> NERC</w:t>
      </w:r>
      <w:r w:rsidRPr="004F4940" w:rsidR="008A12BC">
        <w:rPr>
          <w:rFonts w:eastAsia="Times New Roman"/>
        </w:rPr>
        <w:t>,</w:t>
      </w:r>
      <w:r w:rsidRPr="004F4940">
        <w:rPr>
          <w:rFonts w:eastAsia="Times New Roman"/>
        </w:rPr>
        <w:t xml:space="preserve"> and </w:t>
      </w:r>
      <w:r w:rsidRPr="004F4940" w:rsidR="008A12BC">
        <w:rPr>
          <w:rFonts w:eastAsia="Times New Roman"/>
        </w:rPr>
        <w:t>Regional Entity</w:t>
      </w:r>
      <w:r w:rsidRPr="004F4940">
        <w:rPr>
          <w:rFonts w:eastAsia="Times New Roman"/>
        </w:rPr>
        <w:t xml:space="preserve"> staff </w:t>
      </w:r>
      <w:r w:rsidR="00F90F35">
        <w:rPr>
          <w:rFonts w:eastAsia="Times New Roman"/>
        </w:rPr>
        <w:br/>
      </w:r>
      <w:r w:rsidRPr="004F4940">
        <w:rPr>
          <w:rFonts w:eastAsia="Times New Roman"/>
        </w:rPr>
        <w:t xml:space="preserve">initiated a joint inquiry into the circumstances surrounding </w:t>
      </w:r>
      <w:r w:rsidRPr="004F4940" w:rsidR="0088734E">
        <w:rPr>
          <w:rFonts w:eastAsia="Times New Roman"/>
        </w:rPr>
        <w:t>a</w:t>
      </w:r>
      <w:r w:rsidRPr="004F4940">
        <w:rPr>
          <w:rFonts w:eastAsia="Times New Roman"/>
        </w:rPr>
        <w:t xml:space="preserve"> February 2021 cold </w:t>
      </w:r>
      <w:r w:rsidR="00F90F35">
        <w:rPr>
          <w:rFonts w:eastAsia="Times New Roman"/>
        </w:rPr>
        <w:br/>
      </w:r>
      <w:r w:rsidRPr="004F4940">
        <w:rPr>
          <w:rFonts w:eastAsia="Times New Roman"/>
        </w:rPr>
        <w:t xml:space="preserve">weather reliability event that </w:t>
      </w:r>
      <w:r w:rsidRPr="004F4940" w:rsidR="00EE42DA">
        <w:rPr>
          <w:rFonts w:eastAsia="Times New Roman"/>
        </w:rPr>
        <w:t>affected</w:t>
      </w:r>
      <w:r w:rsidRPr="004F4940">
        <w:rPr>
          <w:rFonts w:eastAsia="Times New Roman"/>
        </w:rPr>
        <w:t xml:space="preserve"> Texas and the </w:t>
      </w:r>
      <w:r w:rsidRPr="004F4940" w:rsidR="00C323DA">
        <w:rPr>
          <w:rFonts w:eastAsia="Times New Roman"/>
        </w:rPr>
        <w:t>South-Central</w:t>
      </w:r>
      <w:r w:rsidRPr="004F4940">
        <w:rPr>
          <w:rFonts w:eastAsia="Times New Roman"/>
        </w:rPr>
        <w:t xml:space="preserve"> United States</w:t>
      </w:r>
      <w:r w:rsidRPr="004F4940" w:rsidR="00E47873">
        <w:rPr>
          <w:rFonts w:eastAsia="Times New Roman"/>
        </w:rPr>
        <w:t xml:space="preserve"> that culminated in a </w:t>
      </w:r>
      <w:r w:rsidRPr="004F4940" w:rsidR="00F122A5">
        <w:rPr>
          <w:rFonts w:eastAsia="Times New Roman"/>
        </w:rPr>
        <w:t>report identifying</w:t>
      </w:r>
      <w:r w:rsidRPr="004F4940" w:rsidR="002C7874">
        <w:rPr>
          <w:rFonts w:eastAsia="Times New Roman"/>
        </w:rPr>
        <w:t>, among other things,</w:t>
      </w:r>
      <w:r w:rsidRPr="004F4940" w:rsidR="00F122A5">
        <w:rPr>
          <w:rFonts w:eastAsia="Times New Roman"/>
        </w:rPr>
        <w:t xml:space="preserve"> recommendations</w:t>
      </w:r>
      <w:r w:rsidRPr="004F4940" w:rsidR="002C7874">
        <w:rPr>
          <w:rFonts w:eastAsia="Times New Roman"/>
        </w:rPr>
        <w:t xml:space="preserve"> for </w:t>
      </w:r>
      <w:r w:rsidRPr="004F4940" w:rsidR="00445805">
        <w:rPr>
          <w:rFonts w:eastAsia="Times New Roman"/>
        </w:rPr>
        <w:t>Reliability Standard improvements</w:t>
      </w:r>
      <w:r w:rsidRPr="004F4940">
        <w:rPr>
          <w:rFonts w:eastAsia="Times New Roman"/>
        </w:rPr>
        <w:t>.</w:t>
      </w:r>
      <w:r>
        <w:rPr>
          <w:rStyle w:val="FootnoteReference"/>
          <w:rFonts w:eastAsia="Times New Roman"/>
        </w:rPr>
        <w:footnoteReference w:id="28"/>
      </w:r>
      <w:r w:rsidRPr="004F4940" w:rsidR="00C323DA">
        <w:rPr>
          <w:rFonts w:eastAsia="Times New Roman"/>
        </w:rPr>
        <w:t xml:space="preserve">  The November 2021 Report found that the February 2021 cold weather reliability event was the largest controlled firm load shed event in U.S. history</w:t>
      </w:r>
      <w:r w:rsidRPr="004F4940" w:rsidR="0081563D">
        <w:rPr>
          <w:rFonts w:eastAsia="Times New Roman"/>
        </w:rPr>
        <w:t>; o</w:t>
      </w:r>
      <w:r w:rsidRPr="004F4940" w:rsidR="00C323DA">
        <w:rPr>
          <w:rFonts w:eastAsia="Times New Roman"/>
        </w:rPr>
        <w:t>ver 4.5</w:t>
      </w:r>
      <w:r w:rsidRPr="004F4940" w:rsidR="008619DF">
        <w:rPr>
          <w:rFonts w:eastAsia="Times New Roman"/>
        </w:rPr>
        <w:t> </w:t>
      </w:r>
      <w:r w:rsidRPr="004F4940" w:rsidR="00C323DA">
        <w:rPr>
          <w:rFonts w:eastAsia="Times New Roman"/>
        </w:rPr>
        <w:t>million people lo</w:t>
      </w:r>
      <w:r w:rsidRPr="004F4940" w:rsidR="00B501D3">
        <w:rPr>
          <w:rFonts w:eastAsia="Times New Roman"/>
        </w:rPr>
        <w:t>st</w:t>
      </w:r>
      <w:r w:rsidRPr="004F4940" w:rsidR="00C323DA">
        <w:rPr>
          <w:rFonts w:eastAsia="Times New Roman"/>
        </w:rPr>
        <w:t xml:space="preserve"> power and at least 210 people </w:t>
      </w:r>
      <w:r w:rsidRPr="004F4940" w:rsidR="00770A3E">
        <w:rPr>
          <w:rFonts w:eastAsia="Times New Roman"/>
        </w:rPr>
        <w:t>lost their lives during the event</w:t>
      </w:r>
      <w:r w:rsidRPr="004F4940" w:rsidR="00C323DA">
        <w:rPr>
          <w:rFonts w:eastAsia="Times New Roman"/>
        </w:rPr>
        <w:t>.</w:t>
      </w:r>
      <w:r>
        <w:rPr>
          <w:rStyle w:val="FootnoteReference"/>
          <w:rFonts w:eastAsia="Times New Roman"/>
        </w:rPr>
        <w:footnoteReference w:id="29"/>
      </w:r>
      <w:r w:rsidRPr="004F4940" w:rsidR="00C323DA">
        <w:rPr>
          <w:rFonts w:eastAsia="Times New Roman"/>
        </w:rPr>
        <w:t xml:space="preserve">  </w:t>
      </w:r>
      <w:r w:rsidRPr="004F4940" w:rsidR="00BE02FE">
        <w:rPr>
          <w:rFonts w:eastAsia="Times New Roman"/>
        </w:rPr>
        <w:t>T</w:t>
      </w:r>
      <w:r w:rsidRPr="004F4940" w:rsidR="00C323DA">
        <w:rPr>
          <w:rFonts w:eastAsia="Times New Roman"/>
        </w:rPr>
        <w:t xml:space="preserve">he November 2021 Report </w:t>
      </w:r>
      <w:r w:rsidRPr="004F4940" w:rsidR="00BE02FE">
        <w:rPr>
          <w:rFonts w:eastAsia="Times New Roman"/>
        </w:rPr>
        <w:t>provided an assessment of the event a</w:t>
      </w:r>
      <w:r w:rsidRPr="004F4940" w:rsidR="00193F47">
        <w:rPr>
          <w:rFonts w:eastAsia="Times New Roman"/>
        </w:rPr>
        <w:t>s well as</w:t>
      </w:r>
      <w:r w:rsidRPr="004F4940" w:rsidR="00C323DA">
        <w:rPr>
          <w:rFonts w:eastAsia="Times New Roman"/>
        </w:rPr>
        <w:t xml:space="preserve"> recommendations </w:t>
      </w:r>
      <w:r w:rsidRPr="004F4940" w:rsidR="003361AB">
        <w:rPr>
          <w:rFonts w:eastAsia="Times New Roman"/>
        </w:rPr>
        <w:t xml:space="preserve">including, </w:t>
      </w:r>
      <w:r w:rsidRPr="004F4940" w:rsidR="003361AB">
        <w:rPr>
          <w:rFonts w:eastAsia="Times New Roman"/>
          <w:i/>
          <w:iCs/>
        </w:rPr>
        <w:t>inter alia</w:t>
      </w:r>
      <w:r w:rsidRPr="004F4940" w:rsidR="003361AB">
        <w:rPr>
          <w:rFonts w:eastAsia="Times New Roman"/>
        </w:rPr>
        <w:t>,</w:t>
      </w:r>
      <w:r w:rsidRPr="004F4940" w:rsidR="00C323DA">
        <w:rPr>
          <w:rFonts w:eastAsia="Times New Roman"/>
        </w:rPr>
        <w:t xml:space="preserve"> Reliability Standard enhancements </w:t>
      </w:r>
      <w:r w:rsidRPr="004F4940" w:rsidR="00357C1C">
        <w:rPr>
          <w:rFonts w:eastAsia="Times New Roman"/>
        </w:rPr>
        <w:t>to improve extreme cold weather operations, preparedness, and coordination</w:t>
      </w:r>
      <w:r w:rsidRPr="004F4940" w:rsidR="00C323DA">
        <w:rPr>
          <w:rFonts w:eastAsia="Times New Roman"/>
        </w:rPr>
        <w:t>.</w:t>
      </w:r>
      <w:r>
        <w:rPr>
          <w:rStyle w:val="FootnoteReference"/>
          <w:rFonts w:eastAsia="Times New Roman"/>
        </w:rPr>
        <w:footnoteReference w:id="30"/>
      </w:r>
    </w:p>
    <w:p w:rsidR="70A41C51" w:rsidRPr="004F4940" w:rsidP="009876DF" w14:paraId="53678260" w14:textId="41130105">
      <w:pPr>
        <w:pStyle w:val="FERCparanumber"/>
        <w:suppressLineNumbers/>
        <w:rPr>
          <w:rFonts w:eastAsia="Times New Roman"/>
        </w:rPr>
      </w:pPr>
      <w:r w:rsidRPr="004F4940">
        <w:rPr>
          <w:rFonts w:eastAsia="Times New Roman"/>
        </w:rPr>
        <w:t xml:space="preserve">After the February 2021 cold weather reliability event, but before the November 2021 Report was issued, </w:t>
      </w:r>
      <w:r w:rsidRPr="004F4940" w:rsidR="004C2CBE">
        <w:rPr>
          <w:rFonts w:eastAsia="Times New Roman"/>
        </w:rPr>
        <w:t>NE</w:t>
      </w:r>
      <w:r w:rsidRPr="004F4940">
        <w:rPr>
          <w:rFonts w:eastAsia="Times New Roman"/>
        </w:rPr>
        <w:t>RC filed a petition for approval of cold weather Reliability Standards addressing recommendations from a 2018 cold weather event report.</w:t>
      </w:r>
      <w:r>
        <w:rPr>
          <w:rStyle w:val="FootnoteReference"/>
          <w:rFonts w:eastAsia="Times New Roman"/>
        </w:rPr>
        <w:footnoteReference w:id="31"/>
      </w:r>
      <w:r w:rsidRPr="004F4940" w:rsidR="00070152">
        <w:rPr>
          <w:rFonts w:eastAsia="Times New Roman"/>
        </w:rPr>
        <w:t xml:space="preserve">  In August 2021, the Commission approved NERC’s modifications to </w:t>
      </w:r>
      <w:r w:rsidRPr="004F4940" w:rsidR="00F5326F">
        <w:rPr>
          <w:rFonts w:eastAsia="Times New Roman"/>
        </w:rPr>
        <w:t>Reliability</w:t>
      </w:r>
      <w:r w:rsidRPr="004F4940" w:rsidR="00070152">
        <w:rPr>
          <w:rFonts w:eastAsia="Times New Roman"/>
        </w:rPr>
        <w:t xml:space="preserve"> Standards EOP-011-2 (Emergency Preparedness and Operations), IRO-010-4 (Reliability </w:t>
      </w:r>
      <w:r w:rsidRPr="004F4940" w:rsidR="00F5326F">
        <w:rPr>
          <w:rFonts w:eastAsia="Times New Roman"/>
        </w:rPr>
        <w:t>Coordinator</w:t>
      </w:r>
      <w:r w:rsidRPr="004F4940" w:rsidR="00070152">
        <w:rPr>
          <w:rFonts w:eastAsia="Times New Roman"/>
        </w:rPr>
        <w:t xml:space="preserve"> Data Specification and Collection), and TOP-003-5 (Operational </w:t>
      </w:r>
      <w:r w:rsidRPr="004F4940" w:rsidR="00F5326F">
        <w:rPr>
          <w:rFonts w:eastAsia="Times New Roman"/>
        </w:rPr>
        <w:t>Reliability</w:t>
      </w:r>
      <w:r w:rsidRPr="004F4940" w:rsidR="00070152">
        <w:rPr>
          <w:rFonts w:eastAsia="Times New Roman"/>
        </w:rPr>
        <w:t xml:space="preserve"> Data).</w:t>
      </w:r>
      <w:r>
        <w:rPr>
          <w:rStyle w:val="FootnoteReference"/>
          <w:rFonts w:eastAsia="Times New Roman"/>
        </w:rPr>
        <w:footnoteReference w:id="32"/>
      </w:r>
      <w:r w:rsidRPr="004F4940" w:rsidR="00F5326F">
        <w:rPr>
          <w:rFonts w:eastAsia="Times New Roman"/>
        </w:rPr>
        <w:t xml:space="preserve">  Reliability Standards IRO-01</w:t>
      </w:r>
      <w:r w:rsidRPr="004F4940" w:rsidR="00633FD3">
        <w:rPr>
          <w:rFonts w:eastAsia="Times New Roman"/>
        </w:rPr>
        <w:t>0</w:t>
      </w:r>
      <w:r w:rsidRPr="004F4940" w:rsidR="00F5326F">
        <w:rPr>
          <w:rFonts w:eastAsia="Times New Roman"/>
        </w:rPr>
        <w:t xml:space="preserve">-4 and TOP-003-5 require that reliability </w:t>
      </w:r>
      <w:r w:rsidRPr="004F4940" w:rsidR="00F5326F">
        <w:rPr>
          <w:rFonts w:eastAsia="Times New Roman"/>
        </w:rPr>
        <w:t>coordinators, transmission operators, and balancing authorities develop, maintain, and share generator cold weather data</w:t>
      </w:r>
      <w:r w:rsidRPr="004F4940" w:rsidR="7C37814C">
        <w:rPr>
          <w:rFonts w:eastAsia="Times New Roman"/>
        </w:rPr>
        <w:t>.</w:t>
      </w:r>
      <w:r>
        <w:rPr>
          <w:rStyle w:val="FootnoteReference"/>
          <w:rFonts w:eastAsia="Times New Roman"/>
        </w:rPr>
        <w:footnoteReference w:id="33"/>
      </w:r>
      <w:r w:rsidRPr="004F4940" w:rsidR="0050233B">
        <w:rPr>
          <w:rFonts w:eastAsia="Times New Roman"/>
        </w:rPr>
        <w:t xml:space="preserve">  EOP-011-2 requires generator owners to have generating unit cold weather preparedness plans</w:t>
      </w:r>
      <w:r w:rsidRPr="004F4940" w:rsidR="00FC4C29">
        <w:rPr>
          <w:rFonts w:eastAsia="Times New Roman"/>
        </w:rPr>
        <w:t xml:space="preserve"> and generator owners and generator operators to provide</w:t>
      </w:r>
      <w:r w:rsidRPr="004F4940" w:rsidR="00B738EB">
        <w:rPr>
          <w:rFonts w:eastAsia="Times New Roman"/>
        </w:rPr>
        <w:t xml:space="preserve"> </w:t>
      </w:r>
      <w:r w:rsidRPr="004F4940" w:rsidR="00FE1ED9">
        <w:rPr>
          <w:rFonts w:eastAsia="Times New Roman"/>
        </w:rPr>
        <w:t>training</w:t>
      </w:r>
      <w:r w:rsidRPr="004F4940" w:rsidR="00304DC8">
        <w:rPr>
          <w:rFonts w:eastAsia="Times New Roman"/>
        </w:rPr>
        <w:t xml:space="preserve"> for implementing the cold weather preparedness plans</w:t>
      </w:r>
      <w:r w:rsidRPr="004F4940" w:rsidR="0050233B">
        <w:rPr>
          <w:rFonts w:eastAsia="Times New Roman"/>
        </w:rPr>
        <w:t>.</w:t>
      </w:r>
      <w:r>
        <w:rPr>
          <w:rStyle w:val="FootnoteReference"/>
          <w:rFonts w:eastAsia="Times New Roman"/>
        </w:rPr>
        <w:footnoteReference w:id="34"/>
      </w:r>
    </w:p>
    <w:p w:rsidR="00F5326F" w:rsidRPr="004F4940" w:rsidP="004E5F32" w14:paraId="45017E6F" w14:textId="0433A0FF">
      <w:pPr>
        <w:pStyle w:val="Heading2"/>
        <w:keepLines w:val="0"/>
        <w:suppressLineNumbers/>
        <w:rPr>
          <w:rFonts w:eastAsia="Times New Roman"/>
        </w:rPr>
      </w:pPr>
      <w:r w:rsidRPr="004F4940">
        <w:rPr>
          <w:rFonts w:eastAsia="Times New Roman"/>
        </w:rPr>
        <w:t>NERC’s Petition and Proposed Reliability Standards EOP-011-3 and EOP-012-1</w:t>
      </w:r>
    </w:p>
    <w:p w:rsidR="00EA339F" w:rsidRPr="004F4940" w:rsidP="459FD18B" w14:paraId="655C2ED4" w14:textId="111AF097">
      <w:pPr>
        <w:pStyle w:val="FERCparanumber"/>
        <w:suppressLineNumbers/>
        <w:rPr>
          <w:rFonts w:eastAsia="Times New Roman"/>
        </w:rPr>
      </w:pPr>
      <w:r w:rsidRPr="004F4940">
        <w:rPr>
          <w:rFonts w:eastAsia="Times New Roman"/>
        </w:rPr>
        <w:t xml:space="preserve">On </w:t>
      </w:r>
      <w:r w:rsidRPr="004F4940" w:rsidR="3C74C300">
        <w:rPr>
          <w:rFonts w:eastAsia="Times New Roman"/>
        </w:rPr>
        <w:t>October 28, 2022</w:t>
      </w:r>
      <w:r w:rsidRPr="004F4940">
        <w:rPr>
          <w:rFonts w:eastAsia="Times New Roman"/>
        </w:rPr>
        <w:t xml:space="preserve">, NERC </w:t>
      </w:r>
      <w:r w:rsidRPr="004F4940" w:rsidR="62CBC147">
        <w:rPr>
          <w:rFonts w:eastAsia="Times New Roman"/>
        </w:rPr>
        <w:t>filed</w:t>
      </w:r>
      <w:r w:rsidRPr="004F4940">
        <w:rPr>
          <w:rFonts w:eastAsia="Times New Roman"/>
        </w:rPr>
        <w:t xml:space="preserve"> a petition seeking approval </w:t>
      </w:r>
      <w:r w:rsidRPr="004F4940" w:rsidR="007A51D6">
        <w:rPr>
          <w:rFonts w:eastAsia="Times New Roman"/>
        </w:rPr>
        <w:t>on an expedited basis</w:t>
      </w:r>
      <w:r w:rsidRPr="004F4940">
        <w:rPr>
          <w:rFonts w:eastAsia="Times New Roman"/>
        </w:rPr>
        <w:t xml:space="preserve"> of</w:t>
      </w:r>
      <w:r w:rsidRPr="004F4940" w:rsidR="63269BC2">
        <w:rPr>
          <w:rFonts w:eastAsia="Times New Roman"/>
        </w:rPr>
        <w:t xml:space="preserve"> </w:t>
      </w:r>
      <w:r w:rsidRPr="004F4940">
        <w:rPr>
          <w:rFonts w:eastAsia="Times New Roman"/>
        </w:rPr>
        <w:t>Reliability Standard</w:t>
      </w:r>
      <w:r w:rsidRPr="004F4940" w:rsidR="63269BC2">
        <w:rPr>
          <w:rFonts w:eastAsia="Times New Roman"/>
        </w:rPr>
        <w:t>s EOP-011-3 and EOP-012-1</w:t>
      </w:r>
      <w:r w:rsidRPr="004F4940" w:rsidR="27034156">
        <w:rPr>
          <w:rFonts w:eastAsia="Times New Roman"/>
        </w:rPr>
        <w:t>, the Standards’ associated violation risk factors and violation severity levels</w:t>
      </w:r>
      <w:bookmarkStart w:id="6" w:name="_Hlk124239855"/>
      <w:r w:rsidRPr="004F4940" w:rsidR="27034156">
        <w:rPr>
          <w:rFonts w:eastAsia="Times New Roman"/>
        </w:rPr>
        <w:t>, three newly</w:t>
      </w:r>
      <w:r w:rsidRPr="004F4940" w:rsidR="00B725DC">
        <w:rPr>
          <w:rFonts w:eastAsia="Times New Roman"/>
        </w:rPr>
        <w:t>-</w:t>
      </w:r>
      <w:r w:rsidRPr="004F4940" w:rsidR="27034156">
        <w:rPr>
          <w:rFonts w:eastAsia="Times New Roman"/>
        </w:rPr>
        <w:t xml:space="preserve">defined terms (Extreme Cold Weather Temperature, Generator Cold </w:t>
      </w:r>
      <w:r w:rsidRPr="004F4940" w:rsidR="4D5A2837">
        <w:rPr>
          <w:rFonts w:eastAsia="Times New Roman"/>
        </w:rPr>
        <w:t>Weather</w:t>
      </w:r>
      <w:r w:rsidRPr="004F4940" w:rsidR="27034156">
        <w:rPr>
          <w:rFonts w:eastAsia="Times New Roman"/>
        </w:rPr>
        <w:t xml:space="preserve"> Critical Component, and Generator Cold </w:t>
      </w:r>
      <w:r w:rsidRPr="004F4940" w:rsidR="34C192F0">
        <w:rPr>
          <w:rFonts w:eastAsia="Times New Roman"/>
        </w:rPr>
        <w:t xml:space="preserve">Weather </w:t>
      </w:r>
      <w:r w:rsidRPr="004F4940" w:rsidR="27034156">
        <w:rPr>
          <w:rFonts w:eastAsia="Times New Roman"/>
        </w:rPr>
        <w:t>Reliability Event</w:t>
      </w:r>
      <w:bookmarkEnd w:id="6"/>
      <w:r w:rsidRPr="004F4940" w:rsidR="27034156">
        <w:rPr>
          <w:rFonts w:eastAsia="Times New Roman"/>
        </w:rPr>
        <w:t>),</w:t>
      </w:r>
      <w:r w:rsidRPr="004F4940" w:rsidR="4D5A2837">
        <w:rPr>
          <w:rFonts w:eastAsia="Times New Roman"/>
        </w:rPr>
        <w:t xml:space="preserve"> </w:t>
      </w:r>
      <w:r w:rsidRPr="004F4940" w:rsidR="006E093A">
        <w:rPr>
          <w:rFonts w:eastAsia="Times New Roman"/>
        </w:rPr>
        <w:t xml:space="preserve">NERC’s proposed implementation plan, and </w:t>
      </w:r>
      <w:r w:rsidRPr="004F4940" w:rsidR="00414010">
        <w:rPr>
          <w:rFonts w:eastAsia="Times New Roman"/>
        </w:rPr>
        <w:t xml:space="preserve">the </w:t>
      </w:r>
      <w:r w:rsidRPr="004F4940" w:rsidR="4D5A2837">
        <w:rPr>
          <w:rFonts w:eastAsia="Times New Roman"/>
        </w:rPr>
        <w:t>retirement of currently approved EOP-011-2.</w:t>
      </w:r>
      <w:r>
        <w:rPr>
          <w:rStyle w:val="FootnoteReference"/>
          <w:rFonts w:eastAsia="Times New Roman"/>
        </w:rPr>
        <w:footnoteReference w:id="35"/>
      </w:r>
      <w:r w:rsidRPr="004F4940" w:rsidR="4D5A2837">
        <w:rPr>
          <w:rFonts w:eastAsia="Times New Roman"/>
        </w:rPr>
        <w:t xml:space="preserve">  NERC explain</w:t>
      </w:r>
      <w:r w:rsidRPr="004F4940" w:rsidR="62CBC147">
        <w:rPr>
          <w:rFonts w:eastAsia="Times New Roman"/>
        </w:rPr>
        <w:t>s</w:t>
      </w:r>
      <w:r w:rsidRPr="004F4940" w:rsidR="282706FD">
        <w:rPr>
          <w:rFonts w:eastAsia="Times New Roman"/>
        </w:rPr>
        <w:t xml:space="preserve"> that </w:t>
      </w:r>
      <w:r w:rsidRPr="004F4940" w:rsidR="006E093A">
        <w:rPr>
          <w:rFonts w:eastAsia="Times New Roman"/>
        </w:rPr>
        <w:t xml:space="preserve">Reliability Standards </w:t>
      </w:r>
      <w:r w:rsidRPr="004F4940" w:rsidR="282706FD">
        <w:rPr>
          <w:rFonts w:eastAsia="Times New Roman"/>
        </w:rPr>
        <w:t>EOP-011-3 and EOP-012-1 build upon the 2021</w:t>
      </w:r>
      <w:r w:rsidRPr="004F4940" w:rsidR="35B283E6">
        <w:rPr>
          <w:rFonts w:eastAsia="Times New Roman"/>
        </w:rPr>
        <w:t xml:space="preserve">-approved cold weather </w:t>
      </w:r>
      <w:r w:rsidRPr="004F4940" w:rsidR="00414010">
        <w:rPr>
          <w:rFonts w:eastAsia="Times New Roman"/>
        </w:rPr>
        <w:t>Reliability S</w:t>
      </w:r>
      <w:r w:rsidRPr="004F4940" w:rsidR="35B283E6">
        <w:rPr>
          <w:rFonts w:eastAsia="Times New Roman"/>
        </w:rPr>
        <w:t>tandards by further strengthening the reliability of the Bulk-Power System during extreme cold weather conditions.</w:t>
      </w:r>
      <w:r>
        <w:rPr>
          <w:rStyle w:val="FootnoteReference"/>
          <w:rFonts w:eastAsia="Times New Roman"/>
        </w:rPr>
        <w:footnoteReference w:id="36"/>
      </w:r>
      <w:r w:rsidRPr="004F4940" w:rsidR="35B283E6">
        <w:rPr>
          <w:rFonts w:eastAsia="Times New Roman"/>
        </w:rPr>
        <w:t xml:space="preserve">  </w:t>
      </w:r>
      <w:r w:rsidRPr="004F4940" w:rsidR="7FA68372">
        <w:rPr>
          <w:rFonts w:eastAsia="Times New Roman"/>
        </w:rPr>
        <w:t xml:space="preserve">NERC </w:t>
      </w:r>
      <w:r w:rsidRPr="004F4940" w:rsidR="35B283E6">
        <w:rPr>
          <w:rFonts w:eastAsia="Times New Roman"/>
        </w:rPr>
        <w:t>maintains</w:t>
      </w:r>
      <w:r w:rsidRPr="004F4940" w:rsidR="7FA68372">
        <w:rPr>
          <w:rFonts w:eastAsia="Times New Roman"/>
        </w:rPr>
        <w:t xml:space="preserve"> that proposed Reliability Standard</w:t>
      </w:r>
      <w:r w:rsidRPr="004F4940" w:rsidR="35B283E6">
        <w:rPr>
          <w:rFonts w:eastAsia="Times New Roman"/>
        </w:rPr>
        <w:t>s</w:t>
      </w:r>
      <w:r w:rsidRPr="004F4940" w:rsidR="7FA68372">
        <w:rPr>
          <w:rFonts w:eastAsia="Times New Roman"/>
        </w:rPr>
        <w:t xml:space="preserve"> EOP-0</w:t>
      </w:r>
      <w:r w:rsidRPr="004F4940" w:rsidR="535790E9">
        <w:rPr>
          <w:rFonts w:eastAsia="Times New Roman"/>
        </w:rPr>
        <w:t xml:space="preserve">11-3 and EOP-012-1 are consistent with </w:t>
      </w:r>
      <w:r w:rsidRPr="004F4940" w:rsidR="4B50E871">
        <w:rPr>
          <w:rFonts w:eastAsia="Times New Roman"/>
        </w:rPr>
        <w:t>k</w:t>
      </w:r>
      <w:r w:rsidRPr="004F4940" w:rsidR="2CC3D711">
        <w:rPr>
          <w:rFonts w:eastAsia="Times New Roman"/>
        </w:rPr>
        <w:t>ey</w:t>
      </w:r>
      <w:r w:rsidRPr="004F4940" w:rsidR="535790E9">
        <w:rPr>
          <w:rFonts w:eastAsia="Times New Roman"/>
        </w:rPr>
        <w:t xml:space="preserve"> </w:t>
      </w:r>
      <w:r w:rsidRPr="004F4940" w:rsidR="00093E53">
        <w:rPr>
          <w:rFonts w:eastAsia="Times New Roman"/>
        </w:rPr>
        <w:t xml:space="preserve">recommendations for </w:t>
      </w:r>
      <w:r w:rsidRPr="004F4940" w:rsidR="00EF214B">
        <w:rPr>
          <w:rFonts w:eastAsia="Times New Roman"/>
        </w:rPr>
        <w:t>s</w:t>
      </w:r>
      <w:r w:rsidRPr="004F4940" w:rsidR="00093E53">
        <w:rPr>
          <w:rFonts w:eastAsia="Times New Roman"/>
        </w:rPr>
        <w:t>tandards</w:t>
      </w:r>
      <w:r w:rsidRPr="004F4940" w:rsidR="00EF214B">
        <w:rPr>
          <w:rFonts w:eastAsia="Times New Roman"/>
        </w:rPr>
        <w:t>’</w:t>
      </w:r>
      <w:r w:rsidRPr="004F4940" w:rsidR="00093E53">
        <w:rPr>
          <w:rFonts w:eastAsia="Times New Roman"/>
        </w:rPr>
        <w:t xml:space="preserve"> improvement </w:t>
      </w:r>
      <w:r w:rsidRPr="004F4940" w:rsidR="535790E9">
        <w:rPr>
          <w:rFonts w:eastAsia="Times New Roman"/>
        </w:rPr>
        <w:t>from the November 2021 Report</w:t>
      </w:r>
      <w:r w:rsidRPr="004F4940" w:rsidR="1153762B">
        <w:rPr>
          <w:rFonts w:eastAsia="Times New Roman"/>
        </w:rPr>
        <w:t>.</w:t>
      </w:r>
      <w:r>
        <w:rPr>
          <w:rStyle w:val="FootnoteReference"/>
          <w:rFonts w:eastAsia="Times New Roman"/>
        </w:rPr>
        <w:footnoteReference w:id="37"/>
      </w:r>
      <w:r w:rsidRPr="004F4940" w:rsidR="1153762B">
        <w:rPr>
          <w:rFonts w:eastAsia="Times New Roman"/>
        </w:rPr>
        <w:t xml:space="preserve">  </w:t>
      </w:r>
      <w:r w:rsidRPr="004F4940" w:rsidR="65FCB57F">
        <w:rPr>
          <w:rFonts w:eastAsia="Times New Roman"/>
        </w:rPr>
        <w:t xml:space="preserve">Specifically, NERC </w:t>
      </w:r>
      <w:r w:rsidRPr="004F4940" w:rsidR="53A0CF8A">
        <w:rPr>
          <w:rFonts w:eastAsia="Times New Roman"/>
        </w:rPr>
        <w:t>states that the proposed</w:t>
      </w:r>
      <w:r w:rsidRPr="004F4940" w:rsidR="254E8A24">
        <w:rPr>
          <w:rFonts w:eastAsia="Times New Roman"/>
        </w:rPr>
        <w:t xml:space="preserve"> Reliability Standards</w:t>
      </w:r>
      <w:r w:rsidRPr="004F4940" w:rsidR="12E0AB86">
        <w:rPr>
          <w:rFonts w:eastAsia="Times New Roman"/>
        </w:rPr>
        <w:t xml:space="preserve"> contain new and revised requirements</w:t>
      </w:r>
      <w:r w:rsidRPr="004F4940" w:rsidR="04C81132">
        <w:rPr>
          <w:rFonts w:eastAsia="Times New Roman"/>
        </w:rPr>
        <w:t xml:space="preserve"> to advance the reliability of the Bulk-Power System through</w:t>
      </w:r>
      <w:r w:rsidRPr="004F4940" w:rsidR="1244697F">
        <w:rPr>
          <w:rFonts w:eastAsia="Times New Roman"/>
        </w:rPr>
        <w:t xml:space="preserve"> the implementation of</w:t>
      </w:r>
      <w:r w:rsidRPr="004F4940" w:rsidR="04C81132">
        <w:rPr>
          <w:rFonts w:eastAsia="Times New Roman"/>
        </w:rPr>
        <w:t xml:space="preserve"> freeze protection measures,</w:t>
      </w:r>
      <w:r w:rsidRPr="004F4940" w:rsidR="550A3D03">
        <w:rPr>
          <w:rFonts w:eastAsia="Times New Roman"/>
        </w:rPr>
        <w:t xml:space="preserve"> </w:t>
      </w:r>
      <w:r w:rsidRPr="004F4940" w:rsidR="013AFFFF">
        <w:rPr>
          <w:rFonts w:eastAsia="Times New Roman"/>
        </w:rPr>
        <w:t>enhanced</w:t>
      </w:r>
      <w:r w:rsidRPr="004F4940" w:rsidR="04C81132">
        <w:rPr>
          <w:rFonts w:eastAsia="Times New Roman"/>
        </w:rPr>
        <w:t xml:space="preserve"> weather preparedness plans</w:t>
      </w:r>
      <w:r w:rsidRPr="004F4940" w:rsidR="00844E9F">
        <w:rPr>
          <w:rFonts w:eastAsia="Times New Roman"/>
        </w:rPr>
        <w:t>,</w:t>
      </w:r>
      <w:r w:rsidRPr="004F4940" w:rsidR="671FCF96">
        <w:rPr>
          <w:rFonts w:eastAsia="Times New Roman"/>
        </w:rPr>
        <w:t xml:space="preserve"> </w:t>
      </w:r>
      <w:r w:rsidRPr="004F4940" w:rsidR="04C81132">
        <w:rPr>
          <w:rFonts w:eastAsia="Times New Roman"/>
        </w:rPr>
        <w:t xml:space="preserve">annual </w:t>
      </w:r>
      <w:r w:rsidRPr="004F4940" w:rsidR="210719A4">
        <w:rPr>
          <w:rFonts w:eastAsia="Times New Roman"/>
        </w:rPr>
        <w:t>training</w:t>
      </w:r>
      <w:r w:rsidRPr="004F4940" w:rsidR="671FCF96">
        <w:rPr>
          <w:rFonts w:eastAsia="Times New Roman"/>
        </w:rPr>
        <w:t xml:space="preserve">, and </w:t>
      </w:r>
      <w:r w:rsidRPr="004F4940" w:rsidR="10234AE5">
        <w:rPr>
          <w:rFonts w:eastAsia="Times New Roman"/>
        </w:rPr>
        <w:t xml:space="preserve">the </w:t>
      </w:r>
      <w:r w:rsidRPr="004F4940" w:rsidR="671FCF96">
        <w:rPr>
          <w:rFonts w:eastAsia="Times New Roman"/>
        </w:rPr>
        <w:t>coordination of manual and automatic load shed</w:t>
      </w:r>
      <w:r w:rsidRPr="004F4940" w:rsidR="7DB09339">
        <w:rPr>
          <w:rFonts w:eastAsia="Times New Roman"/>
        </w:rPr>
        <w:t>.</w:t>
      </w:r>
      <w:r>
        <w:rPr>
          <w:rStyle w:val="FootnoteReference"/>
          <w:rFonts w:eastAsia="Times New Roman"/>
        </w:rPr>
        <w:footnoteReference w:id="38"/>
      </w:r>
    </w:p>
    <w:p w:rsidR="004A5047" w:rsidRPr="004F4940" w:rsidP="00EE008E" w14:paraId="1C7D784C" w14:textId="55D3C739">
      <w:pPr>
        <w:pStyle w:val="FERCparanumber"/>
        <w:rPr>
          <w:rFonts w:eastAsia="Times New Roman"/>
        </w:rPr>
      </w:pPr>
      <w:r w:rsidRPr="004F4940">
        <w:rPr>
          <w:rFonts w:eastAsia="Times New Roman"/>
        </w:rPr>
        <w:t>NERC</w:t>
      </w:r>
      <w:r w:rsidRPr="004F4940" w:rsidR="00CD15B3">
        <w:rPr>
          <w:rFonts w:eastAsia="Times New Roman"/>
        </w:rPr>
        <w:t xml:space="preserve"> states that the purpose </w:t>
      </w:r>
      <w:r w:rsidRPr="004F4940" w:rsidR="00A0464F">
        <w:rPr>
          <w:rFonts w:eastAsia="Times New Roman"/>
        </w:rPr>
        <w:t xml:space="preserve">of </w:t>
      </w:r>
      <w:r w:rsidRPr="004F4940" w:rsidR="13BF3419">
        <w:rPr>
          <w:rFonts w:eastAsia="Times New Roman"/>
        </w:rPr>
        <w:t xml:space="preserve">proposed </w:t>
      </w:r>
      <w:r w:rsidRPr="004F4940" w:rsidR="6B20ACB6">
        <w:rPr>
          <w:rFonts w:eastAsia="Times New Roman"/>
        </w:rPr>
        <w:t xml:space="preserve">Reliability Standard </w:t>
      </w:r>
      <w:r w:rsidRPr="004F4940" w:rsidR="13BF3419">
        <w:rPr>
          <w:rFonts w:eastAsia="Times New Roman"/>
        </w:rPr>
        <w:t xml:space="preserve">EOP-011-3 </w:t>
      </w:r>
      <w:r w:rsidR="00F90F35">
        <w:rPr>
          <w:rFonts w:eastAsia="Times New Roman"/>
        </w:rPr>
        <w:br/>
      </w:r>
      <w:r w:rsidRPr="004F4940" w:rsidR="13BF3419">
        <w:rPr>
          <w:rFonts w:eastAsia="Times New Roman"/>
        </w:rPr>
        <w:t xml:space="preserve">is </w:t>
      </w:r>
      <w:bookmarkStart w:id="7" w:name="_Hlk126574010"/>
      <w:r w:rsidRPr="004F4940" w:rsidR="13BF3419">
        <w:rPr>
          <w:rFonts w:eastAsia="Times New Roman"/>
        </w:rPr>
        <w:t xml:space="preserve">to ensure that each </w:t>
      </w:r>
      <w:r w:rsidRPr="004F4940" w:rsidR="2A91FEC0">
        <w:rPr>
          <w:rFonts w:eastAsia="Times New Roman"/>
        </w:rPr>
        <w:t>t</w:t>
      </w:r>
      <w:r w:rsidRPr="004F4940" w:rsidR="13BF3419">
        <w:rPr>
          <w:rFonts w:eastAsia="Times New Roman"/>
        </w:rPr>
        <w:t xml:space="preserve">ransmission </w:t>
      </w:r>
      <w:r w:rsidRPr="004F4940" w:rsidR="0682B500">
        <w:rPr>
          <w:rFonts w:eastAsia="Times New Roman"/>
        </w:rPr>
        <w:t>o</w:t>
      </w:r>
      <w:r w:rsidRPr="004F4940" w:rsidR="13BF3419">
        <w:rPr>
          <w:rFonts w:eastAsia="Times New Roman"/>
        </w:rPr>
        <w:t xml:space="preserve">perator </w:t>
      </w:r>
      <w:r w:rsidRPr="004F4940" w:rsidR="00CC1941">
        <w:rPr>
          <w:rFonts w:eastAsia="Times New Roman"/>
        </w:rPr>
        <w:t>implements</w:t>
      </w:r>
      <w:r w:rsidRPr="004F4940" w:rsidR="13BF3419">
        <w:rPr>
          <w:rFonts w:eastAsia="Times New Roman"/>
        </w:rPr>
        <w:t xml:space="preserve"> plan</w:t>
      </w:r>
      <w:r w:rsidRPr="004F4940" w:rsidR="2E4DB294">
        <w:rPr>
          <w:rFonts w:eastAsia="Times New Roman"/>
        </w:rPr>
        <w:t>s</w:t>
      </w:r>
      <w:r w:rsidRPr="004F4940" w:rsidR="13BF3419">
        <w:rPr>
          <w:rFonts w:eastAsia="Times New Roman"/>
        </w:rPr>
        <w:t xml:space="preserve"> to mitigate operating </w:t>
      </w:r>
      <w:r w:rsidRPr="004F4940" w:rsidR="00FA0437">
        <w:rPr>
          <w:rFonts w:eastAsia="Times New Roman"/>
        </w:rPr>
        <w:t>e</w:t>
      </w:r>
      <w:r w:rsidRPr="004F4940" w:rsidR="13BF3419">
        <w:rPr>
          <w:rFonts w:eastAsia="Times New Roman"/>
        </w:rPr>
        <w:t xml:space="preserve">mergencies </w:t>
      </w:r>
      <w:r w:rsidRPr="004F4940" w:rsidR="00CC1941">
        <w:rPr>
          <w:rFonts w:eastAsia="Times New Roman"/>
        </w:rPr>
        <w:t>and that such plans are coordinated with</w:t>
      </w:r>
      <w:r w:rsidRPr="004F4940" w:rsidR="29121A54">
        <w:rPr>
          <w:rFonts w:eastAsia="Times New Roman"/>
        </w:rPr>
        <w:t>in</w:t>
      </w:r>
      <w:r w:rsidRPr="004F4940" w:rsidR="00CC1941">
        <w:rPr>
          <w:rFonts w:eastAsia="Times New Roman"/>
        </w:rPr>
        <w:t xml:space="preserve"> the reliability coordinator </w:t>
      </w:r>
      <w:r w:rsidR="00F90F35">
        <w:rPr>
          <w:rFonts w:eastAsia="Times New Roman"/>
        </w:rPr>
        <w:br/>
      </w:r>
      <w:r w:rsidRPr="004F4940" w:rsidR="00CC1941">
        <w:rPr>
          <w:rFonts w:eastAsia="Times New Roman"/>
        </w:rPr>
        <w:t>area.</w:t>
      </w:r>
      <w:r w:rsidRPr="004F4940" w:rsidR="008B14D4">
        <w:rPr>
          <w:rFonts w:eastAsia="Times New Roman"/>
        </w:rPr>
        <w:t xml:space="preserve">  </w:t>
      </w:r>
      <w:bookmarkEnd w:id="7"/>
      <w:r w:rsidRPr="004F4940" w:rsidR="00735719">
        <w:rPr>
          <w:rFonts w:eastAsia="Times New Roman"/>
        </w:rPr>
        <w:t>According to NERC, p</w:t>
      </w:r>
      <w:r w:rsidRPr="004F4940" w:rsidR="0063212D">
        <w:rPr>
          <w:rFonts w:eastAsia="Times New Roman"/>
        </w:rPr>
        <w:t>roposed Reliability Standard</w:t>
      </w:r>
      <w:r w:rsidRPr="004F4940">
        <w:rPr>
          <w:rFonts w:eastAsia="Times New Roman"/>
        </w:rPr>
        <w:t xml:space="preserve"> </w:t>
      </w:r>
      <w:r w:rsidRPr="004F4940" w:rsidR="007566FD">
        <w:rPr>
          <w:rFonts w:eastAsia="Times New Roman"/>
        </w:rPr>
        <w:t>EOP-011-</w:t>
      </w:r>
      <w:r w:rsidRPr="004F4940" w:rsidR="0063212D">
        <w:rPr>
          <w:rFonts w:eastAsia="Times New Roman"/>
        </w:rPr>
        <w:t>3</w:t>
      </w:r>
      <w:r w:rsidRPr="004F4940" w:rsidR="007566FD">
        <w:rPr>
          <w:rFonts w:eastAsia="Times New Roman"/>
        </w:rPr>
        <w:t xml:space="preserve"> </w:t>
      </w:r>
      <w:r w:rsidRPr="004F4940">
        <w:rPr>
          <w:rFonts w:eastAsia="Times New Roman"/>
        </w:rPr>
        <w:t>address</w:t>
      </w:r>
      <w:r w:rsidRPr="004F4940" w:rsidR="001B1825">
        <w:rPr>
          <w:rFonts w:eastAsia="Times New Roman"/>
        </w:rPr>
        <w:t>es</w:t>
      </w:r>
      <w:r w:rsidRPr="004F4940" w:rsidR="007566FD">
        <w:rPr>
          <w:rFonts w:eastAsia="Times New Roman"/>
        </w:rPr>
        <w:t xml:space="preserve"> Key Recommendation 1j from the November 2021 Report, which recommends </w:t>
      </w:r>
      <w:r w:rsidRPr="004F4940" w:rsidR="00F76939">
        <w:rPr>
          <w:rFonts w:eastAsia="Times New Roman"/>
        </w:rPr>
        <w:t xml:space="preserve">that </w:t>
      </w:r>
      <w:r w:rsidRPr="004F4940" w:rsidR="006D170E">
        <w:rPr>
          <w:rFonts w:eastAsia="Times New Roman"/>
        </w:rPr>
        <w:t>the</w:t>
      </w:r>
      <w:r w:rsidRPr="004F4940" w:rsidR="002F3F80">
        <w:rPr>
          <w:rFonts w:eastAsia="Times New Roman"/>
        </w:rPr>
        <w:t xml:space="preserve"> </w:t>
      </w:r>
      <w:r w:rsidRPr="004F4940" w:rsidR="002F3F80">
        <w:rPr>
          <w:rFonts w:eastAsia="Times New Roman"/>
        </w:rPr>
        <w:t xml:space="preserve">circuits used for manual </w:t>
      </w:r>
      <w:r w:rsidRPr="004F4940" w:rsidR="09E47159">
        <w:rPr>
          <w:rFonts w:eastAsia="Times New Roman"/>
        </w:rPr>
        <w:t>l</w:t>
      </w:r>
      <w:r w:rsidRPr="004F4940" w:rsidR="002F3F80">
        <w:rPr>
          <w:rFonts w:eastAsia="Times New Roman"/>
        </w:rPr>
        <w:t xml:space="preserve">oad shed </w:t>
      </w:r>
      <w:r w:rsidRPr="004F4940" w:rsidR="00F76939">
        <w:rPr>
          <w:rFonts w:eastAsia="Times New Roman"/>
        </w:rPr>
        <w:t xml:space="preserve">be separated </w:t>
      </w:r>
      <w:r w:rsidRPr="004F4940" w:rsidR="002F3F80">
        <w:rPr>
          <w:rFonts w:eastAsia="Times New Roman"/>
        </w:rPr>
        <w:t xml:space="preserve">from </w:t>
      </w:r>
      <w:r w:rsidRPr="004F4940" w:rsidR="00F76939">
        <w:rPr>
          <w:rFonts w:eastAsia="Times New Roman"/>
        </w:rPr>
        <w:t xml:space="preserve">the </w:t>
      </w:r>
      <w:r w:rsidRPr="004F4940" w:rsidR="002F3F80">
        <w:rPr>
          <w:rFonts w:eastAsia="Times New Roman"/>
        </w:rPr>
        <w:t xml:space="preserve">circuits used for automatic </w:t>
      </w:r>
      <w:r w:rsidR="00F90F35">
        <w:rPr>
          <w:rFonts w:eastAsia="Times New Roman"/>
        </w:rPr>
        <w:br/>
      </w:r>
      <w:r w:rsidRPr="004F4940" w:rsidR="490595FD">
        <w:rPr>
          <w:rFonts w:eastAsia="Times New Roman"/>
        </w:rPr>
        <w:t>l</w:t>
      </w:r>
      <w:r w:rsidRPr="004F4940" w:rsidR="002F3F80">
        <w:rPr>
          <w:rFonts w:eastAsia="Times New Roman"/>
        </w:rPr>
        <w:t xml:space="preserve">oad </w:t>
      </w:r>
      <w:r w:rsidRPr="004F4940" w:rsidR="00F76939">
        <w:rPr>
          <w:rFonts w:eastAsia="Times New Roman"/>
        </w:rPr>
        <w:t xml:space="preserve">shed </w:t>
      </w:r>
      <w:r w:rsidRPr="004F4940" w:rsidR="002F3F80">
        <w:rPr>
          <w:rFonts w:eastAsia="Times New Roman"/>
        </w:rPr>
        <w:t xml:space="preserve">or </w:t>
      </w:r>
      <w:r w:rsidRPr="004F4940" w:rsidR="006D170E">
        <w:rPr>
          <w:rFonts w:eastAsia="Times New Roman"/>
        </w:rPr>
        <w:t>for</w:t>
      </w:r>
      <w:r w:rsidRPr="004F4940" w:rsidR="002F3F80">
        <w:rPr>
          <w:rFonts w:eastAsia="Times New Roman"/>
        </w:rPr>
        <w:t xml:space="preserve"> critical </w:t>
      </w:r>
      <w:r w:rsidRPr="004F4940" w:rsidR="00F76939">
        <w:rPr>
          <w:rFonts w:eastAsia="Times New Roman"/>
        </w:rPr>
        <w:t>loads</w:t>
      </w:r>
      <w:r w:rsidRPr="004F4940" w:rsidR="008B14D4">
        <w:rPr>
          <w:rFonts w:eastAsia="Times New Roman"/>
        </w:rPr>
        <w:t>.</w:t>
      </w:r>
      <w:r>
        <w:rPr>
          <w:rStyle w:val="FootnoteReference"/>
          <w:rFonts w:eastAsia="Times New Roman"/>
        </w:rPr>
        <w:footnoteReference w:id="39"/>
      </w:r>
    </w:p>
    <w:p w:rsidR="001D3E69" w:rsidRPr="004F4940" w:rsidP="00710D39" w14:paraId="147CCA10" w14:textId="5DB9EC75">
      <w:pPr>
        <w:pStyle w:val="FERCparanumber"/>
        <w:widowControl w:val="0"/>
        <w:suppressLineNumbers/>
        <w:rPr>
          <w:rFonts w:eastAsia="Times New Roman"/>
        </w:rPr>
      </w:pPr>
      <w:r w:rsidRPr="004F4940">
        <w:rPr>
          <w:rFonts w:eastAsia="Times New Roman"/>
        </w:rPr>
        <w:t>NERC propose</w:t>
      </w:r>
      <w:r w:rsidRPr="004F4940" w:rsidR="1CCEE087">
        <w:rPr>
          <w:rFonts w:eastAsia="Times New Roman"/>
        </w:rPr>
        <w:t>s</w:t>
      </w:r>
      <w:r w:rsidRPr="004F4940">
        <w:rPr>
          <w:rFonts w:eastAsia="Times New Roman"/>
        </w:rPr>
        <w:t xml:space="preserve"> to modify </w:t>
      </w:r>
      <w:r w:rsidRPr="004F4940" w:rsidR="30976A03">
        <w:rPr>
          <w:rFonts w:eastAsia="Times New Roman"/>
        </w:rPr>
        <w:t xml:space="preserve">approved </w:t>
      </w:r>
      <w:r w:rsidRPr="004F4940" w:rsidR="5524F102">
        <w:rPr>
          <w:rFonts w:eastAsia="Times New Roman"/>
        </w:rPr>
        <w:t xml:space="preserve">Reliability Standard </w:t>
      </w:r>
      <w:r w:rsidRPr="004F4940">
        <w:rPr>
          <w:rFonts w:eastAsia="Times New Roman"/>
        </w:rPr>
        <w:t>EOP-011-2 in multiple ways.</w:t>
      </w:r>
      <w:r>
        <w:rPr>
          <w:rStyle w:val="FootnoteReference"/>
          <w:rFonts w:eastAsia="Times New Roman"/>
        </w:rPr>
        <w:footnoteReference w:id="40"/>
      </w:r>
      <w:r w:rsidRPr="004F4940">
        <w:rPr>
          <w:rFonts w:eastAsia="Times New Roman"/>
        </w:rPr>
        <w:t xml:space="preserve">  First,</w:t>
      </w:r>
      <w:r w:rsidRPr="004F4940" w:rsidR="3341BB48">
        <w:rPr>
          <w:rFonts w:eastAsia="Times New Roman"/>
        </w:rPr>
        <w:t xml:space="preserve"> NERC proposes to </w:t>
      </w:r>
      <w:r w:rsidRPr="004F4940" w:rsidR="30976A03">
        <w:rPr>
          <w:rFonts w:eastAsia="Times New Roman"/>
        </w:rPr>
        <w:t>remove Requirement</w:t>
      </w:r>
      <w:r w:rsidRPr="004F4940" w:rsidR="67001A47">
        <w:rPr>
          <w:rFonts w:eastAsia="Times New Roman"/>
        </w:rPr>
        <w:t>s</w:t>
      </w:r>
      <w:r w:rsidRPr="004F4940" w:rsidR="30976A03">
        <w:rPr>
          <w:rFonts w:eastAsia="Times New Roman"/>
        </w:rPr>
        <w:t xml:space="preserve"> R7 and R8</w:t>
      </w:r>
      <w:r w:rsidRPr="004F4940" w:rsidR="3457C0D4">
        <w:rPr>
          <w:rFonts w:eastAsia="Times New Roman"/>
        </w:rPr>
        <w:t xml:space="preserve"> (generator cold weather preparedness plans</w:t>
      </w:r>
      <w:r w:rsidRPr="004F4940" w:rsidR="00D877B2">
        <w:rPr>
          <w:rFonts w:eastAsia="Times New Roman"/>
        </w:rPr>
        <w:t xml:space="preserve"> and associated training</w:t>
      </w:r>
      <w:r w:rsidRPr="004F4940" w:rsidR="3457C0D4">
        <w:rPr>
          <w:rFonts w:eastAsia="Times New Roman"/>
        </w:rPr>
        <w:t xml:space="preserve">) from </w:t>
      </w:r>
      <w:r w:rsidRPr="004F4940" w:rsidR="3341BB48">
        <w:rPr>
          <w:rFonts w:eastAsia="Times New Roman"/>
        </w:rPr>
        <w:t xml:space="preserve">EOP-011-2 </w:t>
      </w:r>
      <w:r w:rsidRPr="004F4940" w:rsidR="2B148082">
        <w:rPr>
          <w:rFonts w:eastAsia="Times New Roman"/>
        </w:rPr>
        <w:t>and</w:t>
      </w:r>
      <w:r w:rsidRPr="004F4940" w:rsidR="5BBCB65C">
        <w:rPr>
          <w:rFonts w:eastAsia="Times New Roman"/>
        </w:rPr>
        <w:t xml:space="preserve"> incorporate</w:t>
      </w:r>
      <w:r w:rsidRPr="004F4940" w:rsidR="3341BB48">
        <w:rPr>
          <w:rFonts w:eastAsia="Times New Roman"/>
        </w:rPr>
        <w:t xml:space="preserve"> them </w:t>
      </w:r>
      <w:r w:rsidRPr="004F4940" w:rsidR="5BBCB65C">
        <w:rPr>
          <w:rFonts w:eastAsia="Times New Roman"/>
        </w:rPr>
        <w:t xml:space="preserve">into proposed </w:t>
      </w:r>
      <w:r w:rsidRPr="004F4940" w:rsidR="5524F102">
        <w:rPr>
          <w:rFonts w:eastAsia="Times New Roman"/>
        </w:rPr>
        <w:t xml:space="preserve">Reliability Standard </w:t>
      </w:r>
      <w:r w:rsidRPr="004F4940" w:rsidR="5BBCB65C">
        <w:rPr>
          <w:rFonts w:eastAsia="Times New Roman"/>
        </w:rPr>
        <w:t>EOP-</w:t>
      </w:r>
      <w:r w:rsidRPr="004F4940" w:rsidR="3341BB48">
        <w:rPr>
          <w:rFonts w:eastAsia="Times New Roman"/>
        </w:rPr>
        <w:t>012-1 as Requirement</w:t>
      </w:r>
      <w:r w:rsidRPr="004F4940" w:rsidR="4CA456F6">
        <w:rPr>
          <w:rFonts w:eastAsia="Times New Roman"/>
        </w:rPr>
        <w:t>s</w:t>
      </w:r>
      <w:r w:rsidRPr="004F4940" w:rsidR="3341BB48">
        <w:rPr>
          <w:rFonts w:eastAsia="Times New Roman"/>
        </w:rPr>
        <w:t xml:space="preserve"> R3 and R5, respectively.</w:t>
      </w:r>
      <w:r>
        <w:rPr>
          <w:rStyle w:val="FootnoteReference"/>
          <w:rFonts w:eastAsia="Times New Roman"/>
        </w:rPr>
        <w:footnoteReference w:id="41"/>
      </w:r>
      <w:r w:rsidRPr="004F4940" w:rsidR="7DF1C81D">
        <w:rPr>
          <w:rFonts w:eastAsia="Times New Roman"/>
        </w:rPr>
        <w:t xml:space="preserve">  Second,</w:t>
      </w:r>
      <w:r w:rsidRPr="004F4940" w:rsidR="7A0E6E0C">
        <w:rPr>
          <w:rFonts w:eastAsia="Times New Roman"/>
        </w:rPr>
        <w:t xml:space="preserve"> </w:t>
      </w:r>
      <w:r w:rsidRPr="004F4940" w:rsidR="00CC5DB5">
        <w:rPr>
          <w:rFonts w:eastAsia="Times New Roman"/>
        </w:rPr>
        <w:t xml:space="preserve">the added </w:t>
      </w:r>
      <w:r w:rsidRPr="004F4940" w:rsidR="7A0E6E0C">
        <w:rPr>
          <w:rFonts w:eastAsia="Times New Roman"/>
        </w:rPr>
        <w:t xml:space="preserve">Requirements R1 and R2 of EOP-011-3 require </w:t>
      </w:r>
      <w:r w:rsidRPr="004F4940" w:rsidR="6ECECDE7">
        <w:rPr>
          <w:rFonts w:eastAsia="Times New Roman"/>
        </w:rPr>
        <w:t xml:space="preserve">that </w:t>
      </w:r>
      <w:r w:rsidRPr="004F4940" w:rsidR="4D727C24">
        <w:rPr>
          <w:rFonts w:eastAsia="Times New Roman"/>
        </w:rPr>
        <w:t>t</w:t>
      </w:r>
      <w:r w:rsidRPr="004F4940" w:rsidR="7A0E6E0C">
        <w:rPr>
          <w:rFonts w:eastAsia="Times New Roman"/>
        </w:rPr>
        <w:t xml:space="preserve">ransmission </w:t>
      </w:r>
      <w:r w:rsidRPr="004F4940" w:rsidR="0659F070">
        <w:rPr>
          <w:rFonts w:eastAsia="Times New Roman"/>
        </w:rPr>
        <w:t>o</w:t>
      </w:r>
      <w:r w:rsidRPr="004F4940" w:rsidR="7A0E6E0C">
        <w:rPr>
          <w:rFonts w:eastAsia="Times New Roman"/>
        </w:rPr>
        <w:t xml:space="preserve">perator emergency </w:t>
      </w:r>
      <w:r w:rsidRPr="004F4940" w:rsidR="79F589C2">
        <w:rPr>
          <w:rFonts w:eastAsia="Times New Roman"/>
        </w:rPr>
        <w:t>o</w:t>
      </w:r>
      <w:r w:rsidRPr="004F4940" w:rsidR="7A0E6E0C">
        <w:rPr>
          <w:rFonts w:eastAsia="Times New Roman"/>
        </w:rPr>
        <w:t xml:space="preserve">perating </w:t>
      </w:r>
      <w:r w:rsidRPr="004F4940" w:rsidR="03BA40A8">
        <w:rPr>
          <w:rFonts w:eastAsia="Times New Roman"/>
        </w:rPr>
        <w:t>p</w:t>
      </w:r>
      <w:r w:rsidRPr="004F4940" w:rsidR="7A0E6E0C">
        <w:rPr>
          <w:rFonts w:eastAsia="Times New Roman"/>
        </w:rPr>
        <w:t>lans</w:t>
      </w:r>
      <w:r w:rsidRPr="004F4940" w:rsidR="42D21EE2">
        <w:rPr>
          <w:rFonts w:eastAsia="Times New Roman"/>
        </w:rPr>
        <w:t xml:space="preserve"> </w:t>
      </w:r>
      <w:r w:rsidRPr="004F4940" w:rsidR="7A0E6E0C">
        <w:rPr>
          <w:rFonts w:eastAsia="Times New Roman"/>
        </w:rPr>
        <w:t xml:space="preserve">include provisions </w:t>
      </w:r>
      <w:r w:rsidRPr="004F4940" w:rsidR="42D21EE2">
        <w:rPr>
          <w:rFonts w:eastAsia="Times New Roman"/>
        </w:rPr>
        <w:t>t</w:t>
      </w:r>
      <w:r w:rsidRPr="004F4940" w:rsidR="5064DF58">
        <w:rPr>
          <w:rFonts w:eastAsia="Times New Roman"/>
        </w:rPr>
        <w:t xml:space="preserve">hat </w:t>
      </w:r>
      <w:r w:rsidRPr="004F4940" w:rsidR="7A0E6E0C">
        <w:rPr>
          <w:rFonts w:eastAsia="Times New Roman"/>
        </w:rPr>
        <w:t xml:space="preserve">minimize the overlap of manual </w:t>
      </w:r>
      <w:r w:rsidRPr="004F4940" w:rsidR="42D21EE2">
        <w:rPr>
          <w:rFonts w:eastAsia="Times New Roman"/>
        </w:rPr>
        <w:t xml:space="preserve">load </w:t>
      </w:r>
      <w:r w:rsidRPr="004F4940" w:rsidR="7A0E6E0C">
        <w:rPr>
          <w:rFonts w:eastAsia="Times New Roman"/>
        </w:rPr>
        <w:t>shed circuits</w:t>
      </w:r>
      <w:r w:rsidRPr="004F4940" w:rsidR="5524F102">
        <w:rPr>
          <w:rFonts w:eastAsia="Times New Roman"/>
        </w:rPr>
        <w:t>,</w:t>
      </w:r>
      <w:r w:rsidRPr="004F4940" w:rsidR="7A0E6E0C">
        <w:rPr>
          <w:rFonts w:eastAsia="Times New Roman"/>
        </w:rPr>
        <w:t xml:space="preserve"> </w:t>
      </w:r>
      <w:r w:rsidRPr="004F4940" w:rsidR="482AE53C">
        <w:rPr>
          <w:rFonts w:eastAsia="Times New Roman"/>
        </w:rPr>
        <w:t xml:space="preserve">circuits that serve critical loads, and circuits that are </w:t>
      </w:r>
      <w:r w:rsidRPr="004F4940" w:rsidR="467E12D2">
        <w:rPr>
          <w:rFonts w:eastAsia="Times New Roman"/>
        </w:rPr>
        <w:t>used</w:t>
      </w:r>
      <w:r w:rsidRPr="004F4940" w:rsidR="482AE53C">
        <w:rPr>
          <w:rFonts w:eastAsia="Times New Roman"/>
        </w:rPr>
        <w:t xml:space="preserve"> for underfrequency load shed</w:t>
      </w:r>
      <w:r w:rsidRPr="004F4940" w:rsidR="008D3545">
        <w:rPr>
          <w:rFonts w:eastAsia="Times New Roman"/>
        </w:rPr>
        <w:t>ding</w:t>
      </w:r>
      <w:r w:rsidRPr="004F4940" w:rsidR="482AE53C">
        <w:rPr>
          <w:rFonts w:eastAsia="Times New Roman"/>
        </w:rPr>
        <w:t xml:space="preserve"> (UFLS) or undervoltage load shed</w:t>
      </w:r>
      <w:r w:rsidRPr="004F4940" w:rsidR="008D3545">
        <w:rPr>
          <w:rFonts w:eastAsia="Times New Roman"/>
        </w:rPr>
        <w:t>ding</w:t>
      </w:r>
      <w:r w:rsidRPr="004F4940" w:rsidR="482AE53C">
        <w:rPr>
          <w:rFonts w:eastAsia="Times New Roman"/>
        </w:rPr>
        <w:t xml:space="preserve"> (UVLS).</w:t>
      </w:r>
      <w:r>
        <w:rPr>
          <w:rStyle w:val="FootnoteReference"/>
          <w:rFonts w:eastAsia="Times New Roman"/>
        </w:rPr>
        <w:footnoteReference w:id="42"/>
      </w:r>
      <w:r w:rsidRPr="004F4940" w:rsidR="1BC0F585">
        <w:rPr>
          <w:rFonts w:eastAsia="Times New Roman"/>
        </w:rPr>
        <w:t xml:space="preserve">  </w:t>
      </w:r>
      <w:r w:rsidRPr="004F4940" w:rsidR="35BDD126">
        <w:rPr>
          <w:rFonts w:eastAsia="Times New Roman"/>
        </w:rPr>
        <w:t>Third,</w:t>
      </w:r>
      <w:r w:rsidRPr="004F4940" w:rsidR="1BC0F585">
        <w:rPr>
          <w:rFonts w:eastAsia="Times New Roman"/>
        </w:rPr>
        <w:t xml:space="preserve"> Requirement R1 </w:t>
      </w:r>
      <w:r w:rsidRPr="004F4940" w:rsidR="5524F102">
        <w:rPr>
          <w:rFonts w:eastAsia="Times New Roman"/>
        </w:rPr>
        <w:t>requires</w:t>
      </w:r>
      <w:r w:rsidRPr="004F4940" w:rsidR="1BC0F585">
        <w:rPr>
          <w:rFonts w:eastAsia="Times New Roman"/>
        </w:rPr>
        <w:t xml:space="preserve"> the </w:t>
      </w:r>
      <w:r w:rsidRPr="004F4940" w:rsidR="35BDD126">
        <w:rPr>
          <w:rFonts w:eastAsia="Times New Roman"/>
        </w:rPr>
        <w:t>development of</w:t>
      </w:r>
      <w:r w:rsidRPr="004F4940" w:rsidR="1BC0F585">
        <w:rPr>
          <w:rFonts w:eastAsia="Times New Roman"/>
        </w:rPr>
        <w:t xml:space="preserve"> provisions </w:t>
      </w:r>
      <w:r w:rsidRPr="004F4940" w:rsidR="35BDD126">
        <w:rPr>
          <w:rFonts w:eastAsia="Times New Roman"/>
        </w:rPr>
        <w:t>that</w:t>
      </w:r>
      <w:r w:rsidRPr="004F4940" w:rsidR="1BC0F585">
        <w:rPr>
          <w:rFonts w:eastAsia="Times New Roman"/>
        </w:rPr>
        <w:t xml:space="preserve"> limit </w:t>
      </w:r>
      <w:r w:rsidRPr="004F4940" w:rsidR="3809368E">
        <w:rPr>
          <w:rFonts w:eastAsia="Times New Roman"/>
        </w:rPr>
        <w:t>manual load shed of</w:t>
      </w:r>
      <w:r w:rsidRPr="004F4940" w:rsidR="1BC0F585">
        <w:rPr>
          <w:rFonts w:eastAsia="Times New Roman"/>
        </w:rPr>
        <w:t xml:space="preserve"> </w:t>
      </w:r>
      <w:r w:rsidRPr="004F4940" w:rsidR="4981942B">
        <w:rPr>
          <w:rFonts w:eastAsia="Times New Roman"/>
        </w:rPr>
        <w:t>UFLS</w:t>
      </w:r>
      <w:r w:rsidRPr="004F4940" w:rsidR="1BC0F585">
        <w:rPr>
          <w:rFonts w:eastAsia="Times New Roman"/>
        </w:rPr>
        <w:t xml:space="preserve"> or </w:t>
      </w:r>
      <w:r w:rsidRPr="004F4940" w:rsidR="4981942B">
        <w:rPr>
          <w:rFonts w:eastAsia="Times New Roman"/>
        </w:rPr>
        <w:t>UVLS</w:t>
      </w:r>
      <w:r w:rsidRPr="004F4940" w:rsidR="1BC0F585">
        <w:rPr>
          <w:rFonts w:eastAsia="Times New Roman"/>
        </w:rPr>
        <w:t xml:space="preserve"> circuits to situations warranted by system conditions</w:t>
      </w:r>
      <w:r w:rsidRPr="004F4940" w:rsidR="64E40DD8">
        <w:rPr>
          <w:rFonts w:eastAsia="Times New Roman"/>
        </w:rPr>
        <w:t>.</w:t>
      </w:r>
      <w:r>
        <w:rPr>
          <w:rStyle w:val="FootnoteReference"/>
          <w:rFonts w:eastAsia="Times New Roman"/>
        </w:rPr>
        <w:footnoteReference w:id="43"/>
      </w:r>
      <w:r w:rsidRPr="004F4940" w:rsidR="2986C591">
        <w:rPr>
          <w:rFonts w:eastAsia="Times New Roman"/>
        </w:rPr>
        <w:t xml:space="preserve"> </w:t>
      </w:r>
      <w:r w:rsidRPr="004F4940" w:rsidR="6E81B83A">
        <w:rPr>
          <w:rFonts w:eastAsia="Times New Roman"/>
        </w:rPr>
        <w:t xml:space="preserve"> </w:t>
      </w:r>
      <w:r w:rsidRPr="004F4940" w:rsidR="001D6676">
        <w:rPr>
          <w:rFonts w:eastAsia="Times New Roman"/>
        </w:rPr>
        <w:t>Finally</w:t>
      </w:r>
      <w:r w:rsidRPr="004F4940" w:rsidR="7F71A8A5">
        <w:rPr>
          <w:rFonts w:eastAsia="Times New Roman"/>
        </w:rPr>
        <w:t xml:space="preserve">, </w:t>
      </w:r>
      <w:r w:rsidRPr="004F4940" w:rsidR="1113A7F1">
        <w:rPr>
          <w:rFonts w:eastAsia="Times New Roman"/>
        </w:rPr>
        <w:t xml:space="preserve">Requirement R2 </w:t>
      </w:r>
      <w:r w:rsidRPr="004F4940" w:rsidR="7B0B704F">
        <w:rPr>
          <w:rFonts w:eastAsia="Times New Roman"/>
        </w:rPr>
        <w:t>ad</w:t>
      </w:r>
      <w:r w:rsidRPr="004F4940" w:rsidR="002D5CF3">
        <w:rPr>
          <w:rFonts w:eastAsia="Times New Roman"/>
        </w:rPr>
        <w:t>ds</w:t>
      </w:r>
      <w:r w:rsidRPr="004F4940" w:rsidR="1113A7F1">
        <w:rPr>
          <w:rFonts w:eastAsia="Times New Roman"/>
        </w:rPr>
        <w:t xml:space="preserve"> provisions </w:t>
      </w:r>
      <w:r w:rsidRPr="004F4940" w:rsidR="1E465003">
        <w:rPr>
          <w:rFonts w:eastAsia="Times New Roman"/>
        </w:rPr>
        <w:t xml:space="preserve">for </w:t>
      </w:r>
      <w:r w:rsidRPr="004F4940" w:rsidR="3FC6B78F">
        <w:rPr>
          <w:rFonts w:eastAsia="Times New Roman"/>
        </w:rPr>
        <w:t>transmission operators</w:t>
      </w:r>
      <w:r w:rsidRPr="004F4940" w:rsidR="1E465003">
        <w:rPr>
          <w:rFonts w:eastAsia="Times New Roman"/>
        </w:rPr>
        <w:t xml:space="preserve"> to implement </w:t>
      </w:r>
      <w:r w:rsidRPr="004F4940" w:rsidR="7F71A8A5">
        <w:rPr>
          <w:rFonts w:eastAsia="Times New Roman"/>
        </w:rPr>
        <w:t xml:space="preserve">the </w:t>
      </w:r>
      <w:r w:rsidRPr="004F4940" w:rsidR="1E465003">
        <w:rPr>
          <w:rFonts w:eastAsia="Times New Roman"/>
        </w:rPr>
        <w:t xml:space="preserve">operator-controlled </w:t>
      </w:r>
      <w:r w:rsidRPr="004F4940" w:rsidR="564FFFD0">
        <w:rPr>
          <w:rFonts w:eastAsia="Times New Roman"/>
        </w:rPr>
        <w:t xml:space="preserve">manual </w:t>
      </w:r>
      <w:r w:rsidRPr="004F4940" w:rsidR="6EED67D1">
        <w:rPr>
          <w:rFonts w:eastAsia="Times New Roman"/>
        </w:rPr>
        <w:t>l</w:t>
      </w:r>
      <w:r w:rsidRPr="004F4940" w:rsidR="1E465003">
        <w:rPr>
          <w:rFonts w:eastAsia="Times New Roman"/>
        </w:rPr>
        <w:t xml:space="preserve">oad shed in accordance with Requirement R1.  </w:t>
      </w:r>
      <w:r w:rsidRPr="004F4940" w:rsidR="00CF2471">
        <w:rPr>
          <w:rFonts w:eastAsia="Times New Roman"/>
        </w:rPr>
        <w:t xml:space="preserve">NERC also requests that the currently approved Reliability Standard EOP-011-2, which </w:t>
      </w:r>
      <w:r w:rsidRPr="004F4940" w:rsidR="005A0B83">
        <w:rPr>
          <w:rFonts w:eastAsia="Times New Roman"/>
        </w:rPr>
        <w:t>will</w:t>
      </w:r>
      <w:r w:rsidRPr="004F4940" w:rsidR="00CF2471">
        <w:rPr>
          <w:rFonts w:eastAsia="Times New Roman"/>
        </w:rPr>
        <w:t xml:space="preserve"> go into effect on April 1, 2023, be retired immediately prior to the effective date of Reliability Standard EOP-011-3</w:t>
      </w:r>
      <w:r w:rsidRPr="004F4940" w:rsidR="00D6710D">
        <w:rPr>
          <w:rFonts w:eastAsia="Times New Roman"/>
        </w:rPr>
        <w:t xml:space="preserve"> and EOP-012-1</w:t>
      </w:r>
      <w:r w:rsidRPr="004F4940" w:rsidR="000166F1">
        <w:rPr>
          <w:rFonts w:eastAsia="Times New Roman"/>
        </w:rPr>
        <w:t xml:space="preserve">, i.e., </w:t>
      </w:r>
      <w:r w:rsidRPr="004F4940" w:rsidR="00D32F93">
        <w:rPr>
          <w:rFonts w:eastAsia="Times New Roman"/>
        </w:rPr>
        <w:t>18 months after regulatory approval</w:t>
      </w:r>
      <w:r w:rsidRPr="004F4940" w:rsidR="00CF2471">
        <w:rPr>
          <w:rFonts w:eastAsia="Times New Roman"/>
        </w:rPr>
        <w:t>.</w:t>
      </w:r>
      <w:r>
        <w:rPr>
          <w:rStyle w:val="FootnoteReference"/>
          <w:rFonts w:eastAsia="Times New Roman"/>
        </w:rPr>
        <w:footnoteReference w:id="44"/>
      </w:r>
    </w:p>
    <w:p w:rsidR="00233FC5" w:rsidRPr="004F4940" w:rsidP="0D3E6A2E" w14:paraId="1260821C" w14:textId="40B120F7">
      <w:pPr>
        <w:pStyle w:val="FERCparanumber"/>
        <w:suppressLineNumbers/>
        <w:rPr>
          <w:rFonts w:eastAsia="Times New Roman"/>
        </w:rPr>
      </w:pPr>
      <w:r w:rsidRPr="004F4940">
        <w:rPr>
          <w:rFonts w:eastAsia="Times New Roman"/>
        </w:rPr>
        <w:t xml:space="preserve">NERC requests approval </w:t>
      </w:r>
      <w:r w:rsidRPr="004F4940" w:rsidR="4D9CF0EF">
        <w:rPr>
          <w:rFonts w:eastAsia="Times New Roman"/>
        </w:rPr>
        <w:t>of a</w:t>
      </w:r>
      <w:r w:rsidRPr="004F4940">
        <w:rPr>
          <w:rFonts w:eastAsia="Times New Roman"/>
        </w:rPr>
        <w:t xml:space="preserve"> new </w:t>
      </w:r>
      <w:r w:rsidRPr="004F4940" w:rsidR="7C283F51">
        <w:rPr>
          <w:rFonts w:eastAsia="Times New Roman"/>
        </w:rPr>
        <w:t>Reliability</w:t>
      </w:r>
      <w:r w:rsidRPr="004F4940">
        <w:rPr>
          <w:rFonts w:eastAsia="Times New Roman"/>
        </w:rPr>
        <w:t xml:space="preserve"> Standard</w:t>
      </w:r>
      <w:r w:rsidRPr="004F4940" w:rsidR="4D9CF0EF">
        <w:rPr>
          <w:rFonts w:eastAsia="Times New Roman"/>
        </w:rPr>
        <w:t>,</w:t>
      </w:r>
      <w:r w:rsidRPr="004F4940" w:rsidR="3881D1BB">
        <w:rPr>
          <w:rFonts w:eastAsia="Times New Roman"/>
        </w:rPr>
        <w:t xml:space="preserve"> </w:t>
      </w:r>
      <w:r w:rsidRPr="004F4940" w:rsidR="0AF1CDDB">
        <w:rPr>
          <w:rFonts w:eastAsia="Times New Roman"/>
        </w:rPr>
        <w:t>EOP-012-1</w:t>
      </w:r>
      <w:r w:rsidRPr="004F4940" w:rsidR="000E3325">
        <w:rPr>
          <w:rFonts w:eastAsia="Times New Roman"/>
        </w:rPr>
        <w:t>, which</w:t>
      </w:r>
      <w:r w:rsidRPr="004F4940" w:rsidR="7C283F51">
        <w:rPr>
          <w:rFonts w:eastAsia="Times New Roman"/>
        </w:rPr>
        <w:t xml:space="preserve"> </w:t>
      </w:r>
      <w:r w:rsidRPr="004F4940" w:rsidR="00AA3B5D">
        <w:rPr>
          <w:rFonts w:eastAsia="Times New Roman"/>
        </w:rPr>
        <w:t xml:space="preserve">it states is meant to apply to </w:t>
      </w:r>
      <w:r w:rsidRPr="004F4940" w:rsidR="005D39DB">
        <w:rPr>
          <w:rFonts w:eastAsia="Times New Roman"/>
        </w:rPr>
        <w:t xml:space="preserve">generator owners and operators of </w:t>
      </w:r>
      <w:r w:rsidRPr="004F4940" w:rsidR="00AA3B5D">
        <w:rPr>
          <w:rFonts w:eastAsia="Times New Roman"/>
        </w:rPr>
        <w:t>generating units that are depended upon to operate during cold weather</w:t>
      </w:r>
      <w:r w:rsidRPr="004F4940" w:rsidR="00EC1743">
        <w:rPr>
          <w:rFonts w:eastAsia="Times New Roman"/>
        </w:rPr>
        <w:t xml:space="preserve"> and </w:t>
      </w:r>
      <w:r w:rsidRPr="004F4940" w:rsidR="00EC1743">
        <w:rPr>
          <w:rFonts w:eastAsia="Times New Roman"/>
        </w:rPr>
        <w:t>Blackstart</w:t>
      </w:r>
      <w:r w:rsidRPr="004F4940" w:rsidR="00EC1743">
        <w:rPr>
          <w:rFonts w:eastAsia="Times New Roman"/>
        </w:rPr>
        <w:t xml:space="preserve"> </w:t>
      </w:r>
      <w:r w:rsidRPr="004F4940" w:rsidR="00F715F3">
        <w:rPr>
          <w:rFonts w:eastAsia="Times New Roman"/>
        </w:rPr>
        <w:t>R</w:t>
      </w:r>
      <w:r w:rsidRPr="004F4940" w:rsidR="00EC1743">
        <w:rPr>
          <w:rFonts w:eastAsia="Times New Roman"/>
        </w:rPr>
        <w:t>esources</w:t>
      </w:r>
      <w:r w:rsidRPr="004F4940" w:rsidR="00AA3B5D">
        <w:rPr>
          <w:rFonts w:eastAsia="Times New Roman"/>
        </w:rPr>
        <w:t xml:space="preserve">.  </w:t>
      </w:r>
      <w:r w:rsidRPr="004F4940" w:rsidR="006B04CB">
        <w:rPr>
          <w:rFonts w:eastAsia="Times New Roman"/>
        </w:rPr>
        <w:t xml:space="preserve">The purpose of </w:t>
      </w:r>
      <w:r w:rsidRPr="004F4940" w:rsidR="00AA3B5D">
        <w:rPr>
          <w:rFonts w:eastAsia="Times New Roman"/>
        </w:rPr>
        <w:t xml:space="preserve">Reliability Standard EOP-012-1 </w:t>
      </w:r>
      <w:r w:rsidRPr="004F4940" w:rsidR="7C283F51">
        <w:rPr>
          <w:rFonts w:eastAsia="Times New Roman"/>
        </w:rPr>
        <w:t xml:space="preserve">is </w:t>
      </w:r>
      <w:r w:rsidRPr="004F4940" w:rsidR="3881D1BB">
        <w:rPr>
          <w:rFonts w:eastAsia="Times New Roman"/>
        </w:rPr>
        <w:t>to ensure</w:t>
      </w:r>
      <w:r w:rsidRPr="004F4940" w:rsidR="0AF1CDDB">
        <w:rPr>
          <w:rFonts w:eastAsia="Times New Roman"/>
        </w:rPr>
        <w:t xml:space="preserve"> that each </w:t>
      </w:r>
      <w:r w:rsidRPr="004F4940" w:rsidR="3881D1BB">
        <w:rPr>
          <w:rFonts w:eastAsia="Times New Roman"/>
        </w:rPr>
        <w:t>generator owner develops</w:t>
      </w:r>
      <w:r w:rsidRPr="004F4940" w:rsidR="0AF1CDDB">
        <w:rPr>
          <w:rFonts w:eastAsia="Times New Roman"/>
        </w:rPr>
        <w:t xml:space="preserve"> and </w:t>
      </w:r>
      <w:r w:rsidRPr="004F4940" w:rsidR="3881D1BB">
        <w:rPr>
          <w:rFonts w:eastAsia="Times New Roman"/>
        </w:rPr>
        <w:t>implements plans to alleviate</w:t>
      </w:r>
      <w:r w:rsidRPr="004F4940" w:rsidR="0AF1CDDB">
        <w:rPr>
          <w:rFonts w:eastAsia="Times New Roman"/>
        </w:rPr>
        <w:t xml:space="preserve"> the reliability </w:t>
      </w:r>
      <w:r w:rsidRPr="004F4940" w:rsidR="00EE42DA">
        <w:rPr>
          <w:rFonts w:eastAsia="Times New Roman"/>
        </w:rPr>
        <w:t>effects</w:t>
      </w:r>
      <w:r w:rsidRPr="004F4940" w:rsidR="0AF1CDDB">
        <w:rPr>
          <w:rFonts w:eastAsia="Times New Roman"/>
        </w:rPr>
        <w:t xml:space="preserve"> of extreme cold weather on its </w:t>
      </w:r>
      <w:r w:rsidRPr="004F4940" w:rsidR="0AF1CDDB">
        <w:rPr>
          <w:rFonts w:eastAsia="Times New Roman"/>
        </w:rPr>
        <w:t>generating units</w:t>
      </w:r>
      <w:r w:rsidRPr="004F4940" w:rsidR="5E4FFBF0">
        <w:rPr>
          <w:rFonts w:eastAsia="Times New Roman"/>
        </w:rPr>
        <w:t>.</w:t>
      </w:r>
      <w:r>
        <w:rPr>
          <w:rStyle w:val="FootnoteReference"/>
          <w:rFonts w:eastAsia="Times New Roman"/>
        </w:rPr>
        <w:footnoteReference w:id="45"/>
      </w:r>
      <w:r w:rsidRPr="004F4940" w:rsidR="0AF1CDDB">
        <w:rPr>
          <w:rFonts w:eastAsia="Times New Roman"/>
        </w:rPr>
        <w:t xml:space="preserve">  </w:t>
      </w:r>
      <w:r w:rsidRPr="004F4940" w:rsidR="00DF7319">
        <w:rPr>
          <w:rFonts w:eastAsia="Times New Roman"/>
        </w:rPr>
        <w:t>According to NERC, t</w:t>
      </w:r>
      <w:r w:rsidRPr="004F4940" w:rsidR="1E27545C">
        <w:rPr>
          <w:rFonts w:eastAsia="Times New Roman"/>
        </w:rPr>
        <w:t xml:space="preserve">his new </w:t>
      </w:r>
      <w:r w:rsidRPr="004F4940" w:rsidR="5BE6C7BF">
        <w:rPr>
          <w:rFonts w:eastAsia="Times New Roman"/>
        </w:rPr>
        <w:t>Reliability S</w:t>
      </w:r>
      <w:r w:rsidRPr="004F4940" w:rsidR="1E27545C">
        <w:rPr>
          <w:rFonts w:eastAsia="Times New Roman"/>
        </w:rPr>
        <w:t xml:space="preserve">tandard addresses </w:t>
      </w:r>
      <w:r w:rsidRPr="004F4940" w:rsidR="4A1E492A">
        <w:rPr>
          <w:rFonts w:eastAsia="Times New Roman"/>
        </w:rPr>
        <w:t>part</w:t>
      </w:r>
      <w:r w:rsidRPr="004F4940" w:rsidR="6B939307">
        <w:rPr>
          <w:rFonts w:eastAsia="Times New Roman"/>
        </w:rPr>
        <w:t>s</w:t>
      </w:r>
      <w:r w:rsidRPr="004F4940" w:rsidR="4A1E492A">
        <w:rPr>
          <w:rFonts w:eastAsia="Times New Roman"/>
        </w:rPr>
        <w:t xml:space="preserve"> of </w:t>
      </w:r>
      <w:r w:rsidRPr="004F4940" w:rsidR="1E27545C">
        <w:rPr>
          <w:rFonts w:eastAsia="Times New Roman"/>
        </w:rPr>
        <w:t>Key Recommendation</w:t>
      </w:r>
      <w:r w:rsidRPr="004F4940" w:rsidR="5C5B417E">
        <w:rPr>
          <w:rFonts w:eastAsia="Times New Roman"/>
        </w:rPr>
        <w:t xml:space="preserve"> </w:t>
      </w:r>
      <w:r w:rsidRPr="004F4940" w:rsidR="1E27545C">
        <w:rPr>
          <w:rFonts w:eastAsia="Times New Roman"/>
        </w:rPr>
        <w:t>1a</w:t>
      </w:r>
      <w:r w:rsidRPr="004F4940" w:rsidR="58769054">
        <w:rPr>
          <w:rFonts w:eastAsia="Times New Roman"/>
        </w:rPr>
        <w:t xml:space="preserve"> a</w:t>
      </w:r>
      <w:r w:rsidRPr="004F4940" w:rsidR="7F980380">
        <w:rPr>
          <w:rFonts w:eastAsia="Times New Roman"/>
        </w:rPr>
        <w:t>s well as</w:t>
      </w:r>
      <w:r w:rsidRPr="004F4940" w:rsidR="58769054">
        <w:rPr>
          <w:rFonts w:eastAsia="Times New Roman"/>
        </w:rPr>
        <w:t xml:space="preserve"> </w:t>
      </w:r>
      <w:r w:rsidRPr="004F4940" w:rsidR="1E27545C">
        <w:rPr>
          <w:rFonts w:eastAsia="Times New Roman"/>
        </w:rPr>
        <w:t>1d, 1e, and 1f of the November 20</w:t>
      </w:r>
      <w:r w:rsidRPr="004F4940" w:rsidR="222E68C0">
        <w:rPr>
          <w:rFonts w:eastAsia="Times New Roman"/>
        </w:rPr>
        <w:t>2</w:t>
      </w:r>
      <w:r w:rsidRPr="004F4940" w:rsidR="1E27545C">
        <w:rPr>
          <w:rFonts w:eastAsia="Times New Roman"/>
        </w:rPr>
        <w:t>1 Report</w:t>
      </w:r>
      <w:r w:rsidRPr="004F4940" w:rsidR="0AF1CDDB">
        <w:rPr>
          <w:rFonts w:eastAsia="Times New Roman"/>
        </w:rPr>
        <w:t>.</w:t>
      </w:r>
      <w:r>
        <w:rPr>
          <w:rStyle w:val="FootnoteReference"/>
          <w:rFonts w:eastAsia="Times New Roman"/>
        </w:rPr>
        <w:footnoteReference w:id="46"/>
      </w:r>
    </w:p>
    <w:p w:rsidR="00B84983" w:rsidRPr="004F4940" w:rsidP="00710D39" w14:paraId="1FD8A007" w14:textId="7D735A48">
      <w:pPr>
        <w:pStyle w:val="FERCparanumber"/>
        <w:widowControl w:val="0"/>
        <w:suppressLineNumbers/>
        <w:rPr>
          <w:rFonts w:eastAsia="Times New Roman"/>
        </w:rPr>
      </w:pPr>
      <w:r w:rsidRPr="004F4940">
        <w:rPr>
          <w:rFonts w:eastAsia="Times New Roman"/>
        </w:rPr>
        <w:t>Proposed Reliability Standard EOP-012-1 has seven requirements, five of which are new</w:t>
      </w:r>
      <w:r w:rsidRPr="004F4940" w:rsidR="262D7BB5">
        <w:rPr>
          <w:rFonts w:eastAsia="Times New Roman"/>
        </w:rPr>
        <w:t xml:space="preserve"> (Requirements R1, R2, R4, R6, and R7)</w:t>
      </w:r>
      <w:r w:rsidRPr="004F4940">
        <w:rPr>
          <w:rFonts w:eastAsia="Times New Roman"/>
        </w:rPr>
        <w:t xml:space="preserve"> and two of which</w:t>
      </w:r>
      <w:r w:rsidRPr="004F4940" w:rsidR="262D7BB5">
        <w:rPr>
          <w:rFonts w:eastAsia="Times New Roman"/>
        </w:rPr>
        <w:t xml:space="preserve"> (Requirements R3 and R5)</w:t>
      </w:r>
      <w:r w:rsidRPr="004F4940">
        <w:rPr>
          <w:rFonts w:eastAsia="Times New Roman"/>
        </w:rPr>
        <w:t xml:space="preserve"> </w:t>
      </w:r>
      <w:r w:rsidRPr="004F4940" w:rsidR="262D7BB5">
        <w:rPr>
          <w:rFonts w:eastAsia="Times New Roman"/>
        </w:rPr>
        <w:t>were moved and revised from</w:t>
      </w:r>
      <w:r w:rsidRPr="004F4940" w:rsidR="24DBBFFB">
        <w:rPr>
          <w:rFonts w:eastAsia="Times New Roman"/>
        </w:rPr>
        <w:t xml:space="preserve"> </w:t>
      </w:r>
      <w:r w:rsidRPr="004F4940">
        <w:rPr>
          <w:rFonts w:eastAsia="Times New Roman"/>
        </w:rPr>
        <w:t>approved Reliability Standard EOP-011-</w:t>
      </w:r>
      <w:r w:rsidRPr="004F4940" w:rsidR="662D397E">
        <w:rPr>
          <w:rFonts w:eastAsia="Times New Roman"/>
        </w:rPr>
        <w:t>2</w:t>
      </w:r>
      <w:r w:rsidRPr="004F4940">
        <w:rPr>
          <w:rFonts w:eastAsia="Times New Roman"/>
        </w:rPr>
        <w:t>.</w:t>
      </w:r>
      <w:r w:rsidRPr="004F4940" w:rsidR="24DBBFFB">
        <w:rPr>
          <w:rFonts w:eastAsia="Times New Roman"/>
        </w:rPr>
        <w:t xml:space="preserve">  </w:t>
      </w:r>
      <w:r w:rsidRPr="004F4940" w:rsidR="75B0D178">
        <w:rPr>
          <w:rFonts w:eastAsia="Times New Roman"/>
        </w:rPr>
        <w:t xml:space="preserve">Reliability Standard </w:t>
      </w:r>
      <w:r w:rsidRPr="004F4940" w:rsidR="039F7321">
        <w:rPr>
          <w:rFonts w:eastAsia="Times New Roman"/>
        </w:rPr>
        <w:t xml:space="preserve">EOP-012-1 </w:t>
      </w:r>
      <w:r w:rsidRPr="004F4940" w:rsidR="70263A2C">
        <w:rPr>
          <w:rFonts w:eastAsia="Times New Roman"/>
        </w:rPr>
        <w:t>Requirements R1</w:t>
      </w:r>
      <w:r w:rsidRPr="004F4940" w:rsidR="039F7321">
        <w:rPr>
          <w:rFonts w:eastAsia="Times New Roman"/>
        </w:rPr>
        <w:t xml:space="preserve"> </w:t>
      </w:r>
      <w:r w:rsidRPr="004F4940" w:rsidR="70263A2C">
        <w:rPr>
          <w:rFonts w:eastAsia="Times New Roman"/>
        </w:rPr>
        <w:t>and R2</w:t>
      </w:r>
      <w:r w:rsidRPr="004F4940" w:rsidR="00756CEB">
        <w:rPr>
          <w:rFonts w:eastAsia="Times New Roman"/>
        </w:rPr>
        <w:t xml:space="preserve"> </w:t>
      </w:r>
      <w:r w:rsidRPr="004F4940" w:rsidR="15D28686">
        <w:rPr>
          <w:rFonts w:eastAsia="Times New Roman"/>
        </w:rPr>
        <w:t xml:space="preserve">address a generator owner’s obligation to implement freeze protection measures on its applicable units to provide them with the capability to operate at the </w:t>
      </w:r>
      <w:r w:rsidRPr="004F4940" w:rsidR="7D8104D3">
        <w:rPr>
          <w:rFonts w:eastAsia="Times New Roman"/>
        </w:rPr>
        <w:t>E</w:t>
      </w:r>
      <w:r w:rsidRPr="004F4940" w:rsidR="4AFEF2BC">
        <w:rPr>
          <w:rFonts w:eastAsia="Times New Roman"/>
        </w:rPr>
        <w:t xml:space="preserve">xtreme </w:t>
      </w:r>
      <w:r w:rsidRPr="004F4940" w:rsidR="7D8104D3">
        <w:rPr>
          <w:rFonts w:eastAsia="Times New Roman"/>
        </w:rPr>
        <w:t>C</w:t>
      </w:r>
      <w:r w:rsidRPr="004F4940" w:rsidR="4AFEF2BC">
        <w:rPr>
          <w:rFonts w:eastAsia="Times New Roman"/>
        </w:rPr>
        <w:t xml:space="preserve">old </w:t>
      </w:r>
      <w:r w:rsidRPr="004F4940" w:rsidR="7D8104D3">
        <w:rPr>
          <w:rFonts w:eastAsia="Times New Roman"/>
        </w:rPr>
        <w:t>W</w:t>
      </w:r>
      <w:r w:rsidRPr="004F4940" w:rsidR="4AFEF2BC">
        <w:rPr>
          <w:rFonts w:eastAsia="Times New Roman"/>
        </w:rPr>
        <w:t xml:space="preserve">eather </w:t>
      </w:r>
      <w:r w:rsidRPr="004F4940" w:rsidR="7D8104D3">
        <w:rPr>
          <w:rFonts w:eastAsia="Times New Roman"/>
        </w:rPr>
        <w:t>T</w:t>
      </w:r>
      <w:r w:rsidRPr="004F4940" w:rsidR="4AFEF2BC">
        <w:rPr>
          <w:rFonts w:eastAsia="Times New Roman"/>
        </w:rPr>
        <w:t>emperature</w:t>
      </w:r>
      <w:r w:rsidRPr="004F4940" w:rsidR="15D28686">
        <w:rPr>
          <w:rFonts w:eastAsia="Times New Roman"/>
        </w:rPr>
        <w:t xml:space="preserve"> for the unit’s location.</w:t>
      </w:r>
      <w:r>
        <w:rPr>
          <w:rStyle w:val="FootnoteReference"/>
          <w:rFonts w:eastAsia="Times New Roman"/>
        </w:rPr>
        <w:footnoteReference w:id="47"/>
      </w:r>
      <w:r w:rsidRPr="004F4940" w:rsidR="00B32719">
        <w:rPr>
          <w:rFonts w:eastAsia="Times New Roman"/>
        </w:rPr>
        <w:t xml:space="preserve">  </w:t>
      </w:r>
      <w:r w:rsidRPr="004F4940" w:rsidR="005A105B">
        <w:rPr>
          <w:rFonts w:eastAsia="Times New Roman"/>
        </w:rPr>
        <w:t xml:space="preserve">Specifically, </w:t>
      </w:r>
      <w:r w:rsidRPr="004F4940" w:rsidR="00B32719">
        <w:rPr>
          <w:rFonts w:eastAsia="Times New Roman"/>
        </w:rPr>
        <w:t>Requirement R1 req</w:t>
      </w:r>
      <w:r w:rsidRPr="004F4940" w:rsidR="5AF05BB9">
        <w:rPr>
          <w:rFonts w:eastAsia="Times New Roman"/>
        </w:rPr>
        <w:t xml:space="preserve">uires </w:t>
      </w:r>
      <w:r w:rsidRPr="004F4940" w:rsidR="00883131">
        <w:rPr>
          <w:rFonts w:eastAsia="Times New Roman"/>
        </w:rPr>
        <w:t xml:space="preserve">either </w:t>
      </w:r>
      <w:r w:rsidRPr="004F4940" w:rsidR="5AF05BB9">
        <w:rPr>
          <w:rFonts w:eastAsia="Times New Roman"/>
        </w:rPr>
        <w:t>new units to be capable of operating at the E</w:t>
      </w:r>
      <w:r w:rsidRPr="004F4940" w:rsidR="4AFEF2BC">
        <w:rPr>
          <w:rFonts w:eastAsia="Times New Roman"/>
        </w:rPr>
        <w:t xml:space="preserve">xtreme </w:t>
      </w:r>
      <w:r w:rsidRPr="004F4940" w:rsidR="5AF05BB9">
        <w:rPr>
          <w:rFonts w:eastAsia="Times New Roman"/>
        </w:rPr>
        <w:t>C</w:t>
      </w:r>
      <w:r w:rsidRPr="004F4940" w:rsidR="4AFEF2BC">
        <w:rPr>
          <w:rFonts w:eastAsia="Times New Roman"/>
        </w:rPr>
        <w:t xml:space="preserve">old </w:t>
      </w:r>
      <w:r w:rsidRPr="004F4940" w:rsidR="5AF05BB9">
        <w:rPr>
          <w:rFonts w:eastAsia="Times New Roman"/>
        </w:rPr>
        <w:t>W</w:t>
      </w:r>
      <w:r w:rsidRPr="004F4940" w:rsidR="4AFEF2BC">
        <w:rPr>
          <w:rFonts w:eastAsia="Times New Roman"/>
        </w:rPr>
        <w:t xml:space="preserve">eather </w:t>
      </w:r>
      <w:r w:rsidRPr="004F4940" w:rsidR="5AF05BB9">
        <w:rPr>
          <w:rFonts w:eastAsia="Times New Roman"/>
        </w:rPr>
        <w:t>T</w:t>
      </w:r>
      <w:r w:rsidRPr="004F4940" w:rsidR="4AFEF2BC">
        <w:rPr>
          <w:rFonts w:eastAsia="Times New Roman"/>
        </w:rPr>
        <w:t>emperature</w:t>
      </w:r>
      <w:r w:rsidRPr="004F4940" w:rsidR="5AF05BB9">
        <w:rPr>
          <w:rFonts w:eastAsia="Times New Roman"/>
        </w:rPr>
        <w:t xml:space="preserve"> for a continuous 12-hour period or that the generator owner declares </w:t>
      </w:r>
      <w:r w:rsidRPr="004F4940" w:rsidR="70617F13">
        <w:rPr>
          <w:rFonts w:eastAsia="Times New Roman"/>
        </w:rPr>
        <w:t xml:space="preserve">that </w:t>
      </w:r>
      <w:r w:rsidRPr="004F4940" w:rsidR="5AF05BB9">
        <w:rPr>
          <w:rFonts w:eastAsia="Times New Roman"/>
        </w:rPr>
        <w:t xml:space="preserve">technical, commercial, or operational constraints prevent </w:t>
      </w:r>
      <w:r w:rsidRPr="004F4940" w:rsidR="7C495574">
        <w:rPr>
          <w:rFonts w:eastAsia="Times New Roman"/>
        </w:rPr>
        <w:t>successful</w:t>
      </w:r>
      <w:r w:rsidRPr="004F4940" w:rsidR="5AF05BB9">
        <w:rPr>
          <w:rFonts w:eastAsia="Times New Roman"/>
        </w:rPr>
        <w:t xml:space="preserve"> continuous operation.</w:t>
      </w:r>
      <w:r w:rsidRPr="004F4940" w:rsidR="7D8104D3">
        <w:rPr>
          <w:rFonts w:eastAsia="Times New Roman"/>
        </w:rPr>
        <w:t xml:space="preserve">  Requirement R2 requires </w:t>
      </w:r>
      <w:r w:rsidRPr="004F4940" w:rsidR="00B97D52">
        <w:rPr>
          <w:rFonts w:eastAsia="Times New Roman"/>
        </w:rPr>
        <w:t xml:space="preserve">either that </w:t>
      </w:r>
      <w:r w:rsidRPr="004F4940" w:rsidR="7D8104D3">
        <w:rPr>
          <w:rFonts w:eastAsia="Times New Roman"/>
        </w:rPr>
        <w:t>existing units be capable of continuous operation for at least one hour at the E</w:t>
      </w:r>
      <w:r w:rsidRPr="004F4940" w:rsidR="4AFEF2BC">
        <w:rPr>
          <w:rFonts w:eastAsia="Times New Roman"/>
        </w:rPr>
        <w:t xml:space="preserve">xtreme </w:t>
      </w:r>
      <w:r w:rsidRPr="004F4940" w:rsidR="7D8104D3">
        <w:rPr>
          <w:rFonts w:eastAsia="Times New Roman"/>
        </w:rPr>
        <w:t>C</w:t>
      </w:r>
      <w:r w:rsidRPr="004F4940" w:rsidR="4AFEF2BC">
        <w:rPr>
          <w:rFonts w:eastAsia="Times New Roman"/>
        </w:rPr>
        <w:t xml:space="preserve">old </w:t>
      </w:r>
      <w:r w:rsidRPr="004F4940" w:rsidR="7D8104D3">
        <w:rPr>
          <w:rFonts w:eastAsia="Times New Roman"/>
        </w:rPr>
        <w:t>W</w:t>
      </w:r>
      <w:r w:rsidRPr="004F4940" w:rsidR="4AFEF2BC">
        <w:rPr>
          <w:rFonts w:eastAsia="Times New Roman"/>
        </w:rPr>
        <w:t xml:space="preserve">eather </w:t>
      </w:r>
      <w:r w:rsidRPr="004F4940" w:rsidR="7D8104D3">
        <w:rPr>
          <w:rFonts w:eastAsia="Times New Roman"/>
        </w:rPr>
        <w:t>T</w:t>
      </w:r>
      <w:r w:rsidRPr="004F4940" w:rsidR="4AFEF2BC">
        <w:rPr>
          <w:rFonts w:eastAsia="Times New Roman"/>
        </w:rPr>
        <w:t>emperature</w:t>
      </w:r>
      <w:r w:rsidRPr="004F4940" w:rsidR="7D8104D3">
        <w:rPr>
          <w:rFonts w:eastAsia="Times New Roman"/>
        </w:rPr>
        <w:t xml:space="preserve"> or </w:t>
      </w:r>
      <w:r w:rsidRPr="004F4940" w:rsidR="00B97D52">
        <w:rPr>
          <w:rFonts w:eastAsia="Times New Roman"/>
        </w:rPr>
        <w:t xml:space="preserve">the generator owner </w:t>
      </w:r>
      <w:r w:rsidRPr="004F4940" w:rsidR="7D8104D3">
        <w:rPr>
          <w:rFonts w:eastAsia="Times New Roman"/>
        </w:rPr>
        <w:t xml:space="preserve">to develop a corrective action plan </w:t>
      </w:r>
      <w:r w:rsidRPr="004F4940" w:rsidR="7C495574">
        <w:rPr>
          <w:rFonts w:eastAsia="Times New Roman"/>
        </w:rPr>
        <w:t xml:space="preserve">to address </w:t>
      </w:r>
      <w:r w:rsidRPr="004F4940" w:rsidR="00917BD6">
        <w:rPr>
          <w:rFonts w:eastAsia="Times New Roman"/>
        </w:rPr>
        <w:t>the unit’s</w:t>
      </w:r>
      <w:r w:rsidRPr="004F4940" w:rsidR="7C495574">
        <w:rPr>
          <w:rFonts w:eastAsia="Times New Roman"/>
        </w:rPr>
        <w:t xml:space="preserve"> inability to continuously operate successfully.</w:t>
      </w:r>
      <w:r>
        <w:rPr>
          <w:rStyle w:val="FootnoteReference"/>
          <w:rFonts w:eastAsia="Times New Roman"/>
        </w:rPr>
        <w:footnoteReference w:id="48"/>
      </w:r>
    </w:p>
    <w:p w:rsidR="009876DF" w:rsidP="006A3549" w14:paraId="2242DC47" w14:textId="77777777">
      <w:pPr>
        <w:pStyle w:val="FERCparanumber"/>
        <w:suppressLineNumbers/>
        <w:rPr>
          <w:rFonts w:eastAsia="Times New Roman"/>
        </w:rPr>
      </w:pPr>
      <w:r w:rsidRPr="004F4940">
        <w:rPr>
          <w:rFonts w:eastAsia="Times New Roman"/>
        </w:rPr>
        <w:t xml:space="preserve">Reliability Standard </w:t>
      </w:r>
      <w:r w:rsidRPr="004F4940" w:rsidR="3EF3C21E">
        <w:rPr>
          <w:rFonts w:eastAsia="Times New Roman"/>
        </w:rPr>
        <w:t>EOP-012-1 Requirement</w:t>
      </w:r>
      <w:r w:rsidRPr="004F4940">
        <w:rPr>
          <w:rFonts w:eastAsia="Times New Roman"/>
        </w:rPr>
        <w:t>s</w:t>
      </w:r>
      <w:r w:rsidRPr="004F4940" w:rsidR="3EF3C21E">
        <w:rPr>
          <w:rFonts w:eastAsia="Times New Roman"/>
        </w:rPr>
        <w:t xml:space="preserve"> R3 and R5</w:t>
      </w:r>
      <w:r w:rsidRPr="004F4940" w:rsidR="00431B94">
        <w:rPr>
          <w:rFonts w:eastAsia="Times New Roman"/>
        </w:rPr>
        <w:t xml:space="preserve"> </w:t>
      </w:r>
      <w:r w:rsidRPr="004F4940" w:rsidR="3241CB3C">
        <w:rPr>
          <w:rFonts w:eastAsia="Times New Roman"/>
        </w:rPr>
        <w:t>require generator owners to implement cold weather preparedness plans (Requirement R3) and train their personnel on that plan</w:t>
      </w:r>
      <w:r w:rsidRPr="004F4940" w:rsidR="00EE50A8">
        <w:rPr>
          <w:rFonts w:eastAsia="Times New Roman"/>
        </w:rPr>
        <w:t xml:space="preserve"> annually</w:t>
      </w:r>
      <w:r w:rsidRPr="004F4940" w:rsidR="3241CB3C">
        <w:rPr>
          <w:rFonts w:eastAsia="Times New Roman"/>
        </w:rPr>
        <w:t xml:space="preserve"> (Requirement R5).</w:t>
      </w:r>
      <w:r>
        <w:rPr>
          <w:rStyle w:val="FootnoteReference"/>
          <w:rFonts w:eastAsia="Times New Roman"/>
        </w:rPr>
        <w:footnoteReference w:id="49"/>
      </w:r>
      <w:r w:rsidRPr="004F4940" w:rsidR="3241CB3C">
        <w:rPr>
          <w:rFonts w:eastAsia="Times New Roman"/>
        </w:rPr>
        <w:t xml:space="preserve">  Requirement R3 also identifies </w:t>
      </w:r>
      <w:r w:rsidR="00F90F35">
        <w:rPr>
          <w:rFonts w:eastAsia="Times New Roman"/>
        </w:rPr>
        <w:br/>
      </w:r>
      <w:r w:rsidRPr="004F4940" w:rsidR="3241CB3C">
        <w:rPr>
          <w:rFonts w:eastAsia="Times New Roman"/>
        </w:rPr>
        <w:t>the generator owner as the entity responsible for identifying the E</w:t>
      </w:r>
      <w:r w:rsidRPr="004F4940" w:rsidR="033AFCC7">
        <w:rPr>
          <w:rFonts w:eastAsia="Times New Roman"/>
        </w:rPr>
        <w:t xml:space="preserve">xtreme </w:t>
      </w:r>
      <w:r w:rsidRPr="004F4940" w:rsidR="3241CB3C">
        <w:rPr>
          <w:rFonts w:eastAsia="Times New Roman"/>
        </w:rPr>
        <w:t>C</w:t>
      </w:r>
      <w:r w:rsidRPr="004F4940" w:rsidR="033AFCC7">
        <w:rPr>
          <w:rFonts w:eastAsia="Times New Roman"/>
        </w:rPr>
        <w:t xml:space="preserve">old </w:t>
      </w:r>
      <w:r w:rsidRPr="004F4940" w:rsidR="3241CB3C">
        <w:rPr>
          <w:rFonts w:eastAsia="Times New Roman"/>
        </w:rPr>
        <w:t>W</w:t>
      </w:r>
      <w:r w:rsidRPr="004F4940" w:rsidR="033AFCC7">
        <w:rPr>
          <w:rFonts w:eastAsia="Times New Roman"/>
        </w:rPr>
        <w:t xml:space="preserve">eather </w:t>
      </w:r>
      <w:r w:rsidRPr="004F4940" w:rsidR="3241CB3C">
        <w:rPr>
          <w:rFonts w:eastAsia="Times New Roman"/>
        </w:rPr>
        <w:t>T</w:t>
      </w:r>
      <w:r w:rsidRPr="004F4940" w:rsidR="033AFCC7">
        <w:rPr>
          <w:rFonts w:eastAsia="Times New Roman"/>
        </w:rPr>
        <w:t>emperature</w:t>
      </w:r>
      <w:r w:rsidRPr="004F4940" w:rsidR="3241CB3C">
        <w:rPr>
          <w:rFonts w:eastAsia="Times New Roman"/>
        </w:rPr>
        <w:t xml:space="preserve"> and </w:t>
      </w:r>
      <w:r w:rsidRPr="004F4940" w:rsidR="000365E9">
        <w:rPr>
          <w:rFonts w:eastAsia="Times New Roman"/>
        </w:rPr>
        <w:t>G</w:t>
      </w:r>
      <w:r w:rsidRPr="004F4940" w:rsidR="00766FC4">
        <w:rPr>
          <w:rFonts w:eastAsia="Times New Roman"/>
        </w:rPr>
        <w:t xml:space="preserve">enerator </w:t>
      </w:r>
      <w:r w:rsidRPr="004F4940" w:rsidR="000365E9">
        <w:rPr>
          <w:rFonts w:eastAsia="Times New Roman"/>
        </w:rPr>
        <w:t>C</w:t>
      </w:r>
      <w:r w:rsidRPr="004F4940" w:rsidR="00766FC4">
        <w:rPr>
          <w:rFonts w:eastAsia="Times New Roman"/>
        </w:rPr>
        <w:t xml:space="preserve">old </w:t>
      </w:r>
      <w:r w:rsidRPr="004F4940" w:rsidR="000365E9">
        <w:rPr>
          <w:rFonts w:eastAsia="Times New Roman"/>
        </w:rPr>
        <w:t>W</w:t>
      </w:r>
      <w:r w:rsidRPr="004F4940" w:rsidR="00766FC4">
        <w:rPr>
          <w:rFonts w:eastAsia="Times New Roman"/>
        </w:rPr>
        <w:t xml:space="preserve">eather </w:t>
      </w:r>
      <w:r w:rsidRPr="004F4940" w:rsidR="000365E9">
        <w:rPr>
          <w:rFonts w:eastAsia="Times New Roman"/>
        </w:rPr>
        <w:t>C</w:t>
      </w:r>
      <w:r w:rsidRPr="004F4940" w:rsidR="00766FC4">
        <w:rPr>
          <w:rFonts w:eastAsia="Times New Roman"/>
        </w:rPr>
        <w:t xml:space="preserve">ritical </w:t>
      </w:r>
      <w:r w:rsidRPr="004F4940" w:rsidR="000365E9">
        <w:rPr>
          <w:rFonts w:eastAsia="Times New Roman"/>
        </w:rPr>
        <w:t>C</w:t>
      </w:r>
      <w:r w:rsidRPr="004F4940" w:rsidR="00766FC4">
        <w:rPr>
          <w:rFonts w:eastAsia="Times New Roman"/>
        </w:rPr>
        <w:t>omponent</w:t>
      </w:r>
      <w:r w:rsidRPr="004F4940" w:rsidR="000365E9">
        <w:rPr>
          <w:rFonts w:eastAsia="Times New Roman"/>
        </w:rPr>
        <w:t>s</w:t>
      </w:r>
      <w:r w:rsidRPr="004F4940" w:rsidR="3241CB3C">
        <w:rPr>
          <w:rFonts w:eastAsia="Times New Roman"/>
        </w:rPr>
        <w:t xml:space="preserve"> for its unit(s)</w:t>
      </w:r>
      <w:r w:rsidRPr="004F4940" w:rsidR="0051726A">
        <w:rPr>
          <w:rFonts w:eastAsia="Times New Roman"/>
        </w:rPr>
        <w:t xml:space="preserve">; the generator owner must document </w:t>
      </w:r>
      <w:r w:rsidRPr="004F4940" w:rsidR="007479DD">
        <w:rPr>
          <w:rFonts w:eastAsia="Times New Roman"/>
        </w:rPr>
        <w:t xml:space="preserve">both in </w:t>
      </w:r>
      <w:r w:rsidRPr="004F4940" w:rsidR="0028654D">
        <w:rPr>
          <w:rFonts w:eastAsia="Times New Roman"/>
        </w:rPr>
        <w:t>its</w:t>
      </w:r>
      <w:r w:rsidRPr="004F4940" w:rsidR="007479DD">
        <w:rPr>
          <w:rFonts w:eastAsia="Times New Roman"/>
        </w:rPr>
        <w:t xml:space="preserve"> cold weather preparedness plan(s)</w:t>
      </w:r>
      <w:r w:rsidRPr="004F4940" w:rsidR="3241CB3C">
        <w:rPr>
          <w:rFonts w:eastAsia="Times New Roman"/>
        </w:rPr>
        <w:t>.</w:t>
      </w:r>
    </w:p>
    <w:p w:rsidR="009876DF" w14:paraId="5365FD35" w14:textId="77777777">
      <w:pPr>
        <w:widowControl/>
        <w:spacing w:after="160" w:line="259" w:lineRule="auto"/>
        <w:rPr>
          <w:rFonts w:eastAsia="Times New Roman"/>
        </w:rPr>
      </w:pPr>
      <w:r>
        <w:rPr>
          <w:rFonts w:eastAsia="Times New Roman"/>
        </w:rPr>
        <w:br w:type="page"/>
      </w:r>
    </w:p>
    <w:p w:rsidR="00CE7A1A" w:rsidRPr="004F4940" w:rsidP="00112089" w14:paraId="4C204AB1" w14:textId="34DED4A0">
      <w:pPr>
        <w:pStyle w:val="FERCparanumber"/>
        <w:suppressLineNumbers/>
        <w:rPr>
          <w:rFonts w:eastAsia="Times New Roman"/>
        </w:rPr>
      </w:pPr>
      <w:r w:rsidRPr="004F4940">
        <w:rPr>
          <w:rFonts w:eastAsia="Times New Roman"/>
        </w:rPr>
        <w:t xml:space="preserve">Reliability Standard </w:t>
      </w:r>
      <w:r w:rsidRPr="004F4940" w:rsidR="03D4A984">
        <w:rPr>
          <w:rFonts w:eastAsia="Times New Roman"/>
        </w:rPr>
        <w:t xml:space="preserve">EOP-012-1 </w:t>
      </w:r>
      <w:r w:rsidRPr="004F4940" w:rsidR="429C21D6">
        <w:rPr>
          <w:rFonts w:eastAsia="Times New Roman"/>
        </w:rPr>
        <w:t xml:space="preserve">Requirement R4 </w:t>
      </w:r>
      <w:r w:rsidRPr="004F4940" w:rsidR="554E1870">
        <w:rPr>
          <w:rFonts w:eastAsia="Times New Roman"/>
        </w:rPr>
        <w:t>requires</w:t>
      </w:r>
      <w:r w:rsidRPr="004F4940" w:rsidR="429C21D6">
        <w:rPr>
          <w:rFonts w:eastAsia="Times New Roman"/>
        </w:rPr>
        <w:t xml:space="preserve"> the </w:t>
      </w:r>
      <w:r w:rsidRPr="004F4940" w:rsidR="72C36BF5">
        <w:rPr>
          <w:rFonts w:eastAsia="Times New Roman"/>
        </w:rPr>
        <w:t>g</w:t>
      </w:r>
      <w:r w:rsidRPr="004F4940" w:rsidR="429C21D6">
        <w:rPr>
          <w:rFonts w:eastAsia="Times New Roman"/>
        </w:rPr>
        <w:t xml:space="preserve">enerator </w:t>
      </w:r>
      <w:r w:rsidRPr="004F4940" w:rsidR="72C36BF5">
        <w:rPr>
          <w:rFonts w:eastAsia="Times New Roman"/>
        </w:rPr>
        <w:t>o</w:t>
      </w:r>
      <w:r w:rsidRPr="004F4940" w:rsidR="429C21D6">
        <w:rPr>
          <w:rFonts w:eastAsia="Times New Roman"/>
        </w:rPr>
        <w:t xml:space="preserve">wner to </w:t>
      </w:r>
      <w:r w:rsidRPr="004F4940" w:rsidR="5373304E">
        <w:rPr>
          <w:rFonts w:eastAsia="Times New Roman"/>
        </w:rPr>
        <w:t>review</w:t>
      </w:r>
      <w:r w:rsidRPr="004F4940" w:rsidR="429C21D6">
        <w:rPr>
          <w:rFonts w:eastAsia="Times New Roman"/>
        </w:rPr>
        <w:t xml:space="preserve"> </w:t>
      </w:r>
      <w:r w:rsidRPr="004F4940" w:rsidR="00AB75CC">
        <w:rPr>
          <w:rFonts w:eastAsia="Times New Roman"/>
        </w:rPr>
        <w:t>its</w:t>
      </w:r>
      <w:r w:rsidRPr="004F4940" w:rsidR="429C21D6">
        <w:rPr>
          <w:rFonts w:eastAsia="Times New Roman"/>
        </w:rPr>
        <w:t xml:space="preserve"> </w:t>
      </w:r>
      <w:r w:rsidRPr="004F4940" w:rsidR="72C36BF5">
        <w:rPr>
          <w:rFonts w:eastAsia="Times New Roman"/>
        </w:rPr>
        <w:t>E</w:t>
      </w:r>
      <w:r w:rsidRPr="004F4940" w:rsidR="033AFCC7">
        <w:rPr>
          <w:rFonts w:eastAsia="Times New Roman"/>
        </w:rPr>
        <w:t xml:space="preserve">xtreme </w:t>
      </w:r>
      <w:r w:rsidRPr="004F4940" w:rsidR="72C36BF5">
        <w:rPr>
          <w:rFonts w:eastAsia="Times New Roman"/>
        </w:rPr>
        <w:t>C</w:t>
      </w:r>
      <w:r w:rsidRPr="004F4940" w:rsidR="033AFCC7">
        <w:rPr>
          <w:rFonts w:eastAsia="Times New Roman"/>
        </w:rPr>
        <w:t xml:space="preserve">old </w:t>
      </w:r>
      <w:r w:rsidRPr="004F4940" w:rsidR="72C36BF5">
        <w:rPr>
          <w:rFonts w:eastAsia="Times New Roman"/>
        </w:rPr>
        <w:t>W</w:t>
      </w:r>
      <w:r w:rsidRPr="004F4940" w:rsidR="033AFCC7">
        <w:rPr>
          <w:rFonts w:eastAsia="Times New Roman"/>
        </w:rPr>
        <w:t xml:space="preserve">eather </w:t>
      </w:r>
      <w:r w:rsidRPr="004F4940" w:rsidR="72C36BF5">
        <w:rPr>
          <w:rFonts w:eastAsia="Times New Roman"/>
        </w:rPr>
        <w:t>T</w:t>
      </w:r>
      <w:r w:rsidRPr="004F4940" w:rsidR="033AFCC7">
        <w:rPr>
          <w:rFonts w:eastAsia="Times New Roman"/>
        </w:rPr>
        <w:t>emperature</w:t>
      </w:r>
      <w:r w:rsidRPr="004F4940" w:rsidR="429C21D6">
        <w:rPr>
          <w:rFonts w:eastAsia="Times New Roman"/>
        </w:rPr>
        <w:t xml:space="preserve"> </w:t>
      </w:r>
      <w:r w:rsidRPr="004F4940" w:rsidR="00BB68E2">
        <w:rPr>
          <w:rFonts w:eastAsia="Times New Roman"/>
        </w:rPr>
        <w:t>calculation</w:t>
      </w:r>
      <w:r w:rsidRPr="004F4940" w:rsidR="24905FDC">
        <w:rPr>
          <w:rFonts w:eastAsia="Times New Roman"/>
        </w:rPr>
        <w:t>, cold weather preparedness plan</w:t>
      </w:r>
      <w:r w:rsidRPr="004F4940" w:rsidR="00ED0EB9">
        <w:rPr>
          <w:rFonts w:eastAsia="Times New Roman"/>
        </w:rPr>
        <w:t>(s)</w:t>
      </w:r>
      <w:r w:rsidRPr="004F4940" w:rsidR="24905FDC">
        <w:rPr>
          <w:rFonts w:eastAsia="Times New Roman"/>
        </w:rPr>
        <w:t>, and freeze protection measures</w:t>
      </w:r>
      <w:r w:rsidRPr="004F4940" w:rsidR="5373304E">
        <w:rPr>
          <w:rFonts w:eastAsia="Times New Roman"/>
        </w:rPr>
        <w:t xml:space="preserve"> every five years to determine if changes</w:t>
      </w:r>
      <w:r w:rsidRPr="004F4940" w:rsidR="389629FF">
        <w:rPr>
          <w:rFonts w:eastAsia="Times New Roman"/>
        </w:rPr>
        <w:t xml:space="preserve"> or updates</w:t>
      </w:r>
      <w:r w:rsidRPr="004F4940" w:rsidR="5373304E">
        <w:rPr>
          <w:rFonts w:eastAsia="Times New Roman"/>
        </w:rPr>
        <w:t xml:space="preserve"> are warranted</w:t>
      </w:r>
      <w:r w:rsidRPr="004F4940" w:rsidR="429C21D6">
        <w:rPr>
          <w:rFonts w:eastAsia="Times New Roman"/>
        </w:rPr>
        <w:t>.</w:t>
      </w:r>
      <w:r>
        <w:rPr>
          <w:rStyle w:val="FootnoteReference"/>
          <w:rFonts w:eastAsia="Times New Roman"/>
        </w:rPr>
        <w:footnoteReference w:id="50"/>
      </w:r>
      <w:r w:rsidRPr="004F4940" w:rsidR="429C21D6">
        <w:rPr>
          <w:rFonts w:eastAsia="Times New Roman"/>
        </w:rPr>
        <w:t xml:space="preserve">  </w:t>
      </w:r>
      <w:r w:rsidRPr="004F4940" w:rsidR="5F9CAAE9">
        <w:rPr>
          <w:rFonts w:eastAsia="Times New Roman"/>
        </w:rPr>
        <w:t>Requirement R6</w:t>
      </w:r>
      <w:r w:rsidRPr="004F4940" w:rsidR="571AF5F9">
        <w:rPr>
          <w:rFonts w:eastAsia="Times New Roman"/>
        </w:rPr>
        <w:t xml:space="preserve"> </w:t>
      </w:r>
      <w:r w:rsidRPr="004F4940" w:rsidR="71FFC969">
        <w:rPr>
          <w:rFonts w:eastAsia="Times New Roman"/>
        </w:rPr>
        <w:t xml:space="preserve">mandates </w:t>
      </w:r>
      <w:r w:rsidRPr="004F4940" w:rsidR="60D18C52">
        <w:rPr>
          <w:rFonts w:eastAsia="Times New Roman"/>
        </w:rPr>
        <w:t xml:space="preserve">that </w:t>
      </w:r>
      <w:r w:rsidRPr="004F4940" w:rsidR="06776DD9">
        <w:rPr>
          <w:rFonts w:eastAsia="Times New Roman"/>
        </w:rPr>
        <w:t xml:space="preserve">each generator owner </w:t>
      </w:r>
      <w:r w:rsidRPr="004F4940" w:rsidR="60D18C52">
        <w:rPr>
          <w:rFonts w:eastAsia="Times New Roman"/>
        </w:rPr>
        <w:t>experienc</w:t>
      </w:r>
      <w:r w:rsidRPr="004F4940" w:rsidR="34E25E9A">
        <w:rPr>
          <w:rFonts w:eastAsia="Times New Roman"/>
        </w:rPr>
        <w:t>ing an</w:t>
      </w:r>
      <w:r w:rsidRPr="004F4940" w:rsidR="06776DD9">
        <w:rPr>
          <w:rFonts w:eastAsia="Times New Roman"/>
        </w:rPr>
        <w:t xml:space="preserve"> outage, failure to start, or derate due to freezing</w:t>
      </w:r>
      <w:r w:rsidRPr="004F4940" w:rsidR="60D18C52">
        <w:rPr>
          <w:rFonts w:eastAsia="Times New Roman"/>
        </w:rPr>
        <w:t xml:space="preserve"> conditions</w:t>
      </w:r>
      <w:r w:rsidRPr="004F4940" w:rsidR="06776DD9">
        <w:rPr>
          <w:rFonts w:eastAsia="Times New Roman"/>
        </w:rPr>
        <w:t xml:space="preserve"> develop a </w:t>
      </w:r>
      <w:r w:rsidRPr="004F4940" w:rsidR="001802CC">
        <w:rPr>
          <w:rFonts w:eastAsia="Times New Roman"/>
        </w:rPr>
        <w:t>c</w:t>
      </w:r>
      <w:r w:rsidRPr="004F4940" w:rsidR="1ACB93AE">
        <w:rPr>
          <w:rFonts w:eastAsia="Times New Roman"/>
        </w:rPr>
        <w:t xml:space="preserve">orrective </w:t>
      </w:r>
      <w:r w:rsidRPr="004F4940" w:rsidR="001802CC">
        <w:rPr>
          <w:rFonts w:eastAsia="Times New Roman"/>
        </w:rPr>
        <w:t>a</w:t>
      </w:r>
      <w:r w:rsidRPr="004F4940" w:rsidR="1ACB93AE">
        <w:rPr>
          <w:rFonts w:eastAsia="Times New Roman"/>
        </w:rPr>
        <w:t xml:space="preserve">ction </w:t>
      </w:r>
      <w:r w:rsidRPr="004F4940" w:rsidR="001802CC">
        <w:rPr>
          <w:rFonts w:eastAsia="Times New Roman"/>
        </w:rPr>
        <w:t>p</w:t>
      </w:r>
      <w:r w:rsidRPr="004F4940" w:rsidR="1ACB93AE">
        <w:rPr>
          <w:rFonts w:eastAsia="Times New Roman"/>
        </w:rPr>
        <w:t>lan</w:t>
      </w:r>
      <w:r w:rsidRPr="004F4940" w:rsidR="06776DD9">
        <w:rPr>
          <w:rFonts w:eastAsia="Times New Roman"/>
        </w:rPr>
        <w:t xml:space="preserve"> to address the identified causes</w:t>
      </w:r>
      <w:r w:rsidRPr="004F4940" w:rsidR="53229467">
        <w:rPr>
          <w:rFonts w:eastAsia="Times New Roman"/>
        </w:rPr>
        <w:t>.</w:t>
      </w:r>
      <w:r w:rsidRPr="004F4940" w:rsidR="5E65C2EB">
        <w:rPr>
          <w:rFonts w:eastAsia="Times New Roman"/>
        </w:rPr>
        <w:t xml:space="preserve"> </w:t>
      </w:r>
      <w:r w:rsidRPr="004F4940" w:rsidR="7F1F566D">
        <w:rPr>
          <w:rFonts w:eastAsia="Times New Roman"/>
        </w:rPr>
        <w:t xml:space="preserve"> Lastly, Requirement R7 </w:t>
      </w:r>
      <w:r w:rsidRPr="004F4940" w:rsidR="31A5B308">
        <w:rPr>
          <w:rFonts w:eastAsia="Times New Roman"/>
        </w:rPr>
        <w:t xml:space="preserve">requires generator owners to implement </w:t>
      </w:r>
      <w:r w:rsidRPr="004F4940" w:rsidR="00672C63">
        <w:rPr>
          <w:rFonts w:eastAsia="Times New Roman"/>
        </w:rPr>
        <w:t>c</w:t>
      </w:r>
      <w:r w:rsidRPr="004F4940" w:rsidR="31A5B308">
        <w:rPr>
          <w:rFonts w:eastAsia="Times New Roman"/>
        </w:rPr>
        <w:t xml:space="preserve">orrective </w:t>
      </w:r>
      <w:r w:rsidRPr="004F4940" w:rsidR="00672C63">
        <w:rPr>
          <w:rFonts w:eastAsia="Times New Roman"/>
        </w:rPr>
        <w:t>a</w:t>
      </w:r>
      <w:r w:rsidRPr="004F4940" w:rsidR="31A5B308">
        <w:rPr>
          <w:rFonts w:eastAsia="Times New Roman"/>
        </w:rPr>
        <w:t xml:space="preserve">ction </w:t>
      </w:r>
      <w:r w:rsidRPr="004F4940" w:rsidR="00672C63">
        <w:rPr>
          <w:rFonts w:eastAsia="Times New Roman"/>
        </w:rPr>
        <w:t>p</w:t>
      </w:r>
      <w:r w:rsidRPr="004F4940" w:rsidR="31A5B308">
        <w:rPr>
          <w:rFonts w:eastAsia="Times New Roman"/>
        </w:rPr>
        <w:t xml:space="preserve">lans developed pursuant to Requirements R2, R4, or R6, or explain </w:t>
      </w:r>
      <w:r w:rsidRPr="004F4940" w:rsidR="0097274C">
        <w:rPr>
          <w:rFonts w:eastAsia="Times New Roman"/>
        </w:rPr>
        <w:t xml:space="preserve">in a declaration </w:t>
      </w:r>
      <w:r w:rsidRPr="004F4940" w:rsidR="31A5B308">
        <w:rPr>
          <w:rFonts w:eastAsia="Times New Roman"/>
        </w:rPr>
        <w:t>why they are not implementing corrective actions due to technical, commercial, or operational constraints.</w:t>
      </w:r>
      <w:r>
        <w:rPr>
          <w:rStyle w:val="FootnoteReference"/>
          <w:rFonts w:eastAsia="Times New Roman"/>
        </w:rPr>
        <w:footnoteReference w:id="51"/>
      </w:r>
    </w:p>
    <w:p w:rsidR="00790863" w:rsidRPr="004F4940" w:rsidP="00EA339F" w14:paraId="0DDE3900" w14:textId="638FE11A">
      <w:pPr>
        <w:pStyle w:val="FERCparanumber"/>
        <w:widowControl w:val="0"/>
        <w:suppressLineNumbers/>
        <w:rPr>
          <w:rFonts w:eastAsia="Times New Roman"/>
        </w:rPr>
      </w:pPr>
      <w:r w:rsidRPr="004F4940">
        <w:rPr>
          <w:rFonts w:eastAsia="Times New Roman"/>
        </w:rPr>
        <w:t>NERC</w:t>
      </w:r>
      <w:r w:rsidRPr="004F4940" w:rsidR="47D05FC0">
        <w:rPr>
          <w:rFonts w:eastAsia="Times New Roman"/>
        </w:rPr>
        <w:t xml:space="preserve"> requests</w:t>
      </w:r>
      <w:r w:rsidRPr="004F4940">
        <w:rPr>
          <w:rFonts w:eastAsia="Times New Roman"/>
        </w:rPr>
        <w:t xml:space="preserve"> the Commission approve</w:t>
      </w:r>
      <w:r w:rsidRPr="004F4940">
        <w:rPr>
          <w:rFonts w:eastAsia="Times New Roman"/>
        </w:rPr>
        <w:t xml:space="preserve"> </w:t>
      </w:r>
      <w:r w:rsidRPr="004F4940">
        <w:rPr>
          <w:rFonts w:eastAsia="Times New Roman"/>
        </w:rPr>
        <w:t>the violation risk factors and violation severity levels for Reliability Standards EOP-011-3 and EOP-012-1.  NERC states that the violation risk factors and violation severity levels for Reliability Standard EOP-011-3 did not change from approved Reliability Standard EOP-011-2.  NERC also proposes violation risk factors and violation severity levels for new Reliability Standard EOP-012-1.</w:t>
      </w:r>
      <w:r>
        <w:rPr>
          <w:rStyle w:val="FootnoteReference"/>
          <w:rFonts w:eastAsia="Times New Roman"/>
        </w:rPr>
        <w:footnoteReference w:id="52"/>
      </w:r>
    </w:p>
    <w:p w:rsidR="00ED0CDD" w:rsidRPr="004F4940" w:rsidP="00710D39" w14:paraId="63B0B33C" w14:textId="3FFF599D">
      <w:pPr>
        <w:pStyle w:val="FERCparanumber"/>
        <w:widowControl w:val="0"/>
        <w:suppressLineNumbers/>
        <w:rPr>
          <w:rFonts w:eastAsia="Times New Roman"/>
        </w:rPr>
      </w:pPr>
      <w:r w:rsidRPr="004F4940">
        <w:rPr>
          <w:rFonts w:eastAsia="Times New Roman"/>
        </w:rPr>
        <w:t xml:space="preserve">NERC proposes an 18-month </w:t>
      </w:r>
      <w:r w:rsidRPr="004F4940" w:rsidR="00722165">
        <w:rPr>
          <w:rFonts w:eastAsia="Times New Roman"/>
        </w:rPr>
        <w:t>effective date</w:t>
      </w:r>
      <w:r w:rsidRPr="004F4940">
        <w:rPr>
          <w:rFonts w:eastAsia="Times New Roman"/>
        </w:rPr>
        <w:t xml:space="preserve"> for Reliability Standards EOP-011-</w:t>
      </w:r>
      <w:r w:rsidRPr="004F4940" w:rsidR="0033378F">
        <w:rPr>
          <w:rFonts w:eastAsia="Times New Roman"/>
        </w:rPr>
        <w:t>3</w:t>
      </w:r>
      <w:r w:rsidRPr="004F4940">
        <w:rPr>
          <w:rFonts w:eastAsia="Times New Roman"/>
        </w:rPr>
        <w:t xml:space="preserve"> and EOP-012-1, beginning on the first day of the first calendar quarter following </w:t>
      </w:r>
      <w:r w:rsidRPr="004F4940" w:rsidR="000C47DF">
        <w:rPr>
          <w:rFonts w:eastAsia="Times New Roman"/>
        </w:rPr>
        <w:t>regulatory approval</w:t>
      </w:r>
      <w:r w:rsidRPr="004F4940" w:rsidR="008D1EBC">
        <w:rPr>
          <w:rFonts w:eastAsia="Times New Roman"/>
        </w:rPr>
        <w:t>.</w:t>
      </w:r>
      <w:r>
        <w:rPr>
          <w:rStyle w:val="FootnoteReference"/>
          <w:rFonts w:eastAsia="Times New Roman"/>
        </w:rPr>
        <w:footnoteReference w:id="53"/>
      </w:r>
      <w:r w:rsidRPr="004F4940">
        <w:rPr>
          <w:rFonts w:eastAsia="Times New Roman"/>
        </w:rPr>
        <w:t xml:space="preserve">  </w:t>
      </w:r>
      <w:r w:rsidRPr="004F4940" w:rsidR="002637FF">
        <w:rPr>
          <w:rFonts w:eastAsia="Times New Roman"/>
        </w:rPr>
        <w:t>All the requirements of Reliability Standard EOP-011-</w:t>
      </w:r>
      <w:r w:rsidRPr="004F4940" w:rsidR="0056410A">
        <w:rPr>
          <w:rFonts w:eastAsia="Times New Roman"/>
        </w:rPr>
        <w:t>3</w:t>
      </w:r>
      <w:r w:rsidRPr="004F4940" w:rsidR="002637FF">
        <w:rPr>
          <w:rFonts w:eastAsia="Times New Roman"/>
        </w:rPr>
        <w:t xml:space="preserve"> w</w:t>
      </w:r>
      <w:r w:rsidRPr="004F4940" w:rsidR="005A11EB">
        <w:rPr>
          <w:rFonts w:eastAsia="Times New Roman"/>
        </w:rPr>
        <w:t>ould</w:t>
      </w:r>
      <w:r w:rsidRPr="004F4940" w:rsidR="002637FF">
        <w:rPr>
          <w:rFonts w:eastAsia="Times New Roman"/>
        </w:rPr>
        <w:t xml:space="preserve"> </w:t>
      </w:r>
      <w:r w:rsidR="00F90F35">
        <w:rPr>
          <w:rFonts w:eastAsia="Times New Roman"/>
        </w:rPr>
        <w:br/>
      </w:r>
      <w:r w:rsidRPr="004F4940" w:rsidR="0040068C">
        <w:rPr>
          <w:rFonts w:eastAsia="Times New Roman"/>
        </w:rPr>
        <w:t>be effective on this date.</w:t>
      </w:r>
    </w:p>
    <w:p w:rsidR="005D516A" w:rsidRPr="004F4940" w:rsidP="00710D39" w14:paraId="5809E5EA" w14:textId="4B355EBD">
      <w:pPr>
        <w:pStyle w:val="FERCparanumber"/>
        <w:widowControl w:val="0"/>
        <w:suppressLineNumbers/>
        <w:rPr>
          <w:rFonts w:eastAsia="Times New Roman"/>
        </w:rPr>
      </w:pPr>
      <w:r w:rsidRPr="004F4940">
        <w:rPr>
          <w:rFonts w:eastAsia="Times New Roman"/>
        </w:rPr>
        <w:t>Specific to the requirements of EOP-012-1, a</w:t>
      </w:r>
      <w:r w:rsidRPr="004F4940" w:rsidR="00765951">
        <w:rPr>
          <w:rFonts w:eastAsia="Times New Roman"/>
        </w:rPr>
        <w:t>s of the effective date, generator owners will be required to update th</w:t>
      </w:r>
      <w:r w:rsidRPr="004F4940" w:rsidR="00237B8F">
        <w:rPr>
          <w:rFonts w:eastAsia="Times New Roman"/>
        </w:rPr>
        <w:t>eir cold weather preparedness plans to include the Extreme Cold Weather Temperature and Generator Cold Weather Critical Components, and document freeze protection measures</w:t>
      </w:r>
      <w:r w:rsidRPr="004F4940" w:rsidR="00B91899">
        <w:rPr>
          <w:rFonts w:eastAsia="Times New Roman"/>
        </w:rPr>
        <w:t xml:space="preserve"> for those components as required by EOP-012-1 Requirement R3</w:t>
      </w:r>
      <w:r w:rsidRPr="004F4940" w:rsidR="00711B2E">
        <w:rPr>
          <w:rFonts w:eastAsia="Times New Roman"/>
        </w:rPr>
        <w:t xml:space="preserve"> as well as provide unit-specific cold weather </w:t>
      </w:r>
      <w:r w:rsidRPr="004F4940" w:rsidR="00C5436E">
        <w:rPr>
          <w:rFonts w:eastAsia="Times New Roman"/>
        </w:rPr>
        <w:t>plan training on an annual basis as required by Requirement</w:t>
      </w:r>
      <w:r w:rsidRPr="004F4940" w:rsidR="00C177E3">
        <w:rPr>
          <w:rFonts w:eastAsia="Times New Roman"/>
        </w:rPr>
        <w:t xml:space="preserve"> R5</w:t>
      </w:r>
      <w:r w:rsidRPr="004F4940" w:rsidR="00B2642E">
        <w:rPr>
          <w:rFonts w:eastAsia="Times New Roman"/>
        </w:rPr>
        <w:t xml:space="preserve">.  </w:t>
      </w:r>
      <w:r w:rsidRPr="004F4940" w:rsidR="00B83DD9">
        <w:rPr>
          <w:rFonts w:eastAsia="Times New Roman"/>
        </w:rPr>
        <w:t>Within 150 days of the effective date, g</w:t>
      </w:r>
      <w:r w:rsidRPr="004F4940" w:rsidR="0027197A">
        <w:rPr>
          <w:rFonts w:eastAsia="Times New Roman"/>
        </w:rPr>
        <w:t>enerator owners will be required to develop</w:t>
      </w:r>
      <w:r w:rsidRPr="004F4940" w:rsidR="007F61B4">
        <w:rPr>
          <w:rFonts w:eastAsia="Times New Roman"/>
        </w:rPr>
        <w:t xml:space="preserve"> </w:t>
      </w:r>
      <w:r w:rsidRPr="004F4940" w:rsidR="0027197A">
        <w:rPr>
          <w:rFonts w:eastAsia="Times New Roman"/>
        </w:rPr>
        <w:t>corrective action plans</w:t>
      </w:r>
      <w:r w:rsidRPr="004F4940" w:rsidR="007F61B4">
        <w:rPr>
          <w:rFonts w:eastAsia="Times New Roman"/>
        </w:rPr>
        <w:t>, or declare constraints,</w:t>
      </w:r>
      <w:r w:rsidRPr="004F4940" w:rsidR="0027197A">
        <w:rPr>
          <w:rFonts w:eastAsia="Times New Roman"/>
        </w:rPr>
        <w:t xml:space="preserve"> </w:t>
      </w:r>
      <w:r w:rsidRPr="004F4940" w:rsidR="009A7095">
        <w:rPr>
          <w:rFonts w:eastAsia="Times New Roman"/>
        </w:rPr>
        <w:t xml:space="preserve">as required by </w:t>
      </w:r>
      <w:r w:rsidRPr="004F4940" w:rsidR="00D61241">
        <w:rPr>
          <w:rFonts w:eastAsia="Times New Roman"/>
        </w:rPr>
        <w:t>proposed EOP-012-1 Requirements R6 and R7</w:t>
      </w:r>
      <w:r w:rsidRPr="004F4940" w:rsidR="00B83DD9">
        <w:rPr>
          <w:rFonts w:eastAsia="Times New Roman"/>
        </w:rPr>
        <w:t xml:space="preserve">.  </w:t>
      </w:r>
      <w:r w:rsidRPr="004F4940" w:rsidR="1B9B8740">
        <w:rPr>
          <w:rFonts w:eastAsia="Times New Roman"/>
        </w:rPr>
        <w:t xml:space="preserve">NERC also proposes that generator owners have an additional </w:t>
      </w:r>
      <w:r w:rsidRPr="004F4940" w:rsidR="00574A08">
        <w:rPr>
          <w:rFonts w:eastAsia="Times New Roman"/>
        </w:rPr>
        <w:t>42</w:t>
      </w:r>
      <w:r w:rsidRPr="004F4940" w:rsidR="1B9B8740">
        <w:rPr>
          <w:rFonts w:eastAsia="Times New Roman"/>
        </w:rPr>
        <w:t xml:space="preserve"> months </w:t>
      </w:r>
      <w:r w:rsidRPr="004F4940" w:rsidR="00574A08">
        <w:rPr>
          <w:rFonts w:eastAsia="Times New Roman"/>
        </w:rPr>
        <w:t>from</w:t>
      </w:r>
      <w:r w:rsidRPr="004F4940" w:rsidR="1B9B8740">
        <w:rPr>
          <w:rFonts w:eastAsia="Times New Roman"/>
        </w:rPr>
        <w:t xml:space="preserve"> </w:t>
      </w:r>
      <w:r w:rsidRPr="004F4940" w:rsidR="1C987C17">
        <w:rPr>
          <w:rFonts w:eastAsia="Times New Roman"/>
        </w:rPr>
        <w:t xml:space="preserve">the </w:t>
      </w:r>
      <w:r w:rsidRPr="004F4940" w:rsidR="00574A08">
        <w:rPr>
          <w:rFonts w:eastAsia="Times New Roman"/>
        </w:rPr>
        <w:t xml:space="preserve">effective </w:t>
      </w:r>
      <w:r w:rsidRPr="004F4940" w:rsidR="1C987C17">
        <w:rPr>
          <w:rFonts w:eastAsia="Times New Roman"/>
        </w:rPr>
        <w:t xml:space="preserve">date of </w:t>
      </w:r>
      <w:r w:rsidRPr="004F4940" w:rsidR="00574A08">
        <w:rPr>
          <w:rFonts w:eastAsia="Times New Roman"/>
        </w:rPr>
        <w:t>proposed Reliability Standard EOP-012</w:t>
      </w:r>
      <w:r w:rsidRPr="004F4940" w:rsidR="00CE1D5E">
        <w:rPr>
          <w:rFonts w:eastAsia="Times New Roman"/>
        </w:rPr>
        <w:t>-</w:t>
      </w:r>
      <w:r w:rsidRPr="004F4940" w:rsidR="00574A08">
        <w:rPr>
          <w:rFonts w:eastAsia="Times New Roman"/>
        </w:rPr>
        <w:t>1</w:t>
      </w:r>
      <w:r w:rsidRPr="004F4940" w:rsidR="187ECE17">
        <w:rPr>
          <w:rFonts w:eastAsia="Times New Roman"/>
        </w:rPr>
        <w:t xml:space="preserve"> </w:t>
      </w:r>
      <w:r w:rsidRPr="004F4940" w:rsidR="008305D0">
        <w:rPr>
          <w:rFonts w:eastAsia="Times New Roman"/>
        </w:rPr>
        <w:t xml:space="preserve">(i.e., 60 months from the regulatory approval date) </w:t>
      </w:r>
      <w:r w:rsidRPr="004F4940" w:rsidR="1B9B8740">
        <w:rPr>
          <w:rFonts w:eastAsia="Times New Roman"/>
        </w:rPr>
        <w:t>to come into compliance with the new freeze protection measures of EOP-</w:t>
      </w:r>
      <w:r w:rsidRPr="004F4940" w:rsidR="008E2C53">
        <w:rPr>
          <w:rFonts w:eastAsia="Times New Roman"/>
        </w:rPr>
        <w:t>0</w:t>
      </w:r>
      <w:r w:rsidRPr="004F4940" w:rsidR="187ECE17">
        <w:rPr>
          <w:rFonts w:eastAsia="Times New Roman"/>
        </w:rPr>
        <w:t>12</w:t>
      </w:r>
      <w:r w:rsidRPr="004F4940" w:rsidR="1B9B8740">
        <w:rPr>
          <w:rFonts w:eastAsia="Times New Roman"/>
        </w:rPr>
        <w:t xml:space="preserve">-1 Requirements R1 and R2 and an additional </w:t>
      </w:r>
      <w:r w:rsidRPr="004F4940" w:rsidR="00CE1D5E">
        <w:rPr>
          <w:rFonts w:eastAsia="Times New Roman"/>
        </w:rPr>
        <w:t>60</w:t>
      </w:r>
      <w:r w:rsidRPr="004F4940" w:rsidR="1B9B8740">
        <w:rPr>
          <w:rFonts w:eastAsia="Times New Roman"/>
        </w:rPr>
        <w:t xml:space="preserve"> months </w:t>
      </w:r>
      <w:r w:rsidRPr="004F4940" w:rsidR="00CE1D5E">
        <w:rPr>
          <w:rFonts w:eastAsia="Times New Roman"/>
        </w:rPr>
        <w:t>from</w:t>
      </w:r>
      <w:r w:rsidRPr="004F4940" w:rsidR="1B9B8740">
        <w:rPr>
          <w:rFonts w:eastAsia="Times New Roman"/>
        </w:rPr>
        <w:t xml:space="preserve"> the </w:t>
      </w:r>
      <w:r w:rsidRPr="004F4940" w:rsidR="00CE1D5E">
        <w:rPr>
          <w:rFonts w:eastAsia="Times New Roman"/>
        </w:rPr>
        <w:t xml:space="preserve">effective </w:t>
      </w:r>
      <w:r w:rsidRPr="004F4940" w:rsidR="1B9B8740">
        <w:rPr>
          <w:rFonts w:eastAsia="Times New Roman"/>
        </w:rPr>
        <w:t xml:space="preserve">date </w:t>
      </w:r>
      <w:r w:rsidRPr="004F4940" w:rsidR="004530D9">
        <w:rPr>
          <w:rFonts w:eastAsia="Times New Roman"/>
        </w:rPr>
        <w:t xml:space="preserve">(i.e., </w:t>
      </w:r>
      <w:r w:rsidR="00F90F35">
        <w:rPr>
          <w:rFonts w:eastAsia="Times New Roman"/>
        </w:rPr>
        <w:br/>
      </w:r>
      <w:r w:rsidRPr="004F4940" w:rsidR="005A3716">
        <w:rPr>
          <w:rFonts w:eastAsia="Times New Roman"/>
        </w:rPr>
        <w:t xml:space="preserve">78 months from the regulatory approval date) </w:t>
      </w:r>
      <w:r w:rsidRPr="004F4940" w:rsidR="1B9B8740">
        <w:rPr>
          <w:rFonts w:eastAsia="Times New Roman"/>
        </w:rPr>
        <w:t xml:space="preserve">to perform </w:t>
      </w:r>
      <w:r w:rsidRPr="004F4940" w:rsidR="004E1DAD">
        <w:rPr>
          <w:rFonts w:eastAsia="Times New Roman"/>
        </w:rPr>
        <w:t xml:space="preserve">the first re-evaluation of the Extreme Cold Weather Temperature for their units and update cold weather preparedness plans and unit freeze protection measures, including developing any </w:t>
      </w:r>
      <w:r w:rsidRPr="004F4940" w:rsidR="00721DCA">
        <w:rPr>
          <w:rFonts w:eastAsia="Times New Roman"/>
        </w:rPr>
        <w:t>c</w:t>
      </w:r>
      <w:r w:rsidRPr="004F4940" w:rsidR="004E1DAD">
        <w:rPr>
          <w:rFonts w:eastAsia="Times New Roman"/>
        </w:rPr>
        <w:t xml:space="preserve">orrective </w:t>
      </w:r>
      <w:r w:rsidRPr="004F4940" w:rsidR="00721DCA">
        <w:rPr>
          <w:rFonts w:eastAsia="Times New Roman"/>
        </w:rPr>
        <w:t>a</w:t>
      </w:r>
      <w:r w:rsidRPr="004F4940" w:rsidR="004E1DAD">
        <w:rPr>
          <w:rFonts w:eastAsia="Times New Roman"/>
        </w:rPr>
        <w:t xml:space="preserve">ction </w:t>
      </w:r>
      <w:r w:rsidRPr="004F4940" w:rsidR="00721DCA">
        <w:rPr>
          <w:rFonts w:eastAsia="Times New Roman"/>
        </w:rPr>
        <w:t>p</w:t>
      </w:r>
      <w:r w:rsidRPr="004F4940" w:rsidR="004E1DAD">
        <w:rPr>
          <w:rFonts w:eastAsia="Times New Roman"/>
        </w:rPr>
        <w:t>lans, as needed for proposed EOP-012-1 Requirement R4.</w:t>
      </w:r>
    </w:p>
    <w:p w:rsidR="008D1EBC" w:rsidRPr="004F4940" w:rsidP="00710D39" w14:paraId="213D8088" w14:textId="30549C9F">
      <w:pPr>
        <w:pStyle w:val="FERCparanumber"/>
        <w:widowControl w:val="0"/>
        <w:suppressLineNumbers/>
        <w:rPr>
          <w:rFonts w:eastAsia="Times New Roman"/>
        </w:rPr>
      </w:pPr>
      <w:r w:rsidRPr="004F4940">
        <w:rPr>
          <w:rFonts w:eastAsia="Times New Roman"/>
        </w:rPr>
        <w:t xml:space="preserve">NERC explains that it considered </w:t>
      </w:r>
      <w:r w:rsidRPr="004F4940" w:rsidR="187ECE17">
        <w:rPr>
          <w:rFonts w:eastAsia="Times New Roman"/>
        </w:rPr>
        <w:t>th</w:t>
      </w:r>
      <w:r w:rsidRPr="004F4940" w:rsidR="00877EFE">
        <w:rPr>
          <w:rFonts w:eastAsia="Times New Roman"/>
        </w:rPr>
        <w:t>ese</w:t>
      </w:r>
      <w:r w:rsidRPr="004F4940">
        <w:rPr>
          <w:rFonts w:eastAsia="Times New Roman"/>
        </w:rPr>
        <w:t xml:space="preserve"> </w:t>
      </w:r>
      <w:bookmarkStart w:id="8" w:name="_Hlk126943397"/>
      <w:r w:rsidRPr="004F4940">
        <w:rPr>
          <w:rFonts w:eastAsia="Times New Roman"/>
        </w:rPr>
        <w:t xml:space="preserve">implementation </w:t>
      </w:r>
      <w:r w:rsidRPr="004F4940">
        <w:rPr>
          <w:rFonts w:eastAsia="Times New Roman"/>
        </w:rPr>
        <w:t>timeframe</w:t>
      </w:r>
      <w:r w:rsidRPr="004F4940" w:rsidR="00877EFE">
        <w:rPr>
          <w:rFonts w:eastAsia="Times New Roman"/>
        </w:rPr>
        <w:t>s</w:t>
      </w:r>
      <w:r w:rsidRPr="004F4940">
        <w:rPr>
          <w:rFonts w:eastAsia="Times New Roman"/>
        </w:rPr>
        <w:t xml:space="preserve"> necessary </w:t>
      </w:r>
      <w:r w:rsidR="00F90F35">
        <w:rPr>
          <w:rFonts w:eastAsia="Times New Roman"/>
        </w:rPr>
        <w:br/>
      </w:r>
      <w:r w:rsidRPr="004F4940">
        <w:rPr>
          <w:rFonts w:eastAsia="Times New Roman"/>
        </w:rPr>
        <w:t>for generator owners to calculate the E</w:t>
      </w:r>
      <w:r w:rsidRPr="004F4940" w:rsidR="4AFEF2BC">
        <w:rPr>
          <w:rFonts w:eastAsia="Times New Roman"/>
        </w:rPr>
        <w:t xml:space="preserve">xtreme </w:t>
      </w:r>
      <w:r w:rsidRPr="004F4940">
        <w:rPr>
          <w:rFonts w:eastAsia="Times New Roman"/>
        </w:rPr>
        <w:t>C</w:t>
      </w:r>
      <w:r w:rsidRPr="004F4940" w:rsidR="4AFEF2BC">
        <w:rPr>
          <w:rFonts w:eastAsia="Times New Roman"/>
        </w:rPr>
        <w:t xml:space="preserve">old </w:t>
      </w:r>
      <w:r w:rsidRPr="004F4940">
        <w:rPr>
          <w:rFonts w:eastAsia="Times New Roman"/>
        </w:rPr>
        <w:t>W</w:t>
      </w:r>
      <w:r w:rsidRPr="004F4940" w:rsidR="4AFEF2BC">
        <w:rPr>
          <w:rFonts w:eastAsia="Times New Roman"/>
        </w:rPr>
        <w:t xml:space="preserve">eather </w:t>
      </w:r>
      <w:r w:rsidRPr="004F4940" w:rsidR="1F861447">
        <w:rPr>
          <w:rFonts w:eastAsia="Times New Roman"/>
        </w:rPr>
        <w:t>Temperature</w:t>
      </w:r>
      <w:r w:rsidRPr="004F4940">
        <w:rPr>
          <w:rFonts w:eastAsia="Times New Roman"/>
        </w:rPr>
        <w:t xml:space="preserve"> for each generating unit, to identify Generator Cold Weather Critical </w:t>
      </w:r>
      <w:r w:rsidRPr="004F4940" w:rsidR="79D75655">
        <w:rPr>
          <w:rFonts w:eastAsia="Times New Roman"/>
        </w:rPr>
        <w:t>C</w:t>
      </w:r>
      <w:r w:rsidRPr="004F4940">
        <w:rPr>
          <w:rFonts w:eastAsia="Times New Roman"/>
        </w:rPr>
        <w:t>omponents, and to perform the necessary engineering studies and analys</w:t>
      </w:r>
      <w:r w:rsidRPr="004F4940" w:rsidR="79D75655">
        <w:rPr>
          <w:rFonts w:eastAsia="Times New Roman"/>
        </w:rPr>
        <w:t>e</w:t>
      </w:r>
      <w:r w:rsidRPr="004F4940">
        <w:rPr>
          <w:rFonts w:eastAsia="Times New Roman"/>
        </w:rPr>
        <w:t>s to identify and implement freeze protection measures that would provide for the required performance capability or to explain why such measures are precluded by technical, commercial, or operational constraints</w:t>
      </w:r>
      <w:bookmarkEnd w:id="8"/>
      <w:r w:rsidRPr="004F4940">
        <w:rPr>
          <w:rFonts w:eastAsia="Times New Roman"/>
        </w:rPr>
        <w:t xml:space="preserve">.  </w:t>
      </w:r>
      <w:r w:rsidRPr="004F4940">
        <w:rPr>
          <w:rFonts w:eastAsia="Times New Roman"/>
        </w:rPr>
        <w:t xml:space="preserve">NERC also states that generator owners need additional time to implement the freeze protection measures </w:t>
      </w:r>
      <w:r w:rsidRPr="004F4940" w:rsidR="79D75655">
        <w:rPr>
          <w:rFonts w:eastAsia="Times New Roman"/>
        </w:rPr>
        <w:t xml:space="preserve">of EOP-012-1 </w:t>
      </w:r>
      <w:r w:rsidRPr="004F4940">
        <w:rPr>
          <w:rFonts w:eastAsia="Times New Roman"/>
        </w:rPr>
        <w:t xml:space="preserve">Requirements R1 and R2 because of the significant engineering, design, analysis, and implementation efforts required to </w:t>
      </w:r>
      <w:r w:rsidRPr="004F4940" w:rsidR="000E7008">
        <w:rPr>
          <w:rFonts w:eastAsia="Times New Roman"/>
        </w:rPr>
        <w:t>complete</w:t>
      </w:r>
      <w:r w:rsidRPr="004F4940">
        <w:rPr>
          <w:rFonts w:eastAsia="Times New Roman"/>
        </w:rPr>
        <w:t xml:space="preserve"> such work.</w:t>
      </w:r>
      <w:r>
        <w:rPr>
          <w:rStyle w:val="FootnoteReference"/>
          <w:rFonts w:eastAsia="Times New Roman"/>
        </w:rPr>
        <w:footnoteReference w:id="54"/>
      </w:r>
    </w:p>
    <w:p w:rsidR="007E223D" w:rsidRPr="004F4940" w:rsidP="462A9FC4" w14:paraId="4F78987A" w14:textId="28FB007B">
      <w:pPr>
        <w:pStyle w:val="FERCparanumber"/>
        <w:widowControl w:val="0"/>
        <w:suppressLineNumbers/>
        <w:rPr>
          <w:rFonts w:eastAsia="Times New Roman"/>
          <w:b/>
          <w:vertAlign w:val="superscript"/>
        </w:rPr>
      </w:pPr>
      <w:r w:rsidRPr="004F4940">
        <w:rPr>
          <w:rFonts w:eastAsia="Times New Roman"/>
        </w:rPr>
        <w:t>NERC explains that it adopted a two-phase standard development project to develop, draft, and revise the extreme cold weather Reliability Standards in accordance with the November 2021 Report due to the extensive scope and demonstrated urgency of new and improved cold weather Reliability Standards.</w:t>
      </w:r>
      <w:r>
        <w:rPr>
          <w:rStyle w:val="FootnoteReference"/>
          <w:rFonts w:eastAsia="Times New Roman"/>
        </w:rPr>
        <w:footnoteReference w:id="55"/>
      </w:r>
      <w:r w:rsidRPr="004F4940">
        <w:rPr>
          <w:rFonts w:eastAsia="Times New Roman"/>
        </w:rPr>
        <w:t xml:space="preserve">  NERC states that its October 28, 2022, petition represents phase one of its standard development project and that the remaining November 2021 Report recommendations will be addressed in the second phase of standards development.  In phase two, NERC states that </w:t>
      </w:r>
      <w:r w:rsidRPr="004F4940" w:rsidR="009C6A1C">
        <w:rPr>
          <w:rFonts w:eastAsia="Times New Roman"/>
        </w:rPr>
        <w:t>its</w:t>
      </w:r>
      <w:r w:rsidRPr="004F4940">
        <w:rPr>
          <w:rFonts w:eastAsia="Times New Roman"/>
        </w:rPr>
        <w:t xml:space="preserve"> standard drafting team </w:t>
      </w:r>
      <w:r w:rsidRPr="004F4940" w:rsidR="00706103">
        <w:rPr>
          <w:rFonts w:eastAsia="Times New Roman"/>
        </w:rPr>
        <w:t xml:space="preserve">also </w:t>
      </w:r>
      <w:r w:rsidRPr="004F4940">
        <w:rPr>
          <w:rFonts w:eastAsia="Times New Roman"/>
        </w:rPr>
        <w:t>plans to consider industry concerns that arose in phase one.</w:t>
      </w:r>
    </w:p>
    <w:p w:rsidR="0008480F" w:rsidRPr="004F4940" w:rsidP="462A9FC4" w14:paraId="4774733B" w14:textId="0CB8FDE0">
      <w:pPr>
        <w:pStyle w:val="FERCparanumber"/>
        <w:widowControl w:val="0"/>
        <w:suppressLineNumbers/>
        <w:rPr>
          <w:rFonts w:eastAsia="Times New Roman"/>
          <w:b/>
          <w:vertAlign w:val="superscript"/>
        </w:rPr>
      </w:pPr>
      <w:r w:rsidRPr="004F4940">
        <w:rPr>
          <w:rFonts w:eastAsia="Times New Roman"/>
        </w:rPr>
        <w:t xml:space="preserve">Finally, NERC requests the Commission </w:t>
      </w:r>
      <w:r w:rsidRPr="004F4940" w:rsidR="00BF39F7">
        <w:rPr>
          <w:rFonts w:eastAsia="Times New Roman"/>
        </w:rPr>
        <w:t>approve the proposed Standards</w:t>
      </w:r>
      <w:r w:rsidRPr="004F4940">
        <w:rPr>
          <w:rFonts w:eastAsia="Times New Roman"/>
        </w:rPr>
        <w:t xml:space="preserve"> </w:t>
      </w:r>
      <w:r w:rsidRPr="004F4940" w:rsidR="00EC578D">
        <w:rPr>
          <w:rFonts w:eastAsia="Times New Roman"/>
        </w:rPr>
        <w:t>in an expedited manner.  NERC explains that</w:t>
      </w:r>
      <w:r w:rsidRPr="004F4940">
        <w:rPr>
          <w:rFonts w:eastAsia="Times New Roman"/>
        </w:rPr>
        <w:t xml:space="preserve">, among other things, </w:t>
      </w:r>
      <w:r w:rsidRPr="004F4940" w:rsidR="00EC578D">
        <w:rPr>
          <w:rFonts w:eastAsia="Times New Roman"/>
        </w:rPr>
        <w:t xml:space="preserve">an expedited approval would </w:t>
      </w:r>
      <w:r w:rsidRPr="004F4940" w:rsidR="00BF39F7">
        <w:rPr>
          <w:rFonts w:eastAsia="Times New Roman"/>
        </w:rPr>
        <w:t xml:space="preserve">provide regulatory certainty to entities seeking to implement the </w:t>
      </w:r>
      <w:r w:rsidRPr="004F4940" w:rsidR="007F29A3">
        <w:rPr>
          <w:rFonts w:eastAsia="Times New Roman"/>
        </w:rPr>
        <w:t>S</w:t>
      </w:r>
      <w:r w:rsidRPr="004F4940" w:rsidR="00BF39F7">
        <w:rPr>
          <w:rFonts w:eastAsia="Times New Roman"/>
        </w:rPr>
        <w:t xml:space="preserve">tandards </w:t>
      </w:r>
      <w:r w:rsidRPr="004F4940" w:rsidR="00EC578D">
        <w:rPr>
          <w:rFonts w:eastAsia="Times New Roman"/>
        </w:rPr>
        <w:t>ahead of the mandatory and enforceable dates</w:t>
      </w:r>
      <w:r w:rsidRPr="004F4940" w:rsidR="00BF39F7">
        <w:rPr>
          <w:rFonts w:eastAsia="Times New Roman"/>
        </w:rPr>
        <w:t>.</w:t>
      </w:r>
      <w:r>
        <w:rPr>
          <w:rStyle w:val="FootnoteReference"/>
          <w:rFonts w:eastAsia="Times New Roman"/>
        </w:rPr>
        <w:footnoteReference w:id="56"/>
      </w:r>
    </w:p>
    <w:p w:rsidR="00DD29CE" w:rsidRPr="004F4940" w:rsidP="002030AC" w14:paraId="607E6D90" w14:textId="77777777">
      <w:pPr>
        <w:pStyle w:val="Heading1"/>
        <w:keepLines w:val="0"/>
        <w:widowControl w:val="0"/>
        <w:suppressLineNumbers/>
        <w:rPr>
          <w:rFonts w:eastAsia="Times New Roman"/>
        </w:rPr>
      </w:pPr>
      <w:r w:rsidRPr="004F4940">
        <w:rPr>
          <w:rFonts w:eastAsia="Times New Roman"/>
        </w:rPr>
        <w:t>Notice of Filing and Responsive Pleadings</w:t>
      </w:r>
    </w:p>
    <w:p w:rsidR="009876DF" w:rsidP="00797621" w14:paraId="6E63DCCB" w14:textId="77777777">
      <w:pPr>
        <w:pStyle w:val="FERCparanumber"/>
        <w:suppressLineNumbers/>
        <w:rPr>
          <w:rFonts w:eastAsia="Times New Roman"/>
        </w:rPr>
      </w:pPr>
      <w:r w:rsidRPr="004F4940">
        <w:rPr>
          <w:rFonts w:eastAsia="Times New Roman"/>
        </w:rPr>
        <w:t xml:space="preserve">Notice of NERC’s October 28, 2022, Petition was published in the </w:t>
      </w:r>
      <w:r w:rsidRPr="004F4940">
        <w:rPr>
          <w:rFonts w:eastAsia="Times New Roman"/>
          <w:i/>
        </w:rPr>
        <w:t>Federal Register</w:t>
      </w:r>
      <w:r w:rsidRPr="004F4940">
        <w:rPr>
          <w:rFonts w:eastAsia="Times New Roman"/>
        </w:rPr>
        <w:t xml:space="preserve">, </w:t>
      </w:r>
      <w:r w:rsidRPr="004F4940" w:rsidR="00C73FA2">
        <w:rPr>
          <w:rFonts w:eastAsia="Times New Roman"/>
        </w:rPr>
        <w:t xml:space="preserve">87 Fed. Reg. </w:t>
      </w:r>
      <w:r w:rsidRPr="004F4940" w:rsidR="00DA0598">
        <w:rPr>
          <w:rFonts w:eastAsia="Times New Roman"/>
        </w:rPr>
        <w:t>67,464 (</w:t>
      </w:r>
      <w:r w:rsidRPr="004F4940" w:rsidR="0028749D">
        <w:rPr>
          <w:rFonts w:eastAsia="Times New Roman"/>
        </w:rPr>
        <w:t xml:space="preserve">Nov. 8, </w:t>
      </w:r>
      <w:r w:rsidRPr="004F4940" w:rsidR="00DA0598">
        <w:rPr>
          <w:rFonts w:eastAsia="Times New Roman"/>
        </w:rPr>
        <w:t>2022),</w:t>
      </w:r>
      <w:r w:rsidRPr="004F4940">
        <w:rPr>
          <w:rFonts w:eastAsia="Times New Roman"/>
        </w:rPr>
        <w:t xml:space="preserve"> with comments, protests, and motions </w:t>
      </w:r>
      <w:r w:rsidR="00F90F35">
        <w:rPr>
          <w:rFonts w:eastAsia="Times New Roman"/>
        </w:rPr>
        <w:br/>
      </w:r>
      <w:r w:rsidRPr="004F4940">
        <w:rPr>
          <w:rFonts w:eastAsia="Times New Roman"/>
        </w:rPr>
        <w:t>to intervene due on or before December 1, 2022.</w:t>
      </w:r>
    </w:p>
    <w:p w:rsidR="009876DF" w14:paraId="7328F3FE" w14:textId="77777777">
      <w:pPr>
        <w:widowControl/>
        <w:spacing w:after="160" w:line="259" w:lineRule="auto"/>
        <w:rPr>
          <w:rFonts w:eastAsia="Times New Roman"/>
        </w:rPr>
      </w:pPr>
      <w:r>
        <w:rPr>
          <w:rFonts w:eastAsia="Times New Roman"/>
        </w:rPr>
        <w:br w:type="page"/>
      </w:r>
    </w:p>
    <w:p w:rsidR="000A2603" w:rsidRPr="004F4940" w:rsidP="00710D39" w14:paraId="046DBDC0" w14:textId="334ABBD4">
      <w:pPr>
        <w:pStyle w:val="FERCparanumber"/>
        <w:widowControl w:val="0"/>
        <w:suppressLineNumbers/>
        <w:rPr>
          <w:rFonts w:eastAsia="Times New Roman"/>
        </w:rPr>
      </w:pPr>
      <w:r w:rsidRPr="004F4940">
        <w:rPr>
          <w:rFonts w:eastAsia="Times New Roman"/>
        </w:rPr>
        <w:t xml:space="preserve">On November 17, 2022, the Electric Power Supply Association (EPSA) filed </w:t>
      </w:r>
      <w:r w:rsidR="00F90F35">
        <w:rPr>
          <w:rFonts w:eastAsia="Times New Roman"/>
        </w:rPr>
        <w:br/>
      </w:r>
      <w:r w:rsidRPr="004F4940">
        <w:rPr>
          <w:rFonts w:eastAsia="Times New Roman"/>
        </w:rPr>
        <w:t xml:space="preserve">a motion for an extension of time to submit comments.  </w:t>
      </w:r>
      <w:r w:rsidRPr="004F4940" w:rsidR="00205ABD">
        <w:rPr>
          <w:rFonts w:eastAsia="Times New Roman"/>
        </w:rPr>
        <w:t>On November 29, 2022, t</w:t>
      </w:r>
      <w:r w:rsidRPr="004F4940" w:rsidR="00702FA7">
        <w:rPr>
          <w:rFonts w:eastAsia="Times New Roman"/>
        </w:rPr>
        <w:t xml:space="preserve">he Commission </w:t>
      </w:r>
      <w:r w:rsidRPr="004F4940" w:rsidR="00A01AAD">
        <w:rPr>
          <w:rFonts w:eastAsia="Times New Roman"/>
        </w:rPr>
        <w:t xml:space="preserve">extended the comment period </w:t>
      </w:r>
      <w:r w:rsidRPr="004F4940" w:rsidR="002B3E0B">
        <w:rPr>
          <w:rFonts w:eastAsia="Times New Roman"/>
        </w:rPr>
        <w:t>seven days to and including</w:t>
      </w:r>
      <w:r w:rsidRPr="004F4940" w:rsidR="00702FA7">
        <w:rPr>
          <w:rFonts w:eastAsia="Times New Roman"/>
        </w:rPr>
        <w:t xml:space="preserve"> December 8, 2022.</w:t>
      </w:r>
    </w:p>
    <w:p w:rsidR="00702FA7" w:rsidRPr="004F4940" w:rsidP="00710D39" w14:paraId="01152AEC" w14:textId="37EADA7F">
      <w:pPr>
        <w:pStyle w:val="FERCparanumber"/>
        <w:widowControl w:val="0"/>
        <w:suppressLineNumbers/>
        <w:rPr>
          <w:rFonts w:eastAsia="Times New Roman"/>
        </w:rPr>
      </w:pPr>
      <w:r w:rsidRPr="004F4940">
        <w:rPr>
          <w:rFonts w:eastAsia="Times New Roman"/>
        </w:rPr>
        <w:t xml:space="preserve">The Commission received six sets </w:t>
      </w:r>
      <w:r w:rsidRPr="004F4940" w:rsidR="002D47E3">
        <w:rPr>
          <w:rFonts w:eastAsia="Times New Roman"/>
        </w:rPr>
        <w:t xml:space="preserve">of comments and five reply comments.  </w:t>
      </w:r>
      <w:r w:rsidRPr="004F4940" w:rsidR="005A5448">
        <w:rPr>
          <w:rFonts w:eastAsia="Times New Roman"/>
        </w:rPr>
        <w:t>The</w:t>
      </w:r>
      <w:r w:rsidRPr="004F4940" w:rsidR="245D7F57">
        <w:rPr>
          <w:rFonts w:eastAsia="Times New Roman"/>
        </w:rPr>
        <w:t xml:space="preserve"> </w:t>
      </w:r>
      <w:r w:rsidR="00F90F35">
        <w:rPr>
          <w:rFonts w:eastAsia="Times New Roman"/>
        </w:rPr>
        <w:br/>
      </w:r>
      <w:r w:rsidRPr="004F4940" w:rsidR="245D7F57">
        <w:rPr>
          <w:rFonts w:eastAsia="Times New Roman"/>
        </w:rPr>
        <w:t>LS Power Development, LLC</w:t>
      </w:r>
      <w:r w:rsidRPr="004F4940" w:rsidR="00547EC0">
        <w:rPr>
          <w:rFonts w:eastAsia="Times New Roman"/>
        </w:rPr>
        <w:t>;</w:t>
      </w:r>
      <w:r w:rsidRPr="004F4940" w:rsidR="6213F9DC">
        <w:rPr>
          <w:rFonts w:eastAsia="Times New Roman"/>
        </w:rPr>
        <w:t xml:space="preserve"> Calpine Corporation</w:t>
      </w:r>
      <w:r w:rsidRPr="004F4940" w:rsidR="00547EC0">
        <w:rPr>
          <w:rFonts w:eastAsia="Times New Roman"/>
        </w:rPr>
        <w:t>;</w:t>
      </w:r>
      <w:r w:rsidRPr="004F4940" w:rsidR="6213F9DC">
        <w:rPr>
          <w:rFonts w:eastAsia="Times New Roman"/>
        </w:rPr>
        <w:t xml:space="preserve"> EPSA</w:t>
      </w:r>
      <w:r w:rsidRPr="004F4940" w:rsidR="00547EC0">
        <w:rPr>
          <w:rFonts w:eastAsia="Times New Roman"/>
        </w:rPr>
        <w:t>;</w:t>
      </w:r>
      <w:r w:rsidRPr="004F4940" w:rsidR="6213F9DC">
        <w:rPr>
          <w:rFonts w:eastAsia="Times New Roman"/>
        </w:rPr>
        <w:t xml:space="preserve"> </w:t>
      </w:r>
      <w:r w:rsidRPr="004F4940" w:rsidR="75C64D5C">
        <w:rPr>
          <w:rFonts w:eastAsia="Times New Roman"/>
        </w:rPr>
        <w:t xml:space="preserve">PJM </w:t>
      </w:r>
      <w:r w:rsidRPr="004F4940" w:rsidR="00C749D9">
        <w:rPr>
          <w:rFonts w:eastAsia="Times New Roman"/>
        </w:rPr>
        <w:t xml:space="preserve">Power Providers </w:t>
      </w:r>
      <w:r w:rsidRPr="004F4940" w:rsidR="005A5448">
        <w:rPr>
          <w:rFonts w:eastAsia="Times New Roman"/>
        </w:rPr>
        <w:t>Group</w:t>
      </w:r>
      <w:r w:rsidRPr="004F4940" w:rsidR="00C749D9">
        <w:rPr>
          <w:rFonts w:eastAsia="Times New Roman"/>
        </w:rPr>
        <w:t xml:space="preserve"> (PJM Group</w:t>
      </w:r>
      <w:r w:rsidRPr="004F4940" w:rsidR="40E2571F">
        <w:rPr>
          <w:rFonts w:eastAsia="Times New Roman"/>
        </w:rPr>
        <w:t>)</w:t>
      </w:r>
      <w:r w:rsidRPr="004F4940" w:rsidR="00547EC0">
        <w:rPr>
          <w:rFonts w:eastAsia="Times New Roman"/>
        </w:rPr>
        <w:t>;</w:t>
      </w:r>
      <w:r w:rsidRPr="004F4940" w:rsidR="005A5448">
        <w:rPr>
          <w:rFonts w:eastAsia="Times New Roman"/>
        </w:rPr>
        <w:t xml:space="preserve"> </w:t>
      </w:r>
      <w:r w:rsidRPr="004F4940" w:rsidR="00E045EB">
        <w:rPr>
          <w:rFonts w:eastAsia="Times New Roman"/>
        </w:rPr>
        <w:t>Transmission Access Policy Study Group (</w:t>
      </w:r>
      <w:r w:rsidRPr="004F4940" w:rsidR="2B381A17">
        <w:rPr>
          <w:rFonts w:eastAsia="Times New Roman"/>
        </w:rPr>
        <w:t>TAPS</w:t>
      </w:r>
      <w:r w:rsidRPr="004F4940" w:rsidR="30A70014">
        <w:rPr>
          <w:rFonts w:eastAsia="Times New Roman"/>
        </w:rPr>
        <w:t>)</w:t>
      </w:r>
      <w:r w:rsidRPr="004F4940" w:rsidR="00547EC0">
        <w:rPr>
          <w:rFonts w:eastAsia="Times New Roman"/>
        </w:rPr>
        <w:t>;</w:t>
      </w:r>
      <w:r w:rsidRPr="004F4940" w:rsidR="2B381A17">
        <w:rPr>
          <w:rFonts w:eastAsia="Times New Roman"/>
        </w:rPr>
        <w:t xml:space="preserve"> </w:t>
      </w:r>
      <w:r w:rsidRPr="004F4940" w:rsidR="6D0EFD44">
        <w:rPr>
          <w:rFonts w:eastAsia="Times New Roman"/>
        </w:rPr>
        <w:t>the National Rural Electric Cooperative Association (NRECA</w:t>
      </w:r>
      <w:r w:rsidRPr="004F4940" w:rsidR="00322A08">
        <w:rPr>
          <w:rFonts w:eastAsia="Times New Roman"/>
        </w:rPr>
        <w:t>)</w:t>
      </w:r>
      <w:r w:rsidRPr="004F4940" w:rsidR="00547EC0">
        <w:rPr>
          <w:rFonts w:eastAsia="Times New Roman"/>
        </w:rPr>
        <w:t>;</w:t>
      </w:r>
      <w:r w:rsidRPr="004F4940" w:rsidR="6213F9DC">
        <w:rPr>
          <w:rFonts w:eastAsia="Times New Roman"/>
        </w:rPr>
        <w:t xml:space="preserve"> </w:t>
      </w:r>
      <w:r w:rsidRPr="004F4940" w:rsidR="00C749D9">
        <w:rPr>
          <w:rFonts w:eastAsia="Times New Roman"/>
        </w:rPr>
        <w:t>American Public Power Association (</w:t>
      </w:r>
      <w:r w:rsidRPr="004F4940" w:rsidR="59A9CBD7">
        <w:rPr>
          <w:rFonts w:eastAsia="Times New Roman"/>
        </w:rPr>
        <w:t>APPA</w:t>
      </w:r>
      <w:r w:rsidRPr="004F4940" w:rsidR="40E2571F">
        <w:rPr>
          <w:rFonts w:eastAsia="Times New Roman"/>
        </w:rPr>
        <w:t>)</w:t>
      </w:r>
      <w:r w:rsidRPr="004F4940" w:rsidR="00547EC0">
        <w:rPr>
          <w:rFonts w:eastAsia="Times New Roman"/>
        </w:rPr>
        <w:t>;</w:t>
      </w:r>
      <w:r w:rsidRPr="004F4940" w:rsidR="63671505">
        <w:rPr>
          <w:rFonts w:eastAsia="Times New Roman"/>
        </w:rPr>
        <w:t xml:space="preserve"> the </w:t>
      </w:r>
      <w:r w:rsidRPr="004F4940" w:rsidR="006A2508">
        <w:rPr>
          <w:rFonts w:eastAsia="Times New Roman"/>
        </w:rPr>
        <w:t>Independent System Operators and Regional Transmission Organization Council (</w:t>
      </w:r>
      <w:r w:rsidRPr="004F4940" w:rsidR="63671505">
        <w:rPr>
          <w:rFonts w:eastAsia="Times New Roman"/>
        </w:rPr>
        <w:t>I</w:t>
      </w:r>
      <w:r w:rsidRPr="004F4940" w:rsidR="178A3BB9">
        <w:rPr>
          <w:rFonts w:eastAsia="Times New Roman"/>
        </w:rPr>
        <w:t>S</w:t>
      </w:r>
      <w:r w:rsidRPr="004F4940" w:rsidR="0C938DEA">
        <w:rPr>
          <w:rFonts w:eastAsia="Times New Roman"/>
        </w:rPr>
        <w:t>O/RT</w:t>
      </w:r>
      <w:r w:rsidRPr="004F4940" w:rsidR="178A3BB9">
        <w:rPr>
          <w:rFonts w:eastAsia="Times New Roman"/>
        </w:rPr>
        <w:t>O</w:t>
      </w:r>
      <w:r w:rsidRPr="004F4940" w:rsidR="0C938DEA">
        <w:rPr>
          <w:rFonts w:eastAsia="Times New Roman"/>
        </w:rPr>
        <w:t xml:space="preserve"> Council</w:t>
      </w:r>
      <w:r w:rsidRPr="004F4940" w:rsidR="30B5BD8E">
        <w:rPr>
          <w:rFonts w:eastAsia="Times New Roman"/>
        </w:rPr>
        <w:t>)</w:t>
      </w:r>
      <w:r w:rsidRPr="004F4940" w:rsidR="00547EC0">
        <w:rPr>
          <w:rFonts w:eastAsia="Times New Roman"/>
        </w:rPr>
        <w:t>;</w:t>
      </w:r>
      <w:r w:rsidRPr="004F4940" w:rsidR="08295955">
        <w:rPr>
          <w:rFonts w:eastAsia="Times New Roman"/>
        </w:rPr>
        <w:t xml:space="preserve"> Edison Electric Institute (EEI</w:t>
      </w:r>
      <w:r w:rsidRPr="004F4940" w:rsidR="298F3C7C">
        <w:rPr>
          <w:rFonts w:eastAsia="Times New Roman"/>
        </w:rPr>
        <w:t>)</w:t>
      </w:r>
      <w:r w:rsidRPr="004F4940" w:rsidR="00547EC0">
        <w:rPr>
          <w:rFonts w:eastAsia="Times New Roman"/>
        </w:rPr>
        <w:t>;</w:t>
      </w:r>
      <w:r w:rsidRPr="004F4940" w:rsidR="6AC377C3">
        <w:rPr>
          <w:rFonts w:eastAsia="Times New Roman"/>
        </w:rPr>
        <w:t xml:space="preserve"> </w:t>
      </w:r>
      <w:r w:rsidRPr="004F4940" w:rsidR="00E045EB">
        <w:rPr>
          <w:rFonts w:eastAsia="Times New Roman"/>
        </w:rPr>
        <w:t>New England Power Generators Association, Inc. (</w:t>
      </w:r>
      <w:r w:rsidRPr="004F4940" w:rsidR="6AC377C3">
        <w:rPr>
          <w:rFonts w:eastAsia="Times New Roman"/>
        </w:rPr>
        <w:t>NEPGA</w:t>
      </w:r>
      <w:r w:rsidRPr="004F4940" w:rsidR="30A70014">
        <w:rPr>
          <w:rFonts w:eastAsia="Times New Roman"/>
        </w:rPr>
        <w:t>)</w:t>
      </w:r>
      <w:r w:rsidRPr="004F4940" w:rsidR="00547EC0">
        <w:rPr>
          <w:rFonts w:eastAsia="Times New Roman"/>
        </w:rPr>
        <w:t>;</w:t>
      </w:r>
      <w:r w:rsidRPr="004F4940" w:rsidR="39908FAA">
        <w:rPr>
          <w:rFonts w:eastAsia="Times New Roman"/>
        </w:rPr>
        <w:t xml:space="preserve"> and</w:t>
      </w:r>
      <w:r w:rsidRPr="004F4940" w:rsidR="30133EE4">
        <w:rPr>
          <w:rFonts w:eastAsia="Times New Roman"/>
        </w:rPr>
        <w:t xml:space="preserve"> Invenergy</w:t>
      </w:r>
      <w:r w:rsidRPr="004F4940" w:rsidR="006A2508">
        <w:rPr>
          <w:rFonts w:eastAsia="Times New Roman"/>
        </w:rPr>
        <w:t xml:space="preserve"> LLC (Invenergy)</w:t>
      </w:r>
      <w:r w:rsidRPr="004F4940" w:rsidR="30133EE4">
        <w:rPr>
          <w:rFonts w:eastAsia="Times New Roman"/>
        </w:rPr>
        <w:t xml:space="preserve"> </w:t>
      </w:r>
      <w:r w:rsidRPr="004F4940" w:rsidR="245D7F57">
        <w:rPr>
          <w:rFonts w:eastAsia="Times New Roman"/>
        </w:rPr>
        <w:t>filed timely motion</w:t>
      </w:r>
      <w:r w:rsidRPr="004F4940" w:rsidR="6213F9DC">
        <w:rPr>
          <w:rFonts w:eastAsia="Times New Roman"/>
        </w:rPr>
        <w:t>s</w:t>
      </w:r>
      <w:r w:rsidRPr="004F4940" w:rsidR="245D7F57">
        <w:rPr>
          <w:rFonts w:eastAsia="Times New Roman"/>
        </w:rPr>
        <w:t xml:space="preserve"> to intervene</w:t>
      </w:r>
      <w:r w:rsidRPr="004F4940" w:rsidR="44C74AB9">
        <w:rPr>
          <w:rFonts w:eastAsia="Times New Roman"/>
        </w:rPr>
        <w:t xml:space="preserve">.  TAPS, </w:t>
      </w:r>
      <w:r w:rsidRPr="004F4940" w:rsidR="08C5AFCB">
        <w:rPr>
          <w:rFonts w:eastAsia="Times New Roman"/>
        </w:rPr>
        <w:t xml:space="preserve">the </w:t>
      </w:r>
      <w:r w:rsidRPr="004F4940" w:rsidR="1F9D28CE">
        <w:rPr>
          <w:rFonts w:eastAsia="Times New Roman"/>
        </w:rPr>
        <w:t>I</w:t>
      </w:r>
      <w:r w:rsidRPr="004F4940" w:rsidR="0088051F">
        <w:rPr>
          <w:rFonts w:eastAsia="Times New Roman"/>
        </w:rPr>
        <w:t>S</w:t>
      </w:r>
      <w:r w:rsidRPr="004F4940" w:rsidR="00104858">
        <w:rPr>
          <w:rFonts w:eastAsia="Times New Roman"/>
        </w:rPr>
        <w:t>O</w:t>
      </w:r>
      <w:r w:rsidRPr="004F4940" w:rsidR="08C5AFCB">
        <w:rPr>
          <w:rFonts w:eastAsia="Times New Roman"/>
        </w:rPr>
        <w:t>/RTO Council</w:t>
      </w:r>
      <w:r w:rsidRPr="004F4940" w:rsidR="06CE64FB">
        <w:rPr>
          <w:rFonts w:eastAsia="Times New Roman"/>
        </w:rPr>
        <w:t>,</w:t>
      </w:r>
      <w:r w:rsidRPr="004F4940" w:rsidR="7D21BF15">
        <w:rPr>
          <w:rFonts w:eastAsia="Times New Roman"/>
        </w:rPr>
        <w:t xml:space="preserve"> NEPGA,</w:t>
      </w:r>
      <w:r w:rsidRPr="004F4940" w:rsidR="2F1BE639">
        <w:rPr>
          <w:rFonts w:eastAsia="Times New Roman"/>
        </w:rPr>
        <w:t xml:space="preserve"> Invenergy,</w:t>
      </w:r>
      <w:r w:rsidRPr="004F4940" w:rsidR="086F414F">
        <w:rPr>
          <w:rFonts w:eastAsia="Times New Roman"/>
        </w:rPr>
        <w:t xml:space="preserve"> EPSA</w:t>
      </w:r>
      <w:r w:rsidRPr="004F4940" w:rsidR="007A2B94">
        <w:rPr>
          <w:rFonts w:eastAsia="Times New Roman"/>
        </w:rPr>
        <w:t>/</w:t>
      </w:r>
      <w:r w:rsidRPr="004F4940" w:rsidR="583C1DB7">
        <w:rPr>
          <w:rFonts w:eastAsia="Times New Roman"/>
        </w:rPr>
        <w:t xml:space="preserve">PJM </w:t>
      </w:r>
      <w:r w:rsidRPr="004F4940" w:rsidR="00104858">
        <w:rPr>
          <w:rFonts w:eastAsia="Times New Roman"/>
        </w:rPr>
        <w:t>Group</w:t>
      </w:r>
      <w:r w:rsidRPr="004F4940" w:rsidR="00753E9F">
        <w:rPr>
          <w:rFonts w:eastAsia="Times New Roman"/>
        </w:rPr>
        <w:t xml:space="preserve"> jointly</w:t>
      </w:r>
      <w:r w:rsidRPr="004F4940" w:rsidR="583C1DB7">
        <w:rPr>
          <w:rFonts w:eastAsia="Times New Roman"/>
        </w:rPr>
        <w:t>,</w:t>
      </w:r>
      <w:r w:rsidRPr="004F4940" w:rsidR="3315CF30">
        <w:rPr>
          <w:rFonts w:eastAsia="Times New Roman"/>
        </w:rPr>
        <w:t xml:space="preserve"> and </w:t>
      </w:r>
      <w:r w:rsidRPr="004F4940" w:rsidR="00753E9F">
        <w:rPr>
          <w:rFonts w:eastAsia="Times New Roman"/>
        </w:rPr>
        <w:t xml:space="preserve">the </w:t>
      </w:r>
      <w:r w:rsidRPr="004F4940" w:rsidR="5EE4AE81">
        <w:rPr>
          <w:rFonts w:eastAsia="Times New Roman"/>
        </w:rPr>
        <w:t>T</w:t>
      </w:r>
      <w:r w:rsidRPr="004F4940" w:rsidR="00C749D9">
        <w:rPr>
          <w:rFonts w:eastAsia="Times New Roman"/>
        </w:rPr>
        <w:t>exas Competitive Power Advocates (T</w:t>
      </w:r>
      <w:r w:rsidRPr="004F4940" w:rsidR="5EE4AE81">
        <w:rPr>
          <w:rFonts w:eastAsia="Times New Roman"/>
        </w:rPr>
        <w:t>CPA</w:t>
      </w:r>
      <w:r w:rsidRPr="004F4940" w:rsidR="00C749D9">
        <w:rPr>
          <w:rFonts w:eastAsia="Times New Roman"/>
        </w:rPr>
        <w:t>)</w:t>
      </w:r>
      <w:r w:rsidRPr="004F4940" w:rsidR="011B874B">
        <w:rPr>
          <w:rFonts w:eastAsia="Times New Roman"/>
        </w:rPr>
        <w:t xml:space="preserve"> </w:t>
      </w:r>
      <w:r w:rsidRPr="004F4940" w:rsidR="7FEB1312">
        <w:rPr>
          <w:rFonts w:eastAsia="Times New Roman"/>
        </w:rPr>
        <w:t>filed timely</w:t>
      </w:r>
      <w:r w:rsidRPr="004F4940" w:rsidR="6213F9DC">
        <w:rPr>
          <w:rFonts w:eastAsia="Times New Roman"/>
        </w:rPr>
        <w:t xml:space="preserve"> comments</w:t>
      </w:r>
      <w:r w:rsidRPr="004F4940" w:rsidR="01161F82">
        <w:rPr>
          <w:rFonts w:eastAsia="Times New Roman"/>
        </w:rPr>
        <w:t>.</w:t>
      </w:r>
      <w:r w:rsidRPr="004F4940" w:rsidR="240AA040">
        <w:rPr>
          <w:rFonts w:eastAsia="Times New Roman"/>
        </w:rPr>
        <w:t xml:space="preserve">  NERC</w:t>
      </w:r>
      <w:r w:rsidRPr="004F4940" w:rsidR="56D2ADEC">
        <w:rPr>
          <w:rFonts w:eastAsia="Times New Roman"/>
        </w:rPr>
        <w:t xml:space="preserve"> </w:t>
      </w:r>
      <w:r w:rsidRPr="004F4940" w:rsidR="00FF6AD3">
        <w:rPr>
          <w:rFonts w:eastAsia="Times New Roman"/>
        </w:rPr>
        <w:t xml:space="preserve">filed </w:t>
      </w:r>
      <w:r w:rsidRPr="004F4940" w:rsidR="11A1A680">
        <w:rPr>
          <w:rFonts w:eastAsia="Times New Roman"/>
        </w:rPr>
        <w:t>r</w:t>
      </w:r>
      <w:r w:rsidRPr="004F4940" w:rsidR="003D5257">
        <w:rPr>
          <w:rFonts w:eastAsia="Times New Roman"/>
        </w:rPr>
        <w:t xml:space="preserve">eply </w:t>
      </w:r>
      <w:r w:rsidRPr="004F4940" w:rsidR="167776D4">
        <w:rPr>
          <w:rFonts w:eastAsia="Times New Roman"/>
        </w:rPr>
        <w:t>c</w:t>
      </w:r>
      <w:r w:rsidRPr="004F4940" w:rsidR="003D5257">
        <w:rPr>
          <w:rFonts w:eastAsia="Times New Roman"/>
        </w:rPr>
        <w:t>omments</w:t>
      </w:r>
      <w:r w:rsidRPr="004F4940" w:rsidR="33969539">
        <w:rPr>
          <w:rFonts w:eastAsia="Times New Roman"/>
        </w:rPr>
        <w:t xml:space="preserve"> out of time.</w:t>
      </w:r>
      <w:r w:rsidRPr="004F4940" w:rsidR="6213F9DC">
        <w:rPr>
          <w:rFonts w:eastAsia="Times New Roman"/>
        </w:rPr>
        <w:t xml:space="preserve">  </w:t>
      </w:r>
      <w:r w:rsidRPr="004F4940" w:rsidR="00E96743">
        <w:rPr>
          <w:rFonts w:eastAsia="Times New Roman"/>
        </w:rPr>
        <w:t xml:space="preserve">Invenergy filed </w:t>
      </w:r>
      <w:r w:rsidRPr="004F4940" w:rsidR="78C9C9D2">
        <w:rPr>
          <w:rFonts w:eastAsia="Times New Roman"/>
        </w:rPr>
        <w:t>a</w:t>
      </w:r>
      <w:r w:rsidRPr="004F4940" w:rsidR="008775FE">
        <w:rPr>
          <w:rFonts w:eastAsia="Times New Roman"/>
        </w:rPr>
        <w:t xml:space="preserve"> </w:t>
      </w:r>
      <w:r w:rsidRPr="004F4940" w:rsidR="78C9C9D2">
        <w:rPr>
          <w:rFonts w:eastAsia="Times New Roman"/>
        </w:rPr>
        <w:t xml:space="preserve">motion </w:t>
      </w:r>
      <w:r w:rsidRPr="004F4940" w:rsidR="00F56653">
        <w:rPr>
          <w:rFonts w:eastAsia="Times New Roman"/>
        </w:rPr>
        <w:t xml:space="preserve">for leave </w:t>
      </w:r>
      <w:r w:rsidRPr="004F4940" w:rsidR="005B7D30">
        <w:rPr>
          <w:rFonts w:eastAsia="Times New Roman"/>
        </w:rPr>
        <w:t xml:space="preserve">to reply </w:t>
      </w:r>
      <w:r w:rsidRPr="004F4940" w:rsidR="00F56653">
        <w:rPr>
          <w:rFonts w:eastAsia="Times New Roman"/>
        </w:rPr>
        <w:t xml:space="preserve">and </w:t>
      </w:r>
      <w:r w:rsidRPr="004F4940" w:rsidR="4F454C43">
        <w:rPr>
          <w:rFonts w:eastAsia="Times New Roman"/>
        </w:rPr>
        <w:t>r</w:t>
      </w:r>
      <w:r w:rsidRPr="004F4940" w:rsidR="00F56653">
        <w:rPr>
          <w:rFonts w:eastAsia="Times New Roman"/>
        </w:rPr>
        <w:t xml:space="preserve">eply </w:t>
      </w:r>
      <w:r w:rsidRPr="004F4940" w:rsidR="5A8FA111">
        <w:rPr>
          <w:rFonts w:eastAsia="Times New Roman"/>
        </w:rPr>
        <w:t>c</w:t>
      </w:r>
      <w:r w:rsidRPr="004F4940" w:rsidR="00F56653">
        <w:rPr>
          <w:rFonts w:eastAsia="Times New Roman"/>
        </w:rPr>
        <w:t>omments out of time.</w:t>
      </w:r>
      <w:r w:rsidRPr="004F4940" w:rsidR="00D60E1F">
        <w:rPr>
          <w:rFonts w:eastAsia="Times New Roman"/>
        </w:rPr>
        <w:t xml:space="preserve">  </w:t>
      </w:r>
      <w:r w:rsidRPr="004F4940" w:rsidR="00724508">
        <w:rPr>
          <w:rFonts w:eastAsia="Times New Roman"/>
        </w:rPr>
        <w:t>NEPGA/</w:t>
      </w:r>
      <w:r w:rsidRPr="004F4940" w:rsidR="005829FF">
        <w:rPr>
          <w:rFonts w:eastAsia="Times New Roman"/>
        </w:rPr>
        <w:t>EPSA</w:t>
      </w:r>
      <w:r w:rsidRPr="004F4940" w:rsidR="00FA6084">
        <w:rPr>
          <w:rFonts w:eastAsia="Times New Roman"/>
        </w:rPr>
        <w:t>/</w:t>
      </w:r>
      <w:r w:rsidRPr="004F4940" w:rsidR="005829FF">
        <w:rPr>
          <w:rFonts w:eastAsia="Times New Roman"/>
        </w:rPr>
        <w:t>PJM Group filed a</w:t>
      </w:r>
      <w:r w:rsidRPr="004F4940" w:rsidR="006D4E91">
        <w:rPr>
          <w:rFonts w:eastAsia="Times New Roman"/>
        </w:rPr>
        <w:t xml:space="preserve"> joint</w:t>
      </w:r>
      <w:r w:rsidRPr="004F4940" w:rsidR="005829FF">
        <w:rPr>
          <w:rFonts w:eastAsia="Times New Roman"/>
        </w:rPr>
        <w:t xml:space="preserve"> out of time </w:t>
      </w:r>
      <w:r w:rsidRPr="004F4940" w:rsidR="00546AB4">
        <w:rPr>
          <w:rFonts w:eastAsia="Times New Roman"/>
        </w:rPr>
        <w:t>motion for leave</w:t>
      </w:r>
      <w:r w:rsidRPr="004F4940" w:rsidR="005829FF">
        <w:rPr>
          <w:rFonts w:eastAsia="Times New Roman"/>
        </w:rPr>
        <w:t xml:space="preserve"> </w:t>
      </w:r>
      <w:r w:rsidRPr="004F4940" w:rsidR="00587992">
        <w:rPr>
          <w:rFonts w:eastAsia="Times New Roman"/>
        </w:rPr>
        <w:t>to answer and</w:t>
      </w:r>
      <w:r w:rsidRPr="004F4940" w:rsidR="006F5733">
        <w:rPr>
          <w:rFonts w:eastAsia="Times New Roman"/>
        </w:rPr>
        <w:t xml:space="preserve"> joint</w:t>
      </w:r>
      <w:r w:rsidRPr="004F4940" w:rsidR="2595F899">
        <w:rPr>
          <w:rFonts w:eastAsia="Times New Roman"/>
        </w:rPr>
        <w:t xml:space="preserve"> answer to the ISO/RTO Council’s comments.</w:t>
      </w:r>
      <w:r w:rsidRPr="004F4940" w:rsidR="6213F9DC">
        <w:rPr>
          <w:rFonts w:eastAsia="Times New Roman"/>
        </w:rPr>
        <w:t xml:space="preserve">  </w:t>
      </w:r>
      <w:r w:rsidRPr="004F4940" w:rsidR="51C1B23A">
        <w:rPr>
          <w:rFonts w:eastAsia="Times New Roman"/>
        </w:rPr>
        <w:t>APPA</w:t>
      </w:r>
      <w:r w:rsidRPr="004F4940" w:rsidR="00F14BAE">
        <w:rPr>
          <w:rFonts w:eastAsia="Times New Roman"/>
        </w:rPr>
        <w:t>/</w:t>
      </w:r>
      <w:r w:rsidRPr="004F4940" w:rsidR="51C1B23A">
        <w:rPr>
          <w:rFonts w:eastAsia="Times New Roman"/>
        </w:rPr>
        <w:t xml:space="preserve">TAPS filed a joint out of time motion </w:t>
      </w:r>
      <w:r w:rsidRPr="004F4940" w:rsidR="00546AB4">
        <w:rPr>
          <w:rFonts w:eastAsia="Times New Roman"/>
        </w:rPr>
        <w:t>for leave</w:t>
      </w:r>
      <w:r w:rsidRPr="004F4940" w:rsidR="51C1B23A">
        <w:rPr>
          <w:rFonts w:eastAsia="Times New Roman"/>
        </w:rPr>
        <w:t xml:space="preserve"> </w:t>
      </w:r>
      <w:r w:rsidRPr="004F4940" w:rsidR="00073256">
        <w:rPr>
          <w:rFonts w:eastAsia="Times New Roman"/>
        </w:rPr>
        <w:t xml:space="preserve">to answer </w:t>
      </w:r>
      <w:r w:rsidRPr="004F4940" w:rsidR="51C1B23A">
        <w:rPr>
          <w:rFonts w:eastAsia="Times New Roman"/>
        </w:rPr>
        <w:t xml:space="preserve">along with </w:t>
      </w:r>
      <w:r w:rsidRPr="004F4940" w:rsidR="00F86A2A">
        <w:rPr>
          <w:rFonts w:eastAsia="Times New Roman"/>
        </w:rPr>
        <w:t>a</w:t>
      </w:r>
      <w:r w:rsidRPr="004F4940" w:rsidR="00122FEE">
        <w:rPr>
          <w:rFonts w:eastAsia="Times New Roman"/>
        </w:rPr>
        <w:t xml:space="preserve"> joint</w:t>
      </w:r>
      <w:r w:rsidRPr="004F4940" w:rsidR="51C1B23A">
        <w:rPr>
          <w:rFonts w:eastAsia="Times New Roman"/>
        </w:rPr>
        <w:t xml:space="preserve"> answer</w:t>
      </w:r>
      <w:r w:rsidRPr="004F4940" w:rsidR="00587992">
        <w:rPr>
          <w:rFonts w:eastAsia="Times New Roman"/>
        </w:rPr>
        <w:t xml:space="preserve"> to EPSA’s comments</w:t>
      </w:r>
      <w:r w:rsidRPr="004F4940" w:rsidR="2595F899">
        <w:rPr>
          <w:rFonts w:eastAsia="Times New Roman"/>
        </w:rPr>
        <w:t>.</w:t>
      </w:r>
      <w:r w:rsidRPr="004F4940" w:rsidR="4CB27485">
        <w:rPr>
          <w:rFonts w:eastAsia="Times New Roman"/>
        </w:rPr>
        <w:t xml:space="preserve"> </w:t>
      </w:r>
      <w:r w:rsidRPr="004F4940" w:rsidR="26551B84">
        <w:rPr>
          <w:rFonts w:eastAsia="Times New Roman"/>
        </w:rPr>
        <w:t xml:space="preserve"> The ISO/RTO Council </w:t>
      </w:r>
      <w:r w:rsidRPr="004F4940" w:rsidR="00C46F11">
        <w:rPr>
          <w:rFonts w:eastAsia="Times New Roman"/>
        </w:rPr>
        <w:t>a</w:t>
      </w:r>
      <w:r w:rsidRPr="004F4940" w:rsidR="00F56653">
        <w:rPr>
          <w:rFonts w:eastAsia="Times New Roman"/>
        </w:rPr>
        <w:t>lso</w:t>
      </w:r>
      <w:r w:rsidRPr="004F4940" w:rsidR="4CB27485">
        <w:rPr>
          <w:rFonts w:eastAsia="Times New Roman"/>
        </w:rPr>
        <w:t xml:space="preserve"> filed an out of time motion</w:t>
      </w:r>
      <w:r w:rsidRPr="004F4940" w:rsidR="26551B84">
        <w:rPr>
          <w:rFonts w:eastAsia="Times New Roman"/>
        </w:rPr>
        <w:t xml:space="preserve"> </w:t>
      </w:r>
      <w:r w:rsidRPr="004F4940" w:rsidR="00546AB4">
        <w:rPr>
          <w:rFonts w:eastAsia="Times New Roman"/>
        </w:rPr>
        <w:t>for leave</w:t>
      </w:r>
      <w:r w:rsidRPr="004F4940" w:rsidR="26551B84">
        <w:rPr>
          <w:rFonts w:eastAsia="Times New Roman"/>
        </w:rPr>
        <w:t xml:space="preserve"> </w:t>
      </w:r>
      <w:r w:rsidRPr="004F4940" w:rsidR="00C91285">
        <w:rPr>
          <w:rFonts w:eastAsia="Times New Roman"/>
        </w:rPr>
        <w:t xml:space="preserve">to answer </w:t>
      </w:r>
      <w:r w:rsidRPr="004F4940" w:rsidR="00C46F11">
        <w:rPr>
          <w:rFonts w:eastAsia="Times New Roman"/>
        </w:rPr>
        <w:t>along with an answer</w:t>
      </w:r>
      <w:r w:rsidRPr="004F4940" w:rsidR="00EC7887">
        <w:rPr>
          <w:rFonts w:eastAsia="Times New Roman"/>
        </w:rPr>
        <w:t xml:space="preserve"> to the NERC</w:t>
      </w:r>
      <w:r w:rsidRPr="004F4940" w:rsidR="0F6568C3">
        <w:rPr>
          <w:rFonts w:eastAsia="Times New Roman"/>
        </w:rPr>
        <w:t>’s</w:t>
      </w:r>
      <w:r w:rsidRPr="004F4940" w:rsidR="00EC7887">
        <w:rPr>
          <w:rFonts w:eastAsia="Times New Roman"/>
        </w:rPr>
        <w:t xml:space="preserve"> reply comments and </w:t>
      </w:r>
      <w:r w:rsidRPr="004F4940" w:rsidR="000F137A">
        <w:rPr>
          <w:rFonts w:eastAsia="Times New Roman"/>
        </w:rPr>
        <w:t>NEPGA</w:t>
      </w:r>
      <w:r w:rsidRPr="004F4940" w:rsidR="00AF6269">
        <w:rPr>
          <w:rFonts w:eastAsia="Times New Roman"/>
        </w:rPr>
        <w:t>/EPSA/PJM Group</w:t>
      </w:r>
      <w:r w:rsidRPr="004F4940" w:rsidR="0BBF423E">
        <w:rPr>
          <w:rFonts w:eastAsia="Times New Roman"/>
        </w:rPr>
        <w:t>’s</w:t>
      </w:r>
      <w:r w:rsidRPr="004F4940" w:rsidR="00AF6269">
        <w:rPr>
          <w:rFonts w:eastAsia="Times New Roman"/>
        </w:rPr>
        <w:t xml:space="preserve"> answer</w:t>
      </w:r>
      <w:r w:rsidRPr="004F4940" w:rsidR="00C46F11">
        <w:rPr>
          <w:rFonts w:eastAsia="Times New Roman"/>
        </w:rPr>
        <w:t>.</w:t>
      </w:r>
    </w:p>
    <w:p w:rsidR="009876DF" w:rsidP="009876DF" w14:paraId="0C25D73E" w14:textId="77777777">
      <w:pPr>
        <w:pStyle w:val="FERCparanumber"/>
        <w:suppressLineNumbers/>
        <w:rPr>
          <w:rFonts w:eastAsia="Times New Roman"/>
        </w:rPr>
      </w:pPr>
      <w:r w:rsidRPr="004F4940">
        <w:rPr>
          <w:rFonts w:eastAsia="Times New Roman"/>
        </w:rPr>
        <w:t>C</w:t>
      </w:r>
      <w:r w:rsidRPr="004F4940" w:rsidR="5EB7178D">
        <w:rPr>
          <w:rFonts w:eastAsia="Times New Roman"/>
        </w:rPr>
        <w:t>omment</w:t>
      </w:r>
      <w:r w:rsidRPr="004F4940">
        <w:rPr>
          <w:rFonts w:eastAsia="Times New Roman"/>
        </w:rPr>
        <w:t>er</w:t>
      </w:r>
      <w:r w:rsidRPr="004F4940" w:rsidR="5EB7178D">
        <w:rPr>
          <w:rFonts w:eastAsia="Times New Roman"/>
        </w:rPr>
        <w:t xml:space="preserve">s </w:t>
      </w:r>
      <w:r w:rsidRPr="004F4940" w:rsidR="003F5260">
        <w:rPr>
          <w:rFonts w:eastAsia="Times New Roman"/>
        </w:rPr>
        <w:t xml:space="preserve">either did not address or </w:t>
      </w:r>
      <w:r w:rsidRPr="004F4940" w:rsidR="5EB7178D">
        <w:rPr>
          <w:rFonts w:eastAsia="Times New Roman"/>
        </w:rPr>
        <w:t xml:space="preserve">were </w:t>
      </w:r>
      <w:r w:rsidRPr="004F4940">
        <w:rPr>
          <w:rFonts w:eastAsia="Times New Roman"/>
        </w:rPr>
        <w:t>generally</w:t>
      </w:r>
      <w:r w:rsidRPr="004F4940" w:rsidR="5EB7178D">
        <w:rPr>
          <w:rFonts w:eastAsia="Times New Roman"/>
        </w:rPr>
        <w:t xml:space="preserve"> supportive of NERC’s proposed modifications to </w:t>
      </w:r>
      <w:r w:rsidRPr="004F4940" w:rsidR="7C00E192">
        <w:rPr>
          <w:rFonts w:eastAsia="Times New Roman"/>
        </w:rPr>
        <w:t xml:space="preserve">Reliability Standard </w:t>
      </w:r>
      <w:r w:rsidRPr="004F4940" w:rsidR="5EB7178D">
        <w:rPr>
          <w:rFonts w:eastAsia="Times New Roman"/>
        </w:rPr>
        <w:t>EOP-011-3.</w:t>
      </w:r>
      <w:r>
        <w:rPr>
          <w:rStyle w:val="FootnoteReference"/>
          <w:rFonts w:eastAsia="Times New Roman"/>
        </w:rPr>
        <w:footnoteReference w:id="57"/>
      </w:r>
      <w:r w:rsidRPr="004F4940" w:rsidR="759EF5E0">
        <w:rPr>
          <w:rFonts w:eastAsia="Times New Roman"/>
        </w:rPr>
        <w:t xml:space="preserve">  </w:t>
      </w:r>
      <w:r w:rsidRPr="004F4940" w:rsidR="6DC6A1FD">
        <w:rPr>
          <w:rFonts w:eastAsia="Times New Roman"/>
        </w:rPr>
        <w:t>Commenters</w:t>
      </w:r>
      <w:r w:rsidRPr="004F4940" w:rsidR="30D80F7C">
        <w:rPr>
          <w:rFonts w:eastAsia="Times New Roman"/>
        </w:rPr>
        <w:t xml:space="preserve"> raise</w:t>
      </w:r>
      <w:r w:rsidRPr="004F4940" w:rsidR="009D2670">
        <w:rPr>
          <w:rFonts w:eastAsia="Times New Roman"/>
        </w:rPr>
        <w:t>d</w:t>
      </w:r>
      <w:r w:rsidRPr="004F4940" w:rsidR="30D80F7C">
        <w:rPr>
          <w:rFonts w:eastAsia="Times New Roman"/>
        </w:rPr>
        <w:t xml:space="preserve"> concerns and requests for clarifications for NERC’s proposed </w:t>
      </w:r>
      <w:r w:rsidRPr="004F4940" w:rsidR="5BD0B140">
        <w:rPr>
          <w:rFonts w:eastAsia="Times New Roman"/>
        </w:rPr>
        <w:t>Reliability</w:t>
      </w:r>
      <w:r w:rsidRPr="004F4940" w:rsidR="30D80F7C">
        <w:rPr>
          <w:rFonts w:eastAsia="Times New Roman"/>
        </w:rPr>
        <w:t xml:space="preserve"> Standard EOP-012-1.</w:t>
      </w:r>
      <w:r w:rsidRPr="004F4940" w:rsidR="6C853D32">
        <w:rPr>
          <w:rFonts w:eastAsia="Times New Roman"/>
        </w:rPr>
        <w:t xml:space="preserve">  The c</w:t>
      </w:r>
      <w:r w:rsidRPr="004F4940" w:rsidR="30D80F7C">
        <w:rPr>
          <w:rFonts w:eastAsia="Times New Roman"/>
        </w:rPr>
        <w:t xml:space="preserve">ommenters range in their support for </w:t>
      </w:r>
      <w:r w:rsidRPr="004F4940" w:rsidR="6C853D32">
        <w:rPr>
          <w:rFonts w:eastAsia="Times New Roman"/>
        </w:rPr>
        <w:t>Reliability Standard EOP-012-1 from requesting that the Commission approve the Standard as filed with minor</w:t>
      </w:r>
      <w:r>
        <w:rPr>
          <w:rFonts w:eastAsia="Times New Roman"/>
        </w:rPr>
        <w:t xml:space="preserve"> </w:t>
      </w:r>
      <w:r w:rsidRPr="004F4940" w:rsidR="6C853D32">
        <w:rPr>
          <w:rFonts w:eastAsia="Times New Roman"/>
        </w:rPr>
        <w:t>clarifications</w:t>
      </w:r>
      <w:r>
        <w:rPr>
          <w:rStyle w:val="FootnoteReference"/>
          <w:rFonts w:eastAsia="Times New Roman"/>
        </w:rPr>
        <w:footnoteReference w:id="58"/>
      </w:r>
      <w:r>
        <w:rPr>
          <w:rFonts w:eastAsia="Times New Roman"/>
        </w:rPr>
        <w:t xml:space="preserve"> </w:t>
      </w:r>
      <w:r w:rsidRPr="009876DF" w:rsidR="6C853D32">
        <w:rPr>
          <w:rFonts w:eastAsia="Times New Roman"/>
        </w:rPr>
        <w:t>to remanding the Standard to NERC with directives.</w:t>
      </w:r>
      <w:r>
        <w:rPr>
          <w:rStyle w:val="FootnoteReference"/>
          <w:rFonts w:eastAsia="Times New Roman"/>
        </w:rPr>
        <w:footnoteReference w:id="59"/>
      </w:r>
      <w:r w:rsidRPr="009876DF" w:rsidR="001D128E">
        <w:rPr>
          <w:rFonts w:eastAsia="Times New Roman"/>
        </w:rPr>
        <w:t xml:space="preserve">  The comments on specific matters are </w:t>
      </w:r>
      <w:r w:rsidRPr="009876DF" w:rsidR="00DE04AD">
        <w:rPr>
          <w:rFonts w:eastAsia="Times New Roman"/>
        </w:rPr>
        <w:t xml:space="preserve">summarized and addressed in the </w:t>
      </w:r>
      <w:r w:rsidRPr="009876DF" w:rsidR="00B335CB">
        <w:rPr>
          <w:rFonts w:eastAsia="Times New Roman"/>
        </w:rPr>
        <w:t>determination</w:t>
      </w:r>
      <w:r w:rsidRPr="009876DF" w:rsidR="00E30663">
        <w:rPr>
          <w:rFonts w:eastAsia="Times New Roman"/>
        </w:rPr>
        <w:t>s</w:t>
      </w:r>
      <w:r w:rsidRPr="009876DF" w:rsidR="005C11D5">
        <w:rPr>
          <w:rFonts w:eastAsia="Times New Roman"/>
        </w:rPr>
        <w:t xml:space="preserve"> below.</w:t>
      </w:r>
    </w:p>
    <w:p w:rsidR="009876DF" w14:paraId="188DC268" w14:textId="77777777">
      <w:pPr>
        <w:widowControl/>
        <w:spacing w:after="160" w:line="259" w:lineRule="auto"/>
        <w:rPr>
          <w:rFonts w:eastAsia="Times New Roman"/>
        </w:rPr>
      </w:pPr>
      <w:r>
        <w:rPr>
          <w:rFonts w:eastAsia="Times New Roman"/>
        </w:rPr>
        <w:br w:type="page"/>
      </w:r>
    </w:p>
    <w:p w:rsidR="00DD29CE" w:rsidRPr="004F4940" w:rsidP="00710D39" w14:paraId="6CDF39BB" w14:textId="77777777">
      <w:pPr>
        <w:pStyle w:val="Heading1"/>
        <w:keepNext w:val="0"/>
        <w:keepLines w:val="0"/>
        <w:widowControl w:val="0"/>
        <w:suppressLineNumbers/>
        <w:rPr>
          <w:rFonts w:eastAsia="Times New Roman"/>
        </w:rPr>
      </w:pPr>
      <w:r w:rsidRPr="004F4940">
        <w:rPr>
          <w:rFonts w:eastAsia="Times New Roman"/>
        </w:rPr>
        <w:t>Determination</w:t>
      </w:r>
    </w:p>
    <w:p w:rsidR="00DD29CE" w:rsidRPr="004F4940" w:rsidP="00710D39" w14:paraId="4AB699C1" w14:textId="77777777">
      <w:pPr>
        <w:pStyle w:val="Heading2"/>
        <w:keepNext w:val="0"/>
        <w:keepLines w:val="0"/>
        <w:widowControl w:val="0"/>
        <w:suppressLineNumbers/>
        <w:rPr>
          <w:rFonts w:eastAsia="Times New Roman"/>
        </w:rPr>
      </w:pPr>
      <w:r w:rsidRPr="004F4940">
        <w:rPr>
          <w:rFonts w:eastAsia="Times New Roman"/>
        </w:rPr>
        <w:t>Procedural Mat</w:t>
      </w:r>
      <w:r w:rsidRPr="004F4940" w:rsidR="003701E9">
        <w:rPr>
          <w:rFonts w:eastAsia="Times New Roman"/>
        </w:rPr>
        <w:t>t</w:t>
      </w:r>
      <w:r w:rsidRPr="004F4940">
        <w:rPr>
          <w:rFonts w:eastAsia="Times New Roman"/>
        </w:rPr>
        <w:t>ers</w:t>
      </w:r>
    </w:p>
    <w:p w:rsidR="00144E23" w:rsidRPr="004F4940" w:rsidP="001D3E69" w14:paraId="5A35690A" w14:textId="5B9187C1">
      <w:pPr>
        <w:pStyle w:val="FERCparanumber"/>
        <w:rPr>
          <w:rFonts w:eastAsia="Times New Roman"/>
        </w:rPr>
      </w:pPr>
      <w:r w:rsidRPr="004F4940">
        <w:rPr>
          <w:rFonts w:eastAsia="Times New Roman"/>
        </w:rPr>
        <w:t xml:space="preserve">Pursuant to Rule 214 of the Commission’s Rules of Practice and Procedure, </w:t>
      </w:r>
      <w:r w:rsidR="00FE3794">
        <w:rPr>
          <w:rFonts w:eastAsia="Times New Roman"/>
        </w:rPr>
        <w:br/>
      </w:r>
      <w:r w:rsidRPr="004F4940">
        <w:rPr>
          <w:rFonts w:eastAsia="Times New Roman"/>
        </w:rPr>
        <w:t xml:space="preserve">18 C.F.R. </w:t>
      </w:r>
      <w:r w:rsidRPr="004F4940" w:rsidR="000A2959">
        <w:rPr>
          <w:rFonts w:eastAsia="Times New Roman"/>
        </w:rPr>
        <w:t>§ 3</w:t>
      </w:r>
      <w:r w:rsidRPr="004F4940">
        <w:rPr>
          <w:rFonts w:eastAsia="Times New Roman"/>
        </w:rPr>
        <w:t>85.214</w:t>
      </w:r>
      <w:r w:rsidR="00FE3794">
        <w:rPr>
          <w:rFonts w:eastAsia="Times New Roman"/>
        </w:rPr>
        <w:t xml:space="preserve"> (2021)</w:t>
      </w:r>
      <w:r w:rsidRPr="004F4940">
        <w:rPr>
          <w:rFonts w:eastAsia="Times New Roman"/>
        </w:rPr>
        <w:t>, the timely, unopposed motions to intervene serve to make the entities that filed them parties to this proceeding.</w:t>
      </w:r>
    </w:p>
    <w:p w:rsidR="00053122" w:rsidRPr="004F4940" w:rsidP="00710D39" w14:paraId="4E0B7C00" w14:textId="26BE5493">
      <w:pPr>
        <w:pStyle w:val="FERCparanumber"/>
        <w:widowControl w:val="0"/>
        <w:suppressLineNumbers/>
        <w:rPr>
          <w:rFonts w:eastAsia="Times New Roman"/>
        </w:rPr>
      </w:pPr>
      <w:r w:rsidRPr="004F4940">
        <w:rPr>
          <w:rFonts w:eastAsia="Times New Roman"/>
        </w:rPr>
        <w:t xml:space="preserve">Rule 213(a)(2) of the Commission’s Rules of Practice and Procedure, 18 C.F.R. </w:t>
      </w:r>
      <w:r w:rsidRPr="004F4940" w:rsidR="000A2959">
        <w:rPr>
          <w:rFonts w:eastAsia="Times New Roman"/>
        </w:rPr>
        <w:t>§ 3</w:t>
      </w:r>
      <w:r w:rsidRPr="004F4940">
        <w:rPr>
          <w:rFonts w:eastAsia="Times New Roman"/>
        </w:rPr>
        <w:t>85.213(a)(2)</w:t>
      </w:r>
      <w:r w:rsidR="00FE3794">
        <w:rPr>
          <w:rFonts w:eastAsia="Times New Roman"/>
        </w:rPr>
        <w:t xml:space="preserve"> (2021)</w:t>
      </w:r>
      <w:r w:rsidRPr="004F4940">
        <w:rPr>
          <w:rFonts w:eastAsia="Times New Roman"/>
        </w:rPr>
        <w:t xml:space="preserve">, prohibits an answer to a protest or answer unless otherwise ordered by the decisional authority.  </w:t>
      </w:r>
      <w:r w:rsidRPr="004F4940" w:rsidR="21028347">
        <w:rPr>
          <w:rFonts w:eastAsia="Times New Roman"/>
        </w:rPr>
        <w:t xml:space="preserve">Pursuant to Rule 214(d) of the Commission’s Rules of Practice and Procedure, 18 C.F.R. </w:t>
      </w:r>
      <w:r w:rsidRPr="004F4940" w:rsidR="000A2959">
        <w:rPr>
          <w:rFonts w:eastAsia="Times New Roman"/>
        </w:rPr>
        <w:t>§ 3</w:t>
      </w:r>
      <w:r w:rsidRPr="004F4940" w:rsidR="21028347">
        <w:rPr>
          <w:rFonts w:eastAsia="Times New Roman"/>
        </w:rPr>
        <w:t>85.214(d), we grant</w:t>
      </w:r>
      <w:r w:rsidRPr="004F4940" w:rsidR="2C63005B">
        <w:rPr>
          <w:rFonts w:eastAsia="Times New Roman"/>
        </w:rPr>
        <w:t xml:space="preserve"> NERC</w:t>
      </w:r>
      <w:r w:rsidRPr="004F4940" w:rsidR="56D2ADEC">
        <w:rPr>
          <w:rFonts w:eastAsia="Times New Roman"/>
        </w:rPr>
        <w:t xml:space="preserve"> and Invenergy</w:t>
      </w:r>
      <w:r w:rsidRPr="004F4940" w:rsidR="2C63005B">
        <w:rPr>
          <w:rFonts w:eastAsia="Times New Roman"/>
        </w:rPr>
        <w:t>’s</w:t>
      </w:r>
      <w:r w:rsidRPr="004F4940" w:rsidR="448399FE">
        <w:rPr>
          <w:rFonts w:eastAsia="Times New Roman"/>
        </w:rPr>
        <w:t xml:space="preserve"> leave to file </w:t>
      </w:r>
      <w:r w:rsidRPr="004F4940" w:rsidR="004A0E0F">
        <w:rPr>
          <w:rFonts w:eastAsia="Times New Roman"/>
        </w:rPr>
        <w:t>their</w:t>
      </w:r>
      <w:r w:rsidRPr="004F4940" w:rsidR="2C63005B">
        <w:rPr>
          <w:rFonts w:eastAsia="Times New Roman"/>
        </w:rPr>
        <w:t xml:space="preserve"> </w:t>
      </w:r>
      <w:r w:rsidRPr="004F4940" w:rsidR="21028347">
        <w:rPr>
          <w:rFonts w:eastAsia="Times New Roman"/>
        </w:rPr>
        <w:t>late-filed</w:t>
      </w:r>
      <w:bookmarkStart w:id="9" w:name="_Hlk80623378"/>
      <w:r w:rsidRPr="004F4940" w:rsidR="2C63005B">
        <w:rPr>
          <w:rFonts w:eastAsia="Times New Roman"/>
        </w:rPr>
        <w:t xml:space="preserve"> reply </w:t>
      </w:r>
      <w:r w:rsidRPr="004F4940" w:rsidR="21028347">
        <w:rPr>
          <w:rFonts w:eastAsia="Times New Roman"/>
        </w:rPr>
        <w:t>comment</w:t>
      </w:r>
      <w:r w:rsidRPr="004F4940" w:rsidR="2C63005B">
        <w:rPr>
          <w:rFonts w:eastAsia="Times New Roman"/>
        </w:rPr>
        <w:t>s</w:t>
      </w:r>
      <w:r w:rsidRPr="004F4940" w:rsidR="21028347">
        <w:rPr>
          <w:rFonts w:eastAsia="Times New Roman"/>
        </w:rPr>
        <w:t xml:space="preserve"> given their interest in the proceeding</w:t>
      </w:r>
      <w:r w:rsidRPr="004F4940" w:rsidR="016AAC09">
        <w:rPr>
          <w:rFonts w:eastAsia="Times New Roman"/>
        </w:rPr>
        <w:t xml:space="preserve"> </w:t>
      </w:r>
      <w:r w:rsidRPr="004F4940" w:rsidR="21028347">
        <w:rPr>
          <w:rFonts w:eastAsia="Times New Roman"/>
        </w:rPr>
        <w:t>and the absence of undue prejudice or delay</w:t>
      </w:r>
      <w:bookmarkEnd w:id="9"/>
      <w:r w:rsidRPr="004F4940" w:rsidR="21028347">
        <w:rPr>
          <w:rFonts w:eastAsia="Times New Roman"/>
        </w:rPr>
        <w:t xml:space="preserve">.  </w:t>
      </w:r>
      <w:r w:rsidRPr="004F4940">
        <w:rPr>
          <w:rFonts w:eastAsia="Times New Roman"/>
        </w:rPr>
        <w:t>We also</w:t>
      </w:r>
      <w:r w:rsidRPr="004F4940" w:rsidR="51C1B23A">
        <w:rPr>
          <w:rFonts w:eastAsia="Times New Roman"/>
        </w:rPr>
        <w:t xml:space="preserve"> grant APPA/TAPS</w:t>
      </w:r>
      <w:r w:rsidRPr="004F4940" w:rsidR="00C0353A">
        <w:rPr>
          <w:rFonts w:eastAsia="Times New Roman"/>
        </w:rPr>
        <w:t>,</w:t>
      </w:r>
      <w:r w:rsidRPr="004F4940" w:rsidR="00F86A2A">
        <w:rPr>
          <w:rFonts w:eastAsia="Times New Roman"/>
        </w:rPr>
        <w:t xml:space="preserve"> </w:t>
      </w:r>
      <w:r w:rsidRPr="004F4940" w:rsidR="4D3658D1">
        <w:rPr>
          <w:rFonts w:eastAsia="Times New Roman"/>
        </w:rPr>
        <w:t>NEPGA/</w:t>
      </w:r>
      <w:r w:rsidRPr="004F4940" w:rsidR="7F06D0C3">
        <w:rPr>
          <w:rFonts w:eastAsia="Times New Roman"/>
        </w:rPr>
        <w:t xml:space="preserve">EPSA/PJM </w:t>
      </w:r>
      <w:r w:rsidRPr="004F4940" w:rsidR="00F86A2A">
        <w:rPr>
          <w:rFonts w:eastAsia="Times New Roman"/>
        </w:rPr>
        <w:t>Group</w:t>
      </w:r>
      <w:r w:rsidRPr="004F4940" w:rsidR="00971DBB">
        <w:rPr>
          <w:rFonts w:eastAsia="Times New Roman"/>
        </w:rPr>
        <w:t>, and the ISO/RTO Council</w:t>
      </w:r>
      <w:r w:rsidRPr="004F4940" w:rsidR="00F86A2A">
        <w:rPr>
          <w:rFonts w:eastAsia="Times New Roman"/>
        </w:rPr>
        <w:t>’s</w:t>
      </w:r>
      <w:r w:rsidRPr="004F4940" w:rsidR="51C1B23A">
        <w:rPr>
          <w:rFonts w:eastAsia="Times New Roman"/>
        </w:rPr>
        <w:t xml:space="preserve"> motion</w:t>
      </w:r>
      <w:r w:rsidRPr="004F4940">
        <w:rPr>
          <w:rFonts w:eastAsia="Times New Roman"/>
        </w:rPr>
        <w:t>s</w:t>
      </w:r>
      <w:r w:rsidRPr="004F4940" w:rsidR="51C1B23A">
        <w:rPr>
          <w:rFonts w:eastAsia="Times New Roman"/>
        </w:rPr>
        <w:t xml:space="preserve"> for leave to file out of time answers and we accept </w:t>
      </w:r>
      <w:r w:rsidRPr="004F4940" w:rsidR="5F7759AA">
        <w:rPr>
          <w:rFonts w:eastAsia="Times New Roman"/>
        </w:rPr>
        <w:t>their</w:t>
      </w:r>
      <w:r w:rsidRPr="004F4940" w:rsidR="6743A710">
        <w:rPr>
          <w:rFonts w:eastAsia="Times New Roman"/>
        </w:rPr>
        <w:t xml:space="preserve"> answers</w:t>
      </w:r>
      <w:r w:rsidRPr="004F4940" w:rsidR="7F06D0C3">
        <w:rPr>
          <w:rFonts w:eastAsia="Times New Roman"/>
        </w:rPr>
        <w:t xml:space="preserve"> because they have provided information that assisted us in our decision-making process.</w:t>
      </w:r>
    </w:p>
    <w:p w:rsidR="00DD29CE" w:rsidRPr="004F4940" w:rsidP="00561492" w14:paraId="29A0DDE6" w14:textId="01A1BEE0">
      <w:pPr>
        <w:pStyle w:val="Heading2"/>
        <w:keepLines w:val="0"/>
        <w:widowControl w:val="0"/>
        <w:suppressLineNumbers/>
        <w:rPr>
          <w:rFonts w:eastAsia="Times New Roman"/>
        </w:rPr>
      </w:pPr>
      <w:r w:rsidRPr="004F4940">
        <w:rPr>
          <w:rFonts w:eastAsia="Times New Roman"/>
        </w:rPr>
        <w:t>Substantive Matters</w:t>
      </w:r>
    </w:p>
    <w:p w:rsidR="00F179AD" w:rsidRPr="004F4940" w:rsidP="462A9FC4" w14:paraId="1B6D887D" w14:textId="404E28E7">
      <w:pPr>
        <w:pStyle w:val="FERCparanumber"/>
        <w:widowControl w:val="0"/>
        <w:suppressLineNumbers/>
        <w:rPr>
          <w:rFonts w:eastAsia="Times New Roman"/>
        </w:rPr>
      </w:pPr>
      <w:r w:rsidRPr="004F4940">
        <w:rPr>
          <w:rFonts w:eastAsia="Times New Roman"/>
        </w:rPr>
        <w:t xml:space="preserve">Pursuant to section 215(d)(2) of the FPA, </w:t>
      </w:r>
      <w:r w:rsidRPr="004F4940" w:rsidR="007B1B8D">
        <w:rPr>
          <w:rFonts w:eastAsia="Times New Roman"/>
        </w:rPr>
        <w:t>we</w:t>
      </w:r>
      <w:r w:rsidRPr="004F4940" w:rsidR="00703B96">
        <w:rPr>
          <w:rFonts w:eastAsia="Times New Roman"/>
        </w:rPr>
        <w:t xml:space="preserve"> approve</w:t>
      </w:r>
      <w:r w:rsidRPr="004F4940">
        <w:rPr>
          <w:rFonts w:eastAsia="Times New Roman"/>
        </w:rPr>
        <w:t xml:space="preserve"> Reliability Standards EOP-011-3 and EOP-012-1 as just, reasonable, not unduly discriminatory or preferential and in the public interest.</w:t>
      </w:r>
      <w:r w:rsidRPr="004F4940" w:rsidR="00457E41">
        <w:rPr>
          <w:rFonts w:eastAsia="Times New Roman"/>
        </w:rPr>
        <w:t xml:space="preserve">  </w:t>
      </w:r>
      <w:r w:rsidRPr="004F4940" w:rsidR="001634F1">
        <w:rPr>
          <w:rFonts w:eastAsia="Times New Roman"/>
        </w:rPr>
        <w:t>As discussed in this order</w:t>
      </w:r>
      <w:r w:rsidRPr="004F4940" w:rsidR="002A3FDF">
        <w:rPr>
          <w:rFonts w:eastAsia="Times New Roman"/>
        </w:rPr>
        <w:t xml:space="preserve">, </w:t>
      </w:r>
      <w:r w:rsidRPr="004F4940" w:rsidR="00682FBC">
        <w:rPr>
          <w:rFonts w:eastAsia="Times New Roman"/>
        </w:rPr>
        <w:t>we approve</w:t>
      </w:r>
      <w:r w:rsidRPr="004F4940" w:rsidR="00682FBC">
        <w:rPr>
          <w:rFonts w:eastAsia="Times New Roman"/>
        </w:rPr>
        <w:t xml:space="preserve"> </w:t>
      </w:r>
      <w:r w:rsidRPr="004F4940" w:rsidR="00682FBC">
        <w:rPr>
          <w:rFonts w:eastAsia="Times New Roman"/>
        </w:rPr>
        <w:t>proposed Reliability Standards EOP-011-3 and EOP-012-1, their associated violation risk factors and violation severity levels, the newly defined terms Generator Cold Weather Critical Component, Extreme Cold Weather Temperature, and Generator Cold Weather Reliability Event</w:t>
      </w:r>
      <w:r w:rsidRPr="004F4940" w:rsidR="00153495">
        <w:rPr>
          <w:rFonts w:eastAsia="Times New Roman"/>
        </w:rPr>
        <w:t xml:space="preserve">.  We defer our decision on whether to approve or modify NERC’s proposed implementation date for Reliability Standard EOP-011-3 (and proposed retirement of Reliability Standard EOP-011-2) until NERC submits its revised applicability section for EOP-012, as discussed in more detail below.  </w:t>
      </w:r>
      <w:r w:rsidRPr="004F4940" w:rsidR="00457E41">
        <w:rPr>
          <w:rFonts w:eastAsia="Times New Roman"/>
        </w:rPr>
        <w:t xml:space="preserve">Absent the reforms adopted in Reliability Standards EOP-011-3 and EOP-012-1, the existing defects and inefficiencies exhibited during extreme cold weather conditions could be exacerbated and negatively </w:t>
      </w:r>
      <w:r w:rsidRPr="004F4940" w:rsidR="00EE42DA">
        <w:rPr>
          <w:rFonts w:eastAsia="Times New Roman"/>
        </w:rPr>
        <w:t>affect</w:t>
      </w:r>
      <w:r w:rsidRPr="004F4940" w:rsidR="00457E41">
        <w:rPr>
          <w:rFonts w:eastAsia="Times New Roman"/>
        </w:rPr>
        <w:t xml:space="preserve"> </w:t>
      </w:r>
      <w:r w:rsidRPr="004F4940" w:rsidR="006A2FDA">
        <w:rPr>
          <w:rFonts w:eastAsia="Times New Roman"/>
        </w:rPr>
        <w:t>reliability.</w:t>
      </w:r>
    </w:p>
    <w:p w:rsidR="00F179AD" w:rsidRPr="004F4940" w:rsidP="462A9FC4" w14:paraId="5419E545" w14:textId="10BDDE3A">
      <w:pPr>
        <w:pStyle w:val="FERCparanumber"/>
        <w:widowControl w:val="0"/>
        <w:suppressLineNumbers/>
        <w:rPr>
          <w:rFonts w:eastAsia="Times New Roman"/>
        </w:rPr>
      </w:pPr>
      <w:r w:rsidRPr="004F4940">
        <w:rPr>
          <w:rFonts w:eastAsia="Times New Roman"/>
        </w:rPr>
        <w:t>W</w:t>
      </w:r>
      <w:r w:rsidRPr="004F4940">
        <w:rPr>
          <w:rFonts w:eastAsia="Times New Roman"/>
        </w:rPr>
        <w:t xml:space="preserve">e find that Reliability Standard EOP-011-3 is an improvement over the 2021-approved cold weather Reliability Standards and enhances </w:t>
      </w:r>
      <w:r w:rsidRPr="004F4940" w:rsidR="008C025F">
        <w:rPr>
          <w:rFonts w:eastAsia="Times New Roman"/>
        </w:rPr>
        <w:t>reliability</w:t>
      </w:r>
      <w:r w:rsidRPr="004F4940">
        <w:rPr>
          <w:rFonts w:eastAsia="Times New Roman"/>
        </w:rPr>
        <w:t xml:space="preserve"> by improving how transmission operators account for the overlap of manual load shed and automatic load shed in their emergency operating plans while also addressing the need to minimize the use of manual load shed that could further exacerbate emergencies and threaten system reliability.  Commenters did not express concern with Reliability Standard EOP-011-3.  </w:t>
      </w:r>
      <w:r w:rsidRPr="004F4940" w:rsidR="009F275C">
        <w:rPr>
          <w:rFonts w:eastAsia="Times New Roman"/>
        </w:rPr>
        <w:t>Accordingly</w:t>
      </w:r>
      <w:r w:rsidRPr="004F4940">
        <w:rPr>
          <w:rFonts w:eastAsia="Times New Roman"/>
        </w:rPr>
        <w:t>, we approve Reliability Standard EOP-011-3</w:t>
      </w:r>
      <w:r w:rsidRPr="004F4940" w:rsidR="00D95F41">
        <w:rPr>
          <w:rFonts w:eastAsia="Times New Roman"/>
        </w:rPr>
        <w:t>.</w:t>
      </w:r>
    </w:p>
    <w:p w:rsidR="00565EE9" w:rsidRPr="004F4940" w:rsidP="462A9FC4" w14:paraId="007D7B4F" w14:textId="4B563D7B">
      <w:pPr>
        <w:pStyle w:val="FERCparanumber"/>
        <w:widowControl w:val="0"/>
        <w:suppressLineNumbers/>
        <w:rPr>
          <w:rFonts w:eastAsia="Times New Roman"/>
        </w:rPr>
      </w:pPr>
      <w:r w:rsidRPr="004F4940">
        <w:rPr>
          <w:rFonts w:eastAsia="Times New Roman"/>
        </w:rPr>
        <w:t>W</w:t>
      </w:r>
      <w:r w:rsidRPr="004F4940" w:rsidR="009F275C">
        <w:rPr>
          <w:rFonts w:eastAsia="Times New Roman"/>
        </w:rPr>
        <w:t xml:space="preserve">e find that Reliability Standard EOP-012-1 represents an improvement </w:t>
      </w:r>
      <w:r w:rsidRPr="004F4940" w:rsidR="005E0E1D">
        <w:rPr>
          <w:rFonts w:eastAsia="Times New Roman"/>
        </w:rPr>
        <w:t>to the</w:t>
      </w:r>
      <w:r w:rsidRPr="004F4940" w:rsidR="009F275C">
        <w:rPr>
          <w:rFonts w:eastAsia="Times New Roman"/>
        </w:rPr>
        <w:t xml:space="preserve"> Reliability Standards and enhances the reliable operation of the Bulk-Power System by requiring generator owners to implement freeze protection measures, develop enhanced cold weather preparedness plans</w:t>
      </w:r>
      <w:r w:rsidRPr="004F4940" w:rsidR="00416819">
        <w:rPr>
          <w:rFonts w:eastAsia="Times New Roman"/>
        </w:rPr>
        <w:t>,</w:t>
      </w:r>
      <w:r w:rsidRPr="004F4940" w:rsidR="00EC3F8D">
        <w:rPr>
          <w:rFonts w:eastAsia="Times New Roman"/>
        </w:rPr>
        <w:t xml:space="preserve"> </w:t>
      </w:r>
      <w:r w:rsidRPr="004F4940" w:rsidR="009F275C">
        <w:rPr>
          <w:rFonts w:eastAsia="Times New Roman"/>
        </w:rPr>
        <w:t xml:space="preserve">implement annual trainings, draft and implement </w:t>
      </w:r>
      <w:r w:rsidRPr="004F4940" w:rsidR="009F275C">
        <w:rPr>
          <w:rFonts w:eastAsia="Times New Roman"/>
        </w:rPr>
        <w:t xml:space="preserve">corrective action plans to address freezing issues, and provide certain cold weather operating parameters to reliability </w:t>
      </w:r>
      <w:r w:rsidRPr="004F4940" w:rsidR="29E05ADD">
        <w:rPr>
          <w:rFonts w:eastAsia="Times New Roman"/>
        </w:rPr>
        <w:t>coordinator</w:t>
      </w:r>
      <w:r w:rsidRPr="004F4940" w:rsidR="006908EB">
        <w:rPr>
          <w:rFonts w:eastAsia="Times New Roman"/>
        </w:rPr>
        <w:t>s</w:t>
      </w:r>
      <w:r w:rsidRPr="004F4940" w:rsidR="009F275C">
        <w:rPr>
          <w:rFonts w:eastAsia="Times New Roman"/>
        </w:rPr>
        <w:t xml:space="preserve">, transmission </w:t>
      </w:r>
      <w:r w:rsidRPr="004F4940" w:rsidR="29E05ADD">
        <w:rPr>
          <w:rFonts w:eastAsia="Times New Roman"/>
        </w:rPr>
        <w:t>operator</w:t>
      </w:r>
      <w:r w:rsidRPr="004F4940" w:rsidR="006908EB">
        <w:rPr>
          <w:rFonts w:eastAsia="Times New Roman"/>
        </w:rPr>
        <w:t>s</w:t>
      </w:r>
      <w:r w:rsidRPr="004F4940" w:rsidR="009F275C">
        <w:rPr>
          <w:rFonts w:eastAsia="Times New Roman"/>
        </w:rPr>
        <w:t xml:space="preserve">, and balancing </w:t>
      </w:r>
      <w:r w:rsidRPr="004F4940" w:rsidR="29E05ADD">
        <w:rPr>
          <w:rFonts w:eastAsia="Times New Roman"/>
        </w:rPr>
        <w:t>authorit</w:t>
      </w:r>
      <w:r w:rsidRPr="004F4940" w:rsidR="006908EB">
        <w:rPr>
          <w:rFonts w:eastAsia="Times New Roman"/>
        </w:rPr>
        <w:t>ies</w:t>
      </w:r>
      <w:r w:rsidRPr="004F4940" w:rsidR="009F275C">
        <w:rPr>
          <w:rFonts w:eastAsia="Times New Roman"/>
        </w:rPr>
        <w:t xml:space="preserve"> for use in their analyses and planning</w:t>
      </w:r>
      <w:r w:rsidRPr="004F4940" w:rsidR="00D95F41">
        <w:rPr>
          <w:rFonts w:eastAsia="Times New Roman"/>
        </w:rPr>
        <w:t>.</w:t>
      </w:r>
      <w:r w:rsidRPr="004F4940" w:rsidR="001637E8">
        <w:rPr>
          <w:rFonts w:eastAsia="Times New Roman"/>
        </w:rPr>
        <w:t xml:space="preserve"> </w:t>
      </w:r>
      <w:r w:rsidRPr="004F4940" w:rsidR="008F2565">
        <w:rPr>
          <w:rFonts w:eastAsia="Times New Roman"/>
        </w:rPr>
        <w:t xml:space="preserve"> </w:t>
      </w:r>
      <w:r w:rsidRPr="004F4940" w:rsidR="00711594">
        <w:rPr>
          <w:rFonts w:eastAsia="Times New Roman"/>
        </w:rPr>
        <w:t xml:space="preserve">We </w:t>
      </w:r>
      <w:r w:rsidRPr="004F4940" w:rsidR="00FD1F5D">
        <w:rPr>
          <w:rFonts w:eastAsia="Times New Roman"/>
        </w:rPr>
        <w:t xml:space="preserve">believe that these measures </w:t>
      </w:r>
      <w:r w:rsidRPr="004F4940" w:rsidR="00163892">
        <w:rPr>
          <w:rFonts w:eastAsia="Times New Roman"/>
        </w:rPr>
        <w:t>begin to</w:t>
      </w:r>
      <w:r w:rsidRPr="004F4940" w:rsidR="00C74A9C">
        <w:rPr>
          <w:rFonts w:eastAsia="Times New Roman"/>
        </w:rPr>
        <w:t xml:space="preserve"> address </w:t>
      </w:r>
      <w:r w:rsidRPr="004F4940" w:rsidR="00C86C75">
        <w:rPr>
          <w:rFonts w:eastAsia="Times New Roman"/>
        </w:rPr>
        <w:t xml:space="preserve">many of the issues identified as contributing to </w:t>
      </w:r>
      <w:r w:rsidRPr="004F4940" w:rsidR="00643987">
        <w:rPr>
          <w:rFonts w:eastAsia="Times New Roman"/>
        </w:rPr>
        <w:t xml:space="preserve">generating unit </w:t>
      </w:r>
      <w:r w:rsidRPr="004F4940" w:rsidR="00C86C75">
        <w:rPr>
          <w:rFonts w:eastAsia="Times New Roman"/>
        </w:rPr>
        <w:t>failures</w:t>
      </w:r>
      <w:r w:rsidRPr="004F4940" w:rsidR="00551FEA">
        <w:rPr>
          <w:rFonts w:eastAsia="Times New Roman"/>
        </w:rPr>
        <w:t xml:space="preserve"> during extreme cold weather</w:t>
      </w:r>
      <w:r w:rsidRPr="004F4940" w:rsidR="003D39B2">
        <w:rPr>
          <w:rFonts w:eastAsia="Times New Roman"/>
        </w:rPr>
        <w:t xml:space="preserve"> conditions</w:t>
      </w:r>
      <w:r w:rsidRPr="004F4940" w:rsidR="004F7875">
        <w:rPr>
          <w:rFonts w:eastAsia="Times New Roman"/>
        </w:rPr>
        <w:t>, as noted</w:t>
      </w:r>
      <w:r w:rsidRPr="004F4940" w:rsidR="00C86C75">
        <w:rPr>
          <w:rFonts w:eastAsia="Times New Roman"/>
        </w:rPr>
        <w:t xml:space="preserve"> in the November </w:t>
      </w:r>
      <w:r w:rsidRPr="004F4940" w:rsidR="008431F5">
        <w:rPr>
          <w:rFonts w:eastAsia="Times New Roman"/>
        </w:rPr>
        <w:t xml:space="preserve">2021 </w:t>
      </w:r>
      <w:r w:rsidRPr="004F4940" w:rsidR="00C36B3E">
        <w:rPr>
          <w:rFonts w:eastAsia="Times New Roman"/>
        </w:rPr>
        <w:t>R</w:t>
      </w:r>
      <w:r w:rsidRPr="004F4940" w:rsidR="008431F5">
        <w:rPr>
          <w:rFonts w:eastAsia="Times New Roman"/>
        </w:rPr>
        <w:t>eport.</w:t>
      </w:r>
      <w:r>
        <w:rPr>
          <w:rStyle w:val="FootnoteReference"/>
          <w:rFonts w:eastAsia="Times New Roman"/>
        </w:rPr>
        <w:footnoteReference w:id="60"/>
      </w:r>
      <w:r w:rsidRPr="004F4940" w:rsidR="008431F5">
        <w:rPr>
          <w:rFonts w:eastAsia="Times New Roman"/>
        </w:rPr>
        <w:t xml:space="preserve"> </w:t>
      </w:r>
      <w:r w:rsidRPr="004F4940" w:rsidR="0019058F">
        <w:rPr>
          <w:rFonts w:eastAsia="Times New Roman"/>
        </w:rPr>
        <w:t xml:space="preserve"> </w:t>
      </w:r>
      <w:r w:rsidRPr="004F4940" w:rsidR="03C6FC34">
        <w:rPr>
          <w:rFonts w:eastAsia="Times New Roman"/>
        </w:rPr>
        <w:t>We also appreciate that NERC completed the modifications and development of Reliability Standards EOP-011-3 and EOP-012-1 in a timely manner.</w:t>
      </w:r>
    </w:p>
    <w:p w:rsidR="00CF0A3C" w:rsidRPr="00CF0A3C" w:rsidP="00B82FEF" w14:paraId="0DAAE5A9" w14:textId="77777777">
      <w:pPr>
        <w:pStyle w:val="FERCparanumber"/>
      </w:pPr>
      <w:r w:rsidRPr="004F4940">
        <w:rPr>
          <w:rFonts w:eastAsia="Times New Roman"/>
        </w:rPr>
        <w:t xml:space="preserve">Several commenters express concern regarding ambiguities in Requirements R1 and R7 </w:t>
      </w:r>
      <w:r w:rsidRPr="004F4940" w:rsidR="00DE68B8">
        <w:rPr>
          <w:rFonts w:eastAsia="Times New Roman"/>
        </w:rPr>
        <w:t xml:space="preserve">of Reliability Standard EOP-012-1 </w:t>
      </w:r>
      <w:r w:rsidRPr="004F4940">
        <w:rPr>
          <w:rFonts w:eastAsia="Times New Roman"/>
        </w:rPr>
        <w:t xml:space="preserve">pertaining to the </w:t>
      </w:r>
      <w:r w:rsidRPr="004F4940" w:rsidR="00250814">
        <w:rPr>
          <w:rFonts w:eastAsia="Times New Roman"/>
        </w:rPr>
        <w:t>generator owner declarations</w:t>
      </w:r>
      <w:r w:rsidRPr="004F4940">
        <w:rPr>
          <w:rFonts w:eastAsia="Times New Roman"/>
        </w:rPr>
        <w:t xml:space="preserve"> for “technical, commercial, or operational constraints” and ask the Commission </w:t>
      </w:r>
      <w:r w:rsidRPr="004F4940" w:rsidR="00CB11F3">
        <w:rPr>
          <w:rFonts w:eastAsia="Times New Roman"/>
        </w:rPr>
        <w:t xml:space="preserve">to </w:t>
      </w:r>
      <w:r w:rsidRPr="004F4940">
        <w:rPr>
          <w:rFonts w:eastAsia="Times New Roman"/>
        </w:rPr>
        <w:t xml:space="preserve">remand the Standard with direction </w:t>
      </w:r>
      <w:r w:rsidRPr="004F4940" w:rsidR="001958AB">
        <w:rPr>
          <w:rFonts w:eastAsia="Times New Roman"/>
        </w:rPr>
        <w:t>to</w:t>
      </w:r>
      <w:r w:rsidRPr="004F4940">
        <w:rPr>
          <w:rFonts w:eastAsia="Times New Roman"/>
        </w:rPr>
        <w:t xml:space="preserve"> NERC </w:t>
      </w:r>
      <w:r w:rsidRPr="004F4940" w:rsidR="001958AB">
        <w:rPr>
          <w:rFonts w:eastAsia="Times New Roman"/>
        </w:rPr>
        <w:t>for clarifications</w:t>
      </w:r>
      <w:r w:rsidRPr="004F4940" w:rsidR="223DE2C4">
        <w:rPr>
          <w:rFonts w:eastAsia="Times New Roman"/>
        </w:rPr>
        <w:t>.</w:t>
      </w:r>
      <w:r>
        <w:rPr>
          <w:rStyle w:val="FootnoteReference"/>
          <w:rFonts w:eastAsia="Times New Roman"/>
        </w:rPr>
        <w:footnoteReference w:id="61"/>
      </w:r>
      <w:r w:rsidRPr="004F4940">
        <w:rPr>
          <w:rFonts w:eastAsia="Times New Roman"/>
        </w:rPr>
        <w:t xml:space="preserve">  As discussed below, we agree that the provisions are ambiguous.  However, we are not persuaded that there is sufficient cause to remand Reliability Standard EOP-012-1.  </w:t>
      </w:r>
      <w:r w:rsidRPr="004F4940" w:rsidR="00C76128">
        <w:rPr>
          <w:rFonts w:eastAsia="Times New Roman"/>
        </w:rPr>
        <w:t>Since</w:t>
      </w:r>
      <w:r w:rsidRPr="004F4940">
        <w:rPr>
          <w:rFonts w:eastAsia="Times New Roman"/>
        </w:rPr>
        <w:t xml:space="preserve"> we find that the Standard enhances the reliable operation of the Bulk-Power System, we conclude that the better course is to approve Reliability Standard</w:t>
      </w:r>
      <w:r w:rsidRPr="004F4940" w:rsidR="003A7A63">
        <w:rPr>
          <w:rFonts w:eastAsia="Times New Roman"/>
        </w:rPr>
        <w:t xml:space="preserve"> EOP-012-1</w:t>
      </w:r>
      <w:r w:rsidRPr="004F4940">
        <w:rPr>
          <w:rFonts w:eastAsia="Times New Roman"/>
        </w:rPr>
        <w:t xml:space="preserve"> so that it will take effect in a timely manner.  </w:t>
      </w:r>
      <w:bookmarkStart w:id="10" w:name="_Hlk126913221"/>
      <w:r w:rsidRPr="004F4940" w:rsidR="00B209BD">
        <w:rPr>
          <w:rFonts w:eastAsia="Times New Roman"/>
        </w:rPr>
        <w:t>Nevertheless</w:t>
      </w:r>
      <w:r w:rsidRPr="004F4940">
        <w:rPr>
          <w:rFonts w:eastAsia="Times New Roman"/>
        </w:rPr>
        <w:t xml:space="preserve">, </w:t>
      </w:r>
      <w:r w:rsidRPr="004F4940" w:rsidR="003A7A63">
        <w:rPr>
          <w:rFonts w:eastAsia="Times New Roman"/>
        </w:rPr>
        <w:t>pursuant to</w:t>
      </w:r>
      <w:r w:rsidRPr="004F4940">
        <w:rPr>
          <w:rFonts w:eastAsia="Times New Roman"/>
        </w:rPr>
        <w:t xml:space="preserve"> our authority under FPA section 215(d)(5), we </w:t>
      </w:r>
      <w:r w:rsidRPr="004F4940" w:rsidR="00B209BD">
        <w:rPr>
          <w:rFonts w:eastAsia="Times New Roman"/>
        </w:rPr>
        <w:t xml:space="preserve">also </w:t>
      </w:r>
      <w:r w:rsidRPr="004F4940">
        <w:rPr>
          <w:rFonts w:eastAsia="Times New Roman"/>
        </w:rPr>
        <w:t>direct NERC</w:t>
      </w:r>
      <w:r w:rsidRPr="004F4940" w:rsidR="001E3445">
        <w:rPr>
          <w:rFonts w:eastAsia="Times New Roman"/>
        </w:rPr>
        <w:t xml:space="preserve"> to</w:t>
      </w:r>
      <w:r w:rsidRPr="004F4940">
        <w:rPr>
          <w:rFonts w:eastAsia="Times New Roman"/>
        </w:rPr>
        <w:t xml:space="preserve"> develop modifications to address </w:t>
      </w:r>
      <w:r w:rsidRPr="004F4940" w:rsidR="00147245">
        <w:rPr>
          <w:rFonts w:eastAsia="Times New Roman"/>
        </w:rPr>
        <w:t>the</w:t>
      </w:r>
      <w:r w:rsidRPr="004F4940">
        <w:rPr>
          <w:rFonts w:eastAsia="Times New Roman"/>
        </w:rPr>
        <w:t xml:space="preserve"> concerns </w:t>
      </w:r>
      <w:bookmarkEnd w:id="10"/>
      <w:r w:rsidRPr="004F4940">
        <w:rPr>
          <w:rFonts w:eastAsia="Times New Roman"/>
        </w:rPr>
        <w:t xml:space="preserve">regarding Requirements R1 and R7, </w:t>
      </w:r>
      <w:r w:rsidRPr="004F4940" w:rsidR="003E7443">
        <w:rPr>
          <w:rFonts w:eastAsia="Times New Roman"/>
        </w:rPr>
        <w:t xml:space="preserve">as well as other </w:t>
      </w:r>
      <w:r w:rsidRPr="004F4940" w:rsidR="00CC0164">
        <w:rPr>
          <w:rFonts w:eastAsia="Times New Roman"/>
        </w:rPr>
        <w:t>concerns we have identified as to other aspects of Reliability Standard EOP-012-1</w:t>
      </w:r>
      <w:r w:rsidRPr="004F4940" w:rsidR="00CB2D30">
        <w:rPr>
          <w:rFonts w:eastAsia="Times New Roman"/>
        </w:rPr>
        <w:t xml:space="preserve">, </w:t>
      </w:r>
      <w:r w:rsidRPr="004F4940">
        <w:rPr>
          <w:rFonts w:eastAsia="Times New Roman"/>
        </w:rPr>
        <w:t>without delay</w:t>
      </w:r>
      <w:r w:rsidRPr="004F4940" w:rsidR="00147245">
        <w:rPr>
          <w:rFonts w:eastAsia="Times New Roman"/>
        </w:rPr>
        <w:t>ing</w:t>
      </w:r>
      <w:r w:rsidRPr="004F4940">
        <w:rPr>
          <w:rFonts w:eastAsia="Times New Roman"/>
        </w:rPr>
        <w:t xml:space="preserve"> the effective date of Reliability Standard EOP-012-1.  This approach is consistent with Commission precedent</w:t>
      </w:r>
      <w:r w:rsidRPr="004F4940" w:rsidR="00332B60">
        <w:rPr>
          <w:rFonts w:eastAsia="Times New Roman"/>
        </w:rPr>
        <w:t>.</w:t>
      </w:r>
      <w:r>
        <w:rPr>
          <w:rStyle w:val="FootnoteReference"/>
          <w:rFonts w:eastAsia="Times New Roman"/>
        </w:rPr>
        <w:footnoteReference w:id="62"/>
      </w:r>
      <w:r w:rsidRPr="004F4940" w:rsidR="00C72203">
        <w:rPr>
          <w:rFonts w:eastAsia="Times New Roman"/>
        </w:rPr>
        <w:t xml:space="preserve">  </w:t>
      </w:r>
    </w:p>
    <w:p w:rsidR="00B82FEF" w:rsidRPr="004F4940" w:rsidP="00B82FEF" w14:paraId="73691F88" w14:textId="46818335">
      <w:pPr>
        <w:pStyle w:val="FERCparanumber"/>
      </w:pPr>
      <w:r w:rsidRPr="004F4940">
        <w:t>W</w:t>
      </w:r>
      <w:r w:rsidRPr="004F4940" w:rsidR="003570EB">
        <w:t xml:space="preserve">hile </w:t>
      </w:r>
      <w:r w:rsidRPr="004F4940" w:rsidR="00817580">
        <w:t>we understand</w:t>
      </w:r>
      <w:r w:rsidRPr="004F4940" w:rsidR="003570EB">
        <w:t xml:space="preserve"> that </w:t>
      </w:r>
      <w:r w:rsidRPr="004F4940" w:rsidR="003570EB">
        <w:t xml:space="preserve">the implementation plan </w:t>
      </w:r>
      <w:r w:rsidRPr="004F4940" w:rsidR="00C078F6">
        <w:t xml:space="preserve">for </w:t>
      </w:r>
      <w:r w:rsidRPr="004F4940" w:rsidR="00C11A9B">
        <w:t xml:space="preserve">Reliability Standard </w:t>
      </w:r>
      <w:r w:rsidRPr="004F4940" w:rsidR="00C078F6">
        <w:t>EOP-012-1</w:t>
      </w:r>
      <w:r w:rsidRPr="004F4940" w:rsidR="003570EB">
        <w:t xml:space="preserve"> is </w:t>
      </w:r>
      <w:r w:rsidRPr="004F4940" w:rsidR="00C11F64">
        <w:t xml:space="preserve">designed </w:t>
      </w:r>
      <w:r w:rsidRPr="004F4940" w:rsidR="003570EB">
        <w:t xml:space="preserve">to accommodate entities that may need time to </w:t>
      </w:r>
      <w:r w:rsidRPr="004F4940" w:rsidR="00DE79A1">
        <w:t>determine Extreme Cold Weather Temperature values</w:t>
      </w:r>
      <w:r w:rsidRPr="004F4940" w:rsidR="00255040">
        <w:t>,</w:t>
      </w:r>
      <w:r w:rsidRPr="004F4940" w:rsidR="00DE79A1">
        <w:t xml:space="preserve"> identify cold weather critical components for applicable generating units, develop corrective action plans for freeze issues, </w:t>
      </w:r>
      <w:r w:rsidRPr="004F4940" w:rsidR="003570EB">
        <w:t>perform various engineering analys</w:t>
      </w:r>
      <w:r w:rsidRPr="004F4940" w:rsidR="00311E24">
        <w:t>e</w:t>
      </w:r>
      <w:r w:rsidRPr="004F4940" w:rsidR="003570EB">
        <w:t>s</w:t>
      </w:r>
      <w:r w:rsidRPr="004F4940" w:rsidR="00C05ABE">
        <w:t>,</w:t>
      </w:r>
      <w:r w:rsidRPr="004F4940" w:rsidR="003570EB">
        <w:t xml:space="preserve"> provide the required training</w:t>
      </w:r>
      <w:r w:rsidRPr="004F4940" w:rsidR="00C05ABE">
        <w:t>,</w:t>
      </w:r>
      <w:r w:rsidRPr="004F4940" w:rsidR="003570EB">
        <w:t xml:space="preserve"> and develop the necessary capabilities to satisfy revised data specifications</w:t>
      </w:r>
      <w:r w:rsidRPr="004F4940" w:rsidR="00C11F64">
        <w:t xml:space="preserve">, </w:t>
      </w:r>
      <w:r w:rsidRPr="004F4940" w:rsidR="00713DC9">
        <w:t>industry has been aware of and alerted to the need to prepare their generating units for cold weather since at least 2011.</w:t>
      </w:r>
      <w:r w:rsidR="007301E1">
        <w:t xml:space="preserve">  </w:t>
      </w:r>
      <w:r w:rsidRPr="004F4940" w:rsidR="005B6DF6">
        <w:t xml:space="preserve">Therefore, </w:t>
      </w:r>
      <w:r w:rsidRPr="004F4940" w:rsidR="00C11F64">
        <w:t xml:space="preserve">we direct NERC to </w:t>
      </w:r>
      <w:r w:rsidRPr="004F4940" w:rsidR="005B6DF6">
        <w:t xml:space="preserve">reduce the implementation time and to </w:t>
      </w:r>
      <w:r w:rsidRPr="004F4940" w:rsidR="00E0715C">
        <w:t xml:space="preserve">include a staggered </w:t>
      </w:r>
      <w:r w:rsidRPr="004F4940" w:rsidR="00C82CD4">
        <w:t>implementation for Requirement R2</w:t>
      </w:r>
      <w:r w:rsidRPr="004F4940" w:rsidR="00E0715C">
        <w:t xml:space="preserve"> </w:t>
      </w:r>
      <w:r w:rsidRPr="004F4940" w:rsidR="007D1157">
        <w:t>to reduce reliability risks</w:t>
      </w:r>
      <w:r w:rsidRPr="004F4940" w:rsidR="005B6DF6">
        <w:t xml:space="preserve">.  NERC should consider </w:t>
      </w:r>
      <w:r w:rsidRPr="004F4940" w:rsidR="005B6DF6">
        <w:t>the amount of time that industry has already been alerted to the need to implement freeze protection measures when determining the appropriate implementation period.</w:t>
      </w:r>
      <w:r w:rsidRPr="004F4940" w:rsidR="003570EB">
        <w:t xml:space="preserve"> </w:t>
      </w:r>
      <w:r w:rsidRPr="004F4940" w:rsidR="00DC365E">
        <w:t xml:space="preserve"> W</w:t>
      </w:r>
      <w:r w:rsidRPr="004F4940" w:rsidR="003570EB">
        <w:t xml:space="preserve">e </w:t>
      </w:r>
      <w:r w:rsidRPr="004F4940" w:rsidR="009176BF">
        <w:t>also</w:t>
      </w:r>
      <w:r w:rsidRPr="004F4940" w:rsidR="003570EB">
        <w:t xml:space="preserve"> strongly encourage entities that are capable of complying with these Standards earlier than the mandatory and enforceable date to do so</w:t>
      </w:r>
      <w:r w:rsidRPr="004F4940" w:rsidR="004756AC">
        <w:t>.</w:t>
      </w:r>
    </w:p>
    <w:p w:rsidR="003570EB" w:rsidRPr="004F4940" w:rsidP="003570EB" w14:paraId="4FE992B8" w14:textId="719354D4">
      <w:pPr>
        <w:pStyle w:val="FERCparanumber"/>
      </w:pPr>
      <w:r w:rsidRPr="004F4940">
        <w:t xml:space="preserve">In addition to </w:t>
      </w:r>
      <w:r w:rsidRPr="004F4940" w:rsidR="770C8969">
        <w:t xml:space="preserve">the </w:t>
      </w:r>
      <w:r w:rsidRPr="004F4940">
        <w:t>directives to modify various aspects of Reliability Standard EOP-012-1, we also have concerns regarding generator owner constraint declarations and the adequacy of the Extreme Cold Weather Temperature definition that may be addressed with additional information.  Therefore, pursuant to section 39.2(d) of the Commission’s regulations,</w:t>
      </w:r>
      <w:r>
        <w:rPr>
          <w:b/>
          <w:bCs/>
          <w:vertAlign w:val="superscript"/>
        </w:rPr>
        <w:footnoteReference w:id="63"/>
      </w:r>
      <w:r w:rsidRPr="004F4940">
        <w:t xml:space="preserve"> NERC is hereby directed to work with Commission staff to submit a plan no later than 12 months after the date of issuance of this order on how it will collect and assess, through annual and event-based data submittals, the following elements of Reliability Standard EOP-012-1:  (1) generator owner declared constraints and explanations thereof; and (2) the adequacy of the Extreme Cold Weather Temperature definition.  NERC is hereby directed to submit periodic reports to the Commission providing the results of the assessments, as discussed in further detail below.</w:t>
      </w:r>
    </w:p>
    <w:p w:rsidR="00F90F35" w:rsidP="004973F0" w14:paraId="1670E703" w14:textId="77777777">
      <w:pPr>
        <w:pStyle w:val="FERCparanumber"/>
      </w:pPr>
      <w:r w:rsidRPr="004F4940">
        <w:t>Below we address the following elements of Reliability Standard EOP-012-1:  (</w:t>
      </w:r>
      <w:r w:rsidRPr="004F4940" w:rsidR="00C879E4">
        <w:t>1</w:t>
      </w:r>
      <w:r w:rsidRPr="004F4940">
        <w:t>)</w:t>
      </w:r>
      <w:r w:rsidRPr="004F4940" w:rsidR="00F84774">
        <w:t> </w:t>
      </w:r>
      <w:r w:rsidRPr="004F4940">
        <w:t xml:space="preserve">jurisdiction; </w:t>
      </w:r>
      <w:r w:rsidRPr="004F4940" w:rsidR="00B245C3">
        <w:t xml:space="preserve">(2) the applicability of Reliability Standard EOP-012-1; </w:t>
      </w:r>
      <w:r w:rsidRPr="004F4940">
        <w:t>(</w:t>
      </w:r>
      <w:r w:rsidRPr="004F4940" w:rsidR="00B245C3">
        <w:t>3</w:t>
      </w:r>
      <w:r w:rsidRPr="004F4940">
        <w:t xml:space="preserve">) </w:t>
      </w:r>
      <w:r w:rsidRPr="004F4940" w:rsidR="00DF659D">
        <w:t xml:space="preserve">generator owner </w:t>
      </w:r>
      <w:r w:rsidRPr="004F4940" w:rsidR="00223779">
        <w:t>declarations</w:t>
      </w:r>
      <w:r w:rsidRPr="004F4940">
        <w:t xml:space="preserve"> for technical, commercial, or operational constraints; (</w:t>
      </w:r>
      <w:r w:rsidRPr="004F4940" w:rsidR="00B245C3">
        <w:t>4</w:t>
      </w:r>
      <w:r w:rsidRPr="004F4940">
        <w:t>) the Extreme Cold Weather</w:t>
      </w:r>
      <w:r w:rsidRPr="004F4940" w:rsidR="00DF659D">
        <w:t xml:space="preserve"> Temperature</w:t>
      </w:r>
      <w:r w:rsidRPr="004F4940" w:rsidR="00E611A8">
        <w:t xml:space="preserve"> </w:t>
      </w:r>
      <w:r w:rsidRPr="004F4940" w:rsidR="7B630234">
        <w:t>definition</w:t>
      </w:r>
      <w:r w:rsidRPr="004F4940">
        <w:t>; (</w:t>
      </w:r>
      <w:r w:rsidRPr="004F4940" w:rsidR="00B245C3">
        <w:t>5</w:t>
      </w:r>
      <w:r w:rsidRPr="004F4940">
        <w:t>) the absence of a deadline by which generator owners must implement new or modified freeze protection measures required by their corrective action plans; (</w:t>
      </w:r>
      <w:r w:rsidRPr="004F4940" w:rsidR="00B245C3">
        <w:t>6</w:t>
      </w:r>
      <w:r w:rsidRPr="004F4940">
        <w:t>) cost recovery mechanisms; (</w:t>
      </w:r>
      <w:r w:rsidRPr="004F4940" w:rsidR="00B245C3">
        <w:t>7</w:t>
      </w:r>
      <w:r w:rsidRPr="004F4940">
        <w:t xml:space="preserve">) other technical </w:t>
      </w:r>
      <w:r w:rsidRPr="004F4940" w:rsidR="00C8297A">
        <w:t>matters</w:t>
      </w:r>
      <w:r w:rsidRPr="004F4940" w:rsidR="005E063F">
        <w:t>; and (8)</w:t>
      </w:r>
      <w:r w:rsidRPr="004F4940" w:rsidR="00F84774">
        <w:t> </w:t>
      </w:r>
      <w:r w:rsidRPr="004F4940" w:rsidR="005E063F">
        <w:t>annual and event-based data submittals</w:t>
      </w:r>
      <w:r w:rsidRPr="004F4940" w:rsidR="0023752A">
        <w:t>.</w:t>
      </w:r>
    </w:p>
    <w:p w:rsidR="00F630FA" w:rsidRPr="004F4940" w:rsidP="0D3E6A2E" w14:paraId="3D63A555" w14:textId="044DFDF8">
      <w:pPr>
        <w:pStyle w:val="Heading3"/>
        <w:rPr>
          <w:rFonts w:eastAsia="Times New Roman"/>
        </w:rPr>
      </w:pPr>
      <w:r w:rsidRPr="004F4940">
        <w:rPr>
          <w:rFonts w:eastAsia="Times New Roman"/>
        </w:rPr>
        <w:t>Jurisdiction</w:t>
      </w:r>
    </w:p>
    <w:p w:rsidR="007E011C" w:rsidRPr="004F4940" w:rsidP="00220F41" w14:paraId="32CA9368" w14:textId="77777777">
      <w:pPr>
        <w:pStyle w:val="Heading4"/>
      </w:pPr>
      <w:r w:rsidRPr="004F4940">
        <w:rPr>
          <w:rFonts w:eastAsia="Times New Roman"/>
        </w:rPr>
        <w:t>Background</w:t>
      </w:r>
    </w:p>
    <w:p w:rsidR="00336A48" w:rsidRPr="004F4940" w:rsidP="462A9FC4" w14:paraId="2085DB58" w14:textId="77777777">
      <w:pPr>
        <w:pStyle w:val="FERCparanumber"/>
        <w:widowControl w:val="0"/>
        <w:suppressLineNumbers/>
        <w:rPr>
          <w:rFonts w:eastAsia="Times New Roman"/>
        </w:rPr>
      </w:pPr>
      <w:r w:rsidRPr="004F4940">
        <w:rPr>
          <w:rFonts w:eastAsia="Times New Roman"/>
        </w:rPr>
        <w:t>Section 215</w:t>
      </w:r>
      <w:r w:rsidRPr="004F4940" w:rsidR="005C67DD">
        <w:rPr>
          <w:rFonts w:eastAsia="Times New Roman"/>
        </w:rPr>
        <w:t>(a)(3)</w:t>
      </w:r>
      <w:r w:rsidRPr="004F4940">
        <w:rPr>
          <w:rFonts w:eastAsia="Times New Roman"/>
        </w:rPr>
        <w:t xml:space="preserve"> of the FPA defines “Reliability Standard” as:</w:t>
      </w:r>
    </w:p>
    <w:p w:rsidR="001A2216" w:rsidRPr="004F4940" w:rsidP="0D3E6A2E" w14:paraId="4A3C7B49" w14:textId="372914B9">
      <w:pPr>
        <w:pStyle w:val="FERCparanumber"/>
        <w:widowControl w:val="0"/>
        <w:numPr>
          <w:ilvl w:val="0"/>
          <w:numId w:val="0"/>
        </w:numPr>
        <w:suppressLineNumbers/>
        <w:ind w:left="720" w:right="720"/>
        <w:jc w:val="both"/>
        <w:rPr>
          <w:rFonts w:eastAsia="Times New Roman"/>
        </w:rPr>
      </w:pPr>
      <w:r w:rsidRPr="004F4940">
        <w:rPr>
          <w:rFonts w:eastAsia="Times New Roman"/>
        </w:rPr>
        <w:t>a requirement, approved by the Commission under this section, to provide for</w:t>
      </w:r>
      <w:r w:rsidRPr="004F4940" w:rsidR="0063630E">
        <w:rPr>
          <w:rFonts w:eastAsia="Times New Roman"/>
        </w:rPr>
        <w:t xml:space="preserve"> reliable operation</w:t>
      </w:r>
      <w:r w:rsidRPr="004F4940" w:rsidR="0063630E">
        <w:rPr>
          <w:rFonts w:eastAsia="Times New Roman"/>
        </w:rPr>
        <w:t xml:space="preserve"> </w:t>
      </w:r>
      <w:r w:rsidRPr="004F4940">
        <w:rPr>
          <w:rFonts w:eastAsia="Times New Roman"/>
        </w:rPr>
        <w:t>of the</w:t>
      </w:r>
      <w:r w:rsidRPr="004F4940" w:rsidR="0063630E">
        <w:rPr>
          <w:rFonts w:eastAsia="Times New Roman"/>
        </w:rPr>
        <w:t xml:space="preserve"> bulk-power system</w:t>
      </w:r>
      <w:r w:rsidRPr="004F4940" w:rsidR="00B65460">
        <w:rPr>
          <w:rFonts w:eastAsia="Times New Roman"/>
        </w:rPr>
        <w:t>.</w:t>
      </w:r>
      <w:r w:rsidRPr="004F4940" w:rsidR="000A2959">
        <w:rPr>
          <w:rFonts w:eastAsia="Times New Roman"/>
        </w:rPr>
        <w:t xml:space="preserve"> </w:t>
      </w:r>
      <w:r w:rsidRPr="004F4940" w:rsidR="0063351A">
        <w:rPr>
          <w:rFonts w:eastAsia="Times New Roman"/>
        </w:rPr>
        <w:t xml:space="preserve"> </w:t>
      </w:r>
      <w:r w:rsidRPr="004F4940">
        <w:rPr>
          <w:rFonts w:eastAsia="Times New Roman"/>
        </w:rPr>
        <w:t>The term includes requirements for the operation of existing</w:t>
      </w:r>
      <w:r w:rsidRPr="004F4940" w:rsidR="3457C613">
        <w:rPr>
          <w:rFonts w:eastAsia="Times New Roman"/>
        </w:rPr>
        <w:t xml:space="preserve"> </w:t>
      </w:r>
      <w:r w:rsidRPr="004F4940" w:rsidR="3DBFA980">
        <w:rPr>
          <w:rFonts w:eastAsia="Times New Roman"/>
        </w:rPr>
        <w:t>bulk-power system</w:t>
      </w:r>
      <w:r w:rsidRPr="004F4940" w:rsidR="0063630E">
        <w:rPr>
          <w:rFonts w:eastAsia="Times New Roman"/>
        </w:rPr>
        <w:t xml:space="preserve"> </w:t>
      </w:r>
      <w:r w:rsidRPr="004F4940">
        <w:rPr>
          <w:rFonts w:eastAsia="Times New Roman"/>
        </w:rPr>
        <w:t xml:space="preserve">facilities, including cybersecurity protection, and the design of planned additions or modifications to such facilities to the extent necessary to provide </w:t>
      </w:r>
      <w:r w:rsidRPr="004F4940" w:rsidR="009D1F7E">
        <w:rPr>
          <w:rFonts w:eastAsia="Times New Roman"/>
        </w:rPr>
        <w:t>for reliable operation</w:t>
      </w:r>
      <w:r w:rsidRPr="004F4940" w:rsidR="009D1F7E">
        <w:rPr>
          <w:rFonts w:eastAsia="Times New Roman"/>
        </w:rPr>
        <w:t xml:space="preserve"> </w:t>
      </w:r>
      <w:r w:rsidRPr="004F4940" w:rsidR="009D1F7E">
        <w:rPr>
          <w:rFonts w:eastAsia="Times New Roman"/>
        </w:rPr>
        <w:t xml:space="preserve">of </w:t>
      </w:r>
      <w:r w:rsidRPr="004F4940">
        <w:rPr>
          <w:rFonts w:eastAsia="Times New Roman"/>
        </w:rPr>
        <w:t>the</w:t>
      </w:r>
      <w:r w:rsidRPr="004F4940" w:rsidR="004E79CF">
        <w:t xml:space="preserve"> </w:t>
      </w:r>
      <w:r w:rsidRPr="004F4940" w:rsidR="004E79CF">
        <w:rPr>
          <w:rFonts w:eastAsia="Times New Roman"/>
        </w:rPr>
        <w:t>bulk-power system,</w:t>
      </w:r>
      <w:r w:rsidRPr="004F4940" w:rsidR="000A2959">
        <w:rPr>
          <w:rFonts w:eastAsia="Times New Roman"/>
        </w:rPr>
        <w:t xml:space="preserve"> </w:t>
      </w:r>
      <w:r w:rsidRPr="004F4940">
        <w:rPr>
          <w:rFonts w:eastAsia="Times New Roman"/>
        </w:rPr>
        <w:t>but the term does not include any requirement to enlarge such facilities or to construct new transmission capacity or generation capacity</w:t>
      </w:r>
      <w:r w:rsidRPr="004F4940" w:rsidR="008166A1">
        <w:rPr>
          <w:rFonts w:eastAsia="Times New Roman"/>
        </w:rPr>
        <w:t>.</w:t>
      </w:r>
      <w:r>
        <w:rPr>
          <w:rStyle w:val="FootnoteReference"/>
          <w:rFonts w:eastAsia="Times New Roman"/>
        </w:rPr>
        <w:footnoteReference w:id="64"/>
      </w:r>
    </w:p>
    <w:p w:rsidR="00066BE4" w:rsidRPr="004F4940" w:rsidP="0D3E6A2E" w14:paraId="0D5281D4" w14:textId="6CDC54F7">
      <w:pPr>
        <w:pStyle w:val="FERCparanumber"/>
        <w:rPr>
          <w:rFonts w:eastAsia="Times New Roman"/>
        </w:rPr>
      </w:pPr>
      <w:r w:rsidRPr="004F4940">
        <w:rPr>
          <w:rFonts w:eastAsia="Times New Roman"/>
        </w:rPr>
        <w:t>The term “Reliable Operation” is defined by the statute as</w:t>
      </w:r>
      <w:r w:rsidRPr="004F4940" w:rsidR="4BB1A77F">
        <w:rPr>
          <w:rFonts w:eastAsia="Times New Roman"/>
        </w:rPr>
        <w:t xml:space="preserve"> “</w:t>
      </w:r>
      <w:r w:rsidRPr="004F4940" w:rsidR="008C0CE8">
        <w:rPr>
          <w:rFonts w:eastAsia="Times New Roman"/>
        </w:rPr>
        <w:t>operating the elements of the</w:t>
      </w:r>
      <w:r w:rsidRPr="004F4940" w:rsidR="004E79CF">
        <w:t xml:space="preserve"> </w:t>
      </w:r>
      <w:r w:rsidRPr="004F4940" w:rsidR="004E79CF">
        <w:rPr>
          <w:rFonts w:eastAsia="Times New Roman"/>
        </w:rPr>
        <w:t>bulk-power system</w:t>
      </w:r>
      <w:r w:rsidRPr="004F4940" w:rsidR="004E79CF">
        <w:t xml:space="preserve"> </w:t>
      </w:r>
      <w:r w:rsidRPr="004F4940" w:rsidR="008C0CE8">
        <w:rPr>
          <w:rFonts w:eastAsia="Times New Roman"/>
        </w:rPr>
        <w:t>within equipment and electric system thermal, voltage, and stability limits so that instability, uncontrolled separation, or cascading failures of such system will not occur as a result of a sudden disturbance</w:t>
      </w:r>
      <w:r w:rsidRPr="004F4940" w:rsidR="00F84774">
        <w:rPr>
          <w:rFonts w:eastAsia="Times New Roman"/>
        </w:rPr>
        <w:t> </w:t>
      </w:r>
      <w:r w:rsidRPr="004F4940" w:rsidR="00F84774">
        <w:rPr>
          <w:rFonts w:eastAsia="Times New Roman"/>
        </w:rPr>
        <w:t>. . . .</w:t>
      </w:r>
      <w:r w:rsidRPr="004F4940" w:rsidR="008C0CE8">
        <w:rPr>
          <w:rFonts w:eastAsia="Times New Roman"/>
        </w:rPr>
        <w:t>or</w:t>
      </w:r>
      <w:r w:rsidRPr="004F4940" w:rsidR="008C0CE8">
        <w:rPr>
          <w:rFonts w:eastAsia="Times New Roman"/>
        </w:rPr>
        <w:t xml:space="preserve"> unanticipated failure of system elements.</w:t>
      </w:r>
      <w:r w:rsidRPr="004F4940" w:rsidR="001106F1">
        <w:rPr>
          <w:rFonts w:eastAsia="Times New Roman"/>
        </w:rPr>
        <w:t>”</w:t>
      </w:r>
      <w:r>
        <w:rPr>
          <w:rStyle w:val="FootnoteReference"/>
          <w:rFonts w:eastAsia="Times New Roman"/>
        </w:rPr>
        <w:footnoteReference w:id="65"/>
      </w:r>
    </w:p>
    <w:p w:rsidR="00FB0835" w:rsidRPr="004F4940" w:rsidP="00220F41" w14:paraId="314B617B" w14:textId="77777777">
      <w:pPr>
        <w:pStyle w:val="Heading4"/>
      </w:pPr>
      <w:r w:rsidRPr="004F4940">
        <w:rPr>
          <w:rFonts w:eastAsia="Times New Roman"/>
        </w:rPr>
        <w:t>Comments</w:t>
      </w:r>
    </w:p>
    <w:p w:rsidR="003F20DD" w:rsidRPr="004F4940" w:rsidP="462A9FC4" w14:paraId="33E77FC1" w14:textId="77777777">
      <w:pPr>
        <w:pStyle w:val="FERCparanumber"/>
        <w:rPr>
          <w:rFonts w:eastAsia="Times New Roman"/>
        </w:rPr>
      </w:pPr>
      <w:r w:rsidRPr="004F4940">
        <w:rPr>
          <w:rFonts w:eastAsia="Times New Roman"/>
        </w:rPr>
        <w:t xml:space="preserve">EPSA/PJM Group and Invenergy assert that </w:t>
      </w:r>
      <w:r w:rsidRPr="004F4940" w:rsidR="001A0D23">
        <w:rPr>
          <w:rFonts w:eastAsia="Times New Roman"/>
        </w:rPr>
        <w:t xml:space="preserve">Requirements R1 and R2 </w:t>
      </w:r>
      <w:r w:rsidRPr="004F4940" w:rsidR="005877C5">
        <w:rPr>
          <w:rFonts w:eastAsia="Times New Roman"/>
        </w:rPr>
        <w:t xml:space="preserve">of </w:t>
      </w:r>
      <w:r w:rsidRPr="004F4940">
        <w:rPr>
          <w:rFonts w:eastAsia="Times New Roman"/>
        </w:rPr>
        <w:t xml:space="preserve">Reliability Standard EOP-012-1 </w:t>
      </w:r>
      <w:r w:rsidRPr="004F4940" w:rsidR="001C207A">
        <w:rPr>
          <w:rFonts w:eastAsia="Times New Roman"/>
        </w:rPr>
        <w:t xml:space="preserve">would </w:t>
      </w:r>
      <w:r w:rsidRPr="004F4940" w:rsidR="005877C5">
        <w:rPr>
          <w:rFonts w:eastAsia="Times New Roman"/>
        </w:rPr>
        <w:t xml:space="preserve">impose obligations </w:t>
      </w:r>
      <w:r w:rsidRPr="004F4940" w:rsidR="001C207A">
        <w:rPr>
          <w:rFonts w:eastAsia="Times New Roman"/>
        </w:rPr>
        <w:t>on generator o</w:t>
      </w:r>
      <w:r w:rsidRPr="004F4940" w:rsidR="00AE0A18">
        <w:rPr>
          <w:rFonts w:eastAsia="Times New Roman"/>
        </w:rPr>
        <w:t>wners</w:t>
      </w:r>
      <w:r w:rsidRPr="004F4940" w:rsidR="001C207A">
        <w:rPr>
          <w:rFonts w:eastAsia="Times New Roman"/>
        </w:rPr>
        <w:t xml:space="preserve"> that </w:t>
      </w:r>
      <w:r w:rsidRPr="004F4940" w:rsidR="001235D8">
        <w:rPr>
          <w:rFonts w:eastAsia="Times New Roman"/>
        </w:rPr>
        <w:t>“fall</w:t>
      </w:r>
      <w:r w:rsidRPr="004F4940">
        <w:rPr>
          <w:rFonts w:eastAsia="Times New Roman"/>
        </w:rPr>
        <w:t xml:space="preserve"> outside </w:t>
      </w:r>
      <w:r w:rsidRPr="004F4940" w:rsidR="00084EFE">
        <w:rPr>
          <w:rFonts w:eastAsia="Times New Roman"/>
        </w:rPr>
        <w:t xml:space="preserve">of </w:t>
      </w:r>
      <w:r w:rsidRPr="004F4940">
        <w:rPr>
          <w:rFonts w:eastAsia="Times New Roman"/>
        </w:rPr>
        <w:t>the scope</w:t>
      </w:r>
      <w:r w:rsidRPr="004F4940" w:rsidR="00084EFE">
        <w:rPr>
          <w:rFonts w:eastAsia="Times New Roman"/>
        </w:rPr>
        <w:t>”</w:t>
      </w:r>
      <w:r w:rsidRPr="004F4940">
        <w:rPr>
          <w:rFonts w:eastAsia="Times New Roman"/>
        </w:rPr>
        <w:t xml:space="preserve"> of section 215 of the FPA.</w:t>
      </w:r>
      <w:r>
        <w:rPr>
          <w:rStyle w:val="FootnoteReference"/>
          <w:rFonts w:eastAsia="Times New Roman"/>
        </w:rPr>
        <w:footnoteReference w:id="66"/>
      </w:r>
      <w:r w:rsidRPr="004F4940">
        <w:rPr>
          <w:rFonts w:eastAsia="Times New Roman"/>
        </w:rPr>
        <w:t xml:space="preserve">  </w:t>
      </w:r>
      <w:r w:rsidRPr="004F4940" w:rsidR="0032442F">
        <w:rPr>
          <w:rFonts w:eastAsia="Times New Roman"/>
        </w:rPr>
        <w:t xml:space="preserve">Both provisions </w:t>
      </w:r>
      <w:r w:rsidRPr="004F4940" w:rsidR="00864AAC">
        <w:rPr>
          <w:rFonts w:eastAsia="Times New Roman"/>
        </w:rPr>
        <w:t xml:space="preserve">of Reliability Standard EOP-012-1 </w:t>
      </w:r>
      <w:r w:rsidRPr="004F4940" w:rsidR="005C5359">
        <w:rPr>
          <w:rFonts w:eastAsia="Times New Roman"/>
        </w:rPr>
        <w:t xml:space="preserve">require generator owners to </w:t>
      </w:r>
      <w:r w:rsidRPr="004F4940" w:rsidR="005F0179">
        <w:rPr>
          <w:rFonts w:eastAsia="Times New Roman"/>
        </w:rPr>
        <w:t>add new</w:t>
      </w:r>
      <w:r w:rsidRPr="004F4940" w:rsidR="00853013">
        <w:rPr>
          <w:rFonts w:eastAsia="Times New Roman"/>
        </w:rPr>
        <w:t>,</w:t>
      </w:r>
      <w:r w:rsidRPr="004F4940" w:rsidR="005F0179">
        <w:rPr>
          <w:rFonts w:eastAsia="Times New Roman"/>
        </w:rPr>
        <w:t xml:space="preserve"> or modify existing</w:t>
      </w:r>
      <w:r w:rsidRPr="004F4940" w:rsidR="00853013">
        <w:rPr>
          <w:rFonts w:eastAsia="Times New Roman"/>
        </w:rPr>
        <w:t>,</w:t>
      </w:r>
      <w:r w:rsidRPr="004F4940" w:rsidR="005F0179">
        <w:rPr>
          <w:rFonts w:eastAsia="Times New Roman"/>
        </w:rPr>
        <w:t xml:space="preserve"> freeze protection measures</w:t>
      </w:r>
      <w:r w:rsidRPr="004F4940" w:rsidR="0000269A">
        <w:rPr>
          <w:rFonts w:eastAsia="Times New Roman"/>
        </w:rPr>
        <w:t xml:space="preserve">, with Requirement R1 pertaining to </w:t>
      </w:r>
      <w:r w:rsidRPr="004F4940" w:rsidR="00D57742">
        <w:rPr>
          <w:rFonts w:eastAsia="Times New Roman"/>
        </w:rPr>
        <w:t>generati</w:t>
      </w:r>
      <w:r w:rsidRPr="004F4940" w:rsidR="008D30D8">
        <w:rPr>
          <w:rFonts w:eastAsia="Times New Roman"/>
        </w:rPr>
        <w:t>ng</w:t>
      </w:r>
      <w:r w:rsidRPr="004F4940" w:rsidR="00D57742">
        <w:rPr>
          <w:rFonts w:eastAsia="Times New Roman"/>
        </w:rPr>
        <w:t xml:space="preserve"> units with an operational date subsequent to the effective date of the Reliability Standard, and Requirement R2 pertaining to </w:t>
      </w:r>
      <w:r w:rsidRPr="004F4940" w:rsidR="00E241D3">
        <w:rPr>
          <w:rFonts w:eastAsia="Times New Roman"/>
        </w:rPr>
        <w:t xml:space="preserve">existing </w:t>
      </w:r>
      <w:r w:rsidRPr="004F4940" w:rsidR="001B276B">
        <w:rPr>
          <w:rFonts w:eastAsia="Times New Roman"/>
        </w:rPr>
        <w:t>generati</w:t>
      </w:r>
      <w:r w:rsidRPr="004F4940" w:rsidR="008D30D8">
        <w:rPr>
          <w:rFonts w:eastAsia="Times New Roman"/>
        </w:rPr>
        <w:t>ng</w:t>
      </w:r>
      <w:r w:rsidRPr="004F4940" w:rsidR="001B276B">
        <w:rPr>
          <w:rFonts w:eastAsia="Times New Roman"/>
        </w:rPr>
        <w:t xml:space="preserve"> units</w:t>
      </w:r>
      <w:r w:rsidRPr="004F4940">
        <w:rPr>
          <w:rFonts w:eastAsia="Times New Roman"/>
        </w:rPr>
        <w:t>.</w:t>
      </w:r>
    </w:p>
    <w:p w:rsidR="009876DF" w:rsidP="462A9FC4" w14:paraId="531CE14F" w14:textId="556C8C58">
      <w:pPr>
        <w:pStyle w:val="FERCparanumber"/>
        <w:widowControl w:val="0"/>
        <w:suppressLineNumbers/>
        <w:rPr>
          <w:rFonts w:eastAsia="Times New Roman"/>
        </w:rPr>
      </w:pPr>
      <w:r w:rsidRPr="004F4940">
        <w:rPr>
          <w:rFonts w:eastAsia="Times New Roman"/>
        </w:rPr>
        <w:t xml:space="preserve">EPSA/PJM Group argue that </w:t>
      </w:r>
      <w:r w:rsidRPr="004F4940" w:rsidR="00013ECE">
        <w:rPr>
          <w:rFonts w:eastAsia="Times New Roman"/>
        </w:rPr>
        <w:t>w</w:t>
      </w:r>
      <w:r w:rsidRPr="004F4940">
        <w:rPr>
          <w:rFonts w:eastAsia="Times New Roman"/>
        </w:rPr>
        <w:t>hile th</w:t>
      </w:r>
      <w:r w:rsidRPr="004F4940" w:rsidR="00013ECE">
        <w:rPr>
          <w:rFonts w:eastAsia="Times New Roman"/>
        </w:rPr>
        <w:t xml:space="preserve">e definition of Reliable Operation </w:t>
      </w:r>
      <w:r w:rsidRPr="004F4940" w:rsidR="005413BD">
        <w:rPr>
          <w:rFonts w:eastAsia="Times New Roman"/>
        </w:rPr>
        <w:t>allows</w:t>
      </w:r>
      <w:r w:rsidRPr="004F4940">
        <w:rPr>
          <w:rFonts w:eastAsia="Times New Roman"/>
        </w:rPr>
        <w:t xml:space="preserve"> NERC to </w:t>
      </w:r>
      <w:r w:rsidRPr="004F4940" w:rsidR="005413BD">
        <w:rPr>
          <w:rFonts w:eastAsia="Times New Roman"/>
        </w:rPr>
        <w:t>require</w:t>
      </w:r>
      <w:r w:rsidRPr="004F4940">
        <w:rPr>
          <w:rFonts w:eastAsia="Times New Roman"/>
        </w:rPr>
        <w:t xml:space="preserve"> modifications to </w:t>
      </w:r>
      <w:r w:rsidRPr="004F4940" w:rsidR="007175EE">
        <w:rPr>
          <w:rFonts w:eastAsia="Times New Roman"/>
        </w:rPr>
        <w:t xml:space="preserve">address </w:t>
      </w:r>
      <w:r w:rsidRPr="004F4940">
        <w:rPr>
          <w:rFonts w:eastAsia="Times New Roman"/>
        </w:rPr>
        <w:t xml:space="preserve">sudden </w:t>
      </w:r>
      <w:r w:rsidRPr="004F4940" w:rsidR="768AF6F0">
        <w:rPr>
          <w:rFonts w:eastAsia="Times New Roman"/>
        </w:rPr>
        <w:t>disturbances</w:t>
      </w:r>
      <w:r w:rsidRPr="004F4940">
        <w:rPr>
          <w:rFonts w:eastAsia="Times New Roman"/>
        </w:rPr>
        <w:t xml:space="preserve"> and unanticipated failures,</w:t>
      </w:r>
      <w:r w:rsidRPr="004F4940" w:rsidR="538131EE">
        <w:rPr>
          <w:rFonts w:eastAsia="Times New Roman"/>
        </w:rPr>
        <w:t xml:space="preserve"> </w:t>
      </w:r>
      <w:r w:rsidRPr="004F4940" w:rsidR="007175EE">
        <w:rPr>
          <w:rFonts w:eastAsia="Times New Roman"/>
        </w:rPr>
        <w:t>“</w:t>
      </w:r>
      <w:r w:rsidRPr="004F4940">
        <w:rPr>
          <w:rFonts w:eastAsia="Times New Roman"/>
        </w:rPr>
        <w:t xml:space="preserve">the language of the section is </w:t>
      </w:r>
      <w:r w:rsidRPr="004F4940" w:rsidR="00885AEB">
        <w:rPr>
          <w:rFonts w:eastAsia="Times New Roman"/>
        </w:rPr>
        <w:t xml:space="preserve">very </w:t>
      </w:r>
      <w:r w:rsidRPr="004F4940">
        <w:rPr>
          <w:rFonts w:eastAsia="Times New Roman"/>
        </w:rPr>
        <w:t xml:space="preserve">clear that a Reliability Standard may only cover </w:t>
      </w:r>
      <w:r w:rsidRPr="004F4940" w:rsidR="00C272A2">
        <w:rPr>
          <w:rFonts w:eastAsia="Times New Roman"/>
        </w:rPr>
        <w:t>‘</w:t>
      </w:r>
      <w:r w:rsidRPr="004F4940">
        <w:rPr>
          <w:rFonts w:eastAsia="Times New Roman"/>
        </w:rPr>
        <w:t>the operation</w:t>
      </w:r>
      <w:r w:rsidRPr="004F4940" w:rsidR="00C272A2">
        <w:rPr>
          <w:rFonts w:eastAsia="Times New Roman"/>
        </w:rPr>
        <w:t>’</w:t>
      </w:r>
      <w:r w:rsidRPr="004F4940">
        <w:rPr>
          <w:rFonts w:eastAsia="Times New Roman"/>
        </w:rPr>
        <w:t xml:space="preserve"> of existing facilities, where such operation shall only be </w:t>
      </w:r>
      <w:r w:rsidRPr="004F4940" w:rsidR="00C272A2">
        <w:rPr>
          <w:rFonts w:eastAsia="Times New Roman"/>
        </w:rPr>
        <w:t>‘</w:t>
      </w:r>
      <w:r w:rsidRPr="004F4940">
        <w:rPr>
          <w:rFonts w:eastAsia="Times New Roman"/>
        </w:rPr>
        <w:t>within</w:t>
      </w:r>
      <w:r w:rsidRPr="004F4940" w:rsidR="00C272A2">
        <w:rPr>
          <w:rFonts w:eastAsia="Times New Roman"/>
        </w:rPr>
        <w:t>’</w:t>
      </w:r>
      <w:r w:rsidRPr="004F4940">
        <w:rPr>
          <w:rFonts w:eastAsia="Times New Roman"/>
        </w:rPr>
        <w:t xml:space="preserve"> equipment limits exclusively for the purpose of mitigating </w:t>
      </w:r>
      <w:r w:rsidRPr="004F4940" w:rsidR="00C272A2">
        <w:rPr>
          <w:rFonts w:eastAsia="Times New Roman"/>
        </w:rPr>
        <w:t>‘</w:t>
      </w:r>
      <w:r w:rsidRPr="004F4940">
        <w:rPr>
          <w:rFonts w:eastAsia="Times New Roman"/>
        </w:rPr>
        <w:t>sudden disturbances</w:t>
      </w:r>
      <w:r w:rsidRPr="004F4940" w:rsidR="00C272A2">
        <w:rPr>
          <w:rFonts w:eastAsia="Times New Roman"/>
        </w:rPr>
        <w:t>’</w:t>
      </w:r>
      <w:r w:rsidRPr="004F4940">
        <w:rPr>
          <w:rFonts w:eastAsia="Times New Roman"/>
        </w:rPr>
        <w:t xml:space="preserve"> and </w:t>
      </w:r>
      <w:r w:rsidRPr="004F4940" w:rsidR="00C272A2">
        <w:rPr>
          <w:rFonts w:eastAsia="Times New Roman"/>
        </w:rPr>
        <w:t>‘</w:t>
      </w:r>
      <w:r w:rsidRPr="004F4940">
        <w:rPr>
          <w:rFonts w:eastAsia="Times New Roman"/>
        </w:rPr>
        <w:t>unanticipated failures.</w:t>
      </w:r>
      <w:r w:rsidRPr="004F4940" w:rsidR="00C272A2">
        <w:rPr>
          <w:rFonts w:eastAsia="Times New Roman"/>
        </w:rPr>
        <w:t>’</w:t>
      </w:r>
      <w:r w:rsidRPr="004F4940">
        <w:rPr>
          <w:rFonts w:eastAsia="Times New Roman"/>
        </w:rPr>
        <w:t>”</w:t>
      </w:r>
      <w:r>
        <w:rPr>
          <w:rStyle w:val="FootnoteReference"/>
          <w:rFonts w:eastAsia="Times New Roman"/>
        </w:rPr>
        <w:footnoteReference w:id="67"/>
      </w:r>
      <w:r w:rsidRPr="004F4940" w:rsidR="00835F06">
        <w:rPr>
          <w:rFonts w:eastAsia="Times New Roman"/>
        </w:rPr>
        <w:t xml:space="preserve">  </w:t>
      </w:r>
      <w:r w:rsidRPr="004F4940" w:rsidR="008E079E">
        <w:rPr>
          <w:rFonts w:eastAsia="Times New Roman"/>
        </w:rPr>
        <w:t>In other word</w:t>
      </w:r>
      <w:r w:rsidRPr="004F4940" w:rsidR="00720202">
        <w:rPr>
          <w:rFonts w:eastAsia="Times New Roman"/>
        </w:rPr>
        <w:t>s</w:t>
      </w:r>
      <w:r w:rsidRPr="004F4940" w:rsidR="008E079E">
        <w:rPr>
          <w:rFonts w:eastAsia="Times New Roman"/>
        </w:rPr>
        <w:t xml:space="preserve">, according </w:t>
      </w:r>
      <w:r w:rsidRPr="004F4940" w:rsidR="006D122B">
        <w:rPr>
          <w:rFonts w:eastAsia="Times New Roman"/>
        </w:rPr>
        <w:t xml:space="preserve">to </w:t>
      </w:r>
      <w:r w:rsidRPr="004F4940" w:rsidR="00835F06">
        <w:rPr>
          <w:rFonts w:eastAsia="Times New Roman"/>
        </w:rPr>
        <w:t>EPSA/PJM Group</w:t>
      </w:r>
      <w:r w:rsidRPr="004F4940" w:rsidR="006D122B">
        <w:rPr>
          <w:rFonts w:eastAsia="Times New Roman"/>
        </w:rPr>
        <w:t xml:space="preserve">, the statute authorizes </w:t>
      </w:r>
      <w:r w:rsidRPr="004F4940" w:rsidR="00DB1CC9">
        <w:rPr>
          <w:rFonts w:eastAsia="Times New Roman"/>
        </w:rPr>
        <w:t xml:space="preserve">the </w:t>
      </w:r>
      <w:r w:rsidRPr="004F4940" w:rsidR="006D122B">
        <w:rPr>
          <w:rFonts w:eastAsia="Times New Roman"/>
        </w:rPr>
        <w:t xml:space="preserve">modification of existing facilities to reliably operate within their existing </w:t>
      </w:r>
      <w:r w:rsidRPr="004F4940" w:rsidR="00B81434">
        <w:rPr>
          <w:rFonts w:eastAsia="Times New Roman"/>
        </w:rPr>
        <w:t xml:space="preserve">equipment limits but does not </w:t>
      </w:r>
      <w:r w:rsidRPr="004F4940" w:rsidR="007601E0">
        <w:rPr>
          <w:rFonts w:eastAsia="Times New Roman"/>
        </w:rPr>
        <w:t xml:space="preserve">permit a Reliability Standard that </w:t>
      </w:r>
      <w:r w:rsidRPr="004F4940" w:rsidR="00923C81">
        <w:rPr>
          <w:rFonts w:eastAsia="Times New Roman"/>
        </w:rPr>
        <w:t xml:space="preserve">changes </w:t>
      </w:r>
      <w:r w:rsidRPr="004F4940" w:rsidR="00B5536B">
        <w:rPr>
          <w:rFonts w:eastAsia="Times New Roman"/>
        </w:rPr>
        <w:t>a</w:t>
      </w:r>
      <w:r w:rsidRPr="004F4940" w:rsidR="00923C81">
        <w:rPr>
          <w:rFonts w:eastAsia="Times New Roman"/>
        </w:rPr>
        <w:t xml:space="preserve"> resource’s equipment limits.</w:t>
      </w:r>
      <w:r>
        <w:rPr>
          <w:rStyle w:val="FootnoteReference"/>
          <w:rFonts w:eastAsia="Times New Roman"/>
        </w:rPr>
        <w:footnoteReference w:id="68"/>
      </w:r>
      <w:r w:rsidRPr="004F4940" w:rsidR="00835F06">
        <w:rPr>
          <w:rFonts w:eastAsia="Times New Roman"/>
        </w:rPr>
        <w:t xml:space="preserve">  </w:t>
      </w:r>
      <w:r w:rsidRPr="004F4940" w:rsidR="007B6330">
        <w:rPr>
          <w:rFonts w:eastAsia="Times New Roman"/>
        </w:rPr>
        <w:t xml:space="preserve">In the same vein, </w:t>
      </w:r>
      <w:r w:rsidRPr="004F4940" w:rsidR="006145B1">
        <w:rPr>
          <w:rFonts w:eastAsia="Times New Roman"/>
        </w:rPr>
        <w:t xml:space="preserve">Invenergy asserts that </w:t>
      </w:r>
      <w:r w:rsidRPr="004F4940" w:rsidR="001833B2">
        <w:rPr>
          <w:rFonts w:eastAsia="Times New Roman"/>
        </w:rPr>
        <w:t xml:space="preserve">it is </w:t>
      </w:r>
      <w:r w:rsidRPr="004F4940" w:rsidR="00692394">
        <w:rPr>
          <w:rFonts w:eastAsia="Times New Roman"/>
        </w:rPr>
        <w:t>unclear whether</w:t>
      </w:r>
      <w:r w:rsidRPr="004F4940" w:rsidR="001833B2">
        <w:rPr>
          <w:rFonts w:eastAsia="Times New Roman"/>
        </w:rPr>
        <w:t xml:space="preserve"> NERC has the authority under </w:t>
      </w:r>
      <w:r w:rsidRPr="004F4940" w:rsidR="00692394">
        <w:rPr>
          <w:rFonts w:eastAsia="Times New Roman"/>
        </w:rPr>
        <w:t>s</w:t>
      </w:r>
      <w:r w:rsidRPr="004F4940" w:rsidR="001833B2">
        <w:rPr>
          <w:rFonts w:eastAsia="Times New Roman"/>
        </w:rPr>
        <w:t>ection 215 of the F</w:t>
      </w:r>
      <w:r w:rsidRPr="004F4940" w:rsidR="00692394">
        <w:rPr>
          <w:rFonts w:eastAsia="Times New Roman"/>
        </w:rPr>
        <w:t>PA</w:t>
      </w:r>
      <w:r w:rsidRPr="004F4940" w:rsidR="001833B2">
        <w:rPr>
          <w:rFonts w:eastAsia="Times New Roman"/>
        </w:rPr>
        <w:t xml:space="preserve"> to mandate retrofits on existing generators </w:t>
      </w:r>
      <w:r w:rsidRPr="004F4940" w:rsidR="00AC5396">
        <w:rPr>
          <w:rFonts w:eastAsia="Times New Roman"/>
        </w:rPr>
        <w:t xml:space="preserve">because </w:t>
      </w:r>
      <w:r w:rsidRPr="004F4940" w:rsidR="00B64639">
        <w:rPr>
          <w:rFonts w:eastAsia="Times New Roman"/>
        </w:rPr>
        <w:t>the statutory definition of R</w:t>
      </w:r>
      <w:r w:rsidRPr="004F4940" w:rsidR="001833B2">
        <w:rPr>
          <w:rFonts w:eastAsia="Times New Roman"/>
        </w:rPr>
        <w:t xml:space="preserve">eliability </w:t>
      </w:r>
      <w:r w:rsidRPr="004F4940" w:rsidR="00B64639">
        <w:rPr>
          <w:rFonts w:eastAsia="Times New Roman"/>
        </w:rPr>
        <w:t>S</w:t>
      </w:r>
      <w:r w:rsidRPr="004F4940" w:rsidR="001833B2">
        <w:rPr>
          <w:rFonts w:eastAsia="Times New Roman"/>
        </w:rPr>
        <w:t xml:space="preserve">tandard </w:t>
      </w:r>
      <w:r w:rsidRPr="004F4940" w:rsidR="00826794">
        <w:rPr>
          <w:rFonts w:eastAsia="Times New Roman"/>
        </w:rPr>
        <w:t>is limited to</w:t>
      </w:r>
      <w:r w:rsidRPr="004F4940" w:rsidR="001833B2">
        <w:rPr>
          <w:rFonts w:eastAsia="Times New Roman"/>
        </w:rPr>
        <w:t xml:space="preserve"> requirements “for the operation of existing bulk-power system facilities</w:t>
      </w:r>
      <w:r w:rsidRPr="004F4940" w:rsidR="00970137">
        <w:rPr>
          <w:rFonts w:eastAsia="Times New Roman"/>
        </w:rPr>
        <w:t>.</w:t>
      </w:r>
      <w:r w:rsidRPr="004F4940" w:rsidR="007B6330">
        <w:rPr>
          <w:rFonts w:eastAsia="Times New Roman"/>
        </w:rPr>
        <w:t>”</w:t>
      </w:r>
      <w:r>
        <w:rPr>
          <w:rStyle w:val="FootnoteReference"/>
          <w:rFonts w:eastAsia="Times New Roman"/>
        </w:rPr>
        <w:footnoteReference w:id="69"/>
      </w:r>
      <w:r w:rsidRPr="004F4940" w:rsidR="001833B2">
        <w:rPr>
          <w:rFonts w:eastAsia="Times New Roman"/>
        </w:rPr>
        <w:t xml:space="preserve"> </w:t>
      </w:r>
      <w:r w:rsidRPr="004F4940" w:rsidR="00720202">
        <w:rPr>
          <w:rFonts w:eastAsia="Times New Roman"/>
        </w:rPr>
        <w:t xml:space="preserve"> </w:t>
      </w:r>
      <w:r w:rsidRPr="004F4940" w:rsidR="00412F6B">
        <w:rPr>
          <w:rFonts w:eastAsia="Times New Roman"/>
        </w:rPr>
        <w:t xml:space="preserve">According to Invenergy, this language suggests that NERC can only mandate </w:t>
      </w:r>
      <w:r w:rsidRPr="004F4940" w:rsidR="00CB4D13">
        <w:rPr>
          <w:rFonts w:eastAsia="Times New Roman"/>
        </w:rPr>
        <w:t>modifications</w:t>
      </w:r>
      <w:r w:rsidRPr="004F4940" w:rsidR="00412F6B">
        <w:rPr>
          <w:rFonts w:eastAsia="Times New Roman"/>
        </w:rPr>
        <w:t xml:space="preserve"> when changes to a facility are already planned.</w:t>
      </w:r>
      <w:r>
        <w:rPr>
          <w:rStyle w:val="FootnoteReference"/>
          <w:rFonts w:eastAsia="Times New Roman"/>
        </w:rPr>
        <w:footnoteReference w:id="70"/>
      </w:r>
    </w:p>
    <w:p w:rsidR="009876DF" w14:paraId="4050EF06" w14:textId="77777777">
      <w:pPr>
        <w:widowControl/>
        <w:spacing w:after="160" w:line="259" w:lineRule="auto"/>
        <w:rPr>
          <w:rFonts w:eastAsia="Times New Roman"/>
        </w:rPr>
      </w:pPr>
      <w:r>
        <w:rPr>
          <w:rFonts w:eastAsia="Times New Roman"/>
        </w:rPr>
        <w:br w:type="page"/>
      </w:r>
    </w:p>
    <w:p w:rsidR="00835F06" w:rsidRPr="004F4940" w:rsidP="462A9FC4" w14:paraId="15FC7782" w14:textId="6D0213E1">
      <w:pPr>
        <w:pStyle w:val="FERCparanumber"/>
        <w:widowControl w:val="0"/>
        <w:suppressLineNumbers/>
        <w:rPr>
          <w:rFonts w:eastAsia="Times New Roman"/>
        </w:rPr>
      </w:pPr>
      <w:r w:rsidRPr="004F4940">
        <w:rPr>
          <w:rFonts w:eastAsia="Times New Roman"/>
        </w:rPr>
        <w:t xml:space="preserve">In its reply comments, NERC asserts that </w:t>
      </w:r>
      <w:r w:rsidRPr="004F4940" w:rsidR="00386202">
        <w:rPr>
          <w:rFonts w:eastAsia="Times New Roman"/>
        </w:rPr>
        <w:t xml:space="preserve">the requirements of Reliability Standard </w:t>
      </w:r>
      <w:r w:rsidRPr="004F4940">
        <w:rPr>
          <w:rFonts w:eastAsia="Times New Roman"/>
        </w:rPr>
        <w:t xml:space="preserve">EOP-012-1 </w:t>
      </w:r>
      <w:r w:rsidRPr="004F4940" w:rsidR="00386202">
        <w:rPr>
          <w:rFonts w:eastAsia="Times New Roman"/>
        </w:rPr>
        <w:t xml:space="preserve">that generator owners add freeze protection measures </w:t>
      </w:r>
      <w:r w:rsidRPr="004F4940">
        <w:rPr>
          <w:rFonts w:eastAsia="Times New Roman"/>
        </w:rPr>
        <w:t>is within the scope of its authority and that commenters argue for an overly narrow interpretation of section 215 of the FPA.</w:t>
      </w:r>
      <w:r>
        <w:rPr>
          <w:rStyle w:val="FootnoteReference"/>
          <w:rFonts w:eastAsia="Times New Roman"/>
        </w:rPr>
        <w:footnoteReference w:id="71"/>
      </w:r>
      <w:r w:rsidRPr="004F4940" w:rsidR="002E67FE">
        <w:rPr>
          <w:rFonts w:eastAsia="Times New Roman"/>
        </w:rPr>
        <w:t xml:space="preserve">  According to NERC, </w:t>
      </w:r>
      <w:r w:rsidRPr="004F4940" w:rsidR="00B44A5D">
        <w:rPr>
          <w:rFonts w:eastAsia="Times New Roman"/>
        </w:rPr>
        <w:t>EOP-012-1</w:t>
      </w:r>
      <w:r w:rsidRPr="004F4940" w:rsidR="00BE20E7">
        <w:rPr>
          <w:rFonts w:eastAsia="Times New Roman"/>
        </w:rPr>
        <w:t xml:space="preserve"> satisfies </w:t>
      </w:r>
      <w:r w:rsidRPr="004F4940" w:rsidR="00B20A4B">
        <w:rPr>
          <w:rFonts w:eastAsia="Times New Roman"/>
        </w:rPr>
        <w:t>a</w:t>
      </w:r>
      <w:r w:rsidRPr="004F4940" w:rsidR="00BE20E7">
        <w:rPr>
          <w:rFonts w:eastAsia="Times New Roman"/>
        </w:rPr>
        <w:t xml:space="preserve"> three</w:t>
      </w:r>
      <w:r w:rsidRPr="004F4940" w:rsidR="004967CA">
        <w:rPr>
          <w:rFonts w:eastAsia="Times New Roman"/>
        </w:rPr>
        <w:t xml:space="preserve">-part </w:t>
      </w:r>
      <w:r w:rsidRPr="004F4940" w:rsidR="008401EB">
        <w:rPr>
          <w:rFonts w:eastAsia="Times New Roman"/>
        </w:rPr>
        <w:t xml:space="preserve">framework </w:t>
      </w:r>
      <w:r w:rsidRPr="004F4940" w:rsidR="00F47D54">
        <w:rPr>
          <w:rFonts w:eastAsia="Times New Roman"/>
        </w:rPr>
        <w:t xml:space="preserve">for analyzing whether a proposed </w:t>
      </w:r>
      <w:r w:rsidRPr="004F4940" w:rsidR="007810D6">
        <w:rPr>
          <w:rFonts w:eastAsia="Times New Roman"/>
        </w:rPr>
        <w:t>R</w:t>
      </w:r>
      <w:r w:rsidRPr="004F4940" w:rsidR="00F47D54">
        <w:rPr>
          <w:rFonts w:eastAsia="Times New Roman"/>
        </w:rPr>
        <w:t xml:space="preserve">eliability </w:t>
      </w:r>
      <w:r w:rsidRPr="004F4940" w:rsidR="00B44A5D">
        <w:rPr>
          <w:rFonts w:eastAsia="Times New Roman"/>
        </w:rPr>
        <w:t>S</w:t>
      </w:r>
      <w:r w:rsidRPr="004F4940" w:rsidR="00F47D54">
        <w:rPr>
          <w:rFonts w:eastAsia="Times New Roman"/>
        </w:rPr>
        <w:t xml:space="preserve">tandard is within </w:t>
      </w:r>
      <w:r w:rsidRPr="004F4940" w:rsidR="00B44A5D">
        <w:rPr>
          <w:rFonts w:eastAsia="Times New Roman"/>
        </w:rPr>
        <w:t>the ERO’</w:t>
      </w:r>
      <w:r w:rsidRPr="004F4940" w:rsidR="00F47D54">
        <w:rPr>
          <w:rFonts w:eastAsia="Times New Roman"/>
        </w:rPr>
        <w:t>s authority under the statute</w:t>
      </w:r>
      <w:r w:rsidRPr="004F4940" w:rsidR="00150234">
        <w:rPr>
          <w:rFonts w:eastAsia="Times New Roman"/>
        </w:rPr>
        <w:t>, namely</w:t>
      </w:r>
      <w:r w:rsidRPr="004F4940" w:rsidR="0058088A">
        <w:rPr>
          <w:rFonts w:eastAsia="Times New Roman"/>
        </w:rPr>
        <w:t xml:space="preserve"> that the Standard</w:t>
      </w:r>
      <w:r w:rsidRPr="004F4940" w:rsidR="00150234">
        <w:rPr>
          <w:rFonts w:eastAsia="Times New Roman"/>
        </w:rPr>
        <w:t>:  (1)</w:t>
      </w:r>
      <w:r w:rsidRPr="004F4940" w:rsidR="005E6556">
        <w:rPr>
          <w:rFonts w:eastAsia="Times New Roman"/>
        </w:rPr>
        <w:t xml:space="preserve"> </w:t>
      </w:r>
      <w:r w:rsidRPr="004F4940" w:rsidR="00CF5817">
        <w:rPr>
          <w:rFonts w:eastAsia="Times New Roman"/>
        </w:rPr>
        <w:t>applies to users, owner</w:t>
      </w:r>
      <w:r w:rsidRPr="004F4940" w:rsidR="00BE2771">
        <w:rPr>
          <w:rFonts w:eastAsia="Times New Roman"/>
        </w:rPr>
        <w:t>s or operators of the Bulk-Power System</w:t>
      </w:r>
      <w:r w:rsidRPr="004F4940" w:rsidR="00D42AA9">
        <w:rPr>
          <w:rFonts w:eastAsia="Times New Roman"/>
        </w:rPr>
        <w:t>;</w:t>
      </w:r>
      <w:r w:rsidRPr="004F4940" w:rsidR="00BE2771">
        <w:rPr>
          <w:rFonts w:eastAsia="Times New Roman"/>
        </w:rPr>
        <w:t xml:space="preserve"> </w:t>
      </w:r>
      <w:r w:rsidRPr="004F4940" w:rsidR="00D42AA9">
        <w:rPr>
          <w:rFonts w:eastAsia="Times New Roman"/>
        </w:rPr>
        <w:t xml:space="preserve">(2) </w:t>
      </w:r>
      <w:r w:rsidRPr="004F4940" w:rsidR="0058088A">
        <w:rPr>
          <w:rFonts w:eastAsia="Times New Roman"/>
        </w:rPr>
        <w:t>provide</w:t>
      </w:r>
      <w:r w:rsidRPr="004F4940" w:rsidR="006C7A8F">
        <w:rPr>
          <w:rFonts w:eastAsia="Times New Roman"/>
        </w:rPr>
        <w:t>s</w:t>
      </w:r>
      <w:r w:rsidRPr="004F4940" w:rsidR="0058088A">
        <w:rPr>
          <w:rFonts w:eastAsia="Times New Roman"/>
        </w:rPr>
        <w:t xml:space="preserve"> for the reliable operation of the Bulk-Power System; and (3) </w:t>
      </w:r>
      <w:r w:rsidRPr="004F4940" w:rsidR="00CD28B8">
        <w:rPr>
          <w:rFonts w:eastAsia="Times New Roman"/>
        </w:rPr>
        <w:t>may include operational or design requirements, but may not address matters expressly excluded in the statute that were historically left to the jurisdiction of the states</w:t>
      </w:r>
      <w:r w:rsidRPr="004F4940" w:rsidR="005B2BFE">
        <w:rPr>
          <w:rFonts w:eastAsia="Times New Roman"/>
        </w:rPr>
        <w:t>.</w:t>
      </w:r>
      <w:r w:rsidRPr="004F4940" w:rsidR="00A83E48">
        <w:rPr>
          <w:rFonts w:eastAsia="Times New Roman"/>
        </w:rPr>
        <w:t xml:space="preserve">  </w:t>
      </w:r>
      <w:r w:rsidRPr="004F4940" w:rsidR="002C28F3">
        <w:rPr>
          <w:rFonts w:eastAsia="Times New Roman"/>
        </w:rPr>
        <w:t>Focusing on</w:t>
      </w:r>
      <w:r w:rsidRPr="004F4940" w:rsidR="009E102E">
        <w:rPr>
          <w:rFonts w:eastAsia="Times New Roman"/>
        </w:rPr>
        <w:t xml:space="preserve"> the </w:t>
      </w:r>
      <w:r w:rsidRPr="004F4940" w:rsidR="000D2D31">
        <w:rPr>
          <w:rFonts w:eastAsia="Times New Roman"/>
        </w:rPr>
        <w:t>third</w:t>
      </w:r>
      <w:r w:rsidRPr="004F4940" w:rsidR="009E102E">
        <w:rPr>
          <w:rFonts w:eastAsia="Times New Roman"/>
        </w:rPr>
        <w:t xml:space="preserve"> prong,</w:t>
      </w:r>
      <w:r w:rsidRPr="004F4940" w:rsidR="00AB7C4D">
        <w:rPr>
          <w:rFonts w:eastAsia="Times New Roman"/>
        </w:rPr>
        <w:t xml:space="preserve"> </w:t>
      </w:r>
      <w:r w:rsidRPr="004F4940" w:rsidR="005343C8">
        <w:rPr>
          <w:rFonts w:eastAsia="Times New Roman"/>
        </w:rPr>
        <w:t>NERC explains that</w:t>
      </w:r>
      <w:r w:rsidRPr="004F4940" w:rsidR="00BF0A05">
        <w:rPr>
          <w:rFonts w:eastAsia="Times New Roman"/>
        </w:rPr>
        <w:t xml:space="preserve"> Reliability Standard EOP-012-1 </w:t>
      </w:r>
      <w:r w:rsidRPr="004F4940" w:rsidR="00DC3009">
        <w:rPr>
          <w:rFonts w:eastAsia="Times New Roman"/>
        </w:rPr>
        <w:t xml:space="preserve">pertains to </w:t>
      </w:r>
      <w:r w:rsidRPr="004F4940" w:rsidR="00AA3EC8">
        <w:rPr>
          <w:rFonts w:eastAsia="Times New Roman"/>
        </w:rPr>
        <w:t xml:space="preserve">the operation of existing facilities and the design of planned additions or modifications to such facilities as needed to provide for the reliable operation of the </w:t>
      </w:r>
      <w:r w:rsidRPr="004F4940" w:rsidR="00977E86">
        <w:rPr>
          <w:rFonts w:eastAsia="Times New Roman"/>
        </w:rPr>
        <w:t>B</w:t>
      </w:r>
      <w:r w:rsidRPr="004F4940" w:rsidR="00AA3EC8">
        <w:rPr>
          <w:rFonts w:eastAsia="Times New Roman"/>
        </w:rPr>
        <w:t>ulk-</w:t>
      </w:r>
      <w:r w:rsidRPr="004F4940" w:rsidR="00977E86">
        <w:rPr>
          <w:rFonts w:eastAsia="Times New Roman"/>
        </w:rPr>
        <w:t>P</w:t>
      </w:r>
      <w:r w:rsidRPr="004F4940" w:rsidR="00AA3EC8">
        <w:rPr>
          <w:rFonts w:eastAsia="Times New Roman"/>
        </w:rPr>
        <w:t xml:space="preserve">ower </w:t>
      </w:r>
      <w:r w:rsidRPr="004F4940" w:rsidR="00977E86">
        <w:rPr>
          <w:rFonts w:eastAsia="Times New Roman"/>
        </w:rPr>
        <w:t>S</w:t>
      </w:r>
      <w:r w:rsidRPr="004F4940" w:rsidR="00AA3EC8">
        <w:rPr>
          <w:rFonts w:eastAsia="Times New Roman"/>
        </w:rPr>
        <w:t>ystem</w:t>
      </w:r>
      <w:r w:rsidRPr="004F4940" w:rsidR="00977E86">
        <w:rPr>
          <w:rFonts w:eastAsia="Times New Roman"/>
        </w:rPr>
        <w:t xml:space="preserve">, which is </w:t>
      </w:r>
      <w:r w:rsidRPr="004F4940" w:rsidR="00CF3E50">
        <w:rPr>
          <w:rFonts w:eastAsia="Times New Roman"/>
        </w:rPr>
        <w:t xml:space="preserve">explicitly included in the statutory definition of </w:t>
      </w:r>
      <w:r w:rsidRPr="004F4940" w:rsidR="00D55FE4">
        <w:rPr>
          <w:rFonts w:eastAsia="Times New Roman"/>
        </w:rPr>
        <w:t xml:space="preserve">Reliability Standard.  </w:t>
      </w:r>
      <w:r w:rsidRPr="004F4940" w:rsidR="005108C8">
        <w:rPr>
          <w:rFonts w:eastAsia="Times New Roman"/>
        </w:rPr>
        <w:t xml:space="preserve">NERC </w:t>
      </w:r>
      <w:r w:rsidRPr="004F4940" w:rsidR="00182853">
        <w:rPr>
          <w:rFonts w:eastAsia="Times New Roman"/>
        </w:rPr>
        <w:t>argues</w:t>
      </w:r>
      <w:r w:rsidRPr="004F4940" w:rsidR="00F94299">
        <w:rPr>
          <w:rFonts w:eastAsia="Times New Roman"/>
        </w:rPr>
        <w:t xml:space="preserve"> </w:t>
      </w:r>
      <w:r w:rsidRPr="004F4940" w:rsidR="005108C8">
        <w:rPr>
          <w:rFonts w:eastAsia="Times New Roman"/>
        </w:rPr>
        <w:t>that</w:t>
      </w:r>
      <w:r w:rsidRPr="004F4940" w:rsidR="00C86B77">
        <w:rPr>
          <w:rFonts w:eastAsia="Times New Roman"/>
        </w:rPr>
        <w:t>, while</w:t>
      </w:r>
      <w:r w:rsidRPr="004F4940" w:rsidR="005108C8">
        <w:rPr>
          <w:rFonts w:eastAsia="Times New Roman"/>
        </w:rPr>
        <w:t xml:space="preserve"> the </w:t>
      </w:r>
      <w:r w:rsidRPr="004F4940" w:rsidR="005343C8">
        <w:rPr>
          <w:rFonts w:eastAsia="Times New Roman"/>
        </w:rPr>
        <w:t>statutory definition of Reliability Standard</w:t>
      </w:r>
      <w:r w:rsidRPr="004F4940" w:rsidR="00AC5EEC">
        <w:rPr>
          <w:rFonts w:eastAsia="Times New Roman"/>
        </w:rPr>
        <w:t xml:space="preserve"> </w:t>
      </w:r>
      <w:r w:rsidRPr="004F4940" w:rsidR="00FA77CC">
        <w:rPr>
          <w:rFonts w:eastAsia="Times New Roman"/>
        </w:rPr>
        <w:t>specifically</w:t>
      </w:r>
      <w:r w:rsidRPr="004F4940" w:rsidR="00285DA9">
        <w:rPr>
          <w:rFonts w:eastAsia="Times New Roman"/>
        </w:rPr>
        <w:t xml:space="preserve"> </w:t>
      </w:r>
      <w:r w:rsidRPr="004F4940" w:rsidR="00C35AF9">
        <w:rPr>
          <w:rFonts w:eastAsia="Times New Roman"/>
        </w:rPr>
        <w:t>exclu</w:t>
      </w:r>
      <w:r w:rsidRPr="004F4940" w:rsidR="00594690">
        <w:rPr>
          <w:rFonts w:eastAsia="Times New Roman"/>
        </w:rPr>
        <w:t>des</w:t>
      </w:r>
      <w:r w:rsidRPr="004F4940" w:rsidR="00C35AF9">
        <w:rPr>
          <w:rFonts w:eastAsia="Times New Roman"/>
        </w:rPr>
        <w:t xml:space="preserve"> </w:t>
      </w:r>
      <w:r w:rsidRPr="004F4940" w:rsidR="002E6212">
        <w:rPr>
          <w:rFonts w:eastAsia="Times New Roman"/>
        </w:rPr>
        <w:t xml:space="preserve">“any </w:t>
      </w:r>
      <w:r w:rsidRPr="004F4940" w:rsidR="00C35AF9">
        <w:rPr>
          <w:rFonts w:eastAsia="Times New Roman"/>
        </w:rPr>
        <w:t xml:space="preserve">requirement to enlarge </w:t>
      </w:r>
      <w:r w:rsidRPr="004F4940" w:rsidR="00226A44">
        <w:rPr>
          <w:rFonts w:eastAsia="Times New Roman"/>
        </w:rPr>
        <w:t>[</w:t>
      </w:r>
      <w:r w:rsidRPr="004F4940" w:rsidR="00C35AF9">
        <w:rPr>
          <w:rFonts w:eastAsia="Times New Roman"/>
        </w:rPr>
        <w:t>existing</w:t>
      </w:r>
      <w:r w:rsidRPr="004F4940" w:rsidR="00226A44">
        <w:rPr>
          <w:rFonts w:eastAsia="Times New Roman"/>
        </w:rPr>
        <w:t>]</w:t>
      </w:r>
      <w:r w:rsidRPr="004F4940" w:rsidR="00C35AF9">
        <w:rPr>
          <w:rFonts w:eastAsia="Times New Roman"/>
        </w:rPr>
        <w:t xml:space="preserve"> facilities </w:t>
      </w:r>
      <w:r w:rsidRPr="004F4940" w:rsidR="00FB5317">
        <w:rPr>
          <w:rFonts w:eastAsia="Times New Roman"/>
        </w:rPr>
        <w:t>or</w:t>
      </w:r>
      <w:r w:rsidRPr="004F4940" w:rsidR="00C35AF9">
        <w:rPr>
          <w:rFonts w:eastAsia="Times New Roman"/>
        </w:rPr>
        <w:t xml:space="preserve"> to construct new transmission capacity or generation capacity</w:t>
      </w:r>
      <w:r w:rsidRPr="004F4940" w:rsidR="00175E6B">
        <w:rPr>
          <w:rFonts w:eastAsia="Times New Roman"/>
        </w:rPr>
        <w:t>,</w:t>
      </w:r>
      <w:r w:rsidRPr="004F4940" w:rsidR="003D6444">
        <w:rPr>
          <w:rFonts w:eastAsia="Times New Roman"/>
        </w:rPr>
        <w:t>”</w:t>
      </w:r>
      <w:r w:rsidRPr="004F4940" w:rsidR="009B6778">
        <w:rPr>
          <w:rFonts w:eastAsia="Times New Roman"/>
        </w:rPr>
        <w:t xml:space="preserve"> </w:t>
      </w:r>
      <w:r w:rsidRPr="004F4940" w:rsidR="00EB786A">
        <w:rPr>
          <w:rFonts w:eastAsia="Times New Roman"/>
        </w:rPr>
        <w:t>EPSA/PJM Group</w:t>
      </w:r>
      <w:r w:rsidRPr="004F4940" w:rsidR="00C86693">
        <w:rPr>
          <w:rFonts w:eastAsia="Times New Roman"/>
        </w:rPr>
        <w:t>’s</w:t>
      </w:r>
      <w:r w:rsidRPr="004F4940" w:rsidR="00EB786A">
        <w:rPr>
          <w:rFonts w:eastAsia="Times New Roman"/>
        </w:rPr>
        <w:t xml:space="preserve"> </w:t>
      </w:r>
      <w:r w:rsidRPr="004F4940" w:rsidR="00834DB2">
        <w:rPr>
          <w:rFonts w:eastAsia="Times New Roman"/>
        </w:rPr>
        <w:t>narrow reading</w:t>
      </w:r>
      <w:r w:rsidRPr="004F4940" w:rsidR="008C48CE">
        <w:rPr>
          <w:rFonts w:eastAsia="Times New Roman"/>
        </w:rPr>
        <w:t xml:space="preserve"> of the </w:t>
      </w:r>
      <w:r w:rsidRPr="004F4940" w:rsidR="00D764EC">
        <w:rPr>
          <w:rFonts w:eastAsia="Times New Roman"/>
        </w:rPr>
        <w:t xml:space="preserve">definition </w:t>
      </w:r>
      <w:r w:rsidRPr="004F4940" w:rsidR="00EB786A">
        <w:rPr>
          <w:rFonts w:eastAsia="Times New Roman"/>
        </w:rPr>
        <w:t>would</w:t>
      </w:r>
      <w:r w:rsidRPr="004F4940" w:rsidR="008B23A4">
        <w:rPr>
          <w:rFonts w:eastAsia="Times New Roman"/>
        </w:rPr>
        <w:t xml:space="preserve"> write in</w:t>
      </w:r>
      <w:r w:rsidRPr="004F4940" w:rsidR="00373276">
        <w:rPr>
          <w:rFonts w:eastAsia="Times New Roman"/>
        </w:rPr>
        <w:t>to the statute</w:t>
      </w:r>
      <w:r w:rsidRPr="004F4940" w:rsidR="008B23A4">
        <w:rPr>
          <w:rFonts w:eastAsia="Times New Roman"/>
        </w:rPr>
        <w:t xml:space="preserve"> a new exclusio</w:t>
      </w:r>
      <w:r w:rsidRPr="004F4940" w:rsidR="003D0176">
        <w:rPr>
          <w:rFonts w:eastAsia="Times New Roman"/>
        </w:rPr>
        <w:t>n</w:t>
      </w:r>
      <w:r w:rsidRPr="004F4940" w:rsidR="00DD6E0F">
        <w:rPr>
          <w:rFonts w:eastAsia="Times New Roman"/>
        </w:rPr>
        <w:t xml:space="preserve"> that</w:t>
      </w:r>
      <w:r w:rsidRPr="004F4940" w:rsidR="00373276">
        <w:rPr>
          <w:rFonts w:eastAsia="Times New Roman"/>
        </w:rPr>
        <w:t xml:space="preserve"> </w:t>
      </w:r>
      <w:r w:rsidRPr="004F4940" w:rsidR="00DD6E0F">
        <w:rPr>
          <w:rFonts w:eastAsia="Times New Roman"/>
        </w:rPr>
        <w:t>does not exist</w:t>
      </w:r>
      <w:r w:rsidRPr="004F4940" w:rsidR="003D0176">
        <w:rPr>
          <w:rFonts w:eastAsia="Times New Roman"/>
        </w:rPr>
        <w:t>.</w:t>
      </w:r>
    </w:p>
    <w:p w:rsidR="00755752" w:rsidRPr="004F4940" w:rsidP="00220F41" w14:paraId="1181679C" w14:textId="77777777">
      <w:pPr>
        <w:pStyle w:val="Heading4"/>
      </w:pPr>
      <w:r w:rsidRPr="004F4940">
        <w:rPr>
          <w:rFonts w:eastAsia="Times New Roman"/>
        </w:rPr>
        <w:t xml:space="preserve">Commission </w:t>
      </w:r>
      <w:r w:rsidRPr="004F4940">
        <w:t>Determination</w:t>
      </w:r>
    </w:p>
    <w:p w:rsidR="004E09B4" w:rsidRPr="004F4940" w:rsidP="462A9FC4" w14:paraId="2C7073AF" w14:textId="487B84CC">
      <w:pPr>
        <w:pStyle w:val="FERCparanumber"/>
        <w:widowControl w:val="0"/>
        <w:suppressLineNumbers/>
        <w:rPr>
          <w:rFonts w:eastAsia="Times New Roman"/>
        </w:rPr>
      </w:pPr>
      <w:r w:rsidRPr="004F4940">
        <w:rPr>
          <w:rFonts w:eastAsia="Times New Roman"/>
        </w:rPr>
        <w:t>We</w:t>
      </w:r>
      <w:r w:rsidRPr="004F4940" w:rsidR="00D642D1">
        <w:rPr>
          <w:rFonts w:eastAsia="Times New Roman"/>
        </w:rPr>
        <w:t xml:space="preserve"> are n</w:t>
      </w:r>
      <w:r w:rsidRPr="004F4940" w:rsidR="00A701E2">
        <w:rPr>
          <w:rFonts w:eastAsia="Times New Roman"/>
        </w:rPr>
        <w:t xml:space="preserve">ot persuaded by EPSA/PJM Group </w:t>
      </w:r>
      <w:r w:rsidRPr="004F4940" w:rsidR="00CD2BE7">
        <w:rPr>
          <w:rFonts w:eastAsia="Times New Roman"/>
        </w:rPr>
        <w:t xml:space="preserve">and Invenergy’s </w:t>
      </w:r>
      <w:r w:rsidRPr="004F4940" w:rsidR="00A701E2">
        <w:rPr>
          <w:rFonts w:eastAsia="Times New Roman"/>
        </w:rPr>
        <w:t>arguments</w:t>
      </w:r>
      <w:r w:rsidRPr="004F4940" w:rsidR="007C1B50">
        <w:rPr>
          <w:rFonts w:eastAsia="Times New Roman"/>
        </w:rPr>
        <w:t xml:space="preserve"> and conclude that </w:t>
      </w:r>
      <w:r w:rsidRPr="004F4940" w:rsidR="004874D9">
        <w:rPr>
          <w:rFonts w:eastAsia="Times New Roman"/>
        </w:rPr>
        <w:t xml:space="preserve">Reliability Standard EOP-012-1 </w:t>
      </w:r>
      <w:r w:rsidRPr="004F4940" w:rsidR="00856711">
        <w:rPr>
          <w:rFonts w:eastAsia="Times New Roman"/>
        </w:rPr>
        <w:t>Requirements R1 and R2</w:t>
      </w:r>
      <w:r w:rsidRPr="004F4940" w:rsidR="00B2343F">
        <w:rPr>
          <w:rFonts w:eastAsia="Times New Roman"/>
        </w:rPr>
        <w:t xml:space="preserve"> </w:t>
      </w:r>
      <w:r w:rsidRPr="004F4940" w:rsidR="00930C13">
        <w:rPr>
          <w:rFonts w:eastAsia="Times New Roman"/>
        </w:rPr>
        <w:t xml:space="preserve">are </w:t>
      </w:r>
      <w:r w:rsidRPr="004F4940" w:rsidR="00395205">
        <w:rPr>
          <w:rFonts w:eastAsia="Times New Roman"/>
        </w:rPr>
        <w:t>within</w:t>
      </w:r>
      <w:r w:rsidRPr="004F4940" w:rsidR="00930C13">
        <w:rPr>
          <w:rFonts w:eastAsia="Times New Roman"/>
        </w:rPr>
        <w:t xml:space="preserve"> the</w:t>
      </w:r>
      <w:r w:rsidRPr="004F4940" w:rsidR="00324E7C">
        <w:rPr>
          <w:rFonts w:eastAsia="Times New Roman"/>
        </w:rPr>
        <w:t xml:space="preserve"> </w:t>
      </w:r>
      <w:r w:rsidRPr="004F4940" w:rsidR="00395205">
        <w:rPr>
          <w:rFonts w:eastAsia="Times New Roman"/>
        </w:rPr>
        <w:t xml:space="preserve">statutory </w:t>
      </w:r>
      <w:r w:rsidRPr="004F4940" w:rsidR="00D21F15">
        <w:rPr>
          <w:rFonts w:eastAsia="Times New Roman"/>
        </w:rPr>
        <w:t>authority</w:t>
      </w:r>
      <w:r w:rsidRPr="004F4940" w:rsidR="00324E7C">
        <w:rPr>
          <w:rFonts w:eastAsia="Times New Roman"/>
        </w:rPr>
        <w:t xml:space="preserve"> of the</w:t>
      </w:r>
      <w:r w:rsidRPr="004F4940" w:rsidR="00930C13">
        <w:rPr>
          <w:rFonts w:eastAsia="Times New Roman"/>
        </w:rPr>
        <w:t xml:space="preserve"> ERO and</w:t>
      </w:r>
      <w:r w:rsidRPr="004F4940" w:rsidR="006339EC">
        <w:rPr>
          <w:rFonts w:eastAsia="Times New Roman"/>
        </w:rPr>
        <w:t xml:space="preserve"> the Commission.  </w:t>
      </w:r>
      <w:r w:rsidRPr="004F4940" w:rsidR="009D7AE2">
        <w:rPr>
          <w:rFonts w:eastAsia="Times New Roman"/>
        </w:rPr>
        <w:t>W</w:t>
      </w:r>
      <w:r w:rsidRPr="004F4940" w:rsidR="00F634DC">
        <w:rPr>
          <w:rFonts w:eastAsia="Times New Roman"/>
        </w:rPr>
        <w:t xml:space="preserve">e </w:t>
      </w:r>
      <w:r w:rsidRPr="004F4940" w:rsidR="00407478">
        <w:rPr>
          <w:rFonts w:eastAsia="Times New Roman"/>
        </w:rPr>
        <w:t>agree with NERC</w:t>
      </w:r>
      <w:r w:rsidRPr="004F4940" w:rsidR="00F634DC">
        <w:rPr>
          <w:rFonts w:eastAsia="Times New Roman"/>
        </w:rPr>
        <w:t xml:space="preserve"> t</w:t>
      </w:r>
      <w:r w:rsidRPr="004F4940" w:rsidR="00464B2D">
        <w:rPr>
          <w:rFonts w:eastAsia="Times New Roman"/>
        </w:rPr>
        <w:t xml:space="preserve">hat </w:t>
      </w:r>
      <w:r w:rsidRPr="004F4940" w:rsidR="008D288B">
        <w:rPr>
          <w:rFonts w:eastAsia="Times New Roman"/>
        </w:rPr>
        <w:t>EPSA/P</w:t>
      </w:r>
      <w:r w:rsidRPr="004F4940" w:rsidR="004D39E5">
        <w:rPr>
          <w:rFonts w:eastAsia="Times New Roman"/>
        </w:rPr>
        <w:t>J</w:t>
      </w:r>
      <w:r w:rsidRPr="004F4940" w:rsidR="008D288B">
        <w:rPr>
          <w:rFonts w:eastAsia="Times New Roman"/>
        </w:rPr>
        <w:t>M Group</w:t>
      </w:r>
      <w:r w:rsidRPr="004F4940" w:rsidR="00EC222B">
        <w:rPr>
          <w:rFonts w:eastAsia="Times New Roman"/>
        </w:rPr>
        <w:t xml:space="preserve"> </w:t>
      </w:r>
      <w:r w:rsidRPr="004F4940" w:rsidR="00102C98">
        <w:rPr>
          <w:rFonts w:eastAsia="Times New Roman"/>
        </w:rPr>
        <w:t>and Inve</w:t>
      </w:r>
      <w:r w:rsidRPr="004F4940" w:rsidR="00C473EC">
        <w:rPr>
          <w:rFonts w:eastAsia="Times New Roman"/>
        </w:rPr>
        <w:t>nergy</w:t>
      </w:r>
      <w:r w:rsidRPr="004F4940" w:rsidR="00102C98">
        <w:rPr>
          <w:rFonts w:eastAsia="Times New Roman"/>
        </w:rPr>
        <w:t xml:space="preserve"> </w:t>
      </w:r>
      <w:r w:rsidRPr="004F4940" w:rsidR="00513799">
        <w:rPr>
          <w:rFonts w:eastAsia="Times New Roman"/>
        </w:rPr>
        <w:t>narrow</w:t>
      </w:r>
      <w:r w:rsidRPr="004F4940" w:rsidR="00786E8C">
        <w:rPr>
          <w:rFonts w:eastAsia="Times New Roman"/>
        </w:rPr>
        <w:t>ly</w:t>
      </w:r>
      <w:r w:rsidRPr="004F4940" w:rsidR="00513799">
        <w:rPr>
          <w:rFonts w:eastAsia="Times New Roman"/>
        </w:rPr>
        <w:t xml:space="preserve"> </w:t>
      </w:r>
      <w:r w:rsidRPr="004F4940" w:rsidR="00341518">
        <w:rPr>
          <w:rFonts w:eastAsia="Times New Roman"/>
        </w:rPr>
        <w:t xml:space="preserve">interpret the </w:t>
      </w:r>
      <w:r w:rsidRPr="004F4940" w:rsidR="004E3CFC">
        <w:rPr>
          <w:rFonts w:eastAsia="Times New Roman"/>
        </w:rPr>
        <w:t>terms</w:t>
      </w:r>
      <w:r w:rsidRPr="004F4940" w:rsidR="00341518">
        <w:rPr>
          <w:rFonts w:eastAsia="Times New Roman"/>
        </w:rPr>
        <w:t xml:space="preserve"> </w:t>
      </w:r>
      <w:r w:rsidRPr="004F4940" w:rsidR="00AF2508">
        <w:rPr>
          <w:rFonts w:eastAsia="Times New Roman"/>
        </w:rPr>
        <w:t>“</w:t>
      </w:r>
      <w:r w:rsidRPr="004F4940" w:rsidR="00341518">
        <w:rPr>
          <w:rFonts w:eastAsia="Times New Roman"/>
        </w:rPr>
        <w:t>Reliability Standard</w:t>
      </w:r>
      <w:r w:rsidRPr="004F4940" w:rsidR="00AF2508">
        <w:rPr>
          <w:rFonts w:eastAsia="Times New Roman"/>
        </w:rPr>
        <w:t>”</w:t>
      </w:r>
      <w:r w:rsidRPr="004F4940" w:rsidR="00513799">
        <w:rPr>
          <w:rFonts w:eastAsia="Times New Roman"/>
        </w:rPr>
        <w:t xml:space="preserve"> </w:t>
      </w:r>
      <w:r w:rsidRPr="004F4940" w:rsidR="003E77A3">
        <w:rPr>
          <w:rFonts w:eastAsia="Times New Roman"/>
        </w:rPr>
        <w:t xml:space="preserve">and </w:t>
      </w:r>
      <w:r w:rsidRPr="004F4940" w:rsidR="00AF2508">
        <w:rPr>
          <w:rFonts w:eastAsia="Times New Roman"/>
        </w:rPr>
        <w:t>“</w:t>
      </w:r>
      <w:r w:rsidRPr="004F4940" w:rsidR="003E77A3">
        <w:rPr>
          <w:rFonts w:eastAsia="Times New Roman"/>
        </w:rPr>
        <w:t>Reliable Operation</w:t>
      </w:r>
      <w:r w:rsidRPr="004F4940" w:rsidR="00AF2508">
        <w:rPr>
          <w:rFonts w:eastAsia="Times New Roman"/>
        </w:rPr>
        <w:t>”</w:t>
      </w:r>
      <w:r w:rsidRPr="004F4940" w:rsidR="003E77A3">
        <w:rPr>
          <w:rFonts w:eastAsia="Times New Roman"/>
        </w:rPr>
        <w:t xml:space="preserve"> </w:t>
      </w:r>
      <w:r w:rsidRPr="004F4940" w:rsidR="00C91367">
        <w:rPr>
          <w:rFonts w:eastAsia="Times New Roman"/>
        </w:rPr>
        <w:t xml:space="preserve">under section 215 of the FPA </w:t>
      </w:r>
      <w:r w:rsidRPr="004F4940" w:rsidR="00CC65A3">
        <w:rPr>
          <w:rFonts w:eastAsia="Times New Roman"/>
        </w:rPr>
        <w:t xml:space="preserve">to </w:t>
      </w:r>
      <w:r w:rsidRPr="004F4940" w:rsidR="00252119">
        <w:rPr>
          <w:rFonts w:eastAsia="Times New Roman"/>
        </w:rPr>
        <w:t xml:space="preserve">reach an </w:t>
      </w:r>
      <w:r w:rsidRPr="004F4940" w:rsidR="0065289A">
        <w:rPr>
          <w:rFonts w:eastAsia="Times New Roman"/>
        </w:rPr>
        <w:t>inaccurate</w:t>
      </w:r>
      <w:r w:rsidRPr="004F4940" w:rsidR="007205F5">
        <w:rPr>
          <w:rFonts w:eastAsia="Times New Roman"/>
        </w:rPr>
        <w:t xml:space="preserve"> conclusion</w:t>
      </w:r>
      <w:r w:rsidRPr="004F4940" w:rsidR="00B17AD5">
        <w:rPr>
          <w:rFonts w:eastAsia="Times New Roman"/>
        </w:rPr>
        <w:t xml:space="preserve"> regarding </w:t>
      </w:r>
      <w:r w:rsidRPr="004F4940" w:rsidR="006C200A">
        <w:rPr>
          <w:rFonts w:eastAsia="Times New Roman"/>
        </w:rPr>
        <w:t xml:space="preserve">the ERO and </w:t>
      </w:r>
      <w:r w:rsidRPr="004F4940" w:rsidR="0092647F">
        <w:rPr>
          <w:rFonts w:eastAsia="Times New Roman"/>
        </w:rPr>
        <w:t xml:space="preserve">the </w:t>
      </w:r>
      <w:r w:rsidRPr="004F4940" w:rsidR="006C200A">
        <w:rPr>
          <w:rFonts w:eastAsia="Times New Roman"/>
        </w:rPr>
        <w:t>Commission’s</w:t>
      </w:r>
      <w:r w:rsidRPr="004F4940" w:rsidR="00B17AD5">
        <w:rPr>
          <w:rFonts w:eastAsia="Times New Roman"/>
        </w:rPr>
        <w:t xml:space="preserve"> statutory </w:t>
      </w:r>
      <w:r w:rsidRPr="004F4940" w:rsidR="003A15FF">
        <w:rPr>
          <w:rFonts w:eastAsia="Times New Roman"/>
        </w:rPr>
        <w:t>authority</w:t>
      </w:r>
      <w:r w:rsidRPr="004F4940" w:rsidR="00085EE1">
        <w:rPr>
          <w:rFonts w:eastAsia="Times New Roman"/>
        </w:rPr>
        <w:t>.</w:t>
      </w:r>
      <w:r>
        <w:rPr>
          <w:rStyle w:val="FootnoteReference"/>
          <w:rFonts w:eastAsia="Times New Roman"/>
        </w:rPr>
        <w:footnoteReference w:id="72"/>
      </w:r>
    </w:p>
    <w:p w:rsidR="00577CA9" w:rsidRPr="004F4940" w:rsidP="009D212D" w14:paraId="7112DA43" w14:textId="34B93110">
      <w:pPr>
        <w:pStyle w:val="FERCparanumber"/>
        <w:suppressLineNumbers/>
        <w:rPr>
          <w:rFonts w:eastAsia="Times New Roman"/>
        </w:rPr>
      </w:pPr>
      <w:r w:rsidRPr="004F4940">
        <w:rPr>
          <w:rFonts w:eastAsia="Times New Roman"/>
        </w:rPr>
        <w:t xml:space="preserve">First, </w:t>
      </w:r>
      <w:r w:rsidRPr="004F4940" w:rsidR="00C9059E">
        <w:rPr>
          <w:rFonts w:eastAsia="Times New Roman"/>
        </w:rPr>
        <w:t>Requirements R1 and R2</w:t>
      </w:r>
      <w:r w:rsidRPr="004F4940" w:rsidR="00D63674">
        <w:rPr>
          <w:rFonts w:eastAsia="Times New Roman"/>
        </w:rPr>
        <w:t xml:space="preserve"> of EOP-012-1</w:t>
      </w:r>
      <w:r w:rsidRPr="004F4940" w:rsidR="00C9059E">
        <w:rPr>
          <w:rFonts w:eastAsia="Times New Roman"/>
        </w:rPr>
        <w:t xml:space="preserve"> comport with the </w:t>
      </w:r>
      <w:r w:rsidRPr="004F4940" w:rsidR="007B50C8">
        <w:rPr>
          <w:rFonts w:eastAsia="Times New Roman"/>
        </w:rPr>
        <w:t xml:space="preserve">statutory </w:t>
      </w:r>
      <w:r w:rsidRPr="004F4940" w:rsidR="02558A1C">
        <w:rPr>
          <w:rFonts w:eastAsia="Times New Roman"/>
        </w:rPr>
        <w:t>definition of a Reliability Standard</w:t>
      </w:r>
      <w:r w:rsidRPr="004F4940" w:rsidR="00E3714F">
        <w:rPr>
          <w:rFonts w:eastAsia="Times New Roman"/>
        </w:rPr>
        <w:t>, which</w:t>
      </w:r>
      <w:r w:rsidRPr="004F4940" w:rsidR="02558A1C">
        <w:rPr>
          <w:rFonts w:eastAsia="Times New Roman"/>
        </w:rPr>
        <w:t xml:space="preserve"> includes modifications to facilities to the extent that they are necessary to provide for the reliable operation of the Bulk-Power System.</w:t>
      </w:r>
      <w:r>
        <w:rPr>
          <w:rFonts w:eastAsia="Times New Roman"/>
          <w:b/>
          <w:vertAlign w:val="superscript"/>
        </w:rPr>
        <w:footnoteReference w:id="73"/>
      </w:r>
      <w:r w:rsidRPr="004F4940" w:rsidR="02558A1C">
        <w:rPr>
          <w:rFonts w:eastAsia="Times New Roman"/>
        </w:rPr>
        <w:t xml:space="preserve">  </w:t>
      </w:r>
      <w:r w:rsidRPr="004F4940" w:rsidR="00057DE3">
        <w:rPr>
          <w:rFonts w:eastAsia="Times New Roman"/>
        </w:rPr>
        <w:t>Reliability</w:t>
      </w:r>
      <w:r w:rsidRPr="004F4940" w:rsidR="26A4D5FC">
        <w:rPr>
          <w:rFonts w:eastAsia="Times New Roman"/>
        </w:rPr>
        <w:t xml:space="preserve"> Standard</w:t>
      </w:r>
      <w:r w:rsidRPr="004F4940" w:rsidR="6886F71E">
        <w:rPr>
          <w:rFonts w:eastAsia="Times New Roman"/>
        </w:rPr>
        <w:t xml:space="preserve"> EOP-012-1 Requirement R1 requires generating units with a commercial operation date after the effective date of the Standard to implement freeze protection measures</w:t>
      </w:r>
      <w:r w:rsidRPr="004F4940" w:rsidR="000D4CC2">
        <w:rPr>
          <w:rFonts w:eastAsia="Times New Roman"/>
        </w:rPr>
        <w:t xml:space="preserve"> </w:t>
      </w:r>
      <w:r w:rsidRPr="004F4940" w:rsidR="00E05DE9">
        <w:rPr>
          <w:rFonts w:eastAsia="Times New Roman"/>
        </w:rPr>
        <w:t>so that the unit is</w:t>
      </w:r>
      <w:r w:rsidRPr="004F4940" w:rsidR="000D4CC2">
        <w:rPr>
          <w:rFonts w:eastAsia="Times New Roman"/>
        </w:rPr>
        <w:t xml:space="preserve"> capable of continuous operation for at least </w:t>
      </w:r>
      <w:r w:rsidRPr="004F4940" w:rsidR="005647BB">
        <w:rPr>
          <w:rFonts w:eastAsia="Times New Roman"/>
        </w:rPr>
        <w:t xml:space="preserve">12 </w:t>
      </w:r>
      <w:r w:rsidRPr="004F4940" w:rsidR="000D4CC2">
        <w:rPr>
          <w:rFonts w:eastAsia="Times New Roman"/>
        </w:rPr>
        <w:t>hours at the Extreme Cold Weather Temperature</w:t>
      </w:r>
      <w:r w:rsidRPr="004F4940" w:rsidR="0036290E">
        <w:rPr>
          <w:rFonts w:eastAsia="Times New Roman"/>
        </w:rPr>
        <w:t xml:space="preserve"> or</w:t>
      </w:r>
      <w:r w:rsidRPr="004F4940" w:rsidR="00E05DE9">
        <w:rPr>
          <w:rFonts w:eastAsia="Times New Roman"/>
        </w:rPr>
        <w:t xml:space="preserve"> for the generator owner to</w:t>
      </w:r>
      <w:r w:rsidRPr="004F4940" w:rsidR="0036290E">
        <w:rPr>
          <w:rFonts w:eastAsia="Times New Roman"/>
        </w:rPr>
        <w:t xml:space="preserve"> submit a declaration of a technical, commercial, or operational constraint</w:t>
      </w:r>
      <w:r w:rsidRPr="004F4940" w:rsidR="00CF5309">
        <w:rPr>
          <w:rFonts w:eastAsia="Times New Roman"/>
        </w:rPr>
        <w:t xml:space="preserve"> that preclude its ability to comply with the Standard</w:t>
      </w:r>
      <w:r w:rsidRPr="004F4940" w:rsidR="6886F71E">
        <w:rPr>
          <w:rFonts w:eastAsia="Times New Roman"/>
        </w:rPr>
        <w:t>.</w:t>
      </w:r>
      <w:r w:rsidRPr="004F4940" w:rsidR="7F7F46E1">
        <w:rPr>
          <w:rFonts w:eastAsia="Times New Roman"/>
        </w:rPr>
        <w:t xml:space="preserve"> </w:t>
      </w:r>
      <w:r w:rsidRPr="004F4940" w:rsidR="6886F71E">
        <w:rPr>
          <w:rFonts w:eastAsia="Times New Roman"/>
        </w:rPr>
        <w:t xml:space="preserve"> Requirement R2</w:t>
      </w:r>
      <w:r w:rsidRPr="004F4940" w:rsidR="008F26BD">
        <w:rPr>
          <w:rFonts w:eastAsia="Times New Roman"/>
        </w:rPr>
        <w:t xml:space="preserve"> of EOP-012-1</w:t>
      </w:r>
      <w:r w:rsidRPr="004F4940" w:rsidR="6886F71E">
        <w:rPr>
          <w:rFonts w:eastAsia="Times New Roman"/>
        </w:rPr>
        <w:t xml:space="preserve"> requires existing </w:t>
      </w:r>
      <w:r w:rsidRPr="004F4940" w:rsidR="00134422">
        <w:rPr>
          <w:rFonts w:eastAsia="Times New Roman"/>
        </w:rPr>
        <w:t>generating</w:t>
      </w:r>
      <w:r w:rsidRPr="004F4940" w:rsidR="6886F71E">
        <w:rPr>
          <w:rFonts w:eastAsia="Times New Roman"/>
        </w:rPr>
        <w:t xml:space="preserve"> units to either be capable of continuous operation for at least one hour at the Extreme Cold Weather Temperature or to develop a </w:t>
      </w:r>
      <w:r w:rsidRPr="004F4940" w:rsidR="00572840">
        <w:rPr>
          <w:rFonts w:eastAsia="Times New Roman"/>
        </w:rPr>
        <w:t>c</w:t>
      </w:r>
      <w:r w:rsidRPr="004F4940" w:rsidR="1A8F8A65">
        <w:rPr>
          <w:rFonts w:eastAsia="Times New Roman"/>
        </w:rPr>
        <w:t xml:space="preserve">orrective </w:t>
      </w:r>
      <w:r w:rsidRPr="004F4940" w:rsidR="00572840">
        <w:rPr>
          <w:rFonts w:eastAsia="Times New Roman"/>
        </w:rPr>
        <w:t>a</w:t>
      </w:r>
      <w:r w:rsidRPr="004F4940" w:rsidR="1A8F8A65">
        <w:rPr>
          <w:rFonts w:eastAsia="Times New Roman"/>
        </w:rPr>
        <w:t xml:space="preserve">ction </w:t>
      </w:r>
      <w:r w:rsidRPr="004F4940" w:rsidR="00572840">
        <w:rPr>
          <w:rFonts w:eastAsia="Times New Roman"/>
        </w:rPr>
        <w:t>p</w:t>
      </w:r>
      <w:r w:rsidRPr="004F4940" w:rsidR="1A8F8A65">
        <w:rPr>
          <w:rFonts w:eastAsia="Times New Roman"/>
        </w:rPr>
        <w:t>lan</w:t>
      </w:r>
      <w:r w:rsidRPr="004F4940" w:rsidR="6886F71E">
        <w:rPr>
          <w:rFonts w:eastAsia="Times New Roman"/>
        </w:rPr>
        <w:t xml:space="preserve"> </w:t>
      </w:r>
      <w:r w:rsidRPr="004F4940" w:rsidR="00E528CC">
        <w:rPr>
          <w:rFonts w:eastAsia="Times New Roman"/>
        </w:rPr>
        <w:t xml:space="preserve">to resolve </w:t>
      </w:r>
      <w:r w:rsidRPr="004F4940" w:rsidR="6886F71E">
        <w:rPr>
          <w:rFonts w:eastAsia="Times New Roman"/>
        </w:rPr>
        <w:t>the issue.</w:t>
      </w:r>
      <w:r w:rsidRPr="004F4940" w:rsidR="7F7F46E1">
        <w:rPr>
          <w:rFonts w:eastAsia="Times New Roman"/>
        </w:rPr>
        <w:t xml:space="preserve"> </w:t>
      </w:r>
      <w:r w:rsidRPr="004F4940" w:rsidR="6886F71E">
        <w:rPr>
          <w:rFonts w:eastAsia="Times New Roman"/>
        </w:rPr>
        <w:t xml:space="preserve"> </w:t>
      </w:r>
      <w:r w:rsidRPr="004F4940" w:rsidR="006975D0">
        <w:rPr>
          <w:rFonts w:eastAsia="Times New Roman"/>
        </w:rPr>
        <w:t>Thus, Requirements</w:t>
      </w:r>
      <w:r w:rsidRPr="004F4940" w:rsidR="00414B94">
        <w:rPr>
          <w:rFonts w:eastAsia="Times New Roman"/>
        </w:rPr>
        <w:t xml:space="preserve"> R1 and R2</w:t>
      </w:r>
      <w:r w:rsidRPr="004F4940" w:rsidR="000E5FD0">
        <w:rPr>
          <w:rFonts w:eastAsia="Times New Roman"/>
        </w:rPr>
        <w:t xml:space="preserve">’s </w:t>
      </w:r>
      <w:r w:rsidRPr="004F4940" w:rsidR="009168D1">
        <w:rPr>
          <w:rFonts w:eastAsia="Times New Roman"/>
        </w:rPr>
        <w:t xml:space="preserve">freeze protection provisions </w:t>
      </w:r>
      <w:r w:rsidRPr="004F4940" w:rsidR="00414B94">
        <w:rPr>
          <w:rFonts w:eastAsia="Times New Roman"/>
        </w:rPr>
        <w:t>serve an appropr</w:t>
      </w:r>
      <w:r w:rsidRPr="004F4940" w:rsidR="006179B9">
        <w:rPr>
          <w:rFonts w:eastAsia="Times New Roman"/>
        </w:rPr>
        <w:t>iate</w:t>
      </w:r>
      <w:r w:rsidRPr="004F4940" w:rsidR="00414B94">
        <w:rPr>
          <w:rFonts w:eastAsia="Times New Roman"/>
        </w:rPr>
        <w:t xml:space="preserve"> purpose</w:t>
      </w:r>
      <w:r w:rsidRPr="004F4940" w:rsidR="00105117">
        <w:rPr>
          <w:rFonts w:eastAsia="Times New Roman"/>
        </w:rPr>
        <w:t xml:space="preserve">, i.e., </w:t>
      </w:r>
      <w:r w:rsidRPr="004F4940" w:rsidR="007F2011">
        <w:rPr>
          <w:rFonts w:eastAsia="Times New Roman"/>
        </w:rPr>
        <w:t xml:space="preserve">to provide </w:t>
      </w:r>
      <w:r w:rsidRPr="004F4940" w:rsidR="008A2E4C">
        <w:rPr>
          <w:rFonts w:eastAsia="Times New Roman"/>
        </w:rPr>
        <w:t>the “</w:t>
      </w:r>
      <w:r w:rsidRPr="004F4940" w:rsidR="006F714A">
        <w:rPr>
          <w:rFonts w:eastAsia="Times New Roman"/>
        </w:rPr>
        <w:t>R</w:t>
      </w:r>
      <w:r w:rsidRPr="004F4940" w:rsidR="007F2011">
        <w:rPr>
          <w:rFonts w:eastAsia="Times New Roman"/>
        </w:rPr>
        <w:t xml:space="preserve">eliable </w:t>
      </w:r>
      <w:r w:rsidRPr="004F4940" w:rsidR="006F714A">
        <w:rPr>
          <w:rFonts w:eastAsia="Times New Roman"/>
        </w:rPr>
        <w:t>O</w:t>
      </w:r>
      <w:r w:rsidRPr="004F4940" w:rsidR="007F2011">
        <w:rPr>
          <w:rFonts w:eastAsia="Times New Roman"/>
        </w:rPr>
        <w:t>peration</w:t>
      </w:r>
      <w:r w:rsidRPr="004F4940" w:rsidR="008A2E4C">
        <w:rPr>
          <w:rFonts w:eastAsia="Times New Roman"/>
        </w:rPr>
        <w:t>”</w:t>
      </w:r>
      <w:r>
        <w:rPr>
          <w:rStyle w:val="FootnoteReference"/>
          <w:rFonts w:eastAsia="Times New Roman"/>
        </w:rPr>
        <w:footnoteReference w:id="74"/>
      </w:r>
      <w:r w:rsidRPr="004F4940" w:rsidR="007F2011">
        <w:rPr>
          <w:rFonts w:eastAsia="Times New Roman"/>
        </w:rPr>
        <w:t xml:space="preserve"> </w:t>
      </w:r>
      <w:r w:rsidRPr="004F4940" w:rsidR="006F714A">
        <w:rPr>
          <w:rFonts w:eastAsia="Times New Roman"/>
        </w:rPr>
        <w:t xml:space="preserve">of the Bulk-Power System </w:t>
      </w:r>
      <w:r w:rsidRPr="004F4940" w:rsidR="00414B94">
        <w:rPr>
          <w:rFonts w:eastAsia="Times New Roman"/>
        </w:rPr>
        <w:t>as set forth in the</w:t>
      </w:r>
      <w:r w:rsidRPr="004F4940" w:rsidR="006179B9">
        <w:rPr>
          <w:rFonts w:eastAsia="Times New Roman"/>
        </w:rPr>
        <w:t xml:space="preserve"> definition of </w:t>
      </w:r>
      <w:r w:rsidRPr="004F4940" w:rsidR="008A2E4C">
        <w:rPr>
          <w:rFonts w:eastAsia="Times New Roman"/>
        </w:rPr>
        <w:t>a “</w:t>
      </w:r>
      <w:r w:rsidRPr="004F4940" w:rsidR="006179B9">
        <w:rPr>
          <w:rFonts w:eastAsia="Times New Roman"/>
        </w:rPr>
        <w:t>Reliability Standard</w:t>
      </w:r>
      <w:r w:rsidRPr="004F4940" w:rsidR="000C2724">
        <w:rPr>
          <w:rFonts w:eastAsia="Times New Roman"/>
        </w:rPr>
        <w:t>.</w:t>
      </w:r>
      <w:r w:rsidRPr="004F4940" w:rsidR="73157B4A">
        <w:rPr>
          <w:rFonts w:eastAsia="Times New Roman"/>
        </w:rPr>
        <w:t>”</w:t>
      </w:r>
      <w:r>
        <w:rPr>
          <w:rStyle w:val="FootnoteReference"/>
          <w:rFonts w:eastAsia="Times New Roman"/>
        </w:rPr>
        <w:footnoteReference w:id="75"/>
      </w:r>
      <w:r w:rsidRPr="004F4940" w:rsidR="006179B9">
        <w:rPr>
          <w:rFonts w:eastAsia="Times New Roman"/>
        </w:rPr>
        <w:t xml:space="preserve">  </w:t>
      </w:r>
      <w:r w:rsidRPr="004F4940" w:rsidR="00BE3683">
        <w:rPr>
          <w:rFonts w:eastAsia="Times New Roman"/>
        </w:rPr>
        <w:t>Further</w:t>
      </w:r>
      <w:r w:rsidRPr="004F4940" w:rsidR="00CE23BC">
        <w:rPr>
          <w:rFonts w:eastAsia="Times New Roman"/>
        </w:rPr>
        <w:t xml:space="preserve">, </w:t>
      </w:r>
      <w:r w:rsidRPr="004F4940">
        <w:rPr>
          <w:rFonts w:eastAsia="Times New Roman"/>
        </w:rPr>
        <w:t>n</w:t>
      </w:r>
      <w:r w:rsidRPr="004F4940" w:rsidR="2F9A6911">
        <w:rPr>
          <w:rFonts w:eastAsia="Times New Roman"/>
        </w:rPr>
        <w:t xml:space="preserve">either of these requirements </w:t>
      </w:r>
      <w:r w:rsidRPr="004F4940" w:rsidR="00DE5D2B">
        <w:rPr>
          <w:rFonts w:eastAsia="Times New Roman"/>
        </w:rPr>
        <w:t>mandate</w:t>
      </w:r>
      <w:r w:rsidRPr="004F4940" w:rsidR="2F9A6911">
        <w:rPr>
          <w:rFonts w:eastAsia="Times New Roman"/>
        </w:rPr>
        <w:t xml:space="preserve"> the construction of new generation capacity</w:t>
      </w:r>
      <w:r w:rsidRPr="004F4940" w:rsidR="006A2396">
        <w:rPr>
          <w:rFonts w:eastAsia="Times New Roman"/>
        </w:rPr>
        <w:t xml:space="preserve"> or </w:t>
      </w:r>
      <w:r w:rsidRPr="004F4940" w:rsidR="008A2E4C">
        <w:rPr>
          <w:rFonts w:eastAsia="Times New Roman"/>
        </w:rPr>
        <w:t xml:space="preserve">an </w:t>
      </w:r>
      <w:r w:rsidRPr="004F4940" w:rsidR="006A2396">
        <w:rPr>
          <w:rFonts w:eastAsia="Times New Roman"/>
        </w:rPr>
        <w:t>expansion of the unit’s generating capacity</w:t>
      </w:r>
      <w:r w:rsidRPr="004F4940">
        <w:rPr>
          <w:rFonts w:eastAsia="Times New Roman"/>
        </w:rPr>
        <w:t xml:space="preserve">, which </w:t>
      </w:r>
      <w:r w:rsidRPr="004F4940" w:rsidR="00DE5D2B">
        <w:rPr>
          <w:rFonts w:eastAsia="Times New Roman"/>
        </w:rPr>
        <w:t>are</w:t>
      </w:r>
      <w:r w:rsidRPr="004F4940">
        <w:rPr>
          <w:rFonts w:eastAsia="Times New Roman"/>
        </w:rPr>
        <w:t xml:space="preserve"> the only </w:t>
      </w:r>
      <w:r w:rsidRPr="004F4940" w:rsidR="00105117">
        <w:rPr>
          <w:rFonts w:eastAsia="Times New Roman"/>
        </w:rPr>
        <w:t xml:space="preserve">relevant </w:t>
      </w:r>
      <w:r w:rsidRPr="004F4940" w:rsidR="4BF501F6">
        <w:rPr>
          <w:rFonts w:eastAsia="Times New Roman"/>
        </w:rPr>
        <w:t>exclusion</w:t>
      </w:r>
      <w:r w:rsidRPr="004F4940" w:rsidR="00DE5D2B">
        <w:rPr>
          <w:rFonts w:eastAsia="Times New Roman"/>
        </w:rPr>
        <w:t>s</w:t>
      </w:r>
      <w:r w:rsidRPr="004F4940">
        <w:rPr>
          <w:rFonts w:eastAsia="Times New Roman"/>
        </w:rPr>
        <w:t xml:space="preserve"> identified in the statutory definition of </w:t>
      </w:r>
      <w:r w:rsidRPr="004F4940" w:rsidR="009B791A">
        <w:rPr>
          <w:rFonts w:eastAsia="Times New Roman"/>
        </w:rPr>
        <w:t>a “</w:t>
      </w:r>
      <w:r w:rsidRPr="004F4940">
        <w:rPr>
          <w:rFonts w:eastAsia="Times New Roman"/>
        </w:rPr>
        <w:t>Reliability Standard</w:t>
      </w:r>
      <w:r w:rsidRPr="004F4940" w:rsidR="000C2724">
        <w:rPr>
          <w:rFonts w:eastAsia="Times New Roman"/>
        </w:rPr>
        <w:t>.</w:t>
      </w:r>
      <w:r w:rsidRPr="004F4940" w:rsidR="0DA75DF9">
        <w:rPr>
          <w:rFonts w:eastAsia="Times New Roman"/>
        </w:rPr>
        <w:t>”</w:t>
      </w:r>
      <w:r>
        <w:rPr>
          <w:rStyle w:val="FootnoteReference"/>
          <w:rFonts w:eastAsia="Times New Roman"/>
        </w:rPr>
        <w:footnoteReference w:id="76"/>
      </w:r>
    </w:p>
    <w:p w:rsidR="009876DF" w:rsidP="462A9FC4" w14:paraId="7B4C266F" w14:textId="0DA5D321">
      <w:pPr>
        <w:pStyle w:val="FERCparanumber"/>
        <w:widowControl w:val="0"/>
        <w:suppressLineNumbers/>
        <w:rPr>
          <w:rFonts w:eastAsia="Times New Roman"/>
        </w:rPr>
      </w:pPr>
      <w:r w:rsidRPr="004F4940">
        <w:rPr>
          <w:rFonts w:eastAsia="Times New Roman"/>
        </w:rPr>
        <w:t xml:space="preserve">Moreover, </w:t>
      </w:r>
      <w:r w:rsidRPr="004F4940" w:rsidR="00B842EC">
        <w:rPr>
          <w:rFonts w:eastAsia="Times New Roman"/>
        </w:rPr>
        <w:t xml:space="preserve">we reject </w:t>
      </w:r>
      <w:r w:rsidRPr="004F4940">
        <w:rPr>
          <w:rFonts w:eastAsia="Times New Roman"/>
        </w:rPr>
        <w:t>EPSA/PJM Group</w:t>
      </w:r>
      <w:r w:rsidRPr="004F4940" w:rsidR="00B842EC">
        <w:rPr>
          <w:rFonts w:eastAsia="Times New Roman"/>
        </w:rPr>
        <w:t xml:space="preserve">’s interpretation of the </w:t>
      </w:r>
      <w:r w:rsidRPr="004F4940" w:rsidR="005D7943">
        <w:rPr>
          <w:rFonts w:eastAsia="Times New Roman"/>
        </w:rPr>
        <w:t xml:space="preserve">statutory definition of </w:t>
      </w:r>
      <w:r w:rsidRPr="004F4940" w:rsidR="00E87DF6">
        <w:rPr>
          <w:rFonts w:eastAsia="Times New Roman"/>
        </w:rPr>
        <w:t>“</w:t>
      </w:r>
      <w:r w:rsidRPr="004F4940" w:rsidR="005D7943">
        <w:rPr>
          <w:rFonts w:eastAsia="Times New Roman"/>
        </w:rPr>
        <w:t>Reliable Operation</w:t>
      </w:r>
      <w:r w:rsidRPr="004F4940" w:rsidR="00E87DF6">
        <w:rPr>
          <w:rFonts w:eastAsia="Times New Roman"/>
        </w:rPr>
        <w:t>”</w:t>
      </w:r>
      <w:r w:rsidRPr="004F4940" w:rsidR="005D7943">
        <w:rPr>
          <w:rFonts w:eastAsia="Times New Roman"/>
        </w:rPr>
        <w:t xml:space="preserve"> as imposing a limit</w:t>
      </w:r>
      <w:r w:rsidRPr="004F4940" w:rsidR="00B22A9E">
        <w:rPr>
          <w:rFonts w:eastAsia="Times New Roman"/>
        </w:rPr>
        <w:t>ation</w:t>
      </w:r>
      <w:r w:rsidRPr="004F4940" w:rsidR="005D7943">
        <w:rPr>
          <w:rFonts w:eastAsia="Times New Roman"/>
        </w:rPr>
        <w:t xml:space="preserve"> or exclusion on </w:t>
      </w:r>
      <w:r w:rsidRPr="004F4940" w:rsidR="00B15C71">
        <w:rPr>
          <w:rFonts w:eastAsia="Times New Roman"/>
        </w:rPr>
        <w:t>an acceptable Reliability Standard.  EPSA/PJM Group</w:t>
      </w:r>
      <w:r w:rsidRPr="004F4940">
        <w:rPr>
          <w:rFonts w:eastAsia="Times New Roman"/>
        </w:rPr>
        <w:t xml:space="preserve"> </w:t>
      </w:r>
      <w:r w:rsidRPr="004F4940" w:rsidR="005244D2">
        <w:rPr>
          <w:rFonts w:eastAsia="Times New Roman"/>
        </w:rPr>
        <w:t>recognize</w:t>
      </w:r>
      <w:r w:rsidRPr="004F4940" w:rsidR="00B42E67">
        <w:rPr>
          <w:rFonts w:eastAsia="Times New Roman"/>
        </w:rPr>
        <w:t>s</w:t>
      </w:r>
      <w:r w:rsidRPr="004F4940" w:rsidR="005244D2">
        <w:rPr>
          <w:rFonts w:eastAsia="Times New Roman"/>
        </w:rPr>
        <w:t xml:space="preserve"> that </w:t>
      </w:r>
      <w:r w:rsidRPr="004F4940" w:rsidR="002C3BDC">
        <w:rPr>
          <w:rFonts w:eastAsia="Times New Roman"/>
        </w:rPr>
        <w:t xml:space="preserve">under the definition of </w:t>
      </w:r>
      <w:r w:rsidRPr="004F4940" w:rsidR="00C90B38">
        <w:rPr>
          <w:rFonts w:eastAsia="Times New Roman"/>
        </w:rPr>
        <w:t>“</w:t>
      </w:r>
      <w:r w:rsidRPr="004F4940" w:rsidR="005244D2">
        <w:rPr>
          <w:rFonts w:eastAsia="Times New Roman"/>
        </w:rPr>
        <w:t>Reliab</w:t>
      </w:r>
      <w:r w:rsidRPr="004F4940" w:rsidR="000C135E">
        <w:rPr>
          <w:rFonts w:eastAsia="Times New Roman"/>
        </w:rPr>
        <w:t>le Operation</w:t>
      </w:r>
      <w:r w:rsidRPr="004F4940" w:rsidR="00C90B38">
        <w:rPr>
          <w:rFonts w:eastAsia="Times New Roman"/>
        </w:rPr>
        <w:t>”</w:t>
      </w:r>
      <w:r w:rsidRPr="004F4940" w:rsidR="00CE0760">
        <w:rPr>
          <w:rFonts w:eastAsia="Times New Roman"/>
        </w:rPr>
        <w:t xml:space="preserve"> </w:t>
      </w:r>
      <w:r w:rsidRPr="004F4940" w:rsidR="00300C3D">
        <w:rPr>
          <w:rFonts w:eastAsia="Times New Roman"/>
        </w:rPr>
        <w:t xml:space="preserve">NERC </w:t>
      </w:r>
      <w:r w:rsidRPr="004F4940" w:rsidR="000C135E">
        <w:rPr>
          <w:rFonts w:eastAsia="Times New Roman"/>
        </w:rPr>
        <w:t>may require</w:t>
      </w:r>
      <w:r w:rsidRPr="004F4940" w:rsidR="00300C3D">
        <w:rPr>
          <w:rFonts w:eastAsia="Times New Roman"/>
        </w:rPr>
        <w:t xml:space="preserve"> modifications to mitigate </w:t>
      </w:r>
      <w:r w:rsidRPr="004F4940" w:rsidR="00F32404">
        <w:rPr>
          <w:rFonts w:eastAsia="Times New Roman"/>
        </w:rPr>
        <w:t>“</w:t>
      </w:r>
      <w:r w:rsidRPr="004F4940" w:rsidR="00300C3D">
        <w:rPr>
          <w:rFonts w:eastAsia="Times New Roman"/>
        </w:rPr>
        <w:t>sudden disturbances</w:t>
      </w:r>
      <w:r w:rsidRPr="004F4940" w:rsidR="00F32404">
        <w:rPr>
          <w:rFonts w:eastAsia="Times New Roman"/>
        </w:rPr>
        <w:t>”</w:t>
      </w:r>
      <w:r w:rsidRPr="004F4940" w:rsidR="00300C3D">
        <w:rPr>
          <w:rFonts w:eastAsia="Times New Roman"/>
        </w:rPr>
        <w:t xml:space="preserve"> and </w:t>
      </w:r>
      <w:r w:rsidRPr="004F4940" w:rsidR="00A079BF">
        <w:rPr>
          <w:rFonts w:eastAsia="Times New Roman"/>
        </w:rPr>
        <w:t>“</w:t>
      </w:r>
      <w:r w:rsidRPr="004F4940" w:rsidR="00300C3D">
        <w:rPr>
          <w:rFonts w:eastAsia="Times New Roman"/>
        </w:rPr>
        <w:t>unanticipated failures</w:t>
      </w:r>
      <w:r w:rsidRPr="004F4940" w:rsidR="00A079BF">
        <w:rPr>
          <w:rFonts w:eastAsia="Times New Roman"/>
        </w:rPr>
        <w:t>”</w:t>
      </w:r>
      <w:r w:rsidRPr="004F4940" w:rsidR="008D0432">
        <w:rPr>
          <w:rFonts w:eastAsia="Times New Roman"/>
        </w:rPr>
        <w:t xml:space="preserve"> of facilities</w:t>
      </w:r>
      <w:r w:rsidRPr="004F4940" w:rsidR="0060319A">
        <w:rPr>
          <w:rFonts w:eastAsia="Times New Roman"/>
        </w:rPr>
        <w:t xml:space="preserve"> to the extent necessary to provide for reliable Bulk-Power System operations.</w:t>
      </w:r>
      <w:r>
        <w:rPr>
          <w:rStyle w:val="FootnoteReference"/>
          <w:rFonts w:eastAsia="Times New Roman"/>
        </w:rPr>
        <w:footnoteReference w:id="77"/>
      </w:r>
      <w:r w:rsidRPr="004F4940" w:rsidR="0060319A">
        <w:rPr>
          <w:rFonts w:eastAsia="Times New Roman"/>
        </w:rPr>
        <w:t xml:space="preserve">  </w:t>
      </w:r>
      <w:r w:rsidRPr="004F4940" w:rsidR="00F526B6">
        <w:rPr>
          <w:rFonts w:eastAsia="Times New Roman"/>
        </w:rPr>
        <w:t>Indeed, the Commission has previously approved Reliability Standards that require the implementation of physical modifications to improve reliability.</w:t>
      </w:r>
      <w:r>
        <w:rPr>
          <w:rStyle w:val="FootnoteReference"/>
          <w:rFonts w:eastAsia="Times New Roman"/>
        </w:rPr>
        <w:footnoteReference w:id="78"/>
      </w:r>
      <w:r w:rsidRPr="004F4940" w:rsidR="00F526B6">
        <w:rPr>
          <w:rFonts w:eastAsia="Times New Roman"/>
        </w:rPr>
        <w:t xml:space="preserve">  </w:t>
      </w:r>
      <w:r w:rsidRPr="004F4940" w:rsidR="008859EC">
        <w:rPr>
          <w:rFonts w:eastAsia="Times New Roman"/>
        </w:rPr>
        <w:t>Rather,</w:t>
      </w:r>
      <w:r w:rsidRPr="004F4940" w:rsidR="001D395A">
        <w:rPr>
          <w:rFonts w:eastAsia="Times New Roman"/>
        </w:rPr>
        <w:t xml:space="preserve"> EPSA/PJM Group </w:t>
      </w:r>
      <w:r w:rsidRPr="004F4940" w:rsidR="00734D81">
        <w:rPr>
          <w:rFonts w:eastAsia="Times New Roman"/>
        </w:rPr>
        <w:t xml:space="preserve">reads a limitation </w:t>
      </w:r>
      <w:r w:rsidRPr="004F4940" w:rsidR="002210B5">
        <w:rPr>
          <w:rFonts w:eastAsia="Times New Roman"/>
        </w:rPr>
        <w:t xml:space="preserve">into </w:t>
      </w:r>
      <w:r w:rsidRPr="004F4940" w:rsidR="00734D81">
        <w:rPr>
          <w:rFonts w:eastAsia="Times New Roman"/>
        </w:rPr>
        <w:t xml:space="preserve">the statutory </w:t>
      </w:r>
      <w:r w:rsidRPr="004F4940" w:rsidR="002210B5">
        <w:rPr>
          <w:rFonts w:eastAsia="Times New Roman"/>
        </w:rPr>
        <w:t>definition of</w:t>
      </w:r>
      <w:r w:rsidRPr="004F4940" w:rsidR="00710F96">
        <w:rPr>
          <w:rFonts w:eastAsia="Times New Roman"/>
        </w:rPr>
        <w:t xml:space="preserve"> Reliable Operation </w:t>
      </w:r>
      <w:r w:rsidRPr="004F4940" w:rsidR="00EF72F7">
        <w:rPr>
          <w:rFonts w:eastAsia="Times New Roman"/>
        </w:rPr>
        <w:t>–</w:t>
      </w:r>
      <w:r w:rsidRPr="004F4940" w:rsidR="002210B5">
        <w:rPr>
          <w:rFonts w:eastAsia="Times New Roman"/>
        </w:rPr>
        <w:t xml:space="preserve"> specifically</w:t>
      </w:r>
      <w:r w:rsidRPr="004F4940" w:rsidR="00710F96">
        <w:rPr>
          <w:rFonts w:eastAsia="Times New Roman"/>
        </w:rPr>
        <w:t xml:space="preserve"> </w:t>
      </w:r>
      <w:r w:rsidRPr="004F4940" w:rsidR="00EA3904">
        <w:rPr>
          <w:rFonts w:eastAsia="Times New Roman"/>
        </w:rPr>
        <w:t>“</w:t>
      </w:r>
      <w:r w:rsidRPr="004F4940" w:rsidR="00710F96">
        <w:rPr>
          <w:rFonts w:eastAsia="Times New Roman"/>
        </w:rPr>
        <w:t>within</w:t>
      </w:r>
      <w:r w:rsidRPr="004F4940" w:rsidR="0041787C">
        <w:rPr>
          <w:rFonts w:eastAsia="Times New Roman"/>
        </w:rPr>
        <w:t xml:space="preserve"> equipment</w:t>
      </w:r>
      <w:r w:rsidRPr="004F4940" w:rsidR="00F84774">
        <w:rPr>
          <w:rFonts w:eastAsia="Times New Roman"/>
        </w:rPr>
        <w:t> . . . </w:t>
      </w:r>
      <w:r w:rsidRPr="004F4940" w:rsidR="0050717B">
        <w:rPr>
          <w:rFonts w:eastAsia="Times New Roman"/>
        </w:rPr>
        <w:t xml:space="preserve">limits” </w:t>
      </w:r>
      <w:r w:rsidRPr="004F4940" w:rsidR="00EF72F7">
        <w:rPr>
          <w:rFonts w:eastAsia="Times New Roman"/>
        </w:rPr>
        <w:t>–</w:t>
      </w:r>
      <w:r w:rsidRPr="004F4940" w:rsidR="00862D83">
        <w:rPr>
          <w:rFonts w:eastAsia="Times New Roman"/>
        </w:rPr>
        <w:t xml:space="preserve"> and</w:t>
      </w:r>
      <w:r w:rsidRPr="004F4940" w:rsidR="005A3010">
        <w:rPr>
          <w:rFonts w:eastAsia="Times New Roman"/>
        </w:rPr>
        <w:t xml:space="preserve"> argu</w:t>
      </w:r>
      <w:r w:rsidRPr="004F4940" w:rsidR="00750AE3">
        <w:rPr>
          <w:rFonts w:eastAsia="Times New Roman"/>
        </w:rPr>
        <w:t xml:space="preserve">es </w:t>
      </w:r>
      <w:r w:rsidRPr="004F4940" w:rsidR="00862D83">
        <w:rPr>
          <w:rFonts w:eastAsia="Times New Roman"/>
        </w:rPr>
        <w:t xml:space="preserve">that the proposed Reliability Standard would constitute an impermissible change to such equipment limits. </w:t>
      </w:r>
      <w:r w:rsidRPr="004F4940" w:rsidR="0014440F">
        <w:rPr>
          <w:rFonts w:eastAsia="Times New Roman"/>
        </w:rPr>
        <w:t xml:space="preserve"> </w:t>
      </w:r>
      <w:r w:rsidRPr="004F4940" w:rsidR="00E023F2">
        <w:rPr>
          <w:rFonts w:eastAsia="Times New Roman"/>
        </w:rPr>
        <w:t xml:space="preserve">However, </w:t>
      </w:r>
      <w:r w:rsidRPr="004F4940" w:rsidR="00D67FDC">
        <w:rPr>
          <w:rFonts w:eastAsia="Times New Roman"/>
        </w:rPr>
        <w:t xml:space="preserve">we do not find this </w:t>
      </w:r>
      <w:r w:rsidRPr="004F4940" w:rsidR="009010EF">
        <w:rPr>
          <w:rFonts w:eastAsia="Times New Roman"/>
        </w:rPr>
        <w:t xml:space="preserve">argument to be </w:t>
      </w:r>
      <w:r w:rsidRPr="004F4940" w:rsidR="00D67FDC">
        <w:rPr>
          <w:rFonts w:eastAsia="Times New Roman"/>
        </w:rPr>
        <w:t xml:space="preserve">persuasive as </w:t>
      </w:r>
      <w:r w:rsidRPr="004F4940" w:rsidR="00E023F2">
        <w:rPr>
          <w:rFonts w:eastAsia="Times New Roman"/>
        </w:rPr>
        <w:t xml:space="preserve">the statutory language is </w:t>
      </w:r>
      <w:r w:rsidRPr="004F4940" w:rsidR="00862D83">
        <w:rPr>
          <w:rFonts w:eastAsia="Times New Roman"/>
        </w:rPr>
        <w:t xml:space="preserve">not as narrow as </w:t>
      </w:r>
      <w:r w:rsidRPr="004F4940" w:rsidR="002811C5">
        <w:rPr>
          <w:rFonts w:eastAsia="Times New Roman"/>
        </w:rPr>
        <w:t>EPSA/PJM Group suggest</w:t>
      </w:r>
      <w:r w:rsidRPr="004F4940" w:rsidR="00643BBC">
        <w:rPr>
          <w:rFonts w:eastAsia="Times New Roman"/>
        </w:rPr>
        <w:t>s</w:t>
      </w:r>
      <w:r w:rsidRPr="004F4940" w:rsidR="002811C5">
        <w:rPr>
          <w:rFonts w:eastAsia="Times New Roman"/>
        </w:rPr>
        <w:t xml:space="preserve">. </w:t>
      </w:r>
      <w:r w:rsidRPr="004F4940" w:rsidR="007643BA">
        <w:rPr>
          <w:rFonts w:eastAsia="Times New Roman"/>
        </w:rPr>
        <w:t xml:space="preserve"> </w:t>
      </w:r>
      <w:r w:rsidRPr="004F4940" w:rsidR="0037390C">
        <w:rPr>
          <w:rFonts w:eastAsia="Times New Roman"/>
        </w:rPr>
        <w:t xml:space="preserve">When read in context, </w:t>
      </w:r>
      <w:r w:rsidRPr="004F4940" w:rsidR="00D67FDC">
        <w:rPr>
          <w:rFonts w:eastAsia="Times New Roman"/>
        </w:rPr>
        <w:t>t</w:t>
      </w:r>
      <w:r w:rsidRPr="004F4940" w:rsidR="0075428D">
        <w:rPr>
          <w:rFonts w:eastAsia="Times New Roman"/>
        </w:rPr>
        <w:t xml:space="preserve">he </w:t>
      </w:r>
      <w:r w:rsidRPr="004F4940" w:rsidR="00CF62AA">
        <w:rPr>
          <w:rFonts w:eastAsia="Times New Roman"/>
        </w:rPr>
        <w:t xml:space="preserve">definition of </w:t>
      </w:r>
      <w:r w:rsidRPr="004F4940" w:rsidR="00643BBC">
        <w:rPr>
          <w:rFonts w:eastAsia="Times New Roman"/>
        </w:rPr>
        <w:t>“</w:t>
      </w:r>
      <w:r w:rsidRPr="004F4940" w:rsidR="00CF62AA">
        <w:rPr>
          <w:rFonts w:eastAsia="Times New Roman"/>
        </w:rPr>
        <w:t>Reliable Operation</w:t>
      </w:r>
      <w:r w:rsidRPr="004F4940" w:rsidR="00643BBC">
        <w:rPr>
          <w:rFonts w:eastAsia="Times New Roman"/>
        </w:rPr>
        <w:t>”</w:t>
      </w:r>
      <w:r w:rsidRPr="004F4940" w:rsidR="00CF62AA">
        <w:rPr>
          <w:rFonts w:eastAsia="Times New Roman"/>
        </w:rPr>
        <w:t xml:space="preserve"> contemplates </w:t>
      </w:r>
      <w:r w:rsidRPr="004F4940" w:rsidR="00910F7A">
        <w:rPr>
          <w:rFonts w:eastAsia="Times New Roman"/>
        </w:rPr>
        <w:t xml:space="preserve">that </w:t>
      </w:r>
      <w:r w:rsidRPr="004F4940" w:rsidR="0049432B">
        <w:rPr>
          <w:rFonts w:eastAsia="Times New Roman"/>
        </w:rPr>
        <w:t>Reliabi</w:t>
      </w:r>
      <w:r w:rsidRPr="004F4940" w:rsidR="005A2113">
        <w:rPr>
          <w:rFonts w:eastAsia="Times New Roman"/>
        </w:rPr>
        <w:t>lity Standards</w:t>
      </w:r>
      <w:r w:rsidRPr="004F4940" w:rsidR="003C196E">
        <w:rPr>
          <w:rFonts w:eastAsia="Times New Roman"/>
        </w:rPr>
        <w:t xml:space="preserve"> </w:t>
      </w:r>
      <w:r w:rsidRPr="004F4940" w:rsidR="00FD4A36">
        <w:rPr>
          <w:rFonts w:eastAsia="Times New Roman"/>
        </w:rPr>
        <w:t xml:space="preserve">should be designed </w:t>
      </w:r>
      <w:r w:rsidRPr="004F4940" w:rsidR="00DB70FF">
        <w:rPr>
          <w:rFonts w:eastAsia="Times New Roman"/>
        </w:rPr>
        <w:t>so that</w:t>
      </w:r>
      <w:r w:rsidRPr="004F4940" w:rsidR="00FD4A36">
        <w:rPr>
          <w:rFonts w:eastAsia="Times New Roman"/>
        </w:rPr>
        <w:t xml:space="preserve"> </w:t>
      </w:r>
      <w:r w:rsidRPr="004F4940" w:rsidR="00F06EB6">
        <w:rPr>
          <w:rFonts w:eastAsia="Times New Roman"/>
        </w:rPr>
        <w:t xml:space="preserve">facility </w:t>
      </w:r>
      <w:r w:rsidRPr="004F4940" w:rsidR="00F761CD">
        <w:rPr>
          <w:rFonts w:eastAsia="Times New Roman"/>
        </w:rPr>
        <w:t>equipment</w:t>
      </w:r>
      <w:r w:rsidRPr="004F4940" w:rsidR="009C687F">
        <w:rPr>
          <w:rFonts w:eastAsia="Times New Roman"/>
        </w:rPr>
        <w:t xml:space="preserve"> </w:t>
      </w:r>
      <w:r w:rsidRPr="004F4940" w:rsidR="00C8297A">
        <w:rPr>
          <w:rFonts w:eastAsia="Times New Roman"/>
        </w:rPr>
        <w:t>operates</w:t>
      </w:r>
      <w:r w:rsidRPr="004F4940" w:rsidR="009C687F">
        <w:rPr>
          <w:rFonts w:eastAsia="Times New Roman"/>
        </w:rPr>
        <w:t xml:space="preserve"> within</w:t>
      </w:r>
      <w:r w:rsidRPr="004F4940" w:rsidR="00C80EC4">
        <w:rPr>
          <w:rFonts w:eastAsia="Times New Roman"/>
        </w:rPr>
        <w:t xml:space="preserve"> </w:t>
      </w:r>
      <w:r w:rsidRPr="004F4940" w:rsidR="00F06EB6">
        <w:rPr>
          <w:rFonts w:eastAsia="Times New Roman"/>
        </w:rPr>
        <w:t xml:space="preserve">specified </w:t>
      </w:r>
      <w:r w:rsidRPr="004F4940" w:rsidR="00E877F3">
        <w:rPr>
          <w:rFonts w:eastAsia="Times New Roman"/>
        </w:rPr>
        <w:t>limits to mitigate sudden disturbances and prevent unanticipated failures</w:t>
      </w:r>
      <w:r w:rsidRPr="004F4940" w:rsidR="009361DB">
        <w:rPr>
          <w:rFonts w:eastAsia="Times New Roman"/>
        </w:rPr>
        <w:t xml:space="preserve"> of system elements</w:t>
      </w:r>
      <w:r w:rsidRPr="004F4940" w:rsidR="00E877F3">
        <w:rPr>
          <w:rFonts w:eastAsia="Times New Roman"/>
        </w:rPr>
        <w:t>.</w:t>
      </w:r>
      <w:r>
        <w:rPr>
          <w:rStyle w:val="FootnoteReference"/>
          <w:rFonts w:eastAsia="Times New Roman"/>
        </w:rPr>
        <w:footnoteReference w:id="79"/>
      </w:r>
    </w:p>
    <w:p w:rsidR="009876DF" w14:paraId="2DA14A5E" w14:textId="77777777">
      <w:pPr>
        <w:widowControl/>
        <w:spacing w:after="160" w:line="259" w:lineRule="auto"/>
        <w:rPr>
          <w:rFonts w:eastAsia="Times New Roman"/>
        </w:rPr>
      </w:pPr>
      <w:r>
        <w:rPr>
          <w:rFonts w:eastAsia="Times New Roman"/>
        </w:rPr>
        <w:br w:type="page"/>
      </w:r>
    </w:p>
    <w:p w:rsidR="00BE5F00" w:rsidRPr="004F4940" w:rsidP="004D6F59" w14:paraId="336B7852" w14:textId="74920F54">
      <w:pPr>
        <w:pStyle w:val="FERCparanumber"/>
        <w:widowControl w:val="0"/>
        <w:suppressLineNumbers/>
        <w:rPr>
          <w:rFonts w:eastAsia="Times New Roman"/>
        </w:rPr>
      </w:pPr>
      <w:r w:rsidRPr="004F4940">
        <w:rPr>
          <w:rFonts w:eastAsia="Times New Roman"/>
        </w:rPr>
        <w:t>EPSA/PJM Group</w:t>
      </w:r>
      <w:r w:rsidRPr="004F4940" w:rsidR="00BF4C18">
        <w:rPr>
          <w:rFonts w:eastAsia="Times New Roman"/>
        </w:rPr>
        <w:t xml:space="preserve"> seizes </w:t>
      </w:r>
      <w:r w:rsidRPr="004F4940" w:rsidR="002B70FA">
        <w:rPr>
          <w:rFonts w:eastAsia="Times New Roman"/>
        </w:rPr>
        <w:t xml:space="preserve">upon </w:t>
      </w:r>
      <w:r w:rsidRPr="004F4940" w:rsidR="00634E2A">
        <w:rPr>
          <w:rFonts w:eastAsia="Times New Roman"/>
        </w:rPr>
        <w:t xml:space="preserve">language from the </w:t>
      </w:r>
      <w:r w:rsidRPr="004F4940" w:rsidR="00BA6B6E">
        <w:rPr>
          <w:rFonts w:eastAsia="Times New Roman"/>
        </w:rPr>
        <w:t>“</w:t>
      </w:r>
      <w:r w:rsidRPr="004F4940" w:rsidR="00634E2A">
        <w:rPr>
          <w:rFonts w:eastAsia="Times New Roman"/>
        </w:rPr>
        <w:t>Reliability Standard</w:t>
      </w:r>
      <w:r w:rsidRPr="004F4940" w:rsidR="00BA6B6E">
        <w:rPr>
          <w:rFonts w:eastAsia="Times New Roman"/>
        </w:rPr>
        <w:t>”</w:t>
      </w:r>
      <w:r w:rsidRPr="004F4940" w:rsidR="00634E2A">
        <w:rPr>
          <w:rFonts w:eastAsia="Times New Roman"/>
        </w:rPr>
        <w:t xml:space="preserve"> definition</w:t>
      </w:r>
      <w:r w:rsidRPr="004F4940" w:rsidR="003F61B3">
        <w:rPr>
          <w:rFonts w:eastAsia="Times New Roman"/>
        </w:rPr>
        <w:t xml:space="preserve"> </w:t>
      </w:r>
      <w:r w:rsidRPr="004F4940" w:rsidR="003236CC">
        <w:rPr>
          <w:rFonts w:eastAsia="Times New Roman"/>
        </w:rPr>
        <w:t xml:space="preserve">stating </w:t>
      </w:r>
      <w:r w:rsidRPr="004F4940" w:rsidR="003F61B3">
        <w:rPr>
          <w:rFonts w:eastAsia="Times New Roman"/>
        </w:rPr>
        <w:t>that</w:t>
      </w:r>
      <w:r w:rsidRPr="004F4940" w:rsidR="00FD1EDA">
        <w:rPr>
          <w:rFonts w:eastAsia="Times New Roman"/>
        </w:rPr>
        <w:t xml:space="preserve"> </w:t>
      </w:r>
      <w:r w:rsidRPr="004F4940" w:rsidR="003236CC">
        <w:rPr>
          <w:rFonts w:eastAsia="Times New Roman"/>
        </w:rPr>
        <w:t xml:space="preserve">the </w:t>
      </w:r>
      <w:r w:rsidRPr="004F4940" w:rsidR="00FD1EDA">
        <w:rPr>
          <w:rFonts w:eastAsia="Times New Roman"/>
        </w:rPr>
        <w:t xml:space="preserve">term “includes requirements for the existing </w:t>
      </w:r>
      <w:r w:rsidRPr="004F4940" w:rsidR="00903C74">
        <w:rPr>
          <w:rFonts w:eastAsia="Times New Roman"/>
        </w:rPr>
        <w:t>bulk-power system facilities</w:t>
      </w:r>
      <w:r w:rsidRPr="004F4940" w:rsidR="00F84774">
        <w:rPr>
          <w:rFonts w:eastAsia="Times New Roman"/>
        </w:rPr>
        <w:t> . . . .</w:t>
      </w:r>
      <w:r w:rsidRPr="004F4940" w:rsidR="00903C74">
        <w:rPr>
          <w:rFonts w:eastAsia="Times New Roman"/>
        </w:rPr>
        <w:t>”</w:t>
      </w:r>
      <w:r>
        <w:rPr>
          <w:rStyle w:val="FootnoteReference"/>
          <w:rFonts w:eastAsia="Times New Roman"/>
        </w:rPr>
        <w:footnoteReference w:id="80"/>
      </w:r>
      <w:r w:rsidRPr="004F4940" w:rsidR="00903C74">
        <w:rPr>
          <w:rFonts w:eastAsia="Times New Roman"/>
        </w:rPr>
        <w:t xml:space="preserve">  </w:t>
      </w:r>
      <w:r w:rsidRPr="004F4940" w:rsidR="000F2F87">
        <w:rPr>
          <w:rFonts w:eastAsia="Times New Roman"/>
        </w:rPr>
        <w:t xml:space="preserve">However, other than EPSA/PJM Group’s </w:t>
      </w:r>
      <w:r w:rsidRPr="004F4940" w:rsidR="003D0BB4">
        <w:rPr>
          <w:rFonts w:eastAsia="Times New Roman"/>
        </w:rPr>
        <w:t>assertion</w:t>
      </w:r>
      <w:r w:rsidRPr="004F4940" w:rsidR="000F2F87">
        <w:rPr>
          <w:rFonts w:eastAsia="Times New Roman"/>
        </w:rPr>
        <w:t xml:space="preserve">, there is no </w:t>
      </w:r>
      <w:r w:rsidRPr="004F4940" w:rsidR="00C30EC2">
        <w:rPr>
          <w:rFonts w:eastAsia="Times New Roman"/>
        </w:rPr>
        <w:t>logical reason t</w:t>
      </w:r>
      <w:r w:rsidRPr="004F4940" w:rsidR="000F2F87">
        <w:rPr>
          <w:rFonts w:eastAsia="Times New Roman"/>
        </w:rPr>
        <w:t>o</w:t>
      </w:r>
      <w:r w:rsidRPr="004F4940" w:rsidR="001E24B6">
        <w:rPr>
          <w:rFonts w:eastAsia="Times New Roman"/>
        </w:rPr>
        <w:t xml:space="preserve"> t</w:t>
      </w:r>
      <w:r w:rsidRPr="004F4940" w:rsidR="000F2F87">
        <w:rPr>
          <w:rFonts w:eastAsia="Times New Roman"/>
        </w:rPr>
        <w:t>ie together the language from these t</w:t>
      </w:r>
      <w:r w:rsidRPr="004F4940" w:rsidR="009D2C7E">
        <w:rPr>
          <w:rFonts w:eastAsia="Times New Roman"/>
        </w:rPr>
        <w:t xml:space="preserve">wo definitions to limit the </w:t>
      </w:r>
      <w:r w:rsidRPr="004F4940" w:rsidR="009F3EE6">
        <w:rPr>
          <w:rFonts w:eastAsia="Times New Roman"/>
        </w:rPr>
        <w:t xml:space="preserve">statutory scope for </w:t>
      </w:r>
      <w:r w:rsidRPr="004F4940" w:rsidR="00BA6BA6">
        <w:rPr>
          <w:rFonts w:eastAsia="Times New Roman"/>
        </w:rPr>
        <w:t xml:space="preserve">the requirements of a Reliability Standard.  </w:t>
      </w:r>
      <w:r w:rsidRPr="004F4940" w:rsidR="00934126">
        <w:rPr>
          <w:rFonts w:eastAsia="Times New Roman"/>
        </w:rPr>
        <w:t xml:space="preserve">Rather, </w:t>
      </w:r>
      <w:r w:rsidRPr="004F4940" w:rsidR="005C38F5">
        <w:rPr>
          <w:rFonts w:eastAsia="Times New Roman"/>
        </w:rPr>
        <w:t xml:space="preserve">in context, the </w:t>
      </w:r>
      <w:r w:rsidRPr="004F4940" w:rsidR="00F852CB">
        <w:rPr>
          <w:rFonts w:eastAsia="Times New Roman"/>
        </w:rPr>
        <w:t>“requirements for operatio</w:t>
      </w:r>
      <w:r w:rsidRPr="004F4940" w:rsidR="00C57C0A">
        <w:rPr>
          <w:rFonts w:eastAsia="Times New Roman"/>
        </w:rPr>
        <w:t>n of</w:t>
      </w:r>
      <w:r w:rsidRPr="004F4940" w:rsidR="00F852CB">
        <w:rPr>
          <w:rFonts w:eastAsia="Times New Roman"/>
        </w:rPr>
        <w:t xml:space="preserve"> existing</w:t>
      </w:r>
      <w:r w:rsidRPr="004F4940" w:rsidR="00F84774">
        <w:rPr>
          <w:rFonts w:eastAsia="Times New Roman"/>
        </w:rPr>
        <w:t> . . . </w:t>
      </w:r>
      <w:r w:rsidRPr="004F4940" w:rsidR="00C57C0A">
        <w:rPr>
          <w:rFonts w:eastAsia="Times New Roman"/>
        </w:rPr>
        <w:t>facilities” passage continues “</w:t>
      </w:r>
      <w:r w:rsidRPr="004F4940" w:rsidR="00F84774">
        <w:rPr>
          <w:rFonts w:eastAsia="Times New Roman"/>
        </w:rPr>
        <w:t>. . . </w:t>
      </w:r>
      <w:r w:rsidRPr="004F4940" w:rsidR="002D3D65">
        <w:rPr>
          <w:rFonts w:eastAsia="Times New Roman"/>
        </w:rPr>
        <w:t>including</w:t>
      </w:r>
      <w:r w:rsidRPr="004F4940" w:rsidR="00F84774">
        <w:rPr>
          <w:rFonts w:eastAsia="Times New Roman"/>
        </w:rPr>
        <w:t> . . . </w:t>
      </w:r>
      <w:r w:rsidRPr="004F4940" w:rsidR="002D3D65">
        <w:rPr>
          <w:rFonts w:eastAsia="Times New Roman"/>
        </w:rPr>
        <w:t>the design of planned additions or modification to such fac</w:t>
      </w:r>
      <w:r w:rsidRPr="004F4940" w:rsidR="00F273FD">
        <w:rPr>
          <w:rFonts w:eastAsia="Times New Roman"/>
        </w:rPr>
        <w:t>i</w:t>
      </w:r>
      <w:r w:rsidRPr="004F4940" w:rsidR="008D426C">
        <w:rPr>
          <w:rFonts w:eastAsia="Times New Roman"/>
        </w:rPr>
        <w:t>lities</w:t>
      </w:r>
      <w:r w:rsidRPr="004F4940" w:rsidR="002D3D65">
        <w:rPr>
          <w:rFonts w:eastAsia="Times New Roman"/>
        </w:rPr>
        <w:t xml:space="preserve"> to the exten</w:t>
      </w:r>
      <w:r w:rsidRPr="004F4940" w:rsidR="008D426C">
        <w:rPr>
          <w:rFonts w:eastAsia="Times New Roman"/>
        </w:rPr>
        <w:t>t</w:t>
      </w:r>
      <w:r w:rsidRPr="004F4940" w:rsidR="002D3D65">
        <w:rPr>
          <w:rFonts w:eastAsia="Times New Roman"/>
        </w:rPr>
        <w:t xml:space="preserve"> ne</w:t>
      </w:r>
      <w:r w:rsidRPr="004F4940" w:rsidR="008D426C">
        <w:rPr>
          <w:rFonts w:eastAsia="Times New Roman"/>
        </w:rPr>
        <w:t>c</w:t>
      </w:r>
      <w:r w:rsidRPr="004F4940" w:rsidR="002D3D65">
        <w:rPr>
          <w:rFonts w:eastAsia="Times New Roman"/>
        </w:rPr>
        <w:t>e</w:t>
      </w:r>
      <w:r w:rsidRPr="004F4940" w:rsidR="008D426C">
        <w:rPr>
          <w:rFonts w:eastAsia="Times New Roman"/>
        </w:rPr>
        <w:t>s</w:t>
      </w:r>
      <w:r w:rsidRPr="004F4940" w:rsidR="00F273FD">
        <w:rPr>
          <w:rFonts w:eastAsia="Times New Roman"/>
        </w:rPr>
        <w:t>s</w:t>
      </w:r>
      <w:r w:rsidRPr="004F4940" w:rsidR="002D3D65">
        <w:rPr>
          <w:rFonts w:eastAsia="Times New Roman"/>
        </w:rPr>
        <w:t>ary to provide for reliable operation of the bulk</w:t>
      </w:r>
      <w:r w:rsidRPr="004F4940" w:rsidR="008D426C">
        <w:rPr>
          <w:rFonts w:eastAsia="Times New Roman"/>
        </w:rPr>
        <w:t>-</w:t>
      </w:r>
      <w:r w:rsidRPr="004F4940" w:rsidR="002D3D65">
        <w:rPr>
          <w:rFonts w:eastAsia="Times New Roman"/>
        </w:rPr>
        <w:t>power system.”</w:t>
      </w:r>
      <w:r>
        <w:rPr>
          <w:rStyle w:val="FootnoteReference"/>
          <w:rFonts w:eastAsia="Times New Roman"/>
        </w:rPr>
        <w:footnoteReference w:id="81"/>
      </w:r>
      <w:r w:rsidRPr="004F4940" w:rsidR="00F273FD">
        <w:rPr>
          <w:rFonts w:eastAsia="Times New Roman"/>
        </w:rPr>
        <w:t xml:space="preserve">  This exactly describes the </w:t>
      </w:r>
      <w:r w:rsidRPr="004F4940" w:rsidR="00004D01">
        <w:rPr>
          <w:rFonts w:eastAsia="Times New Roman"/>
        </w:rPr>
        <w:t xml:space="preserve">purpose of the </w:t>
      </w:r>
      <w:r w:rsidRPr="004F4940" w:rsidR="00F273FD">
        <w:rPr>
          <w:rFonts w:eastAsia="Times New Roman"/>
        </w:rPr>
        <w:t>freeze protection</w:t>
      </w:r>
      <w:r w:rsidRPr="004F4940" w:rsidR="00004D01">
        <w:rPr>
          <w:rFonts w:eastAsia="Times New Roman"/>
        </w:rPr>
        <w:t xml:space="preserve"> requirements in EOP-012-1</w:t>
      </w:r>
      <w:r w:rsidRPr="004F4940" w:rsidR="001868D8">
        <w:rPr>
          <w:rFonts w:eastAsia="Times New Roman"/>
        </w:rPr>
        <w:t>, which</w:t>
      </w:r>
      <w:r w:rsidRPr="004F4940" w:rsidR="6886F71E">
        <w:rPr>
          <w:rFonts w:eastAsia="Times New Roman"/>
        </w:rPr>
        <w:t xml:space="preserve"> are intended to </w:t>
      </w:r>
      <w:r w:rsidRPr="004F4940" w:rsidR="00370815">
        <w:rPr>
          <w:rFonts w:eastAsia="Times New Roman"/>
        </w:rPr>
        <w:t>reduce</w:t>
      </w:r>
      <w:r w:rsidRPr="004F4940" w:rsidR="6886F71E">
        <w:rPr>
          <w:rFonts w:eastAsia="Times New Roman"/>
        </w:rPr>
        <w:t xml:space="preserve"> capacity that is forced off-line due to freezing conditions</w:t>
      </w:r>
      <w:r w:rsidRPr="004F4940" w:rsidR="65DD057A">
        <w:rPr>
          <w:rFonts w:eastAsia="Times New Roman"/>
        </w:rPr>
        <w:t xml:space="preserve"> and </w:t>
      </w:r>
      <w:r w:rsidRPr="004F4940" w:rsidR="00726892">
        <w:rPr>
          <w:rFonts w:eastAsia="Times New Roman"/>
        </w:rPr>
        <w:t>to</w:t>
      </w:r>
      <w:r w:rsidRPr="004F4940" w:rsidR="00D658AA">
        <w:rPr>
          <w:rFonts w:eastAsia="Times New Roman"/>
        </w:rPr>
        <w:t xml:space="preserve"> </w:t>
      </w:r>
      <w:r w:rsidRPr="004F4940" w:rsidR="65DD057A">
        <w:rPr>
          <w:rFonts w:eastAsia="Times New Roman"/>
        </w:rPr>
        <w:t xml:space="preserve">help </w:t>
      </w:r>
      <w:r w:rsidRPr="004F4940" w:rsidR="00D658AA">
        <w:rPr>
          <w:rFonts w:eastAsia="Times New Roman"/>
        </w:rPr>
        <w:t xml:space="preserve">ensure that such </w:t>
      </w:r>
      <w:r w:rsidRPr="004F4940" w:rsidR="65DD057A">
        <w:rPr>
          <w:rFonts w:eastAsia="Times New Roman"/>
        </w:rPr>
        <w:t xml:space="preserve">capacity </w:t>
      </w:r>
      <w:r w:rsidRPr="004F4940" w:rsidR="00D658AA">
        <w:rPr>
          <w:rFonts w:eastAsia="Times New Roman"/>
        </w:rPr>
        <w:t xml:space="preserve">is not forced off-line </w:t>
      </w:r>
      <w:r w:rsidRPr="004F4940" w:rsidR="00726892">
        <w:rPr>
          <w:rFonts w:eastAsia="Times New Roman"/>
        </w:rPr>
        <w:t>in</w:t>
      </w:r>
      <w:r w:rsidRPr="004F4940" w:rsidR="00D658AA">
        <w:rPr>
          <w:rFonts w:eastAsia="Times New Roman"/>
        </w:rPr>
        <w:t xml:space="preserve"> newer units</w:t>
      </w:r>
      <w:r w:rsidRPr="004F4940" w:rsidR="6886F71E">
        <w:rPr>
          <w:rFonts w:eastAsia="Times New Roman"/>
        </w:rPr>
        <w:t>.</w:t>
      </w:r>
      <w:r w:rsidRPr="004F4940" w:rsidR="7F7F46E1">
        <w:rPr>
          <w:rFonts w:eastAsia="Times New Roman"/>
        </w:rPr>
        <w:t xml:space="preserve"> </w:t>
      </w:r>
      <w:r w:rsidRPr="004F4940" w:rsidR="6886F71E">
        <w:rPr>
          <w:rFonts w:eastAsia="Times New Roman"/>
        </w:rPr>
        <w:t xml:space="preserve"> </w:t>
      </w:r>
      <w:r w:rsidRPr="004F4940" w:rsidR="00093967">
        <w:rPr>
          <w:rFonts w:eastAsia="Times New Roman"/>
        </w:rPr>
        <w:t>A</w:t>
      </w:r>
      <w:r w:rsidRPr="004F4940" w:rsidR="003C4BDB">
        <w:rPr>
          <w:rFonts w:eastAsia="Times New Roman"/>
        </w:rPr>
        <w:t>ccordingly, w</w:t>
      </w:r>
      <w:r w:rsidRPr="004F4940" w:rsidR="1C921B38">
        <w:rPr>
          <w:rFonts w:eastAsia="Times New Roman"/>
        </w:rPr>
        <w:t xml:space="preserve">e </w:t>
      </w:r>
      <w:r w:rsidRPr="004F4940" w:rsidR="003C4BDB">
        <w:rPr>
          <w:rFonts w:eastAsia="Times New Roman"/>
        </w:rPr>
        <w:t>reject the arguments of</w:t>
      </w:r>
      <w:r w:rsidRPr="004F4940" w:rsidR="0535FCED">
        <w:rPr>
          <w:rFonts w:eastAsia="Times New Roman"/>
        </w:rPr>
        <w:t xml:space="preserve"> </w:t>
      </w:r>
      <w:r w:rsidRPr="004F4940" w:rsidR="7EDE8BD2">
        <w:rPr>
          <w:rFonts w:eastAsia="Times New Roman"/>
        </w:rPr>
        <w:t xml:space="preserve">EPSA/PJM Group that </w:t>
      </w:r>
      <w:r w:rsidRPr="004F4940" w:rsidR="00887383">
        <w:rPr>
          <w:rFonts w:eastAsia="Times New Roman"/>
        </w:rPr>
        <w:t xml:space="preserve">the requirements of </w:t>
      </w:r>
      <w:r w:rsidRPr="004F4940" w:rsidR="7EDE8BD2">
        <w:rPr>
          <w:rFonts w:eastAsia="Times New Roman"/>
        </w:rPr>
        <w:t xml:space="preserve">EOP-012-1 </w:t>
      </w:r>
      <w:r w:rsidRPr="004F4940" w:rsidR="00887383">
        <w:rPr>
          <w:rFonts w:eastAsia="Times New Roman"/>
        </w:rPr>
        <w:t>are beyond</w:t>
      </w:r>
      <w:r w:rsidRPr="004F4940" w:rsidR="0F579DD1">
        <w:rPr>
          <w:rFonts w:eastAsia="Times New Roman"/>
        </w:rPr>
        <w:t xml:space="preserve"> our or NERC’s </w:t>
      </w:r>
      <w:r w:rsidRPr="004F4940" w:rsidR="00887383">
        <w:rPr>
          <w:rFonts w:eastAsia="Times New Roman"/>
        </w:rPr>
        <w:t>authority</w:t>
      </w:r>
      <w:r w:rsidRPr="004F4940" w:rsidR="0F579DD1">
        <w:rPr>
          <w:rFonts w:eastAsia="Times New Roman"/>
        </w:rPr>
        <w:t>.</w:t>
      </w:r>
    </w:p>
    <w:p w:rsidR="00C261F6" w:rsidRPr="004F4940" w:rsidP="462A9FC4" w14:paraId="3CF3AF57" w14:textId="49764C40">
      <w:pPr>
        <w:pStyle w:val="FERCparanumber"/>
        <w:widowControl w:val="0"/>
        <w:suppressLineNumbers/>
        <w:rPr>
          <w:rFonts w:eastAsia="Times New Roman"/>
        </w:rPr>
      </w:pPr>
      <w:r w:rsidRPr="004F4940">
        <w:rPr>
          <w:rFonts w:eastAsia="Times New Roman"/>
        </w:rPr>
        <w:t>For similar reasons, we reject Inve</w:t>
      </w:r>
      <w:r w:rsidRPr="004F4940" w:rsidR="005A78BD">
        <w:rPr>
          <w:rFonts w:eastAsia="Times New Roman"/>
        </w:rPr>
        <w:t xml:space="preserve">nergy’s argument that </w:t>
      </w:r>
      <w:r w:rsidRPr="004F4940" w:rsidR="001A4BE6">
        <w:rPr>
          <w:rFonts w:eastAsia="Times New Roman"/>
        </w:rPr>
        <w:t xml:space="preserve">a requirement </w:t>
      </w:r>
      <w:r w:rsidRPr="004F4940" w:rsidR="00F240E2">
        <w:rPr>
          <w:rFonts w:eastAsia="Times New Roman"/>
        </w:rPr>
        <w:t xml:space="preserve">to </w:t>
      </w:r>
      <w:r w:rsidRPr="004F4940" w:rsidR="00F819D4">
        <w:rPr>
          <w:rFonts w:eastAsia="Times New Roman"/>
        </w:rPr>
        <w:t>“</w:t>
      </w:r>
      <w:r w:rsidRPr="004F4940" w:rsidR="005A78BD">
        <w:rPr>
          <w:rFonts w:eastAsia="Times New Roman"/>
        </w:rPr>
        <w:t>retrofit</w:t>
      </w:r>
      <w:r w:rsidRPr="004F4940" w:rsidR="00F819D4">
        <w:rPr>
          <w:rFonts w:eastAsia="Times New Roman"/>
        </w:rPr>
        <w:t>”</w:t>
      </w:r>
      <w:r w:rsidRPr="004F4940" w:rsidR="005A78BD">
        <w:rPr>
          <w:rFonts w:eastAsia="Times New Roman"/>
        </w:rPr>
        <w:t xml:space="preserve"> existing generators </w:t>
      </w:r>
      <w:r w:rsidRPr="004F4940" w:rsidR="00F240E2">
        <w:rPr>
          <w:rFonts w:eastAsia="Times New Roman"/>
        </w:rPr>
        <w:t>exceeds the</w:t>
      </w:r>
      <w:r w:rsidRPr="004F4940" w:rsidR="005A78BD">
        <w:rPr>
          <w:rFonts w:eastAsia="Times New Roman"/>
        </w:rPr>
        <w:t xml:space="preserve"> statutory definition of </w:t>
      </w:r>
      <w:r w:rsidRPr="004F4940" w:rsidR="001B3ED1">
        <w:rPr>
          <w:rFonts w:eastAsia="Times New Roman"/>
        </w:rPr>
        <w:t xml:space="preserve">a </w:t>
      </w:r>
      <w:r w:rsidRPr="004F4940" w:rsidR="005A78BD">
        <w:rPr>
          <w:rFonts w:eastAsia="Times New Roman"/>
        </w:rPr>
        <w:t xml:space="preserve">Reliability Standard </w:t>
      </w:r>
      <w:r w:rsidRPr="004F4940" w:rsidR="00987330">
        <w:rPr>
          <w:rFonts w:eastAsia="Times New Roman"/>
        </w:rPr>
        <w:t xml:space="preserve">that </w:t>
      </w:r>
      <w:r w:rsidRPr="004F4940" w:rsidR="005A78BD">
        <w:rPr>
          <w:rFonts w:eastAsia="Times New Roman"/>
        </w:rPr>
        <w:t>is limited to requirements “for the operation of existing bulk-power system facilities.”</w:t>
      </w:r>
      <w:r>
        <w:rPr>
          <w:rStyle w:val="FootnoteReference"/>
          <w:rFonts w:eastAsia="Times New Roman"/>
        </w:rPr>
        <w:footnoteReference w:id="82"/>
      </w:r>
      <w:r w:rsidRPr="004F4940" w:rsidR="00987330">
        <w:rPr>
          <w:rFonts w:eastAsia="Times New Roman"/>
        </w:rPr>
        <w:t xml:space="preserve">  Again, </w:t>
      </w:r>
      <w:r w:rsidRPr="004F4940" w:rsidR="002C19C7">
        <w:rPr>
          <w:rFonts w:eastAsia="Times New Roman"/>
        </w:rPr>
        <w:t xml:space="preserve">Invenergy would read in an exclusion beyond the one explicit exclusion stated in the </w:t>
      </w:r>
      <w:r w:rsidRPr="004F4940" w:rsidR="00097EF2">
        <w:rPr>
          <w:rFonts w:eastAsia="Times New Roman"/>
        </w:rPr>
        <w:t xml:space="preserve">definition.  Moreover, </w:t>
      </w:r>
      <w:r w:rsidRPr="004F4940" w:rsidR="00475531">
        <w:rPr>
          <w:rFonts w:eastAsia="Times New Roman"/>
        </w:rPr>
        <w:t>Invenergy’s selected quote</w:t>
      </w:r>
      <w:r w:rsidRPr="004F4940" w:rsidR="00097EF2">
        <w:rPr>
          <w:rFonts w:eastAsia="Times New Roman"/>
        </w:rPr>
        <w:t xml:space="preserve"> </w:t>
      </w:r>
      <w:r w:rsidRPr="004F4940" w:rsidR="00E51EC4">
        <w:rPr>
          <w:rFonts w:eastAsia="Times New Roman"/>
        </w:rPr>
        <w:t>ignores the language that follows which includes</w:t>
      </w:r>
      <w:r w:rsidRPr="004F4940" w:rsidR="00E2384D">
        <w:rPr>
          <w:rFonts w:eastAsia="Times New Roman"/>
        </w:rPr>
        <w:t xml:space="preserve"> </w:t>
      </w:r>
      <w:r w:rsidRPr="004F4940" w:rsidR="00A13047">
        <w:rPr>
          <w:rFonts w:eastAsia="Times New Roman"/>
        </w:rPr>
        <w:t xml:space="preserve">requirements for </w:t>
      </w:r>
      <w:r w:rsidRPr="004F4940" w:rsidR="00E2384D">
        <w:rPr>
          <w:rFonts w:eastAsia="Times New Roman"/>
        </w:rPr>
        <w:t>“</w:t>
      </w:r>
      <w:r w:rsidRPr="004F4940" w:rsidR="00A13047">
        <w:rPr>
          <w:rFonts w:eastAsia="Times New Roman"/>
        </w:rPr>
        <w:t>the operation of existing</w:t>
      </w:r>
      <w:r w:rsidRPr="004F4940" w:rsidR="000A2959">
        <w:rPr>
          <w:rFonts w:eastAsia="Times New Roman"/>
        </w:rPr>
        <w:t xml:space="preserve"> </w:t>
      </w:r>
      <w:r w:rsidRPr="004F4940" w:rsidR="00A13047">
        <w:rPr>
          <w:rFonts w:eastAsia="Times New Roman"/>
        </w:rPr>
        <w:t>bulk-power system facilities</w:t>
      </w:r>
      <w:r w:rsidRPr="004F4940" w:rsidR="00F84774">
        <w:rPr>
          <w:rFonts w:eastAsia="Times New Roman"/>
        </w:rPr>
        <w:t> . . . </w:t>
      </w:r>
      <w:r w:rsidRPr="004F4940" w:rsidR="00A13047">
        <w:rPr>
          <w:rFonts w:eastAsia="Times New Roman"/>
        </w:rPr>
        <w:t>and the design of planned additions or modifications to such facilities to the extent necessary to provide for reliable operation</w:t>
      </w:r>
      <w:r w:rsidRPr="004F4940" w:rsidR="00A13047">
        <w:rPr>
          <w:rFonts w:eastAsia="Times New Roman"/>
        </w:rPr>
        <w:t xml:space="preserve"> </w:t>
      </w:r>
      <w:r w:rsidRPr="004F4940" w:rsidR="00A13047">
        <w:rPr>
          <w:rFonts w:eastAsia="Times New Roman"/>
        </w:rPr>
        <w:t>of the</w:t>
      </w:r>
      <w:r w:rsidRPr="004F4940" w:rsidR="0052743F">
        <w:t xml:space="preserve"> </w:t>
      </w:r>
      <w:r w:rsidRPr="004F4940" w:rsidR="0052743F">
        <w:rPr>
          <w:rFonts w:eastAsia="Times New Roman"/>
        </w:rPr>
        <w:t>bulk-power system.”</w:t>
      </w:r>
      <w:r>
        <w:rPr>
          <w:rStyle w:val="FootnoteReference"/>
          <w:rFonts w:eastAsia="Times New Roman"/>
        </w:rPr>
        <w:footnoteReference w:id="83"/>
      </w:r>
      <w:r w:rsidRPr="004F4940" w:rsidR="008A1B54">
        <w:rPr>
          <w:rFonts w:eastAsia="Times New Roman"/>
        </w:rPr>
        <w:t xml:space="preserve"> </w:t>
      </w:r>
      <w:r w:rsidRPr="004F4940" w:rsidR="003F1262">
        <w:rPr>
          <w:rFonts w:eastAsia="Times New Roman"/>
        </w:rPr>
        <w:t xml:space="preserve"> As discussed above, Requirement</w:t>
      </w:r>
      <w:r w:rsidRPr="004F4940" w:rsidR="00AD2731">
        <w:rPr>
          <w:rFonts w:eastAsia="Times New Roman"/>
        </w:rPr>
        <w:t>s R1 and R2</w:t>
      </w:r>
      <w:r w:rsidRPr="004F4940" w:rsidR="00044609">
        <w:rPr>
          <w:rFonts w:eastAsia="Times New Roman"/>
        </w:rPr>
        <w:t>’s</w:t>
      </w:r>
      <w:r w:rsidRPr="004F4940" w:rsidR="00AD2731">
        <w:rPr>
          <w:rFonts w:eastAsia="Times New Roman"/>
        </w:rPr>
        <w:t xml:space="preserve"> freeze protection</w:t>
      </w:r>
      <w:r w:rsidRPr="004F4940" w:rsidR="00516C2A">
        <w:rPr>
          <w:rFonts w:eastAsia="Times New Roman"/>
        </w:rPr>
        <w:t xml:space="preserve"> measure</w:t>
      </w:r>
      <w:r w:rsidRPr="004F4940" w:rsidR="00AD2731">
        <w:rPr>
          <w:rFonts w:eastAsia="Times New Roman"/>
        </w:rPr>
        <w:t>s satisfy the latter provision</w:t>
      </w:r>
      <w:r w:rsidRPr="004F4940" w:rsidR="00516C2A">
        <w:rPr>
          <w:rFonts w:eastAsia="Times New Roman"/>
        </w:rPr>
        <w:t>,</w:t>
      </w:r>
      <w:r w:rsidRPr="004F4940" w:rsidR="00BF03E7">
        <w:rPr>
          <w:rFonts w:eastAsia="Times New Roman"/>
        </w:rPr>
        <w:t xml:space="preserve"> as </w:t>
      </w:r>
      <w:r w:rsidRPr="004F4940" w:rsidR="007B6AC1">
        <w:rPr>
          <w:rFonts w:eastAsia="Times New Roman"/>
        </w:rPr>
        <w:t xml:space="preserve">the record shows that these </w:t>
      </w:r>
      <w:r w:rsidRPr="004F4940" w:rsidR="00BF03E7">
        <w:rPr>
          <w:rFonts w:eastAsia="Times New Roman"/>
        </w:rPr>
        <w:t xml:space="preserve">modifications </w:t>
      </w:r>
      <w:r w:rsidRPr="004F4940" w:rsidR="007B6AC1">
        <w:rPr>
          <w:rFonts w:eastAsia="Times New Roman"/>
        </w:rPr>
        <w:t xml:space="preserve">are </w:t>
      </w:r>
      <w:r w:rsidRPr="004F4940" w:rsidR="00BF03E7">
        <w:rPr>
          <w:rFonts w:eastAsia="Times New Roman"/>
        </w:rPr>
        <w:t xml:space="preserve">necessary to provide for </w:t>
      </w:r>
      <w:r w:rsidRPr="004F4940" w:rsidR="007B6AC1">
        <w:rPr>
          <w:rFonts w:eastAsia="Times New Roman"/>
        </w:rPr>
        <w:t xml:space="preserve">the </w:t>
      </w:r>
      <w:r w:rsidRPr="004F4940" w:rsidR="00BF03E7">
        <w:rPr>
          <w:rFonts w:eastAsia="Times New Roman"/>
        </w:rPr>
        <w:t>reliable operation of the Bulk-Power System.</w:t>
      </w:r>
    </w:p>
    <w:p w:rsidR="00DB0D28" w:rsidRPr="004F4940" w:rsidP="00DB0D28" w14:paraId="40DDE6DE" w14:textId="7EBE9FBD">
      <w:pPr>
        <w:pStyle w:val="Heading3"/>
      </w:pPr>
      <w:r w:rsidRPr="004F4940">
        <w:t>Applicability of Reliability Standard EOP-012-1</w:t>
      </w:r>
    </w:p>
    <w:p w:rsidR="00DB0D28" w:rsidRPr="004F4940" w:rsidP="00DB0D28" w14:paraId="1BEE9842" w14:textId="4EA3B0BF">
      <w:pPr>
        <w:pStyle w:val="FERCparanumber"/>
      </w:pPr>
      <w:r w:rsidRPr="004F4940">
        <w:t xml:space="preserve">NERC’s Rules of Procedure requires all Reliability Standards to include an applicability section that identifies (1) the registered functional entities required to comply with each Standard and (2) the </w:t>
      </w:r>
      <w:r w:rsidRPr="004F4940" w:rsidR="002022E3">
        <w:t>b</w:t>
      </w:r>
      <w:r w:rsidRPr="004F4940">
        <w:t xml:space="preserve">ulk </w:t>
      </w:r>
      <w:r w:rsidRPr="004F4940" w:rsidR="002022E3">
        <w:t>e</w:t>
      </w:r>
      <w:r w:rsidRPr="004F4940">
        <w:t xml:space="preserve">lectric </w:t>
      </w:r>
      <w:r w:rsidRPr="004F4940" w:rsidR="002022E3">
        <w:t>s</w:t>
      </w:r>
      <w:r w:rsidRPr="004F4940">
        <w:t>ystem facilities to which the requirements apply.</w:t>
      </w:r>
      <w:r>
        <w:rPr>
          <w:rStyle w:val="FootnoteReference"/>
        </w:rPr>
        <w:footnoteReference w:id="84"/>
      </w:r>
      <w:r w:rsidRPr="004F4940">
        <w:t xml:space="preserve">  Reliability Standard EOP-012-1’s applicability section applies to </w:t>
      </w:r>
      <w:r w:rsidRPr="004F4940">
        <w:t xml:space="preserve">registered generator owners and generator operators.  Further, the facilities subject to the requirements of the standard include </w:t>
      </w:r>
      <w:r w:rsidRPr="004F4940" w:rsidR="00007B83">
        <w:t>b</w:t>
      </w:r>
      <w:r w:rsidRPr="004F4940">
        <w:t xml:space="preserve">ulk </w:t>
      </w:r>
      <w:r w:rsidRPr="004F4940" w:rsidR="00007B83">
        <w:t>e</w:t>
      </w:r>
      <w:r w:rsidRPr="004F4940">
        <w:t xml:space="preserve">lectric </w:t>
      </w:r>
      <w:r w:rsidRPr="004F4940" w:rsidR="00007B83">
        <w:t>s</w:t>
      </w:r>
      <w:r w:rsidRPr="004F4940">
        <w:t xml:space="preserve">ystem generating units that are </w:t>
      </w:r>
      <w:r w:rsidRPr="004F4940">
        <w:t>Blackstart</w:t>
      </w:r>
      <w:r w:rsidRPr="004F4940">
        <w:t xml:space="preserve"> Resources and any </w:t>
      </w:r>
      <w:r w:rsidRPr="004F4940" w:rsidR="00007B83">
        <w:t>b</w:t>
      </w:r>
      <w:r w:rsidRPr="004F4940">
        <w:t xml:space="preserve">ulk </w:t>
      </w:r>
      <w:r w:rsidRPr="004F4940" w:rsidR="00007B83">
        <w:t>e</w:t>
      </w:r>
      <w:r w:rsidRPr="004F4940">
        <w:t xml:space="preserve">lectric </w:t>
      </w:r>
      <w:r w:rsidRPr="004F4940" w:rsidR="00007B83">
        <w:t>s</w:t>
      </w:r>
      <w:r w:rsidRPr="004F4940" w:rsidR="00942092">
        <w:t xml:space="preserve">ystem </w:t>
      </w:r>
      <w:r w:rsidRPr="004F4940">
        <w:t>generating unit that:</w:t>
      </w:r>
    </w:p>
    <w:p w:rsidR="00DB0D28" w:rsidRPr="004F4940" w:rsidP="00DB0D28" w14:paraId="2B53EC00" w14:textId="78C06879">
      <w:pPr>
        <w:ind w:left="720" w:right="720"/>
        <w:jc w:val="both"/>
      </w:pPr>
      <w:r w:rsidRPr="004F4940">
        <w:t>commits or is obligated to serve a Balancing Authority load pursuant to a tariff obligation, state requirement as defined by the relevant electric regulatory authority, or other contractual arrangement, rule, or regulation, for a continuous run of four hours or more at or below a temperature of 32</w:t>
      </w:r>
      <w:r w:rsidRPr="004F4940" w:rsidR="00F84774">
        <w:t> </w:t>
      </w:r>
      <w:r w:rsidRPr="004F4940">
        <w:t>degrees Fahrenheit (zero degrees Celsius)</w:t>
      </w:r>
      <w:r>
        <w:rPr>
          <w:rStyle w:val="FootnoteReference"/>
        </w:rPr>
        <w:footnoteReference w:id="85"/>
      </w:r>
    </w:p>
    <w:p w:rsidR="00DB0D28" w:rsidRPr="004F4940" w:rsidP="00DB0D28" w14:paraId="4D91958A" w14:textId="77777777"/>
    <w:p w:rsidR="00DB0D28" w:rsidRPr="004F4940" w:rsidP="00DB0D28" w14:paraId="6522AB4B" w14:textId="77777777">
      <w:pPr>
        <w:pStyle w:val="FERCparanumber"/>
      </w:pPr>
      <w:r w:rsidRPr="004F4940">
        <w:t>NERC explains that the facilities section inclusions are “carefully tailored to place the responsibility for cold weather preparedness on those generating units that are being depended on to operate in cold weather and on which the reliability of the system depends” and that the facilities section exclusions are meant to avoid “undue burden on those generating units that are not expected to operate in cold weather.”</w:t>
      </w:r>
      <w:r>
        <w:rPr>
          <w:rStyle w:val="FootnoteReference"/>
        </w:rPr>
        <w:footnoteReference w:id="86"/>
      </w:r>
    </w:p>
    <w:p w:rsidR="00DB0D28" w:rsidRPr="004F4940" w:rsidP="00DB0D28" w14:paraId="7E12461E" w14:textId="77777777">
      <w:pPr>
        <w:pStyle w:val="Heading4"/>
      </w:pPr>
      <w:r w:rsidRPr="004F4940">
        <w:t>Comments</w:t>
      </w:r>
    </w:p>
    <w:p w:rsidR="00DB0D28" w:rsidRPr="004F4940" w:rsidP="00DB0D28" w14:paraId="1E18DFFE" w14:textId="66C7F306">
      <w:pPr>
        <w:pStyle w:val="FERCparanumber"/>
      </w:pPr>
      <w:r w:rsidRPr="004F4940">
        <w:t xml:space="preserve">Invenergy questions which generator owner and generator operators must comply with Reliability Standard EOP-012-1. </w:t>
      </w:r>
      <w:r w:rsidRPr="004F4940" w:rsidR="00F84774">
        <w:t xml:space="preserve"> </w:t>
      </w:r>
      <w:r w:rsidRPr="004F4940">
        <w:t>Specifically, Invenergy asserts that the applicability section of the Standard is not clear and unambiguous as to which entities must comply.  Invenergy argues there are different types of generator owners that vary widely in how they, with their generating units, participate in electric markets</w:t>
      </w:r>
      <w:r w:rsidRPr="004F4940" w:rsidR="007A6538">
        <w:t>, and</w:t>
      </w:r>
      <w:r w:rsidRPr="004F4940">
        <w:t xml:space="preserve"> requests that the Commission direct NERC to modify proposed Reliability Standard EOP-012-1</w:t>
      </w:r>
      <w:r w:rsidRPr="004F4940">
        <w:t xml:space="preserve"> </w:t>
      </w:r>
      <w:r w:rsidRPr="004F4940">
        <w:t>to provide specific criteria for which entities must comply.</w:t>
      </w:r>
      <w:r>
        <w:rPr>
          <w:b/>
          <w:vertAlign w:val="superscript"/>
        </w:rPr>
        <w:footnoteReference w:id="87"/>
      </w:r>
    </w:p>
    <w:p w:rsidR="00DB0D28" w:rsidRPr="004F4940" w:rsidP="00DB0D28" w14:paraId="3B55C6C0" w14:textId="77777777">
      <w:pPr>
        <w:pStyle w:val="Heading4"/>
      </w:pPr>
      <w:r w:rsidRPr="004F4940">
        <w:t>Commission Determination</w:t>
      </w:r>
    </w:p>
    <w:p w:rsidR="00DB0D28" w:rsidRPr="004F4940" w:rsidP="00DB0D28" w14:paraId="64B6856C" w14:textId="7CD1E0CA">
      <w:pPr>
        <w:pStyle w:val="FERCparanumber"/>
      </w:pPr>
      <w:r w:rsidRPr="004F4940">
        <w:t xml:space="preserve">We agree with Invenergy that the applicability of Reliability Standard EOP-012-1 is </w:t>
      </w:r>
      <w:r w:rsidRPr="004F4940" w:rsidR="009B67E9">
        <w:t xml:space="preserve">unclear and </w:t>
      </w:r>
      <w:r w:rsidRPr="004F4940">
        <w:t>ambiguous.  In its technical rationale and justification</w:t>
      </w:r>
      <w:r w:rsidRPr="004F4940" w:rsidR="004C6AE7">
        <w:t>,</w:t>
      </w:r>
      <w:r w:rsidRPr="004F4940">
        <w:t xml:space="preserve"> NERC </w:t>
      </w:r>
      <w:r w:rsidRPr="004F4940" w:rsidR="001129F8">
        <w:t>explains that Reliability Standard EOP-012-1 is not meant</w:t>
      </w:r>
      <w:r w:rsidRPr="004F4940">
        <w:t xml:space="preserve"> to </w:t>
      </w:r>
      <w:r w:rsidRPr="004F4940" w:rsidR="001129F8">
        <w:t>require</w:t>
      </w:r>
      <w:r w:rsidRPr="004F4940">
        <w:t xml:space="preserve"> all generating units </w:t>
      </w:r>
      <w:r w:rsidRPr="004F4940" w:rsidR="001129F8">
        <w:t>to</w:t>
      </w:r>
      <w:r w:rsidRPr="004F4940">
        <w:t xml:space="preserve"> provide capacity in extreme cold weather</w:t>
      </w:r>
      <w:r w:rsidRPr="004F4940" w:rsidR="001129F8">
        <w:t xml:space="preserve">.  </w:t>
      </w:r>
      <w:r w:rsidRPr="004F4940" w:rsidR="00090653">
        <w:t xml:space="preserve">Instead, the </w:t>
      </w:r>
      <w:r w:rsidRPr="004F4940" w:rsidR="00B5159D">
        <w:t xml:space="preserve">Standard </w:t>
      </w:r>
      <w:r w:rsidRPr="004F4940" w:rsidR="00A110DE">
        <w:t>applies to</w:t>
      </w:r>
      <w:r w:rsidRPr="004F4940">
        <w:t xml:space="preserve"> those </w:t>
      </w:r>
      <w:r w:rsidRPr="004F4940" w:rsidR="00B5159D">
        <w:t>generating</w:t>
      </w:r>
      <w:r w:rsidRPr="004F4940">
        <w:t xml:space="preserve"> resources that are </w:t>
      </w:r>
      <w:r w:rsidRPr="004F4940" w:rsidR="00A110DE">
        <w:t>“</w:t>
      </w:r>
      <w:r w:rsidRPr="004F4940">
        <w:t xml:space="preserve">obligated to serve </w:t>
      </w:r>
      <w:r w:rsidRPr="004F4940" w:rsidR="00A9632E">
        <w:t>B</w:t>
      </w:r>
      <w:r w:rsidRPr="004F4940">
        <w:t xml:space="preserve">alancing </w:t>
      </w:r>
      <w:r w:rsidRPr="004F4940" w:rsidR="00A9632E">
        <w:t>A</w:t>
      </w:r>
      <w:r w:rsidRPr="004F4940">
        <w:t xml:space="preserve">uthority load during periods at or below freezing due to commitments pursuant to tariff obligations, state requirements defined by regulatory authorities, or other contractual arrangements, rules, or regulations </w:t>
      </w:r>
      <w:r w:rsidRPr="004F4940">
        <w:t>are subject to the winterization requirements.”</w:t>
      </w:r>
      <w:r>
        <w:rPr>
          <w:rStyle w:val="FootnoteReference"/>
        </w:rPr>
        <w:footnoteReference w:id="88"/>
      </w:r>
      <w:r w:rsidRPr="004F4940">
        <w:t xml:space="preserve">  Further, NERC explains that the “[t]he [standard drafting team] chose the four-hour timeframe in consideration of generators that typically do not commit during freezing conditions but are running when conditions drop below freezing for a short period of time</w:t>
      </w:r>
      <w:r w:rsidRPr="004F4940" w:rsidR="00F84774">
        <w:t> . . . </w:t>
      </w:r>
      <w:r w:rsidRPr="004F4940">
        <w:t>”</w:t>
      </w:r>
      <w:r>
        <w:rPr>
          <w:rStyle w:val="FootnoteReference"/>
        </w:rPr>
        <w:footnoteReference w:id="89"/>
      </w:r>
      <w:r w:rsidRPr="004F4940">
        <w:t xml:space="preserve">  Lastly, </w:t>
      </w:r>
      <w:r w:rsidRPr="004F4940" w:rsidR="004F513C">
        <w:t>NERC</w:t>
      </w:r>
      <w:r w:rsidRPr="004F4940">
        <w:t xml:space="preserve"> states that the language is intended to act as a “blanket inclusion of all </w:t>
      </w:r>
      <w:r w:rsidRPr="004F4940" w:rsidR="004127D6">
        <w:t>[</w:t>
      </w:r>
      <w:r w:rsidRPr="004F4940" w:rsidR="000A4185">
        <w:t>b</w:t>
      </w:r>
      <w:r w:rsidRPr="004F4940" w:rsidR="004127D6">
        <w:t xml:space="preserve">ulk </w:t>
      </w:r>
      <w:r w:rsidRPr="004F4940" w:rsidR="000A4185">
        <w:t>e</w:t>
      </w:r>
      <w:r w:rsidRPr="004F4940" w:rsidR="004127D6">
        <w:t xml:space="preserve">lectric </w:t>
      </w:r>
      <w:r w:rsidRPr="004F4940" w:rsidR="000A4185">
        <w:t>s</w:t>
      </w:r>
      <w:r w:rsidRPr="004F4940" w:rsidR="004127D6">
        <w:t>ystem]</w:t>
      </w:r>
      <w:r w:rsidRPr="004F4940">
        <w:t xml:space="preserve"> resources that serve </w:t>
      </w:r>
      <w:r w:rsidRPr="004F4940" w:rsidR="0002191D">
        <w:t>B</w:t>
      </w:r>
      <w:r w:rsidRPr="004F4940">
        <w:t xml:space="preserve">alancing </w:t>
      </w:r>
      <w:r w:rsidRPr="004F4940" w:rsidR="0002191D">
        <w:t>A</w:t>
      </w:r>
      <w:r w:rsidRPr="004F4940">
        <w:t>uthority load for a period of more than four hours in freezing conditions.”</w:t>
      </w:r>
      <w:r>
        <w:rPr>
          <w:rStyle w:val="FootnoteReference"/>
        </w:rPr>
        <w:footnoteReference w:id="90"/>
      </w:r>
    </w:p>
    <w:p w:rsidR="002C0910" w:rsidRPr="004F4940" w:rsidP="00DB0D28" w14:paraId="232550C7" w14:textId="280879FC">
      <w:pPr>
        <w:pStyle w:val="FERCparanumber"/>
      </w:pPr>
      <w:r w:rsidRPr="004F4940">
        <w:t xml:space="preserve">Despite this additional description regarding the standard drafting team’s intent, we are concerned that certain elements of the applicability criteria remain </w:t>
      </w:r>
      <w:r w:rsidRPr="004F4940" w:rsidR="006552D5">
        <w:t xml:space="preserve">unclear and </w:t>
      </w:r>
      <w:r w:rsidRPr="004F4940">
        <w:t>ambiguous.  For example, in light of the multiple different approaches for participating in electricity markets, it may not be clear under what circumstances a generator owner is “obligated to serve a Balancing Authority load.”</w:t>
      </w:r>
      <w:r>
        <w:rPr>
          <w:rStyle w:val="FootnoteReference"/>
        </w:rPr>
        <w:footnoteReference w:id="91"/>
      </w:r>
      <w:r w:rsidR="00E20E34">
        <w:t xml:space="preserve"> </w:t>
      </w:r>
      <w:r w:rsidRPr="004F4940">
        <w:t xml:space="preserve"> Similarly, while the intent appears to be </w:t>
      </w:r>
      <w:r w:rsidRPr="004F4940" w:rsidR="00541DD9">
        <w:t xml:space="preserve">to </w:t>
      </w:r>
      <w:r w:rsidRPr="004F4940">
        <w:t>exclud</w:t>
      </w:r>
      <w:r w:rsidRPr="004F4940" w:rsidR="00541DD9">
        <w:t>e</w:t>
      </w:r>
      <w:r w:rsidRPr="004F4940">
        <w:t xml:space="preserve"> units that do not typically run during winter, it is unclear how the qualifier of “for four hours or more” is meant to be measured and applied in practice.</w:t>
      </w:r>
    </w:p>
    <w:p w:rsidR="00A57B3A" w:rsidRPr="004F4940" w:rsidP="00797621" w14:paraId="4FF5DEBD" w14:textId="3823525B">
      <w:pPr>
        <w:pStyle w:val="FERCparanumber"/>
      </w:pPr>
      <w:r w:rsidRPr="004F4940">
        <w:t xml:space="preserve">We find that NERC has not </w:t>
      </w:r>
      <w:r w:rsidRPr="004F4940" w:rsidR="00BA1411">
        <w:t xml:space="preserve">sufficiently </w:t>
      </w:r>
      <w:r w:rsidRPr="004F4940">
        <w:t xml:space="preserve">supported the </w:t>
      </w:r>
      <w:r w:rsidRPr="004F4940" w:rsidR="00821631">
        <w:t>a</w:t>
      </w:r>
      <w:r w:rsidRPr="004F4940">
        <w:t xml:space="preserve">pplicability </w:t>
      </w:r>
      <w:r w:rsidRPr="004F4940" w:rsidR="00821631">
        <w:t xml:space="preserve">criteria </w:t>
      </w:r>
      <w:r w:rsidRPr="004F4940">
        <w:t>of EOP-012-1.</w:t>
      </w:r>
      <w:r w:rsidRPr="004F4940" w:rsidR="002554F6">
        <w:t xml:space="preserve">  </w:t>
      </w:r>
      <w:r w:rsidRPr="004F4940">
        <w:t xml:space="preserve">Reliability Standard </w:t>
      </w:r>
      <w:r w:rsidRPr="004F4940" w:rsidR="00581DE9">
        <w:t>EOP-012-1</w:t>
      </w:r>
      <w:r w:rsidRPr="004F4940">
        <w:t xml:space="preserve"> applies only to “[a] </w:t>
      </w:r>
      <w:r w:rsidRPr="004F4940">
        <w:t>Blackstart</w:t>
      </w:r>
      <w:r w:rsidRPr="004F4940">
        <w:t xml:space="preserve"> Resource” or “[a] Bulk Electric System generating unit that commits or is obligated to serve . . . pursuant to a tariff obligation, state requirement . . . , or other contractual arrangement, rule, or regulation, for a continuous run of four hours or more at or below a temperature of 32 degrees Fahrenheit (zero degrees Celsius) . . . .”</w:t>
      </w:r>
      <w:r>
        <w:rPr>
          <w:rFonts w:eastAsia="Times New Roman"/>
          <w:b/>
          <w:vertAlign w:val="superscript"/>
        </w:rPr>
        <w:footnoteReference w:id="92"/>
      </w:r>
      <w:r w:rsidRPr="004F4940">
        <w:t xml:space="preserve">  This applicability is further limited by enumerated exemptions set forth in section 4.2.2.  NERC explains in its Petition that the Facilities section 4.2 of the Reliability Standard, that limits applicability to an unidentified subset of generating units, </w:t>
      </w:r>
      <w:r w:rsidR="009C6BBD">
        <w:t>is</w:t>
      </w:r>
      <w:r w:rsidRPr="004F4940">
        <w:t xml:space="preserve"> meant to “place the responsibility for cold weather preparedness on those generating units that are being depended on to operate in cold weather and on which the reliability of the system depends, while avoiding undue burden on those generating units that are not expected to operate in cold weather.”</w:t>
      </w:r>
      <w:r>
        <w:rPr>
          <w:rStyle w:val="FootnoteReference"/>
          <w:rFonts w:eastAsia="Times New Roman"/>
        </w:rPr>
        <w:footnoteReference w:id="93"/>
      </w:r>
      <w:r w:rsidRPr="004F4940">
        <w:t xml:space="preserve">  But based on comment</w:t>
      </w:r>
      <w:r w:rsidRPr="004F4940" w:rsidR="00864D34">
        <w:t>er concerns</w:t>
      </w:r>
      <w:r w:rsidRPr="004F4940">
        <w:t xml:space="preserve"> and our reading of the plain text of the Reliability </w:t>
      </w:r>
      <w:r w:rsidRPr="004F4940">
        <w:t xml:space="preserve">Standard, the extent of </w:t>
      </w:r>
      <w:r w:rsidRPr="004F4940" w:rsidR="00864D34">
        <w:t xml:space="preserve">Reliability Standard EOP-012-1’s </w:t>
      </w:r>
      <w:r w:rsidRPr="004F4940">
        <w:t xml:space="preserve">applicability to </w:t>
      </w:r>
      <w:r w:rsidRPr="004F4940" w:rsidR="00864D34">
        <w:t>b</w:t>
      </w:r>
      <w:r w:rsidRPr="004F4940">
        <w:t xml:space="preserve">ulk </w:t>
      </w:r>
      <w:r w:rsidRPr="004F4940" w:rsidR="00864D34">
        <w:t>e</w:t>
      </w:r>
      <w:r w:rsidRPr="004F4940">
        <w:t xml:space="preserve">lectric </w:t>
      </w:r>
      <w:r w:rsidRPr="004F4940" w:rsidR="00864D34">
        <w:t>s</w:t>
      </w:r>
      <w:r w:rsidRPr="004F4940">
        <w:t>ystem facilities is unclear.</w:t>
      </w:r>
    </w:p>
    <w:p w:rsidR="00ED503C" w:rsidRPr="004F4940" w:rsidP="00381D42" w14:paraId="6091C5DF" w14:textId="640821A5">
      <w:pPr>
        <w:pStyle w:val="FERCparanumber"/>
        <w:widowControl w:val="0"/>
        <w:suppressLineNumbers/>
        <w:rPr>
          <w:rFonts w:eastAsia="Times New Roman"/>
        </w:rPr>
      </w:pPr>
      <w:r w:rsidRPr="004F4940">
        <w:rPr>
          <w:rFonts w:eastAsia="Times New Roman"/>
        </w:rPr>
        <w:t xml:space="preserve">For example, it is </w:t>
      </w:r>
      <w:r w:rsidRPr="004F4940" w:rsidR="00ED01F8">
        <w:rPr>
          <w:rFonts w:eastAsia="Times New Roman"/>
        </w:rPr>
        <w:t xml:space="preserve">unclear how the term “continuous run” would apply to </w:t>
      </w:r>
      <w:r w:rsidRPr="004F4940" w:rsidR="00C72D49">
        <w:rPr>
          <w:rFonts w:eastAsia="Times New Roman"/>
        </w:rPr>
        <w:t>i</w:t>
      </w:r>
      <w:r w:rsidRPr="004F4940">
        <w:rPr>
          <w:rFonts w:eastAsia="Times New Roman"/>
        </w:rPr>
        <w:t>ntermittent resources</w:t>
      </w:r>
      <w:r w:rsidRPr="004F4940" w:rsidR="00C72D49">
        <w:rPr>
          <w:rFonts w:eastAsia="Times New Roman"/>
        </w:rPr>
        <w:t>, which</w:t>
      </w:r>
      <w:r w:rsidRPr="004F4940">
        <w:rPr>
          <w:rFonts w:eastAsia="Times New Roman"/>
        </w:rPr>
        <w:t xml:space="preserve"> </w:t>
      </w:r>
      <w:r w:rsidRPr="004F4940" w:rsidR="006E53A3">
        <w:rPr>
          <w:rFonts w:eastAsia="Times New Roman"/>
        </w:rPr>
        <w:t>by their nature</w:t>
      </w:r>
      <w:r w:rsidRPr="004F4940">
        <w:rPr>
          <w:rFonts w:eastAsia="Times New Roman"/>
        </w:rPr>
        <w:t xml:space="preserve"> are variable and</w:t>
      </w:r>
      <w:r w:rsidRPr="004F4940" w:rsidR="007661D3">
        <w:rPr>
          <w:rFonts w:eastAsia="Times New Roman"/>
        </w:rPr>
        <w:t xml:space="preserve">, therefore, </w:t>
      </w:r>
      <w:r w:rsidRPr="004F4940">
        <w:rPr>
          <w:rFonts w:eastAsia="Times New Roman"/>
        </w:rPr>
        <w:t xml:space="preserve">do not </w:t>
      </w:r>
      <w:r w:rsidRPr="004F4940" w:rsidR="00CE7D38">
        <w:rPr>
          <w:rFonts w:eastAsia="Times New Roman"/>
        </w:rPr>
        <w:t>always</w:t>
      </w:r>
      <w:r w:rsidRPr="004F4940">
        <w:rPr>
          <w:rFonts w:eastAsia="Times New Roman"/>
        </w:rPr>
        <w:t xml:space="preserve"> run continuously.</w:t>
      </w:r>
      <w:r w:rsidRPr="004F4940" w:rsidR="00CE774A">
        <w:rPr>
          <w:rFonts w:eastAsia="Times New Roman"/>
        </w:rPr>
        <w:t xml:space="preserve"> </w:t>
      </w:r>
      <w:r w:rsidRPr="004F4940">
        <w:rPr>
          <w:rFonts w:eastAsia="Times New Roman"/>
        </w:rPr>
        <w:t xml:space="preserve"> </w:t>
      </w:r>
      <w:r w:rsidRPr="004F4940" w:rsidR="004E0C37">
        <w:rPr>
          <w:rFonts w:eastAsia="Times New Roman"/>
        </w:rPr>
        <w:t>Ensuring clear</w:t>
      </w:r>
      <w:r w:rsidRPr="004F4940" w:rsidR="00610F9E">
        <w:rPr>
          <w:rFonts w:eastAsia="Times New Roman"/>
        </w:rPr>
        <w:t xml:space="preserve"> applicability to</w:t>
      </w:r>
      <w:r w:rsidRPr="004F4940" w:rsidR="00380488">
        <w:rPr>
          <w:rFonts w:eastAsia="Times New Roman"/>
        </w:rPr>
        <w:t xml:space="preserve"> </w:t>
      </w:r>
      <w:r w:rsidRPr="004F4940" w:rsidR="00610F9E">
        <w:rPr>
          <w:rFonts w:eastAsia="Times New Roman"/>
        </w:rPr>
        <w:t xml:space="preserve">intermittent generators is critical to </w:t>
      </w:r>
      <w:r w:rsidRPr="004F4940">
        <w:rPr>
          <w:rFonts w:eastAsia="Times New Roman"/>
        </w:rPr>
        <w:t>ensur</w:t>
      </w:r>
      <w:r w:rsidRPr="004F4940" w:rsidR="00610F9E">
        <w:rPr>
          <w:rFonts w:eastAsia="Times New Roman"/>
        </w:rPr>
        <w:t>ing</w:t>
      </w:r>
      <w:r w:rsidRPr="004F4940">
        <w:rPr>
          <w:rFonts w:eastAsia="Times New Roman"/>
        </w:rPr>
        <w:t xml:space="preserve"> that enough generating units are available during cold temperatures. </w:t>
      </w:r>
      <w:r w:rsidRPr="004F4940">
        <w:rPr>
          <w:rFonts w:eastAsia="Times New Roman"/>
        </w:rPr>
        <w:t xml:space="preserve"> </w:t>
      </w:r>
    </w:p>
    <w:p w:rsidR="00CC7784" w:rsidRPr="004F4940" w:rsidP="002554F6" w14:paraId="5387FEA7" w14:textId="38B0EC50">
      <w:pPr>
        <w:pStyle w:val="FERCparanumber"/>
        <w:widowControl w:val="0"/>
        <w:suppressLineNumbers/>
      </w:pPr>
      <w:r w:rsidRPr="004F4940">
        <w:rPr>
          <w:rFonts w:eastAsia="Times New Roman"/>
        </w:rPr>
        <w:t>Moreover, t</w:t>
      </w:r>
      <w:r w:rsidRPr="004F4940" w:rsidR="00381D42">
        <w:rPr>
          <w:rFonts w:eastAsia="Times New Roman"/>
        </w:rPr>
        <w:t xml:space="preserve">o the extent it is NERC’s intent to exclude units that do not typically run during winter from every requirement in the </w:t>
      </w:r>
      <w:r w:rsidRPr="004F4940" w:rsidR="00565882">
        <w:rPr>
          <w:rFonts w:eastAsia="Times New Roman"/>
        </w:rPr>
        <w:t>S</w:t>
      </w:r>
      <w:r w:rsidRPr="004F4940" w:rsidR="00381D42">
        <w:rPr>
          <w:rFonts w:eastAsia="Times New Roman"/>
        </w:rPr>
        <w:t>tandard</w:t>
      </w:r>
      <w:r w:rsidRPr="004F4940" w:rsidR="00565882">
        <w:rPr>
          <w:rFonts w:eastAsia="Times New Roman"/>
        </w:rPr>
        <w:t>, we have concerns that this is not clearly articulated in Reliability Standard EOP-012-1</w:t>
      </w:r>
      <w:r w:rsidRPr="004F4940" w:rsidR="00381D42">
        <w:rPr>
          <w:rFonts w:eastAsia="Times New Roman"/>
        </w:rPr>
        <w:t xml:space="preserve">.  </w:t>
      </w:r>
      <w:r w:rsidRPr="004F4940" w:rsidR="006C40D2">
        <w:t>In short, w</w:t>
      </w:r>
      <w:r w:rsidRPr="004F4940" w:rsidR="006164D5">
        <w:t xml:space="preserve">e are concerned that </w:t>
      </w:r>
      <w:r w:rsidRPr="004F4940" w:rsidR="0035252B">
        <w:t>use of the terms “continuous run</w:t>
      </w:r>
      <w:r w:rsidRPr="004F4940" w:rsidR="004F5E8D">
        <w:t>,</w:t>
      </w:r>
      <w:r w:rsidRPr="004F4940" w:rsidR="0035252B">
        <w:t>”</w:t>
      </w:r>
      <w:r w:rsidRPr="004F4940" w:rsidR="0035252B">
        <w:t xml:space="preserve"> </w:t>
      </w:r>
      <w:r w:rsidRPr="004F4940" w:rsidR="0035252B">
        <w:t xml:space="preserve">“commits or is obligated to serve” </w:t>
      </w:r>
      <w:r w:rsidRPr="004F4940" w:rsidR="004F5E8D">
        <w:t>and “four hours or more</w:t>
      </w:r>
      <w:r w:rsidRPr="004F4940" w:rsidR="005F7EDA">
        <w:t>,</w:t>
      </w:r>
      <w:r w:rsidRPr="004F4940" w:rsidR="004F5E8D">
        <w:t>”</w:t>
      </w:r>
      <w:r w:rsidRPr="004F4940" w:rsidR="005F7EDA">
        <w:t xml:space="preserve"> as well as the enumerated exemptions</w:t>
      </w:r>
      <w:r w:rsidRPr="004F4940" w:rsidR="00807DEE">
        <w:t>,</w:t>
      </w:r>
      <w:r w:rsidRPr="004F4940" w:rsidR="004F5E8D">
        <w:t xml:space="preserve"> </w:t>
      </w:r>
      <w:r w:rsidRPr="004F4940" w:rsidR="0035252B">
        <w:t xml:space="preserve">obfuscates </w:t>
      </w:r>
      <w:r w:rsidRPr="004F4940" w:rsidR="006164D5">
        <w:t>the extent of applicability of Reliability Standard EOP-012-1</w:t>
      </w:r>
      <w:r w:rsidRPr="004F4940" w:rsidR="0035252B">
        <w:t xml:space="preserve"> and</w:t>
      </w:r>
      <w:r w:rsidRPr="004F4940" w:rsidR="006164D5">
        <w:t xml:space="preserve"> may not ensure that compliance is required for all  “generating units that are being depended on to operate in cold weather and on which the reliability of the system depends.”</w:t>
      </w:r>
      <w:r>
        <w:rPr>
          <w:b/>
          <w:vertAlign w:val="superscript"/>
        </w:rPr>
        <w:footnoteReference w:id="94"/>
      </w:r>
      <w:r w:rsidRPr="004F4940" w:rsidR="006164D5">
        <w:t xml:space="preserve">  </w:t>
      </w:r>
      <w:r w:rsidRPr="004F4940" w:rsidR="00381D42">
        <w:t>Therefore, we direct NERC</w:t>
      </w:r>
      <w:r w:rsidRPr="004F4940" w:rsidR="000E7F80">
        <w:t>,</w:t>
      </w:r>
      <w:r w:rsidRPr="004F4940" w:rsidR="00381D42">
        <w:t xml:space="preserve"> pursuant to FPA section 215(d)(5), to modify Reliability Standard EOP-012-1 to </w:t>
      </w:r>
      <w:r w:rsidRPr="004F4940" w:rsidR="006164D5">
        <w:t>ensure that it captures all bulk electric system generation resources needed for reliable operation and excludes only those generation resources not relied upon during freezing conditions.</w:t>
      </w:r>
      <w:r>
        <w:rPr>
          <w:b/>
          <w:vertAlign w:val="superscript"/>
        </w:rPr>
        <w:footnoteReference w:id="95"/>
      </w:r>
      <w:r w:rsidRPr="004F4940" w:rsidR="006164D5">
        <w:t xml:space="preserve">  As the directive is to clarify the language of the applicability section to align with NERC’s explanation of the entities that should comply, there should be no need for additional implementation time.  Therefore, NERC should ensure the modified applicability is implemented as of the effective date of Reliability Standard EOP-012-1. </w:t>
      </w:r>
    </w:p>
    <w:p w:rsidR="00306418" w:rsidRPr="004F4940" w:rsidP="005C59E3" w14:paraId="58E9DDBC" w14:textId="0C7EF2CF">
      <w:pPr>
        <w:pStyle w:val="FERCparanumber"/>
      </w:pPr>
      <w:r w:rsidRPr="004F4940">
        <w:t>Given the lack of clarity in the proposed applicability criteria for EOP-012-</w:t>
      </w:r>
      <w:r w:rsidRPr="004F4940" w:rsidR="00EC1919">
        <w:t>1</w:t>
      </w:r>
      <w:r w:rsidRPr="004F4940">
        <w:t>, we are concerned that the standard could apply to significantly fewer generators than the existing</w:t>
      </w:r>
      <w:r w:rsidRPr="004F4940">
        <w:t xml:space="preserve"> </w:t>
      </w:r>
      <w:r w:rsidRPr="004F4940" w:rsidR="00443649">
        <w:t xml:space="preserve">Reliability Standard </w:t>
      </w:r>
      <w:r w:rsidRPr="004F4940">
        <w:t xml:space="preserve">EOP-011-2 </w:t>
      </w:r>
      <w:r w:rsidRPr="004F4940" w:rsidR="00443649">
        <w:t>R</w:t>
      </w:r>
      <w:r w:rsidRPr="004F4940">
        <w:t>equirements R</w:t>
      </w:r>
      <w:r w:rsidRPr="004F4940" w:rsidR="00EC1919">
        <w:t>7</w:t>
      </w:r>
      <w:r w:rsidRPr="004F4940">
        <w:t xml:space="preserve"> and R</w:t>
      </w:r>
      <w:r w:rsidRPr="004F4940" w:rsidR="00EC1919">
        <w:t>8</w:t>
      </w:r>
      <w:r w:rsidRPr="004F4940">
        <w:t xml:space="preserve">.  Thus, as Reliability Standard EOP-011-2 requirements to implement and maintain cold weather preparedness plan(s) and associated training applies to all bulk electric system generating units, we defer our decision on whether to approve or modify NERC’s proposed implementation date for Reliability Standard EOP-011-3 (and proposed retirement of Reliability Standard EOP-011-2) until NERC submits its revised applicability section for EOP-012.  Allowing these requirements to remain mandatory and enforceable will ensure all </w:t>
      </w:r>
      <w:r w:rsidRPr="004F4940" w:rsidR="005B68A1">
        <w:t>b</w:t>
      </w:r>
      <w:r w:rsidRPr="004F4940">
        <w:t xml:space="preserve">ulk </w:t>
      </w:r>
      <w:r w:rsidRPr="004F4940" w:rsidR="005B68A1">
        <w:t>e</w:t>
      </w:r>
      <w:r w:rsidRPr="004F4940">
        <w:t xml:space="preserve">lectric </w:t>
      </w:r>
      <w:r w:rsidRPr="004F4940" w:rsidR="005B68A1">
        <w:t>s</w:t>
      </w:r>
      <w:r w:rsidRPr="004F4940">
        <w:t>ystem generating units are required to maintain cold weather preparedness plans until such time as the revised applicability</w:t>
      </w:r>
      <w:r w:rsidRPr="004F4940" w:rsidR="00E314A0">
        <w:t xml:space="preserve"> criteria</w:t>
      </w:r>
      <w:r w:rsidRPr="004F4940">
        <w:t xml:space="preserve"> are effective for EOP-012</w:t>
      </w:r>
      <w:r w:rsidRPr="004F4940" w:rsidR="008D7233">
        <w:t>.</w:t>
      </w:r>
    </w:p>
    <w:p w:rsidR="00306418" w:rsidRPr="006E4DD6" w:rsidP="00306418" w14:paraId="63CB9334" w14:textId="21A8005D">
      <w:pPr>
        <w:pStyle w:val="FERCparanumber"/>
        <w:widowControl w:val="0"/>
        <w:suppressLineNumbers/>
        <w:rPr>
          <w:rFonts w:eastAsia="Times New Roman"/>
        </w:rPr>
      </w:pPr>
      <w:r w:rsidRPr="004F4940">
        <w:rPr>
          <w:rFonts w:eastAsia="Times New Roman"/>
        </w:rPr>
        <w:t xml:space="preserve">Furthermore, we </w:t>
      </w:r>
      <w:r w:rsidRPr="004F4940" w:rsidR="004F10DB">
        <w:rPr>
          <w:rFonts w:eastAsia="Times New Roman"/>
        </w:rPr>
        <w:t xml:space="preserve">are concerned that </w:t>
      </w:r>
      <w:r w:rsidRPr="004F4940" w:rsidR="00036504">
        <w:rPr>
          <w:rFonts w:eastAsia="Times New Roman"/>
        </w:rPr>
        <w:t xml:space="preserve">the proposed applicability criteria for EOP-012-1 and retirement of EOP-011-2 Requirements R7 and R8 will eliminate valuable information on cold weather preparedness of generating units that </w:t>
      </w:r>
      <w:r w:rsidRPr="004F4940" w:rsidR="00696169">
        <w:rPr>
          <w:rFonts w:eastAsia="Times New Roman"/>
        </w:rPr>
        <w:t xml:space="preserve">typically do not operate during the winter.  Under EOP-011-2, all </w:t>
      </w:r>
      <w:r w:rsidRPr="004F4940" w:rsidR="005B68A1">
        <w:rPr>
          <w:rFonts w:eastAsia="Times New Roman"/>
        </w:rPr>
        <w:t>b</w:t>
      </w:r>
      <w:r w:rsidRPr="004F4940" w:rsidR="00696169">
        <w:rPr>
          <w:rFonts w:eastAsia="Times New Roman"/>
        </w:rPr>
        <w:t xml:space="preserve">ulk </w:t>
      </w:r>
      <w:r w:rsidRPr="004F4940" w:rsidR="005B68A1">
        <w:rPr>
          <w:rFonts w:eastAsia="Times New Roman"/>
        </w:rPr>
        <w:t>e</w:t>
      </w:r>
      <w:r w:rsidRPr="004F4940" w:rsidR="00696169">
        <w:rPr>
          <w:rFonts w:eastAsia="Times New Roman"/>
        </w:rPr>
        <w:t xml:space="preserve">lectric </w:t>
      </w:r>
      <w:r w:rsidRPr="004F4940" w:rsidR="005B68A1">
        <w:rPr>
          <w:rFonts w:eastAsia="Times New Roman"/>
        </w:rPr>
        <w:t>s</w:t>
      </w:r>
      <w:r w:rsidRPr="004F4940" w:rsidR="00696169">
        <w:rPr>
          <w:rFonts w:eastAsia="Times New Roman"/>
        </w:rPr>
        <w:t>ystem generating units must identify in cold weather preparedness plan(</w:t>
      </w:r>
      <w:r w:rsidRPr="004F4940" w:rsidR="00696169">
        <w:rPr>
          <w:rFonts w:eastAsia="Times New Roman"/>
        </w:rPr>
        <w:t xml:space="preserve">s) </w:t>
      </w:r>
      <w:r w:rsidRPr="004F4940">
        <w:rPr>
          <w:rFonts w:eastAsia="Times New Roman"/>
        </w:rPr>
        <w:t xml:space="preserve"> </w:t>
      </w:r>
      <w:r w:rsidRPr="004F4940">
        <w:rPr>
          <w:rFonts w:eastAsia="Times New Roman"/>
        </w:rPr>
        <w:t>“</w:t>
      </w:r>
      <w:r w:rsidRPr="004F4940">
        <w:rPr>
          <w:rFonts w:eastAsia="Times New Roman"/>
        </w:rPr>
        <w:t>[g]</w:t>
      </w:r>
      <w:r w:rsidRPr="004F4940">
        <w:rPr>
          <w:rFonts w:eastAsia="Times New Roman"/>
        </w:rPr>
        <w:t>enerating</w:t>
      </w:r>
      <w:r w:rsidRPr="004F4940">
        <w:rPr>
          <w:rFonts w:eastAsia="Times New Roman"/>
        </w:rPr>
        <w:t xml:space="preserve"> unit(s) cold weather data” including “[g]</w:t>
      </w:r>
      <w:r w:rsidRPr="004F4940">
        <w:rPr>
          <w:rFonts w:eastAsia="Times New Roman"/>
        </w:rPr>
        <w:t>enerating</w:t>
      </w:r>
      <w:r w:rsidRPr="004F4940">
        <w:rPr>
          <w:rFonts w:eastAsia="Times New Roman"/>
        </w:rPr>
        <w:t xml:space="preserve"> unit(s) operating limitations in cold weather” and “[g]</w:t>
      </w:r>
      <w:r w:rsidRPr="004F4940">
        <w:rPr>
          <w:rFonts w:eastAsia="Times New Roman"/>
        </w:rPr>
        <w:t>enerating</w:t>
      </w:r>
      <w:r w:rsidRPr="004F4940">
        <w:rPr>
          <w:rFonts w:eastAsia="Times New Roman"/>
        </w:rPr>
        <w:t xml:space="preserve"> unit(s) minimum . . . design temperature . . . historical operating temperature . . . or current cold weather performance temperature determined by an engineering analysis.”  </w:t>
      </w:r>
      <w:r w:rsidRPr="004F4940" w:rsidR="00696169">
        <w:rPr>
          <w:rFonts w:eastAsia="Times New Roman"/>
        </w:rPr>
        <w:t xml:space="preserve">This data is </w:t>
      </w:r>
      <w:r w:rsidRPr="004F4940">
        <w:rPr>
          <w:rFonts w:eastAsia="Times New Roman"/>
        </w:rPr>
        <w:t>t</w:t>
      </w:r>
      <w:r w:rsidRPr="004F4940" w:rsidR="00696169">
        <w:rPr>
          <w:rFonts w:eastAsia="Times New Roman"/>
        </w:rPr>
        <w:t>o</w:t>
      </w:r>
      <w:r w:rsidRPr="004F4940">
        <w:rPr>
          <w:rFonts w:eastAsia="Times New Roman"/>
        </w:rPr>
        <w:t xml:space="preserve"> be exchanged with the </w:t>
      </w:r>
      <w:r w:rsidRPr="004F4940" w:rsidR="00C226F6">
        <w:rPr>
          <w:rFonts w:eastAsia="Times New Roman"/>
        </w:rPr>
        <w:t>r</w:t>
      </w:r>
      <w:r w:rsidRPr="004F4940">
        <w:rPr>
          <w:rFonts w:eastAsia="Times New Roman"/>
        </w:rPr>
        <w:t xml:space="preserve">eliability </w:t>
      </w:r>
      <w:r w:rsidRPr="004F4940" w:rsidR="00C226F6">
        <w:rPr>
          <w:rFonts w:eastAsia="Times New Roman"/>
        </w:rPr>
        <w:t>c</w:t>
      </w:r>
      <w:r w:rsidRPr="004F4940">
        <w:rPr>
          <w:rFonts w:eastAsia="Times New Roman"/>
        </w:rPr>
        <w:t xml:space="preserve">oordinator, </w:t>
      </w:r>
      <w:r w:rsidRPr="004F4940" w:rsidR="00C226F6">
        <w:rPr>
          <w:rFonts w:eastAsia="Times New Roman"/>
        </w:rPr>
        <w:t>t</w:t>
      </w:r>
      <w:r w:rsidRPr="004F4940">
        <w:rPr>
          <w:rFonts w:eastAsia="Times New Roman"/>
        </w:rPr>
        <w:t xml:space="preserve">ransmission </w:t>
      </w:r>
      <w:r w:rsidRPr="004F4940" w:rsidR="00C226F6">
        <w:rPr>
          <w:rFonts w:eastAsia="Times New Roman"/>
        </w:rPr>
        <w:t>o</w:t>
      </w:r>
      <w:r w:rsidRPr="004F4940">
        <w:rPr>
          <w:rFonts w:eastAsia="Times New Roman"/>
        </w:rPr>
        <w:t xml:space="preserve">perator, and </w:t>
      </w:r>
      <w:r w:rsidRPr="004F4940" w:rsidR="00C226F6">
        <w:rPr>
          <w:rFonts w:eastAsia="Times New Roman"/>
        </w:rPr>
        <w:t>b</w:t>
      </w:r>
      <w:r w:rsidRPr="004F4940">
        <w:rPr>
          <w:rFonts w:eastAsia="Times New Roman"/>
        </w:rPr>
        <w:t xml:space="preserve">alancing </w:t>
      </w:r>
      <w:r w:rsidRPr="004F4940" w:rsidR="00C226F6">
        <w:rPr>
          <w:rFonts w:eastAsia="Times New Roman"/>
        </w:rPr>
        <w:t>a</w:t>
      </w:r>
      <w:r w:rsidRPr="004F4940">
        <w:rPr>
          <w:rFonts w:eastAsia="Times New Roman"/>
        </w:rPr>
        <w:t>uthority for planning and operations.  The November 2021 Report stated that “[t]he intent behind requiring [generator owners] to identify and share with the [</w:t>
      </w:r>
      <w:r w:rsidRPr="004F4940" w:rsidR="00C226F6">
        <w:rPr>
          <w:rFonts w:eastAsia="Times New Roman"/>
        </w:rPr>
        <w:t>b</w:t>
      </w:r>
      <w:r w:rsidRPr="004F4940">
        <w:rPr>
          <w:rFonts w:eastAsia="Times New Roman"/>
        </w:rPr>
        <w:t>alancing authorities] and [</w:t>
      </w:r>
      <w:r w:rsidRPr="004F4940" w:rsidR="00C226F6">
        <w:rPr>
          <w:rFonts w:eastAsia="Times New Roman"/>
        </w:rPr>
        <w:t>t</w:t>
      </w:r>
      <w:r w:rsidRPr="004F4940">
        <w:rPr>
          <w:rFonts w:eastAsia="Times New Roman"/>
        </w:rPr>
        <w:t>ransmission operators] the expected limitations of their generating units ‘during local forecasted cold weather,’ is to prevent grid operators from being surprised when large numbers of generating units that had committed to run are unable to do so during cold weather events.”</w:t>
      </w:r>
      <w:r>
        <w:rPr>
          <w:rFonts w:eastAsia="Times New Roman"/>
          <w:b/>
          <w:vertAlign w:val="superscript"/>
        </w:rPr>
        <w:footnoteReference w:id="96"/>
      </w:r>
      <w:r w:rsidRPr="004F4940" w:rsidR="00696169">
        <w:rPr>
          <w:rFonts w:eastAsia="Times New Roman"/>
        </w:rPr>
        <w:t xml:space="preserve">  Once EOP-012-1 goes into effect, and EOP-011-2 Requirements R7 and R8 are retired, we </w:t>
      </w:r>
      <w:r w:rsidRPr="004F4940" w:rsidR="00C226F6">
        <w:rPr>
          <w:rFonts w:eastAsia="Times New Roman"/>
        </w:rPr>
        <w:t>are concerned</w:t>
      </w:r>
      <w:r w:rsidRPr="004F4940" w:rsidR="00696169">
        <w:rPr>
          <w:rFonts w:eastAsia="Times New Roman"/>
        </w:rPr>
        <w:t xml:space="preserve"> that generating units that do not typically operate during the winter will no longer provide this information to </w:t>
      </w:r>
      <w:r w:rsidRPr="004F4940" w:rsidR="00627088">
        <w:rPr>
          <w:rFonts w:eastAsia="Times New Roman"/>
        </w:rPr>
        <w:t>r</w:t>
      </w:r>
      <w:r w:rsidRPr="004F4940" w:rsidR="00696169">
        <w:rPr>
          <w:rFonts w:eastAsia="Times New Roman"/>
        </w:rPr>
        <w:t xml:space="preserve">eliability </w:t>
      </w:r>
      <w:r w:rsidRPr="004F4940" w:rsidR="00627088">
        <w:rPr>
          <w:rFonts w:eastAsia="Times New Roman"/>
        </w:rPr>
        <w:t>c</w:t>
      </w:r>
      <w:r w:rsidRPr="004F4940" w:rsidR="00696169">
        <w:rPr>
          <w:rFonts w:eastAsia="Times New Roman"/>
        </w:rPr>
        <w:t xml:space="preserve">oordinators, </w:t>
      </w:r>
      <w:r w:rsidRPr="004F4940" w:rsidR="00627088">
        <w:rPr>
          <w:rFonts w:eastAsia="Times New Roman"/>
        </w:rPr>
        <w:t>t</w:t>
      </w:r>
      <w:r w:rsidRPr="004F4940" w:rsidR="00696169">
        <w:rPr>
          <w:rFonts w:eastAsia="Times New Roman"/>
        </w:rPr>
        <w:t xml:space="preserve">ransmission </w:t>
      </w:r>
      <w:r w:rsidRPr="004F4940" w:rsidR="00627088">
        <w:rPr>
          <w:rFonts w:eastAsia="Times New Roman"/>
        </w:rPr>
        <w:t>o</w:t>
      </w:r>
      <w:r w:rsidRPr="004F4940" w:rsidR="00696169">
        <w:rPr>
          <w:rFonts w:eastAsia="Times New Roman"/>
        </w:rPr>
        <w:t xml:space="preserve">perators, and </w:t>
      </w:r>
      <w:r w:rsidRPr="004F4940" w:rsidR="00627088">
        <w:rPr>
          <w:rFonts w:eastAsia="Times New Roman"/>
        </w:rPr>
        <w:t>b</w:t>
      </w:r>
      <w:r w:rsidRPr="004F4940" w:rsidR="00696169">
        <w:rPr>
          <w:rFonts w:eastAsia="Times New Roman"/>
        </w:rPr>
        <w:t xml:space="preserve">alancing </w:t>
      </w:r>
      <w:r w:rsidRPr="004F4940" w:rsidR="00627088">
        <w:rPr>
          <w:rFonts w:eastAsia="Times New Roman"/>
        </w:rPr>
        <w:t>a</w:t>
      </w:r>
      <w:r w:rsidRPr="004F4940" w:rsidR="00696169">
        <w:rPr>
          <w:rFonts w:eastAsia="Times New Roman"/>
        </w:rPr>
        <w:t xml:space="preserve">uthorities.  </w:t>
      </w:r>
      <w:r w:rsidRPr="004F4940" w:rsidR="00627088">
        <w:rPr>
          <w:rFonts w:eastAsia="Times New Roman"/>
        </w:rPr>
        <w:t>The</w:t>
      </w:r>
      <w:r w:rsidRPr="004F4940" w:rsidR="00696169">
        <w:rPr>
          <w:rFonts w:eastAsia="Times New Roman"/>
        </w:rPr>
        <w:t xml:space="preserve"> loss of this information </w:t>
      </w:r>
      <w:r w:rsidRPr="004F4940" w:rsidR="00627088">
        <w:rPr>
          <w:rFonts w:eastAsia="Times New Roman"/>
        </w:rPr>
        <w:t xml:space="preserve">concerns us </w:t>
      </w:r>
      <w:r w:rsidRPr="004F4940" w:rsidR="00696169">
        <w:rPr>
          <w:rFonts w:eastAsia="Times New Roman"/>
        </w:rPr>
        <w:t>as the proposed ap</w:t>
      </w:r>
      <w:r w:rsidRPr="004F4940" w:rsidR="00F1546C">
        <w:rPr>
          <w:rFonts w:eastAsia="Times New Roman"/>
        </w:rPr>
        <w:t>plicability of EOP-012-1 recognizes that units that do not typically run during the winter may be called upon during emergencies.  We therefore direct NERC to modify EOP-012-1 to ensure that this information remains available.</w:t>
      </w:r>
    </w:p>
    <w:p w:rsidR="008F4D15" w:rsidRPr="00F5655B" w:rsidP="008F4D15" w14:paraId="36305615" w14:textId="6E532610">
      <w:pPr>
        <w:pStyle w:val="Heading3"/>
        <w:rPr>
          <w:szCs w:val="26"/>
        </w:rPr>
      </w:pPr>
      <w:r w:rsidRPr="00F5655B">
        <w:rPr>
          <w:bCs/>
          <w:szCs w:val="26"/>
        </w:rPr>
        <w:t>The allowance of exceptions for generator owner-defined technical, commercial, or operational constraints</w:t>
      </w:r>
    </w:p>
    <w:p w:rsidR="00C132DA" w:rsidRPr="004F4940" w:rsidP="00220F41" w14:paraId="1FBBE538" w14:textId="77777777">
      <w:pPr>
        <w:pStyle w:val="Heading4"/>
        <w:rPr>
          <w:rFonts w:eastAsia="Times New Roman"/>
        </w:rPr>
      </w:pPr>
      <w:r w:rsidRPr="004F4940">
        <w:rPr>
          <w:rFonts w:eastAsia="Times New Roman"/>
        </w:rPr>
        <w:t>NERC</w:t>
      </w:r>
      <w:r w:rsidRPr="004F4940" w:rsidR="00E36781">
        <w:rPr>
          <w:rFonts w:eastAsia="Times New Roman"/>
        </w:rPr>
        <w:t xml:space="preserve"> Petition</w:t>
      </w:r>
    </w:p>
    <w:p w:rsidR="00010EB0" w:rsidRPr="004F4940" w:rsidP="462A9FC4" w14:paraId="06554C92" w14:textId="74FC2958">
      <w:pPr>
        <w:pStyle w:val="FERCparanumber"/>
        <w:rPr>
          <w:rFonts w:eastAsia="Times New Roman"/>
        </w:rPr>
      </w:pPr>
      <w:r w:rsidRPr="004F4940">
        <w:rPr>
          <w:rFonts w:eastAsia="Times New Roman"/>
        </w:rPr>
        <w:t>Requirement R1 of EOP-012-1</w:t>
      </w:r>
      <w:r w:rsidRPr="004F4940" w:rsidR="007211F5">
        <w:rPr>
          <w:rFonts w:eastAsia="Times New Roman"/>
        </w:rPr>
        <w:t xml:space="preserve"> requires</w:t>
      </w:r>
      <w:r w:rsidRPr="004F4940">
        <w:rPr>
          <w:rFonts w:eastAsia="Times New Roman"/>
        </w:rPr>
        <w:t xml:space="preserve"> a generator owner </w:t>
      </w:r>
      <w:r w:rsidRPr="004F4940" w:rsidR="007211F5">
        <w:rPr>
          <w:rFonts w:eastAsia="Times New Roman"/>
        </w:rPr>
        <w:t>to</w:t>
      </w:r>
      <w:r w:rsidRPr="004F4940">
        <w:rPr>
          <w:rFonts w:eastAsia="Times New Roman"/>
        </w:rPr>
        <w:t xml:space="preserve"> either implement freeze protection measures </w:t>
      </w:r>
      <w:r w:rsidRPr="004F4940" w:rsidR="00343474">
        <w:rPr>
          <w:rFonts w:eastAsia="Times New Roman"/>
        </w:rPr>
        <w:t xml:space="preserve">on its existing units </w:t>
      </w:r>
      <w:r w:rsidRPr="004F4940">
        <w:rPr>
          <w:rFonts w:eastAsia="Times New Roman"/>
        </w:rPr>
        <w:t xml:space="preserve">that provide capability to operate for a period of not less than 12 continuous hours at the Extreme Cold Weather Temperature </w:t>
      </w:r>
      <w:r w:rsidR="00F90F35">
        <w:rPr>
          <w:rFonts w:eastAsia="Times New Roman"/>
        </w:rPr>
        <w:br/>
      </w:r>
      <w:r w:rsidRPr="004F4940">
        <w:rPr>
          <w:rFonts w:eastAsia="Times New Roman"/>
        </w:rPr>
        <w:t xml:space="preserve">for the unit or </w:t>
      </w:r>
      <w:r w:rsidRPr="004F4940" w:rsidR="00206455">
        <w:rPr>
          <w:rFonts w:eastAsia="Times New Roman"/>
        </w:rPr>
        <w:t>“[</w:t>
      </w:r>
      <w:r w:rsidRPr="004F4940">
        <w:rPr>
          <w:rFonts w:eastAsia="Times New Roman"/>
        </w:rPr>
        <w:t>e</w:t>
      </w:r>
      <w:r w:rsidRPr="004F4940" w:rsidR="00206455">
        <w:rPr>
          <w:rFonts w:eastAsia="Times New Roman"/>
        </w:rPr>
        <w:t>]</w:t>
      </w:r>
      <w:r w:rsidRPr="004F4940">
        <w:rPr>
          <w:rFonts w:eastAsia="Times New Roman"/>
        </w:rPr>
        <w:t>xplain</w:t>
      </w:r>
      <w:r w:rsidRPr="004F4940">
        <w:rPr>
          <w:rFonts w:eastAsia="Times New Roman"/>
        </w:rPr>
        <w:t xml:space="preserve"> in a declaration any technical, commercial, or operational constraints that preclude the ability</w:t>
      </w:r>
      <w:r w:rsidRPr="004F4940" w:rsidR="007E2D09">
        <w:rPr>
          <w:rFonts w:eastAsia="Times New Roman"/>
        </w:rPr>
        <w:t>”</w:t>
      </w:r>
      <w:r w:rsidRPr="004F4940">
        <w:rPr>
          <w:rFonts w:eastAsia="Times New Roman"/>
        </w:rPr>
        <w:t xml:space="preserve"> to comply with the requirement.</w:t>
      </w:r>
      <w:r>
        <w:rPr>
          <w:rStyle w:val="FootnoteReference"/>
          <w:rFonts w:eastAsia="Times New Roman"/>
        </w:rPr>
        <w:footnoteReference w:id="97"/>
      </w:r>
      <w:r w:rsidRPr="004F4940">
        <w:rPr>
          <w:rFonts w:eastAsia="Times New Roman"/>
        </w:rPr>
        <w:t xml:space="preserve">  </w:t>
      </w:r>
      <w:r w:rsidRPr="004F4940" w:rsidR="00C766B8">
        <w:rPr>
          <w:rFonts w:eastAsia="Times New Roman"/>
        </w:rPr>
        <w:t xml:space="preserve">Similarly, </w:t>
      </w:r>
      <w:r w:rsidRPr="004F4940">
        <w:rPr>
          <w:rFonts w:eastAsia="Times New Roman"/>
        </w:rPr>
        <w:t xml:space="preserve">Requirement R7 mandates that </w:t>
      </w:r>
      <w:r w:rsidRPr="004F4940" w:rsidR="00C66D17">
        <w:rPr>
          <w:rFonts w:eastAsia="Times New Roman"/>
        </w:rPr>
        <w:t xml:space="preserve">a </w:t>
      </w:r>
      <w:r w:rsidRPr="004F4940">
        <w:rPr>
          <w:rFonts w:eastAsia="Times New Roman"/>
        </w:rPr>
        <w:t xml:space="preserve">generator owner implement each </w:t>
      </w:r>
      <w:r w:rsidRPr="004F4940" w:rsidR="000B60A7">
        <w:rPr>
          <w:rFonts w:eastAsia="Times New Roman"/>
        </w:rPr>
        <w:t xml:space="preserve">corrective action plan </w:t>
      </w:r>
      <w:r w:rsidRPr="004F4940">
        <w:rPr>
          <w:rFonts w:eastAsia="Times New Roman"/>
        </w:rPr>
        <w:t xml:space="preserve">developed pursuant to Requirements R2, R4, or R6 </w:t>
      </w:r>
      <w:r w:rsidRPr="004F4940" w:rsidR="00D0339F">
        <w:rPr>
          <w:rFonts w:eastAsia="Times New Roman"/>
        </w:rPr>
        <w:t>“</w:t>
      </w:r>
      <w:r w:rsidRPr="004F4940">
        <w:rPr>
          <w:rFonts w:eastAsia="Times New Roman"/>
        </w:rPr>
        <w:t xml:space="preserve">or explain in a declaration why corrective actions are not being implemented due to any technical, commercial, or operational constraint as defined by the </w:t>
      </w:r>
      <w:r w:rsidRPr="004F4940" w:rsidR="0095521F">
        <w:rPr>
          <w:rFonts w:eastAsia="Times New Roman"/>
        </w:rPr>
        <w:t>G</w:t>
      </w:r>
      <w:r w:rsidRPr="004F4940">
        <w:rPr>
          <w:rFonts w:eastAsia="Times New Roman"/>
        </w:rPr>
        <w:t xml:space="preserve">enerator </w:t>
      </w:r>
      <w:r w:rsidRPr="004F4940" w:rsidR="0095521F">
        <w:rPr>
          <w:rFonts w:eastAsia="Times New Roman"/>
        </w:rPr>
        <w:t>O</w:t>
      </w:r>
      <w:r w:rsidRPr="004F4940">
        <w:rPr>
          <w:rFonts w:eastAsia="Times New Roman"/>
        </w:rPr>
        <w:t>wner.</w:t>
      </w:r>
      <w:r w:rsidRPr="004F4940" w:rsidR="0095521F">
        <w:rPr>
          <w:rFonts w:eastAsia="Times New Roman"/>
        </w:rPr>
        <w:t>”</w:t>
      </w:r>
      <w:r>
        <w:rPr>
          <w:rStyle w:val="FootnoteReference"/>
          <w:rFonts w:eastAsia="Times New Roman"/>
        </w:rPr>
        <w:footnoteReference w:id="98"/>
      </w:r>
    </w:p>
    <w:p w:rsidR="00BE5EA6" w:rsidRPr="004F4940" w:rsidP="00220F41" w14:paraId="11672B7F" w14:textId="77777777">
      <w:pPr>
        <w:pStyle w:val="Heading4"/>
      </w:pPr>
      <w:r w:rsidRPr="004F4940">
        <w:rPr>
          <w:rFonts w:eastAsia="Times New Roman"/>
        </w:rPr>
        <w:t>Comments</w:t>
      </w:r>
    </w:p>
    <w:p w:rsidR="001B42A6" w:rsidRPr="004F4940" w:rsidP="462A9FC4" w14:paraId="3DFC724A" w14:textId="69FFB54C">
      <w:pPr>
        <w:pStyle w:val="FERCparanumber"/>
        <w:widowControl w:val="0"/>
        <w:suppressLineNumbers/>
        <w:rPr>
          <w:rFonts w:eastAsia="Times New Roman"/>
        </w:rPr>
      </w:pPr>
      <w:r w:rsidRPr="004F4940">
        <w:rPr>
          <w:rFonts w:eastAsia="Times New Roman"/>
        </w:rPr>
        <w:t xml:space="preserve">Several commenters </w:t>
      </w:r>
      <w:r w:rsidRPr="004F4940" w:rsidR="00C41646">
        <w:rPr>
          <w:rFonts w:eastAsia="Times New Roman"/>
        </w:rPr>
        <w:t>assert</w:t>
      </w:r>
      <w:r w:rsidRPr="004F4940">
        <w:rPr>
          <w:rFonts w:eastAsia="Times New Roman"/>
        </w:rPr>
        <w:t xml:space="preserve"> that the </w:t>
      </w:r>
      <w:r w:rsidRPr="004F4940" w:rsidR="00751949">
        <w:rPr>
          <w:rFonts w:eastAsia="Times New Roman"/>
        </w:rPr>
        <w:t>Requirements R1 and R7</w:t>
      </w:r>
      <w:r w:rsidRPr="004F4940">
        <w:rPr>
          <w:rFonts w:eastAsia="Times New Roman"/>
        </w:rPr>
        <w:t xml:space="preserve"> in Reliability Standard EOP-012-1 could benefit from increased clarity.  EPSA/PJM Group, NEPGA, and the ISO/RTO Council assert that the generator owner declaration of constraints outlined in Requirement R1 and Requirement R7 are overly broad and </w:t>
      </w:r>
      <w:r w:rsidRPr="004F4940" w:rsidR="00F807B5">
        <w:rPr>
          <w:rFonts w:eastAsia="Times New Roman"/>
        </w:rPr>
        <w:t>that</w:t>
      </w:r>
      <w:r w:rsidRPr="004F4940" w:rsidR="1347787C">
        <w:rPr>
          <w:rFonts w:eastAsia="Times New Roman"/>
        </w:rPr>
        <w:t xml:space="preserve"> </w:t>
      </w:r>
      <w:r w:rsidRPr="004F4940">
        <w:rPr>
          <w:rFonts w:eastAsia="Times New Roman"/>
        </w:rPr>
        <w:t xml:space="preserve">there is </w:t>
      </w:r>
      <w:r w:rsidR="00F90F35">
        <w:rPr>
          <w:rFonts w:eastAsia="Times New Roman"/>
        </w:rPr>
        <w:br/>
      </w:r>
      <w:r w:rsidRPr="004F4940">
        <w:rPr>
          <w:rFonts w:eastAsia="Times New Roman"/>
        </w:rPr>
        <w:t xml:space="preserve">no explanation of what technical, commercial, or operational constraints </w:t>
      </w:r>
      <w:r w:rsidRPr="004F4940" w:rsidR="00A771A7">
        <w:rPr>
          <w:rFonts w:eastAsia="Times New Roman"/>
        </w:rPr>
        <w:t>would</w:t>
      </w:r>
      <w:r w:rsidRPr="004F4940">
        <w:rPr>
          <w:rFonts w:eastAsia="Times New Roman"/>
        </w:rPr>
        <w:t xml:space="preserve"> be permissible for generator owners to avoid both the implementation of freeze protection measures and a </w:t>
      </w:r>
      <w:r w:rsidRPr="004F4940" w:rsidR="00DD4721">
        <w:rPr>
          <w:rFonts w:eastAsia="Times New Roman"/>
        </w:rPr>
        <w:t>c</w:t>
      </w:r>
      <w:r w:rsidRPr="004F4940">
        <w:rPr>
          <w:rFonts w:eastAsia="Times New Roman"/>
        </w:rPr>
        <w:t xml:space="preserve">orrective </w:t>
      </w:r>
      <w:r w:rsidRPr="004F4940" w:rsidR="00DD4721">
        <w:rPr>
          <w:rFonts w:eastAsia="Times New Roman"/>
        </w:rPr>
        <w:t>a</w:t>
      </w:r>
      <w:r w:rsidRPr="004F4940">
        <w:rPr>
          <w:rFonts w:eastAsia="Times New Roman"/>
        </w:rPr>
        <w:t xml:space="preserve">ction </w:t>
      </w:r>
      <w:r w:rsidRPr="004F4940" w:rsidR="00DD4721">
        <w:rPr>
          <w:rFonts w:eastAsia="Times New Roman"/>
        </w:rPr>
        <w:t>p</w:t>
      </w:r>
      <w:r w:rsidRPr="004F4940">
        <w:rPr>
          <w:rFonts w:eastAsia="Times New Roman"/>
        </w:rPr>
        <w:t>lan.</w:t>
      </w:r>
      <w:r>
        <w:rPr>
          <w:rStyle w:val="FootnoteReference"/>
          <w:rFonts w:eastAsia="Times New Roman"/>
        </w:rPr>
        <w:footnoteReference w:id="99"/>
      </w:r>
      <w:r w:rsidRPr="004F4940">
        <w:rPr>
          <w:rFonts w:eastAsia="Times New Roman"/>
        </w:rPr>
        <w:t xml:space="preserve">  Specifically, EPSA/PJM Group contend that the broad discretion towards generator owners to identify constraints in Requirements R1 and R7 may lead to generator owners avoiding the implementation of freeze protection measures (to lower their costs), thereby negatively interfering with competition.</w:t>
      </w:r>
      <w:r>
        <w:rPr>
          <w:rStyle w:val="FootnoteReference"/>
          <w:rFonts w:eastAsia="Times New Roman"/>
        </w:rPr>
        <w:footnoteReference w:id="100"/>
      </w:r>
      <w:r w:rsidRPr="004F4940">
        <w:rPr>
          <w:rFonts w:eastAsia="Times New Roman"/>
        </w:rPr>
        <w:t xml:space="preserve">  The ISO/RTO Council states that this generator owner discretion to determine what constraints are valid without oversight could make enforcement difficult.</w:t>
      </w:r>
      <w:r>
        <w:rPr>
          <w:rFonts w:eastAsia="Times New Roman"/>
          <w:b/>
          <w:vertAlign w:val="superscript"/>
        </w:rPr>
        <w:footnoteReference w:id="101"/>
      </w:r>
      <w:r w:rsidRPr="004F4940">
        <w:rPr>
          <w:rFonts w:eastAsia="Times New Roman"/>
        </w:rPr>
        <w:t xml:space="preserve">  Similarly, Invenergy argues that this discretion could lead to uneven implementation and enforcement.</w:t>
      </w:r>
      <w:r>
        <w:rPr>
          <w:rStyle w:val="FootnoteReference"/>
          <w:rFonts w:eastAsia="Times New Roman"/>
        </w:rPr>
        <w:footnoteReference w:id="102"/>
      </w:r>
      <w:r w:rsidRPr="004F4940">
        <w:rPr>
          <w:rFonts w:eastAsia="Times New Roman"/>
        </w:rPr>
        <w:t xml:space="preserve">  TCPA also requests that the Commission clarify that a lack of cost recovery is a commercial constraint to implementing Requirement R1 and R7.</w:t>
      </w:r>
      <w:r>
        <w:rPr>
          <w:rStyle w:val="FootnoteReference"/>
          <w:rFonts w:eastAsia="Times New Roman"/>
        </w:rPr>
        <w:footnoteReference w:id="103"/>
      </w:r>
      <w:r w:rsidRPr="004F4940">
        <w:rPr>
          <w:rFonts w:eastAsia="Times New Roman"/>
        </w:rPr>
        <w:t xml:space="preserve">  Finally, commenters point out that there is no indication in the Standard of which entity should receive the declaration of constraints from the generator owner, if any.</w:t>
      </w:r>
      <w:r>
        <w:rPr>
          <w:rFonts w:eastAsia="Times New Roman"/>
          <w:b/>
          <w:vertAlign w:val="superscript"/>
        </w:rPr>
        <w:footnoteReference w:id="104"/>
      </w:r>
    </w:p>
    <w:p w:rsidR="009876DF" w:rsidP="462A9FC4" w14:paraId="18B961D8" w14:textId="4549BA7E">
      <w:pPr>
        <w:pStyle w:val="FERCparanumber"/>
        <w:widowControl w:val="0"/>
        <w:suppressLineNumbers/>
        <w:rPr>
          <w:rFonts w:eastAsia="Times New Roman"/>
        </w:rPr>
      </w:pPr>
      <w:r w:rsidRPr="004F4940">
        <w:rPr>
          <w:rFonts w:eastAsia="Times New Roman"/>
        </w:rPr>
        <w:t>NERC</w:t>
      </w:r>
      <w:r w:rsidRPr="004F4940" w:rsidR="00E36ACA">
        <w:rPr>
          <w:rFonts w:eastAsia="Times New Roman"/>
        </w:rPr>
        <w:t>,</w:t>
      </w:r>
      <w:r w:rsidRPr="004F4940">
        <w:rPr>
          <w:rFonts w:eastAsia="Times New Roman"/>
        </w:rPr>
        <w:t xml:space="preserve"> in its reply comments, states that </w:t>
      </w:r>
      <w:r w:rsidRPr="004F4940" w:rsidR="00B23C1C">
        <w:rPr>
          <w:rFonts w:eastAsia="Times New Roman"/>
        </w:rPr>
        <w:t xml:space="preserve">provisions </w:t>
      </w:r>
      <w:r w:rsidRPr="004F4940" w:rsidR="00A02CFE">
        <w:rPr>
          <w:rFonts w:eastAsia="Times New Roman"/>
        </w:rPr>
        <w:t xml:space="preserve">criticized by commenters including </w:t>
      </w:r>
      <w:r w:rsidRPr="004F4940">
        <w:rPr>
          <w:rFonts w:eastAsia="Times New Roman"/>
        </w:rPr>
        <w:t>the “constraints” provis</w:t>
      </w:r>
      <w:r w:rsidRPr="004F4940" w:rsidR="00DB2B65">
        <w:rPr>
          <w:rFonts w:eastAsia="Times New Roman"/>
        </w:rPr>
        <w:t xml:space="preserve">ion represents a balancing </w:t>
      </w:r>
      <w:r w:rsidRPr="004F4940" w:rsidR="005E6521">
        <w:rPr>
          <w:rFonts w:eastAsia="Times New Roman"/>
        </w:rPr>
        <w:t>of competing opinions raised in the standards development process</w:t>
      </w:r>
      <w:r w:rsidRPr="004F4940" w:rsidR="001A3E80">
        <w:rPr>
          <w:rFonts w:eastAsia="Times New Roman"/>
        </w:rPr>
        <w:t>.  NERC</w:t>
      </w:r>
      <w:r w:rsidRPr="004F4940" w:rsidR="00C22742">
        <w:rPr>
          <w:rFonts w:eastAsia="Times New Roman"/>
        </w:rPr>
        <w:t xml:space="preserve"> opines that the petition provides a sound technical basis </w:t>
      </w:r>
      <w:r w:rsidRPr="004F4940" w:rsidR="000C12EE">
        <w:rPr>
          <w:rFonts w:eastAsia="Times New Roman"/>
        </w:rPr>
        <w:t>for approving the Standards as filed</w:t>
      </w:r>
      <w:r w:rsidRPr="004F4940" w:rsidR="004F37D9">
        <w:rPr>
          <w:rFonts w:eastAsia="Times New Roman"/>
        </w:rPr>
        <w:t>, and</w:t>
      </w:r>
      <w:r w:rsidRPr="004F4940" w:rsidR="000C12EE">
        <w:rPr>
          <w:rFonts w:eastAsia="Times New Roman"/>
        </w:rPr>
        <w:t xml:space="preserve"> reiterates that </w:t>
      </w:r>
      <w:r w:rsidRPr="004F4940" w:rsidR="004F37D9">
        <w:rPr>
          <w:rFonts w:eastAsia="Times New Roman"/>
        </w:rPr>
        <w:t xml:space="preserve">during </w:t>
      </w:r>
      <w:r w:rsidRPr="004F4940" w:rsidR="006B707E">
        <w:rPr>
          <w:rFonts w:eastAsia="Times New Roman"/>
        </w:rPr>
        <w:t>the second phase project</w:t>
      </w:r>
      <w:r w:rsidRPr="004F4940" w:rsidR="00EC3EE7">
        <w:rPr>
          <w:rFonts w:eastAsia="Times New Roman"/>
        </w:rPr>
        <w:t xml:space="preserve">, </w:t>
      </w:r>
      <w:r w:rsidRPr="004F4940" w:rsidR="00902498">
        <w:rPr>
          <w:rFonts w:eastAsia="Times New Roman"/>
        </w:rPr>
        <w:t>“NERC may propose further changes to enhance the clarity or effectiveness of the EOP-012 standard.”</w:t>
      </w:r>
      <w:r>
        <w:rPr>
          <w:rStyle w:val="FootnoteReference"/>
          <w:rFonts w:eastAsia="Times New Roman"/>
        </w:rPr>
        <w:footnoteReference w:id="105"/>
      </w:r>
    </w:p>
    <w:p w:rsidR="009876DF" w14:paraId="38844B25" w14:textId="77777777">
      <w:pPr>
        <w:widowControl/>
        <w:spacing w:after="160" w:line="259" w:lineRule="auto"/>
        <w:rPr>
          <w:rFonts w:eastAsia="Times New Roman"/>
        </w:rPr>
      </w:pPr>
      <w:r>
        <w:rPr>
          <w:rFonts w:eastAsia="Times New Roman"/>
        </w:rPr>
        <w:br w:type="page"/>
      </w:r>
    </w:p>
    <w:p w:rsidR="00A520FE" w:rsidRPr="004F4940" w:rsidP="00220F41" w14:paraId="1AEB5098" w14:textId="77777777">
      <w:pPr>
        <w:pStyle w:val="Heading4"/>
      </w:pPr>
      <w:r w:rsidRPr="004F4940">
        <w:rPr>
          <w:rFonts w:eastAsia="Times New Roman"/>
        </w:rPr>
        <w:t>Commission Dete</w:t>
      </w:r>
      <w:r w:rsidRPr="004F4940">
        <w:t>rmination</w:t>
      </w:r>
    </w:p>
    <w:p w:rsidR="009B6BAB" w:rsidRPr="004F4940" w:rsidP="00D252F2" w14:paraId="507FA8BD" w14:textId="7F978601">
      <w:pPr>
        <w:pStyle w:val="FERCparanumber"/>
        <w:widowControl w:val="0"/>
        <w:suppressLineNumbers/>
        <w:rPr>
          <w:rFonts w:eastAsia="Times New Roman"/>
        </w:rPr>
      </w:pPr>
      <w:r w:rsidRPr="004F4940">
        <w:rPr>
          <w:rFonts w:eastAsia="Times New Roman"/>
        </w:rPr>
        <w:t xml:space="preserve">We share </w:t>
      </w:r>
      <w:r w:rsidRPr="004F4940" w:rsidR="7E4E88FA">
        <w:rPr>
          <w:rFonts w:eastAsia="Times New Roman"/>
        </w:rPr>
        <w:t>commenters</w:t>
      </w:r>
      <w:r w:rsidRPr="004F4940" w:rsidR="6A8E1F7B">
        <w:rPr>
          <w:rFonts w:eastAsia="Times New Roman"/>
        </w:rPr>
        <w:t>’</w:t>
      </w:r>
      <w:r w:rsidRPr="004F4940" w:rsidR="7E4E88FA">
        <w:rPr>
          <w:rFonts w:eastAsia="Times New Roman"/>
        </w:rPr>
        <w:t xml:space="preserve"> concern</w:t>
      </w:r>
      <w:r w:rsidRPr="004F4940" w:rsidR="7F676724">
        <w:rPr>
          <w:rFonts w:eastAsia="Times New Roman"/>
        </w:rPr>
        <w:t>s</w:t>
      </w:r>
      <w:r w:rsidRPr="004F4940" w:rsidR="7E4E88FA">
        <w:rPr>
          <w:rFonts w:eastAsia="Times New Roman"/>
        </w:rPr>
        <w:t xml:space="preserve"> regarding the uncertainty created by the proposed </w:t>
      </w:r>
      <w:r w:rsidRPr="004F4940" w:rsidR="5CDA196E">
        <w:rPr>
          <w:rFonts w:eastAsia="Times New Roman"/>
        </w:rPr>
        <w:t>technical, commercial</w:t>
      </w:r>
      <w:r w:rsidRPr="004F4940" w:rsidR="00425F34">
        <w:rPr>
          <w:rFonts w:eastAsia="Times New Roman"/>
        </w:rPr>
        <w:t>,</w:t>
      </w:r>
      <w:r w:rsidRPr="004F4940" w:rsidR="5CDA196E">
        <w:rPr>
          <w:rFonts w:eastAsia="Times New Roman"/>
        </w:rPr>
        <w:t xml:space="preserve"> or operational constraint </w:t>
      </w:r>
      <w:r w:rsidRPr="004F4940" w:rsidR="7E4E88FA">
        <w:rPr>
          <w:rFonts w:eastAsia="Times New Roman"/>
        </w:rPr>
        <w:t>provision</w:t>
      </w:r>
      <w:r w:rsidRPr="004F4940" w:rsidR="00221C25">
        <w:rPr>
          <w:rFonts w:eastAsia="Times New Roman"/>
        </w:rPr>
        <w:t>s</w:t>
      </w:r>
      <w:r w:rsidRPr="004F4940" w:rsidR="00D15804">
        <w:rPr>
          <w:rFonts w:eastAsia="Times New Roman"/>
        </w:rPr>
        <w:t xml:space="preserve"> in R</w:t>
      </w:r>
      <w:r w:rsidRPr="004F4940" w:rsidR="00221C25">
        <w:rPr>
          <w:rFonts w:eastAsia="Times New Roman"/>
        </w:rPr>
        <w:t>equirements R</w:t>
      </w:r>
      <w:r w:rsidRPr="004F4940" w:rsidR="00D15804">
        <w:rPr>
          <w:rFonts w:eastAsia="Times New Roman"/>
        </w:rPr>
        <w:t>1 and R7</w:t>
      </w:r>
      <w:r w:rsidRPr="004F4940" w:rsidR="230BF178">
        <w:rPr>
          <w:rFonts w:eastAsia="Times New Roman"/>
        </w:rPr>
        <w:t>,</w:t>
      </w:r>
      <w:r w:rsidRPr="004F4940" w:rsidR="7E4E88FA">
        <w:rPr>
          <w:rFonts w:eastAsia="Times New Roman"/>
        </w:rPr>
        <w:t xml:space="preserve"> </w:t>
      </w:r>
      <w:r w:rsidRPr="004F4940" w:rsidR="04C274FF">
        <w:rPr>
          <w:rFonts w:eastAsia="Times New Roman"/>
        </w:rPr>
        <w:t>and</w:t>
      </w:r>
      <w:r w:rsidRPr="004F4940" w:rsidR="3CC05DA0">
        <w:rPr>
          <w:rFonts w:eastAsia="Times New Roman"/>
        </w:rPr>
        <w:t xml:space="preserve"> that </w:t>
      </w:r>
      <w:r w:rsidRPr="004F4940" w:rsidR="2641DA7D">
        <w:rPr>
          <w:rFonts w:eastAsia="Times New Roman"/>
        </w:rPr>
        <w:t xml:space="preserve">without criteria to guide the generator owners, or guardrails on what constitutes a legitimate technical, commercial, or operational constraint, entities may either benefit financially by avoiding the purpose of the Standard </w:t>
      </w:r>
      <w:r w:rsidRPr="004F4940" w:rsidR="003B4993">
        <w:rPr>
          <w:rFonts w:eastAsia="Times New Roman"/>
        </w:rPr>
        <w:t xml:space="preserve">altogether </w:t>
      </w:r>
      <w:r w:rsidRPr="004F4940" w:rsidR="2641DA7D">
        <w:rPr>
          <w:rFonts w:eastAsia="Times New Roman"/>
        </w:rPr>
        <w:t>or have declarations without auditable elements.</w:t>
      </w:r>
      <w:r>
        <w:rPr>
          <w:rStyle w:val="FootnoteReference"/>
          <w:rFonts w:eastAsia="Times New Roman"/>
        </w:rPr>
        <w:footnoteReference w:id="106"/>
      </w:r>
      <w:r w:rsidRPr="004F4940" w:rsidR="2641DA7D">
        <w:rPr>
          <w:rFonts w:eastAsia="Times New Roman"/>
        </w:rPr>
        <w:t xml:space="preserve">  </w:t>
      </w:r>
      <w:r w:rsidRPr="004F4940" w:rsidR="00C84EAE">
        <w:rPr>
          <w:rFonts w:eastAsia="Times New Roman"/>
        </w:rPr>
        <w:t xml:space="preserve">Indeed, </w:t>
      </w:r>
      <w:r w:rsidRPr="004F4940" w:rsidR="00ED1DEF">
        <w:rPr>
          <w:rFonts w:eastAsia="Times New Roman"/>
        </w:rPr>
        <w:t xml:space="preserve">instead of implementing freeze protection measures, </w:t>
      </w:r>
      <w:r w:rsidRPr="004F4940" w:rsidR="00DA198F">
        <w:rPr>
          <w:rFonts w:eastAsia="Times New Roman"/>
        </w:rPr>
        <w:t xml:space="preserve">Requirement R1 allows an entity </w:t>
      </w:r>
      <w:r w:rsidRPr="004F4940" w:rsidR="00126A65">
        <w:rPr>
          <w:rFonts w:eastAsia="Times New Roman"/>
        </w:rPr>
        <w:t xml:space="preserve">to </w:t>
      </w:r>
      <w:r w:rsidRPr="004F4940" w:rsidR="00FD3072">
        <w:rPr>
          <w:rFonts w:eastAsia="Times New Roman"/>
        </w:rPr>
        <w:t xml:space="preserve"> </w:t>
      </w:r>
      <w:r w:rsidRPr="004F4940" w:rsidR="00ED1DEF">
        <w:rPr>
          <w:rFonts w:eastAsia="Times New Roman"/>
        </w:rPr>
        <w:t>explain</w:t>
      </w:r>
      <w:r w:rsidRPr="004F4940" w:rsidR="00FD3072">
        <w:rPr>
          <w:rFonts w:eastAsia="Times New Roman"/>
        </w:rPr>
        <w:t xml:space="preserve"> in a declaration </w:t>
      </w:r>
      <w:r w:rsidRPr="004F4940" w:rsidR="00364253">
        <w:rPr>
          <w:rFonts w:eastAsia="Times New Roman"/>
        </w:rPr>
        <w:t xml:space="preserve">the </w:t>
      </w:r>
      <w:r w:rsidRPr="004F4940" w:rsidR="00FD3072">
        <w:rPr>
          <w:rFonts w:eastAsia="Times New Roman"/>
        </w:rPr>
        <w:t xml:space="preserve">constraints that preclude the ability to </w:t>
      </w:r>
      <w:r w:rsidRPr="004F4940" w:rsidR="000C5B8D">
        <w:rPr>
          <w:rFonts w:eastAsia="Times New Roman"/>
        </w:rPr>
        <w:t>comply</w:t>
      </w:r>
      <w:r w:rsidRPr="004F4940" w:rsidR="00F04B01">
        <w:rPr>
          <w:rFonts w:eastAsia="Times New Roman"/>
        </w:rPr>
        <w:t xml:space="preserve">. </w:t>
      </w:r>
      <w:r w:rsidRPr="004F4940" w:rsidR="000C5B8D">
        <w:rPr>
          <w:rFonts w:eastAsia="Times New Roman"/>
        </w:rPr>
        <w:t xml:space="preserve"> </w:t>
      </w:r>
      <w:r w:rsidRPr="004F4940" w:rsidR="00C84EAE">
        <w:rPr>
          <w:rFonts w:eastAsia="Times New Roman"/>
        </w:rPr>
        <w:t xml:space="preserve">Requirement R7 allows an entity to explain in a declaration </w:t>
      </w:r>
      <w:r w:rsidRPr="004F4940" w:rsidR="00D938B2">
        <w:rPr>
          <w:rFonts w:eastAsia="Times New Roman"/>
        </w:rPr>
        <w:t xml:space="preserve">any technical, commercial, or operational constraints as defined by the generator owner </w:t>
      </w:r>
      <w:r w:rsidRPr="004F4940" w:rsidR="009A7E88">
        <w:rPr>
          <w:rFonts w:eastAsia="Times New Roman"/>
        </w:rPr>
        <w:t xml:space="preserve">that </w:t>
      </w:r>
      <w:r w:rsidRPr="004F4940" w:rsidR="00D938B2">
        <w:rPr>
          <w:rFonts w:eastAsia="Times New Roman"/>
        </w:rPr>
        <w:t xml:space="preserve">prevent its implementation of </w:t>
      </w:r>
      <w:r w:rsidRPr="004F4940" w:rsidR="00C84EAE">
        <w:rPr>
          <w:rFonts w:eastAsia="Times New Roman"/>
        </w:rPr>
        <w:t xml:space="preserve">corrective actions set forth in a </w:t>
      </w:r>
      <w:r w:rsidRPr="004F4940" w:rsidR="007449EA">
        <w:rPr>
          <w:rFonts w:eastAsia="Times New Roman"/>
        </w:rPr>
        <w:t>c</w:t>
      </w:r>
      <w:r w:rsidRPr="004F4940" w:rsidR="00C84EAE">
        <w:rPr>
          <w:rFonts w:eastAsia="Times New Roman"/>
        </w:rPr>
        <w:t xml:space="preserve">orrective </w:t>
      </w:r>
      <w:r w:rsidRPr="004F4940" w:rsidR="007449EA">
        <w:rPr>
          <w:rFonts w:eastAsia="Times New Roman"/>
        </w:rPr>
        <w:t>a</w:t>
      </w:r>
      <w:r w:rsidRPr="004F4940" w:rsidR="00C84EAE">
        <w:rPr>
          <w:rFonts w:eastAsia="Times New Roman"/>
        </w:rPr>
        <w:t xml:space="preserve">ction </w:t>
      </w:r>
      <w:r w:rsidRPr="004F4940" w:rsidR="007449EA">
        <w:rPr>
          <w:rFonts w:eastAsia="Times New Roman"/>
        </w:rPr>
        <w:t>p</w:t>
      </w:r>
      <w:r w:rsidRPr="004F4940" w:rsidR="00C84EAE">
        <w:rPr>
          <w:rFonts w:eastAsia="Times New Roman"/>
        </w:rPr>
        <w:t>lan pursuant to Requirements R2, R4 and R</w:t>
      </w:r>
      <w:r w:rsidRPr="004F4940" w:rsidR="007B10BB">
        <w:rPr>
          <w:rFonts w:eastAsia="Times New Roman"/>
        </w:rPr>
        <w:t>6</w:t>
      </w:r>
      <w:r w:rsidRPr="004F4940" w:rsidR="00C84EAE">
        <w:rPr>
          <w:rFonts w:eastAsia="Times New Roman"/>
        </w:rPr>
        <w:t>.</w:t>
      </w:r>
      <w:r w:rsidRPr="004F4940" w:rsidR="008A2107">
        <w:rPr>
          <w:rFonts w:eastAsia="Times New Roman"/>
        </w:rPr>
        <w:t xml:space="preserve">  </w:t>
      </w:r>
      <w:r w:rsidRPr="004F4940" w:rsidR="3AF3B66A">
        <w:rPr>
          <w:rFonts w:eastAsia="Times New Roman"/>
        </w:rPr>
        <w:t xml:space="preserve">We are </w:t>
      </w:r>
      <w:r w:rsidRPr="004F4940" w:rsidR="2641DA7D">
        <w:rPr>
          <w:rFonts w:eastAsia="Times New Roman"/>
        </w:rPr>
        <w:t xml:space="preserve">also concerned that </w:t>
      </w:r>
      <w:r w:rsidRPr="004F4940" w:rsidR="3CC05DA0">
        <w:rPr>
          <w:rFonts w:eastAsia="Times New Roman"/>
        </w:rPr>
        <w:t xml:space="preserve">a generator owner </w:t>
      </w:r>
      <w:r w:rsidRPr="004F4940" w:rsidR="2641DA7D">
        <w:rPr>
          <w:rFonts w:eastAsia="Times New Roman"/>
        </w:rPr>
        <w:t xml:space="preserve">may </w:t>
      </w:r>
      <w:r w:rsidRPr="004F4940" w:rsidR="3CC05DA0">
        <w:rPr>
          <w:rFonts w:eastAsia="Times New Roman"/>
        </w:rPr>
        <w:t xml:space="preserve">make the determination without informing planning and operational entities (i.e., the reliability coordinator or balancing authority) </w:t>
      </w:r>
      <w:r w:rsidRPr="004F4940" w:rsidR="2641DA7D">
        <w:rPr>
          <w:rFonts w:eastAsia="Times New Roman"/>
        </w:rPr>
        <w:t xml:space="preserve">that are </w:t>
      </w:r>
      <w:r w:rsidRPr="004F4940" w:rsidR="3CC05DA0">
        <w:rPr>
          <w:rFonts w:eastAsia="Times New Roman"/>
        </w:rPr>
        <w:t>expecting the reliable operation of the generating unit to its Extreme Cold Weather Temperature</w:t>
      </w:r>
      <w:r w:rsidRPr="004F4940" w:rsidR="50B45989">
        <w:rPr>
          <w:rFonts w:eastAsia="Times New Roman"/>
        </w:rPr>
        <w:t>.</w:t>
      </w:r>
    </w:p>
    <w:p w:rsidR="00C259FF" w:rsidRPr="004F4940" w:rsidP="462A9FC4" w14:paraId="4C794C7A" w14:textId="7EF393BA">
      <w:pPr>
        <w:pStyle w:val="FERCparanumber"/>
        <w:suppressLineNumbers/>
        <w:rPr>
          <w:rFonts w:eastAsia="Times New Roman"/>
        </w:rPr>
      </w:pPr>
      <w:r w:rsidRPr="004F4940">
        <w:rPr>
          <w:rFonts w:eastAsia="Times New Roman"/>
        </w:rPr>
        <w:t>T</w:t>
      </w:r>
      <w:r w:rsidRPr="004F4940" w:rsidR="003837F1">
        <w:rPr>
          <w:rFonts w:eastAsia="Times New Roman"/>
        </w:rPr>
        <w:t>he Commission has previously encountered similar concerns regarding the vagueness and enforceability of Reliability Standards language.</w:t>
      </w:r>
      <w:r w:rsidRPr="004F4940" w:rsidR="00405D15">
        <w:rPr>
          <w:rFonts w:eastAsia="Times New Roman"/>
        </w:rPr>
        <w:t xml:space="preserve"> </w:t>
      </w:r>
      <w:r w:rsidRPr="004F4940" w:rsidR="003837F1">
        <w:rPr>
          <w:rFonts w:eastAsia="Times New Roman"/>
        </w:rPr>
        <w:t xml:space="preserve"> For example, </w:t>
      </w:r>
      <w:r w:rsidRPr="004F4940" w:rsidR="009F6084">
        <w:rPr>
          <w:rFonts w:eastAsia="Times New Roman"/>
        </w:rPr>
        <w:t xml:space="preserve">in </w:t>
      </w:r>
      <w:r w:rsidRPr="004F4940" w:rsidR="003837F1">
        <w:rPr>
          <w:rFonts w:eastAsia="Times New Roman"/>
        </w:rPr>
        <w:t xml:space="preserve">Order No. 693 the Commission approved Reliability Standards while also expressing concern that the term “sabotage” was too </w:t>
      </w:r>
      <w:r w:rsidRPr="004F4940" w:rsidR="009F6084">
        <w:rPr>
          <w:rFonts w:eastAsia="Times New Roman"/>
        </w:rPr>
        <w:t>ambiguous.</w:t>
      </w:r>
      <w:r>
        <w:rPr>
          <w:rStyle w:val="FootnoteReference"/>
          <w:rFonts w:eastAsia="Times New Roman"/>
        </w:rPr>
        <w:footnoteReference w:id="107"/>
      </w:r>
      <w:r w:rsidRPr="004F4940" w:rsidR="00322A68">
        <w:rPr>
          <w:rFonts w:eastAsia="Times New Roman"/>
        </w:rPr>
        <w:t xml:space="preserve">  Similarly, in Order No. 791 (approving Version 5 of the CIP Standards), the Commission raised concerns with vague language that required entities to “identify, assess, and correct” deficiencies.</w:t>
      </w:r>
      <w:r w:rsidRPr="004F4940" w:rsidR="00405D15">
        <w:rPr>
          <w:rFonts w:eastAsia="Times New Roman"/>
        </w:rPr>
        <w:t xml:space="preserve"> </w:t>
      </w:r>
      <w:r w:rsidRPr="004F4940" w:rsidR="00322A68">
        <w:rPr>
          <w:rFonts w:eastAsia="Times New Roman"/>
        </w:rPr>
        <w:t xml:space="preserve"> The Commission determined that the ambiguities resulted in an “unacceptable amount of uncertainty” and directed NERC to remove the ambiguous language and develop modifications within one year.</w:t>
      </w:r>
      <w:r>
        <w:rPr>
          <w:rStyle w:val="FootnoteReference"/>
          <w:rFonts w:eastAsia="Times New Roman"/>
        </w:rPr>
        <w:footnoteReference w:id="108"/>
      </w:r>
      <w:r w:rsidRPr="004F4940" w:rsidR="004F2116">
        <w:rPr>
          <w:rFonts w:eastAsia="Times New Roman"/>
        </w:rPr>
        <w:t xml:space="preserve">  </w:t>
      </w:r>
      <w:r w:rsidRPr="004F4940" w:rsidR="00A013D4">
        <w:rPr>
          <w:rFonts w:eastAsia="Times New Roman"/>
        </w:rPr>
        <w:t>In both Order No. 693 and Order No. 791</w:t>
      </w:r>
      <w:r w:rsidRPr="004F4940" w:rsidR="00A84F2B">
        <w:rPr>
          <w:rFonts w:eastAsia="Times New Roman"/>
        </w:rPr>
        <w:t xml:space="preserve">, the Commission </w:t>
      </w:r>
      <w:r w:rsidRPr="004F4940" w:rsidR="00836CD1">
        <w:rPr>
          <w:rFonts w:eastAsia="Times New Roman"/>
        </w:rPr>
        <w:t xml:space="preserve">approved </w:t>
      </w:r>
      <w:r w:rsidRPr="004F4940" w:rsidR="00F70462">
        <w:rPr>
          <w:rFonts w:eastAsia="Times New Roman"/>
        </w:rPr>
        <w:t>NERC’s</w:t>
      </w:r>
      <w:r w:rsidRPr="004F4940" w:rsidR="00836CD1">
        <w:rPr>
          <w:rFonts w:eastAsia="Times New Roman"/>
        </w:rPr>
        <w:t xml:space="preserve"> proposed Reliability Standard</w:t>
      </w:r>
      <w:r w:rsidRPr="004F4940" w:rsidR="002535F7">
        <w:rPr>
          <w:rFonts w:eastAsia="Times New Roman"/>
        </w:rPr>
        <w:t>s</w:t>
      </w:r>
      <w:r w:rsidRPr="004F4940" w:rsidR="00836CD1">
        <w:rPr>
          <w:rFonts w:eastAsia="Times New Roman"/>
        </w:rPr>
        <w:t xml:space="preserve"> as an improvement to reliability, while </w:t>
      </w:r>
      <w:r w:rsidRPr="004F4940" w:rsidR="00635A78">
        <w:rPr>
          <w:rFonts w:eastAsia="Times New Roman"/>
        </w:rPr>
        <w:t xml:space="preserve">directing NERC </w:t>
      </w:r>
      <w:r w:rsidRPr="004F4940" w:rsidR="002535F7">
        <w:rPr>
          <w:rFonts w:eastAsia="Times New Roman"/>
        </w:rPr>
        <w:t xml:space="preserve">to </w:t>
      </w:r>
      <w:r w:rsidRPr="004F4940" w:rsidR="00AC0F34">
        <w:rPr>
          <w:rFonts w:eastAsia="Times New Roman"/>
        </w:rPr>
        <w:t>submit modifications to the Standards</w:t>
      </w:r>
      <w:r w:rsidRPr="004F4940" w:rsidR="00A84F2B">
        <w:rPr>
          <w:rFonts w:eastAsia="Times New Roman"/>
        </w:rPr>
        <w:t xml:space="preserve"> </w:t>
      </w:r>
      <w:r w:rsidRPr="004F4940" w:rsidR="003B2B43">
        <w:rPr>
          <w:rFonts w:eastAsia="Times New Roman"/>
        </w:rPr>
        <w:t>addressing</w:t>
      </w:r>
      <w:r w:rsidRPr="004F4940" w:rsidR="00E101A4">
        <w:rPr>
          <w:rFonts w:eastAsia="Times New Roman"/>
        </w:rPr>
        <w:t xml:space="preserve"> the </w:t>
      </w:r>
      <w:r w:rsidRPr="004F4940" w:rsidR="00B800D2">
        <w:rPr>
          <w:rFonts w:eastAsia="Times New Roman"/>
        </w:rPr>
        <w:t>Commission’s concern regarding vagueness of particular language.</w:t>
      </w:r>
      <w:r w:rsidRPr="004F4940" w:rsidR="00D759A3">
        <w:rPr>
          <w:rFonts w:eastAsia="Times New Roman"/>
        </w:rPr>
        <w:t xml:space="preserve">  We conclude that</w:t>
      </w:r>
      <w:r w:rsidRPr="004F4940" w:rsidR="00AA0853">
        <w:rPr>
          <w:rFonts w:eastAsia="Times New Roman"/>
        </w:rPr>
        <w:t xml:space="preserve"> a similar approach is appropriate in the immediate proceeding</w:t>
      </w:r>
      <w:r w:rsidRPr="004F4940" w:rsidR="00A838D3">
        <w:rPr>
          <w:rFonts w:eastAsia="Times New Roman"/>
        </w:rPr>
        <w:t xml:space="preserve">, given the </w:t>
      </w:r>
      <w:r w:rsidRPr="004F4940" w:rsidR="001C65A3">
        <w:rPr>
          <w:rFonts w:eastAsia="Times New Roman"/>
        </w:rPr>
        <w:t>improvements offered by</w:t>
      </w:r>
      <w:r w:rsidRPr="004F4940" w:rsidR="00162E68">
        <w:rPr>
          <w:rFonts w:eastAsia="Times New Roman"/>
        </w:rPr>
        <w:t xml:space="preserve"> Reliab</w:t>
      </w:r>
      <w:r w:rsidRPr="004F4940" w:rsidR="00F205F5">
        <w:rPr>
          <w:rFonts w:eastAsia="Times New Roman"/>
        </w:rPr>
        <w:t>i</w:t>
      </w:r>
      <w:r w:rsidRPr="004F4940" w:rsidR="00162E68">
        <w:rPr>
          <w:rFonts w:eastAsia="Times New Roman"/>
        </w:rPr>
        <w:t>l</w:t>
      </w:r>
      <w:r w:rsidRPr="004F4940" w:rsidR="00F205F5">
        <w:rPr>
          <w:rFonts w:eastAsia="Times New Roman"/>
        </w:rPr>
        <w:t>i</w:t>
      </w:r>
      <w:r w:rsidRPr="004F4940" w:rsidR="00162E68">
        <w:rPr>
          <w:rFonts w:eastAsia="Times New Roman"/>
        </w:rPr>
        <w:t>ty Standard EOP-012-1 in addressing Bulk-Power System reliability during extreme cold weather events.</w:t>
      </w:r>
    </w:p>
    <w:p w:rsidR="00A72AF3" w:rsidRPr="004F4940" w:rsidP="00A72AF3" w14:paraId="6477BAC9" w14:textId="72FCE426">
      <w:pPr>
        <w:pStyle w:val="FERCparanumber"/>
        <w:suppressLineNumbers/>
        <w:rPr>
          <w:rFonts w:eastAsia="Times New Roman"/>
        </w:rPr>
      </w:pPr>
      <w:r w:rsidRPr="004F4940">
        <w:rPr>
          <w:rFonts w:eastAsia="Times New Roman"/>
        </w:rPr>
        <w:t>Accordingly, w</w:t>
      </w:r>
      <w:r w:rsidRPr="004F4940">
        <w:rPr>
          <w:rFonts w:eastAsia="Times New Roman"/>
        </w:rPr>
        <w:t xml:space="preserve">e direct NERC, pursuant to section 215(d) of the FPA, to develop and submit modifications to Reliability Standard EOP-012-1 Requirements R1 and R7 to address concerns related to the ambiguity of generator-defined declarations of technical, commercial, or operational constraints that preclude a generator owner from </w:t>
      </w:r>
      <w:r w:rsidRPr="004F4940">
        <w:rPr>
          <w:rFonts w:eastAsia="Times New Roman"/>
        </w:rPr>
        <w:t xml:space="preserve">implementing </w:t>
      </w:r>
      <w:r w:rsidRPr="004F4940" w:rsidR="0090769C">
        <w:rPr>
          <w:rFonts w:eastAsia="Times New Roman"/>
        </w:rPr>
        <w:t xml:space="preserve">the </w:t>
      </w:r>
      <w:r w:rsidRPr="004F4940">
        <w:rPr>
          <w:rFonts w:eastAsia="Times New Roman"/>
        </w:rPr>
        <w:t>appropriate freeze protection measures</w:t>
      </w:r>
      <w:r w:rsidRPr="004F4940" w:rsidR="0026413D">
        <w:rPr>
          <w:rFonts w:eastAsia="Times New Roman"/>
        </w:rPr>
        <w:t xml:space="preserve"> and to ensure that the constraint</w:t>
      </w:r>
      <w:r w:rsidRPr="004F4940" w:rsidR="00B046F2">
        <w:rPr>
          <w:rFonts w:eastAsia="Times New Roman"/>
        </w:rPr>
        <w:t xml:space="preserve"> declarations</w:t>
      </w:r>
      <w:r w:rsidRPr="004F4940" w:rsidR="0026413D">
        <w:rPr>
          <w:rFonts w:eastAsia="Times New Roman"/>
        </w:rPr>
        <w:t xml:space="preserve"> </w:t>
      </w:r>
      <w:r w:rsidRPr="004F4940" w:rsidR="00B046F2">
        <w:rPr>
          <w:rFonts w:eastAsia="Times New Roman"/>
        </w:rPr>
        <w:t>may</w:t>
      </w:r>
      <w:r w:rsidRPr="004F4940" w:rsidR="0026413D">
        <w:rPr>
          <w:rFonts w:eastAsia="Times New Roman"/>
        </w:rPr>
        <w:t xml:space="preserve"> not </w:t>
      </w:r>
      <w:r w:rsidRPr="004F4940" w:rsidR="00B046F2">
        <w:rPr>
          <w:rFonts w:eastAsia="Times New Roman"/>
        </w:rPr>
        <w:t>be used</w:t>
      </w:r>
      <w:r w:rsidRPr="004F4940" w:rsidR="0026413D">
        <w:rPr>
          <w:rFonts w:eastAsia="Times New Roman"/>
        </w:rPr>
        <w:t xml:space="preserve"> </w:t>
      </w:r>
      <w:r w:rsidRPr="004F4940" w:rsidR="000206ED">
        <w:rPr>
          <w:rFonts w:eastAsia="Times New Roman"/>
        </w:rPr>
        <w:t>to</w:t>
      </w:r>
      <w:r w:rsidRPr="004F4940" w:rsidR="0026413D">
        <w:rPr>
          <w:rFonts w:eastAsia="Times New Roman"/>
        </w:rPr>
        <w:t xml:space="preserve"> </w:t>
      </w:r>
      <w:r w:rsidRPr="004F4940" w:rsidR="0026413D">
        <w:rPr>
          <w:rFonts w:eastAsia="Times New Roman"/>
        </w:rPr>
        <w:t xml:space="preserve">opt-out of </w:t>
      </w:r>
      <w:r w:rsidRPr="004F4940" w:rsidR="000206ED">
        <w:rPr>
          <w:rFonts w:eastAsia="Times New Roman"/>
        </w:rPr>
        <w:t xml:space="preserve">compliance with </w:t>
      </w:r>
      <w:r w:rsidRPr="004F4940" w:rsidR="0026413D">
        <w:rPr>
          <w:rFonts w:eastAsia="Times New Roman"/>
        </w:rPr>
        <w:t>the Standard</w:t>
      </w:r>
      <w:r w:rsidRPr="004F4940" w:rsidR="004A26E4">
        <w:rPr>
          <w:rFonts w:eastAsia="Times New Roman"/>
        </w:rPr>
        <w:t xml:space="preserve"> or obligations set forth in a </w:t>
      </w:r>
      <w:r w:rsidRPr="004F4940" w:rsidR="007449EA">
        <w:rPr>
          <w:rFonts w:eastAsia="Times New Roman"/>
        </w:rPr>
        <w:t>c</w:t>
      </w:r>
      <w:r w:rsidRPr="004F4940" w:rsidR="004A26E4">
        <w:rPr>
          <w:rFonts w:eastAsia="Times New Roman"/>
        </w:rPr>
        <w:t xml:space="preserve">orrective </w:t>
      </w:r>
      <w:r w:rsidRPr="004F4940" w:rsidR="007449EA">
        <w:rPr>
          <w:rFonts w:eastAsia="Times New Roman"/>
        </w:rPr>
        <w:t>a</w:t>
      </w:r>
      <w:r w:rsidRPr="004F4940" w:rsidR="004A26E4">
        <w:rPr>
          <w:rFonts w:eastAsia="Times New Roman"/>
        </w:rPr>
        <w:t xml:space="preserve">ction </w:t>
      </w:r>
      <w:r w:rsidRPr="004F4940" w:rsidR="007449EA">
        <w:rPr>
          <w:rFonts w:eastAsia="Times New Roman"/>
        </w:rPr>
        <w:t>p</w:t>
      </w:r>
      <w:r w:rsidRPr="004F4940" w:rsidR="004A26E4">
        <w:rPr>
          <w:rFonts w:eastAsia="Times New Roman"/>
        </w:rPr>
        <w:t>lan</w:t>
      </w:r>
      <w:r w:rsidRPr="004F4940">
        <w:rPr>
          <w:rFonts w:eastAsia="Times New Roman"/>
        </w:rPr>
        <w:t xml:space="preserve">.  Specifically, we direct NERC to include </w:t>
      </w:r>
      <w:r w:rsidRPr="004F4940" w:rsidR="00B046F2">
        <w:rPr>
          <w:rFonts w:eastAsia="Times New Roman"/>
        </w:rPr>
        <w:t xml:space="preserve">auditable </w:t>
      </w:r>
      <w:r w:rsidRPr="004F4940">
        <w:rPr>
          <w:rFonts w:eastAsia="Times New Roman"/>
        </w:rPr>
        <w:t xml:space="preserve">criteria on permissible constraints and </w:t>
      </w:r>
      <w:r w:rsidRPr="004F4940" w:rsidR="00B04D6C">
        <w:rPr>
          <w:rFonts w:eastAsia="Times New Roman"/>
        </w:rPr>
        <w:t xml:space="preserve">to </w:t>
      </w:r>
      <w:r w:rsidRPr="004F4940">
        <w:rPr>
          <w:rFonts w:eastAsia="Times New Roman"/>
        </w:rPr>
        <w:t xml:space="preserve">identify the appropriate entity that would receive the generator owners’ constraint declarations under EOP-012-1 Requirements R1 and R7.  </w:t>
      </w:r>
      <w:r w:rsidRPr="004F4940" w:rsidR="001B1410">
        <w:rPr>
          <w:rFonts w:eastAsia="Times New Roman"/>
        </w:rPr>
        <w:t>We direct</w:t>
      </w:r>
      <w:r w:rsidRPr="004F4940">
        <w:rPr>
          <w:rFonts w:eastAsia="Times New Roman"/>
        </w:rPr>
        <w:t xml:space="preserve"> NERC to submit the revised Reliability Standard no later than 12 months after the </w:t>
      </w:r>
      <w:r w:rsidRPr="004F4940" w:rsidR="00907CD0">
        <w:rPr>
          <w:rFonts w:eastAsia="Times New Roman"/>
        </w:rPr>
        <w:t xml:space="preserve">date of </w:t>
      </w:r>
      <w:r w:rsidRPr="004F4940">
        <w:rPr>
          <w:rFonts w:eastAsia="Times New Roman"/>
        </w:rPr>
        <w:t>issuance of this order.</w:t>
      </w:r>
    </w:p>
    <w:p w:rsidR="001C4234" w:rsidRPr="004F4940" w:rsidP="462A9FC4" w14:paraId="6045A262" w14:textId="4DAE68ED">
      <w:pPr>
        <w:pStyle w:val="FERCparanumber"/>
        <w:suppressLineNumbers/>
        <w:rPr>
          <w:rFonts w:eastAsia="Times New Roman"/>
        </w:rPr>
      </w:pPr>
      <w:r w:rsidRPr="004F4940">
        <w:rPr>
          <w:rFonts w:eastAsia="Times New Roman"/>
        </w:rPr>
        <w:t>TCPA request</w:t>
      </w:r>
      <w:r w:rsidRPr="004F4940" w:rsidR="00333D57">
        <w:rPr>
          <w:rFonts w:eastAsia="Times New Roman"/>
        </w:rPr>
        <w:t>s</w:t>
      </w:r>
      <w:r w:rsidRPr="004F4940">
        <w:rPr>
          <w:rFonts w:eastAsia="Times New Roman"/>
        </w:rPr>
        <w:t xml:space="preserve"> that the Commission clarify that a </w:t>
      </w:r>
      <w:r w:rsidRPr="004F4940" w:rsidR="000D622D">
        <w:rPr>
          <w:rFonts w:eastAsia="Times New Roman"/>
        </w:rPr>
        <w:t>“</w:t>
      </w:r>
      <w:r w:rsidRPr="004F4940">
        <w:rPr>
          <w:rFonts w:eastAsia="Times New Roman"/>
        </w:rPr>
        <w:t>lack of cost recovery</w:t>
      </w:r>
      <w:r w:rsidRPr="004F4940" w:rsidR="000D622D">
        <w:rPr>
          <w:rFonts w:eastAsia="Times New Roman"/>
        </w:rPr>
        <w:t>”</w:t>
      </w:r>
      <w:r w:rsidRPr="004F4940">
        <w:rPr>
          <w:rFonts w:eastAsia="Times New Roman"/>
        </w:rPr>
        <w:t xml:space="preserve"> is a commercial constraint to implementing Requirement R1 and R7.</w:t>
      </w:r>
      <w:r>
        <w:rPr>
          <w:rStyle w:val="FootnoteReference"/>
          <w:rFonts w:eastAsia="Times New Roman"/>
        </w:rPr>
        <w:footnoteReference w:id="109"/>
      </w:r>
      <w:r w:rsidRPr="004F4940">
        <w:rPr>
          <w:rFonts w:eastAsia="Times New Roman"/>
        </w:rPr>
        <w:t xml:space="preserve">  </w:t>
      </w:r>
      <w:r w:rsidRPr="004F4940" w:rsidR="0069285D">
        <w:rPr>
          <w:rFonts w:eastAsia="Times New Roman"/>
        </w:rPr>
        <w:t xml:space="preserve">TCPA argues that </w:t>
      </w:r>
      <w:r w:rsidRPr="004F4940" w:rsidR="00B413E7">
        <w:rPr>
          <w:rFonts w:eastAsia="Times New Roman"/>
        </w:rPr>
        <w:t xml:space="preserve">the ability of </w:t>
      </w:r>
      <w:r w:rsidRPr="004F4940" w:rsidR="00EC1830">
        <w:rPr>
          <w:rFonts w:eastAsia="Times New Roman"/>
        </w:rPr>
        <w:t xml:space="preserve">transmission service providers and others to receive regulated rates of return </w:t>
      </w:r>
      <w:r w:rsidRPr="004F4940" w:rsidR="00A767E3">
        <w:rPr>
          <w:rFonts w:eastAsia="Times New Roman"/>
        </w:rPr>
        <w:t xml:space="preserve">creates </w:t>
      </w:r>
      <w:r w:rsidRPr="004F4940" w:rsidR="00FC1AED">
        <w:rPr>
          <w:rFonts w:eastAsia="Times New Roman"/>
        </w:rPr>
        <w:t>an uneven playing field for independent generation.</w:t>
      </w:r>
      <w:r>
        <w:rPr>
          <w:rStyle w:val="FootnoteReference"/>
          <w:rFonts w:eastAsia="Times New Roman"/>
        </w:rPr>
        <w:footnoteReference w:id="110"/>
      </w:r>
      <w:r w:rsidRPr="004F4940" w:rsidR="00FC1AED">
        <w:rPr>
          <w:rFonts w:eastAsia="Times New Roman"/>
        </w:rPr>
        <w:t xml:space="preserve"> </w:t>
      </w:r>
      <w:r w:rsidRPr="004F4940" w:rsidR="00F767AF">
        <w:rPr>
          <w:rFonts w:eastAsia="Times New Roman"/>
        </w:rPr>
        <w:t xml:space="preserve"> </w:t>
      </w:r>
      <w:r w:rsidRPr="004F4940" w:rsidR="00333D57">
        <w:rPr>
          <w:rFonts w:eastAsia="Times New Roman"/>
        </w:rPr>
        <w:t xml:space="preserve">We </w:t>
      </w:r>
      <w:r w:rsidRPr="004F4940" w:rsidR="00FC1AED">
        <w:rPr>
          <w:rFonts w:eastAsia="Times New Roman"/>
        </w:rPr>
        <w:t xml:space="preserve">decline to </w:t>
      </w:r>
      <w:r w:rsidRPr="004F4940" w:rsidR="00AB0CC3">
        <w:rPr>
          <w:rFonts w:eastAsia="Times New Roman"/>
        </w:rPr>
        <w:t>grant</w:t>
      </w:r>
      <w:r w:rsidRPr="004F4940" w:rsidR="00333D57">
        <w:rPr>
          <w:rFonts w:eastAsia="Times New Roman"/>
        </w:rPr>
        <w:t xml:space="preserve"> TCPA’s </w:t>
      </w:r>
      <w:r w:rsidRPr="004F4940" w:rsidR="000E49A4">
        <w:rPr>
          <w:rFonts w:eastAsia="Times New Roman"/>
        </w:rPr>
        <w:t xml:space="preserve">proposed clarification.  </w:t>
      </w:r>
      <w:r w:rsidRPr="004F4940" w:rsidR="00FC1AED">
        <w:rPr>
          <w:rFonts w:eastAsia="Times New Roman"/>
        </w:rPr>
        <w:t xml:space="preserve">Granting </w:t>
      </w:r>
      <w:r w:rsidRPr="004F4940">
        <w:rPr>
          <w:rFonts w:eastAsia="Times New Roman"/>
        </w:rPr>
        <w:t xml:space="preserve">TCPA’s requested clarification would be tantamount to a blanket waiver for all generators </w:t>
      </w:r>
      <w:r w:rsidRPr="004F4940" w:rsidR="00942F3D">
        <w:rPr>
          <w:rFonts w:eastAsia="Times New Roman"/>
        </w:rPr>
        <w:t>that do not currently recover their costs through cost-of-service rates</w:t>
      </w:r>
      <w:r w:rsidRPr="004F4940">
        <w:rPr>
          <w:rFonts w:eastAsia="Times New Roman"/>
        </w:rPr>
        <w:t>.</w:t>
      </w:r>
      <w:r>
        <w:rPr>
          <w:rStyle w:val="FootnoteReference"/>
          <w:rFonts w:eastAsia="Times New Roman"/>
        </w:rPr>
        <w:footnoteReference w:id="111"/>
      </w:r>
      <w:r w:rsidRPr="004F4940" w:rsidR="00345992">
        <w:rPr>
          <w:rFonts w:eastAsia="Times New Roman"/>
        </w:rPr>
        <w:t xml:space="preserve">  </w:t>
      </w:r>
      <w:r w:rsidRPr="004F4940" w:rsidR="003759FF">
        <w:rPr>
          <w:rFonts w:eastAsia="Times New Roman"/>
        </w:rPr>
        <w:t>W</w:t>
      </w:r>
      <w:r w:rsidRPr="004F4940" w:rsidR="008018F9">
        <w:rPr>
          <w:rFonts w:eastAsia="Times New Roman"/>
        </w:rPr>
        <w:t xml:space="preserve">e believe it would be inappropriate to </w:t>
      </w:r>
      <w:r w:rsidRPr="004F4940" w:rsidR="003456C6">
        <w:rPr>
          <w:rFonts w:eastAsia="Times New Roman"/>
        </w:rPr>
        <w:t>allow</w:t>
      </w:r>
      <w:r w:rsidRPr="004F4940" w:rsidR="00C3255F">
        <w:rPr>
          <w:rFonts w:eastAsia="Times New Roman"/>
        </w:rPr>
        <w:t xml:space="preserve"> </w:t>
      </w:r>
      <w:r w:rsidRPr="004F4940" w:rsidR="00C26431">
        <w:rPr>
          <w:rFonts w:eastAsia="Times New Roman"/>
        </w:rPr>
        <w:t xml:space="preserve">entities participating in </w:t>
      </w:r>
      <w:r w:rsidRPr="004F4940" w:rsidR="006838EF">
        <w:rPr>
          <w:rFonts w:eastAsia="Times New Roman"/>
        </w:rPr>
        <w:t xml:space="preserve">competitive </w:t>
      </w:r>
      <w:r w:rsidRPr="004F4940" w:rsidR="00C26431">
        <w:rPr>
          <w:rFonts w:eastAsia="Times New Roman"/>
        </w:rPr>
        <w:t>wholesale electric markets to simply opt-out of</w:t>
      </w:r>
      <w:r w:rsidRPr="004F4940" w:rsidR="001D3F3B">
        <w:rPr>
          <w:rFonts w:eastAsia="Times New Roman"/>
        </w:rPr>
        <w:t xml:space="preserve"> </w:t>
      </w:r>
      <w:r w:rsidRPr="004F4940" w:rsidR="00AF6F43">
        <w:rPr>
          <w:rFonts w:eastAsia="Times New Roman"/>
        </w:rPr>
        <w:t>reliability improvements offered by NERC’s</w:t>
      </w:r>
      <w:r w:rsidRPr="004F4940" w:rsidR="000974C6">
        <w:rPr>
          <w:rFonts w:eastAsia="Times New Roman"/>
        </w:rPr>
        <w:t xml:space="preserve"> proposal </w:t>
      </w:r>
      <w:r w:rsidRPr="004F4940" w:rsidR="002367E3">
        <w:rPr>
          <w:rFonts w:eastAsia="Times New Roman"/>
        </w:rPr>
        <w:t>because</w:t>
      </w:r>
      <w:r w:rsidRPr="004F4940" w:rsidR="00337FB6">
        <w:rPr>
          <w:rFonts w:eastAsia="Times New Roman"/>
        </w:rPr>
        <w:t xml:space="preserve"> </w:t>
      </w:r>
      <w:r w:rsidRPr="004F4940" w:rsidR="005A6130">
        <w:rPr>
          <w:rFonts w:eastAsia="Times New Roman"/>
        </w:rPr>
        <w:t xml:space="preserve">they lack </w:t>
      </w:r>
      <w:r w:rsidRPr="004F4940" w:rsidR="00212D74">
        <w:rPr>
          <w:rFonts w:eastAsia="Times New Roman"/>
        </w:rPr>
        <w:t>a dedicated cost recovery mechanism</w:t>
      </w:r>
      <w:r w:rsidRPr="004F4940" w:rsidR="00F2611E">
        <w:rPr>
          <w:rFonts w:eastAsia="Times New Roman"/>
        </w:rPr>
        <w:t>.</w:t>
      </w:r>
    </w:p>
    <w:p w:rsidR="0047469C" w:rsidRPr="004F4940" w:rsidP="005C59E3" w14:paraId="6F7AF62C" w14:textId="6C897730">
      <w:pPr>
        <w:pStyle w:val="FERCparanumber"/>
        <w:rPr>
          <w:rFonts w:eastAsia="Times New Roman"/>
        </w:rPr>
      </w:pPr>
      <w:r w:rsidRPr="004F4940">
        <w:t>Additionally, to provide the Commission with an ongoing assessment of the risk to the Bulk-Power System, we direct that NERC assess the implementation of the declarations through annual informational data submittals filed with the Commission, discussed in more detail in section</w:t>
      </w:r>
      <w:r w:rsidRPr="004F4940" w:rsidR="0005564E">
        <w:t xml:space="preserve"> 8.</w:t>
      </w:r>
    </w:p>
    <w:p w:rsidR="00752926" w:rsidRPr="004F4940" w:rsidP="0D3E6A2E" w14:paraId="6C74E146" w14:textId="2B9D60FB">
      <w:pPr>
        <w:pStyle w:val="Heading3"/>
        <w:rPr>
          <w:rFonts w:eastAsia="Times New Roman"/>
        </w:rPr>
      </w:pPr>
      <w:r w:rsidRPr="004F4940">
        <w:rPr>
          <w:rFonts w:eastAsia="Times New Roman"/>
        </w:rPr>
        <w:t>The calculation of the Extreme Cold Weather Temperature at which a generating unit must be capable of performing</w:t>
      </w:r>
    </w:p>
    <w:p w:rsidR="00F8607B" w:rsidRPr="004F4940" w:rsidP="00B4637D" w14:paraId="5AF33190" w14:textId="77777777">
      <w:pPr>
        <w:pStyle w:val="Heading4"/>
        <w:rPr>
          <w:rFonts w:eastAsia="Times New Roman"/>
        </w:rPr>
      </w:pPr>
      <w:r w:rsidRPr="004F4940">
        <w:rPr>
          <w:rFonts w:eastAsia="Times New Roman"/>
        </w:rPr>
        <w:t>NERC Petition</w:t>
      </w:r>
    </w:p>
    <w:p w:rsidR="009876DF" w:rsidP="009876DF" w14:paraId="36638220" w14:textId="77777777">
      <w:pPr>
        <w:pStyle w:val="FERCparanumber"/>
        <w:widowControl w:val="0"/>
        <w:suppressLineNumbers/>
        <w:rPr>
          <w:rFonts w:eastAsia="Times New Roman"/>
        </w:rPr>
      </w:pPr>
      <w:r w:rsidRPr="004F4940">
        <w:rPr>
          <w:rFonts w:eastAsia="Times New Roman"/>
        </w:rPr>
        <w:t xml:space="preserve">NERC proposes to define the term Extreme Cold Weather Temperature as equal </w:t>
      </w:r>
      <w:r>
        <w:rPr>
          <w:rFonts w:eastAsia="Times New Roman"/>
        </w:rPr>
        <w:br/>
      </w:r>
      <w:r w:rsidRPr="004F4940">
        <w:rPr>
          <w:rFonts w:eastAsia="Times New Roman"/>
        </w:rPr>
        <w:t>to the lowest 0.2 percentile of the hourly temperatures measured in December, January, and February from January 1, 2000, through the date the temperature is calculated.</w:t>
      </w:r>
      <w:r>
        <w:rPr>
          <w:rStyle w:val="FootnoteReference"/>
          <w:rFonts w:eastAsia="Times New Roman"/>
        </w:rPr>
        <w:footnoteReference w:id="112"/>
      </w:r>
      <w:r w:rsidRPr="004F4940">
        <w:rPr>
          <w:rFonts w:eastAsia="Times New Roman"/>
        </w:rPr>
        <w:t xml:space="preserve">  According to NERC, a statistical approach using modern weather data would advance</w:t>
      </w:r>
    </w:p>
    <w:p w:rsidR="00A96F8F" w:rsidRPr="009876DF" w:rsidP="009876DF" w14:paraId="3EC15A52" w14:textId="2248D4EE">
      <w:pPr>
        <w:widowControl/>
        <w:spacing w:after="160" w:line="259" w:lineRule="auto"/>
        <w:rPr>
          <w:rFonts w:eastAsia="Times New Roman"/>
        </w:rPr>
      </w:pPr>
      <w:r>
        <w:rPr>
          <w:rFonts w:eastAsia="Times New Roman"/>
        </w:rPr>
        <w:br w:type="page"/>
      </w:r>
      <w:r w:rsidRPr="009876DF" w:rsidR="00F8607B">
        <w:rPr>
          <w:rFonts w:eastAsia="Times New Roman"/>
        </w:rPr>
        <w:t>the reliability of the Bulk-Power System while also avoiding being overly burdensome for those responsible for compliance.</w:t>
      </w:r>
      <w:r>
        <w:rPr>
          <w:b/>
          <w:bCs/>
          <w:vertAlign w:val="superscript"/>
        </w:rPr>
        <w:footnoteReference w:id="113"/>
      </w:r>
    </w:p>
    <w:p w:rsidR="00D36BC6" w:rsidRPr="004F4940" w:rsidP="00B4637D" w14:paraId="1AB2E30B" w14:textId="77777777">
      <w:pPr>
        <w:pStyle w:val="Heading4"/>
      </w:pPr>
      <w:r w:rsidRPr="004F4940">
        <w:rPr>
          <w:rFonts w:eastAsia="Times New Roman"/>
        </w:rPr>
        <w:t>Comment</w:t>
      </w:r>
      <w:r w:rsidRPr="004F4940">
        <w:t>s</w:t>
      </w:r>
    </w:p>
    <w:p w:rsidR="00D36BC6" w:rsidRPr="009876DF" w:rsidP="009876DF" w14:paraId="5BBCDC02" w14:textId="29AEAB6D">
      <w:pPr>
        <w:pStyle w:val="FERCparanumber"/>
        <w:suppressLineNumbers/>
        <w:rPr>
          <w:rFonts w:eastAsia="Times New Roman"/>
        </w:rPr>
      </w:pPr>
      <w:r w:rsidRPr="004F4940">
        <w:rPr>
          <w:rFonts w:eastAsia="Times New Roman"/>
        </w:rPr>
        <w:t xml:space="preserve">Some commenters express concern with the Extreme Cold Weather Temperature </w:t>
      </w:r>
      <w:r w:rsidRPr="004F4940" w:rsidR="6D3E8A8A">
        <w:rPr>
          <w:rFonts w:eastAsia="Times New Roman"/>
        </w:rPr>
        <w:t>definitio</w:t>
      </w:r>
      <w:r w:rsidRPr="004F4940" w:rsidR="7F7317FB">
        <w:rPr>
          <w:rFonts w:eastAsia="Times New Roman"/>
        </w:rPr>
        <w:t>n.</w:t>
      </w:r>
      <w:r>
        <w:rPr>
          <w:rStyle w:val="FootnoteReference"/>
          <w:rFonts w:eastAsia="Times New Roman"/>
        </w:rPr>
        <w:footnoteReference w:id="114"/>
      </w:r>
      <w:r w:rsidRPr="004F4940">
        <w:rPr>
          <w:rFonts w:eastAsia="Times New Roman"/>
        </w:rPr>
        <w:t xml:space="preserve">  The ISO/RTO Council argues that only examining historical data from the year 2000 forward risks unnecessarily limiting the range of possible cold weather scenarios that the Standard is intended to address</w:t>
      </w:r>
      <w:r w:rsidRPr="004F4940" w:rsidR="00321799">
        <w:rPr>
          <w:rFonts w:eastAsia="Times New Roman"/>
        </w:rPr>
        <w:t>, and proposes an alternate calculation metho</w:t>
      </w:r>
      <w:r w:rsidRPr="004F4940" w:rsidR="3D2BA973">
        <w:rPr>
          <w:rFonts w:eastAsia="Times New Roman"/>
        </w:rPr>
        <w:t>d</w:t>
      </w:r>
      <w:r w:rsidRPr="004F4940">
        <w:rPr>
          <w:rFonts w:eastAsia="Times New Roman"/>
        </w:rPr>
        <w:t>.</w:t>
      </w:r>
      <w:r>
        <w:rPr>
          <w:rStyle w:val="FootnoteReference"/>
          <w:rFonts w:eastAsia="Times New Roman"/>
        </w:rPr>
        <w:footnoteReference w:id="115"/>
      </w:r>
      <w:r w:rsidRPr="004F4940">
        <w:rPr>
          <w:rFonts w:eastAsia="Times New Roman"/>
        </w:rPr>
        <w:t xml:space="preserve">  NEPGA/EPSA/PJM Group counters that the ISO/RTO Council’s proposed revisions materially change Reliability Standard EOP-012-1, and should the Commission adopt </w:t>
      </w:r>
      <w:r w:rsidRPr="004F4940" w:rsidR="00321799">
        <w:rPr>
          <w:rFonts w:eastAsia="Times New Roman"/>
        </w:rPr>
        <w:t>the ISO/RTO</w:t>
      </w:r>
      <w:r w:rsidRPr="004F4940">
        <w:rPr>
          <w:rFonts w:eastAsia="Times New Roman"/>
        </w:rPr>
        <w:t xml:space="preserve"> proposal, then efforts to comply with EOP-012-1 “as drafted” could</w:t>
      </w:r>
      <w:r w:rsidR="009876DF">
        <w:rPr>
          <w:rFonts w:eastAsia="Times New Roman"/>
        </w:rPr>
        <w:t xml:space="preserve"> </w:t>
      </w:r>
      <w:r w:rsidRPr="009876DF">
        <w:rPr>
          <w:rFonts w:eastAsia="Times New Roman"/>
        </w:rPr>
        <w:t>be potentially futile.</w:t>
      </w:r>
      <w:r>
        <w:rPr>
          <w:rStyle w:val="FootnoteReference"/>
          <w:rFonts w:eastAsia="Times New Roman"/>
        </w:rPr>
        <w:footnoteReference w:id="116"/>
      </w:r>
      <w:r w:rsidRPr="009876DF">
        <w:rPr>
          <w:rFonts w:eastAsia="Times New Roman"/>
        </w:rPr>
        <w:t xml:space="preserve">  Invenergy asserts that the Extreme Cold Weather Temperature definition is arbitrary because NERC did not measure the definition against any objective standard to ensure reliable operation.</w:t>
      </w:r>
      <w:r>
        <w:rPr>
          <w:rStyle w:val="FootnoteReference"/>
          <w:rFonts w:eastAsia="Times New Roman"/>
        </w:rPr>
        <w:footnoteReference w:id="117"/>
      </w:r>
      <w:r w:rsidRPr="009876DF">
        <w:rPr>
          <w:rFonts w:eastAsia="Times New Roman"/>
        </w:rPr>
        <w:t xml:space="preserve">  Invenergy adds that the Extreme Cold Weather Temperature should be calculated by NERC and its Regional Entities to prevent uneven implementation and enforcement.</w:t>
      </w:r>
      <w:r>
        <w:rPr>
          <w:rStyle w:val="FootnoteReference"/>
          <w:rFonts w:eastAsia="Times New Roman"/>
        </w:rPr>
        <w:footnoteReference w:id="118"/>
      </w:r>
      <w:r w:rsidRPr="009876DF" w:rsidR="00174983">
        <w:rPr>
          <w:rFonts w:eastAsia="Times New Roman"/>
        </w:rPr>
        <w:t xml:space="preserve">  Invenergy also argues that it is unreasonable that the proposed Extreme Cold Weather Temperature “will be heavily influenced by the colder nighttime temperatures, when there is no solar generation</w:t>
      </w:r>
      <w:r w:rsidRPr="009876DF" w:rsidR="00E605A4">
        <w:rPr>
          <w:rFonts w:eastAsia="Times New Roman"/>
        </w:rPr>
        <w:t>.</w:t>
      </w:r>
      <w:r w:rsidRPr="009876DF" w:rsidR="00174983">
        <w:rPr>
          <w:rFonts w:eastAsia="Times New Roman"/>
        </w:rPr>
        <w:t>”</w:t>
      </w:r>
      <w:r>
        <w:rPr>
          <w:rStyle w:val="FootnoteReference"/>
          <w:rFonts w:eastAsia="Times New Roman"/>
        </w:rPr>
        <w:footnoteReference w:id="119"/>
      </w:r>
    </w:p>
    <w:p w:rsidR="00A520FE" w:rsidRPr="004F4940" w:rsidP="00220F41" w14:paraId="4F9E3F92" w14:textId="77777777">
      <w:pPr>
        <w:pStyle w:val="Heading4"/>
      </w:pPr>
      <w:r w:rsidRPr="004F4940">
        <w:rPr>
          <w:rFonts w:eastAsia="Times New Roman"/>
        </w:rPr>
        <w:t>Commission Dete</w:t>
      </w:r>
      <w:r w:rsidRPr="004F4940">
        <w:t>rmination</w:t>
      </w:r>
    </w:p>
    <w:p w:rsidR="00EF0897" w:rsidRPr="004F4940" w:rsidP="00710D39" w14:paraId="00A0440B" w14:textId="70AE51BD">
      <w:pPr>
        <w:pStyle w:val="FERCparanumber"/>
        <w:widowControl w:val="0"/>
        <w:suppressLineNumbers/>
        <w:rPr>
          <w:rFonts w:eastAsia="Times New Roman"/>
        </w:rPr>
      </w:pPr>
      <w:r w:rsidRPr="004F4940">
        <w:rPr>
          <w:rFonts w:eastAsia="Times New Roman"/>
        </w:rPr>
        <w:t>As noted above, the Extreme Cold Weather Temperature is equal to the lowest 0.2</w:t>
      </w:r>
      <w:r w:rsidRPr="004F4940" w:rsidR="006D5D6D">
        <w:rPr>
          <w:rFonts w:eastAsia="Times New Roman"/>
        </w:rPr>
        <w:t> </w:t>
      </w:r>
      <w:r w:rsidRPr="004F4940">
        <w:rPr>
          <w:rFonts w:eastAsia="Times New Roman"/>
        </w:rPr>
        <w:t>percentile of the hourly temperatures measured in December, January, and February from January 1, 2000, through the date the temperature is calculated.</w:t>
      </w:r>
      <w:r>
        <w:rPr>
          <w:rStyle w:val="FootnoteReference"/>
          <w:rFonts w:eastAsia="Times New Roman"/>
        </w:rPr>
        <w:footnoteReference w:id="120"/>
      </w:r>
      <w:r w:rsidRPr="004F4940" w:rsidR="7F7F46E1">
        <w:rPr>
          <w:rFonts w:eastAsia="Times New Roman"/>
        </w:rPr>
        <w:t xml:space="preserve"> </w:t>
      </w:r>
      <w:r w:rsidRPr="004F4940">
        <w:rPr>
          <w:rFonts w:eastAsia="Times New Roman"/>
        </w:rPr>
        <w:t xml:space="preserve"> This method </w:t>
      </w:r>
      <w:r w:rsidRPr="004F4940" w:rsidR="4F944F8E">
        <w:rPr>
          <w:rFonts w:eastAsia="Times New Roman"/>
        </w:rPr>
        <w:t xml:space="preserve">of </w:t>
      </w:r>
      <w:r w:rsidRPr="004F4940">
        <w:rPr>
          <w:rFonts w:eastAsia="Times New Roman"/>
        </w:rPr>
        <w:t xml:space="preserve">determining the Extreme Cold Weather Temperature is a statistical approach, using the </w:t>
      </w:r>
      <w:r w:rsidRPr="004F4940">
        <w:rPr>
          <w:rFonts w:eastAsia="Times New Roman"/>
        </w:rPr>
        <w:t>cumulative distribution of historical temperatures to determine the 0.2 percentile historical temperature.</w:t>
      </w:r>
      <w:r w:rsidRPr="004F4940" w:rsidR="393D1E5D">
        <w:rPr>
          <w:rFonts w:eastAsia="Times New Roman"/>
        </w:rPr>
        <w:t xml:space="preserve">  NERC’s petition explains it relied on the Modernization and Associated Restructuring</w:t>
      </w:r>
      <w:r w:rsidRPr="004F4940" w:rsidR="393D1E5D">
        <w:rPr>
          <w:rFonts w:eastAsia="Times New Roman"/>
        </w:rPr>
        <w:t xml:space="preserve"> </w:t>
      </w:r>
      <w:r w:rsidRPr="004F4940" w:rsidR="393D1E5D">
        <w:rPr>
          <w:rFonts w:eastAsia="Times New Roman"/>
        </w:rPr>
        <w:t>from the National Weather Service, which has higher quality</w:t>
      </w:r>
      <w:r w:rsidRPr="004F4940" w:rsidR="002E01CA">
        <w:rPr>
          <w:rFonts w:eastAsia="Times New Roman"/>
        </w:rPr>
        <w:t xml:space="preserve"> and </w:t>
      </w:r>
      <w:r w:rsidRPr="004F4940" w:rsidR="393D1E5D">
        <w:rPr>
          <w:rFonts w:eastAsia="Times New Roman"/>
        </w:rPr>
        <w:t>more granular temperature data in more locations, being completed in the year 2000 to justify the elimination of all pre-2000 historical weather data from consideration.</w:t>
      </w:r>
      <w:r>
        <w:rPr>
          <w:rStyle w:val="FootnoteReference"/>
          <w:rFonts w:eastAsia="Times New Roman"/>
        </w:rPr>
        <w:footnoteReference w:id="121"/>
      </w:r>
    </w:p>
    <w:p w:rsidR="00E02550" w:rsidRPr="004F4940" w:rsidP="0D3E6A2E" w14:paraId="1F5F1544" w14:textId="3061A26B">
      <w:pPr>
        <w:pStyle w:val="FERCparanumber"/>
        <w:suppressLineNumbers/>
        <w:rPr>
          <w:rFonts w:eastAsia="Times New Roman"/>
        </w:rPr>
      </w:pPr>
      <w:r w:rsidRPr="004F4940">
        <w:rPr>
          <w:rFonts w:eastAsia="Times New Roman"/>
        </w:rPr>
        <w:t>We</w:t>
      </w:r>
      <w:r w:rsidRPr="004F4940" w:rsidR="24CDFF28">
        <w:rPr>
          <w:rFonts w:eastAsia="Times New Roman"/>
        </w:rPr>
        <w:t xml:space="preserve"> find</w:t>
      </w:r>
      <w:r w:rsidRPr="004F4940" w:rsidR="7C2E86B3">
        <w:rPr>
          <w:rFonts w:eastAsia="Times New Roman"/>
        </w:rPr>
        <w:t xml:space="preserve"> that NERC’s </w:t>
      </w:r>
      <w:r w:rsidRPr="004F4940" w:rsidR="5136C2DC">
        <w:rPr>
          <w:rFonts w:eastAsia="Times New Roman"/>
        </w:rPr>
        <w:t>Extreme Cold Weather Temperature</w:t>
      </w:r>
      <w:r w:rsidRPr="004F4940" w:rsidR="00E91F0F">
        <w:rPr>
          <w:rFonts w:eastAsia="Times New Roman"/>
        </w:rPr>
        <w:t xml:space="preserve"> definition</w:t>
      </w:r>
      <w:r w:rsidRPr="004F4940" w:rsidR="5136C2DC">
        <w:rPr>
          <w:rFonts w:eastAsia="Times New Roman"/>
        </w:rPr>
        <w:t xml:space="preserve"> represents a reasonable starting point for reducing the level of risk.</w:t>
      </w:r>
      <w:r w:rsidRPr="004F4940" w:rsidR="7F7724AD">
        <w:rPr>
          <w:rFonts w:eastAsia="Times New Roman"/>
        </w:rPr>
        <w:t xml:space="preserve">  The use of the Extreme Cold Weather Temperature to establish a specific level of required freeze protection for resources is also a significant improvement over the current cold weather Reliability Standards, which contain no minimum temperature operating requirements.</w:t>
      </w:r>
      <w:r>
        <w:rPr>
          <w:rStyle w:val="FootnoteReference"/>
          <w:rFonts w:eastAsia="Times New Roman"/>
        </w:rPr>
        <w:footnoteReference w:id="122"/>
      </w:r>
      <w:r w:rsidRPr="004F4940" w:rsidR="7F7F46E1">
        <w:rPr>
          <w:rFonts w:eastAsia="Times New Roman"/>
        </w:rPr>
        <w:t xml:space="preserve"> </w:t>
      </w:r>
      <w:r w:rsidRPr="004F4940" w:rsidR="7F7724AD">
        <w:rPr>
          <w:rFonts w:eastAsia="Times New Roman"/>
        </w:rPr>
        <w:t xml:space="preserve"> </w:t>
      </w:r>
      <w:r w:rsidRPr="004F4940" w:rsidR="00B97C44">
        <w:rPr>
          <w:rFonts w:eastAsia="Times New Roman"/>
        </w:rPr>
        <w:t xml:space="preserve">With respect to </w:t>
      </w:r>
      <w:r w:rsidRPr="004F4940" w:rsidR="00A27DC6">
        <w:rPr>
          <w:rFonts w:eastAsia="Times New Roman"/>
        </w:rPr>
        <w:t xml:space="preserve">the 0.2 threshold, we believe that </w:t>
      </w:r>
      <w:r w:rsidRPr="004F4940" w:rsidR="00184B93">
        <w:rPr>
          <w:rFonts w:eastAsia="Times New Roman"/>
        </w:rPr>
        <w:t xml:space="preserve">NERC reasonably balanced a number of competing factors in </w:t>
      </w:r>
      <w:r w:rsidRPr="004F4940" w:rsidR="00D81937">
        <w:rPr>
          <w:rFonts w:eastAsia="Times New Roman"/>
        </w:rPr>
        <w:t>setting the</w:t>
      </w:r>
      <w:r w:rsidRPr="004F4940" w:rsidR="00A61BA9">
        <w:rPr>
          <w:rFonts w:eastAsia="Times New Roman"/>
        </w:rPr>
        <w:t xml:space="preserve"> Extreme </w:t>
      </w:r>
      <w:r w:rsidRPr="004F4940" w:rsidR="00D81937">
        <w:rPr>
          <w:rFonts w:eastAsia="Times New Roman"/>
        </w:rPr>
        <w:t>Cold Weather Temperature.</w:t>
      </w:r>
      <w:r>
        <w:rPr>
          <w:rStyle w:val="FootnoteReference"/>
          <w:rFonts w:eastAsia="Times New Roman"/>
        </w:rPr>
        <w:footnoteReference w:id="123"/>
      </w:r>
      <w:r w:rsidRPr="004F4940" w:rsidR="00D81937">
        <w:rPr>
          <w:rFonts w:eastAsia="Times New Roman"/>
        </w:rPr>
        <w:t xml:space="preserve">  Similarly, </w:t>
      </w:r>
      <w:r w:rsidR="00F90F35">
        <w:rPr>
          <w:rFonts w:eastAsia="Times New Roman"/>
        </w:rPr>
        <w:br/>
      </w:r>
      <w:r w:rsidRPr="004F4940" w:rsidR="00D81937">
        <w:rPr>
          <w:rFonts w:eastAsia="Times New Roman"/>
        </w:rPr>
        <w:t xml:space="preserve">while we agree </w:t>
      </w:r>
      <w:r w:rsidRPr="004F4940" w:rsidR="007E511B">
        <w:rPr>
          <w:rFonts w:eastAsia="Times New Roman"/>
        </w:rPr>
        <w:t xml:space="preserve">with the ISO/RTO </w:t>
      </w:r>
      <w:r w:rsidRPr="004F4940" w:rsidR="00010AE5">
        <w:rPr>
          <w:rFonts w:eastAsia="Times New Roman"/>
        </w:rPr>
        <w:t>C</w:t>
      </w:r>
      <w:r w:rsidRPr="004F4940" w:rsidR="7609DB2A">
        <w:rPr>
          <w:rFonts w:eastAsia="Times New Roman"/>
        </w:rPr>
        <w:t>ouncil</w:t>
      </w:r>
      <w:r w:rsidRPr="004F4940" w:rsidR="007E511B">
        <w:rPr>
          <w:rFonts w:eastAsia="Times New Roman"/>
        </w:rPr>
        <w:t xml:space="preserve"> that additional data sources may be available, we </w:t>
      </w:r>
      <w:r w:rsidRPr="004F4940" w:rsidR="00B021CD">
        <w:rPr>
          <w:rFonts w:eastAsia="Times New Roman"/>
        </w:rPr>
        <w:t>find that NERC’s consideration of data availability and its determination</w:t>
      </w:r>
      <w:r w:rsidRPr="004F4940" w:rsidR="00060828">
        <w:rPr>
          <w:rFonts w:eastAsia="Times New Roman"/>
        </w:rPr>
        <w:t xml:space="preserve"> to rely on </w:t>
      </w:r>
      <w:r w:rsidRPr="004F4940" w:rsidR="00A22BDA">
        <w:rPr>
          <w:rFonts w:eastAsia="Times New Roman"/>
        </w:rPr>
        <w:t>meteorological</w:t>
      </w:r>
      <w:r w:rsidRPr="004F4940" w:rsidR="00060828">
        <w:rPr>
          <w:rFonts w:eastAsia="Times New Roman"/>
        </w:rPr>
        <w:t xml:space="preserve"> data starting in </w:t>
      </w:r>
      <w:r w:rsidRPr="004F4940" w:rsidR="00742E13">
        <w:rPr>
          <w:rFonts w:eastAsia="Times New Roman"/>
        </w:rPr>
        <w:t xml:space="preserve">the year </w:t>
      </w:r>
      <w:r w:rsidRPr="004F4940" w:rsidR="00060828">
        <w:rPr>
          <w:rFonts w:eastAsia="Times New Roman"/>
        </w:rPr>
        <w:t xml:space="preserve">2000 </w:t>
      </w:r>
      <w:r w:rsidRPr="004F4940" w:rsidR="00010AE5">
        <w:rPr>
          <w:rFonts w:eastAsia="Times New Roman"/>
        </w:rPr>
        <w:t>i</w:t>
      </w:r>
      <w:r w:rsidRPr="004F4940" w:rsidR="3AB96045">
        <w:rPr>
          <w:rFonts w:eastAsia="Times New Roman"/>
        </w:rPr>
        <w:t>s</w:t>
      </w:r>
      <w:r w:rsidRPr="004F4940" w:rsidR="00060828">
        <w:rPr>
          <w:rFonts w:eastAsia="Times New Roman"/>
        </w:rPr>
        <w:t xml:space="preserve"> reasonable. </w:t>
      </w:r>
      <w:r w:rsidRPr="004F4940" w:rsidR="00D97B79">
        <w:rPr>
          <w:rFonts w:eastAsia="Times New Roman"/>
        </w:rPr>
        <w:t xml:space="preserve"> </w:t>
      </w:r>
      <w:r w:rsidRPr="004F4940" w:rsidR="002E7538">
        <w:rPr>
          <w:rFonts w:eastAsia="Times New Roman"/>
        </w:rPr>
        <w:t>Similarly,</w:t>
      </w:r>
      <w:r w:rsidRPr="004F4940" w:rsidR="00FD731E">
        <w:rPr>
          <w:rFonts w:eastAsia="Times New Roman"/>
        </w:rPr>
        <w:t xml:space="preserve"> </w:t>
      </w:r>
      <w:r w:rsidRPr="004F4940" w:rsidR="00045713">
        <w:rPr>
          <w:rFonts w:eastAsia="Times New Roman"/>
        </w:rPr>
        <w:t xml:space="preserve">as the Extreme Cold Weather Temperature definition is meant to apply uniformly regardless of generation type, we do not find </w:t>
      </w:r>
      <w:r w:rsidRPr="004F4940" w:rsidR="00263F12">
        <w:rPr>
          <w:rFonts w:eastAsia="Times New Roman"/>
        </w:rPr>
        <w:t>it unreasonable</w:t>
      </w:r>
      <w:r w:rsidRPr="004F4940" w:rsidR="00FD731E">
        <w:rPr>
          <w:rFonts w:eastAsia="Times New Roman"/>
        </w:rPr>
        <w:t xml:space="preserve"> that solar generators </w:t>
      </w:r>
      <w:r w:rsidRPr="004F4940" w:rsidR="00263F12">
        <w:rPr>
          <w:rFonts w:eastAsia="Times New Roman"/>
        </w:rPr>
        <w:t>would need</w:t>
      </w:r>
      <w:r w:rsidRPr="004F4940" w:rsidR="00FD731E">
        <w:rPr>
          <w:rFonts w:eastAsia="Times New Roman"/>
        </w:rPr>
        <w:t xml:space="preserve"> to </w:t>
      </w:r>
      <w:r w:rsidR="00F90F35">
        <w:rPr>
          <w:rFonts w:eastAsia="Times New Roman"/>
        </w:rPr>
        <w:br/>
      </w:r>
      <w:r w:rsidRPr="004F4940" w:rsidR="00FD731E">
        <w:rPr>
          <w:rFonts w:eastAsia="Times New Roman"/>
        </w:rPr>
        <w:t>meet a</w:t>
      </w:r>
      <w:r w:rsidRPr="004F4940" w:rsidR="003C4F13">
        <w:rPr>
          <w:rFonts w:eastAsia="Times New Roman"/>
        </w:rPr>
        <w:t>n</w:t>
      </w:r>
      <w:r w:rsidRPr="004F4940" w:rsidR="00FD731E">
        <w:rPr>
          <w:rFonts w:eastAsia="Times New Roman"/>
        </w:rPr>
        <w:t xml:space="preserve"> </w:t>
      </w:r>
      <w:r w:rsidRPr="004F4940" w:rsidR="003C4F13">
        <w:rPr>
          <w:rFonts w:eastAsia="Times New Roman"/>
        </w:rPr>
        <w:t xml:space="preserve">Extreme Cold Weather Temperature </w:t>
      </w:r>
      <w:r w:rsidRPr="004F4940" w:rsidR="008A5449">
        <w:rPr>
          <w:rFonts w:eastAsia="Times New Roman"/>
        </w:rPr>
        <w:t>based on</w:t>
      </w:r>
      <w:r w:rsidRPr="004F4940" w:rsidR="00D67C14">
        <w:rPr>
          <w:rFonts w:eastAsia="Times New Roman"/>
        </w:rPr>
        <w:t xml:space="preserve"> </w:t>
      </w:r>
      <w:r w:rsidRPr="004F4940" w:rsidR="003E7677">
        <w:rPr>
          <w:rFonts w:eastAsia="Times New Roman"/>
        </w:rPr>
        <w:t>24</w:t>
      </w:r>
      <w:r w:rsidRPr="004F4940" w:rsidR="00A323DB">
        <w:rPr>
          <w:rFonts w:eastAsia="Times New Roman"/>
        </w:rPr>
        <w:t>-hour-temperature data</w:t>
      </w:r>
      <w:r w:rsidRPr="004F4940" w:rsidR="004A156E">
        <w:rPr>
          <w:rFonts w:eastAsia="Times New Roman"/>
        </w:rPr>
        <w:t>.</w:t>
      </w:r>
      <w:r>
        <w:rPr>
          <w:rStyle w:val="FootnoteReference"/>
          <w:rFonts w:eastAsia="Times New Roman"/>
        </w:rPr>
        <w:footnoteReference w:id="124"/>
      </w:r>
    </w:p>
    <w:p w:rsidR="007D093B" w:rsidP="004B2605" w14:paraId="0F4F67EA" w14:textId="77777777">
      <w:pPr>
        <w:pStyle w:val="FERCparanumber"/>
        <w:suppressLineNumbers/>
        <w:rPr>
          <w:rFonts w:eastAsia="Times New Roman"/>
        </w:rPr>
      </w:pPr>
      <w:r w:rsidRPr="004F4940">
        <w:rPr>
          <w:rFonts w:eastAsia="Times New Roman"/>
        </w:rPr>
        <w:t>Although</w:t>
      </w:r>
      <w:r w:rsidRPr="004F4940" w:rsidR="02D9D940">
        <w:rPr>
          <w:rFonts w:eastAsia="Times New Roman"/>
        </w:rPr>
        <w:t xml:space="preserve"> </w:t>
      </w:r>
      <w:r w:rsidRPr="004F4940" w:rsidR="0EFF6402">
        <w:rPr>
          <w:rFonts w:eastAsia="Times New Roman"/>
        </w:rPr>
        <w:t xml:space="preserve">we </w:t>
      </w:r>
      <w:r w:rsidRPr="004F4940" w:rsidR="003F6F3F">
        <w:rPr>
          <w:rFonts w:eastAsia="Times New Roman"/>
        </w:rPr>
        <w:t>agree</w:t>
      </w:r>
      <w:r w:rsidRPr="004F4940" w:rsidR="00B06A58">
        <w:rPr>
          <w:rFonts w:eastAsia="Times New Roman"/>
        </w:rPr>
        <w:t xml:space="preserve"> that </w:t>
      </w:r>
      <w:r w:rsidRPr="004F4940" w:rsidR="00EC44CA">
        <w:rPr>
          <w:rFonts w:eastAsia="Times New Roman"/>
        </w:rPr>
        <w:t xml:space="preserve">NERC could have adopted </w:t>
      </w:r>
      <w:r w:rsidRPr="004F4940" w:rsidR="00B06A58">
        <w:rPr>
          <w:rFonts w:eastAsia="Times New Roman"/>
        </w:rPr>
        <w:t>other, potentially more robust approach</w:t>
      </w:r>
      <w:r w:rsidRPr="004F4940" w:rsidR="00EC44CA">
        <w:rPr>
          <w:rFonts w:eastAsia="Times New Roman"/>
        </w:rPr>
        <w:t xml:space="preserve">es </w:t>
      </w:r>
      <w:r w:rsidRPr="004F4940" w:rsidR="003F6F3F">
        <w:rPr>
          <w:rFonts w:eastAsia="Times New Roman"/>
        </w:rPr>
        <w:t xml:space="preserve">to defining </w:t>
      </w:r>
      <w:r w:rsidRPr="004F4940" w:rsidR="000B4183">
        <w:rPr>
          <w:rFonts w:eastAsia="Times New Roman"/>
        </w:rPr>
        <w:t xml:space="preserve">the </w:t>
      </w:r>
      <w:r w:rsidRPr="004F4940" w:rsidR="04DCC7B3">
        <w:rPr>
          <w:rFonts w:eastAsia="Times New Roman"/>
        </w:rPr>
        <w:t xml:space="preserve">Extreme Cold Weather Temperature, </w:t>
      </w:r>
      <w:r w:rsidRPr="004F4940" w:rsidR="0EFF6402">
        <w:rPr>
          <w:rFonts w:eastAsia="Times New Roman"/>
        </w:rPr>
        <w:t xml:space="preserve">we believe that </w:t>
      </w:r>
      <w:r w:rsidRPr="004F4940" w:rsidR="04DCC7B3">
        <w:rPr>
          <w:rFonts w:eastAsia="Times New Roman"/>
        </w:rPr>
        <w:t>other factors such as application, inspection, and maintenance of the freeze protection measures and the associated training of generator owners</w:t>
      </w:r>
      <w:r w:rsidRPr="004F4940" w:rsidR="016695A5">
        <w:rPr>
          <w:rFonts w:eastAsia="Times New Roman"/>
        </w:rPr>
        <w:t xml:space="preserve"> or generator </w:t>
      </w:r>
      <w:r w:rsidRPr="004F4940" w:rsidR="04DCC7B3">
        <w:rPr>
          <w:rFonts w:eastAsia="Times New Roman"/>
        </w:rPr>
        <w:t xml:space="preserve">operators </w:t>
      </w:r>
      <w:r w:rsidRPr="004F4940" w:rsidR="004D5790">
        <w:rPr>
          <w:rFonts w:eastAsia="Times New Roman"/>
        </w:rPr>
        <w:t>that</w:t>
      </w:r>
      <w:r w:rsidRPr="004F4940" w:rsidR="04DCC7B3">
        <w:rPr>
          <w:rFonts w:eastAsia="Times New Roman"/>
        </w:rPr>
        <w:t xml:space="preserve"> perform these actions (all </w:t>
      </w:r>
      <w:r w:rsidRPr="004F4940" w:rsidR="004D5790">
        <w:rPr>
          <w:rFonts w:eastAsia="Times New Roman"/>
        </w:rPr>
        <w:t xml:space="preserve">of </w:t>
      </w:r>
      <w:r w:rsidRPr="004F4940" w:rsidR="04DCC7B3">
        <w:rPr>
          <w:rFonts w:eastAsia="Times New Roman"/>
        </w:rPr>
        <w:t>which are requirements in the proposed Standard)</w:t>
      </w:r>
      <w:r w:rsidRPr="004F4940" w:rsidR="20B61848">
        <w:rPr>
          <w:rFonts w:eastAsia="Times New Roman"/>
        </w:rPr>
        <w:t xml:space="preserve"> should </w:t>
      </w:r>
      <w:r w:rsidRPr="004F4940" w:rsidR="00EC7E15">
        <w:rPr>
          <w:rFonts w:eastAsia="Times New Roman"/>
        </w:rPr>
        <w:t>reasonabl</w:t>
      </w:r>
      <w:r w:rsidRPr="004F4940" w:rsidR="003D74C7">
        <w:rPr>
          <w:rFonts w:eastAsia="Times New Roman"/>
        </w:rPr>
        <w:t>y</w:t>
      </w:r>
      <w:r w:rsidRPr="004F4940" w:rsidR="00EC7E15">
        <w:rPr>
          <w:rFonts w:eastAsia="Times New Roman"/>
        </w:rPr>
        <w:t xml:space="preserve"> </w:t>
      </w:r>
      <w:r w:rsidRPr="004F4940" w:rsidR="00480415">
        <w:rPr>
          <w:rFonts w:eastAsia="Times New Roman"/>
        </w:rPr>
        <w:t>improve</w:t>
      </w:r>
      <w:r w:rsidRPr="004F4940" w:rsidR="00EC7E15">
        <w:rPr>
          <w:rFonts w:eastAsia="Times New Roman"/>
        </w:rPr>
        <w:t xml:space="preserve"> </w:t>
      </w:r>
      <w:r w:rsidRPr="004F4940" w:rsidR="20B61848">
        <w:rPr>
          <w:rFonts w:eastAsia="Times New Roman"/>
        </w:rPr>
        <w:t>reliab</w:t>
      </w:r>
      <w:r w:rsidRPr="004F4940" w:rsidR="003D74C7">
        <w:rPr>
          <w:rFonts w:eastAsia="Times New Roman"/>
        </w:rPr>
        <w:t>le</w:t>
      </w:r>
      <w:r w:rsidRPr="004F4940" w:rsidR="00EC7E15">
        <w:rPr>
          <w:rFonts w:eastAsia="Times New Roman"/>
        </w:rPr>
        <w:t xml:space="preserve"> operation of the Bulk-Power System</w:t>
      </w:r>
      <w:r w:rsidRPr="004F4940" w:rsidR="04DCC7B3">
        <w:rPr>
          <w:rFonts w:eastAsia="Times New Roman"/>
        </w:rPr>
        <w:t>.</w:t>
      </w:r>
      <w:r w:rsidRPr="004F4940" w:rsidR="7F7F46E1">
        <w:rPr>
          <w:rFonts w:eastAsia="Times New Roman"/>
        </w:rPr>
        <w:t xml:space="preserve"> </w:t>
      </w:r>
      <w:r w:rsidRPr="004F4940" w:rsidR="04DCC7B3">
        <w:rPr>
          <w:rFonts w:eastAsia="Times New Roman"/>
        </w:rPr>
        <w:t xml:space="preserve"> </w:t>
      </w:r>
      <w:r w:rsidRPr="004F4940">
        <w:rPr>
          <w:rFonts w:eastAsia="Times New Roman"/>
        </w:rPr>
        <w:t xml:space="preserve">Further, </w:t>
      </w:r>
      <w:r w:rsidRPr="004F4940" w:rsidR="00372288">
        <w:rPr>
          <w:rFonts w:eastAsia="Times New Roman"/>
        </w:rPr>
        <w:t>recognizing</w:t>
      </w:r>
      <w:r w:rsidRPr="004F4940" w:rsidR="04DCC7B3">
        <w:rPr>
          <w:rFonts w:eastAsia="Times New Roman"/>
        </w:rPr>
        <w:t xml:space="preserve"> that extreme cold weather temperatures could drop below the Extreme Cold Weather Temperature during future events, the need for periodic Extreme Cold Weather Temperature revie</w:t>
      </w:r>
      <w:r w:rsidRPr="004F4940" w:rsidR="356A907D">
        <w:rPr>
          <w:rFonts w:eastAsia="Times New Roman"/>
        </w:rPr>
        <w:t>w</w:t>
      </w:r>
      <w:r>
        <w:rPr>
          <w:rStyle w:val="FootnoteReference"/>
          <w:rFonts w:eastAsia="Times New Roman"/>
        </w:rPr>
        <w:footnoteReference w:id="125"/>
      </w:r>
    </w:p>
    <w:p w:rsidR="003D74C7" w:rsidRPr="004F4940" w:rsidP="007D093B" w14:paraId="1DBF9F2F" w14:textId="14F7A83E">
      <w:pPr>
        <w:pStyle w:val="FERCparanumber"/>
        <w:numPr>
          <w:ilvl w:val="0"/>
          <w:numId w:val="0"/>
        </w:numPr>
        <w:suppressLineNumbers/>
        <w:rPr>
          <w:rFonts w:eastAsia="Times New Roman"/>
        </w:rPr>
      </w:pPr>
      <w:r w:rsidRPr="004F4940">
        <w:rPr>
          <w:rFonts w:eastAsia="Times New Roman"/>
        </w:rPr>
        <w:t>and update</w:t>
      </w:r>
      <w:r w:rsidRPr="004F4940" w:rsidR="3C1EE499">
        <w:rPr>
          <w:rFonts w:eastAsia="Times New Roman"/>
        </w:rPr>
        <w:t>s</w:t>
      </w:r>
      <w:r>
        <w:rPr>
          <w:rStyle w:val="FootnoteReference"/>
          <w:rFonts w:eastAsia="Times New Roman"/>
        </w:rPr>
        <w:footnoteReference w:id="126"/>
      </w:r>
      <w:r w:rsidRPr="004F4940">
        <w:rPr>
          <w:rFonts w:eastAsia="Times New Roman"/>
        </w:rPr>
        <w:t xml:space="preserve"> based on the new cold weather temperatures will help mitigate freezing issues over time, which could lessen the risk of freeze</w:t>
      </w:r>
      <w:r w:rsidRPr="004F4940" w:rsidR="3C501C73">
        <w:rPr>
          <w:rFonts w:eastAsia="Times New Roman"/>
        </w:rPr>
        <w:t>-</w:t>
      </w:r>
      <w:r w:rsidRPr="004F4940">
        <w:rPr>
          <w:rFonts w:eastAsia="Times New Roman"/>
        </w:rPr>
        <w:t xml:space="preserve">related outages not being subject to </w:t>
      </w:r>
      <w:r w:rsidRPr="004F4940" w:rsidR="00572840">
        <w:rPr>
          <w:rFonts w:eastAsia="Times New Roman"/>
        </w:rPr>
        <w:t>c</w:t>
      </w:r>
      <w:r w:rsidRPr="004F4940" w:rsidR="3C1EE499">
        <w:rPr>
          <w:rFonts w:eastAsia="Times New Roman"/>
        </w:rPr>
        <w:t xml:space="preserve">orrective </w:t>
      </w:r>
      <w:r w:rsidRPr="004F4940" w:rsidR="00572840">
        <w:rPr>
          <w:rFonts w:eastAsia="Times New Roman"/>
        </w:rPr>
        <w:t>a</w:t>
      </w:r>
      <w:r w:rsidRPr="004F4940" w:rsidR="3C1EE499">
        <w:rPr>
          <w:rFonts w:eastAsia="Times New Roman"/>
        </w:rPr>
        <w:t xml:space="preserve">ction </w:t>
      </w:r>
      <w:r w:rsidRPr="004F4940" w:rsidR="00572840">
        <w:rPr>
          <w:rFonts w:eastAsia="Times New Roman"/>
        </w:rPr>
        <w:t>p</w:t>
      </w:r>
      <w:r w:rsidRPr="004F4940" w:rsidR="3C1EE499">
        <w:rPr>
          <w:rFonts w:eastAsia="Times New Roman"/>
        </w:rPr>
        <w:t>lans.</w:t>
      </w:r>
    </w:p>
    <w:p w:rsidR="00A53B7D" w:rsidRPr="004F4940" w:rsidP="00710D39" w14:paraId="5B4A8602" w14:textId="26F1A1BB">
      <w:pPr>
        <w:pStyle w:val="FERCparanumber"/>
        <w:widowControl w:val="0"/>
        <w:suppressLineNumbers/>
        <w:rPr>
          <w:rFonts w:eastAsia="Times New Roman"/>
        </w:rPr>
      </w:pPr>
      <w:r w:rsidRPr="004F4940">
        <w:rPr>
          <w:rFonts w:eastAsia="Times New Roman"/>
        </w:rPr>
        <w:t>Accordingly</w:t>
      </w:r>
      <w:r w:rsidRPr="004F4940" w:rsidR="00C73511">
        <w:rPr>
          <w:rFonts w:eastAsia="Times New Roman"/>
        </w:rPr>
        <w:t xml:space="preserve">, </w:t>
      </w:r>
      <w:r w:rsidRPr="004F4940" w:rsidR="004D128B">
        <w:rPr>
          <w:rFonts w:eastAsia="Times New Roman"/>
        </w:rPr>
        <w:t>we</w:t>
      </w:r>
      <w:r w:rsidRPr="004F4940" w:rsidR="00C73511">
        <w:rPr>
          <w:rFonts w:eastAsia="Times New Roman"/>
        </w:rPr>
        <w:t xml:space="preserve"> </w:t>
      </w:r>
      <w:r w:rsidRPr="004F4940">
        <w:rPr>
          <w:rFonts w:eastAsia="Times New Roman"/>
        </w:rPr>
        <w:t xml:space="preserve">are not persuaded by commenters that modification to NERC’s </w:t>
      </w:r>
      <w:r w:rsidRPr="004F4940" w:rsidR="7FF8D879">
        <w:rPr>
          <w:rFonts w:eastAsia="Times New Roman"/>
        </w:rPr>
        <w:t>Extreme Cold Weather Temperat</w:t>
      </w:r>
      <w:r w:rsidRPr="004F4940" w:rsidR="50A2D342">
        <w:rPr>
          <w:rFonts w:eastAsia="Times New Roman"/>
        </w:rPr>
        <w:t xml:space="preserve">ure </w:t>
      </w:r>
      <w:r w:rsidRPr="004F4940" w:rsidR="0092698D">
        <w:rPr>
          <w:rFonts w:eastAsia="Times New Roman"/>
        </w:rPr>
        <w:t xml:space="preserve">definition </w:t>
      </w:r>
      <w:r w:rsidRPr="004F4940">
        <w:rPr>
          <w:rFonts w:eastAsia="Times New Roman"/>
        </w:rPr>
        <w:t xml:space="preserve">is warranted at this time.  </w:t>
      </w:r>
      <w:r w:rsidRPr="004F4940" w:rsidR="00851B96">
        <w:rPr>
          <w:rFonts w:eastAsia="Times New Roman"/>
        </w:rPr>
        <w:t>Nevertheless</w:t>
      </w:r>
      <w:r w:rsidRPr="004F4940">
        <w:rPr>
          <w:rFonts w:eastAsia="Times New Roman"/>
        </w:rPr>
        <w:t>, based on the concerns expressed above, we</w:t>
      </w:r>
      <w:r w:rsidRPr="004F4940" w:rsidR="52B40911">
        <w:rPr>
          <w:rFonts w:eastAsia="Times New Roman"/>
        </w:rPr>
        <w:t xml:space="preserve"> direct</w:t>
      </w:r>
      <w:r w:rsidRPr="004F4940">
        <w:rPr>
          <w:rFonts w:eastAsia="Times New Roman"/>
        </w:rPr>
        <w:t xml:space="preserve"> that </w:t>
      </w:r>
      <w:r w:rsidRPr="004F4940" w:rsidR="52B40911">
        <w:rPr>
          <w:rFonts w:eastAsia="Times New Roman"/>
        </w:rPr>
        <w:t>NERC</w:t>
      </w:r>
      <w:r w:rsidRPr="004F4940" w:rsidR="4A0142B2">
        <w:rPr>
          <w:rFonts w:eastAsia="Times New Roman"/>
        </w:rPr>
        <w:t xml:space="preserve"> </w:t>
      </w:r>
      <w:r w:rsidRPr="004F4940" w:rsidR="00FD0486">
        <w:rPr>
          <w:rFonts w:eastAsia="Times New Roman"/>
        </w:rPr>
        <w:t>assess</w:t>
      </w:r>
      <w:r w:rsidRPr="004F4940" w:rsidR="0D337381">
        <w:rPr>
          <w:rFonts w:eastAsia="Times New Roman"/>
        </w:rPr>
        <w:t xml:space="preserve"> </w:t>
      </w:r>
      <w:r w:rsidRPr="004F4940" w:rsidR="007E046D">
        <w:rPr>
          <w:rFonts w:eastAsia="Times New Roman"/>
        </w:rPr>
        <w:t xml:space="preserve">the </w:t>
      </w:r>
      <w:r w:rsidRPr="004F4940" w:rsidR="0D337381">
        <w:rPr>
          <w:rFonts w:eastAsia="Times New Roman"/>
        </w:rPr>
        <w:t>implementation</w:t>
      </w:r>
      <w:r w:rsidRPr="004F4940" w:rsidR="00B314B3">
        <w:rPr>
          <w:rFonts w:eastAsia="Times New Roman"/>
        </w:rPr>
        <w:t xml:space="preserve"> </w:t>
      </w:r>
      <w:r w:rsidRPr="004F4940">
        <w:rPr>
          <w:rFonts w:eastAsia="Times New Roman"/>
        </w:rPr>
        <w:t>of the definition</w:t>
      </w:r>
      <w:r w:rsidRPr="004F4940" w:rsidR="007A6F9D">
        <w:rPr>
          <w:rFonts w:eastAsia="Times New Roman"/>
        </w:rPr>
        <w:t xml:space="preserve"> through</w:t>
      </w:r>
      <w:r w:rsidRPr="004F4940" w:rsidR="00163369">
        <w:rPr>
          <w:rFonts w:eastAsia="Times New Roman"/>
        </w:rPr>
        <w:t xml:space="preserve"> </w:t>
      </w:r>
      <w:r w:rsidRPr="004F4940" w:rsidR="006E5449">
        <w:rPr>
          <w:rFonts w:eastAsia="Times New Roman"/>
        </w:rPr>
        <w:t>event-based</w:t>
      </w:r>
      <w:r w:rsidRPr="004F4940" w:rsidR="00B314B3">
        <w:rPr>
          <w:rFonts w:eastAsia="Times New Roman"/>
        </w:rPr>
        <w:t xml:space="preserve"> </w:t>
      </w:r>
      <w:r w:rsidRPr="004F4940" w:rsidR="007D0230">
        <w:rPr>
          <w:rFonts w:eastAsia="Times New Roman"/>
        </w:rPr>
        <w:t xml:space="preserve">informational </w:t>
      </w:r>
      <w:r w:rsidRPr="004F4940" w:rsidR="00B314B3">
        <w:rPr>
          <w:rFonts w:eastAsia="Times New Roman"/>
        </w:rPr>
        <w:t xml:space="preserve">data </w:t>
      </w:r>
      <w:r w:rsidRPr="004F4940" w:rsidR="004648E2">
        <w:rPr>
          <w:rFonts w:eastAsia="Times New Roman"/>
        </w:rPr>
        <w:t>submittals</w:t>
      </w:r>
      <w:r w:rsidRPr="004F4940" w:rsidR="00290978">
        <w:rPr>
          <w:rFonts w:eastAsia="Times New Roman"/>
        </w:rPr>
        <w:t xml:space="preserve"> filed with the Commission</w:t>
      </w:r>
      <w:r w:rsidRPr="004F4940" w:rsidR="00FF4FF9">
        <w:rPr>
          <w:rFonts w:eastAsia="Times New Roman"/>
        </w:rPr>
        <w:t xml:space="preserve">, discussed in more detail in section </w:t>
      </w:r>
      <w:r w:rsidRPr="004F4940" w:rsidR="00B759CE">
        <w:rPr>
          <w:rFonts w:eastAsia="Times New Roman"/>
        </w:rPr>
        <w:t>8</w:t>
      </w:r>
      <w:r w:rsidRPr="004F4940" w:rsidR="006D354F">
        <w:rPr>
          <w:rFonts w:eastAsia="Times New Roman"/>
        </w:rPr>
        <w:t>.</w:t>
      </w:r>
      <w:r w:rsidRPr="004F4940" w:rsidR="00FF4FF9">
        <w:rPr>
          <w:rFonts w:eastAsia="Times New Roman"/>
        </w:rPr>
        <w:t xml:space="preserve">  </w:t>
      </w:r>
      <w:r w:rsidRPr="004F4940">
        <w:rPr>
          <w:rFonts w:eastAsia="Times New Roman"/>
        </w:rPr>
        <w:t xml:space="preserve">Based on the results of NERC’s </w:t>
      </w:r>
      <w:r w:rsidRPr="004F4940" w:rsidR="00241FDD">
        <w:rPr>
          <w:rFonts w:eastAsia="Times New Roman"/>
        </w:rPr>
        <w:t xml:space="preserve">informational </w:t>
      </w:r>
      <w:r w:rsidRPr="004F4940" w:rsidR="006E5449">
        <w:rPr>
          <w:rFonts w:eastAsia="Times New Roman"/>
        </w:rPr>
        <w:t xml:space="preserve">data </w:t>
      </w:r>
      <w:r w:rsidRPr="004F4940">
        <w:rPr>
          <w:rFonts w:eastAsia="Times New Roman"/>
        </w:rPr>
        <w:t>submi</w:t>
      </w:r>
      <w:r w:rsidRPr="004F4940" w:rsidR="00E70A40">
        <w:rPr>
          <w:rFonts w:eastAsia="Times New Roman"/>
        </w:rPr>
        <w:t xml:space="preserve">ttals </w:t>
      </w:r>
      <w:r w:rsidRPr="004F4940" w:rsidR="00821669">
        <w:rPr>
          <w:rFonts w:eastAsia="Times New Roman"/>
        </w:rPr>
        <w:t>to the Commission</w:t>
      </w:r>
      <w:r w:rsidRPr="004F4940">
        <w:rPr>
          <w:rFonts w:eastAsia="Times New Roman"/>
        </w:rPr>
        <w:t xml:space="preserve">, </w:t>
      </w:r>
      <w:r w:rsidRPr="004F4940" w:rsidR="00AD7D6F">
        <w:rPr>
          <w:rFonts w:eastAsia="Times New Roman"/>
        </w:rPr>
        <w:t>the Commission</w:t>
      </w:r>
      <w:r w:rsidRPr="004F4940">
        <w:rPr>
          <w:rFonts w:eastAsia="Times New Roman"/>
        </w:rPr>
        <w:t xml:space="preserve"> </w:t>
      </w:r>
      <w:r w:rsidRPr="004F4940" w:rsidR="00E41695">
        <w:rPr>
          <w:rFonts w:eastAsia="Times New Roman"/>
        </w:rPr>
        <w:t>will</w:t>
      </w:r>
      <w:r w:rsidRPr="004F4940" w:rsidR="00963A36">
        <w:rPr>
          <w:rFonts w:eastAsia="Times New Roman"/>
        </w:rPr>
        <w:t xml:space="preserve"> determine whether </w:t>
      </w:r>
      <w:r w:rsidRPr="004F4940" w:rsidR="00C77A15">
        <w:rPr>
          <w:rFonts w:eastAsia="Times New Roman"/>
        </w:rPr>
        <w:t>future</w:t>
      </w:r>
      <w:r w:rsidRPr="004F4940" w:rsidR="00E41695">
        <w:rPr>
          <w:rFonts w:eastAsia="Times New Roman"/>
        </w:rPr>
        <w:t xml:space="preserve"> modification to </w:t>
      </w:r>
      <w:r w:rsidRPr="004F4940" w:rsidR="00963A36">
        <w:rPr>
          <w:rFonts w:eastAsia="Times New Roman"/>
        </w:rPr>
        <w:t>the Extreme Cold Weather Temperature</w:t>
      </w:r>
      <w:r w:rsidRPr="004F4940" w:rsidR="00D648F9">
        <w:rPr>
          <w:rFonts w:eastAsia="Times New Roman"/>
        </w:rPr>
        <w:t xml:space="preserve"> definition</w:t>
      </w:r>
      <w:r w:rsidRPr="004F4940" w:rsidR="00C77A15">
        <w:rPr>
          <w:rFonts w:eastAsia="Times New Roman"/>
        </w:rPr>
        <w:t xml:space="preserve"> </w:t>
      </w:r>
      <w:r w:rsidRPr="004F4940" w:rsidR="00D648F9">
        <w:rPr>
          <w:rFonts w:eastAsia="Times New Roman"/>
        </w:rPr>
        <w:t>is</w:t>
      </w:r>
      <w:r w:rsidRPr="004F4940" w:rsidR="00C77A15">
        <w:rPr>
          <w:rFonts w:eastAsia="Times New Roman"/>
        </w:rPr>
        <w:t xml:space="preserve"> warranted</w:t>
      </w:r>
      <w:r w:rsidRPr="004F4940" w:rsidR="00963A36">
        <w:rPr>
          <w:rFonts w:eastAsia="Times New Roman"/>
        </w:rPr>
        <w:t>.</w:t>
      </w:r>
    </w:p>
    <w:p w:rsidR="009955E0" w:rsidRPr="004F4940" w:rsidP="0D3E6A2E" w14:paraId="5503D833" w14:textId="77777777">
      <w:pPr>
        <w:pStyle w:val="Heading3"/>
        <w:rPr>
          <w:rFonts w:eastAsia="Times New Roman"/>
        </w:rPr>
      </w:pPr>
      <w:r w:rsidRPr="004F4940">
        <w:rPr>
          <w:rFonts w:eastAsia="Times New Roman"/>
        </w:rPr>
        <w:t xml:space="preserve">The absence of a deadline by which generator </w:t>
      </w:r>
      <w:r w:rsidRPr="004F4940" w:rsidR="00A72AF3">
        <w:rPr>
          <w:rFonts w:eastAsia="Times New Roman"/>
        </w:rPr>
        <w:t>owners</w:t>
      </w:r>
      <w:r w:rsidRPr="004F4940">
        <w:rPr>
          <w:rFonts w:eastAsia="Times New Roman"/>
        </w:rPr>
        <w:t xml:space="preserve"> must implement the new or modified freeze protection measures required by their </w:t>
      </w:r>
      <w:r w:rsidRPr="004F4940" w:rsidR="00572840">
        <w:rPr>
          <w:rFonts w:eastAsia="Times New Roman"/>
        </w:rPr>
        <w:t>c</w:t>
      </w:r>
      <w:r w:rsidRPr="004F4940">
        <w:rPr>
          <w:rFonts w:eastAsia="Times New Roman"/>
        </w:rPr>
        <w:t xml:space="preserve">orrective </w:t>
      </w:r>
      <w:r w:rsidRPr="004F4940" w:rsidR="00572840">
        <w:rPr>
          <w:rFonts w:eastAsia="Times New Roman"/>
        </w:rPr>
        <w:t>a</w:t>
      </w:r>
      <w:r w:rsidRPr="004F4940">
        <w:rPr>
          <w:rFonts w:eastAsia="Times New Roman"/>
        </w:rPr>
        <w:t xml:space="preserve">ction </w:t>
      </w:r>
      <w:r w:rsidRPr="004F4940" w:rsidR="00572840">
        <w:rPr>
          <w:rFonts w:eastAsia="Times New Roman"/>
        </w:rPr>
        <w:t>p</w:t>
      </w:r>
      <w:r w:rsidRPr="004F4940">
        <w:rPr>
          <w:rFonts w:eastAsia="Times New Roman"/>
        </w:rPr>
        <w:t>lans</w:t>
      </w:r>
    </w:p>
    <w:p w:rsidR="00F8607B" w:rsidRPr="004F4940" w:rsidP="00B4637D" w14:paraId="0F89FA0B" w14:textId="77777777">
      <w:pPr>
        <w:pStyle w:val="Heading4"/>
        <w:rPr>
          <w:rFonts w:eastAsia="Times New Roman"/>
        </w:rPr>
      </w:pPr>
      <w:r w:rsidRPr="004F4940">
        <w:rPr>
          <w:rFonts w:eastAsia="Times New Roman"/>
        </w:rPr>
        <w:t>NERC Petition</w:t>
      </w:r>
    </w:p>
    <w:p w:rsidR="004A091D" w:rsidRPr="004F4940" w:rsidP="462A9FC4" w14:paraId="3B4A1F7C" w14:textId="28AF5843">
      <w:pPr>
        <w:pStyle w:val="FERCparanumber"/>
        <w:rPr>
          <w:rFonts w:eastAsia="Times New Roman"/>
        </w:rPr>
      </w:pPr>
      <w:r w:rsidRPr="004F4940">
        <w:rPr>
          <w:rFonts w:eastAsia="Times New Roman"/>
        </w:rPr>
        <w:t xml:space="preserve">Requirement R7 of EOP-012-1 mandates that a generator owner implement each corrective action plan developed pursuant to Requirements R2, R4, or R6, or “explain </w:t>
      </w:r>
      <w:r w:rsidR="00F90F35">
        <w:rPr>
          <w:rFonts w:eastAsia="Times New Roman"/>
        </w:rPr>
        <w:br/>
      </w:r>
      <w:r w:rsidRPr="004F4940">
        <w:rPr>
          <w:rFonts w:eastAsia="Times New Roman"/>
        </w:rPr>
        <w:t>in a declaration why corrective actions are not being implemented due to any technical, commercial, or operational constraint as defined by the Generator Owner.”</w:t>
      </w:r>
      <w:r>
        <w:rPr>
          <w:rStyle w:val="FootnoteReference"/>
          <w:rFonts w:eastAsia="Times New Roman"/>
        </w:rPr>
        <w:footnoteReference w:id="127"/>
      </w:r>
      <w:r w:rsidRPr="004F4940">
        <w:rPr>
          <w:rFonts w:eastAsia="Times New Roman"/>
        </w:rPr>
        <w:t xml:space="preserve">  Requirement R7 also requires that the generator owner update each corrective action </w:t>
      </w:r>
      <w:r w:rsidR="00F90F35">
        <w:rPr>
          <w:rFonts w:eastAsia="Times New Roman"/>
        </w:rPr>
        <w:br/>
      </w:r>
      <w:r w:rsidRPr="004F4940">
        <w:rPr>
          <w:rFonts w:eastAsia="Times New Roman"/>
        </w:rPr>
        <w:t>plan if</w:t>
      </w:r>
      <w:r w:rsidRPr="004F4940" w:rsidR="00541098">
        <w:rPr>
          <w:rFonts w:eastAsia="Times New Roman"/>
        </w:rPr>
        <w:t xml:space="preserve"> the</w:t>
      </w:r>
      <w:r w:rsidRPr="004F4940">
        <w:rPr>
          <w:rFonts w:eastAsia="Times New Roman"/>
        </w:rPr>
        <w:t xml:space="preserve"> actions or timetables change, until the corrective action plan</w:t>
      </w:r>
      <w:r w:rsidR="009C1B73">
        <w:rPr>
          <w:rFonts w:eastAsia="Times New Roman"/>
        </w:rPr>
        <w:t xml:space="preserve"> implementation</w:t>
      </w:r>
      <w:r w:rsidRPr="004F4940">
        <w:rPr>
          <w:rFonts w:eastAsia="Times New Roman"/>
        </w:rPr>
        <w:t xml:space="preserve"> </w:t>
      </w:r>
      <w:r w:rsidR="00F90F35">
        <w:rPr>
          <w:rFonts w:eastAsia="Times New Roman"/>
        </w:rPr>
        <w:br/>
      </w:r>
      <w:r w:rsidRPr="004F4940">
        <w:rPr>
          <w:rFonts w:eastAsia="Times New Roman"/>
        </w:rPr>
        <w:t xml:space="preserve">is completed. </w:t>
      </w:r>
      <w:r w:rsidRPr="004F4940">
        <w:rPr>
          <w:rFonts w:eastAsia="Times New Roman"/>
        </w:rPr>
        <w:t xml:space="preserve"> </w:t>
      </w:r>
      <w:r w:rsidRPr="004F4940" w:rsidR="000B2DB3">
        <w:rPr>
          <w:rFonts w:eastAsia="Times New Roman"/>
        </w:rPr>
        <w:t xml:space="preserve">But Reliability Standard EOP-012-1 does not include a deadline for the </w:t>
      </w:r>
      <w:r w:rsidRPr="009C1B73" w:rsidR="009C1B73">
        <w:rPr>
          <w:rFonts w:eastAsia="Times New Roman"/>
        </w:rPr>
        <w:t>implementation completion</w:t>
      </w:r>
      <w:r w:rsidRPr="004F4940" w:rsidR="000B2DB3">
        <w:rPr>
          <w:rFonts w:eastAsia="Times New Roman"/>
        </w:rPr>
        <w:t xml:space="preserve"> of such plans.</w:t>
      </w:r>
    </w:p>
    <w:p w:rsidR="004A091D" w:rsidRPr="004F4940" w:rsidP="00B4637D" w14:paraId="25A6A753" w14:textId="77777777">
      <w:pPr>
        <w:pStyle w:val="Heading4"/>
      </w:pPr>
      <w:r w:rsidRPr="004F4940">
        <w:rPr>
          <w:rFonts w:eastAsia="Times New Roman"/>
        </w:rPr>
        <w:t>Comment</w:t>
      </w:r>
      <w:r w:rsidRPr="004F4940">
        <w:t>s</w:t>
      </w:r>
    </w:p>
    <w:p w:rsidR="00C14954" w:rsidRPr="004F4940" w:rsidP="462A9FC4" w14:paraId="056DD560" w14:textId="69D9C15A">
      <w:pPr>
        <w:pStyle w:val="FERCparanumber"/>
        <w:rPr>
          <w:rFonts w:eastAsia="Times New Roman"/>
        </w:rPr>
      </w:pPr>
      <w:r w:rsidRPr="004F4940">
        <w:rPr>
          <w:rFonts w:eastAsia="Times New Roman"/>
        </w:rPr>
        <w:t xml:space="preserve">Some commenters express concern </w:t>
      </w:r>
      <w:r w:rsidRPr="004F4940" w:rsidR="00384A12">
        <w:rPr>
          <w:rFonts w:eastAsia="Times New Roman"/>
        </w:rPr>
        <w:t xml:space="preserve">with Requirement R7 and the implementation </w:t>
      </w:r>
      <w:r w:rsidRPr="004F4940" w:rsidR="00EE7C2F">
        <w:rPr>
          <w:rFonts w:eastAsia="Times New Roman"/>
        </w:rPr>
        <w:t>time</w:t>
      </w:r>
      <w:r w:rsidRPr="004F4940" w:rsidR="00295EBC">
        <w:rPr>
          <w:rFonts w:eastAsia="Times New Roman"/>
        </w:rPr>
        <w:t>lin</w:t>
      </w:r>
      <w:r w:rsidRPr="004F4940" w:rsidR="00EE7C2F">
        <w:rPr>
          <w:rFonts w:eastAsia="Times New Roman"/>
        </w:rPr>
        <w:t>e</w:t>
      </w:r>
      <w:r w:rsidRPr="004F4940" w:rsidR="00384A12">
        <w:rPr>
          <w:rFonts w:eastAsia="Times New Roman"/>
        </w:rPr>
        <w:t xml:space="preserve"> for </w:t>
      </w:r>
      <w:r w:rsidRPr="004F4940" w:rsidR="00EE7C2F">
        <w:rPr>
          <w:rFonts w:eastAsia="Times New Roman"/>
        </w:rPr>
        <w:t>generator owner</w:t>
      </w:r>
      <w:r w:rsidRPr="004F4940" w:rsidR="00782891">
        <w:rPr>
          <w:rFonts w:eastAsia="Times New Roman"/>
        </w:rPr>
        <w:t>-</w:t>
      </w:r>
      <w:r w:rsidRPr="004F4940" w:rsidR="00EE7C2F">
        <w:rPr>
          <w:rFonts w:eastAsia="Times New Roman"/>
        </w:rPr>
        <w:t xml:space="preserve">developed </w:t>
      </w:r>
      <w:r w:rsidRPr="004F4940" w:rsidR="00384A12">
        <w:rPr>
          <w:rFonts w:eastAsia="Times New Roman"/>
        </w:rPr>
        <w:t>corrective action plans.</w:t>
      </w:r>
      <w:r>
        <w:rPr>
          <w:rStyle w:val="FootnoteReference"/>
          <w:rFonts w:eastAsia="Times New Roman"/>
        </w:rPr>
        <w:footnoteReference w:id="128"/>
      </w:r>
      <w:r w:rsidRPr="004F4940" w:rsidR="00511008">
        <w:rPr>
          <w:rFonts w:eastAsia="Times New Roman"/>
        </w:rPr>
        <w:t xml:space="preserve">  </w:t>
      </w:r>
      <w:r w:rsidRPr="004F4940" w:rsidR="007B0AA5">
        <w:rPr>
          <w:rFonts w:eastAsia="Times New Roman"/>
        </w:rPr>
        <w:t>Specifically, t</w:t>
      </w:r>
      <w:r w:rsidRPr="004F4940" w:rsidR="00511008">
        <w:rPr>
          <w:rFonts w:eastAsia="Times New Roman"/>
        </w:rPr>
        <w:t xml:space="preserve">he ISO/RTO Council </w:t>
      </w:r>
      <w:r w:rsidRPr="004F4940" w:rsidR="008B7F82">
        <w:rPr>
          <w:rFonts w:eastAsia="Times New Roman"/>
        </w:rPr>
        <w:t xml:space="preserve">requests </w:t>
      </w:r>
      <w:r w:rsidRPr="004F4940" w:rsidR="00C84306">
        <w:rPr>
          <w:rFonts w:eastAsia="Times New Roman"/>
        </w:rPr>
        <w:t xml:space="preserve">modification </w:t>
      </w:r>
      <w:r w:rsidRPr="004F4940" w:rsidR="00E00B2D">
        <w:rPr>
          <w:rFonts w:eastAsia="Times New Roman"/>
        </w:rPr>
        <w:t>because Requirement R7 does not explain</w:t>
      </w:r>
      <w:r w:rsidRPr="004F4940" w:rsidR="008B7F82">
        <w:rPr>
          <w:rFonts w:eastAsia="Times New Roman"/>
        </w:rPr>
        <w:t xml:space="preserve"> </w:t>
      </w:r>
      <w:r w:rsidR="00F90F35">
        <w:rPr>
          <w:rFonts w:eastAsia="Times New Roman"/>
        </w:rPr>
        <w:br/>
      </w:r>
      <w:r w:rsidRPr="004F4940" w:rsidR="008B7F82">
        <w:rPr>
          <w:rFonts w:eastAsia="Times New Roman"/>
        </w:rPr>
        <w:t xml:space="preserve">when the implementation of </w:t>
      </w:r>
      <w:r w:rsidRPr="004F4940" w:rsidR="00AA1AF3">
        <w:rPr>
          <w:rFonts w:eastAsia="Times New Roman"/>
        </w:rPr>
        <w:t>the developed</w:t>
      </w:r>
      <w:r w:rsidRPr="004F4940" w:rsidR="008B7F82">
        <w:rPr>
          <w:rFonts w:eastAsia="Times New Roman"/>
        </w:rPr>
        <w:t xml:space="preserve"> corrective action plans should occur.</w:t>
      </w:r>
      <w:r>
        <w:rPr>
          <w:rStyle w:val="FootnoteReference"/>
          <w:rFonts w:eastAsia="Times New Roman"/>
        </w:rPr>
        <w:footnoteReference w:id="129"/>
      </w:r>
      <w:r w:rsidRPr="004F4940" w:rsidR="00D832E7">
        <w:rPr>
          <w:rFonts w:eastAsia="Times New Roman"/>
        </w:rPr>
        <w:t xml:space="preserve">  </w:t>
      </w:r>
      <w:r w:rsidRPr="004F4940" w:rsidR="004729B5">
        <w:rPr>
          <w:rFonts w:eastAsia="Times New Roman"/>
        </w:rPr>
        <w:t xml:space="preserve">The ISO/RTO Council also </w:t>
      </w:r>
      <w:r w:rsidRPr="004F4940" w:rsidR="002F6A65">
        <w:rPr>
          <w:rFonts w:eastAsia="Times New Roman"/>
        </w:rPr>
        <w:t xml:space="preserve">argues that it is unclear </w:t>
      </w:r>
      <w:r w:rsidRPr="004F4940" w:rsidR="001173FB">
        <w:rPr>
          <w:rFonts w:eastAsia="Times New Roman"/>
        </w:rPr>
        <w:t xml:space="preserve">to </w:t>
      </w:r>
      <w:r w:rsidRPr="004F4940" w:rsidR="00872DB2">
        <w:rPr>
          <w:rFonts w:eastAsia="Times New Roman"/>
        </w:rPr>
        <w:t>which entity or entities</w:t>
      </w:r>
      <w:r w:rsidRPr="004F4940" w:rsidR="002F6A65">
        <w:rPr>
          <w:rFonts w:eastAsia="Times New Roman"/>
        </w:rPr>
        <w:t xml:space="preserve"> the generator </w:t>
      </w:r>
      <w:r w:rsidRPr="004F4940" w:rsidR="002F6A65">
        <w:rPr>
          <w:rFonts w:eastAsia="Times New Roman"/>
        </w:rPr>
        <w:t>owner is supposed to provide its corrective action plan.</w:t>
      </w:r>
      <w:r>
        <w:rPr>
          <w:rStyle w:val="FootnoteReference"/>
          <w:rFonts w:eastAsia="Times New Roman"/>
        </w:rPr>
        <w:footnoteReference w:id="130"/>
      </w:r>
      <w:r w:rsidRPr="004F4940" w:rsidR="00AA6714">
        <w:rPr>
          <w:rFonts w:eastAsia="Times New Roman"/>
        </w:rPr>
        <w:t xml:space="preserve">  TCPA</w:t>
      </w:r>
      <w:r w:rsidRPr="004F4940" w:rsidR="005A7267">
        <w:rPr>
          <w:rFonts w:eastAsia="Times New Roman"/>
        </w:rPr>
        <w:t xml:space="preserve"> asserts that it is unclear from EOP-012-1 when </w:t>
      </w:r>
      <w:r w:rsidRPr="004F4940" w:rsidR="003374B1">
        <w:rPr>
          <w:rFonts w:eastAsia="Times New Roman"/>
        </w:rPr>
        <w:t xml:space="preserve">the corrective </w:t>
      </w:r>
      <w:r w:rsidRPr="004F4940" w:rsidR="03349B11">
        <w:rPr>
          <w:rFonts w:eastAsia="Times New Roman"/>
        </w:rPr>
        <w:t>action</w:t>
      </w:r>
      <w:r w:rsidRPr="004F4940" w:rsidR="004E152B">
        <w:rPr>
          <w:rFonts w:eastAsia="Times New Roman"/>
        </w:rPr>
        <w:t>s</w:t>
      </w:r>
      <w:r w:rsidRPr="004F4940" w:rsidR="003374B1">
        <w:rPr>
          <w:rFonts w:eastAsia="Times New Roman"/>
        </w:rPr>
        <w:t xml:space="preserve"> outlined in the developed corrective action </w:t>
      </w:r>
      <w:r w:rsidRPr="004F4940" w:rsidR="03349B11">
        <w:rPr>
          <w:rFonts w:eastAsia="Times New Roman"/>
        </w:rPr>
        <w:t>plan</w:t>
      </w:r>
      <w:r w:rsidRPr="004F4940" w:rsidR="004E152B">
        <w:rPr>
          <w:rFonts w:eastAsia="Times New Roman"/>
        </w:rPr>
        <w:t>s</w:t>
      </w:r>
      <w:r w:rsidRPr="004F4940" w:rsidR="003374B1">
        <w:rPr>
          <w:rFonts w:eastAsia="Times New Roman"/>
        </w:rPr>
        <w:t xml:space="preserve"> should be completed.</w:t>
      </w:r>
      <w:r>
        <w:rPr>
          <w:rStyle w:val="FootnoteReference"/>
          <w:rFonts w:eastAsia="Times New Roman"/>
        </w:rPr>
        <w:footnoteReference w:id="131"/>
      </w:r>
    </w:p>
    <w:p w:rsidR="009955E0" w:rsidRPr="004F4940" w:rsidP="00B4637D" w14:paraId="619F7C85" w14:textId="77777777">
      <w:pPr>
        <w:pStyle w:val="Heading4"/>
        <w:rPr>
          <w:rFonts w:eastAsia="Times New Roman"/>
        </w:rPr>
      </w:pPr>
      <w:r w:rsidRPr="004F4940">
        <w:rPr>
          <w:rFonts w:eastAsia="Times New Roman"/>
        </w:rPr>
        <w:t>C</w:t>
      </w:r>
      <w:r w:rsidRPr="004F4940">
        <w:t>ommission Determination</w:t>
      </w:r>
    </w:p>
    <w:p w:rsidR="001356E2" w:rsidRPr="004F4940" w:rsidP="462A9FC4" w14:paraId="3E78E072" w14:textId="50128599">
      <w:pPr>
        <w:pStyle w:val="FERCparanumber"/>
        <w:rPr>
          <w:rFonts w:eastAsia="Times New Roman"/>
        </w:rPr>
      </w:pPr>
      <w:r w:rsidRPr="004F4940">
        <w:rPr>
          <w:rFonts w:eastAsia="Times New Roman"/>
        </w:rPr>
        <w:t>The</w:t>
      </w:r>
      <w:r w:rsidRPr="004F4940" w:rsidR="755DDDF9">
        <w:rPr>
          <w:rFonts w:eastAsia="Times New Roman"/>
        </w:rPr>
        <w:t xml:space="preserve"> </w:t>
      </w:r>
      <w:r w:rsidRPr="004F4940" w:rsidR="7D17FB9A">
        <w:rPr>
          <w:rFonts w:eastAsia="Times New Roman"/>
        </w:rPr>
        <w:t xml:space="preserve">NERC Glossary </w:t>
      </w:r>
      <w:r w:rsidRPr="004F4940" w:rsidR="000B2DB3">
        <w:rPr>
          <w:rFonts w:eastAsia="Times New Roman"/>
        </w:rPr>
        <w:t>defines</w:t>
      </w:r>
      <w:r w:rsidRPr="004F4940" w:rsidR="7D17FB9A">
        <w:rPr>
          <w:rFonts w:eastAsia="Times New Roman"/>
        </w:rPr>
        <w:t xml:space="preserve"> a “</w:t>
      </w:r>
      <w:r w:rsidRPr="004F4940" w:rsidR="00C75743">
        <w:rPr>
          <w:rFonts w:eastAsia="Times New Roman"/>
        </w:rPr>
        <w:t>c</w:t>
      </w:r>
      <w:r w:rsidRPr="004F4940" w:rsidR="7D17FB9A">
        <w:rPr>
          <w:rFonts w:eastAsia="Times New Roman"/>
        </w:rPr>
        <w:t xml:space="preserve">orrective </w:t>
      </w:r>
      <w:r w:rsidRPr="004F4940" w:rsidR="00C75743">
        <w:rPr>
          <w:rFonts w:eastAsia="Times New Roman"/>
        </w:rPr>
        <w:t>a</w:t>
      </w:r>
      <w:r w:rsidRPr="004F4940" w:rsidR="7D17FB9A">
        <w:rPr>
          <w:rFonts w:eastAsia="Times New Roman"/>
        </w:rPr>
        <w:t xml:space="preserve">ction </w:t>
      </w:r>
      <w:r w:rsidRPr="004F4940" w:rsidR="00C75743">
        <w:rPr>
          <w:rFonts w:eastAsia="Times New Roman"/>
        </w:rPr>
        <w:t>p</w:t>
      </w:r>
      <w:r w:rsidRPr="004F4940" w:rsidR="7D17FB9A">
        <w:rPr>
          <w:rFonts w:eastAsia="Times New Roman"/>
        </w:rPr>
        <w:t xml:space="preserve">lan” as used in EOP-012-1 </w:t>
      </w:r>
      <w:r w:rsidR="00F90F35">
        <w:rPr>
          <w:rFonts w:eastAsia="Times New Roman"/>
        </w:rPr>
        <w:br/>
      </w:r>
      <w:r w:rsidRPr="004F4940" w:rsidR="7D17FB9A">
        <w:rPr>
          <w:rFonts w:eastAsia="Times New Roman"/>
        </w:rPr>
        <w:t>as a “</w:t>
      </w:r>
      <w:r w:rsidRPr="004F4940" w:rsidR="7A9A5CFA">
        <w:rPr>
          <w:rFonts w:eastAsia="Times New Roman"/>
        </w:rPr>
        <w:t>list of actions and an associated timetable for implementation to remedy a specific problem</w:t>
      </w:r>
      <w:r w:rsidRPr="004F4940" w:rsidR="5D5D3A6F">
        <w:rPr>
          <w:rFonts w:eastAsia="Times New Roman"/>
        </w:rPr>
        <w:t>.</w:t>
      </w:r>
      <w:r w:rsidRPr="004F4940" w:rsidR="7A9A5CFA">
        <w:rPr>
          <w:rFonts w:eastAsia="Times New Roman"/>
        </w:rPr>
        <w:t>”</w:t>
      </w:r>
      <w:r>
        <w:rPr>
          <w:rStyle w:val="FootnoteReference"/>
          <w:rFonts w:eastAsia="Times New Roman"/>
        </w:rPr>
        <w:footnoteReference w:id="132"/>
      </w:r>
      <w:r w:rsidRPr="004F4940" w:rsidR="77198DF0">
        <w:rPr>
          <w:rFonts w:eastAsia="Times New Roman"/>
        </w:rPr>
        <w:t xml:space="preserve">  As such,</w:t>
      </w:r>
      <w:r w:rsidRPr="004F4940" w:rsidR="296BB347">
        <w:rPr>
          <w:rFonts w:eastAsia="Times New Roman"/>
        </w:rPr>
        <w:t xml:space="preserve"> the</w:t>
      </w:r>
      <w:r w:rsidRPr="004F4940" w:rsidR="77198DF0">
        <w:rPr>
          <w:rFonts w:eastAsia="Times New Roman"/>
        </w:rPr>
        <w:t xml:space="preserve"> </w:t>
      </w:r>
      <w:r w:rsidRPr="004F4940" w:rsidR="00572840">
        <w:rPr>
          <w:rFonts w:eastAsia="Times New Roman"/>
        </w:rPr>
        <w:t>“</w:t>
      </w:r>
      <w:r w:rsidRPr="004F4940" w:rsidR="00C75743">
        <w:rPr>
          <w:rFonts w:eastAsia="Times New Roman"/>
        </w:rPr>
        <w:t>c</w:t>
      </w:r>
      <w:r w:rsidRPr="004F4940" w:rsidR="77198DF0">
        <w:rPr>
          <w:rFonts w:eastAsia="Times New Roman"/>
        </w:rPr>
        <w:t xml:space="preserve">orrective </w:t>
      </w:r>
      <w:r w:rsidRPr="004F4940" w:rsidR="00C75743">
        <w:rPr>
          <w:rFonts w:eastAsia="Times New Roman"/>
        </w:rPr>
        <w:t>a</w:t>
      </w:r>
      <w:r w:rsidRPr="004F4940" w:rsidR="77198DF0">
        <w:rPr>
          <w:rFonts w:eastAsia="Times New Roman"/>
        </w:rPr>
        <w:t xml:space="preserve">ction </w:t>
      </w:r>
      <w:r w:rsidRPr="004F4940" w:rsidR="00C75743">
        <w:rPr>
          <w:rFonts w:eastAsia="Times New Roman"/>
        </w:rPr>
        <w:t>p</w:t>
      </w:r>
      <w:r w:rsidRPr="004F4940" w:rsidR="296BB347">
        <w:rPr>
          <w:rFonts w:eastAsia="Times New Roman"/>
        </w:rPr>
        <w:t>lan</w:t>
      </w:r>
      <w:r w:rsidRPr="004F4940" w:rsidR="007C4524">
        <w:rPr>
          <w:rFonts w:eastAsia="Times New Roman"/>
        </w:rPr>
        <w:t>[</w:t>
      </w:r>
      <w:r w:rsidRPr="004F4940" w:rsidR="296BB347">
        <w:rPr>
          <w:rFonts w:eastAsia="Times New Roman"/>
        </w:rPr>
        <w:t>s</w:t>
      </w:r>
      <w:r w:rsidRPr="004F4940" w:rsidR="007C4524">
        <w:rPr>
          <w:rFonts w:eastAsia="Times New Roman"/>
        </w:rPr>
        <w:t>]</w:t>
      </w:r>
      <w:r w:rsidRPr="004F4940" w:rsidR="00572840">
        <w:rPr>
          <w:rFonts w:eastAsia="Times New Roman"/>
        </w:rPr>
        <w:t>”</w:t>
      </w:r>
      <w:r w:rsidRPr="004F4940" w:rsidR="296BB347">
        <w:rPr>
          <w:rFonts w:eastAsia="Times New Roman"/>
        </w:rPr>
        <w:t xml:space="preserve"> in EOP-</w:t>
      </w:r>
      <w:r w:rsidRPr="004F4940" w:rsidR="005527C6">
        <w:rPr>
          <w:rFonts w:eastAsia="Times New Roman"/>
        </w:rPr>
        <w:t>0</w:t>
      </w:r>
      <w:r w:rsidRPr="004F4940" w:rsidR="296BB347">
        <w:rPr>
          <w:rFonts w:eastAsia="Times New Roman"/>
        </w:rPr>
        <w:t>12-1</w:t>
      </w:r>
      <w:r w:rsidRPr="004F4940" w:rsidR="77198DF0">
        <w:rPr>
          <w:rFonts w:eastAsia="Times New Roman"/>
        </w:rPr>
        <w:t xml:space="preserve"> are required to contain a timetable for </w:t>
      </w:r>
      <w:r w:rsidRPr="009C1B73" w:rsidR="009C1B73">
        <w:rPr>
          <w:rFonts w:eastAsia="Times New Roman"/>
        </w:rPr>
        <w:t>implementation completion</w:t>
      </w:r>
      <w:r w:rsidRPr="004F4940" w:rsidR="77198DF0">
        <w:rPr>
          <w:rFonts w:eastAsia="Times New Roman"/>
        </w:rPr>
        <w:t xml:space="preserve"> and entities are required to implement actions consistent with the timelines defined in the </w:t>
      </w:r>
      <w:r w:rsidRPr="004F4940" w:rsidR="007C4524">
        <w:rPr>
          <w:rFonts w:eastAsia="Times New Roman"/>
        </w:rPr>
        <w:t>c</w:t>
      </w:r>
      <w:r w:rsidRPr="004F4940" w:rsidR="12683865">
        <w:rPr>
          <w:rFonts w:eastAsia="Times New Roman"/>
        </w:rPr>
        <w:t xml:space="preserve">orrective </w:t>
      </w:r>
      <w:r w:rsidRPr="004F4940" w:rsidR="007C4524">
        <w:rPr>
          <w:rFonts w:eastAsia="Times New Roman"/>
        </w:rPr>
        <w:t>a</w:t>
      </w:r>
      <w:r w:rsidRPr="004F4940" w:rsidR="12683865">
        <w:rPr>
          <w:rFonts w:eastAsia="Times New Roman"/>
        </w:rPr>
        <w:t xml:space="preserve">ction </w:t>
      </w:r>
      <w:r w:rsidRPr="004F4940" w:rsidR="007C4524">
        <w:rPr>
          <w:rFonts w:eastAsia="Times New Roman"/>
        </w:rPr>
        <w:t>p</w:t>
      </w:r>
      <w:r w:rsidRPr="004F4940" w:rsidR="12683865">
        <w:rPr>
          <w:rFonts w:eastAsia="Times New Roman"/>
        </w:rPr>
        <w:t>lan</w:t>
      </w:r>
      <w:r w:rsidRPr="004F4940" w:rsidR="2B8BBB90">
        <w:rPr>
          <w:rFonts w:eastAsia="Times New Roman"/>
        </w:rPr>
        <w:t xml:space="preserve"> under </w:t>
      </w:r>
      <w:r w:rsidRPr="004F4940" w:rsidR="00A30299">
        <w:rPr>
          <w:rFonts w:eastAsia="Times New Roman"/>
        </w:rPr>
        <w:t xml:space="preserve">Requirement </w:t>
      </w:r>
      <w:r w:rsidRPr="004F4940" w:rsidR="00896168">
        <w:rPr>
          <w:rFonts w:eastAsia="Times New Roman"/>
        </w:rPr>
        <w:t>R7</w:t>
      </w:r>
      <w:r w:rsidRPr="004F4940" w:rsidR="263E4D0E">
        <w:rPr>
          <w:rFonts w:eastAsia="Times New Roman"/>
        </w:rPr>
        <w:t>.</w:t>
      </w:r>
      <w:r w:rsidRPr="004F4940" w:rsidR="7F7F46E1">
        <w:rPr>
          <w:rFonts w:eastAsia="Times New Roman"/>
        </w:rPr>
        <w:t xml:space="preserve"> </w:t>
      </w:r>
      <w:r w:rsidRPr="004F4940" w:rsidR="00EC5269">
        <w:rPr>
          <w:rFonts w:eastAsia="Times New Roman"/>
        </w:rPr>
        <w:t xml:space="preserve"> </w:t>
      </w:r>
      <w:r w:rsidRPr="004F4940">
        <w:rPr>
          <w:rFonts w:eastAsia="Times New Roman"/>
        </w:rPr>
        <w:t xml:space="preserve">While </w:t>
      </w:r>
      <w:r w:rsidRPr="004F4940" w:rsidR="009F3C13">
        <w:rPr>
          <w:rFonts w:eastAsia="Times New Roman"/>
        </w:rPr>
        <w:t xml:space="preserve">entities are required to adhere to the timelines as defined in </w:t>
      </w:r>
      <w:r w:rsidR="00EB579C">
        <w:rPr>
          <w:rFonts w:eastAsia="Times New Roman"/>
        </w:rPr>
        <w:br/>
      </w:r>
      <w:r w:rsidRPr="004F4940" w:rsidR="13E36EB6">
        <w:rPr>
          <w:rFonts w:eastAsia="Times New Roman"/>
        </w:rPr>
        <w:t>the</w:t>
      </w:r>
      <w:r w:rsidRPr="004F4940" w:rsidR="00B65BBA">
        <w:rPr>
          <w:rFonts w:eastAsia="Times New Roman"/>
        </w:rPr>
        <w:t>ir</w:t>
      </w:r>
      <w:r w:rsidRPr="004F4940" w:rsidR="009F3C13">
        <w:rPr>
          <w:rFonts w:eastAsia="Times New Roman"/>
        </w:rPr>
        <w:t xml:space="preserve"> corrective action </w:t>
      </w:r>
      <w:r w:rsidRPr="004F4940" w:rsidR="13E36EB6">
        <w:rPr>
          <w:rFonts w:eastAsia="Times New Roman"/>
        </w:rPr>
        <w:t>plan</w:t>
      </w:r>
      <w:r w:rsidRPr="004F4940" w:rsidR="00B65BBA">
        <w:rPr>
          <w:rFonts w:eastAsia="Times New Roman"/>
        </w:rPr>
        <w:t>s</w:t>
      </w:r>
      <w:r w:rsidRPr="004F4940" w:rsidR="009F3C13">
        <w:rPr>
          <w:rFonts w:eastAsia="Times New Roman"/>
        </w:rPr>
        <w:t xml:space="preserve">, </w:t>
      </w:r>
      <w:r w:rsidRPr="004F4940" w:rsidR="009A2B79">
        <w:rPr>
          <w:rFonts w:eastAsia="Times New Roman"/>
        </w:rPr>
        <w:t xml:space="preserve">some Reliability </w:t>
      </w:r>
      <w:r w:rsidRPr="004F4940" w:rsidR="00AC084D">
        <w:rPr>
          <w:rFonts w:eastAsia="Times New Roman"/>
        </w:rPr>
        <w:t>Standards</w:t>
      </w:r>
      <w:r w:rsidRPr="004F4940" w:rsidR="009A2B79">
        <w:rPr>
          <w:rFonts w:eastAsia="Times New Roman"/>
        </w:rPr>
        <w:t xml:space="preserve"> establish a maximum time</w:t>
      </w:r>
      <w:r w:rsidRPr="004F4940" w:rsidR="00E33E9A">
        <w:rPr>
          <w:rFonts w:eastAsia="Times New Roman"/>
        </w:rPr>
        <w:t xml:space="preserve"> for </w:t>
      </w:r>
      <w:r w:rsidRPr="004F4940" w:rsidR="009A2B79">
        <w:rPr>
          <w:rFonts w:eastAsia="Times New Roman"/>
        </w:rPr>
        <w:t xml:space="preserve">completion while others do not. </w:t>
      </w:r>
      <w:r w:rsidRPr="004F4940" w:rsidR="00C11465">
        <w:rPr>
          <w:rFonts w:eastAsia="Times New Roman"/>
        </w:rPr>
        <w:t xml:space="preserve"> </w:t>
      </w:r>
      <w:r w:rsidRPr="004F4940" w:rsidR="009A2B79">
        <w:rPr>
          <w:rFonts w:eastAsia="Times New Roman"/>
        </w:rPr>
        <w:t>For example</w:t>
      </w:r>
      <w:r w:rsidRPr="004F4940" w:rsidR="00821121">
        <w:rPr>
          <w:rFonts w:eastAsia="Times New Roman"/>
        </w:rPr>
        <w:t xml:space="preserve">, the Commission directed NERC to add specific timelines for the completion of corrective action plans to mitigate geomagnetic disturbances in </w:t>
      </w:r>
      <w:r w:rsidRPr="004F4940" w:rsidR="00B65BBA">
        <w:rPr>
          <w:rFonts w:eastAsia="Times New Roman"/>
        </w:rPr>
        <w:t xml:space="preserve">Reliability Standard </w:t>
      </w:r>
      <w:r w:rsidRPr="004F4940" w:rsidR="4E85C680">
        <w:rPr>
          <w:rFonts w:eastAsia="Times New Roman"/>
        </w:rPr>
        <w:t>TPL-007-1</w:t>
      </w:r>
      <w:r w:rsidRPr="004F4940" w:rsidR="004474AA">
        <w:rPr>
          <w:rFonts w:eastAsia="Times New Roman"/>
        </w:rPr>
        <w:t xml:space="preserve"> (Transmission System Planned Performance for Geomagnetic Disturbance Events)</w:t>
      </w:r>
      <w:r w:rsidRPr="004F4940" w:rsidR="4E85C680">
        <w:rPr>
          <w:rFonts w:eastAsia="Times New Roman"/>
        </w:rPr>
        <w:t>.</w:t>
      </w:r>
      <w:r>
        <w:rPr>
          <w:rStyle w:val="FootnoteReference"/>
          <w:rFonts w:eastAsia="Times New Roman"/>
        </w:rPr>
        <w:footnoteReference w:id="133"/>
      </w:r>
      <w:r w:rsidRPr="004F4940" w:rsidR="009B1FB9">
        <w:rPr>
          <w:rFonts w:eastAsia="Times New Roman"/>
        </w:rPr>
        <w:t xml:space="preserve">  </w:t>
      </w:r>
      <w:r w:rsidRPr="004F4940" w:rsidR="009A2B79">
        <w:rPr>
          <w:rFonts w:eastAsia="Times New Roman"/>
        </w:rPr>
        <w:t>In contrast</w:t>
      </w:r>
      <w:r w:rsidRPr="004F4940" w:rsidR="009B1FB9">
        <w:rPr>
          <w:rFonts w:eastAsia="Times New Roman"/>
        </w:rPr>
        <w:t xml:space="preserve">, the Commission has approved other Reliability Standards </w:t>
      </w:r>
      <w:r w:rsidRPr="004F4940" w:rsidR="00372659">
        <w:rPr>
          <w:rFonts w:eastAsia="Times New Roman"/>
        </w:rPr>
        <w:t>requiring</w:t>
      </w:r>
      <w:r w:rsidRPr="004F4940" w:rsidR="009B1FB9">
        <w:rPr>
          <w:rFonts w:eastAsia="Times New Roman"/>
        </w:rPr>
        <w:t xml:space="preserve"> a corrective action plan that do not require a specific deadline for the completion of the corrective action plan.</w:t>
      </w:r>
      <w:r>
        <w:rPr>
          <w:rStyle w:val="FootnoteReference"/>
          <w:rFonts w:eastAsia="Times New Roman"/>
        </w:rPr>
        <w:footnoteReference w:id="134"/>
      </w:r>
    </w:p>
    <w:p w:rsidR="00433966" w:rsidRPr="004F4940" w:rsidP="009F59F4" w14:paraId="6CAB36E9" w14:textId="72D4F585">
      <w:pPr>
        <w:pStyle w:val="FERCparanumber"/>
        <w:widowControl w:val="0"/>
        <w:suppressLineNumbers/>
        <w:rPr>
          <w:rFonts w:eastAsia="Times New Roman"/>
        </w:rPr>
      </w:pPr>
      <w:r w:rsidRPr="004F4940">
        <w:rPr>
          <w:rFonts w:eastAsia="Times New Roman"/>
        </w:rPr>
        <w:t xml:space="preserve">In this instance, </w:t>
      </w:r>
      <w:r w:rsidRPr="004F4940" w:rsidR="004506B4">
        <w:rPr>
          <w:rFonts w:eastAsia="Times New Roman"/>
        </w:rPr>
        <w:t xml:space="preserve">despite the lack of a </w:t>
      </w:r>
      <w:r w:rsidRPr="004F4940" w:rsidR="00A02907">
        <w:rPr>
          <w:rFonts w:eastAsia="Times New Roman"/>
        </w:rPr>
        <w:t>deadline</w:t>
      </w:r>
      <w:r w:rsidRPr="004F4940" w:rsidR="004506B4">
        <w:rPr>
          <w:rFonts w:eastAsia="Times New Roman"/>
        </w:rPr>
        <w:t xml:space="preserve"> for completion, we find it appropriate to approve the Standard while also directing modification.  W</w:t>
      </w:r>
      <w:r w:rsidRPr="004F4940">
        <w:rPr>
          <w:rFonts w:eastAsia="Times New Roman"/>
        </w:rPr>
        <w:t xml:space="preserve">e are persuaded that </w:t>
      </w:r>
      <w:r w:rsidRPr="004F4940" w:rsidR="004506B4">
        <w:rPr>
          <w:rFonts w:eastAsia="Times New Roman"/>
        </w:rPr>
        <w:t xml:space="preserve">modifying the Standard to include </w:t>
      </w:r>
      <w:r w:rsidRPr="004F4940">
        <w:rPr>
          <w:rFonts w:eastAsia="Times New Roman"/>
        </w:rPr>
        <w:t xml:space="preserve">a maximum time for </w:t>
      </w:r>
      <w:r w:rsidRPr="00F011D4" w:rsidR="00F011D4">
        <w:rPr>
          <w:rFonts w:eastAsia="Times New Roman"/>
        </w:rPr>
        <w:t>implementation completion</w:t>
      </w:r>
      <w:r w:rsidRPr="004F4940">
        <w:rPr>
          <w:rFonts w:eastAsia="Times New Roman"/>
        </w:rPr>
        <w:t xml:space="preserve"> </w:t>
      </w:r>
      <w:r w:rsidRPr="004F4940" w:rsidR="00EF4259">
        <w:rPr>
          <w:rFonts w:eastAsia="Times New Roman"/>
        </w:rPr>
        <w:t>is reasonable</w:t>
      </w:r>
      <w:r w:rsidRPr="004F4940" w:rsidR="000204A1">
        <w:rPr>
          <w:rFonts w:eastAsia="Times New Roman"/>
        </w:rPr>
        <w:t xml:space="preserve"> for several reasons</w:t>
      </w:r>
      <w:r w:rsidRPr="004F4940" w:rsidR="00EF4259">
        <w:rPr>
          <w:rFonts w:eastAsia="Times New Roman"/>
        </w:rPr>
        <w:t xml:space="preserve">. </w:t>
      </w:r>
      <w:r w:rsidRPr="004F4940" w:rsidR="00CA40C6">
        <w:rPr>
          <w:rFonts w:eastAsia="Times New Roman"/>
        </w:rPr>
        <w:t xml:space="preserve"> </w:t>
      </w:r>
      <w:r w:rsidRPr="004F4940" w:rsidR="000204A1">
        <w:rPr>
          <w:rFonts w:eastAsia="Times New Roman"/>
        </w:rPr>
        <w:t>First</w:t>
      </w:r>
      <w:r w:rsidRPr="004F4940" w:rsidR="6CF9BC19">
        <w:rPr>
          <w:rFonts w:eastAsia="Times New Roman"/>
        </w:rPr>
        <w:t xml:space="preserve">, </w:t>
      </w:r>
      <w:r w:rsidRPr="004F4940" w:rsidR="77198DF0">
        <w:rPr>
          <w:rFonts w:eastAsia="Times New Roman"/>
        </w:rPr>
        <w:t xml:space="preserve">having a requirement to implement a </w:t>
      </w:r>
      <w:r w:rsidRPr="004F4940" w:rsidR="007C4524">
        <w:rPr>
          <w:rFonts w:eastAsia="Times New Roman"/>
        </w:rPr>
        <w:t>c</w:t>
      </w:r>
      <w:r w:rsidRPr="004F4940" w:rsidR="7AF7F39D">
        <w:rPr>
          <w:rFonts w:eastAsia="Times New Roman"/>
        </w:rPr>
        <w:t xml:space="preserve">orrective </w:t>
      </w:r>
      <w:r w:rsidRPr="004F4940" w:rsidR="007C4524">
        <w:rPr>
          <w:rFonts w:eastAsia="Times New Roman"/>
        </w:rPr>
        <w:t>a</w:t>
      </w:r>
      <w:r w:rsidRPr="004F4940" w:rsidR="7AF7F39D">
        <w:rPr>
          <w:rFonts w:eastAsia="Times New Roman"/>
        </w:rPr>
        <w:t xml:space="preserve">ction </w:t>
      </w:r>
      <w:r w:rsidRPr="004F4940" w:rsidR="007C4524">
        <w:rPr>
          <w:rFonts w:eastAsia="Times New Roman"/>
        </w:rPr>
        <w:t>p</w:t>
      </w:r>
      <w:r w:rsidRPr="004F4940" w:rsidR="7AF7F39D">
        <w:rPr>
          <w:rFonts w:eastAsia="Times New Roman"/>
        </w:rPr>
        <w:t>lan</w:t>
      </w:r>
      <w:r w:rsidRPr="004F4940" w:rsidR="00B37A70">
        <w:rPr>
          <w:rFonts w:eastAsia="Times New Roman"/>
        </w:rPr>
        <w:t xml:space="preserve"> by a date certain</w:t>
      </w:r>
      <w:r w:rsidRPr="004F4940" w:rsidR="77198DF0">
        <w:rPr>
          <w:rFonts w:eastAsia="Times New Roman"/>
        </w:rPr>
        <w:t xml:space="preserve"> will provide a significant level of risk reduction compared to </w:t>
      </w:r>
      <w:r w:rsidRPr="004F4940" w:rsidR="77198DF0">
        <w:rPr>
          <w:rFonts w:eastAsia="Times New Roman"/>
        </w:rPr>
        <w:t>the status quo.</w:t>
      </w:r>
      <w:r w:rsidRPr="004F4940" w:rsidR="22EEEEE4">
        <w:rPr>
          <w:rFonts w:eastAsia="Times New Roman"/>
        </w:rPr>
        <w:t xml:space="preserve">  </w:t>
      </w:r>
      <w:r w:rsidRPr="004F4940" w:rsidR="000204A1">
        <w:rPr>
          <w:rFonts w:eastAsia="Times New Roman"/>
        </w:rPr>
        <w:t>Second</w:t>
      </w:r>
      <w:r w:rsidRPr="004F4940" w:rsidR="2F2AEA6A">
        <w:rPr>
          <w:rFonts w:eastAsia="Times New Roman"/>
        </w:rPr>
        <w:t>,</w:t>
      </w:r>
      <w:r w:rsidRPr="004F4940" w:rsidR="755DDDF9">
        <w:rPr>
          <w:rFonts w:eastAsia="Times New Roman"/>
        </w:rPr>
        <w:t xml:space="preserve"> </w:t>
      </w:r>
      <w:r w:rsidRPr="004F4940" w:rsidR="22EEEEE4">
        <w:rPr>
          <w:rFonts w:eastAsia="Times New Roman"/>
        </w:rPr>
        <w:t xml:space="preserve">the requirement to implement a </w:t>
      </w:r>
      <w:r w:rsidRPr="004F4940" w:rsidR="00523710">
        <w:rPr>
          <w:rFonts w:eastAsia="Times New Roman"/>
        </w:rPr>
        <w:t>c</w:t>
      </w:r>
      <w:r w:rsidRPr="004F4940" w:rsidR="22EEEEE4">
        <w:rPr>
          <w:rFonts w:eastAsia="Times New Roman"/>
        </w:rPr>
        <w:t xml:space="preserve">orrective </w:t>
      </w:r>
      <w:r w:rsidRPr="004F4940" w:rsidR="00523710">
        <w:rPr>
          <w:rFonts w:eastAsia="Times New Roman"/>
        </w:rPr>
        <w:t>a</w:t>
      </w:r>
      <w:r w:rsidRPr="004F4940" w:rsidR="22EEEEE4">
        <w:rPr>
          <w:rFonts w:eastAsia="Times New Roman"/>
        </w:rPr>
        <w:t xml:space="preserve">ction </w:t>
      </w:r>
      <w:r w:rsidRPr="004F4940" w:rsidR="00523710">
        <w:rPr>
          <w:rFonts w:eastAsia="Times New Roman"/>
        </w:rPr>
        <w:t>p</w:t>
      </w:r>
      <w:r w:rsidRPr="004F4940" w:rsidR="22EEEEE4">
        <w:rPr>
          <w:rFonts w:eastAsia="Times New Roman"/>
        </w:rPr>
        <w:t xml:space="preserve">lan </w:t>
      </w:r>
      <w:r w:rsidRPr="004F4940" w:rsidR="3EA69053">
        <w:rPr>
          <w:rFonts w:eastAsia="Times New Roman"/>
        </w:rPr>
        <w:t>and to identify any temporary operating limitations</w:t>
      </w:r>
      <w:r w:rsidRPr="004F4940" w:rsidR="300F9901">
        <w:rPr>
          <w:rFonts w:eastAsia="Times New Roman"/>
        </w:rPr>
        <w:t xml:space="preserve"> or </w:t>
      </w:r>
      <w:r w:rsidRPr="004F4940" w:rsidR="00EE42DA">
        <w:rPr>
          <w:rFonts w:eastAsia="Times New Roman"/>
        </w:rPr>
        <w:t>effects</w:t>
      </w:r>
      <w:r w:rsidRPr="004F4940" w:rsidR="300F9901">
        <w:rPr>
          <w:rFonts w:eastAsia="Times New Roman"/>
        </w:rPr>
        <w:t xml:space="preserve"> to the cold weather preparedness plan that would apply </w:t>
      </w:r>
      <w:r w:rsidRPr="004F4940" w:rsidR="0E92C0E2">
        <w:rPr>
          <w:rFonts w:eastAsia="Times New Roman"/>
        </w:rPr>
        <w:t xml:space="preserve">to entities </w:t>
      </w:r>
      <w:r w:rsidRPr="004F4940" w:rsidR="300F9901">
        <w:rPr>
          <w:rFonts w:eastAsia="Times New Roman"/>
        </w:rPr>
        <w:t>until the execution of the corrective actions</w:t>
      </w:r>
      <w:r w:rsidRPr="004F4940" w:rsidR="5E0FF7CB">
        <w:rPr>
          <w:rFonts w:eastAsia="Times New Roman"/>
        </w:rPr>
        <w:t xml:space="preserve"> </w:t>
      </w:r>
      <w:r w:rsidRPr="004F4940" w:rsidR="00B37A70">
        <w:rPr>
          <w:rFonts w:eastAsia="Times New Roman"/>
        </w:rPr>
        <w:t xml:space="preserve">by a date certain </w:t>
      </w:r>
      <w:r w:rsidRPr="004F4940" w:rsidR="5E0FF7CB">
        <w:rPr>
          <w:rFonts w:eastAsia="Times New Roman"/>
        </w:rPr>
        <w:t>is an improvement to the Reliability Standards</w:t>
      </w:r>
      <w:r w:rsidRPr="004F4940" w:rsidR="0E92C0E2">
        <w:rPr>
          <w:rFonts w:eastAsia="Times New Roman"/>
        </w:rPr>
        <w:t>.</w:t>
      </w:r>
      <w:r>
        <w:rPr>
          <w:rStyle w:val="FootnoteReference"/>
          <w:rFonts w:eastAsia="Times New Roman"/>
        </w:rPr>
        <w:footnoteReference w:id="135"/>
      </w:r>
      <w:r w:rsidRPr="004F4940" w:rsidR="5AD451B5">
        <w:rPr>
          <w:rFonts w:eastAsia="Times New Roman"/>
        </w:rPr>
        <w:t xml:space="preserve">  Finally, </w:t>
      </w:r>
      <w:r w:rsidRPr="004F4940" w:rsidR="00A23CC2">
        <w:rPr>
          <w:rFonts w:eastAsia="Times New Roman"/>
        </w:rPr>
        <w:t>we</w:t>
      </w:r>
      <w:r w:rsidRPr="004F4940" w:rsidR="5E0FF7CB">
        <w:rPr>
          <w:rFonts w:eastAsia="Times New Roman"/>
        </w:rPr>
        <w:t xml:space="preserve"> </w:t>
      </w:r>
      <w:r w:rsidRPr="004F4940" w:rsidR="006D524A">
        <w:rPr>
          <w:rFonts w:eastAsia="Times New Roman"/>
        </w:rPr>
        <w:t xml:space="preserve">do not </w:t>
      </w:r>
      <w:r w:rsidRPr="004F4940" w:rsidR="5E0FF7CB">
        <w:rPr>
          <w:rFonts w:eastAsia="Times New Roman"/>
        </w:rPr>
        <w:t>find persuasive NERC’s explanation</w:t>
      </w:r>
      <w:r w:rsidRPr="004F4940" w:rsidR="5AD451B5">
        <w:rPr>
          <w:rFonts w:eastAsia="Times New Roman"/>
        </w:rPr>
        <w:t xml:space="preserve"> that competition for expert resources and supply chain challenges may make setting a specific, uniform </w:t>
      </w:r>
      <w:r w:rsidRPr="004F4940" w:rsidR="00523710">
        <w:rPr>
          <w:rFonts w:eastAsia="Times New Roman"/>
        </w:rPr>
        <w:t>c</w:t>
      </w:r>
      <w:r w:rsidRPr="004F4940" w:rsidR="5AD451B5">
        <w:rPr>
          <w:rFonts w:eastAsia="Times New Roman"/>
        </w:rPr>
        <w:t xml:space="preserve">orrective </w:t>
      </w:r>
      <w:r w:rsidRPr="004F4940" w:rsidR="00523710">
        <w:rPr>
          <w:rFonts w:eastAsia="Times New Roman"/>
        </w:rPr>
        <w:t>a</w:t>
      </w:r>
      <w:r w:rsidRPr="004F4940" w:rsidR="5AD451B5">
        <w:rPr>
          <w:rFonts w:eastAsia="Times New Roman"/>
        </w:rPr>
        <w:t xml:space="preserve">ction </w:t>
      </w:r>
      <w:r w:rsidRPr="004F4940" w:rsidR="00523710">
        <w:rPr>
          <w:rFonts w:eastAsia="Times New Roman"/>
        </w:rPr>
        <w:t>p</w:t>
      </w:r>
      <w:r w:rsidRPr="004F4940" w:rsidR="5AD451B5">
        <w:rPr>
          <w:rFonts w:eastAsia="Times New Roman"/>
        </w:rPr>
        <w:t>lan timeline for all generating units difficult.</w:t>
      </w:r>
      <w:r w:rsidRPr="004F4940" w:rsidR="7F7F46E1">
        <w:rPr>
          <w:rFonts w:eastAsia="Times New Roman"/>
        </w:rPr>
        <w:t xml:space="preserve"> </w:t>
      </w:r>
      <w:r w:rsidRPr="004F4940" w:rsidR="006D524A">
        <w:rPr>
          <w:rFonts w:eastAsia="Times New Roman"/>
        </w:rPr>
        <w:t xml:space="preserve"> The November 2021 Report </w:t>
      </w:r>
      <w:r w:rsidRPr="004F4940" w:rsidR="000F32F8">
        <w:rPr>
          <w:rFonts w:eastAsia="Times New Roman"/>
        </w:rPr>
        <w:t xml:space="preserve">recommends that </w:t>
      </w:r>
      <w:r w:rsidRPr="004F4940" w:rsidR="00F1479A">
        <w:rPr>
          <w:rFonts w:eastAsia="Times New Roman"/>
        </w:rPr>
        <w:t>NERC’s</w:t>
      </w:r>
      <w:r w:rsidRPr="004F4940" w:rsidR="00EB27C8">
        <w:rPr>
          <w:rFonts w:eastAsia="Times New Roman"/>
        </w:rPr>
        <w:t xml:space="preserve"> </w:t>
      </w:r>
      <w:r w:rsidRPr="004F4940" w:rsidR="00F1479A">
        <w:rPr>
          <w:rFonts w:eastAsia="Times New Roman"/>
        </w:rPr>
        <w:t>s</w:t>
      </w:r>
      <w:r w:rsidRPr="004F4940" w:rsidR="00EB27C8">
        <w:rPr>
          <w:rFonts w:eastAsia="Times New Roman"/>
        </w:rPr>
        <w:t>tandard</w:t>
      </w:r>
      <w:r w:rsidRPr="004F4940" w:rsidR="00F1479A">
        <w:rPr>
          <w:rFonts w:eastAsia="Times New Roman"/>
        </w:rPr>
        <w:t xml:space="preserve"> drafting</w:t>
      </w:r>
      <w:r w:rsidRPr="004F4940" w:rsidR="00EB27C8">
        <w:rPr>
          <w:rFonts w:eastAsia="Times New Roman"/>
        </w:rPr>
        <w:t xml:space="preserve"> </w:t>
      </w:r>
      <w:r w:rsidRPr="004F4940" w:rsidR="00F1479A">
        <w:rPr>
          <w:rFonts w:eastAsia="Times New Roman"/>
        </w:rPr>
        <w:t>t</w:t>
      </w:r>
      <w:r w:rsidRPr="004F4940" w:rsidR="00EB27C8">
        <w:rPr>
          <w:rFonts w:eastAsia="Times New Roman"/>
        </w:rPr>
        <w:t>eam establish a maximum date</w:t>
      </w:r>
      <w:r w:rsidRPr="004F4940" w:rsidR="000F32F8">
        <w:rPr>
          <w:rFonts w:eastAsia="Times New Roman"/>
        </w:rPr>
        <w:t xml:space="preserve"> that corrective action plans must be completed</w:t>
      </w:r>
      <w:r w:rsidRPr="004F4940" w:rsidR="008E4B27">
        <w:rPr>
          <w:rFonts w:eastAsia="Times New Roman"/>
        </w:rPr>
        <w:t>.</w:t>
      </w:r>
      <w:r>
        <w:rPr>
          <w:rStyle w:val="FootnoteReference"/>
          <w:rFonts w:eastAsia="Times New Roman"/>
        </w:rPr>
        <w:footnoteReference w:id="136"/>
      </w:r>
      <w:r w:rsidRPr="004F4940" w:rsidR="002460C0">
        <w:rPr>
          <w:rFonts w:eastAsia="Times New Roman"/>
        </w:rPr>
        <w:t xml:space="preserve">  Otherwise,</w:t>
      </w:r>
      <w:r w:rsidRPr="004F4940" w:rsidR="00EB27C8">
        <w:rPr>
          <w:rFonts w:eastAsia="Times New Roman"/>
        </w:rPr>
        <w:t xml:space="preserve"> without a maximum time for implementation</w:t>
      </w:r>
      <w:r w:rsidRPr="004F4940" w:rsidR="002460C0">
        <w:rPr>
          <w:rFonts w:eastAsia="Times New Roman"/>
        </w:rPr>
        <w:t xml:space="preserve">, </w:t>
      </w:r>
      <w:r w:rsidRPr="004F4940" w:rsidR="003A25C6">
        <w:rPr>
          <w:rFonts w:eastAsia="Times New Roman"/>
        </w:rPr>
        <w:t>w</w:t>
      </w:r>
      <w:r w:rsidRPr="004F4940" w:rsidR="49D7762E">
        <w:rPr>
          <w:rFonts w:eastAsia="Times New Roman"/>
        </w:rPr>
        <w:t xml:space="preserve">e </w:t>
      </w:r>
      <w:r w:rsidRPr="004F4940" w:rsidR="001F17ED">
        <w:rPr>
          <w:rFonts w:eastAsia="Times New Roman"/>
        </w:rPr>
        <w:t>are concerned</w:t>
      </w:r>
      <w:r w:rsidRPr="004F4940" w:rsidR="000204A1">
        <w:rPr>
          <w:rFonts w:eastAsia="Times New Roman"/>
        </w:rPr>
        <w:t xml:space="preserve"> that </w:t>
      </w:r>
      <w:r w:rsidRPr="004F4940" w:rsidR="008E7D4D">
        <w:rPr>
          <w:rFonts w:eastAsia="Times New Roman"/>
        </w:rPr>
        <w:t>the time it takes to complete</w:t>
      </w:r>
      <w:r w:rsidRPr="004F4940" w:rsidR="008217CB">
        <w:rPr>
          <w:rFonts w:eastAsia="Times New Roman"/>
        </w:rPr>
        <w:t xml:space="preserve"> </w:t>
      </w:r>
      <w:r w:rsidRPr="004F4940" w:rsidR="000204A1">
        <w:rPr>
          <w:rFonts w:eastAsia="Times New Roman"/>
        </w:rPr>
        <w:t xml:space="preserve">the </w:t>
      </w:r>
      <w:r w:rsidRPr="004F4940" w:rsidR="00952D1E">
        <w:rPr>
          <w:rFonts w:eastAsia="Times New Roman"/>
        </w:rPr>
        <w:t xml:space="preserve">corrective action plans could </w:t>
      </w:r>
      <w:r w:rsidRPr="004F4940" w:rsidR="00865C6D">
        <w:rPr>
          <w:rFonts w:eastAsia="Times New Roman"/>
        </w:rPr>
        <w:t xml:space="preserve">allow </w:t>
      </w:r>
      <w:r w:rsidRPr="004F4940" w:rsidR="0048370D">
        <w:rPr>
          <w:rFonts w:eastAsia="Times New Roman"/>
        </w:rPr>
        <w:t>identified issues to remain unresolved for a significant period</w:t>
      </w:r>
      <w:r w:rsidRPr="004F4940" w:rsidR="635F8D12">
        <w:rPr>
          <w:rFonts w:eastAsia="Times New Roman"/>
        </w:rPr>
        <w:t>.</w:t>
      </w:r>
      <w:r w:rsidRPr="004F4940" w:rsidR="0048370D">
        <w:rPr>
          <w:rFonts w:eastAsia="Times New Roman"/>
        </w:rPr>
        <w:t xml:space="preserve"> </w:t>
      </w:r>
      <w:r w:rsidRPr="004F4940" w:rsidR="003008BA">
        <w:rPr>
          <w:rFonts w:eastAsia="Times New Roman"/>
        </w:rPr>
        <w:t xml:space="preserve"> </w:t>
      </w:r>
    </w:p>
    <w:p w:rsidR="002460C0" w:rsidRPr="004F4940" w:rsidP="00576EC8" w14:paraId="0387221B" w14:textId="4372F425">
      <w:pPr>
        <w:pStyle w:val="FERCparanumber"/>
        <w:widowControl w:val="0"/>
        <w:suppressLineNumbers/>
        <w:rPr>
          <w:rFonts w:eastAsia="Times New Roman"/>
        </w:rPr>
      </w:pPr>
      <w:r w:rsidRPr="004F4940">
        <w:rPr>
          <w:rFonts w:eastAsia="Times New Roman"/>
        </w:rPr>
        <w:t xml:space="preserve">Accordingly, we direct NERC pursuant to FPA section 215(d)(5) to modify Reliability Standard EOP-012-1 to address concerns related to the lack of an implementation timeframe for corrective action plans.  Specifically, we direct NERC to include in the Standard a </w:t>
      </w:r>
      <w:r w:rsidRPr="004F4940" w:rsidR="00C80048">
        <w:rPr>
          <w:rFonts w:eastAsia="Times New Roman"/>
        </w:rPr>
        <w:t>deadlin</w:t>
      </w:r>
      <w:r w:rsidRPr="004F4940" w:rsidR="000C448B">
        <w:rPr>
          <w:rFonts w:eastAsia="Times New Roman"/>
        </w:rPr>
        <w:t>e or maximum period</w:t>
      </w:r>
      <w:r w:rsidRPr="004F4940">
        <w:rPr>
          <w:rFonts w:eastAsia="Times New Roman"/>
        </w:rPr>
        <w:t xml:space="preserve"> for the </w:t>
      </w:r>
      <w:r w:rsidRPr="00136C7D" w:rsidR="00136C7D">
        <w:rPr>
          <w:rFonts w:eastAsia="Times New Roman"/>
        </w:rPr>
        <w:t>implementation completion</w:t>
      </w:r>
      <w:r w:rsidRPr="004F4940">
        <w:rPr>
          <w:rFonts w:eastAsia="Times New Roman"/>
        </w:rPr>
        <w:t xml:space="preserve"> of corrective action plans under the Standard.  We direct </w:t>
      </w:r>
      <w:r w:rsidRPr="004F4940" w:rsidR="004C2CF1">
        <w:rPr>
          <w:rFonts w:eastAsia="Times New Roman"/>
        </w:rPr>
        <w:t>NERC</w:t>
      </w:r>
      <w:r w:rsidRPr="004F4940">
        <w:rPr>
          <w:rFonts w:eastAsia="Times New Roman"/>
        </w:rPr>
        <w:t xml:space="preserve"> to </w:t>
      </w:r>
      <w:r w:rsidRPr="004F4940" w:rsidR="004C2CF1">
        <w:rPr>
          <w:rFonts w:eastAsia="Times New Roman"/>
        </w:rPr>
        <w:t>submit the revised Reliability Standard no later than 12 months after the date of issuance of this order.</w:t>
      </w:r>
    </w:p>
    <w:p w:rsidR="004B36EE" w:rsidRPr="004F4940" w:rsidP="0D3E6A2E" w14:paraId="4E2401A2" w14:textId="25DE508B">
      <w:pPr>
        <w:pStyle w:val="Heading3"/>
        <w:rPr>
          <w:rFonts w:eastAsia="Times New Roman"/>
        </w:rPr>
      </w:pPr>
      <w:r w:rsidRPr="004F4940">
        <w:rPr>
          <w:rFonts w:eastAsia="Times New Roman"/>
        </w:rPr>
        <w:t>Cost Recovery Mechanisms</w:t>
      </w:r>
    </w:p>
    <w:p w:rsidR="003C53EA" w:rsidRPr="004F4940" w:rsidP="00776401" w14:paraId="565F93DE" w14:textId="77777777">
      <w:pPr>
        <w:pStyle w:val="Heading4"/>
        <w:rPr>
          <w:rFonts w:eastAsia="Times New Roman"/>
        </w:rPr>
      </w:pPr>
      <w:r w:rsidRPr="004F4940">
        <w:rPr>
          <w:rFonts w:eastAsia="Times New Roman"/>
        </w:rPr>
        <w:t>NERC Petition</w:t>
      </w:r>
    </w:p>
    <w:p w:rsidR="00010EB0" w:rsidRPr="004F4940" w:rsidP="462A9FC4" w14:paraId="2BB89AB2" w14:textId="7D10552B">
      <w:pPr>
        <w:pStyle w:val="FERCparanumber"/>
        <w:rPr>
          <w:rFonts w:eastAsia="Times New Roman"/>
        </w:rPr>
      </w:pPr>
      <w:r w:rsidRPr="004F4940">
        <w:rPr>
          <w:rFonts w:eastAsia="Times New Roman"/>
        </w:rPr>
        <w:t xml:space="preserve">Reliability Standard EOP-012-1 does not address cost recovery mechanisms.  However, NERC’s petition recognizes </w:t>
      </w:r>
      <w:r w:rsidRPr="004F4940" w:rsidR="00F26F21">
        <w:rPr>
          <w:rFonts w:eastAsia="Times New Roman"/>
        </w:rPr>
        <w:t>that generator owners can recover costs through markets or cost recovery mechanisms approved by the state public utility commissions.</w:t>
      </w:r>
      <w:r>
        <w:rPr>
          <w:rStyle w:val="FootnoteReference"/>
          <w:rFonts w:eastAsia="Times New Roman"/>
        </w:rPr>
        <w:footnoteReference w:id="137"/>
      </w:r>
    </w:p>
    <w:p w:rsidR="003C53EA" w:rsidRPr="004F4940" w:rsidP="00776401" w14:paraId="6413597B" w14:textId="2A3D22B4">
      <w:pPr>
        <w:pStyle w:val="Heading4"/>
      </w:pPr>
      <w:r w:rsidRPr="004F4940">
        <w:rPr>
          <w:rFonts w:eastAsia="Times New Roman"/>
        </w:rPr>
        <w:t>Commen</w:t>
      </w:r>
      <w:r w:rsidRPr="004F4940">
        <w:t>ts</w:t>
      </w:r>
    </w:p>
    <w:p w:rsidR="0057686E" w:rsidRPr="004F4940" w:rsidP="00005B37" w14:paraId="555CB413" w14:textId="18C1B4C0">
      <w:pPr>
        <w:pStyle w:val="FERCparanumber"/>
        <w:suppressLineNumbers/>
        <w:rPr>
          <w:rFonts w:eastAsia="Times New Roman"/>
        </w:rPr>
      </w:pPr>
      <w:r w:rsidRPr="004F4940">
        <w:rPr>
          <w:rFonts w:eastAsia="Times New Roman"/>
        </w:rPr>
        <w:t>Some commenters assert that Reliability Standard EOP-012-1 should address cost recovery.</w:t>
      </w:r>
      <w:r>
        <w:rPr>
          <w:rStyle w:val="FootnoteReference"/>
          <w:rFonts w:eastAsia="Times New Roman"/>
        </w:rPr>
        <w:footnoteReference w:id="138"/>
      </w:r>
      <w:r w:rsidRPr="004F4940">
        <w:rPr>
          <w:rFonts w:eastAsia="Times New Roman"/>
        </w:rPr>
        <w:t xml:space="preserve">  TCPA assert</w:t>
      </w:r>
      <w:r w:rsidRPr="004F4940" w:rsidR="00763BC6">
        <w:rPr>
          <w:rFonts w:eastAsia="Times New Roman"/>
        </w:rPr>
        <w:t>s</w:t>
      </w:r>
      <w:r w:rsidRPr="004F4940">
        <w:rPr>
          <w:rFonts w:eastAsia="Times New Roman"/>
        </w:rPr>
        <w:t xml:space="preserve"> that the lack of a cost recovery for competitive generators is a commercial constraint to </w:t>
      </w:r>
      <w:r w:rsidRPr="004F4940" w:rsidR="002C4A7E">
        <w:rPr>
          <w:rFonts w:eastAsia="Times New Roman"/>
        </w:rPr>
        <w:t xml:space="preserve">compliance with </w:t>
      </w:r>
      <w:r w:rsidRPr="004F4940" w:rsidR="37CF57BD">
        <w:rPr>
          <w:rFonts w:eastAsia="Times New Roman"/>
        </w:rPr>
        <w:t>EOP-012-1</w:t>
      </w:r>
      <w:r w:rsidRPr="004F4940">
        <w:rPr>
          <w:rFonts w:eastAsia="Times New Roman"/>
        </w:rPr>
        <w:t xml:space="preserve"> and requests that the Commission say so </w:t>
      </w:r>
      <w:r w:rsidR="003922D6">
        <w:rPr>
          <w:rFonts w:eastAsia="Times New Roman"/>
        </w:rPr>
        <w:t xml:space="preserve">in </w:t>
      </w:r>
      <w:r w:rsidRPr="004F4940">
        <w:rPr>
          <w:rFonts w:eastAsia="Times New Roman"/>
        </w:rPr>
        <w:t>its order.</w:t>
      </w:r>
      <w:r>
        <w:rPr>
          <w:rStyle w:val="FootnoteReference"/>
          <w:rFonts w:eastAsia="Times New Roman"/>
        </w:rPr>
        <w:footnoteReference w:id="139"/>
      </w:r>
      <w:r w:rsidRPr="004F4940" w:rsidR="0043195D">
        <w:rPr>
          <w:rFonts w:eastAsia="Times New Roman"/>
        </w:rPr>
        <w:t xml:space="preserve">  The ISO/RTO Council a</w:t>
      </w:r>
      <w:r w:rsidRPr="004F4940" w:rsidR="00CD3454">
        <w:rPr>
          <w:rFonts w:eastAsia="Times New Roman"/>
        </w:rPr>
        <w:t>sk</w:t>
      </w:r>
      <w:r w:rsidRPr="004F4940" w:rsidR="00083BDA">
        <w:rPr>
          <w:rFonts w:eastAsia="Times New Roman"/>
        </w:rPr>
        <w:t>s</w:t>
      </w:r>
      <w:r w:rsidRPr="004F4940" w:rsidR="00CD3454">
        <w:rPr>
          <w:rFonts w:eastAsia="Times New Roman"/>
        </w:rPr>
        <w:t xml:space="preserve"> the Commission to remove the </w:t>
      </w:r>
      <w:r w:rsidRPr="004F4940" w:rsidR="00CD3454">
        <w:rPr>
          <w:rFonts w:eastAsia="Times New Roman"/>
        </w:rPr>
        <w:t xml:space="preserve">commercial </w:t>
      </w:r>
      <w:r w:rsidRPr="004F4940" w:rsidR="00E477C1">
        <w:rPr>
          <w:rFonts w:eastAsia="Times New Roman"/>
        </w:rPr>
        <w:t>constraint option from</w:t>
      </w:r>
      <w:r w:rsidRPr="004F4940" w:rsidR="00083BDA">
        <w:rPr>
          <w:rFonts w:eastAsia="Times New Roman"/>
        </w:rPr>
        <w:t xml:space="preserve"> EOP-012-1 altogether</w:t>
      </w:r>
      <w:r w:rsidRPr="004F4940" w:rsidR="00746C5D">
        <w:rPr>
          <w:rFonts w:eastAsia="Times New Roman"/>
        </w:rPr>
        <w:t>.</w:t>
      </w:r>
      <w:r>
        <w:rPr>
          <w:rStyle w:val="FootnoteReference"/>
          <w:rFonts w:eastAsia="Times New Roman"/>
        </w:rPr>
        <w:footnoteReference w:id="140"/>
      </w:r>
      <w:r w:rsidRPr="004F4940" w:rsidR="00E477C1">
        <w:rPr>
          <w:rFonts w:eastAsia="Times New Roman"/>
        </w:rPr>
        <w:t xml:space="preserve"> </w:t>
      </w:r>
      <w:r w:rsidRPr="004F4940">
        <w:rPr>
          <w:rFonts w:eastAsia="Times New Roman"/>
        </w:rPr>
        <w:t xml:space="preserve"> Invenergy argues that the November 2021 Report recognized </w:t>
      </w:r>
      <w:r w:rsidRPr="004F4940" w:rsidR="37CF57BD">
        <w:rPr>
          <w:rFonts w:eastAsia="Times New Roman"/>
        </w:rPr>
        <w:t>th</w:t>
      </w:r>
      <w:r w:rsidRPr="004F4940" w:rsidR="00BE0DD1">
        <w:rPr>
          <w:rFonts w:eastAsia="Times New Roman"/>
        </w:rPr>
        <w:t>at</w:t>
      </w:r>
      <w:r w:rsidRPr="004F4940">
        <w:rPr>
          <w:rFonts w:eastAsia="Times New Roman"/>
        </w:rPr>
        <w:t xml:space="preserve"> generators should be compensated for retrofits and that, while the NERC Reliability Standards process may not be the appropriate forum to address cost recovery, it is now incumbent on the Commission to address cost recovery for generators required to comply with EOP-012-1.</w:t>
      </w:r>
      <w:r>
        <w:rPr>
          <w:rStyle w:val="FootnoteReference"/>
          <w:rFonts w:eastAsia="Times New Roman"/>
        </w:rPr>
        <w:footnoteReference w:id="141"/>
      </w:r>
      <w:r w:rsidRPr="004F4940">
        <w:rPr>
          <w:rFonts w:eastAsia="Times New Roman"/>
        </w:rPr>
        <w:t xml:space="preserve">  NEPGA contends that a market change or other cost recovery mechanism must be in place by the effective date of Reliability Standard EOP-012-1 and asks the Commission to recognize the FPA’s cost recovery allowances.</w:t>
      </w:r>
      <w:r>
        <w:rPr>
          <w:rStyle w:val="FootnoteReference"/>
          <w:rFonts w:eastAsia="Times New Roman"/>
        </w:rPr>
        <w:footnoteReference w:id="142"/>
      </w:r>
      <w:r w:rsidRPr="004F4940">
        <w:rPr>
          <w:rFonts w:eastAsia="Times New Roman"/>
        </w:rPr>
        <w:t xml:space="preserve">  </w:t>
      </w:r>
      <w:r w:rsidRPr="004F4940" w:rsidR="00FE6328">
        <w:rPr>
          <w:rFonts w:eastAsia="Times New Roman"/>
        </w:rPr>
        <w:t xml:space="preserve">EPSA/PJM Group </w:t>
      </w:r>
      <w:r w:rsidRPr="004F4940" w:rsidR="00154B69">
        <w:rPr>
          <w:rFonts w:eastAsia="Times New Roman"/>
        </w:rPr>
        <w:t xml:space="preserve">ask that </w:t>
      </w:r>
      <w:r w:rsidRPr="004F4940" w:rsidR="00763BC6">
        <w:rPr>
          <w:rFonts w:eastAsia="Times New Roman"/>
        </w:rPr>
        <w:t xml:space="preserve">the Commission </w:t>
      </w:r>
      <w:r w:rsidRPr="004F4940" w:rsidR="00154B69">
        <w:rPr>
          <w:rFonts w:eastAsia="Times New Roman"/>
        </w:rPr>
        <w:t xml:space="preserve">begin </w:t>
      </w:r>
      <w:r w:rsidRPr="004F4940" w:rsidR="00763BC6">
        <w:rPr>
          <w:rFonts w:eastAsia="Times New Roman"/>
        </w:rPr>
        <w:t>a</w:t>
      </w:r>
      <w:r w:rsidRPr="004F4940" w:rsidR="00154B69">
        <w:rPr>
          <w:rFonts w:ascii="Arial" w:hAnsi="Arial" w:cs="Arial"/>
          <w:color w:val="000000"/>
          <w:sz w:val="23"/>
          <w:szCs w:val="23"/>
        </w:rPr>
        <w:t xml:space="preserve"> </w:t>
      </w:r>
      <w:r w:rsidRPr="004F4940" w:rsidR="00154B69">
        <w:rPr>
          <w:rFonts w:eastAsia="Times New Roman"/>
        </w:rPr>
        <w:t xml:space="preserve">proceeding </w:t>
      </w:r>
      <w:r w:rsidRPr="004F4940" w:rsidR="00184DA9">
        <w:rPr>
          <w:rFonts w:eastAsia="Times New Roman"/>
        </w:rPr>
        <w:t xml:space="preserve">under section 206 </w:t>
      </w:r>
      <w:r w:rsidRPr="004F4940" w:rsidR="00154B69">
        <w:rPr>
          <w:rFonts w:eastAsia="Times New Roman"/>
        </w:rPr>
        <w:t>to address cost recovery for compliance with Reliability Standards.</w:t>
      </w:r>
      <w:r>
        <w:rPr>
          <w:rStyle w:val="FootnoteReference"/>
          <w:rFonts w:eastAsia="Times New Roman"/>
        </w:rPr>
        <w:footnoteReference w:id="143"/>
      </w:r>
    </w:p>
    <w:p w:rsidR="00DC6E6B" w:rsidRPr="004F4940" w:rsidP="462A9FC4" w14:paraId="6075286C" w14:textId="719C1FFC">
      <w:pPr>
        <w:pStyle w:val="FERCparanumber"/>
        <w:widowControl w:val="0"/>
        <w:suppressLineNumbers/>
        <w:rPr>
          <w:rFonts w:eastAsia="Times New Roman"/>
        </w:rPr>
      </w:pPr>
      <w:r w:rsidRPr="004F4940">
        <w:rPr>
          <w:rFonts w:eastAsia="Times New Roman"/>
        </w:rPr>
        <w:t>NERC and APPA/TAPS assert that cost recovery is outside the scope of what Reliability Standards can address.</w:t>
      </w:r>
      <w:r>
        <w:rPr>
          <w:rStyle w:val="FootnoteReference"/>
          <w:rFonts w:eastAsia="Times New Roman"/>
        </w:rPr>
        <w:footnoteReference w:id="144"/>
      </w:r>
      <w:r w:rsidRPr="004F4940" w:rsidR="00126632">
        <w:rPr>
          <w:rFonts w:eastAsia="Times New Roman"/>
        </w:rPr>
        <w:t xml:space="preserve">  </w:t>
      </w:r>
      <w:r w:rsidRPr="004F4940" w:rsidR="005B1CDE">
        <w:rPr>
          <w:rFonts w:eastAsia="Times New Roman"/>
        </w:rPr>
        <w:t xml:space="preserve">Specifically, APPA/TAPS contend that the Commission should not act in this proceeding to provide competitive generators with </w:t>
      </w:r>
      <w:r w:rsidR="00EB579C">
        <w:rPr>
          <w:rFonts w:eastAsia="Times New Roman"/>
        </w:rPr>
        <w:br/>
      </w:r>
      <w:r w:rsidRPr="004F4940" w:rsidR="005B1CDE">
        <w:rPr>
          <w:rFonts w:eastAsia="Times New Roman"/>
        </w:rPr>
        <w:t>a mechanism to recover cold weather Standard compliance costs</w:t>
      </w:r>
      <w:r w:rsidRPr="004F4940" w:rsidR="00FC59E2">
        <w:rPr>
          <w:rFonts w:eastAsia="Times New Roman"/>
        </w:rPr>
        <w:t xml:space="preserve"> because the FPA does not mandate special cost recovery mechanisms for competitive generators’ section 215 compliance costs</w:t>
      </w:r>
      <w:r w:rsidRPr="004F4940" w:rsidR="005B1CDE">
        <w:rPr>
          <w:rFonts w:eastAsia="Times New Roman"/>
        </w:rPr>
        <w:t>.</w:t>
      </w:r>
      <w:r>
        <w:rPr>
          <w:rStyle w:val="FootnoteReference"/>
          <w:rFonts w:eastAsia="Times New Roman"/>
        </w:rPr>
        <w:footnoteReference w:id="145"/>
      </w:r>
      <w:r w:rsidRPr="004F4940" w:rsidR="00FC59E2">
        <w:rPr>
          <w:rFonts w:eastAsia="Times New Roman"/>
        </w:rPr>
        <w:t xml:space="preserve">  APPA/TAPS state that adopting a separate cost recovery mechanism for competitive generators’ reliability compliance costs would be </w:t>
      </w:r>
      <w:r w:rsidRPr="004F4940" w:rsidR="003F18E1">
        <w:rPr>
          <w:rFonts w:eastAsia="Times New Roman"/>
        </w:rPr>
        <w:t>inconsistent</w:t>
      </w:r>
      <w:r w:rsidRPr="004F4940" w:rsidR="00FC59E2">
        <w:rPr>
          <w:rFonts w:eastAsia="Times New Roman"/>
        </w:rPr>
        <w:t xml:space="preserve"> with the Commission</w:t>
      </w:r>
      <w:r w:rsidRPr="004F4940" w:rsidR="003E042E">
        <w:rPr>
          <w:rFonts w:eastAsia="Times New Roman"/>
        </w:rPr>
        <w:t>’</w:t>
      </w:r>
      <w:r w:rsidRPr="004F4940" w:rsidR="00FC59E2">
        <w:rPr>
          <w:rFonts w:eastAsia="Times New Roman"/>
        </w:rPr>
        <w:t>s market-based framework and could risk undercutting competitive markets.</w:t>
      </w:r>
      <w:r>
        <w:rPr>
          <w:rStyle w:val="FootnoteReference"/>
          <w:rFonts w:eastAsia="Times New Roman"/>
        </w:rPr>
        <w:footnoteReference w:id="146"/>
      </w:r>
    </w:p>
    <w:p w:rsidR="005E3509" w:rsidRPr="004F4940" w:rsidP="00776401" w14:paraId="099CAA2E" w14:textId="77777777">
      <w:pPr>
        <w:pStyle w:val="Heading4"/>
        <w:rPr>
          <w:rFonts w:eastAsia="Times New Roman"/>
        </w:rPr>
      </w:pPr>
      <w:r w:rsidRPr="004F4940">
        <w:rPr>
          <w:rFonts w:eastAsia="Times New Roman"/>
        </w:rPr>
        <w:t>Commission Determination</w:t>
      </w:r>
    </w:p>
    <w:p w:rsidR="00F46BE8" w:rsidRPr="004F4940" w:rsidP="00A63F10" w14:paraId="5A394C40" w14:textId="312616B4">
      <w:pPr>
        <w:pStyle w:val="FERCparanumber"/>
        <w:widowControl w:val="0"/>
        <w:suppressLineNumbers/>
        <w:rPr>
          <w:rFonts w:eastAsia="Times New Roman"/>
        </w:rPr>
      </w:pPr>
      <w:r w:rsidRPr="004F4940">
        <w:rPr>
          <w:rFonts w:eastAsia="Times New Roman"/>
        </w:rPr>
        <w:t>W</w:t>
      </w:r>
      <w:r w:rsidRPr="004F4940" w:rsidR="001565C5">
        <w:rPr>
          <w:rFonts w:eastAsia="Times New Roman"/>
        </w:rPr>
        <w:t>e find</w:t>
      </w:r>
      <w:r w:rsidRPr="004F4940" w:rsidR="170949E3">
        <w:rPr>
          <w:rFonts w:eastAsia="Times New Roman"/>
        </w:rPr>
        <w:t xml:space="preserve"> that the question of whether existing market mechanisms provide an opportunity to recover the prudently</w:t>
      </w:r>
      <w:r w:rsidRPr="004F4940" w:rsidR="00527941">
        <w:rPr>
          <w:rFonts w:eastAsia="Times New Roman"/>
        </w:rPr>
        <w:t xml:space="preserve"> </w:t>
      </w:r>
      <w:r w:rsidRPr="004F4940" w:rsidR="170949E3">
        <w:rPr>
          <w:rFonts w:eastAsia="Times New Roman"/>
        </w:rPr>
        <w:t xml:space="preserve">incurred costs of compliance with the proposed Standard </w:t>
      </w:r>
      <w:r w:rsidRPr="004F4940" w:rsidR="00FB7B7A">
        <w:rPr>
          <w:rFonts w:eastAsia="Times New Roman"/>
        </w:rPr>
        <w:t xml:space="preserve">and </w:t>
      </w:r>
      <w:r w:rsidRPr="004F4940" w:rsidR="006E3E50">
        <w:rPr>
          <w:rFonts w:eastAsia="Times New Roman"/>
        </w:rPr>
        <w:t>the request</w:t>
      </w:r>
      <w:r w:rsidRPr="004F4940" w:rsidR="00FB7B7A">
        <w:rPr>
          <w:rFonts w:eastAsia="Times New Roman"/>
        </w:rPr>
        <w:t xml:space="preserve"> to </w:t>
      </w:r>
      <w:r w:rsidRPr="004F4940" w:rsidR="007A3D7C">
        <w:rPr>
          <w:rFonts w:eastAsia="Times New Roman"/>
        </w:rPr>
        <w:t>initiate a proceeding under</w:t>
      </w:r>
      <w:r w:rsidRPr="004F4940" w:rsidR="00FB7B7A">
        <w:rPr>
          <w:rFonts w:eastAsia="Times New Roman"/>
        </w:rPr>
        <w:t xml:space="preserve"> FPA 206 </w:t>
      </w:r>
      <w:r w:rsidRPr="004F4940" w:rsidR="006E3E50">
        <w:rPr>
          <w:rFonts w:eastAsia="Times New Roman"/>
        </w:rPr>
        <w:t>are</w:t>
      </w:r>
      <w:r w:rsidRPr="004F4940" w:rsidR="170949E3">
        <w:rPr>
          <w:rFonts w:eastAsia="Times New Roman"/>
        </w:rPr>
        <w:t xml:space="preserve"> outside the scope of the instant proceeding.</w:t>
      </w:r>
    </w:p>
    <w:p w:rsidR="00226A4E" w:rsidRPr="004F4940" w:rsidP="0D3E6A2E" w14:paraId="632F0D2A" w14:textId="77777777">
      <w:pPr>
        <w:pStyle w:val="Heading3"/>
        <w:rPr>
          <w:rFonts w:eastAsia="Times New Roman"/>
        </w:rPr>
      </w:pPr>
      <w:r w:rsidRPr="004F4940">
        <w:rPr>
          <w:rFonts w:eastAsia="Times New Roman"/>
        </w:rPr>
        <w:t>Other</w:t>
      </w:r>
      <w:r w:rsidRPr="004F4940" w:rsidR="00EE008E">
        <w:rPr>
          <w:rFonts w:eastAsia="Times New Roman"/>
        </w:rPr>
        <w:t xml:space="preserve"> Technical</w:t>
      </w:r>
      <w:r w:rsidRPr="004F4940">
        <w:rPr>
          <w:rFonts w:eastAsia="Times New Roman"/>
        </w:rPr>
        <w:t xml:space="preserve"> </w:t>
      </w:r>
      <w:r w:rsidRPr="004F4940" w:rsidR="00D10D74">
        <w:rPr>
          <w:rFonts w:eastAsia="Times New Roman"/>
        </w:rPr>
        <w:t>Matters</w:t>
      </w:r>
      <w:r w:rsidRPr="004F4940" w:rsidR="00355D41">
        <w:rPr>
          <w:rFonts w:eastAsia="Times New Roman"/>
        </w:rPr>
        <w:t xml:space="preserve"> </w:t>
      </w:r>
    </w:p>
    <w:p w:rsidR="00355D41" w:rsidRPr="004F4940" w:rsidP="00776401" w14:paraId="1F18DCE6" w14:textId="50611E29">
      <w:pPr>
        <w:pStyle w:val="Heading4"/>
        <w:rPr>
          <w:rFonts w:eastAsia="Times New Roman"/>
        </w:rPr>
      </w:pPr>
      <w:r w:rsidRPr="004F4940">
        <w:rPr>
          <w:rFonts w:eastAsia="Times New Roman"/>
        </w:rPr>
        <w:t>Comments</w:t>
      </w:r>
    </w:p>
    <w:p w:rsidR="00FE19E3" w:rsidRPr="004F4940" w:rsidP="462A9FC4" w14:paraId="58277942" w14:textId="30DF5245">
      <w:pPr>
        <w:pStyle w:val="FERCparanumber"/>
        <w:widowControl w:val="0"/>
        <w:suppressLineNumbers/>
        <w:rPr>
          <w:rFonts w:eastAsia="Times New Roman"/>
        </w:rPr>
      </w:pPr>
      <w:r w:rsidRPr="004F4940">
        <w:rPr>
          <w:rFonts w:eastAsia="Times New Roman"/>
        </w:rPr>
        <w:t>Commenters raise other technical concerns touching on a variety of elements of the Standard.  For example, the ISO/RTO Council argues that NERC’s implementation plan may “discourage earlier compliance” and that the Commission should enact a shorter implementation plan along with an exception process for generator owners that may “legitimately need more time.”</w:t>
      </w:r>
      <w:r>
        <w:rPr>
          <w:rFonts w:eastAsia="Times New Roman"/>
          <w:b/>
          <w:bCs/>
          <w:vertAlign w:val="superscript"/>
        </w:rPr>
        <w:footnoteReference w:id="147"/>
      </w:r>
      <w:r w:rsidRPr="004F4940">
        <w:rPr>
          <w:rFonts w:eastAsia="Times New Roman"/>
        </w:rPr>
        <w:t xml:space="preserve">  The ISO/RTO Council recommends revising the “Generator Cold Weather Reliability Event” definition to account for generating units rated at or below 200 MW.</w:t>
      </w:r>
      <w:r>
        <w:rPr>
          <w:rStyle w:val="FootnoteReference"/>
          <w:rFonts w:eastAsia="Times New Roman"/>
        </w:rPr>
        <w:footnoteReference w:id="148"/>
      </w:r>
      <w:r w:rsidRPr="004F4940" w:rsidR="00077E04">
        <w:rPr>
          <w:rFonts w:eastAsia="Times New Roman"/>
        </w:rPr>
        <w:t xml:space="preserve">  The ISO/RTO Council also </w:t>
      </w:r>
      <w:r w:rsidRPr="004F4940" w:rsidR="00873447">
        <w:rPr>
          <w:rFonts w:eastAsia="Times New Roman"/>
        </w:rPr>
        <w:t xml:space="preserve">expresses concern that corrective action plans </w:t>
      </w:r>
      <w:r w:rsidRPr="004F4940" w:rsidR="00374D7D">
        <w:rPr>
          <w:rFonts w:eastAsia="Times New Roman"/>
        </w:rPr>
        <w:t xml:space="preserve">under the Standard </w:t>
      </w:r>
      <w:r w:rsidRPr="004F4940" w:rsidR="00873447">
        <w:rPr>
          <w:rFonts w:eastAsia="Times New Roman"/>
        </w:rPr>
        <w:t xml:space="preserve">only apply when </w:t>
      </w:r>
      <w:r w:rsidRPr="004F4940" w:rsidR="00C848DD">
        <w:rPr>
          <w:rFonts w:eastAsia="Times New Roman"/>
        </w:rPr>
        <w:t xml:space="preserve">the unit is </w:t>
      </w:r>
      <w:r w:rsidRPr="004F4940" w:rsidR="001017F4">
        <w:rPr>
          <w:rFonts w:eastAsia="Times New Roman"/>
        </w:rPr>
        <w:t>unable to operate</w:t>
      </w:r>
      <w:r w:rsidRPr="004F4940" w:rsidR="00C848DD">
        <w:rPr>
          <w:rFonts w:eastAsia="Times New Roman"/>
        </w:rPr>
        <w:t xml:space="preserve"> at or above the Extreme Cold Weather Temperature</w:t>
      </w:r>
      <w:r w:rsidRPr="004F4940" w:rsidR="00374D7D">
        <w:rPr>
          <w:rFonts w:eastAsia="Times New Roman"/>
        </w:rPr>
        <w:t>.</w:t>
      </w:r>
      <w:r>
        <w:rPr>
          <w:rStyle w:val="FootnoteReference"/>
          <w:rFonts w:eastAsia="Times New Roman"/>
        </w:rPr>
        <w:footnoteReference w:id="149"/>
      </w:r>
      <w:r w:rsidRPr="004F4940" w:rsidR="00790FB7">
        <w:rPr>
          <w:rFonts w:eastAsia="Times New Roman"/>
        </w:rPr>
        <w:t xml:space="preserve">  Additionally, the ISO/RTO Council questions how EOP-012-1 </w:t>
      </w:r>
      <w:r w:rsidRPr="004F4940" w:rsidR="00C6535E">
        <w:rPr>
          <w:rFonts w:eastAsia="Times New Roman"/>
        </w:rPr>
        <w:t>interacts with tariff requirements.</w:t>
      </w:r>
      <w:r>
        <w:rPr>
          <w:rStyle w:val="FootnoteReference"/>
          <w:rFonts w:eastAsia="Times New Roman"/>
        </w:rPr>
        <w:footnoteReference w:id="150"/>
      </w:r>
      <w:r w:rsidRPr="004F4940">
        <w:rPr>
          <w:rFonts w:eastAsia="Times New Roman"/>
        </w:rPr>
        <w:t xml:space="preserve">  </w:t>
      </w:r>
    </w:p>
    <w:p w:rsidR="00BB09DF" w:rsidRPr="004F4940" w:rsidP="0040576E" w14:paraId="17DF38D3" w14:textId="16614187">
      <w:pPr>
        <w:pStyle w:val="FERCparanumber"/>
        <w:suppressLineNumbers/>
        <w:rPr>
          <w:rFonts w:eastAsia="Times New Roman"/>
        </w:rPr>
      </w:pPr>
      <w:r w:rsidRPr="004F4940">
        <w:rPr>
          <w:rFonts w:eastAsia="Times New Roman"/>
        </w:rPr>
        <w:t>EPSA/PJM Group requests that Requirements R1 and R2 be removed from EOP-012-1 and be replaced with a requirement that balancing authorities instead ensure weather-resilient generation.</w:t>
      </w:r>
      <w:r>
        <w:rPr>
          <w:rFonts w:eastAsia="Times New Roman"/>
          <w:b/>
          <w:bCs/>
          <w:vertAlign w:val="superscript"/>
        </w:rPr>
        <w:footnoteReference w:id="151"/>
      </w:r>
      <w:r w:rsidRPr="004F4940">
        <w:rPr>
          <w:rFonts w:eastAsia="Times New Roman"/>
        </w:rPr>
        <w:t xml:space="preserve">  For Reliability Standard EOP-012-1 Requirement R1, TAPS requests that compliance with the phrase “provide the capability to operate” be based on sound engineering judgment, meaning subsequent failures during cold weather not automatically lead to a violation since cold weather events cannot be simulated ahead of time.</w:t>
      </w:r>
      <w:r>
        <w:rPr>
          <w:rFonts w:eastAsia="Times New Roman"/>
          <w:b/>
          <w:bCs/>
          <w:vertAlign w:val="superscript"/>
        </w:rPr>
        <w:footnoteReference w:id="152"/>
      </w:r>
    </w:p>
    <w:p w:rsidR="00C2183D" w:rsidRPr="004F4940" w:rsidP="462A9FC4" w14:paraId="6993C540" w14:textId="7C8F6972">
      <w:pPr>
        <w:pStyle w:val="FERCparanumber"/>
        <w:widowControl w:val="0"/>
        <w:suppressLineNumbers/>
        <w:rPr>
          <w:rFonts w:eastAsia="Times New Roman"/>
        </w:rPr>
      </w:pPr>
      <w:r w:rsidRPr="004F4940">
        <w:rPr>
          <w:rFonts w:eastAsia="Times New Roman"/>
        </w:rPr>
        <w:t xml:space="preserve">TCPA requests clarification of when the </w:t>
      </w:r>
      <w:r w:rsidR="0040576E">
        <w:rPr>
          <w:rFonts w:eastAsia="Times New Roman"/>
        </w:rPr>
        <w:t>five</w:t>
      </w:r>
      <w:r w:rsidRPr="004F4940">
        <w:rPr>
          <w:rFonts w:eastAsia="Times New Roman"/>
        </w:rPr>
        <w:t>-year clock in Requirement R4 begins and explanation how Requirement R7 requirement for corrective action plans could be effective 18 months after government approval when the standards for which the corrective action plans would address (i.e., Requirements R2 and R4) are not effective until 60 and 78 months after government approval.</w:t>
      </w:r>
      <w:r>
        <w:rPr>
          <w:rFonts w:eastAsia="Times New Roman"/>
          <w:b/>
          <w:bCs/>
          <w:vertAlign w:val="superscript"/>
        </w:rPr>
        <w:footnoteReference w:id="153"/>
      </w:r>
      <w:r w:rsidRPr="004F4940">
        <w:rPr>
          <w:rFonts w:eastAsia="Times New Roman"/>
        </w:rPr>
        <w:t xml:space="preserve">  TCPA suggests that generator owners only be required to provide annual compliance progress reports.</w:t>
      </w:r>
      <w:r>
        <w:rPr>
          <w:rFonts w:eastAsia="Times New Roman"/>
          <w:b/>
          <w:bCs/>
          <w:vertAlign w:val="superscript"/>
        </w:rPr>
        <w:footnoteReference w:id="154"/>
      </w:r>
      <w:r w:rsidRPr="004F4940">
        <w:rPr>
          <w:rFonts w:eastAsia="Times New Roman"/>
        </w:rPr>
        <w:t xml:space="preserve">  TCPA also </w:t>
      </w:r>
      <w:r w:rsidRPr="004F4940">
        <w:rPr>
          <w:rFonts w:eastAsia="Times New Roman"/>
        </w:rPr>
        <w:t xml:space="preserve">raises issue with EOP-012-1’s violation </w:t>
      </w:r>
      <w:r w:rsidRPr="004F4940" w:rsidR="07D8069F">
        <w:rPr>
          <w:rFonts w:eastAsia="Times New Roman"/>
        </w:rPr>
        <w:t>severity</w:t>
      </w:r>
      <w:r w:rsidRPr="004F4940">
        <w:rPr>
          <w:rFonts w:eastAsia="Times New Roman"/>
        </w:rPr>
        <w:t xml:space="preserve"> level’s lack of differentiation between single and multiple facilities.</w:t>
      </w:r>
      <w:r>
        <w:rPr>
          <w:rFonts w:eastAsia="Times New Roman"/>
          <w:b/>
          <w:bCs/>
          <w:vertAlign w:val="superscript"/>
        </w:rPr>
        <w:footnoteReference w:id="155"/>
      </w:r>
      <w:r w:rsidRPr="004F4940">
        <w:rPr>
          <w:rFonts w:eastAsia="Times New Roman"/>
        </w:rPr>
        <w:t xml:space="preserve">  </w:t>
      </w:r>
      <w:bookmarkStart w:id="11" w:name="_Hlk126943583"/>
      <w:r w:rsidRPr="004F4940">
        <w:rPr>
          <w:rFonts w:eastAsia="Times New Roman"/>
        </w:rPr>
        <w:t xml:space="preserve">Invenergy suggests revising NERC’s “Generator Cold Weather Reliability Event” definition to align better with the </w:t>
      </w:r>
      <w:r w:rsidRPr="004F4940" w:rsidR="005B68A1">
        <w:rPr>
          <w:rFonts w:eastAsia="Times New Roman"/>
        </w:rPr>
        <w:t>b</w:t>
      </w:r>
      <w:r w:rsidRPr="004F4940">
        <w:rPr>
          <w:rFonts w:eastAsia="Times New Roman"/>
        </w:rPr>
        <w:t xml:space="preserve">ulk </w:t>
      </w:r>
      <w:r w:rsidRPr="004F4940" w:rsidR="005B68A1">
        <w:rPr>
          <w:rFonts w:eastAsia="Times New Roman"/>
        </w:rPr>
        <w:t>e</w:t>
      </w:r>
      <w:r w:rsidRPr="004F4940">
        <w:rPr>
          <w:rFonts w:eastAsia="Times New Roman"/>
        </w:rPr>
        <w:t xml:space="preserve">lectric </w:t>
      </w:r>
      <w:r w:rsidRPr="004F4940" w:rsidR="005B68A1">
        <w:rPr>
          <w:rFonts w:eastAsia="Times New Roman"/>
        </w:rPr>
        <w:t>s</w:t>
      </w:r>
      <w:r w:rsidRPr="004F4940">
        <w:rPr>
          <w:rFonts w:eastAsia="Times New Roman"/>
        </w:rPr>
        <w:t>ystem definition to ensure that corrective action plans are only required when an actual Cold Weather Reliability Event occurs</w:t>
      </w:r>
      <w:bookmarkEnd w:id="11"/>
      <w:r w:rsidRPr="004F4940">
        <w:rPr>
          <w:rFonts w:eastAsia="Times New Roman"/>
        </w:rPr>
        <w:t>.</w:t>
      </w:r>
      <w:r>
        <w:rPr>
          <w:rStyle w:val="FootnoteReference"/>
          <w:rFonts w:eastAsia="Times New Roman"/>
        </w:rPr>
        <w:footnoteReference w:id="156"/>
      </w:r>
      <w:r w:rsidRPr="004F4940">
        <w:rPr>
          <w:rFonts w:eastAsia="Times New Roman"/>
        </w:rPr>
        <w:t xml:space="preserve">  Invenergy and TCPA recommend eliminating the term “continuous” from EOP-012-1 Requirement R1 to reflect variable generation and that solar and wind plants are unable to operate continuously.</w:t>
      </w:r>
      <w:r>
        <w:rPr>
          <w:rFonts w:eastAsia="Times New Roman"/>
          <w:b/>
          <w:bCs/>
          <w:vertAlign w:val="superscript"/>
        </w:rPr>
        <w:footnoteReference w:id="157"/>
      </w:r>
    </w:p>
    <w:p w:rsidR="00355D41" w:rsidRPr="004F4940" w:rsidP="462A9FC4" w14:paraId="650316D8" w14:textId="77777777">
      <w:pPr>
        <w:pStyle w:val="FERCparanumber"/>
        <w:widowControl w:val="0"/>
        <w:suppressLineNumbers/>
        <w:rPr>
          <w:rFonts w:eastAsia="Times New Roman"/>
        </w:rPr>
      </w:pPr>
      <w:r w:rsidRPr="004F4940">
        <w:rPr>
          <w:rFonts w:eastAsia="Times New Roman"/>
        </w:rPr>
        <w:t xml:space="preserve">NERC </w:t>
      </w:r>
      <w:r w:rsidRPr="004F4940" w:rsidR="00B05A3F">
        <w:rPr>
          <w:rFonts w:eastAsia="Times New Roman"/>
        </w:rPr>
        <w:t xml:space="preserve">asserts that it is presently in phase two of its standard development process </w:t>
      </w:r>
      <w:r w:rsidRPr="004F4940" w:rsidR="00C64090">
        <w:rPr>
          <w:rFonts w:eastAsia="Times New Roman"/>
        </w:rPr>
        <w:t>and that its standard drafting team is</w:t>
      </w:r>
      <w:r w:rsidRPr="004F4940" w:rsidR="00B05A3F">
        <w:rPr>
          <w:rFonts w:eastAsia="Times New Roman"/>
        </w:rPr>
        <w:t xml:space="preserve"> presently </w:t>
      </w:r>
      <w:r w:rsidRPr="004F4940" w:rsidR="00C64090">
        <w:rPr>
          <w:rFonts w:eastAsia="Times New Roman"/>
        </w:rPr>
        <w:t>considering many of the issues raised in connection with this proceeding.</w:t>
      </w:r>
      <w:r>
        <w:rPr>
          <w:rStyle w:val="FootnoteReference"/>
          <w:rFonts w:eastAsia="Times New Roman"/>
        </w:rPr>
        <w:footnoteReference w:id="158"/>
      </w:r>
      <w:r w:rsidRPr="004F4940" w:rsidR="00D94981">
        <w:rPr>
          <w:rFonts w:eastAsia="Times New Roman"/>
        </w:rPr>
        <w:t xml:space="preserve">  NERC encourages commenters in this proceeding to continue participating in NERC’s standard development process so that their issues and concerns can be addressed.</w:t>
      </w:r>
    </w:p>
    <w:p w:rsidR="00355D41" w:rsidRPr="004F4940" w:rsidP="00776401" w14:paraId="42903A34" w14:textId="0AEB6188">
      <w:pPr>
        <w:pStyle w:val="Heading4"/>
        <w:rPr>
          <w:rFonts w:eastAsia="Times New Roman"/>
        </w:rPr>
      </w:pPr>
      <w:r w:rsidRPr="004F4940">
        <w:rPr>
          <w:rFonts w:eastAsia="Times New Roman"/>
        </w:rPr>
        <w:t>Commission Determination</w:t>
      </w:r>
    </w:p>
    <w:p w:rsidR="007D093B" w:rsidP="00911F19" w14:paraId="5A2E7056" w14:textId="77777777">
      <w:pPr>
        <w:pStyle w:val="FERCparanumber"/>
        <w:widowControl w:val="0"/>
        <w:rPr>
          <w:rFonts w:eastAsia="Times New Roman"/>
        </w:rPr>
      </w:pPr>
      <w:r w:rsidRPr="004F4940">
        <w:rPr>
          <w:rFonts w:eastAsia="Times New Roman"/>
        </w:rPr>
        <w:t xml:space="preserve">We share </w:t>
      </w:r>
      <w:r w:rsidRPr="004F4940" w:rsidR="00E80AE1">
        <w:rPr>
          <w:rFonts w:eastAsia="Times New Roman"/>
        </w:rPr>
        <w:t xml:space="preserve">concerns with </w:t>
      </w:r>
      <w:r w:rsidRPr="004F4940" w:rsidR="00133D96">
        <w:rPr>
          <w:rFonts w:eastAsia="Times New Roman"/>
        </w:rPr>
        <w:t>commenters regarding</w:t>
      </w:r>
      <w:r w:rsidRPr="004F4940" w:rsidR="00E80AE1">
        <w:rPr>
          <w:rFonts w:eastAsia="Times New Roman"/>
        </w:rPr>
        <w:t xml:space="preserve"> the implementation period</w:t>
      </w:r>
      <w:r w:rsidRPr="004F4940" w:rsidR="00133D96">
        <w:rPr>
          <w:rFonts w:eastAsia="Times New Roman"/>
        </w:rPr>
        <w:t xml:space="preserve"> of Reliability Standard EOP-012-1</w:t>
      </w:r>
      <w:r w:rsidRPr="004F4940" w:rsidR="00E80AE1">
        <w:rPr>
          <w:rFonts w:eastAsia="Times New Roman"/>
        </w:rPr>
        <w:t xml:space="preserve">, </w:t>
      </w:r>
      <w:r w:rsidRPr="004F4940">
        <w:rPr>
          <w:rFonts w:eastAsia="Times New Roman"/>
        </w:rPr>
        <w:t xml:space="preserve">although </w:t>
      </w:r>
      <w:r w:rsidRPr="004F4940" w:rsidR="00E80AE1">
        <w:rPr>
          <w:rFonts w:eastAsia="Times New Roman"/>
        </w:rPr>
        <w:t xml:space="preserve">we </w:t>
      </w:r>
      <w:r w:rsidRPr="004F4940">
        <w:rPr>
          <w:rFonts w:eastAsia="Times New Roman"/>
        </w:rPr>
        <w:t>acknowledge</w:t>
      </w:r>
      <w:r w:rsidRPr="004F4940" w:rsidR="00D86F1B">
        <w:rPr>
          <w:rFonts w:eastAsia="Times New Roman"/>
        </w:rPr>
        <w:t xml:space="preserve"> </w:t>
      </w:r>
      <w:r w:rsidRPr="004F4940" w:rsidR="00E80AE1">
        <w:rPr>
          <w:rFonts w:eastAsia="Times New Roman"/>
        </w:rPr>
        <w:t>NERC’s assertion that the time is necessary for generator owners to calculate the Extreme Cold Weather Temperature for each generating unit, to identify Generator Cold Weather Critical Components, and to perform the necessary engineering studies and analyses to identify and implement freeze protection measures that would provide for the required performance capability or to explain why such measures are precluded by technical, commercial, or operational constraints.</w:t>
      </w:r>
      <w:r w:rsidR="007301E1">
        <w:rPr>
          <w:rFonts w:eastAsia="Times New Roman"/>
        </w:rPr>
        <w:t xml:space="preserve">  </w:t>
      </w:r>
      <w:r w:rsidRPr="004F4940" w:rsidR="00507AA5">
        <w:rPr>
          <w:rFonts w:eastAsia="Times New Roman"/>
        </w:rPr>
        <w:t xml:space="preserve">To address these concerns, we direct NERC to revise EOP-012 to require </w:t>
      </w:r>
      <w:r w:rsidRPr="004F4940" w:rsidR="006C6655">
        <w:rPr>
          <w:rFonts w:eastAsia="Times New Roman"/>
        </w:rPr>
        <w:t xml:space="preserve">a shorter implementation period and </w:t>
      </w:r>
      <w:r w:rsidRPr="004F4940" w:rsidR="00507AA5">
        <w:rPr>
          <w:rFonts w:eastAsia="Times New Roman"/>
        </w:rPr>
        <w:t xml:space="preserve">staggered implementation for unit(s) in a </w:t>
      </w:r>
      <w:r w:rsidRPr="004F4940" w:rsidR="00875F91">
        <w:rPr>
          <w:rFonts w:eastAsia="Times New Roman"/>
        </w:rPr>
        <w:t>g</w:t>
      </w:r>
      <w:r w:rsidRPr="004F4940" w:rsidR="00507AA5">
        <w:rPr>
          <w:rFonts w:eastAsia="Times New Roman"/>
        </w:rPr>
        <w:t xml:space="preserve">enerator </w:t>
      </w:r>
      <w:r w:rsidRPr="004F4940" w:rsidR="00875F91">
        <w:rPr>
          <w:rFonts w:eastAsia="Times New Roman"/>
        </w:rPr>
        <w:t>o</w:t>
      </w:r>
      <w:r w:rsidRPr="004F4940" w:rsidR="00507AA5">
        <w:rPr>
          <w:rFonts w:eastAsia="Times New Roman"/>
        </w:rPr>
        <w:t>wner’s fleet.</w:t>
      </w:r>
      <w:r>
        <w:rPr>
          <w:rStyle w:val="FootnoteReference"/>
          <w:rFonts w:eastAsia="Times New Roman"/>
        </w:rPr>
        <w:footnoteReference w:id="159"/>
      </w:r>
      <w:r w:rsidRPr="004F4940" w:rsidR="00507AA5">
        <w:rPr>
          <w:rFonts w:eastAsia="Times New Roman"/>
        </w:rPr>
        <w:t xml:space="preserve">  </w:t>
      </w:r>
      <w:r w:rsidRPr="004F4940" w:rsidR="00007313">
        <w:rPr>
          <w:rFonts w:eastAsia="Times New Roman"/>
        </w:rPr>
        <w:t xml:space="preserve">Such an approach will reduce reliability risks </w:t>
      </w:r>
      <w:r w:rsidRPr="004F4940" w:rsidR="0008064B">
        <w:rPr>
          <w:rFonts w:eastAsia="Times New Roman"/>
        </w:rPr>
        <w:t>more quickly.</w:t>
      </w:r>
      <w:r w:rsidRPr="004F4940" w:rsidR="00911F19">
        <w:rPr>
          <w:rFonts w:eastAsia="Times New Roman"/>
        </w:rPr>
        <w:t xml:space="preserve">  </w:t>
      </w:r>
      <w:r w:rsidRPr="004F4940" w:rsidR="00B04BCD">
        <w:rPr>
          <w:rFonts w:eastAsia="Times New Roman"/>
        </w:rPr>
        <w:t xml:space="preserve">Although we are giving NERC the discretion to determine what the effective date should be shortened to, we also emphasize that industry has been aware </w:t>
      </w:r>
      <w:r w:rsidR="00EB579C">
        <w:rPr>
          <w:rFonts w:eastAsia="Times New Roman"/>
        </w:rPr>
        <w:br/>
      </w:r>
      <w:r w:rsidRPr="004F4940" w:rsidR="00B04BCD">
        <w:rPr>
          <w:rFonts w:eastAsia="Times New Roman"/>
        </w:rPr>
        <w:t xml:space="preserve">of and alerted to the need to prepare their generating units for cold weather since at </w:t>
      </w:r>
      <w:r w:rsidR="00EB579C">
        <w:rPr>
          <w:rFonts w:eastAsia="Times New Roman"/>
        </w:rPr>
        <w:br/>
      </w:r>
      <w:r w:rsidRPr="004F4940" w:rsidR="00B04BCD">
        <w:rPr>
          <w:rFonts w:eastAsia="Times New Roman"/>
        </w:rPr>
        <w:t xml:space="preserve">least 2011.  NERC should consider the amount of time that industry has already had </w:t>
      </w:r>
      <w:r w:rsidR="00EB579C">
        <w:rPr>
          <w:rFonts w:eastAsia="Times New Roman"/>
        </w:rPr>
        <w:br/>
      </w:r>
      <w:r w:rsidRPr="004F4940" w:rsidR="00B04BCD">
        <w:rPr>
          <w:rFonts w:eastAsia="Times New Roman"/>
        </w:rPr>
        <w:t xml:space="preserve">to implement freeze protection measures when determining the appropriate shorter implementation period.  </w:t>
      </w:r>
      <w:r w:rsidRPr="004F4940" w:rsidR="00911F19">
        <w:rPr>
          <w:rFonts w:eastAsia="Times New Roman"/>
        </w:rPr>
        <w:t>We direct NERC to submit the revised implementation to</w:t>
      </w:r>
    </w:p>
    <w:p w:rsidR="00507AA5" w:rsidRPr="004F4940" w:rsidP="007D093B" w14:paraId="0FAEE135" w14:textId="1B20FDB3">
      <w:pPr>
        <w:pStyle w:val="FERCparanumber"/>
        <w:widowControl w:val="0"/>
        <w:numPr>
          <w:ilvl w:val="0"/>
          <w:numId w:val="0"/>
        </w:numPr>
        <w:rPr>
          <w:rFonts w:eastAsia="Times New Roman"/>
        </w:rPr>
      </w:pPr>
      <w:r w:rsidRPr="004F4940">
        <w:rPr>
          <w:rFonts w:eastAsia="Times New Roman"/>
        </w:rPr>
        <w:t xml:space="preserve">Reliability Standard EOP-012-1 no later than 12 months after the date of issuance of </w:t>
      </w:r>
      <w:r w:rsidR="007D093B">
        <w:rPr>
          <w:rFonts w:eastAsia="Times New Roman"/>
        </w:rPr>
        <w:br/>
      </w:r>
      <w:r w:rsidRPr="004F4940">
        <w:rPr>
          <w:rFonts w:eastAsia="Times New Roman"/>
        </w:rPr>
        <w:t xml:space="preserve">this order. </w:t>
      </w:r>
    </w:p>
    <w:p w:rsidR="00251B0B" w:rsidRPr="007D093B" w:rsidP="007D093B" w14:paraId="5E597470" w14:textId="05084961">
      <w:pPr>
        <w:pStyle w:val="FERCparanumber"/>
        <w:widowControl w:val="0"/>
        <w:rPr>
          <w:rFonts w:eastAsia="Times New Roman"/>
        </w:rPr>
      </w:pPr>
      <w:r w:rsidRPr="004F4940">
        <w:rPr>
          <w:rFonts w:eastAsia="Times New Roman"/>
        </w:rPr>
        <w:t>For</w:t>
      </w:r>
      <w:r w:rsidRPr="004F4940" w:rsidR="17057CF6">
        <w:rPr>
          <w:rFonts w:eastAsia="Times New Roman"/>
        </w:rPr>
        <w:t xml:space="preserve"> comments</w:t>
      </w:r>
      <w:r w:rsidRPr="004F4940" w:rsidR="466D1AC9">
        <w:rPr>
          <w:rFonts w:eastAsia="Times New Roman"/>
        </w:rPr>
        <w:t xml:space="preserve"> related to the “continuous” operation requirements of EOP-012-1, </w:t>
      </w:r>
      <w:r w:rsidRPr="004F4940" w:rsidR="2243A9E5">
        <w:rPr>
          <w:rFonts w:eastAsia="Times New Roman"/>
        </w:rPr>
        <w:t xml:space="preserve">the </w:t>
      </w:r>
      <w:r w:rsidRPr="004F4940" w:rsidR="00B82F12">
        <w:rPr>
          <w:rFonts w:eastAsia="Times New Roman"/>
        </w:rPr>
        <w:t xml:space="preserve">Reliability </w:t>
      </w:r>
      <w:r w:rsidRPr="004F4940" w:rsidR="466D1AC9">
        <w:rPr>
          <w:rFonts w:eastAsia="Times New Roman"/>
        </w:rPr>
        <w:t>Standard is clear that it requires generating units to be “capable” of operating continuously for 12 hours, and not that the units must actually operate when they would otherwise not be expected to operate.</w:t>
      </w:r>
      <w:r w:rsidRPr="004F4940" w:rsidR="47774779">
        <w:rPr>
          <w:rFonts w:eastAsia="Times New Roman"/>
        </w:rPr>
        <w:t xml:space="preserve">  NERC </w:t>
      </w:r>
      <w:r w:rsidRPr="004F4940" w:rsidR="00967BF2">
        <w:rPr>
          <w:rFonts w:eastAsia="Times New Roman"/>
        </w:rPr>
        <w:t xml:space="preserve">states </w:t>
      </w:r>
      <w:r w:rsidRPr="004F4940" w:rsidR="47774779">
        <w:rPr>
          <w:rFonts w:eastAsia="Times New Roman"/>
        </w:rPr>
        <w:t>in its petition that the</w:t>
      </w:r>
      <w:r w:rsidR="007D093B">
        <w:rPr>
          <w:rFonts w:eastAsia="Times New Roman"/>
        </w:rPr>
        <w:br/>
      </w:r>
      <w:r w:rsidRPr="007D093B" w:rsidR="47774779">
        <w:rPr>
          <w:rFonts w:eastAsia="Times New Roman"/>
        </w:rPr>
        <w:t>12-hour requirement is a minimum.</w:t>
      </w:r>
      <w:r>
        <w:rPr>
          <w:rStyle w:val="FootnoteReference"/>
          <w:rFonts w:eastAsia="Times New Roman"/>
        </w:rPr>
        <w:footnoteReference w:id="160"/>
      </w:r>
      <w:r w:rsidRPr="007D093B" w:rsidR="47774779">
        <w:rPr>
          <w:rFonts w:eastAsia="Times New Roman"/>
        </w:rPr>
        <w:t xml:space="preserve"> </w:t>
      </w:r>
      <w:r w:rsidRPr="007D093B" w:rsidR="2F9EDFF2">
        <w:rPr>
          <w:rFonts w:eastAsia="Times New Roman"/>
        </w:rPr>
        <w:t xml:space="preserve"> </w:t>
      </w:r>
      <w:r w:rsidRPr="007D093B" w:rsidR="00CE45B4">
        <w:rPr>
          <w:rFonts w:eastAsia="Times New Roman"/>
        </w:rPr>
        <w:t xml:space="preserve">However, we find </w:t>
      </w:r>
      <w:r w:rsidRPr="007D093B" w:rsidR="2F9EDFF2">
        <w:rPr>
          <w:rFonts w:eastAsia="Times New Roman"/>
        </w:rPr>
        <w:t xml:space="preserve">the phrase “continuous operation” </w:t>
      </w:r>
      <w:r w:rsidRPr="007D093B" w:rsidR="00133D96">
        <w:rPr>
          <w:rFonts w:eastAsia="Times New Roman"/>
        </w:rPr>
        <w:t xml:space="preserve">to be </w:t>
      </w:r>
      <w:r w:rsidRPr="007D093B" w:rsidR="00CE45B4">
        <w:rPr>
          <w:rFonts w:eastAsia="Times New Roman"/>
        </w:rPr>
        <w:t xml:space="preserve">confusing and subject to conflicting </w:t>
      </w:r>
      <w:r w:rsidRPr="007D093B" w:rsidR="00514888">
        <w:rPr>
          <w:rFonts w:eastAsia="Times New Roman"/>
        </w:rPr>
        <w:t>interpretations</w:t>
      </w:r>
      <w:r w:rsidRPr="007D093B" w:rsidR="2F9EDFF2">
        <w:rPr>
          <w:rFonts w:eastAsia="Times New Roman"/>
        </w:rPr>
        <w:t>.</w:t>
      </w:r>
      <w:r w:rsidRPr="007D093B" w:rsidR="00114EE4">
        <w:rPr>
          <w:rFonts w:eastAsia="Times New Roman"/>
        </w:rPr>
        <w:t xml:space="preserve">  We also note </w:t>
      </w:r>
      <w:r w:rsidR="007D093B">
        <w:rPr>
          <w:rFonts w:eastAsia="Times New Roman"/>
        </w:rPr>
        <w:br/>
      </w:r>
      <w:r w:rsidRPr="007D093B" w:rsidR="00114EE4">
        <w:rPr>
          <w:rFonts w:eastAsia="Times New Roman"/>
        </w:rPr>
        <w:t xml:space="preserve">that it creates confusion as to whether certain generating units can ever be capable of compliance.  </w:t>
      </w:r>
      <w:r w:rsidRPr="004F4940">
        <w:t>As Invenergy states, “solar generators are not capable of operating in a 12-hour period that extends beyond daylight hours, and, typically when there are freezing temperatures, the sun does not even shine for 12 hours.”</w:t>
      </w:r>
      <w:r>
        <w:rPr>
          <w:rStyle w:val="FootnoteReference"/>
        </w:rPr>
        <w:footnoteReference w:id="161"/>
      </w:r>
      <w:r w:rsidRPr="004F4940">
        <w:t xml:space="preserve">  And while Invenergy states that the “Standard Drafting Team indicated that the freeze protection measures must provide the level of protection that would allow for 12 continuous hours if the sun </w:t>
      </w:r>
      <w:r w:rsidR="007D093B">
        <w:br/>
      </w:r>
      <w:r w:rsidRPr="004F4940">
        <w:t>were to shine or the wind were to blow for the period,”</w:t>
      </w:r>
      <w:r>
        <w:rPr>
          <w:rStyle w:val="FootnoteReference"/>
        </w:rPr>
        <w:footnoteReference w:id="162"/>
      </w:r>
      <w:r w:rsidRPr="004F4940">
        <w:t xml:space="preserve"> the Reliability Standard Requirement</w:t>
      </w:r>
      <w:r w:rsidRPr="004F4940" w:rsidR="00D94305">
        <w:t>s</w:t>
      </w:r>
      <w:r w:rsidRPr="004F4940">
        <w:t xml:space="preserve"> </w:t>
      </w:r>
      <w:r w:rsidRPr="004F4940" w:rsidR="00D94305">
        <w:t>in EOP-012-1</w:t>
      </w:r>
      <w:r w:rsidRPr="004F4940">
        <w:t xml:space="preserve"> do not specify that.</w:t>
      </w:r>
      <w:r>
        <w:rPr>
          <w:rStyle w:val="FootnoteReference"/>
        </w:rPr>
        <w:footnoteReference w:id="163"/>
      </w:r>
      <w:r w:rsidRPr="004F4940">
        <w:t xml:space="preserve">  </w:t>
      </w:r>
      <w:r w:rsidRPr="007D093B" w:rsidR="00111441">
        <w:rPr>
          <w:rFonts w:eastAsia="Calibri"/>
          <w:szCs w:val="20"/>
        </w:rPr>
        <w:t xml:space="preserve">Thus, we direct </w:t>
      </w:r>
      <w:r w:rsidRPr="007D093B" w:rsidR="00111441">
        <w:rPr>
          <w:rFonts w:eastAsia="Times New Roman"/>
        </w:rPr>
        <w:t xml:space="preserve">NERC to modify </w:t>
      </w:r>
      <w:r w:rsidR="007D093B">
        <w:rPr>
          <w:rFonts w:eastAsia="Times New Roman"/>
        </w:rPr>
        <w:br/>
      </w:r>
      <w:r w:rsidRPr="007D093B" w:rsidR="00111441">
        <w:rPr>
          <w:rFonts w:eastAsia="Times New Roman"/>
        </w:rPr>
        <w:t xml:space="preserve">the Standard to clarify Reliability Standard EOP-012-1 Requirement R1 to ensure that generators that are technically incapable of operating for 12 continuous hours (e.g., solar facilities during winter months with less than 12 hours of sunlight) are not excluded </w:t>
      </w:r>
      <w:r w:rsidR="007D093B">
        <w:rPr>
          <w:rFonts w:eastAsia="Times New Roman"/>
        </w:rPr>
        <w:br/>
      </w:r>
      <w:r w:rsidRPr="007D093B" w:rsidR="00111441">
        <w:rPr>
          <w:rFonts w:eastAsia="Times New Roman"/>
        </w:rPr>
        <w:t>from complying with the Standard.  We direct NERC to submit the revised Reliability Standard no later than 12 months after the date of issuance of this order.</w:t>
      </w:r>
    </w:p>
    <w:p w:rsidR="007D093B" w:rsidP="009339C5" w14:paraId="06F6BFAF" w14:textId="77777777">
      <w:pPr>
        <w:pStyle w:val="FERCparanumber"/>
        <w:widowControl w:val="0"/>
        <w:suppressLineNumbers/>
        <w:spacing w:after="240"/>
        <w:rPr>
          <w:rFonts w:eastAsia="Calibri"/>
          <w:szCs w:val="20"/>
        </w:rPr>
      </w:pPr>
      <w:r w:rsidRPr="004F4940">
        <w:rPr>
          <w:rFonts w:eastAsia="Calibri"/>
          <w:szCs w:val="20"/>
        </w:rPr>
        <w:t xml:space="preserve">We </w:t>
      </w:r>
      <w:r w:rsidRPr="004F4940" w:rsidR="0093311B">
        <w:rPr>
          <w:rFonts w:eastAsia="Calibri"/>
          <w:szCs w:val="20"/>
        </w:rPr>
        <w:t xml:space="preserve">also </w:t>
      </w:r>
      <w:r w:rsidRPr="004F4940">
        <w:rPr>
          <w:rFonts w:eastAsia="Calibri"/>
          <w:szCs w:val="20"/>
        </w:rPr>
        <w:t xml:space="preserve">find that the one-hour continuous operations requirement in </w:t>
      </w:r>
      <w:r w:rsidRPr="004F4940" w:rsidR="0093311B">
        <w:rPr>
          <w:rFonts w:eastAsia="Calibri"/>
          <w:szCs w:val="20"/>
        </w:rPr>
        <w:t xml:space="preserve">Reliability Standard EOP-012-1 </w:t>
      </w:r>
      <w:r w:rsidRPr="004F4940">
        <w:rPr>
          <w:rFonts w:eastAsia="Calibri"/>
          <w:szCs w:val="20"/>
        </w:rPr>
        <w:t xml:space="preserve">Requirement R2 </w:t>
      </w:r>
      <w:r w:rsidRPr="004F4940" w:rsidR="00507228">
        <w:rPr>
          <w:rFonts w:eastAsia="Calibri"/>
          <w:szCs w:val="20"/>
        </w:rPr>
        <w:t>is too short</w:t>
      </w:r>
      <w:r w:rsidRPr="004F4940" w:rsidR="00F1507A">
        <w:rPr>
          <w:rFonts w:eastAsia="Calibri"/>
          <w:szCs w:val="20"/>
        </w:rPr>
        <w:t xml:space="preserve"> of </w:t>
      </w:r>
      <w:r w:rsidRPr="004F4940" w:rsidR="00507228">
        <w:rPr>
          <w:rFonts w:eastAsia="Calibri"/>
          <w:szCs w:val="20"/>
        </w:rPr>
        <w:t xml:space="preserve">a period to adequately meet the purpose of </w:t>
      </w:r>
      <w:r w:rsidRPr="004F4940" w:rsidR="00F1507A">
        <w:rPr>
          <w:rFonts w:eastAsia="Calibri"/>
          <w:szCs w:val="20"/>
        </w:rPr>
        <w:t>the Standard</w:t>
      </w:r>
      <w:r w:rsidRPr="004F4940" w:rsidR="00507228">
        <w:rPr>
          <w:rFonts w:eastAsia="Calibri"/>
          <w:szCs w:val="20"/>
        </w:rPr>
        <w:t xml:space="preserve"> to ensure</w:t>
      </w:r>
      <w:r w:rsidRPr="004F4940" w:rsidR="00221DF0">
        <w:rPr>
          <w:rFonts w:eastAsia="Calibri"/>
          <w:szCs w:val="20"/>
        </w:rPr>
        <w:t xml:space="preserve"> generating units </w:t>
      </w:r>
      <w:r w:rsidRPr="004F4940" w:rsidR="00507228">
        <w:rPr>
          <w:rFonts w:eastAsia="Calibri"/>
          <w:szCs w:val="20"/>
        </w:rPr>
        <w:t>“</w:t>
      </w:r>
      <w:r w:rsidRPr="004F4940" w:rsidR="00221DF0">
        <w:rPr>
          <w:rFonts w:eastAsia="Calibri"/>
          <w:szCs w:val="20"/>
        </w:rPr>
        <w:t>mitigate the reliability impacts of</w:t>
      </w:r>
    </w:p>
    <w:p w:rsidR="007D093B" w14:paraId="61AD0513" w14:textId="77777777">
      <w:pPr>
        <w:widowControl/>
        <w:spacing w:after="160" w:line="259" w:lineRule="auto"/>
        <w:rPr>
          <w:rFonts w:eastAsia="Calibri"/>
          <w:szCs w:val="20"/>
        </w:rPr>
      </w:pPr>
      <w:r>
        <w:rPr>
          <w:rFonts w:eastAsia="Calibri"/>
          <w:szCs w:val="20"/>
        </w:rPr>
        <w:br w:type="page"/>
      </w:r>
    </w:p>
    <w:p w:rsidR="009339C5" w:rsidRPr="009339C5" w:rsidP="007D093B" w14:paraId="0AD2BEC0" w14:textId="45A8A42F">
      <w:pPr>
        <w:pStyle w:val="FERCparanumber"/>
        <w:widowControl w:val="0"/>
        <w:numPr>
          <w:ilvl w:val="0"/>
          <w:numId w:val="0"/>
        </w:numPr>
        <w:suppressLineNumbers/>
        <w:spacing w:after="240"/>
        <w:rPr>
          <w:rFonts w:eastAsia="Times New Roman"/>
        </w:rPr>
      </w:pPr>
      <w:r w:rsidRPr="004F4940">
        <w:rPr>
          <w:rFonts w:eastAsia="Calibri"/>
          <w:szCs w:val="20"/>
        </w:rPr>
        <w:t>extreme cold weather</w:t>
      </w:r>
      <w:r w:rsidRPr="004F4940" w:rsidR="00507228">
        <w:rPr>
          <w:rFonts w:eastAsia="Calibri"/>
          <w:szCs w:val="20"/>
        </w:rPr>
        <w:t>”</w:t>
      </w:r>
      <w:r>
        <w:rPr>
          <w:rFonts w:eastAsia="Calibri"/>
          <w:b/>
          <w:szCs w:val="20"/>
          <w:vertAlign w:val="superscript"/>
        </w:rPr>
        <w:footnoteReference w:id="164"/>
      </w:r>
      <w:r w:rsidRPr="004F4940">
        <w:rPr>
          <w:rFonts w:eastAsia="Calibri"/>
          <w:szCs w:val="20"/>
        </w:rPr>
        <w:t xml:space="preserve">  </w:t>
      </w:r>
      <w:r w:rsidRPr="004F4940">
        <w:rPr>
          <w:rFonts w:eastAsia="Times New Roman"/>
        </w:rPr>
        <w:t>Thus, we direct NERC to modify the one-hour continuous operations requirement of Reliability Standard EOP-012-1 Requirement R2 to better align with the stated purpose of the Reliability Standard EOP-012-1.  We direct NERC to submit the revised Reliability Standard no later than 12 months after the date of issuance of this order.</w:t>
      </w:r>
      <w:r>
        <w:rPr>
          <w:rFonts w:eastAsia="Times New Roman"/>
        </w:rPr>
        <w:br/>
      </w:r>
    </w:p>
    <w:p w:rsidR="00AC6B35" w:rsidRPr="004F4940" w:rsidP="00251B0B" w14:paraId="07660638" w14:textId="0DD8F295">
      <w:pPr>
        <w:pStyle w:val="FERCparanumber"/>
        <w:widowControl w:val="0"/>
        <w:suppressLineNumbers/>
        <w:rPr>
          <w:rFonts w:eastAsia="Times New Roman"/>
        </w:rPr>
      </w:pPr>
      <w:r w:rsidRPr="004F4940">
        <w:rPr>
          <w:rFonts w:eastAsia="Times New Roman"/>
        </w:rPr>
        <w:t>We find</w:t>
      </w:r>
      <w:r w:rsidRPr="004F4940" w:rsidR="44CCDA69">
        <w:rPr>
          <w:rFonts w:eastAsia="Times New Roman"/>
        </w:rPr>
        <w:t xml:space="preserve"> </w:t>
      </w:r>
      <w:r w:rsidRPr="004F4940" w:rsidR="109B3309">
        <w:rPr>
          <w:rFonts w:eastAsia="Times New Roman"/>
        </w:rPr>
        <w:t>that it is premature to address TCPA’s recommendation that generator owners only submit annual progress reports on compliance.</w:t>
      </w:r>
      <w:r>
        <w:rPr>
          <w:rStyle w:val="FootnoteReference"/>
          <w:rFonts w:eastAsia="Times New Roman"/>
        </w:rPr>
        <w:footnoteReference w:id="165"/>
      </w:r>
      <w:r w:rsidRPr="004F4940" w:rsidR="109B3309">
        <w:rPr>
          <w:rFonts w:eastAsia="Times New Roman"/>
        </w:rPr>
        <w:t xml:space="preserve">  Nothing in proposed Reliability Standard EOP-012-1 mandates the submission of compliance reports and</w:t>
      </w:r>
      <w:r w:rsidRPr="004F4940" w:rsidR="7C05996E">
        <w:rPr>
          <w:rFonts w:eastAsia="Times New Roman"/>
        </w:rPr>
        <w:t xml:space="preserve"> </w:t>
      </w:r>
      <w:r w:rsidRPr="004F4940" w:rsidR="001C7FDA">
        <w:rPr>
          <w:rFonts w:eastAsia="Times New Roman"/>
        </w:rPr>
        <w:t>we are</w:t>
      </w:r>
      <w:r w:rsidRPr="004F4940" w:rsidR="7C05996E">
        <w:rPr>
          <w:rFonts w:eastAsia="Times New Roman"/>
        </w:rPr>
        <w:t xml:space="preserve"> already directing NERC to address periodic data submittals in this order</w:t>
      </w:r>
      <w:r w:rsidRPr="004F4940" w:rsidR="109B3309">
        <w:rPr>
          <w:rFonts w:eastAsia="Times New Roman"/>
        </w:rPr>
        <w:t>.</w:t>
      </w:r>
    </w:p>
    <w:p w:rsidR="005251A1" w:rsidRPr="004F4940" w:rsidP="00030E6F" w14:paraId="138FB58F" w14:textId="0F369078">
      <w:pPr>
        <w:pStyle w:val="FERCparanumber"/>
        <w:suppressLineNumbers/>
        <w:rPr>
          <w:rFonts w:eastAsia="Times New Roman"/>
        </w:rPr>
      </w:pPr>
      <w:r w:rsidRPr="004F4940">
        <w:rPr>
          <w:rFonts w:eastAsia="Times New Roman"/>
        </w:rPr>
        <w:t xml:space="preserve">Finally, for </w:t>
      </w:r>
      <w:r w:rsidRPr="004F4940" w:rsidR="008E04FE">
        <w:rPr>
          <w:rFonts w:eastAsia="Times New Roman"/>
        </w:rPr>
        <w:t>suggested revisions to</w:t>
      </w:r>
      <w:r w:rsidRPr="004F4940">
        <w:rPr>
          <w:rFonts w:eastAsia="Times New Roman"/>
        </w:rPr>
        <w:t xml:space="preserve"> NERC’s “Generator Cold Weather Reliability Event” definition to align better with the </w:t>
      </w:r>
      <w:r w:rsidRPr="004F4940" w:rsidR="00DB445E">
        <w:rPr>
          <w:rFonts w:eastAsia="Times New Roman"/>
        </w:rPr>
        <w:t>b</w:t>
      </w:r>
      <w:r w:rsidRPr="004F4940">
        <w:rPr>
          <w:rFonts w:eastAsia="Times New Roman"/>
        </w:rPr>
        <w:t xml:space="preserve">ulk </w:t>
      </w:r>
      <w:r w:rsidRPr="004F4940" w:rsidR="00DB445E">
        <w:rPr>
          <w:rFonts w:eastAsia="Times New Roman"/>
        </w:rPr>
        <w:t>e</w:t>
      </w:r>
      <w:r w:rsidRPr="004F4940">
        <w:rPr>
          <w:rFonts w:eastAsia="Times New Roman"/>
        </w:rPr>
        <w:t xml:space="preserve">lectric </w:t>
      </w:r>
      <w:r w:rsidRPr="004F4940" w:rsidR="00DB445E">
        <w:rPr>
          <w:rFonts w:eastAsia="Times New Roman"/>
        </w:rPr>
        <w:t>s</w:t>
      </w:r>
      <w:r w:rsidRPr="004F4940">
        <w:rPr>
          <w:rFonts w:eastAsia="Times New Roman"/>
        </w:rPr>
        <w:t>ystem definition</w:t>
      </w:r>
      <w:r w:rsidRPr="004F4940" w:rsidR="008E04FE">
        <w:rPr>
          <w:rFonts w:eastAsia="Times New Roman"/>
        </w:rPr>
        <w:t>,</w:t>
      </w:r>
      <w:r w:rsidRPr="004F4940">
        <w:rPr>
          <w:rFonts w:eastAsia="Times New Roman"/>
        </w:rPr>
        <w:t xml:space="preserve"> </w:t>
      </w:r>
      <w:r w:rsidRPr="004F4940" w:rsidR="003152C5">
        <w:rPr>
          <w:rFonts w:eastAsia="Times New Roman"/>
        </w:rPr>
        <w:t>and requests that Requirements R1 and R2 be removed from EOP-012-1 and be replaced with a requirement that balancing authorities instead ensure weather-resilient generation,</w:t>
      </w:r>
      <w:r>
        <w:rPr>
          <w:rFonts w:eastAsia="Times New Roman"/>
          <w:b/>
          <w:bCs/>
          <w:vertAlign w:val="superscript"/>
        </w:rPr>
        <w:footnoteReference w:id="166"/>
      </w:r>
      <w:r w:rsidRPr="004F4940" w:rsidR="003152C5">
        <w:rPr>
          <w:rFonts w:eastAsia="Times New Roman"/>
        </w:rPr>
        <w:t xml:space="preserve"> we decline to direct such modifications at this time.</w:t>
      </w:r>
    </w:p>
    <w:p w:rsidR="00A7521F" w:rsidRPr="004F4940" w:rsidP="00465D39" w14:paraId="3F0B2331" w14:textId="53FC4AE2">
      <w:pPr>
        <w:pStyle w:val="Heading3"/>
      </w:pPr>
      <w:r w:rsidRPr="004F4940">
        <w:t>Annual and Event-based Data Submittals</w:t>
      </w:r>
    </w:p>
    <w:p w:rsidR="00A7521F" w:rsidRPr="004F4940" w:rsidP="006739AD" w14:paraId="2951E62B" w14:textId="7EDCC092">
      <w:pPr>
        <w:pStyle w:val="FERCparanumber"/>
      </w:pPr>
      <w:r w:rsidRPr="004F4940">
        <w:t>NERC states that it plans to address data submittal requirements in phase two of its standard development process.</w:t>
      </w:r>
      <w:r>
        <w:rPr>
          <w:rStyle w:val="FootnoteReference"/>
          <w:rFonts w:eastAsia="Times New Roman"/>
        </w:rPr>
        <w:footnoteReference w:id="167"/>
      </w:r>
      <w:r w:rsidRPr="004F4940">
        <w:t xml:space="preserve">  We find that such data submittals are essential to assess the performance of the Standards towards assuring the reliability of the Bulk-Power System.  Specifically, we find that additional data and analysis is necessary to address the uncertainty created by the proposed technical, commercial, or operational constraint provisions, as discussed above in section 3.  </w:t>
      </w:r>
      <w:r w:rsidRPr="004F4940" w:rsidR="005420B9">
        <w:t>This data and analys</w:t>
      </w:r>
      <w:r w:rsidRPr="004F4940" w:rsidR="00A93D4D">
        <w:t xml:space="preserve">is </w:t>
      </w:r>
      <w:r w:rsidRPr="004F4940" w:rsidR="00755109">
        <w:t>are</w:t>
      </w:r>
      <w:r w:rsidRPr="004F4940" w:rsidR="00271F99">
        <w:t xml:space="preserve"> essential</w:t>
      </w:r>
      <w:r w:rsidRPr="004F4940">
        <w:t xml:space="preserve"> to assess how the generating units’ </w:t>
      </w:r>
      <w:bookmarkStart w:id="12" w:name="_Hlk127213943"/>
      <w:r w:rsidRPr="004F4940">
        <w:t>freeze protection measures (implemented to provide capability to operate at the Extreme Cold Weather Temperature) perform in future extreme cold weather events</w:t>
      </w:r>
      <w:bookmarkEnd w:id="12"/>
      <w:r w:rsidRPr="004F4940">
        <w:t>, as discussed above in section 4.</w:t>
      </w:r>
    </w:p>
    <w:p w:rsidR="00A7521F" w:rsidRPr="004F4940" w:rsidP="006739AD" w14:paraId="4F2DA33F" w14:textId="204A5077">
      <w:pPr>
        <w:pStyle w:val="FERCparanumber"/>
      </w:pPr>
      <w:r w:rsidRPr="004F4940">
        <w:t xml:space="preserve">Accordingly, we direct that NERC, pursuant to section 39.2(d) of the Commission’s regulations, </w:t>
      </w:r>
      <w:r w:rsidRPr="004F4940" w:rsidR="00351078">
        <w:t xml:space="preserve">work with Commission staff to </w:t>
      </w:r>
      <w:r w:rsidRPr="004F4940" w:rsidR="000824DD">
        <w:t>develop</w:t>
      </w:r>
      <w:r w:rsidRPr="004F4940" w:rsidR="00351078">
        <w:t xml:space="preserve"> and </w:t>
      </w:r>
      <w:r w:rsidRPr="004F4940">
        <w:t>submit a plan within 12 months of the issuance of this order explaining how it will gather data and submit an analysis that will allow the Commission to understand the efficacy of</w:t>
      </w:r>
      <w:r w:rsidRPr="004F4940" w:rsidR="00AF071E">
        <w:t>,</w:t>
      </w:r>
      <w:r w:rsidRPr="004F4940">
        <w:t xml:space="preserve"> and monitor the ongoing risk posed by:  (1) proposed technical, commercial, or operational </w:t>
      </w:r>
      <w:r w:rsidRPr="004F4940">
        <w:t xml:space="preserve">constraint provisions in EOP-012-1, Requirements R1, R6, and R7; </w:t>
      </w:r>
      <w:r w:rsidRPr="004F4940" w:rsidR="006739AD">
        <w:t>an</w:t>
      </w:r>
      <w:r w:rsidRPr="004F4940" w:rsidR="00F90933">
        <w:t>d</w:t>
      </w:r>
      <w:r w:rsidRPr="004F4940" w:rsidR="006739AD">
        <w:t xml:space="preserve"> </w:t>
      </w:r>
      <w:r w:rsidRPr="004F4940">
        <w:t>(2) actual performance of freeze protection measures during future extreme cold weather events.</w:t>
      </w:r>
    </w:p>
    <w:p w:rsidR="00A7521F" w:rsidRPr="004F4940" w:rsidP="006739AD" w14:paraId="24DC901D" w14:textId="1E2897B8">
      <w:pPr>
        <w:pStyle w:val="FERCparanumber"/>
      </w:pPr>
      <w:r w:rsidRPr="004F4940">
        <w:t xml:space="preserve">Regarding the proposed technical, commercial, or operational constraint provisions in EOP-012-1, Requirements R1, R6, and R7, NERC should </w:t>
      </w:r>
      <w:r w:rsidRPr="004F4940" w:rsidR="007B4B08">
        <w:t xml:space="preserve">work with Commission staff on the details of timing and what to </w:t>
      </w:r>
      <w:r w:rsidRPr="004F4940">
        <w:t xml:space="preserve">include in its  plan, </w:t>
      </w:r>
      <w:r w:rsidRPr="004F4940" w:rsidR="007B4B08">
        <w:t xml:space="preserve">which, </w:t>
      </w:r>
      <w:r w:rsidRPr="004F4940">
        <w:t xml:space="preserve">at a minimum, </w:t>
      </w:r>
      <w:r w:rsidRPr="004F4940" w:rsidR="007B4B08">
        <w:t xml:space="preserve">should include </w:t>
      </w:r>
      <w:r w:rsidRPr="004F4940">
        <w:t>collection of the following data:  (1) the generating units that have declared constraints under EOP-012-1 and the megawatts of generation that they represent, organized by fuel type; (2) the megawatts of generation for which declarations have been made for each type of constraint (technical, commercial, or operational), organized by fuel type; (3) the rationale(s) for each declaration; (4) the megawatts of generation within the generation owner/operator’s fleet currently capable of operating at each unit’s Extreme Cold Weather Temperature; (5) the projected megawatts for which the generator owner/operator expects to complete corrective action plans for each year; (6) the projected megawatts for which the generator owner/operator expects to implement corrective action plans for each year; and (7) the megawatts of generating units identified as “similar equipment”</w:t>
      </w:r>
      <w:r>
        <w:rPr>
          <w:rStyle w:val="FootnoteReference"/>
          <w:rFonts w:eastAsia="Times New Roman"/>
        </w:rPr>
        <w:footnoteReference w:id="168"/>
      </w:r>
      <w:r w:rsidRPr="004F4940">
        <w:t xml:space="preserve"> to which the generator owner has determined that the cause(s) for the Generator Cold Weather Reliability Event are also applicable, under R6.2, while also identifying any similar equipment that will receive a declaration.  </w:t>
      </w:r>
      <w:r w:rsidRPr="004F4940">
        <w:rPr>
          <w:rFonts w:eastAsia="Times New Roman"/>
        </w:rPr>
        <w:t>To provide the Commission with an ongoing assessment of the risk to the Bulk-Power System, NERC’s plan should include an annual informational filing to the Commission beginning 1</w:t>
      </w:r>
      <w:r w:rsidRPr="004F4940" w:rsidR="002A4EC8">
        <w:rPr>
          <w:rFonts w:eastAsia="Times New Roman"/>
        </w:rPr>
        <w:t>2</w:t>
      </w:r>
      <w:r w:rsidRPr="004F4940">
        <w:rPr>
          <w:rFonts w:eastAsia="Times New Roman"/>
        </w:rPr>
        <w:t xml:space="preserve"> months after the mandatory and enforceable date of the Standard.  The informational filing should include data on the seven for</w:t>
      </w:r>
      <w:r w:rsidRPr="004F4940" w:rsidR="00282A6A">
        <w:rPr>
          <w:rFonts w:eastAsia="Times New Roman"/>
        </w:rPr>
        <w:t>e</w:t>
      </w:r>
      <w:r w:rsidRPr="004F4940">
        <w:rPr>
          <w:rFonts w:eastAsia="Times New Roman"/>
        </w:rPr>
        <w:t>going categories aggregated at an appropriate level (e.g., Regional Entity, balancing authority, etc.)</w:t>
      </w:r>
      <w:r w:rsidRPr="004F4940" w:rsidR="000F0E29">
        <w:rPr>
          <w:rFonts w:eastAsia="Times New Roman"/>
        </w:rPr>
        <w:t xml:space="preserve">, and an analysis of the efficacy of the requirements of the </w:t>
      </w:r>
      <w:r w:rsidRPr="004F4940" w:rsidR="00FA7060">
        <w:rPr>
          <w:rFonts w:eastAsia="Times New Roman"/>
        </w:rPr>
        <w:t>Standard based on the data</w:t>
      </w:r>
      <w:r w:rsidRPr="004F4940">
        <w:rPr>
          <w:rFonts w:eastAsia="Times New Roman"/>
        </w:rPr>
        <w:t>.  Depending on the results of NERC’s data collection and analysis, the Commission will determine whether further modifications are needed to the Standard.</w:t>
      </w:r>
    </w:p>
    <w:p w:rsidR="00A7521F" w:rsidRPr="004F4940" w:rsidP="006739AD" w14:paraId="335224EC" w14:textId="4D8339C7">
      <w:pPr>
        <w:pStyle w:val="FERCparanumber"/>
      </w:pPr>
      <w:r w:rsidRPr="004F4940">
        <w:t xml:space="preserve">  NERC’s plan should also include how it will analyze the performance of generating units’ freeze protection measures (implemented to provide capability to operate at the Extreme Cold Weather Temperature) in future extreme cold weather events.  Depending on the results of NERC’s data collection and analysis, the Commission will determine whether further modifications are needed to the definitions or the Standard.</w:t>
      </w:r>
      <w:bookmarkStart w:id="13" w:name="_Hlk127214214"/>
      <w:r w:rsidRPr="004F4940">
        <w:t xml:space="preserve"> </w:t>
      </w:r>
      <w:bookmarkEnd w:id="13"/>
    </w:p>
    <w:p w:rsidR="00DD29CE" w:rsidRPr="004F4940" w:rsidP="00710D39" w14:paraId="2FF62D62" w14:textId="079E4216">
      <w:pPr>
        <w:pStyle w:val="Heading1"/>
        <w:keepNext w:val="0"/>
        <w:keepLines w:val="0"/>
        <w:widowControl w:val="0"/>
        <w:suppressLineNumbers/>
        <w:rPr>
          <w:rFonts w:eastAsia="Times New Roman"/>
        </w:rPr>
      </w:pPr>
      <w:r w:rsidRPr="004F4940">
        <w:rPr>
          <w:rFonts w:eastAsia="Times New Roman"/>
        </w:rPr>
        <w:t xml:space="preserve">Information Collection Statement </w:t>
      </w:r>
    </w:p>
    <w:bookmarkEnd w:id="2"/>
    <w:p w:rsidR="00190CB5" w:rsidRPr="004F4940" w:rsidP="00190CB5" w14:paraId="1237D75B" w14:textId="5D2F0822">
      <w:pPr>
        <w:pStyle w:val="FERCparanumber"/>
      </w:pPr>
      <w:r w:rsidRPr="004F4940">
        <w:t>The information collection requirements contained in this Final Rule are subject to review by the Office of Management and Budget (OMB) under section 3507(d) of the Paperwork Reduction Act of 1995.</w:t>
      </w:r>
      <w:r>
        <w:rPr>
          <w:b/>
          <w:vertAlign w:val="superscript"/>
        </w:rPr>
        <w:footnoteReference w:id="169"/>
      </w:r>
      <w:r w:rsidRPr="004F4940">
        <w:t xml:space="preserve">  OMB’s regulations require approval of certain </w:t>
      </w:r>
      <w:r w:rsidRPr="004F4940">
        <w:t>information collection requirements imposed by agency rules.</w:t>
      </w:r>
      <w:r>
        <w:rPr>
          <w:b/>
          <w:vertAlign w:val="superscript"/>
        </w:rPr>
        <w:footnoteReference w:id="170"/>
      </w:r>
      <w:r w:rsidRPr="004F4940">
        <w:t xml:space="preserve">  Upon approval of a collection of information, OMB will assign an OMB control number and expiration date.  </w:t>
      </w:r>
      <w:r w:rsidRPr="004F4940" w:rsidR="00A64E37">
        <w:t xml:space="preserve">Comments on the collection of information are due within 60 days of the date this order is published in the </w:t>
      </w:r>
      <w:r w:rsidRPr="004F4940" w:rsidR="00A64E37">
        <w:rPr>
          <w:i/>
          <w:iCs/>
        </w:rPr>
        <w:t>Federal Register</w:t>
      </w:r>
      <w:r w:rsidRPr="004F4940" w:rsidR="00A64E37">
        <w:t xml:space="preserve">.  </w:t>
      </w:r>
      <w:r w:rsidRPr="004F4940">
        <w:t>Respondents subject to the filing requirements of this rule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743585" w:rsidRPr="004F4940" w:rsidP="00743585" w14:paraId="034D6DDE" w14:textId="6B11E642">
      <w:pPr>
        <w:pStyle w:val="FERCparanumber"/>
      </w:pPr>
      <w:r w:rsidRPr="004F4940">
        <w:t xml:space="preserve">The EOP </w:t>
      </w:r>
      <w:r w:rsidRPr="004F4940" w:rsidR="004606B3">
        <w:t>S</w:t>
      </w:r>
      <w:r w:rsidRPr="004F4940">
        <w:t>tandards are currently located in the FERC</w:t>
      </w:r>
      <w:r w:rsidRPr="004F4940" w:rsidR="00331424">
        <w:t>-</w:t>
      </w:r>
      <w:r w:rsidRPr="004F4940">
        <w:t xml:space="preserve">725S (OMB Control </w:t>
      </w:r>
      <w:r w:rsidR="007D093B">
        <w:br/>
      </w:r>
      <w:r w:rsidRPr="004F4940">
        <w:t xml:space="preserve">No. 1902-0270) collection. </w:t>
      </w:r>
      <w:r w:rsidRPr="004F4940" w:rsidR="004606B3">
        <w:t xml:space="preserve"> </w:t>
      </w:r>
      <w:r w:rsidRPr="004F4940">
        <w:t xml:space="preserve">The collection is currently approved by OMB and contains </w:t>
      </w:r>
      <w:r w:rsidRPr="004F4940" w:rsidR="00B92C18">
        <w:t>Reliability Standards</w:t>
      </w:r>
      <w:r w:rsidRPr="004F4940">
        <w:t xml:space="preserve"> EOP-010-1, EOP-011-1, EOP-004-4, EOP 005-3, EOP-006-3, EOP-008-2 (Table 1).  In</w:t>
      </w:r>
      <w:r w:rsidRPr="004F4940" w:rsidR="00B92C18">
        <w:t xml:space="preserve"> Docket No.</w:t>
      </w:r>
      <w:r w:rsidRPr="004F4940">
        <w:t xml:space="preserve"> RD23-1-000, the Commission proposes to replace the current</w:t>
      </w:r>
      <w:r w:rsidRPr="004F4940" w:rsidR="00687151">
        <w:t xml:space="preserve"> OMB </w:t>
      </w:r>
      <w:r w:rsidRPr="004F4940" w:rsidR="003B06DD">
        <w:t>approved Reliability</w:t>
      </w:r>
      <w:r w:rsidRPr="004F4940" w:rsidR="00AE25A5">
        <w:t xml:space="preserve"> </w:t>
      </w:r>
      <w:r w:rsidRPr="004F4940" w:rsidR="004A24CA">
        <w:t>Standard</w:t>
      </w:r>
      <w:r w:rsidRPr="004F4940" w:rsidR="00AE25A5">
        <w:t xml:space="preserve"> </w:t>
      </w:r>
      <w:r w:rsidRPr="004F4940">
        <w:t>EOP-011-1</w:t>
      </w:r>
      <w:r>
        <w:rPr>
          <w:rStyle w:val="FootnoteReference"/>
        </w:rPr>
        <w:footnoteReference w:id="171"/>
      </w:r>
      <w:r w:rsidRPr="004F4940">
        <w:t xml:space="preserve"> with </w:t>
      </w:r>
      <w:r w:rsidRPr="004F4940" w:rsidR="004A24CA">
        <w:t xml:space="preserve">Reliability Standard </w:t>
      </w:r>
      <w:r w:rsidRPr="004F4940">
        <w:t xml:space="preserve">EOP-011-3 (Table 2) and add a new information collection line item for </w:t>
      </w:r>
      <w:r w:rsidRPr="004F4940" w:rsidR="004A24CA">
        <w:t>Reliability Standard</w:t>
      </w:r>
      <w:r w:rsidRPr="004F4940">
        <w:t xml:space="preserve"> EOP-012-1 (Table 3).</w:t>
      </w:r>
    </w:p>
    <w:p w:rsidR="0094034D" w:rsidRPr="004F4940" w:rsidP="0094034D" w14:paraId="4C7C8CC7" w14:textId="77777777">
      <w:pPr>
        <w:pStyle w:val="FERCparanumber"/>
        <w:rPr>
          <w:i/>
          <w:iCs/>
        </w:rPr>
      </w:pPr>
      <w:r w:rsidRPr="004F4940">
        <w:t>The number of respondents below is based on an estimate of the NERC compliance registry for balancing authorit</w:t>
      </w:r>
      <w:r w:rsidRPr="004F4940" w:rsidR="00A51A22">
        <w:t>ies</w:t>
      </w:r>
      <w:r w:rsidRPr="004F4940">
        <w:t>, transmission operator</w:t>
      </w:r>
      <w:r w:rsidRPr="004F4940" w:rsidR="00A51A22">
        <w:t>s</w:t>
      </w:r>
      <w:r w:rsidRPr="004F4940">
        <w:t>, generator operator</w:t>
      </w:r>
      <w:r w:rsidRPr="004F4940" w:rsidR="00A51A22">
        <w:t>s</w:t>
      </w:r>
      <w:r w:rsidRPr="004F4940">
        <w:t>, generator owner</w:t>
      </w:r>
      <w:r w:rsidRPr="004F4940" w:rsidR="00B46D61">
        <w:t>s,</w:t>
      </w:r>
      <w:r w:rsidRPr="004F4940">
        <w:t xml:space="preserve"> and reliability coordinator</w:t>
      </w:r>
      <w:r w:rsidRPr="004F4940" w:rsidR="00B46D61">
        <w:t>s</w:t>
      </w:r>
      <w:r w:rsidRPr="004F4940">
        <w:t xml:space="preserve">.  </w:t>
      </w:r>
      <w:r w:rsidRPr="004F4940" w:rsidR="0095083A">
        <w:t>Reliability Standards EOP-0</w:t>
      </w:r>
      <w:r w:rsidRPr="004F4940" w:rsidR="4E6F10C9">
        <w:t>1</w:t>
      </w:r>
      <w:r w:rsidRPr="004F4940" w:rsidR="0095083A">
        <w:t>1-</w:t>
      </w:r>
      <w:r w:rsidRPr="004F4940" w:rsidR="005B5BC6">
        <w:t>3 and EOP</w:t>
      </w:r>
      <w:r w:rsidRPr="004F4940" w:rsidR="004C6E47">
        <w:t>-012-1 apply to balancing authorities</w:t>
      </w:r>
      <w:r w:rsidRPr="004F4940" w:rsidR="003845EB">
        <w:t>, transmission operators, generator operators</w:t>
      </w:r>
      <w:r w:rsidRPr="004F4940" w:rsidR="006720AF">
        <w:t xml:space="preserve">, and reliability coordinators.  </w:t>
      </w:r>
      <w:r w:rsidRPr="004F4940">
        <w:t>The Commission based its paperwork burden estimates on the NERC compliance registry as of November 4, 2022.  According to the registry, there are 98 balancing authorities, 168 transmission operators, 981 generator operators, 1,107 generator owners</w:t>
      </w:r>
      <w:r w:rsidRPr="004F4940" w:rsidR="00BA67A9">
        <w:t>,</w:t>
      </w:r>
      <w:r w:rsidRPr="004F4940">
        <w:t xml:space="preserve"> and 12 reliability coordinators.  The estimates </w:t>
      </w:r>
      <w:r w:rsidRPr="004F4940" w:rsidR="008B7EF2">
        <w:t xml:space="preserve">in the tables below </w:t>
      </w:r>
      <w:r w:rsidRPr="004F4940">
        <w:t xml:space="preserve">are based on the change in burden from the current </w:t>
      </w:r>
      <w:r w:rsidRPr="004F4940" w:rsidR="00957EC8">
        <w:t xml:space="preserve">EOP Reliability </w:t>
      </w:r>
      <w:r w:rsidRPr="004F4940" w:rsidR="00B46D61">
        <w:t>S</w:t>
      </w:r>
      <w:r w:rsidRPr="004F4940">
        <w:t xml:space="preserve">tandards to the </w:t>
      </w:r>
      <w:r w:rsidRPr="004F4940" w:rsidR="008B7EF2">
        <w:t xml:space="preserve">Reliability </w:t>
      </w:r>
      <w:r w:rsidRPr="004F4940" w:rsidR="00B46D61">
        <w:t>S</w:t>
      </w:r>
      <w:r w:rsidRPr="004F4940">
        <w:t xml:space="preserve">tandards approved in this </w:t>
      </w:r>
      <w:r w:rsidRPr="004F4940" w:rsidR="00B46D61">
        <w:t>o</w:t>
      </w:r>
      <w:r w:rsidRPr="004F4940">
        <w:t xml:space="preserve">rder.  The Commission based the burden estimates </w:t>
      </w:r>
      <w:r w:rsidRPr="004F4940" w:rsidR="00957EC8">
        <w:t xml:space="preserve">in the tables below </w:t>
      </w:r>
      <w:r w:rsidRPr="004F4940">
        <w:t>on staff experience, knowledge, and expertise.</w:t>
      </w:r>
    </w:p>
    <w:p w:rsidR="00D30D6F" w:rsidRPr="004F4940" w:rsidP="00D30D6F" w14:paraId="613191CC" w14:textId="4420E7C2">
      <w:pPr>
        <w:pStyle w:val="FERCparanumber"/>
      </w:pPr>
      <w:r w:rsidRPr="004F4940">
        <w:t xml:space="preserve">The estimates in the tables below are based, in combination, on one-time (years 1 and 2) and ongoing execution (year 3) obligations to follow the revised </w:t>
      </w:r>
      <w:r w:rsidRPr="004F4940" w:rsidR="00391A12">
        <w:t xml:space="preserve">EOP </w:t>
      </w:r>
      <w:r w:rsidRPr="004F4940">
        <w:t>Reliability Standards.</w:t>
      </w:r>
    </w:p>
    <w:p w:rsidR="00094A03" w:rsidRPr="004F4940" w:rsidP="00094A03" w14:paraId="45B33858" w14:textId="6E100525">
      <w:pPr>
        <w:pStyle w:val="FERCparanumber"/>
      </w:pPr>
      <w:r w:rsidRPr="004F4940">
        <w:t xml:space="preserve">The </w:t>
      </w:r>
      <w:r w:rsidRPr="004F4940" w:rsidR="004F74FD">
        <w:t xml:space="preserve">Reliability Standard </w:t>
      </w:r>
      <w:r w:rsidRPr="004F4940">
        <w:t xml:space="preserve">EOP-011-3 modifications </w:t>
      </w:r>
      <w:r w:rsidRPr="004F4940" w:rsidR="009F6416">
        <w:t>transfer</w:t>
      </w:r>
      <w:r w:rsidRPr="004F4940" w:rsidR="00AC2F7E">
        <w:t xml:space="preserve"> </w:t>
      </w:r>
      <w:r w:rsidRPr="004F4940" w:rsidR="002A1153">
        <w:t>R</w:t>
      </w:r>
      <w:r w:rsidRPr="004F4940">
        <w:t xml:space="preserve">equirements </w:t>
      </w:r>
      <w:r w:rsidRPr="004F4940" w:rsidR="002A1153">
        <w:t>R7 and R</w:t>
      </w:r>
      <w:r w:rsidRPr="004F4940" w:rsidR="003B06DD">
        <w:t>8 to</w:t>
      </w:r>
      <w:r w:rsidRPr="004F4940">
        <w:t xml:space="preserve"> </w:t>
      </w:r>
      <w:r w:rsidRPr="004F4940" w:rsidR="009E69F6">
        <w:t xml:space="preserve">Reliability Standard </w:t>
      </w:r>
      <w:r w:rsidRPr="004F4940">
        <w:t xml:space="preserve">EOP-012-1, as described below.  For </w:t>
      </w:r>
      <w:r w:rsidRPr="004F4940" w:rsidR="009E69F6">
        <w:t>Reliability Standard</w:t>
      </w:r>
      <w:r w:rsidRPr="004F4940">
        <w:t xml:space="preserve"> EOP-011-3, transmission operators and to a much lesser extent, balancing authorities</w:t>
      </w:r>
      <w:r w:rsidRPr="004F4940" w:rsidR="001963F4">
        <w:t>,</w:t>
      </w:r>
      <w:r w:rsidRPr="004F4940">
        <w:t xml:space="preserve"> still have a one-time cost to modify existing </w:t>
      </w:r>
      <w:r w:rsidRPr="004F4940" w:rsidR="0009566C">
        <w:t>o</w:t>
      </w:r>
      <w:r w:rsidRPr="004F4940">
        <w:t xml:space="preserve">perating </w:t>
      </w:r>
      <w:r w:rsidRPr="004F4940" w:rsidR="0009566C">
        <w:t>p</w:t>
      </w:r>
      <w:r w:rsidRPr="004F4940">
        <w:t xml:space="preserve">lans based on revisions to </w:t>
      </w:r>
      <w:r w:rsidRPr="004F4940" w:rsidR="009E69F6">
        <w:t xml:space="preserve">Reliability Standard </w:t>
      </w:r>
      <w:r w:rsidRPr="004F4940">
        <w:t>EOP-011-3 (R</w:t>
      </w:r>
      <w:r w:rsidRPr="004F4940" w:rsidR="00586C92">
        <w:t>equirements R</w:t>
      </w:r>
      <w:r w:rsidRPr="004F4940">
        <w:t xml:space="preserve">1 and R2) and to mitigate operating </w:t>
      </w:r>
      <w:r w:rsidRPr="004F4940" w:rsidR="008B3C0C">
        <w:t>e</w:t>
      </w:r>
      <w:r w:rsidRPr="004F4940">
        <w:t xml:space="preserve">mergencies related to cold weather conditions.  Additionally, reliability coordinators will need to review the modified </w:t>
      </w:r>
      <w:r w:rsidRPr="004F4940" w:rsidR="00C15644">
        <w:t>o</w:t>
      </w:r>
      <w:r w:rsidRPr="004F4940">
        <w:t xml:space="preserve">perating </w:t>
      </w:r>
      <w:r w:rsidRPr="004F4940" w:rsidR="00C15644">
        <w:t>p</w:t>
      </w:r>
      <w:r w:rsidRPr="004F4940">
        <w:t>lans of the transmission operators.  In year three and ongoing, the transmission operator and reliability coordinator estimates are lower to reflect lower paperwork burden for upkeep and review</w:t>
      </w:r>
      <w:r w:rsidRPr="004F4940" w:rsidR="00A74B4B">
        <w:t xml:space="preserve"> of</w:t>
      </w:r>
      <w:r w:rsidRPr="004F4940">
        <w:t xml:space="preserve"> the </w:t>
      </w:r>
      <w:r w:rsidRPr="004F4940" w:rsidR="002E615D">
        <w:t>o</w:t>
      </w:r>
      <w:r w:rsidRPr="004F4940">
        <w:t xml:space="preserve">perating </w:t>
      </w:r>
      <w:r w:rsidRPr="004F4940" w:rsidR="002E615D">
        <w:t>p</w:t>
      </w:r>
      <w:r w:rsidRPr="004F4940">
        <w:t xml:space="preserve">lans for emergencies based on the modified </w:t>
      </w:r>
      <w:r w:rsidRPr="004F4940" w:rsidR="009E69F6">
        <w:t>Reliability Standard</w:t>
      </w:r>
      <w:r w:rsidRPr="004F4940">
        <w:t xml:space="preserve"> EOP-011-3 </w:t>
      </w:r>
      <w:r w:rsidRPr="004F4940" w:rsidR="00B656C1">
        <w:t xml:space="preserve">to ensure that </w:t>
      </w:r>
      <w:r w:rsidRPr="004F4940" w:rsidR="00D560C5">
        <w:t xml:space="preserve">the </w:t>
      </w:r>
      <w:r w:rsidRPr="004F4940">
        <w:t xml:space="preserve">new requirements are in place and </w:t>
      </w:r>
      <w:r w:rsidRPr="004F4940" w:rsidR="00EB1394">
        <w:t xml:space="preserve">that </w:t>
      </w:r>
      <w:r w:rsidRPr="004F4940">
        <w:t>applicable entities are following those plans.</w:t>
      </w:r>
    </w:p>
    <w:p w:rsidR="00743585" w:rsidRPr="004F4940" w:rsidP="00CC0E91" w14:paraId="07855DC4" w14:textId="1B90044F">
      <w:pPr>
        <w:pStyle w:val="FERCparanumber"/>
      </w:pPr>
      <w:r w:rsidRPr="004F4940">
        <w:t>The new Reliability Standard</w:t>
      </w:r>
      <w:r w:rsidRPr="004F4940" w:rsidR="0019238E">
        <w:t xml:space="preserve"> EOP-012-1</w:t>
      </w:r>
      <w:r w:rsidRPr="004F4940">
        <w:t>,</w:t>
      </w:r>
      <w:r w:rsidRPr="004F4940" w:rsidR="00AF52DF">
        <w:t xml:space="preserve"> which is</w:t>
      </w:r>
      <w:r w:rsidRPr="004F4940">
        <w:t xml:space="preserve"> applicable to 1,107 generator owners and 981 generator operators,</w:t>
      </w:r>
      <w:r w:rsidRPr="004F4940" w:rsidR="00192C88">
        <w:t xml:space="preserve"> contains</w:t>
      </w:r>
      <w:r w:rsidRPr="004F4940" w:rsidR="00EB1394">
        <w:t xml:space="preserve"> several</w:t>
      </w:r>
      <w:r w:rsidRPr="004F4940" w:rsidR="00192C88">
        <w:t xml:space="preserve"> </w:t>
      </w:r>
      <w:r w:rsidRPr="004F4940">
        <w:t xml:space="preserve">new requirements and two requirements from </w:t>
      </w:r>
      <w:r w:rsidRPr="004F4940" w:rsidR="00FA392F">
        <w:t xml:space="preserve">Reliability Standard </w:t>
      </w:r>
      <w:r w:rsidRPr="004F4940">
        <w:t xml:space="preserve">EOP-011-2 </w:t>
      </w:r>
      <w:r w:rsidRPr="004F4940" w:rsidR="00EB1394">
        <w:t xml:space="preserve">that </w:t>
      </w:r>
      <w:r w:rsidRPr="004F4940">
        <w:t xml:space="preserve">have been moved </w:t>
      </w:r>
      <w:r w:rsidRPr="004F4940" w:rsidR="00192C88">
        <w:t>to</w:t>
      </w:r>
      <w:r w:rsidRPr="004F4940">
        <w:t xml:space="preserve"> </w:t>
      </w:r>
      <w:r w:rsidRPr="004F4940" w:rsidR="00FA392F">
        <w:t xml:space="preserve">Reliability Standard </w:t>
      </w:r>
      <w:r w:rsidRPr="004F4940">
        <w:t>EOP-012-1.  In year three and ongoing, the estimates are lower to reflect t</w:t>
      </w:r>
      <w:r w:rsidRPr="004F4940" w:rsidR="00192C88">
        <w:t>hat t</w:t>
      </w:r>
      <w:r w:rsidRPr="004F4940">
        <w:t xml:space="preserve">he implementation plan(s) to mitigate the reliability </w:t>
      </w:r>
      <w:r w:rsidRPr="004F4940" w:rsidR="00EE42DA">
        <w:t>effects</w:t>
      </w:r>
      <w:r w:rsidRPr="004F4940">
        <w:t xml:space="preserve"> of extreme cold weather </w:t>
      </w:r>
      <w:r w:rsidRPr="004F4940" w:rsidR="00655F45">
        <w:t xml:space="preserve">conditions </w:t>
      </w:r>
      <w:r w:rsidRPr="004F4940">
        <w:t xml:space="preserve">on generating units are in place and </w:t>
      </w:r>
      <w:r w:rsidRPr="004F4940" w:rsidR="00655F45">
        <w:t xml:space="preserve">that </w:t>
      </w:r>
      <w:r w:rsidRPr="004F4940">
        <w:t>entities are familiar with the EOP-012-1 requirements.</w:t>
      </w:r>
    </w:p>
    <w:p w:rsidR="00D16290" w:rsidRPr="004F4940" w:rsidP="00710D39" w14:paraId="226ADADB" w14:textId="698415C2">
      <w:pPr>
        <w:pStyle w:val="FERCparanumber"/>
        <w:widowControl w:val="0"/>
        <w:suppressLineNumbers/>
        <w:rPr>
          <w:rFonts w:eastAsia="Times New Roman"/>
        </w:rPr>
      </w:pPr>
      <w:r w:rsidRPr="004F4940">
        <w:rPr>
          <w:rFonts w:eastAsia="Times New Roman"/>
        </w:rPr>
        <w:t>Burden Estimates:  The Commission estimates the changes in the annual public reporting burden and cost as indicated in the tables below:</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428"/>
        <w:gridCol w:w="1342"/>
        <w:gridCol w:w="1233"/>
        <w:gridCol w:w="1240"/>
        <w:gridCol w:w="1301"/>
        <w:gridCol w:w="1342"/>
      </w:tblGrid>
      <w:tr w14:paraId="4FB5F1B1" w14:textId="77777777" w:rsidTr="00070273">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A53DF9" w:rsidRPr="004F4940" w:rsidP="00A97F95" w14:paraId="785AD54D" w14:textId="77777777">
            <w:pPr>
              <w:pStyle w:val="FERCparanumber"/>
              <w:numPr>
                <w:ilvl w:val="0"/>
                <w:numId w:val="0"/>
              </w:numPr>
              <w:spacing w:before="240"/>
              <w:jc w:val="center"/>
              <w:rPr>
                <w:b/>
                <w:bCs/>
              </w:rPr>
            </w:pPr>
            <w:r w:rsidRPr="004F4940">
              <w:rPr>
                <w:b/>
                <w:bCs/>
              </w:rPr>
              <w:t>Table 1: Current costs and burden related to FERC-725S (1902-0270)</w:t>
            </w:r>
          </w:p>
        </w:tc>
      </w:tr>
      <w:tr w14:paraId="14DFCD0B"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53DF9" w:rsidRPr="004F4940" w:rsidP="00070273" w14:paraId="120603EC" w14:textId="77777777">
            <w:pPr>
              <w:rPr>
                <w:b/>
                <w:sz w:val="24"/>
                <w:szCs w:val="20"/>
              </w:rPr>
            </w:pPr>
            <w:r w:rsidRPr="004F4940">
              <w:rPr>
                <w:b/>
                <w:sz w:val="24"/>
                <w:szCs w:val="20"/>
              </w:rPr>
              <w:t>Reliability Standard and Associated Requirement</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53DF9" w:rsidRPr="004F4940" w:rsidP="00EB79C8" w14:paraId="0BD12870" w14:textId="77777777">
            <w:pPr>
              <w:rPr>
                <w:b/>
                <w:sz w:val="24"/>
                <w:szCs w:val="20"/>
              </w:rPr>
            </w:pPr>
            <w:r w:rsidRPr="004F4940">
              <w:rPr>
                <w:b/>
                <w:sz w:val="24"/>
                <w:szCs w:val="20"/>
              </w:rPr>
              <w:t>Number of Respondents</w:t>
            </w:r>
            <w:r w:rsidRPr="004F4940">
              <w:rPr>
                <w:b/>
                <w:sz w:val="24"/>
                <w:szCs w:val="20"/>
              </w:rPr>
              <w:br/>
              <w:t>(1)</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53DF9" w:rsidRPr="004F4940" w:rsidP="00070273" w14:paraId="720910E6" w14:textId="77777777">
            <w:pPr>
              <w:rPr>
                <w:b/>
                <w:sz w:val="24"/>
                <w:szCs w:val="20"/>
              </w:rPr>
            </w:pPr>
            <w:r w:rsidRPr="004F4940">
              <w:rPr>
                <w:b/>
                <w:sz w:val="24"/>
                <w:szCs w:val="20"/>
              </w:rPr>
              <w:t>Annual Number of Responses per Respondent</w:t>
            </w:r>
          </w:p>
          <w:p w:rsidR="00A53DF9" w:rsidRPr="004F4940" w:rsidP="00070273" w14:paraId="60DA3AF1" w14:textId="77777777">
            <w:pPr>
              <w:rPr>
                <w:b/>
                <w:sz w:val="24"/>
                <w:szCs w:val="20"/>
              </w:rPr>
            </w:pPr>
            <w:r w:rsidRPr="004F4940">
              <w:rPr>
                <w:b/>
                <w:sz w:val="24"/>
                <w:szCs w:val="20"/>
              </w:rPr>
              <w:t>(2)</w:t>
            </w:r>
          </w:p>
        </w:tc>
        <w:tc>
          <w:tcPr>
            <w:tcW w:w="80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53DF9" w:rsidRPr="004F4940" w:rsidP="00070273" w14:paraId="2F142544" w14:textId="77777777">
            <w:pPr>
              <w:rPr>
                <w:b/>
                <w:sz w:val="24"/>
                <w:szCs w:val="20"/>
              </w:rPr>
            </w:pPr>
            <w:r w:rsidRPr="004F4940">
              <w:rPr>
                <w:b/>
                <w:sz w:val="24"/>
                <w:szCs w:val="20"/>
              </w:rPr>
              <w:t>Total Number of Responses (</w:t>
            </w:r>
            <w:r w:rsidRPr="004F4940">
              <w:rPr>
                <w:b/>
                <w:sz w:val="24"/>
                <w:szCs w:val="20"/>
              </w:rPr>
              <w:t>1)*</w:t>
            </w:r>
            <w:r w:rsidRPr="004F4940">
              <w:rPr>
                <w:b/>
                <w:sz w:val="24"/>
                <w:szCs w:val="20"/>
              </w:rPr>
              <w:t>(2)=(3)</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53DF9" w:rsidRPr="004F4940" w:rsidP="00070273" w14:paraId="32E662E4" w14:textId="77777777">
            <w:pPr>
              <w:rPr>
                <w:b/>
                <w:sz w:val="24"/>
                <w:szCs w:val="20"/>
              </w:rPr>
            </w:pPr>
            <w:r w:rsidRPr="004F4940">
              <w:rPr>
                <w:b/>
                <w:sz w:val="24"/>
                <w:szCs w:val="20"/>
              </w:rPr>
              <w:t>Average Burden &amp; Cost Per Response</w:t>
            </w:r>
          </w:p>
          <w:p w:rsidR="00A53DF9" w:rsidRPr="004F4940" w:rsidP="00070273" w14:paraId="4B6C9FB7" w14:textId="77777777">
            <w:pPr>
              <w:rPr>
                <w:b/>
                <w:sz w:val="24"/>
                <w:szCs w:val="20"/>
              </w:rPr>
            </w:pPr>
            <w:r w:rsidRPr="004F4940">
              <w:rPr>
                <w:b/>
                <w:sz w:val="24"/>
                <w:szCs w:val="20"/>
              </w:rPr>
              <w:t>(4)</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53DF9" w:rsidRPr="004F4940" w:rsidP="00070273" w14:paraId="213815FC" w14:textId="77777777">
            <w:pPr>
              <w:rPr>
                <w:b/>
                <w:sz w:val="24"/>
                <w:szCs w:val="20"/>
              </w:rPr>
            </w:pPr>
            <w:r w:rsidRPr="004F4940">
              <w:rPr>
                <w:b/>
                <w:sz w:val="24"/>
                <w:szCs w:val="20"/>
              </w:rPr>
              <w:t>Total Annual Burden &amp; Total Annual Cost</w:t>
            </w:r>
          </w:p>
          <w:p w:rsidR="00A53DF9" w:rsidRPr="004F4940" w:rsidP="00070273" w14:paraId="7FB02A9A" w14:textId="77777777">
            <w:pPr>
              <w:rPr>
                <w:b/>
                <w:sz w:val="24"/>
                <w:szCs w:val="20"/>
              </w:rPr>
            </w:pPr>
            <w:r w:rsidRPr="004F4940">
              <w:rPr>
                <w:b/>
                <w:sz w:val="24"/>
                <w:szCs w:val="20"/>
              </w:rPr>
              <w:t>(</w:t>
            </w:r>
            <w:r w:rsidRPr="004F4940">
              <w:rPr>
                <w:b/>
                <w:sz w:val="24"/>
                <w:szCs w:val="20"/>
              </w:rPr>
              <w:t>3)*</w:t>
            </w:r>
            <w:r w:rsidRPr="004F4940">
              <w:rPr>
                <w:b/>
                <w:sz w:val="24"/>
                <w:szCs w:val="20"/>
              </w:rPr>
              <w:t>(4)=(5)</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A53DF9" w:rsidRPr="004F4940" w:rsidP="00070273" w14:paraId="245F4FC8" w14:textId="77777777">
            <w:pPr>
              <w:rPr>
                <w:b/>
                <w:sz w:val="24"/>
                <w:szCs w:val="20"/>
              </w:rPr>
            </w:pPr>
            <w:r w:rsidRPr="004F4940">
              <w:rPr>
                <w:b/>
                <w:sz w:val="24"/>
                <w:szCs w:val="20"/>
              </w:rPr>
              <w:t>Cost per Respondent</w:t>
            </w:r>
          </w:p>
          <w:p w:rsidR="00A53DF9" w:rsidRPr="004F4940" w:rsidP="00070273" w14:paraId="77846C9E" w14:textId="77777777">
            <w:pPr>
              <w:rPr>
                <w:b/>
                <w:sz w:val="24"/>
                <w:szCs w:val="20"/>
              </w:rPr>
            </w:pPr>
            <w:r w:rsidRPr="004F4940">
              <w:rPr>
                <w:b/>
                <w:sz w:val="24"/>
                <w:szCs w:val="20"/>
              </w:rPr>
              <w:t xml:space="preserve"> ($)</w:t>
            </w:r>
          </w:p>
          <w:p w:rsidR="00A53DF9" w:rsidRPr="004F4940" w:rsidP="00070273" w14:paraId="2E47D5BF" w14:textId="77777777">
            <w:pPr>
              <w:rPr>
                <w:b/>
                <w:sz w:val="24"/>
                <w:szCs w:val="20"/>
              </w:rPr>
            </w:pPr>
            <w:r w:rsidRPr="004F4940">
              <w:rPr>
                <w:b/>
                <w:sz w:val="24"/>
                <w:szCs w:val="20"/>
              </w:rPr>
              <w:t>(</w:t>
            </w:r>
            <w:r w:rsidRPr="004F4940">
              <w:rPr>
                <w:b/>
                <w:sz w:val="24"/>
                <w:szCs w:val="20"/>
              </w:rPr>
              <w:t>5)÷</w:t>
            </w:r>
            <w:r w:rsidRPr="004F4940">
              <w:rPr>
                <w:b/>
                <w:sz w:val="24"/>
                <w:szCs w:val="20"/>
              </w:rPr>
              <w:t>(1)</w:t>
            </w:r>
          </w:p>
        </w:tc>
      </w:tr>
      <w:tr w14:paraId="7260AB0B" w14:textId="77777777" w:rsidTr="00EB79C8">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68C9CB80" w14:textId="77777777">
            <w:pPr>
              <w:rPr>
                <w:b/>
              </w:rPr>
            </w:pPr>
            <w:r w:rsidRPr="004F4940">
              <w:rPr>
                <w:b/>
              </w:rPr>
              <w:t>EOP-010-1</w:t>
            </w:r>
          </w:p>
        </w:tc>
        <w:tc>
          <w:tcPr>
            <w:tcW w:w="421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3DF9" w:rsidRPr="004F4940" w:rsidP="00070273" w14:paraId="2090E9A9" w14:textId="77777777"/>
        </w:tc>
      </w:tr>
      <w:tr w14:paraId="63EF88F1"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A53DF9" w:rsidRPr="004F4940" w:rsidP="00070273" w14:paraId="018EBD1C" w14:textId="77777777"/>
        </w:tc>
        <w:tc>
          <w:tcPr>
            <w:tcW w:w="764" w:type="pct"/>
            <w:tcBorders>
              <w:top w:val="single" w:sz="4" w:space="0" w:color="auto"/>
              <w:left w:val="single" w:sz="4" w:space="0" w:color="auto"/>
              <w:bottom w:val="single" w:sz="4" w:space="0" w:color="auto"/>
              <w:right w:val="single" w:sz="4" w:space="0" w:color="auto"/>
            </w:tcBorders>
            <w:hideMark/>
          </w:tcPr>
          <w:p w:rsidR="00A53DF9" w:rsidRPr="004F4940" w:rsidP="00070273" w14:paraId="5BF9953D" w14:textId="77777777">
            <w:r w:rsidRPr="004F4940">
              <w:t>181</w:t>
            </w:r>
          </w:p>
        </w:tc>
        <w:tc>
          <w:tcPr>
            <w:tcW w:w="568" w:type="pct"/>
            <w:tcBorders>
              <w:top w:val="single" w:sz="4" w:space="0" w:color="auto"/>
              <w:left w:val="single" w:sz="4" w:space="0" w:color="auto"/>
              <w:bottom w:val="single" w:sz="4" w:space="0" w:color="auto"/>
              <w:right w:val="single" w:sz="4" w:space="0" w:color="auto"/>
            </w:tcBorders>
            <w:hideMark/>
          </w:tcPr>
          <w:p w:rsidR="00A53DF9" w:rsidRPr="004F4940" w:rsidP="00070273" w14:paraId="10DF3C9A" w14:textId="77777777">
            <w:r w:rsidRPr="004F4940">
              <w:t>1</w:t>
            </w:r>
          </w:p>
        </w:tc>
        <w:tc>
          <w:tcPr>
            <w:tcW w:w="809" w:type="pct"/>
            <w:tcBorders>
              <w:top w:val="single" w:sz="4" w:space="0" w:color="auto"/>
              <w:left w:val="single" w:sz="4" w:space="0" w:color="auto"/>
              <w:bottom w:val="single" w:sz="4" w:space="0" w:color="auto"/>
              <w:right w:val="single" w:sz="4" w:space="0" w:color="auto"/>
            </w:tcBorders>
            <w:hideMark/>
          </w:tcPr>
          <w:p w:rsidR="00A53DF9" w:rsidRPr="004F4940" w:rsidP="00070273" w14:paraId="5F248D0D" w14:textId="77777777">
            <w:r w:rsidRPr="004F4940">
              <w:t>181</w:t>
            </w:r>
          </w:p>
        </w:tc>
        <w:tc>
          <w:tcPr>
            <w:tcW w:w="663" w:type="pct"/>
            <w:tcBorders>
              <w:top w:val="single" w:sz="4" w:space="0" w:color="auto"/>
              <w:left w:val="single" w:sz="4" w:space="0" w:color="auto"/>
              <w:bottom w:val="single" w:sz="4" w:space="0" w:color="auto"/>
              <w:right w:val="single" w:sz="4" w:space="0" w:color="auto"/>
            </w:tcBorders>
            <w:hideMark/>
          </w:tcPr>
          <w:p w:rsidR="00A53DF9" w:rsidRPr="004F4940" w:rsidP="00070273" w14:paraId="184412E7" w14:textId="77777777">
            <w:r w:rsidRPr="004F4940">
              <w:t xml:space="preserve">20 </w:t>
            </w:r>
            <w:r w:rsidRPr="004F4940">
              <w:t>hrs</w:t>
            </w:r>
            <w:r w:rsidRPr="004F4940" w:rsidR="00545124">
              <w:t>.</w:t>
            </w:r>
            <w:r w:rsidRPr="004F4940">
              <w:t>;</w:t>
            </w:r>
          </w:p>
          <w:p w:rsidR="00A53DF9" w:rsidRPr="004F4940" w:rsidP="00070273" w14:paraId="0695DFF8" w14:textId="77777777">
            <w:r w:rsidRPr="004F4940">
              <w:t>$1,660</w:t>
            </w:r>
          </w:p>
        </w:tc>
        <w:tc>
          <w:tcPr>
            <w:tcW w:w="696" w:type="pct"/>
            <w:tcBorders>
              <w:top w:val="single" w:sz="4" w:space="0" w:color="auto"/>
              <w:left w:val="single" w:sz="4" w:space="0" w:color="auto"/>
              <w:bottom w:val="single" w:sz="4" w:space="0" w:color="auto"/>
              <w:right w:val="single" w:sz="4" w:space="0" w:color="auto"/>
            </w:tcBorders>
            <w:hideMark/>
          </w:tcPr>
          <w:p w:rsidR="00A53DF9" w:rsidRPr="004F4940" w:rsidP="00070273" w14:paraId="3EBDDB7A" w14:textId="77777777">
            <w:r w:rsidRPr="004F4940">
              <w:t>3,620 hrs</w:t>
            </w:r>
            <w:r w:rsidRPr="004F4940" w:rsidR="00545124">
              <w:t>.</w:t>
            </w:r>
            <w:r w:rsidRPr="004F4940">
              <w:t xml:space="preserve">; $300,460 </w:t>
            </w:r>
          </w:p>
        </w:tc>
        <w:tc>
          <w:tcPr>
            <w:tcW w:w="718" w:type="pct"/>
            <w:tcBorders>
              <w:top w:val="single" w:sz="4" w:space="0" w:color="auto"/>
              <w:left w:val="single" w:sz="4" w:space="0" w:color="auto"/>
              <w:bottom w:val="single" w:sz="4" w:space="0" w:color="auto"/>
              <w:right w:val="single" w:sz="4" w:space="0" w:color="auto"/>
            </w:tcBorders>
            <w:hideMark/>
          </w:tcPr>
          <w:p w:rsidR="00A53DF9" w:rsidRPr="004F4940" w:rsidP="00070273" w14:paraId="14999B82" w14:textId="77777777">
            <w:r w:rsidRPr="004F4940">
              <w:t>$1,660</w:t>
            </w:r>
          </w:p>
        </w:tc>
      </w:tr>
      <w:tr w14:paraId="68219B35"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776560A9" w14:textId="77777777">
            <w:r w:rsidRPr="004F4940">
              <w:rPr>
                <w:b/>
              </w:rPr>
              <w:t>EOP-011-1</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073A2ECE" w14:textId="77777777"/>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5E224E9B" w14:textId="77777777"/>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652E6BDE" w14:textId="77777777"/>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40ED2281" w14:textId="77777777"/>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64517631" w14:textId="77777777"/>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24303302" w14:textId="77777777"/>
        </w:tc>
      </w:tr>
      <w:tr w14:paraId="45151760"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A53DF9" w:rsidRPr="004F4940" w:rsidP="00070273" w14:paraId="6C4C2508" w14:textId="77777777"/>
        </w:tc>
        <w:tc>
          <w:tcPr>
            <w:tcW w:w="764" w:type="pct"/>
            <w:tcBorders>
              <w:top w:val="single" w:sz="4" w:space="0" w:color="auto"/>
              <w:left w:val="single" w:sz="4" w:space="0" w:color="auto"/>
              <w:bottom w:val="single" w:sz="4" w:space="0" w:color="auto"/>
              <w:right w:val="single" w:sz="4" w:space="0" w:color="auto"/>
            </w:tcBorders>
            <w:hideMark/>
          </w:tcPr>
          <w:p w:rsidR="00A53DF9" w:rsidRPr="004F4940" w:rsidP="00070273" w14:paraId="40358982" w14:textId="77777777">
            <w:r w:rsidRPr="004F4940">
              <w:t>12</w:t>
            </w:r>
          </w:p>
        </w:tc>
        <w:tc>
          <w:tcPr>
            <w:tcW w:w="568" w:type="pct"/>
            <w:tcBorders>
              <w:top w:val="single" w:sz="4" w:space="0" w:color="auto"/>
              <w:left w:val="single" w:sz="4" w:space="0" w:color="auto"/>
              <w:bottom w:val="single" w:sz="4" w:space="0" w:color="auto"/>
              <w:right w:val="single" w:sz="4" w:space="0" w:color="auto"/>
            </w:tcBorders>
            <w:hideMark/>
          </w:tcPr>
          <w:p w:rsidR="00A53DF9" w:rsidRPr="004F4940" w:rsidP="00070273" w14:paraId="60E925C1" w14:textId="77777777">
            <w:r w:rsidRPr="004F4940">
              <w:t>1</w:t>
            </w:r>
          </w:p>
        </w:tc>
        <w:tc>
          <w:tcPr>
            <w:tcW w:w="809" w:type="pct"/>
            <w:tcBorders>
              <w:top w:val="single" w:sz="4" w:space="0" w:color="auto"/>
              <w:left w:val="single" w:sz="4" w:space="0" w:color="auto"/>
              <w:bottom w:val="single" w:sz="4" w:space="0" w:color="auto"/>
              <w:right w:val="single" w:sz="4" w:space="0" w:color="auto"/>
            </w:tcBorders>
            <w:hideMark/>
          </w:tcPr>
          <w:p w:rsidR="00A53DF9" w:rsidRPr="004F4940" w:rsidP="00070273" w14:paraId="6B5A3BAC" w14:textId="77777777">
            <w:r w:rsidRPr="004F4940">
              <w:t>12</w:t>
            </w:r>
          </w:p>
        </w:tc>
        <w:tc>
          <w:tcPr>
            <w:tcW w:w="663" w:type="pct"/>
            <w:tcBorders>
              <w:top w:val="single" w:sz="4" w:space="0" w:color="auto"/>
              <w:left w:val="single" w:sz="4" w:space="0" w:color="auto"/>
              <w:bottom w:val="single" w:sz="4" w:space="0" w:color="auto"/>
              <w:right w:val="single" w:sz="4" w:space="0" w:color="auto"/>
            </w:tcBorders>
            <w:hideMark/>
          </w:tcPr>
          <w:p w:rsidR="00A53DF9" w:rsidRPr="004F4940" w:rsidP="00070273" w14:paraId="7FB01829" w14:textId="77777777">
            <w:r w:rsidRPr="004F4940">
              <w:t xml:space="preserve">1,500 </w:t>
            </w:r>
            <w:r w:rsidRPr="004F4940">
              <w:t>hrs</w:t>
            </w:r>
            <w:r w:rsidRPr="004F4940" w:rsidR="00545124">
              <w:t>.</w:t>
            </w:r>
            <w:r w:rsidRPr="004F4940">
              <w:t>;</w:t>
            </w:r>
            <w:r w:rsidRPr="004F4940">
              <w:t xml:space="preserve"> </w:t>
            </w:r>
          </w:p>
          <w:p w:rsidR="00A53DF9" w:rsidRPr="004F4940" w:rsidP="00070273" w14:paraId="219BE5A4" w14:textId="77777777">
            <w:r w:rsidRPr="004F4940">
              <w:t>$124,500</w:t>
            </w:r>
          </w:p>
        </w:tc>
        <w:tc>
          <w:tcPr>
            <w:tcW w:w="696" w:type="pct"/>
            <w:tcBorders>
              <w:top w:val="single" w:sz="4" w:space="0" w:color="auto"/>
              <w:left w:val="single" w:sz="4" w:space="0" w:color="auto"/>
              <w:bottom w:val="single" w:sz="4" w:space="0" w:color="auto"/>
              <w:right w:val="single" w:sz="4" w:space="0" w:color="auto"/>
            </w:tcBorders>
            <w:hideMark/>
          </w:tcPr>
          <w:p w:rsidR="00A53DF9" w:rsidRPr="004F4940" w:rsidP="00070273" w14:paraId="74C58B15" w14:textId="77777777">
            <w:r w:rsidRPr="004F4940">
              <w:t xml:space="preserve">18,000 </w:t>
            </w:r>
            <w:r w:rsidRPr="004F4940">
              <w:t>h</w:t>
            </w:r>
            <w:r w:rsidRPr="004F4940" w:rsidR="009A2535">
              <w:t>rs</w:t>
            </w:r>
            <w:r w:rsidRPr="004F4940" w:rsidR="00545124">
              <w:t>.</w:t>
            </w:r>
            <w:r w:rsidRPr="004F4940">
              <w:t>;</w:t>
            </w:r>
          </w:p>
          <w:p w:rsidR="00A53DF9" w:rsidRPr="004F4940" w:rsidP="00070273" w14:paraId="5975A1E8" w14:textId="77777777">
            <w:r w:rsidRPr="004F4940">
              <w:t>$1,494,000</w:t>
            </w:r>
          </w:p>
        </w:tc>
        <w:tc>
          <w:tcPr>
            <w:tcW w:w="718" w:type="pct"/>
            <w:tcBorders>
              <w:top w:val="single" w:sz="4" w:space="0" w:color="auto"/>
              <w:left w:val="single" w:sz="4" w:space="0" w:color="auto"/>
              <w:bottom w:val="single" w:sz="4" w:space="0" w:color="auto"/>
              <w:right w:val="single" w:sz="4" w:space="0" w:color="auto"/>
            </w:tcBorders>
            <w:hideMark/>
          </w:tcPr>
          <w:p w:rsidR="00A53DF9" w:rsidRPr="004F4940" w:rsidP="00070273" w14:paraId="10D13619" w14:textId="77777777">
            <w:r w:rsidRPr="004F4940">
              <w:t>$124,500</w:t>
            </w:r>
          </w:p>
        </w:tc>
      </w:tr>
      <w:tr w14:paraId="68A05D54"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552EA3DA" w14:textId="77777777">
            <w:pPr>
              <w:rPr>
                <w:b/>
              </w:rPr>
            </w:pPr>
            <w:r w:rsidRPr="004F4940">
              <w:rPr>
                <w:b/>
              </w:rPr>
              <w:t>EOP-004-4, EOP-005-</w:t>
            </w:r>
            <w:r w:rsidRPr="004F4940">
              <w:rPr>
                <w:b/>
              </w:rPr>
              <w:t>3,  EOP</w:t>
            </w:r>
            <w:r w:rsidRPr="004F4940">
              <w:rPr>
                <w:b/>
              </w:rPr>
              <w:t>-006-3, EOP-008-2</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7950C433" w14:textId="77777777">
            <w:pPr>
              <w:rPr>
                <w:b/>
              </w:rPr>
            </w:pP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2A83C8D9" w14:textId="77777777"/>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1CBCEB1A" w14:textId="77777777"/>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1693F5C0" w14:textId="77777777"/>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45478E28" w14:textId="77777777"/>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3DF9" w:rsidRPr="004F4940" w:rsidP="00070273" w14:paraId="65257257" w14:textId="77777777"/>
        </w:tc>
      </w:tr>
      <w:tr w14:paraId="51ED46A0"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tcPr>
          <w:p w:rsidR="00A53DF9" w:rsidRPr="004F4940" w:rsidP="00070273" w14:paraId="6B2944AB" w14:textId="77777777"/>
        </w:tc>
        <w:tc>
          <w:tcPr>
            <w:tcW w:w="764" w:type="pct"/>
            <w:tcBorders>
              <w:top w:val="single" w:sz="4" w:space="0" w:color="auto"/>
              <w:left w:val="single" w:sz="4" w:space="0" w:color="auto"/>
              <w:bottom w:val="single" w:sz="4" w:space="0" w:color="auto"/>
              <w:right w:val="single" w:sz="4" w:space="0" w:color="auto"/>
            </w:tcBorders>
            <w:hideMark/>
          </w:tcPr>
          <w:p w:rsidR="00A53DF9" w:rsidRPr="004F4940" w:rsidP="00070273" w14:paraId="293C3634" w14:textId="77777777">
            <w:r w:rsidRPr="004F4940">
              <w:t>280</w:t>
            </w:r>
          </w:p>
        </w:tc>
        <w:tc>
          <w:tcPr>
            <w:tcW w:w="568" w:type="pct"/>
            <w:tcBorders>
              <w:top w:val="single" w:sz="4" w:space="0" w:color="auto"/>
              <w:left w:val="single" w:sz="4" w:space="0" w:color="auto"/>
              <w:bottom w:val="single" w:sz="4" w:space="0" w:color="auto"/>
              <w:right w:val="single" w:sz="4" w:space="0" w:color="auto"/>
            </w:tcBorders>
            <w:hideMark/>
          </w:tcPr>
          <w:p w:rsidR="00A53DF9" w:rsidRPr="004F4940" w:rsidP="00070273" w14:paraId="05F839E4" w14:textId="77777777">
            <w:r w:rsidRPr="004F4940">
              <w:t>1</w:t>
            </w:r>
          </w:p>
        </w:tc>
        <w:tc>
          <w:tcPr>
            <w:tcW w:w="809" w:type="pct"/>
            <w:tcBorders>
              <w:top w:val="single" w:sz="4" w:space="0" w:color="auto"/>
              <w:left w:val="single" w:sz="4" w:space="0" w:color="auto"/>
              <w:bottom w:val="single" w:sz="4" w:space="0" w:color="auto"/>
              <w:right w:val="single" w:sz="4" w:space="0" w:color="auto"/>
            </w:tcBorders>
            <w:hideMark/>
          </w:tcPr>
          <w:p w:rsidR="00A53DF9" w:rsidRPr="004F4940" w:rsidP="00070273" w14:paraId="1ED1A0DE" w14:textId="77777777">
            <w:r w:rsidRPr="004F4940">
              <w:t>280</w:t>
            </w:r>
          </w:p>
        </w:tc>
        <w:tc>
          <w:tcPr>
            <w:tcW w:w="663" w:type="pct"/>
            <w:tcBorders>
              <w:top w:val="single" w:sz="4" w:space="0" w:color="auto"/>
              <w:left w:val="single" w:sz="4" w:space="0" w:color="auto"/>
              <w:bottom w:val="single" w:sz="4" w:space="0" w:color="auto"/>
              <w:right w:val="single" w:sz="4" w:space="0" w:color="auto"/>
            </w:tcBorders>
            <w:hideMark/>
          </w:tcPr>
          <w:p w:rsidR="00A53DF9" w:rsidRPr="004F4940" w:rsidP="00070273" w14:paraId="6B153199" w14:textId="77777777">
            <w:r w:rsidRPr="004F4940">
              <w:t>250.58</w:t>
            </w:r>
            <w:r>
              <w:footnoteReference w:id="172"/>
            </w:r>
            <w:r w:rsidRPr="004F4940">
              <w:t xml:space="preserve"> </w:t>
            </w:r>
            <w:r w:rsidRPr="004F4940" w:rsidR="009A2535">
              <w:t>hrs</w:t>
            </w:r>
            <w:r w:rsidRPr="004F4940" w:rsidR="00545124">
              <w:t>.</w:t>
            </w:r>
            <w:r w:rsidRPr="004F4940">
              <w:t>;</w:t>
            </w:r>
          </w:p>
          <w:p w:rsidR="00A53DF9" w:rsidRPr="004F4940" w:rsidP="00070273" w14:paraId="271CA954" w14:textId="77777777">
            <w:r w:rsidRPr="004F4940">
              <w:t>$20,798</w:t>
            </w:r>
          </w:p>
        </w:tc>
        <w:tc>
          <w:tcPr>
            <w:tcW w:w="696" w:type="pct"/>
            <w:tcBorders>
              <w:top w:val="single" w:sz="4" w:space="0" w:color="auto"/>
              <w:left w:val="single" w:sz="4" w:space="0" w:color="auto"/>
              <w:bottom w:val="single" w:sz="4" w:space="0" w:color="auto"/>
              <w:right w:val="single" w:sz="4" w:space="0" w:color="auto"/>
            </w:tcBorders>
            <w:hideMark/>
          </w:tcPr>
          <w:p w:rsidR="00A53DF9" w:rsidRPr="004F4940" w:rsidP="00070273" w14:paraId="1198C0FA" w14:textId="77777777">
            <w:r w:rsidRPr="004F4940">
              <w:t xml:space="preserve">70,162.4 </w:t>
            </w:r>
            <w:r w:rsidRPr="004F4940" w:rsidR="00EA3A65">
              <w:t>hrs</w:t>
            </w:r>
            <w:r w:rsidRPr="004F4940" w:rsidR="00545124">
              <w:t>.</w:t>
            </w:r>
            <w:r w:rsidRPr="004F4940">
              <w:t>;</w:t>
            </w:r>
            <w:r w:rsidRPr="004F4940">
              <w:t xml:space="preserve"> </w:t>
            </w:r>
          </w:p>
          <w:p w:rsidR="00A53DF9" w:rsidRPr="004F4940" w:rsidP="00070273" w14:paraId="2C2FF8E9" w14:textId="77777777">
            <w:r w:rsidRPr="004F4940">
              <w:t>$5,234,440</w:t>
            </w:r>
          </w:p>
        </w:tc>
        <w:tc>
          <w:tcPr>
            <w:tcW w:w="718" w:type="pct"/>
            <w:tcBorders>
              <w:top w:val="single" w:sz="4" w:space="0" w:color="auto"/>
              <w:left w:val="single" w:sz="4" w:space="0" w:color="auto"/>
              <w:bottom w:val="single" w:sz="4" w:space="0" w:color="auto"/>
              <w:right w:val="single" w:sz="4" w:space="0" w:color="auto"/>
            </w:tcBorders>
          </w:tcPr>
          <w:p w:rsidR="00A53DF9" w:rsidRPr="004F4940" w:rsidP="00070273" w14:paraId="476CBE10" w14:textId="77777777"/>
          <w:p w:rsidR="00A53DF9" w:rsidRPr="004F4940" w:rsidP="00070273" w14:paraId="31C4473A" w14:textId="77777777">
            <w:r w:rsidRPr="004F4940">
              <w:t>$20,798</w:t>
            </w:r>
          </w:p>
        </w:tc>
      </w:tr>
      <w:tr w14:paraId="5C5B080E" w14:textId="77777777" w:rsidTr="00BC1BF1">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A53DF9" w:rsidRPr="004F4940" w:rsidP="00070273" w14:paraId="16BB37B4" w14:textId="77777777">
            <w:pPr>
              <w:rPr>
                <w:b/>
              </w:rPr>
            </w:pPr>
            <w:r w:rsidRPr="004F4940">
              <w:rPr>
                <w:b/>
              </w:rPr>
              <w:t>Total EOP</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DF9" w:rsidRPr="004F4940" w:rsidP="00070273" w14:paraId="2754A41F" w14:textId="77777777">
            <w:pPr>
              <w:rPr>
                <w:b/>
                <w:bCs/>
              </w:rPr>
            </w:pPr>
            <w:r w:rsidRPr="004F4940">
              <w:rPr>
                <w:b/>
                <w:bCs/>
              </w:rPr>
              <w:t>473</w:t>
            </w:r>
          </w:p>
        </w:tc>
        <w:tc>
          <w:tcPr>
            <w:tcW w:w="568" w:type="pct"/>
            <w:tcBorders>
              <w:top w:val="single" w:sz="4" w:space="0" w:color="auto"/>
              <w:left w:val="single" w:sz="4" w:space="0" w:color="auto"/>
              <w:bottom w:val="single" w:sz="4" w:space="0" w:color="auto"/>
              <w:right w:val="single" w:sz="4" w:space="0" w:color="auto"/>
            </w:tcBorders>
          </w:tcPr>
          <w:p w:rsidR="00A53DF9" w:rsidRPr="004F4940" w:rsidP="00070273" w14:paraId="752907C9" w14:textId="77777777">
            <w:pPr>
              <w:rPr>
                <w:b/>
                <w:bCs/>
              </w:rPr>
            </w:pPr>
          </w:p>
        </w:tc>
        <w:tc>
          <w:tcPr>
            <w:tcW w:w="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DF9" w:rsidRPr="004F4940" w:rsidP="00070273" w14:paraId="421C91A5" w14:textId="77777777">
            <w:pPr>
              <w:rPr>
                <w:b/>
                <w:bCs/>
              </w:rPr>
            </w:pPr>
          </w:p>
          <w:p w:rsidR="00A53DF9" w:rsidRPr="004F4940" w:rsidP="00070273" w14:paraId="5D0C48DF" w14:textId="77777777">
            <w:pPr>
              <w:rPr>
                <w:b/>
                <w:bCs/>
              </w:rPr>
            </w:pPr>
          </w:p>
        </w:tc>
        <w:tc>
          <w:tcPr>
            <w:tcW w:w="663" w:type="pct"/>
            <w:tcBorders>
              <w:top w:val="single" w:sz="4" w:space="0" w:color="auto"/>
              <w:left w:val="single" w:sz="4" w:space="0" w:color="auto"/>
              <w:bottom w:val="single" w:sz="4" w:space="0" w:color="auto"/>
              <w:right w:val="single" w:sz="4" w:space="0" w:color="auto"/>
            </w:tcBorders>
          </w:tcPr>
          <w:p w:rsidR="00A53DF9" w:rsidRPr="004F4940" w:rsidP="00070273" w14:paraId="3B547C5D" w14:textId="77777777">
            <w:pPr>
              <w:rPr>
                <w:b/>
                <w:bCs/>
              </w:rPr>
            </w:pPr>
          </w:p>
        </w:tc>
        <w:tc>
          <w:tcPr>
            <w:tcW w:w="6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3DF9" w:rsidRPr="004F4940" w:rsidP="00070273" w14:paraId="3333BE19" w14:textId="77777777">
            <w:pPr>
              <w:rPr>
                <w:b/>
                <w:bCs/>
              </w:rPr>
            </w:pPr>
            <w:r w:rsidRPr="004F4940">
              <w:rPr>
                <w:b/>
                <w:bCs/>
              </w:rPr>
              <w:t xml:space="preserve">91,782 </w:t>
            </w:r>
            <w:r w:rsidRPr="004F4940">
              <w:rPr>
                <w:b/>
                <w:bCs/>
              </w:rPr>
              <w:t>h</w:t>
            </w:r>
            <w:r w:rsidRPr="004F4940" w:rsidR="00EA3A65">
              <w:rPr>
                <w:b/>
                <w:bCs/>
              </w:rPr>
              <w:t>r</w:t>
            </w:r>
            <w:r w:rsidRPr="004F4940">
              <w:rPr>
                <w:b/>
                <w:bCs/>
              </w:rPr>
              <w:t>s</w:t>
            </w:r>
            <w:r w:rsidRPr="004F4940" w:rsidR="00545124">
              <w:rPr>
                <w:b/>
                <w:bCs/>
              </w:rPr>
              <w:t>.</w:t>
            </w:r>
            <w:r w:rsidRPr="004F4940">
              <w:rPr>
                <w:b/>
                <w:bCs/>
              </w:rPr>
              <w:t>;</w:t>
            </w:r>
          </w:p>
          <w:p w:rsidR="00A53DF9" w:rsidRPr="004F4940" w:rsidP="00070273" w14:paraId="63109567" w14:textId="77777777">
            <w:pPr>
              <w:rPr>
                <w:b/>
                <w:bCs/>
              </w:rPr>
            </w:pPr>
            <w:r w:rsidRPr="004F4940">
              <w:rPr>
                <w:b/>
                <w:bCs/>
              </w:rPr>
              <w:t>$7,028,900</w:t>
            </w:r>
          </w:p>
        </w:tc>
        <w:tc>
          <w:tcPr>
            <w:tcW w:w="718" w:type="pct"/>
            <w:tcBorders>
              <w:top w:val="single" w:sz="4" w:space="0" w:color="auto"/>
              <w:left w:val="single" w:sz="4" w:space="0" w:color="auto"/>
              <w:bottom w:val="single" w:sz="4" w:space="0" w:color="auto"/>
              <w:right w:val="single" w:sz="4" w:space="0" w:color="auto"/>
            </w:tcBorders>
          </w:tcPr>
          <w:p w:rsidR="00A53DF9" w:rsidRPr="004F4940" w:rsidP="00070273" w14:paraId="0E4085D5" w14:textId="77777777"/>
        </w:tc>
      </w:tr>
    </w:tbl>
    <w:p w:rsidR="006A319B" w:rsidRPr="004F4940" w:rsidP="00A53DF9" w14:paraId="2B50EC76" w14:textId="77777777"/>
    <w:p w:rsidR="00EB79C8" w:rsidRPr="004F4940" w:rsidP="00A53DF9" w14:paraId="5A8C2982" w14:textId="77777777"/>
    <w:tbl>
      <w:tblPr>
        <w:tblStyle w:val="TableGrid"/>
        <w:tblW w:w="0" w:type="auto"/>
        <w:tblLook w:val="04A0"/>
      </w:tblPr>
      <w:tblGrid>
        <w:gridCol w:w="1675"/>
        <w:gridCol w:w="1141"/>
        <w:gridCol w:w="1358"/>
        <w:gridCol w:w="1404"/>
        <w:gridCol w:w="1536"/>
        <w:gridCol w:w="2236"/>
      </w:tblGrid>
      <w:tr w14:paraId="6AE2F9AD" w14:textId="77777777" w:rsidTr="00070273">
        <w:tblPrEx>
          <w:tblW w:w="0" w:type="auto"/>
          <w:tblLook w:val="04A0"/>
        </w:tblPrEx>
        <w:tc>
          <w:tcPr>
            <w:tcW w:w="9350" w:type="dxa"/>
            <w:gridSpan w:val="6"/>
            <w:shd w:val="clear" w:color="auto" w:fill="D9D9D9" w:themeFill="background1" w:themeFillShade="D9"/>
          </w:tcPr>
          <w:p w:rsidR="00EB79C8" w:rsidRPr="004F4940" w:rsidP="00A97F95" w14:paraId="4E21345F" w14:textId="77777777">
            <w:pPr>
              <w:pStyle w:val="FERCparanumber"/>
              <w:widowControl w:val="0"/>
              <w:numPr>
                <w:ilvl w:val="0"/>
                <w:numId w:val="0"/>
              </w:numPr>
              <w:suppressLineNumbers/>
              <w:spacing w:before="240"/>
              <w:jc w:val="center"/>
              <w:rPr>
                <w:b/>
                <w:szCs w:val="22"/>
              </w:rPr>
            </w:pPr>
            <w:bookmarkStart w:id="14" w:name="_Hlk120790206"/>
            <w:r w:rsidRPr="004F4940">
              <w:rPr>
                <w:b/>
                <w:szCs w:val="22"/>
              </w:rPr>
              <w:t>Table 2: Proposed Changes Due to Final Rule in Docket No. RD23-1-000</w:t>
            </w:r>
          </w:p>
        </w:tc>
      </w:tr>
      <w:tr w14:paraId="382B94B3" w14:textId="77777777" w:rsidTr="00070273">
        <w:tblPrEx>
          <w:tblW w:w="0" w:type="auto"/>
          <w:tblLook w:val="04A0"/>
        </w:tblPrEx>
        <w:tc>
          <w:tcPr>
            <w:tcW w:w="1675" w:type="dxa"/>
            <w:shd w:val="clear" w:color="auto" w:fill="FFFFFF" w:themeFill="background1"/>
            <w:vAlign w:val="bottom"/>
          </w:tcPr>
          <w:p w:rsidR="00EB79C8" w:rsidRPr="004F4940" w:rsidP="00EB79C8" w14:paraId="20914189" w14:textId="77777777">
            <w:pPr>
              <w:pStyle w:val="FERCparanumber"/>
              <w:widowControl w:val="0"/>
              <w:numPr>
                <w:ilvl w:val="0"/>
                <w:numId w:val="0"/>
              </w:numPr>
              <w:suppressLineNumbers/>
              <w:spacing w:after="0"/>
              <w:rPr>
                <w:b/>
                <w:szCs w:val="22"/>
              </w:rPr>
            </w:pPr>
            <w:r w:rsidRPr="004F4940">
              <w:rPr>
                <w:b/>
                <w:szCs w:val="22"/>
              </w:rPr>
              <w:t>Reliability Standard &amp; Requirement</w:t>
            </w:r>
          </w:p>
        </w:tc>
        <w:tc>
          <w:tcPr>
            <w:tcW w:w="1141" w:type="dxa"/>
            <w:shd w:val="clear" w:color="auto" w:fill="FFFFFF" w:themeFill="background1"/>
            <w:vAlign w:val="bottom"/>
          </w:tcPr>
          <w:p w:rsidR="00EB79C8" w:rsidRPr="004F4940" w:rsidP="00EB79C8" w14:paraId="7F8BD698" w14:textId="77777777">
            <w:pPr>
              <w:pStyle w:val="FERCparanumber"/>
              <w:widowControl w:val="0"/>
              <w:numPr>
                <w:ilvl w:val="0"/>
                <w:numId w:val="0"/>
              </w:numPr>
              <w:suppressLineNumbers/>
              <w:rPr>
                <w:b/>
                <w:szCs w:val="22"/>
              </w:rPr>
            </w:pPr>
            <w:r w:rsidRPr="004F4940">
              <w:rPr>
                <w:b/>
                <w:szCs w:val="22"/>
              </w:rPr>
              <w:t>Type</w:t>
            </w:r>
            <w:r>
              <w:rPr>
                <w:b/>
                <w:szCs w:val="22"/>
                <w:vertAlign w:val="superscript"/>
              </w:rPr>
              <w:footnoteReference w:id="173"/>
            </w:r>
            <w:r w:rsidRPr="004F4940">
              <w:rPr>
                <w:b/>
                <w:szCs w:val="22"/>
              </w:rPr>
              <w:t xml:space="preserve"> and Number of Entity</w:t>
            </w:r>
          </w:p>
          <w:p w:rsidR="00EB79C8" w:rsidRPr="004F4940" w:rsidP="00EB79C8" w14:paraId="32B47D68" w14:textId="77777777">
            <w:pPr>
              <w:pStyle w:val="FERCparanumber"/>
              <w:widowControl w:val="0"/>
              <w:numPr>
                <w:ilvl w:val="0"/>
                <w:numId w:val="0"/>
              </w:numPr>
              <w:suppressLineNumbers/>
              <w:rPr>
                <w:b/>
                <w:szCs w:val="22"/>
              </w:rPr>
            </w:pPr>
            <w:r w:rsidRPr="004F4940">
              <w:rPr>
                <w:szCs w:val="22"/>
              </w:rPr>
              <w:t>(1)</w:t>
            </w:r>
          </w:p>
        </w:tc>
        <w:tc>
          <w:tcPr>
            <w:tcW w:w="1358" w:type="dxa"/>
            <w:shd w:val="clear" w:color="auto" w:fill="FFFFFF" w:themeFill="background1"/>
            <w:vAlign w:val="bottom"/>
          </w:tcPr>
          <w:p w:rsidR="00EB79C8" w:rsidRPr="004F4940" w:rsidP="00EB79C8" w14:paraId="513BBFBE" w14:textId="77777777">
            <w:pPr>
              <w:pStyle w:val="FERCparanumber"/>
              <w:widowControl w:val="0"/>
              <w:numPr>
                <w:ilvl w:val="0"/>
                <w:numId w:val="0"/>
              </w:numPr>
              <w:suppressLineNumbers/>
              <w:rPr>
                <w:b/>
                <w:szCs w:val="22"/>
              </w:rPr>
            </w:pPr>
            <w:r w:rsidRPr="004F4940">
              <w:rPr>
                <w:b/>
                <w:szCs w:val="22"/>
              </w:rPr>
              <w:t xml:space="preserve">Number of Annual </w:t>
            </w:r>
            <w:r w:rsidRPr="004F4940">
              <w:rPr>
                <w:b/>
                <w:szCs w:val="22"/>
              </w:rPr>
              <w:t>Responses  Per</w:t>
            </w:r>
            <w:r w:rsidRPr="004F4940">
              <w:rPr>
                <w:b/>
                <w:szCs w:val="22"/>
              </w:rPr>
              <w:t xml:space="preserve"> Entity</w:t>
            </w:r>
          </w:p>
          <w:p w:rsidR="00EB79C8" w:rsidRPr="004F4940" w:rsidP="00EB79C8" w14:paraId="7C37C85E" w14:textId="77777777">
            <w:pPr>
              <w:pStyle w:val="FERCparanumber"/>
              <w:widowControl w:val="0"/>
              <w:numPr>
                <w:ilvl w:val="0"/>
                <w:numId w:val="0"/>
              </w:numPr>
              <w:suppressLineNumbers/>
              <w:rPr>
                <w:b/>
                <w:szCs w:val="22"/>
              </w:rPr>
            </w:pPr>
            <w:r w:rsidRPr="004F4940">
              <w:rPr>
                <w:b/>
                <w:szCs w:val="22"/>
              </w:rPr>
              <w:t>(</w:t>
            </w:r>
            <w:r w:rsidRPr="004F4940">
              <w:rPr>
                <w:szCs w:val="22"/>
              </w:rPr>
              <w:t>2)</w:t>
            </w:r>
          </w:p>
        </w:tc>
        <w:tc>
          <w:tcPr>
            <w:tcW w:w="1404" w:type="dxa"/>
            <w:shd w:val="clear" w:color="auto" w:fill="FFFFFF" w:themeFill="background1"/>
            <w:vAlign w:val="bottom"/>
          </w:tcPr>
          <w:p w:rsidR="00EB79C8" w:rsidRPr="004F4940" w:rsidP="00EB79C8" w14:paraId="030EB104" w14:textId="77777777">
            <w:pPr>
              <w:pStyle w:val="FERCparanumber"/>
              <w:widowControl w:val="0"/>
              <w:numPr>
                <w:ilvl w:val="0"/>
                <w:numId w:val="0"/>
              </w:numPr>
              <w:suppressLineNumbers/>
              <w:rPr>
                <w:b/>
                <w:szCs w:val="22"/>
              </w:rPr>
            </w:pPr>
            <w:r w:rsidRPr="004F4940">
              <w:rPr>
                <w:b/>
                <w:szCs w:val="22"/>
              </w:rPr>
              <w:t>Total Number of Responses</w:t>
            </w:r>
          </w:p>
          <w:p w:rsidR="00EB79C8" w:rsidRPr="004F4940" w:rsidP="00EB79C8" w14:paraId="65A9AB76" w14:textId="77777777">
            <w:pPr>
              <w:pStyle w:val="FERCparanumber"/>
              <w:widowControl w:val="0"/>
              <w:numPr>
                <w:ilvl w:val="0"/>
                <w:numId w:val="0"/>
              </w:numPr>
              <w:suppressLineNumbers/>
              <w:rPr>
                <w:b/>
                <w:szCs w:val="22"/>
              </w:rPr>
            </w:pPr>
            <w:r w:rsidRPr="004F4940">
              <w:rPr>
                <w:b/>
                <w:szCs w:val="22"/>
              </w:rPr>
              <w:t>(</w:t>
            </w:r>
            <w:r w:rsidRPr="004F4940">
              <w:rPr>
                <w:b/>
                <w:szCs w:val="22"/>
              </w:rPr>
              <w:t>1)*</w:t>
            </w:r>
            <w:r w:rsidRPr="004F4940">
              <w:rPr>
                <w:b/>
                <w:szCs w:val="22"/>
              </w:rPr>
              <w:t>(2)=(3)</w:t>
            </w:r>
          </w:p>
        </w:tc>
        <w:tc>
          <w:tcPr>
            <w:tcW w:w="1536" w:type="dxa"/>
            <w:shd w:val="clear" w:color="auto" w:fill="FFFFFF" w:themeFill="background1"/>
            <w:vAlign w:val="bottom"/>
          </w:tcPr>
          <w:p w:rsidR="00EB79C8" w:rsidRPr="004F4940" w:rsidP="00EB79C8" w14:paraId="3923B2E0" w14:textId="77777777">
            <w:pPr>
              <w:pStyle w:val="FERCparanumber"/>
              <w:widowControl w:val="0"/>
              <w:numPr>
                <w:ilvl w:val="0"/>
                <w:numId w:val="0"/>
              </w:numPr>
              <w:suppressLineNumbers/>
              <w:rPr>
                <w:b/>
                <w:szCs w:val="22"/>
              </w:rPr>
            </w:pPr>
            <w:r w:rsidRPr="004F4940">
              <w:rPr>
                <w:b/>
                <w:szCs w:val="22"/>
              </w:rPr>
              <w:t>Average Number of Burden Hours per Response</w:t>
            </w:r>
            <w:r>
              <w:rPr>
                <w:szCs w:val="22"/>
                <w:vertAlign w:val="superscript"/>
              </w:rPr>
              <w:footnoteReference w:id="174"/>
            </w:r>
          </w:p>
          <w:p w:rsidR="00EB79C8" w:rsidRPr="004F4940" w:rsidP="00EB79C8" w14:paraId="29920029" w14:textId="77777777">
            <w:pPr>
              <w:pStyle w:val="FERCparanumber"/>
              <w:widowControl w:val="0"/>
              <w:numPr>
                <w:ilvl w:val="0"/>
                <w:numId w:val="0"/>
              </w:numPr>
              <w:suppressLineNumbers/>
              <w:rPr>
                <w:b/>
                <w:szCs w:val="22"/>
              </w:rPr>
            </w:pPr>
            <w:r w:rsidRPr="004F4940">
              <w:rPr>
                <w:b/>
                <w:szCs w:val="22"/>
              </w:rPr>
              <w:t>(4)</w:t>
            </w:r>
          </w:p>
        </w:tc>
        <w:tc>
          <w:tcPr>
            <w:tcW w:w="2236" w:type="dxa"/>
            <w:shd w:val="clear" w:color="auto" w:fill="FFFFFF" w:themeFill="background1"/>
            <w:vAlign w:val="bottom"/>
          </w:tcPr>
          <w:p w:rsidR="00EB79C8" w:rsidRPr="004F4940" w:rsidP="00EB79C8" w14:paraId="611CF4FE" w14:textId="77777777">
            <w:pPr>
              <w:pStyle w:val="FERCparanumber"/>
              <w:widowControl w:val="0"/>
              <w:numPr>
                <w:ilvl w:val="0"/>
                <w:numId w:val="0"/>
              </w:numPr>
              <w:suppressLineNumbers/>
              <w:rPr>
                <w:b/>
                <w:szCs w:val="22"/>
              </w:rPr>
            </w:pPr>
            <w:r w:rsidRPr="004F4940">
              <w:rPr>
                <w:b/>
                <w:szCs w:val="22"/>
              </w:rPr>
              <w:t>Total Burden Hours</w:t>
            </w:r>
          </w:p>
          <w:p w:rsidR="00EB79C8" w:rsidRPr="004F4940" w:rsidP="00A97F95" w14:paraId="2EEF94C8" w14:textId="77777777">
            <w:pPr>
              <w:pStyle w:val="FERCparanumber"/>
              <w:widowControl w:val="0"/>
              <w:numPr>
                <w:ilvl w:val="0"/>
                <w:numId w:val="0"/>
              </w:numPr>
              <w:suppressLineNumbers/>
              <w:rPr>
                <w:b/>
                <w:szCs w:val="22"/>
              </w:rPr>
            </w:pPr>
            <w:r w:rsidRPr="004F4940">
              <w:rPr>
                <w:b/>
                <w:szCs w:val="22"/>
              </w:rPr>
              <w:t>(</w:t>
            </w:r>
            <w:r w:rsidRPr="004F4940">
              <w:rPr>
                <w:b/>
                <w:szCs w:val="22"/>
              </w:rPr>
              <w:t>3)*</w:t>
            </w:r>
            <w:r w:rsidRPr="004F4940">
              <w:rPr>
                <w:b/>
                <w:szCs w:val="22"/>
              </w:rPr>
              <w:t>(4)=(5)</w:t>
            </w:r>
          </w:p>
        </w:tc>
      </w:tr>
      <w:tr w14:paraId="0B508C37" w14:textId="77777777" w:rsidTr="00070273">
        <w:tblPrEx>
          <w:tblW w:w="0" w:type="auto"/>
          <w:tblLook w:val="04A0"/>
        </w:tblPrEx>
        <w:tc>
          <w:tcPr>
            <w:tcW w:w="9350" w:type="dxa"/>
            <w:gridSpan w:val="6"/>
            <w:shd w:val="clear" w:color="auto" w:fill="D9D9D9" w:themeFill="background1" w:themeFillShade="D9"/>
          </w:tcPr>
          <w:p w:rsidR="00EB79C8" w:rsidRPr="004F4940" w:rsidP="00A97F95" w14:paraId="7AF45AE9" w14:textId="77777777">
            <w:pPr>
              <w:pStyle w:val="FERCparanumber"/>
              <w:widowControl w:val="0"/>
              <w:numPr>
                <w:ilvl w:val="0"/>
                <w:numId w:val="0"/>
              </w:numPr>
              <w:suppressLineNumbers/>
              <w:spacing w:before="240"/>
              <w:jc w:val="center"/>
              <w:rPr>
                <w:b/>
                <w:szCs w:val="22"/>
              </w:rPr>
            </w:pPr>
            <w:r w:rsidRPr="004F4940">
              <w:rPr>
                <w:b/>
                <w:szCs w:val="22"/>
              </w:rPr>
              <w:t>FERC-725S – Proposed estimates due to RD23-1 for EOP-011-3</w:t>
            </w:r>
          </w:p>
        </w:tc>
      </w:tr>
      <w:tr w14:paraId="5DC5F465" w14:textId="77777777" w:rsidTr="00070273">
        <w:tblPrEx>
          <w:tblW w:w="0" w:type="auto"/>
          <w:tblLook w:val="04A0"/>
        </w:tblPrEx>
        <w:tc>
          <w:tcPr>
            <w:tcW w:w="9350" w:type="dxa"/>
            <w:gridSpan w:val="6"/>
            <w:shd w:val="clear" w:color="auto" w:fill="D9D9D9" w:themeFill="background1" w:themeFillShade="D9"/>
          </w:tcPr>
          <w:p w:rsidR="00EB79C8" w:rsidRPr="004F4940" w:rsidP="00A97F95" w14:paraId="2C1FDF4A" w14:textId="77777777">
            <w:pPr>
              <w:pStyle w:val="FERCparanumber"/>
              <w:widowControl w:val="0"/>
              <w:numPr>
                <w:ilvl w:val="0"/>
                <w:numId w:val="0"/>
              </w:numPr>
              <w:suppressLineNumbers/>
              <w:spacing w:before="240"/>
              <w:jc w:val="center"/>
              <w:rPr>
                <w:b/>
                <w:szCs w:val="22"/>
              </w:rPr>
            </w:pPr>
            <w:r w:rsidRPr="004F4940">
              <w:rPr>
                <w:b/>
                <w:szCs w:val="22"/>
              </w:rPr>
              <w:t>One Time Estimate - Years 1 and 2 EOP-011-3</w:t>
            </w:r>
          </w:p>
        </w:tc>
      </w:tr>
      <w:tr w14:paraId="06F35870" w14:textId="77777777" w:rsidTr="00070273">
        <w:tblPrEx>
          <w:tblW w:w="0" w:type="auto"/>
          <w:tblLook w:val="04A0"/>
        </w:tblPrEx>
        <w:trPr>
          <w:trHeight w:val="260"/>
        </w:trPr>
        <w:tc>
          <w:tcPr>
            <w:tcW w:w="1675" w:type="dxa"/>
            <w:shd w:val="clear" w:color="auto" w:fill="FFFFFF" w:themeFill="background1"/>
          </w:tcPr>
          <w:p w:rsidR="00EB79C8" w:rsidRPr="004F4940" w:rsidP="00EB79C8" w14:paraId="0E3DB0B8" w14:textId="77777777">
            <w:pPr>
              <w:pStyle w:val="FERCparanumber"/>
              <w:widowControl w:val="0"/>
              <w:numPr>
                <w:ilvl w:val="0"/>
                <w:numId w:val="0"/>
              </w:numPr>
              <w:suppressLineNumbers/>
              <w:rPr>
                <w:b/>
                <w:szCs w:val="22"/>
              </w:rPr>
            </w:pPr>
            <w:r w:rsidRPr="004F4940">
              <w:rPr>
                <w:szCs w:val="22"/>
              </w:rPr>
              <w:t>EOP-011-3</w:t>
            </w:r>
          </w:p>
        </w:tc>
        <w:tc>
          <w:tcPr>
            <w:tcW w:w="1141" w:type="dxa"/>
            <w:shd w:val="clear" w:color="auto" w:fill="FFFFFF" w:themeFill="background1"/>
          </w:tcPr>
          <w:p w:rsidR="00EB79C8" w:rsidRPr="004F4940" w:rsidP="00EB79C8" w14:paraId="6FB13724" w14:textId="77777777">
            <w:pPr>
              <w:pStyle w:val="FERCparanumber"/>
              <w:widowControl w:val="0"/>
              <w:numPr>
                <w:ilvl w:val="0"/>
                <w:numId w:val="0"/>
              </w:numPr>
              <w:suppressLineNumbers/>
              <w:rPr>
                <w:b/>
                <w:szCs w:val="22"/>
              </w:rPr>
            </w:pPr>
            <w:r w:rsidRPr="004F4940">
              <w:rPr>
                <w:szCs w:val="22"/>
              </w:rPr>
              <w:t>168 (TOP)</w:t>
            </w:r>
          </w:p>
        </w:tc>
        <w:tc>
          <w:tcPr>
            <w:tcW w:w="1358" w:type="dxa"/>
            <w:shd w:val="clear" w:color="auto" w:fill="FFFFFF" w:themeFill="background1"/>
          </w:tcPr>
          <w:p w:rsidR="00EB79C8" w:rsidRPr="004F4940" w:rsidP="00EB79C8" w14:paraId="7C9D5809" w14:textId="77777777">
            <w:pPr>
              <w:pStyle w:val="FERCparanumber"/>
              <w:widowControl w:val="0"/>
              <w:numPr>
                <w:ilvl w:val="0"/>
                <w:numId w:val="0"/>
              </w:numPr>
              <w:suppressLineNumbers/>
              <w:rPr>
                <w:b/>
                <w:szCs w:val="22"/>
              </w:rPr>
            </w:pPr>
            <w:r w:rsidRPr="004F4940">
              <w:rPr>
                <w:szCs w:val="22"/>
              </w:rPr>
              <w:t>1</w:t>
            </w:r>
          </w:p>
        </w:tc>
        <w:tc>
          <w:tcPr>
            <w:tcW w:w="1404" w:type="dxa"/>
            <w:shd w:val="clear" w:color="auto" w:fill="FFFFFF" w:themeFill="background1"/>
          </w:tcPr>
          <w:p w:rsidR="00EB79C8" w:rsidRPr="004F4940" w:rsidP="00EB79C8" w14:paraId="3B474A21" w14:textId="77777777">
            <w:pPr>
              <w:pStyle w:val="FERCparanumber"/>
              <w:widowControl w:val="0"/>
              <w:numPr>
                <w:ilvl w:val="0"/>
                <w:numId w:val="0"/>
              </w:numPr>
              <w:suppressLineNumbers/>
              <w:rPr>
                <w:b/>
                <w:szCs w:val="22"/>
              </w:rPr>
            </w:pPr>
            <w:r w:rsidRPr="004F4940">
              <w:rPr>
                <w:szCs w:val="22"/>
              </w:rPr>
              <w:t>168</w:t>
            </w:r>
          </w:p>
        </w:tc>
        <w:tc>
          <w:tcPr>
            <w:tcW w:w="1536" w:type="dxa"/>
            <w:shd w:val="clear" w:color="auto" w:fill="FFFFFF" w:themeFill="background1"/>
          </w:tcPr>
          <w:p w:rsidR="00EB79C8" w:rsidRPr="004F4940" w:rsidP="00EB79C8" w14:paraId="38F3AD61" w14:textId="77777777">
            <w:pPr>
              <w:pStyle w:val="FERCparanumber"/>
              <w:widowControl w:val="0"/>
              <w:numPr>
                <w:ilvl w:val="0"/>
                <w:numId w:val="0"/>
              </w:numPr>
              <w:suppressLineNumbers/>
              <w:rPr>
                <w:szCs w:val="22"/>
              </w:rPr>
            </w:pPr>
            <w:r w:rsidRPr="004F4940">
              <w:rPr>
                <w:szCs w:val="22"/>
              </w:rPr>
              <w:t>60 hrs.</w:t>
            </w:r>
          </w:p>
          <w:p w:rsidR="00EB79C8" w:rsidRPr="004F4940" w:rsidP="00EB79C8" w14:paraId="774F3076" w14:textId="77777777">
            <w:pPr>
              <w:pStyle w:val="FERCparanumber"/>
              <w:widowControl w:val="0"/>
              <w:numPr>
                <w:ilvl w:val="0"/>
                <w:numId w:val="0"/>
              </w:numPr>
              <w:suppressLineNumbers/>
              <w:rPr>
                <w:b/>
                <w:szCs w:val="22"/>
              </w:rPr>
            </w:pPr>
            <w:r w:rsidRPr="004F4940">
              <w:rPr>
                <w:szCs w:val="22"/>
              </w:rPr>
              <w:t>$3,893.40</w:t>
            </w:r>
          </w:p>
        </w:tc>
        <w:tc>
          <w:tcPr>
            <w:tcW w:w="2236" w:type="dxa"/>
            <w:shd w:val="clear" w:color="auto" w:fill="FFFFFF" w:themeFill="background1"/>
          </w:tcPr>
          <w:p w:rsidR="00EB79C8" w:rsidRPr="004F4940" w:rsidP="00EB79C8" w14:paraId="340310FC" w14:textId="77777777">
            <w:pPr>
              <w:pStyle w:val="FERCparanumber"/>
              <w:widowControl w:val="0"/>
              <w:numPr>
                <w:ilvl w:val="0"/>
                <w:numId w:val="0"/>
              </w:numPr>
              <w:suppressLineNumbers/>
              <w:rPr>
                <w:szCs w:val="22"/>
              </w:rPr>
            </w:pPr>
            <w:r w:rsidRPr="004F4940">
              <w:rPr>
                <w:szCs w:val="22"/>
              </w:rPr>
              <w:t>10,080 hrs.</w:t>
            </w:r>
          </w:p>
          <w:p w:rsidR="00EB79C8" w:rsidRPr="004F4940" w:rsidP="00EB79C8" w14:paraId="74AF5F99" w14:textId="77777777">
            <w:pPr>
              <w:pStyle w:val="FERCparanumber"/>
              <w:widowControl w:val="0"/>
              <w:numPr>
                <w:ilvl w:val="0"/>
                <w:numId w:val="0"/>
              </w:numPr>
              <w:suppressLineNumbers/>
              <w:rPr>
                <w:b/>
                <w:szCs w:val="22"/>
              </w:rPr>
            </w:pPr>
            <w:r w:rsidRPr="004F4940">
              <w:rPr>
                <w:szCs w:val="22"/>
              </w:rPr>
              <w:t>$654,091.2</w:t>
            </w:r>
          </w:p>
        </w:tc>
      </w:tr>
      <w:tr w14:paraId="7905F3E8" w14:textId="77777777" w:rsidTr="00070273">
        <w:tblPrEx>
          <w:tblW w:w="0" w:type="auto"/>
          <w:tblLook w:val="04A0"/>
        </w:tblPrEx>
        <w:trPr>
          <w:trHeight w:val="256"/>
        </w:trPr>
        <w:tc>
          <w:tcPr>
            <w:tcW w:w="1675" w:type="dxa"/>
            <w:shd w:val="clear" w:color="auto" w:fill="FFFFFF" w:themeFill="background1"/>
          </w:tcPr>
          <w:p w:rsidR="00EB79C8" w:rsidRPr="004F4940" w:rsidP="00EB79C8" w14:paraId="40946ADF" w14:textId="77777777">
            <w:pPr>
              <w:pStyle w:val="FERCparanumber"/>
              <w:widowControl w:val="0"/>
              <w:numPr>
                <w:ilvl w:val="0"/>
                <w:numId w:val="0"/>
              </w:numPr>
              <w:suppressLineNumbers/>
              <w:rPr>
                <w:b/>
                <w:szCs w:val="22"/>
              </w:rPr>
            </w:pPr>
            <w:r w:rsidRPr="004F4940">
              <w:rPr>
                <w:szCs w:val="22"/>
              </w:rPr>
              <w:t>EOP-011-3</w:t>
            </w:r>
            <w:r>
              <w:rPr>
                <w:b/>
                <w:szCs w:val="22"/>
                <w:vertAlign w:val="superscript"/>
              </w:rPr>
              <w:footnoteReference w:id="175"/>
            </w:r>
          </w:p>
        </w:tc>
        <w:tc>
          <w:tcPr>
            <w:tcW w:w="1141" w:type="dxa"/>
            <w:shd w:val="clear" w:color="auto" w:fill="FFFFFF" w:themeFill="background1"/>
          </w:tcPr>
          <w:p w:rsidR="00EB79C8" w:rsidRPr="004F4940" w:rsidP="00EB79C8" w14:paraId="18D4D0F8" w14:textId="77777777">
            <w:pPr>
              <w:pStyle w:val="FERCparanumber"/>
              <w:widowControl w:val="0"/>
              <w:numPr>
                <w:ilvl w:val="0"/>
                <w:numId w:val="0"/>
              </w:numPr>
              <w:suppressLineNumbers/>
              <w:rPr>
                <w:b/>
                <w:szCs w:val="22"/>
              </w:rPr>
            </w:pPr>
            <w:r w:rsidRPr="004F4940">
              <w:rPr>
                <w:szCs w:val="22"/>
              </w:rPr>
              <w:t>98 (BA)</w:t>
            </w:r>
          </w:p>
        </w:tc>
        <w:tc>
          <w:tcPr>
            <w:tcW w:w="1358" w:type="dxa"/>
            <w:shd w:val="clear" w:color="auto" w:fill="FFFFFF" w:themeFill="background1"/>
          </w:tcPr>
          <w:p w:rsidR="00EB79C8" w:rsidRPr="004F4940" w:rsidP="00EB79C8" w14:paraId="37617969" w14:textId="77777777">
            <w:pPr>
              <w:pStyle w:val="FERCparanumber"/>
              <w:widowControl w:val="0"/>
              <w:numPr>
                <w:ilvl w:val="0"/>
                <w:numId w:val="0"/>
              </w:numPr>
              <w:suppressLineNumbers/>
              <w:rPr>
                <w:b/>
                <w:szCs w:val="22"/>
              </w:rPr>
            </w:pPr>
            <w:r w:rsidRPr="004F4940">
              <w:rPr>
                <w:szCs w:val="22"/>
              </w:rPr>
              <w:t>1</w:t>
            </w:r>
          </w:p>
        </w:tc>
        <w:tc>
          <w:tcPr>
            <w:tcW w:w="1404" w:type="dxa"/>
            <w:shd w:val="clear" w:color="auto" w:fill="FFFFFF" w:themeFill="background1"/>
          </w:tcPr>
          <w:p w:rsidR="00EB79C8" w:rsidRPr="004F4940" w:rsidP="00EB79C8" w14:paraId="317B7747" w14:textId="77777777">
            <w:pPr>
              <w:pStyle w:val="FERCparanumber"/>
              <w:widowControl w:val="0"/>
              <w:numPr>
                <w:ilvl w:val="0"/>
                <w:numId w:val="0"/>
              </w:numPr>
              <w:suppressLineNumbers/>
              <w:rPr>
                <w:b/>
                <w:szCs w:val="22"/>
              </w:rPr>
            </w:pPr>
            <w:r w:rsidRPr="004F4940">
              <w:rPr>
                <w:szCs w:val="22"/>
              </w:rPr>
              <w:t>98</w:t>
            </w:r>
          </w:p>
        </w:tc>
        <w:tc>
          <w:tcPr>
            <w:tcW w:w="1536" w:type="dxa"/>
            <w:shd w:val="clear" w:color="auto" w:fill="FFFFFF" w:themeFill="background1"/>
          </w:tcPr>
          <w:p w:rsidR="00EB79C8" w:rsidRPr="004F4940" w:rsidP="00EB79C8" w14:paraId="689BB93B" w14:textId="77777777">
            <w:pPr>
              <w:pStyle w:val="FERCparanumber"/>
              <w:widowControl w:val="0"/>
              <w:numPr>
                <w:ilvl w:val="0"/>
                <w:numId w:val="0"/>
              </w:numPr>
              <w:suppressLineNumbers/>
              <w:rPr>
                <w:bCs/>
                <w:szCs w:val="22"/>
              </w:rPr>
            </w:pPr>
            <w:r w:rsidRPr="004F4940">
              <w:rPr>
                <w:bCs/>
                <w:szCs w:val="22"/>
              </w:rPr>
              <w:t>6 hrs.</w:t>
            </w:r>
          </w:p>
          <w:p w:rsidR="00EB79C8" w:rsidRPr="004F4940" w:rsidP="00EB79C8" w14:paraId="391DEF7D" w14:textId="77777777">
            <w:pPr>
              <w:pStyle w:val="FERCparanumber"/>
              <w:widowControl w:val="0"/>
              <w:numPr>
                <w:ilvl w:val="0"/>
                <w:numId w:val="0"/>
              </w:numPr>
              <w:suppressLineNumbers/>
              <w:rPr>
                <w:bCs/>
                <w:szCs w:val="22"/>
              </w:rPr>
            </w:pPr>
            <w:r w:rsidRPr="004F4940">
              <w:rPr>
                <w:bCs/>
                <w:szCs w:val="22"/>
              </w:rPr>
              <w:t>$389.34</w:t>
            </w:r>
          </w:p>
        </w:tc>
        <w:tc>
          <w:tcPr>
            <w:tcW w:w="2236" w:type="dxa"/>
            <w:shd w:val="clear" w:color="auto" w:fill="FFFFFF" w:themeFill="background1"/>
          </w:tcPr>
          <w:p w:rsidR="00EB79C8" w:rsidRPr="004F4940" w:rsidP="00EB79C8" w14:paraId="4C796D32" w14:textId="77777777">
            <w:pPr>
              <w:pStyle w:val="FERCparanumber"/>
              <w:widowControl w:val="0"/>
              <w:numPr>
                <w:ilvl w:val="0"/>
                <w:numId w:val="0"/>
              </w:numPr>
              <w:suppressLineNumbers/>
              <w:rPr>
                <w:bCs/>
                <w:szCs w:val="22"/>
              </w:rPr>
            </w:pPr>
            <w:r w:rsidRPr="004F4940">
              <w:rPr>
                <w:bCs/>
                <w:szCs w:val="22"/>
              </w:rPr>
              <w:t>588 hrs.</w:t>
            </w:r>
          </w:p>
          <w:p w:rsidR="00EB79C8" w:rsidRPr="004F4940" w:rsidP="00EB79C8" w14:paraId="695EE862" w14:textId="77777777">
            <w:pPr>
              <w:pStyle w:val="FERCparanumber"/>
              <w:widowControl w:val="0"/>
              <w:numPr>
                <w:ilvl w:val="0"/>
                <w:numId w:val="0"/>
              </w:numPr>
              <w:suppressLineNumbers/>
              <w:rPr>
                <w:bCs/>
                <w:szCs w:val="22"/>
              </w:rPr>
            </w:pPr>
            <w:r w:rsidRPr="004F4940">
              <w:rPr>
                <w:bCs/>
                <w:szCs w:val="22"/>
              </w:rPr>
              <w:t>$38,155.32</w:t>
            </w:r>
          </w:p>
        </w:tc>
      </w:tr>
      <w:tr w14:paraId="7813358A" w14:textId="77777777" w:rsidTr="00070273">
        <w:tblPrEx>
          <w:tblW w:w="0" w:type="auto"/>
          <w:tblLook w:val="04A0"/>
        </w:tblPrEx>
        <w:trPr>
          <w:trHeight w:val="256"/>
        </w:trPr>
        <w:tc>
          <w:tcPr>
            <w:tcW w:w="1675" w:type="dxa"/>
            <w:shd w:val="clear" w:color="auto" w:fill="FFFFFF" w:themeFill="background1"/>
          </w:tcPr>
          <w:p w:rsidR="00EB79C8" w:rsidRPr="004F4940" w:rsidP="00EB79C8" w14:paraId="746AF23B" w14:textId="77777777">
            <w:pPr>
              <w:pStyle w:val="FERCparanumber"/>
              <w:widowControl w:val="0"/>
              <w:numPr>
                <w:ilvl w:val="0"/>
                <w:numId w:val="0"/>
              </w:numPr>
              <w:suppressLineNumbers/>
              <w:rPr>
                <w:b/>
                <w:szCs w:val="22"/>
              </w:rPr>
            </w:pPr>
            <w:r w:rsidRPr="004F4940">
              <w:rPr>
                <w:szCs w:val="22"/>
              </w:rPr>
              <w:t>EOP-011-3</w:t>
            </w:r>
            <w:r>
              <w:rPr>
                <w:b/>
                <w:szCs w:val="22"/>
                <w:vertAlign w:val="superscript"/>
              </w:rPr>
              <w:footnoteReference w:id="176"/>
            </w:r>
          </w:p>
        </w:tc>
        <w:tc>
          <w:tcPr>
            <w:tcW w:w="1141" w:type="dxa"/>
            <w:shd w:val="clear" w:color="auto" w:fill="FFFFFF" w:themeFill="background1"/>
          </w:tcPr>
          <w:p w:rsidR="00EB79C8" w:rsidRPr="004F4940" w:rsidP="00EB79C8" w14:paraId="45DBB174" w14:textId="77777777">
            <w:pPr>
              <w:pStyle w:val="FERCparanumber"/>
              <w:widowControl w:val="0"/>
              <w:numPr>
                <w:ilvl w:val="0"/>
                <w:numId w:val="0"/>
              </w:numPr>
              <w:suppressLineNumbers/>
              <w:rPr>
                <w:b/>
                <w:szCs w:val="22"/>
              </w:rPr>
            </w:pPr>
            <w:r w:rsidRPr="004F4940">
              <w:rPr>
                <w:szCs w:val="22"/>
              </w:rPr>
              <w:t>12 (RC)</w:t>
            </w:r>
          </w:p>
        </w:tc>
        <w:tc>
          <w:tcPr>
            <w:tcW w:w="1358" w:type="dxa"/>
            <w:shd w:val="clear" w:color="auto" w:fill="FFFFFF" w:themeFill="background1"/>
          </w:tcPr>
          <w:p w:rsidR="00EB79C8" w:rsidRPr="004F4940" w:rsidP="00EB79C8" w14:paraId="183377E6" w14:textId="77777777">
            <w:pPr>
              <w:pStyle w:val="FERCparanumber"/>
              <w:widowControl w:val="0"/>
              <w:numPr>
                <w:ilvl w:val="0"/>
                <w:numId w:val="0"/>
              </w:numPr>
              <w:suppressLineNumbers/>
              <w:rPr>
                <w:b/>
                <w:szCs w:val="22"/>
              </w:rPr>
            </w:pPr>
            <w:r w:rsidRPr="004F4940">
              <w:rPr>
                <w:szCs w:val="22"/>
              </w:rPr>
              <w:t>1</w:t>
            </w:r>
          </w:p>
        </w:tc>
        <w:tc>
          <w:tcPr>
            <w:tcW w:w="1404" w:type="dxa"/>
            <w:shd w:val="clear" w:color="auto" w:fill="FFFFFF" w:themeFill="background1"/>
          </w:tcPr>
          <w:p w:rsidR="00EB79C8" w:rsidRPr="004F4940" w:rsidP="00EB79C8" w14:paraId="098B7458" w14:textId="77777777">
            <w:pPr>
              <w:pStyle w:val="FERCparanumber"/>
              <w:widowControl w:val="0"/>
              <w:numPr>
                <w:ilvl w:val="0"/>
                <w:numId w:val="0"/>
              </w:numPr>
              <w:suppressLineNumbers/>
              <w:rPr>
                <w:b/>
                <w:szCs w:val="22"/>
              </w:rPr>
            </w:pPr>
            <w:r w:rsidRPr="004F4940">
              <w:rPr>
                <w:szCs w:val="22"/>
              </w:rPr>
              <w:t>12</w:t>
            </w:r>
          </w:p>
        </w:tc>
        <w:tc>
          <w:tcPr>
            <w:tcW w:w="1536" w:type="dxa"/>
            <w:shd w:val="clear" w:color="auto" w:fill="FFFFFF" w:themeFill="background1"/>
          </w:tcPr>
          <w:p w:rsidR="00EB79C8" w:rsidRPr="004F4940" w:rsidP="00EB79C8" w14:paraId="45FB19E0" w14:textId="77777777">
            <w:pPr>
              <w:pStyle w:val="FERCparanumber"/>
              <w:widowControl w:val="0"/>
              <w:numPr>
                <w:ilvl w:val="0"/>
                <w:numId w:val="0"/>
              </w:numPr>
              <w:suppressLineNumbers/>
              <w:rPr>
                <w:bCs/>
                <w:szCs w:val="22"/>
              </w:rPr>
            </w:pPr>
            <w:r w:rsidRPr="004F4940">
              <w:rPr>
                <w:bCs/>
                <w:szCs w:val="22"/>
              </w:rPr>
              <w:t>28 hrs.</w:t>
            </w:r>
          </w:p>
          <w:p w:rsidR="00EB79C8" w:rsidRPr="004F4940" w:rsidP="00EB79C8" w14:paraId="4D1C9245" w14:textId="77777777">
            <w:pPr>
              <w:pStyle w:val="FERCparanumber"/>
              <w:widowControl w:val="0"/>
              <w:numPr>
                <w:ilvl w:val="0"/>
                <w:numId w:val="0"/>
              </w:numPr>
              <w:suppressLineNumbers/>
              <w:rPr>
                <w:b/>
                <w:szCs w:val="22"/>
              </w:rPr>
            </w:pPr>
            <w:r w:rsidRPr="004F4940">
              <w:rPr>
                <w:bCs/>
                <w:szCs w:val="22"/>
              </w:rPr>
              <w:t>$1,816.92</w:t>
            </w:r>
          </w:p>
        </w:tc>
        <w:tc>
          <w:tcPr>
            <w:tcW w:w="2236" w:type="dxa"/>
            <w:shd w:val="clear" w:color="auto" w:fill="FFFFFF" w:themeFill="background1"/>
          </w:tcPr>
          <w:p w:rsidR="00EB79C8" w:rsidRPr="004F4940" w:rsidP="00EB79C8" w14:paraId="5C24507C" w14:textId="77777777">
            <w:pPr>
              <w:pStyle w:val="FERCparanumber"/>
              <w:widowControl w:val="0"/>
              <w:numPr>
                <w:ilvl w:val="0"/>
                <w:numId w:val="0"/>
              </w:numPr>
              <w:suppressLineNumbers/>
              <w:rPr>
                <w:bCs/>
                <w:szCs w:val="22"/>
              </w:rPr>
            </w:pPr>
            <w:r w:rsidRPr="004F4940">
              <w:rPr>
                <w:bCs/>
                <w:szCs w:val="22"/>
              </w:rPr>
              <w:t>336 hrs.</w:t>
            </w:r>
          </w:p>
          <w:p w:rsidR="00EB79C8" w:rsidRPr="004F4940" w:rsidP="00EB79C8" w14:paraId="783082B4" w14:textId="77777777">
            <w:pPr>
              <w:pStyle w:val="FERCparanumber"/>
              <w:widowControl w:val="0"/>
              <w:numPr>
                <w:ilvl w:val="0"/>
                <w:numId w:val="0"/>
              </w:numPr>
              <w:suppressLineNumbers/>
              <w:rPr>
                <w:bCs/>
                <w:szCs w:val="22"/>
              </w:rPr>
            </w:pPr>
            <w:r w:rsidRPr="004F4940">
              <w:rPr>
                <w:bCs/>
                <w:szCs w:val="22"/>
              </w:rPr>
              <w:t>$21,803.04</w:t>
            </w:r>
          </w:p>
        </w:tc>
      </w:tr>
      <w:tr w14:paraId="199F0EA0" w14:textId="77777777" w:rsidTr="00070273">
        <w:tblPrEx>
          <w:tblW w:w="0" w:type="auto"/>
          <w:tblLook w:val="04A0"/>
        </w:tblPrEx>
        <w:trPr>
          <w:trHeight w:val="256"/>
        </w:trPr>
        <w:tc>
          <w:tcPr>
            <w:tcW w:w="1675" w:type="dxa"/>
            <w:shd w:val="clear" w:color="auto" w:fill="FFFFFF" w:themeFill="background1"/>
          </w:tcPr>
          <w:p w:rsidR="00EB79C8" w:rsidRPr="004F4940" w:rsidP="00EB79C8" w14:paraId="13F9DC9B" w14:textId="77777777">
            <w:pPr>
              <w:pStyle w:val="FERCparanumber"/>
              <w:widowControl w:val="0"/>
              <w:numPr>
                <w:ilvl w:val="0"/>
                <w:numId w:val="0"/>
              </w:numPr>
              <w:suppressLineNumbers/>
              <w:spacing w:after="0"/>
              <w:rPr>
                <w:b/>
                <w:bCs/>
                <w:szCs w:val="22"/>
              </w:rPr>
            </w:pPr>
            <w:r w:rsidRPr="004F4940">
              <w:rPr>
                <w:b/>
                <w:bCs/>
                <w:szCs w:val="22"/>
              </w:rPr>
              <w:t>Sub-total of EOP-011-3 (One time)</w:t>
            </w:r>
          </w:p>
        </w:tc>
        <w:tc>
          <w:tcPr>
            <w:tcW w:w="1141" w:type="dxa"/>
            <w:shd w:val="clear" w:color="auto" w:fill="FFFFFF" w:themeFill="background1"/>
          </w:tcPr>
          <w:p w:rsidR="00EB79C8" w:rsidRPr="004F4940" w:rsidP="00EB79C8" w14:paraId="7390E851" w14:textId="77777777">
            <w:pPr>
              <w:pStyle w:val="FERCparanumber"/>
              <w:widowControl w:val="0"/>
              <w:numPr>
                <w:ilvl w:val="0"/>
                <w:numId w:val="0"/>
              </w:numPr>
              <w:suppressLineNumbers/>
              <w:spacing w:after="0"/>
              <w:rPr>
                <w:szCs w:val="22"/>
              </w:rPr>
            </w:pPr>
          </w:p>
        </w:tc>
        <w:tc>
          <w:tcPr>
            <w:tcW w:w="1358" w:type="dxa"/>
            <w:shd w:val="clear" w:color="auto" w:fill="FFFFFF" w:themeFill="background1"/>
          </w:tcPr>
          <w:p w:rsidR="00EB79C8" w:rsidRPr="004F4940" w:rsidP="00EB79C8" w14:paraId="192D6C9B" w14:textId="77777777">
            <w:pPr>
              <w:pStyle w:val="FERCparanumber"/>
              <w:widowControl w:val="0"/>
              <w:numPr>
                <w:ilvl w:val="0"/>
                <w:numId w:val="0"/>
              </w:numPr>
              <w:suppressLineNumbers/>
              <w:spacing w:after="0"/>
              <w:rPr>
                <w:szCs w:val="22"/>
              </w:rPr>
            </w:pPr>
          </w:p>
        </w:tc>
        <w:tc>
          <w:tcPr>
            <w:tcW w:w="1404" w:type="dxa"/>
            <w:shd w:val="clear" w:color="auto" w:fill="FFFFFF" w:themeFill="background1"/>
          </w:tcPr>
          <w:p w:rsidR="00EB79C8" w:rsidRPr="004F4940" w:rsidP="00EB79C8" w14:paraId="7EAC2F7A" w14:textId="77777777">
            <w:pPr>
              <w:pStyle w:val="FERCparanumber"/>
              <w:widowControl w:val="0"/>
              <w:numPr>
                <w:ilvl w:val="0"/>
                <w:numId w:val="0"/>
              </w:numPr>
              <w:suppressLineNumbers/>
              <w:spacing w:after="0"/>
              <w:rPr>
                <w:szCs w:val="22"/>
              </w:rPr>
            </w:pPr>
            <w:r w:rsidRPr="004F4940">
              <w:rPr>
                <w:szCs w:val="22"/>
              </w:rPr>
              <w:t>278</w:t>
            </w:r>
          </w:p>
        </w:tc>
        <w:tc>
          <w:tcPr>
            <w:tcW w:w="1536" w:type="dxa"/>
            <w:shd w:val="clear" w:color="auto" w:fill="FFFFFF" w:themeFill="background1"/>
          </w:tcPr>
          <w:p w:rsidR="00EB79C8" w:rsidRPr="004F4940" w:rsidP="00EB79C8" w14:paraId="2EA64BDD" w14:textId="77777777">
            <w:pPr>
              <w:pStyle w:val="FERCparanumber"/>
              <w:widowControl w:val="0"/>
              <w:numPr>
                <w:ilvl w:val="0"/>
                <w:numId w:val="0"/>
              </w:numPr>
              <w:suppressLineNumbers/>
              <w:spacing w:after="0"/>
              <w:rPr>
                <w:b/>
                <w:szCs w:val="22"/>
              </w:rPr>
            </w:pPr>
          </w:p>
        </w:tc>
        <w:tc>
          <w:tcPr>
            <w:tcW w:w="2236" w:type="dxa"/>
            <w:shd w:val="clear" w:color="auto" w:fill="FFFFFF" w:themeFill="background1"/>
          </w:tcPr>
          <w:p w:rsidR="00EB79C8" w:rsidRPr="004F4940" w:rsidP="00EB79C8" w14:paraId="3CB93088" w14:textId="77777777">
            <w:pPr>
              <w:pStyle w:val="FERCparanumber"/>
              <w:widowControl w:val="0"/>
              <w:numPr>
                <w:ilvl w:val="0"/>
                <w:numId w:val="0"/>
              </w:numPr>
              <w:suppressLineNumbers/>
              <w:spacing w:after="0"/>
              <w:rPr>
                <w:b/>
                <w:szCs w:val="22"/>
              </w:rPr>
            </w:pPr>
            <w:r w:rsidRPr="004F4940">
              <w:rPr>
                <w:b/>
                <w:szCs w:val="22"/>
              </w:rPr>
              <w:t>11,004 hrs.</w:t>
            </w:r>
          </w:p>
          <w:p w:rsidR="00EB79C8" w:rsidRPr="004F4940" w:rsidP="00EB79C8" w14:paraId="2787A3AE" w14:textId="77777777">
            <w:pPr>
              <w:pStyle w:val="FERCparanumber"/>
              <w:widowControl w:val="0"/>
              <w:numPr>
                <w:ilvl w:val="0"/>
                <w:numId w:val="0"/>
              </w:numPr>
              <w:suppressLineNumbers/>
              <w:spacing w:after="0"/>
              <w:rPr>
                <w:b/>
                <w:szCs w:val="22"/>
              </w:rPr>
            </w:pPr>
            <w:r w:rsidRPr="004F4940">
              <w:rPr>
                <w:b/>
                <w:szCs w:val="22"/>
              </w:rPr>
              <w:t>$714,049.56</w:t>
            </w:r>
          </w:p>
        </w:tc>
      </w:tr>
      <w:tr w14:paraId="656E2759" w14:textId="77777777" w:rsidTr="00070273">
        <w:tblPrEx>
          <w:tblW w:w="0" w:type="auto"/>
          <w:tblLook w:val="04A0"/>
        </w:tblPrEx>
        <w:trPr>
          <w:trHeight w:val="256"/>
        </w:trPr>
        <w:tc>
          <w:tcPr>
            <w:tcW w:w="9350" w:type="dxa"/>
            <w:gridSpan w:val="6"/>
            <w:shd w:val="clear" w:color="auto" w:fill="D9D9D9" w:themeFill="background1" w:themeFillShade="D9"/>
          </w:tcPr>
          <w:p w:rsidR="00EB79C8" w:rsidRPr="004F4940" w:rsidP="00A97F95" w14:paraId="0600BD63" w14:textId="77777777">
            <w:pPr>
              <w:pStyle w:val="FERCparanumber"/>
              <w:widowControl w:val="0"/>
              <w:numPr>
                <w:ilvl w:val="0"/>
                <w:numId w:val="0"/>
              </w:numPr>
              <w:suppressLineNumbers/>
              <w:spacing w:before="240"/>
              <w:jc w:val="center"/>
              <w:rPr>
                <w:b/>
                <w:szCs w:val="22"/>
              </w:rPr>
            </w:pPr>
            <w:r w:rsidRPr="004F4940">
              <w:rPr>
                <w:b/>
                <w:bCs/>
                <w:szCs w:val="22"/>
              </w:rPr>
              <w:t xml:space="preserve">Ongoing Estimate – Year 3 ongoing </w:t>
            </w:r>
            <w:r w:rsidRPr="004F4940">
              <w:rPr>
                <w:b/>
                <w:szCs w:val="22"/>
              </w:rPr>
              <w:t>EOP-011-3</w:t>
            </w:r>
          </w:p>
        </w:tc>
      </w:tr>
      <w:tr w14:paraId="1068D77E" w14:textId="77777777" w:rsidTr="00070273">
        <w:tblPrEx>
          <w:tblW w:w="0" w:type="auto"/>
          <w:tblLook w:val="04A0"/>
        </w:tblPrEx>
        <w:trPr>
          <w:trHeight w:val="256"/>
        </w:trPr>
        <w:tc>
          <w:tcPr>
            <w:tcW w:w="1675" w:type="dxa"/>
            <w:shd w:val="clear" w:color="auto" w:fill="FFFFFF" w:themeFill="background1"/>
          </w:tcPr>
          <w:p w:rsidR="00EB79C8" w:rsidRPr="004F4940" w:rsidP="00EB79C8" w14:paraId="4DE87DDD" w14:textId="77777777">
            <w:pPr>
              <w:pStyle w:val="FERCparanumber"/>
              <w:widowControl w:val="0"/>
              <w:numPr>
                <w:ilvl w:val="0"/>
                <w:numId w:val="0"/>
              </w:numPr>
              <w:suppressLineNumbers/>
              <w:rPr>
                <w:b/>
                <w:szCs w:val="22"/>
              </w:rPr>
            </w:pPr>
            <w:r w:rsidRPr="004F4940">
              <w:rPr>
                <w:szCs w:val="22"/>
              </w:rPr>
              <w:t>EOP-011-3</w:t>
            </w:r>
            <w:r>
              <w:rPr>
                <w:b/>
                <w:szCs w:val="22"/>
                <w:vertAlign w:val="superscript"/>
              </w:rPr>
              <w:footnoteReference w:id="177"/>
            </w:r>
          </w:p>
        </w:tc>
        <w:tc>
          <w:tcPr>
            <w:tcW w:w="1141" w:type="dxa"/>
            <w:shd w:val="clear" w:color="auto" w:fill="FFFFFF" w:themeFill="background1"/>
          </w:tcPr>
          <w:p w:rsidR="00EB79C8" w:rsidRPr="004F4940" w:rsidP="00EB79C8" w14:paraId="6B315CC7" w14:textId="77777777">
            <w:pPr>
              <w:pStyle w:val="FERCparanumber"/>
              <w:widowControl w:val="0"/>
              <w:numPr>
                <w:ilvl w:val="0"/>
                <w:numId w:val="0"/>
              </w:numPr>
              <w:suppressLineNumbers/>
              <w:rPr>
                <w:b/>
                <w:szCs w:val="22"/>
              </w:rPr>
            </w:pPr>
            <w:r w:rsidRPr="004F4940">
              <w:rPr>
                <w:szCs w:val="22"/>
              </w:rPr>
              <w:t>168 (TOP)</w:t>
            </w:r>
          </w:p>
        </w:tc>
        <w:tc>
          <w:tcPr>
            <w:tcW w:w="1358" w:type="dxa"/>
            <w:shd w:val="clear" w:color="auto" w:fill="FFFFFF" w:themeFill="background1"/>
          </w:tcPr>
          <w:p w:rsidR="00EB79C8" w:rsidRPr="004F4940" w:rsidP="00EB79C8" w14:paraId="5FC121CC" w14:textId="77777777">
            <w:pPr>
              <w:pStyle w:val="FERCparanumber"/>
              <w:widowControl w:val="0"/>
              <w:numPr>
                <w:ilvl w:val="0"/>
                <w:numId w:val="0"/>
              </w:numPr>
              <w:suppressLineNumbers/>
              <w:rPr>
                <w:b/>
                <w:szCs w:val="22"/>
              </w:rPr>
            </w:pPr>
            <w:r w:rsidRPr="004F4940">
              <w:rPr>
                <w:szCs w:val="22"/>
              </w:rPr>
              <w:t>1</w:t>
            </w:r>
          </w:p>
        </w:tc>
        <w:tc>
          <w:tcPr>
            <w:tcW w:w="1404" w:type="dxa"/>
            <w:shd w:val="clear" w:color="auto" w:fill="FFFFFF" w:themeFill="background1"/>
          </w:tcPr>
          <w:p w:rsidR="00EB79C8" w:rsidRPr="004F4940" w:rsidP="00EB79C8" w14:paraId="0F3A7158" w14:textId="77777777">
            <w:pPr>
              <w:pStyle w:val="FERCparanumber"/>
              <w:widowControl w:val="0"/>
              <w:numPr>
                <w:ilvl w:val="0"/>
                <w:numId w:val="0"/>
              </w:numPr>
              <w:suppressLineNumbers/>
              <w:rPr>
                <w:b/>
                <w:szCs w:val="22"/>
              </w:rPr>
            </w:pPr>
            <w:r w:rsidRPr="004F4940">
              <w:rPr>
                <w:szCs w:val="22"/>
              </w:rPr>
              <w:t>168</w:t>
            </w:r>
          </w:p>
        </w:tc>
        <w:tc>
          <w:tcPr>
            <w:tcW w:w="1536" w:type="dxa"/>
            <w:shd w:val="clear" w:color="auto" w:fill="FFFFFF" w:themeFill="background1"/>
          </w:tcPr>
          <w:p w:rsidR="00EB79C8" w:rsidRPr="004F4940" w:rsidP="00EB79C8" w14:paraId="501AF577" w14:textId="77777777">
            <w:pPr>
              <w:pStyle w:val="FERCparanumber"/>
              <w:widowControl w:val="0"/>
              <w:numPr>
                <w:ilvl w:val="0"/>
                <w:numId w:val="0"/>
              </w:numPr>
              <w:suppressLineNumbers/>
              <w:rPr>
                <w:bCs/>
                <w:szCs w:val="22"/>
              </w:rPr>
            </w:pPr>
            <w:r w:rsidRPr="004F4940">
              <w:rPr>
                <w:bCs/>
                <w:szCs w:val="22"/>
              </w:rPr>
              <w:t>10 hrs.</w:t>
            </w:r>
          </w:p>
          <w:p w:rsidR="00EB79C8" w:rsidRPr="004F4940" w:rsidP="00EB79C8" w14:paraId="3547AE6C" w14:textId="77777777">
            <w:pPr>
              <w:pStyle w:val="FERCparanumber"/>
              <w:widowControl w:val="0"/>
              <w:numPr>
                <w:ilvl w:val="0"/>
                <w:numId w:val="0"/>
              </w:numPr>
              <w:suppressLineNumbers/>
              <w:rPr>
                <w:bCs/>
                <w:szCs w:val="22"/>
              </w:rPr>
            </w:pPr>
            <w:r w:rsidRPr="004F4940">
              <w:rPr>
                <w:bCs/>
                <w:szCs w:val="22"/>
              </w:rPr>
              <w:t>$648.90</w:t>
            </w:r>
          </w:p>
        </w:tc>
        <w:tc>
          <w:tcPr>
            <w:tcW w:w="2236" w:type="dxa"/>
            <w:shd w:val="clear" w:color="auto" w:fill="FFFFFF" w:themeFill="background1"/>
          </w:tcPr>
          <w:p w:rsidR="00EB79C8" w:rsidRPr="004F4940" w:rsidP="00EB79C8" w14:paraId="19FB370F" w14:textId="77777777">
            <w:pPr>
              <w:pStyle w:val="FERCparanumber"/>
              <w:widowControl w:val="0"/>
              <w:numPr>
                <w:ilvl w:val="0"/>
                <w:numId w:val="0"/>
              </w:numPr>
              <w:suppressLineNumbers/>
              <w:rPr>
                <w:bCs/>
                <w:szCs w:val="22"/>
              </w:rPr>
            </w:pPr>
            <w:r w:rsidRPr="004F4940">
              <w:rPr>
                <w:bCs/>
                <w:szCs w:val="22"/>
              </w:rPr>
              <w:t>1,680 hrs.</w:t>
            </w:r>
          </w:p>
          <w:p w:rsidR="00EB79C8" w:rsidRPr="004F4940" w:rsidP="00EB79C8" w14:paraId="557BFB69" w14:textId="77777777">
            <w:pPr>
              <w:pStyle w:val="FERCparanumber"/>
              <w:widowControl w:val="0"/>
              <w:numPr>
                <w:ilvl w:val="0"/>
                <w:numId w:val="0"/>
              </w:numPr>
              <w:suppressLineNumbers/>
              <w:rPr>
                <w:bCs/>
                <w:szCs w:val="22"/>
              </w:rPr>
            </w:pPr>
            <w:r w:rsidRPr="004F4940">
              <w:rPr>
                <w:bCs/>
                <w:szCs w:val="22"/>
              </w:rPr>
              <w:t>$109,015.20</w:t>
            </w:r>
          </w:p>
        </w:tc>
      </w:tr>
      <w:tr w14:paraId="4F226D26" w14:textId="77777777" w:rsidTr="00070273">
        <w:tblPrEx>
          <w:tblW w:w="0" w:type="auto"/>
          <w:tblLook w:val="04A0"/>
        </w:tblPrEx>
        <w:trPr>
          <w:trHeight w:val="256"/>
        </w:trPr>
        <w:tc>
          <w:tcPr>
            <w:tcW w:w="1675" w:type="dxa"/>
            <w:shd w:val="clear" w:color="auto" w:fill="FFFFFF" w:themeFill="background1"/>
          </w:tcPr>
          <w:p w:rsidR="00EB79C8" w:rsidRPr="004F4940" w:rsidP="00EB79C8" w14:paraId="211FC947" w14:textId="77777777">
            <w:pPr>
              <w:pStyle w:val="FERCparanumber"/>
              <w:widowControl w:val="0"/>
              <w:numPr>
                <w:ilvl w:val="0"/>
                <w:numId w:val="0"/>
              </w:numPr>
              <w:suppressLineNumbers/>
              <w:rPr>
                <w:b/>
                <w:szCs w:val="22"/>
              </w:rPr>
            </w:pPr>
            <w:r w:rsidRPr="004F4940">
              <w:rPr>
                <w:szCs w:val="22"/>
              </w:rPr>
              <w:t>EOP-011-3</w:t>
            </w:r>
            <w:r>
              <w:rPr>
                <w:b/>
                <w:szCs w:val="22"/>
                <w:vertAlign w:val="superscript"/>
              </w:rPr>
              <w:footnoteReference w:id="178"/>
            </w:r>
          </w:p>
        </w:tc>
        <w:tc>
          <w:tcPr>
            <w:tcW w:w="1141" w:type="dxa"/>
            <w:shd w:val="clear" w:color="auto" w:fill="FFFFFF" w:themeFill="background1"/>
          </w:tcPr>
          <w:p w:rsidR="00EB79C8" w:rsidRPr="004F4940" w:rsidP="00EB79C8" w14:paraId="5B796DBA" w14:textId="77777777">
            <w:pPr>
              <w:pStyle w:val="FERCparanumber"/>
              <w:widowControl w:val="0"/>
              <w:numPr>
                <w:ilvl w:val="0"/>
                <w:numId w:val="0"/>
              </w:numPr>
              <w:suppressLineNumbers/>
              <w:rPr>
                <w:b/>
                <w:szCs w:val="22"/>
              </w:rPr>
            </w:pPr>
            <w:r w:rsidRPr="004F4940">
              <w:rPr>
                <w:szCs w:val="22"/>
              </w:rPr>
              <w:t>98 (BA)</w:t>
            </w:r>
          </w:p>
        </w:tc>
        <w:tc>
          <w:tcPr>
            <w:tcW w:w="1358" w:type="dxa"/>
            <w:shd w:val="clear" w:color="auto" w:fill="FFFFFF" w:themeFill="background1"/>
          </w:tcPr>
          <w:p w:rsidR="00EB79C8" w:rsidRPr="004F4940" w:rsidP="00EB79C8" w14:paraId="5C73569B" w14:textId="77777777">
            <w:pPr>
              <w:pStyle w:val="FERCparanumber"/>
              <w:widowControl w:val="0"/>
              <w:numPr>
                <w:ilvl w:val="0"/>
                <w:numId w:val="0"/>
              </w:numPr>
              <w:suppressLineNumbers/>
              <w:rPr>
                <w:b/>
                <w:szCs w:val="22"/>
              </w:rPr>
            </w:pPr>
            <w:r w:rsidRPr="004F4940">
              <w:rPr>
                <w:szCs w:val="22"/>
              </w:rPr>
              <w:t>1</w:t>
            </w:r>
          </w:p>
        </w:tc>
        <w:tc>
          <w:tcPr>
            <w:tcW w:w="1404" w:type="dxa"/>
            <w:shd w:val="clear" w:color="auto" w:fill="FFFFFF" w:themeFill="background1"/>
          </w:tcPr>
          <w:p w:rsidR="00EB79C8" w:rsidRPr="004F4940" w:rsidP="00EB79C8" w14:paraId="4FCE5093" w14:textId="77777777">
            <w:pPr>
              <w:pStyle w:val="FERCparanumber"/>
              <w:widowControl w:val="0"/>
              <w:numPr>
                <w:ilvl w:val="0"/>
                <w:numId w:val="0"/>
              </w:numPr>
              <w:suppressLineNumbers/>
              <w:rPr>
                <w:b/>
                <w:szCs w:val="22"/>
              </w:rPr>
            </w:pPr>
            <w:r w:rsidRPr="004F4940">
              <w:rPr>
                <w:szCs w:val="22"/>
              </w:rPr>
              <w:t>98</w:t>
            </w:r>
          </w:p>
        </w:tc>
        <w:tc>
          <w:tcPr>
            <w:tcW w:w="1536" w:type="dxa"/>
            <w:shd w:val="clear" w:color="auto" w:fill="FFFFFF" w:themeFill="background1"/>
          </w:tcPr>
          <w:p w:rsidR="00EB79C8" w:rsidRPr="004F4940" w:rsidP="00EB79C8" w14:paraId="38F5F031" w14:textId="77777777">
            <w:pPr>
              <w:pStyle w:val="FERCparanumber"/>
              <w:widowControl w:val="0"/>
              <w:numPr>
                <w:ilvl w:val="0"/>
                <w:numId w:val="0"/>
              </w:numPr>
              <w:suppressLineNumbers/>
              <w:rPr>
                <w:bCs/>
                <w:szCs w:val="22"/>
              </w:rPr>
            </w:pPr>
            <w:r w:rsidRPr="004F4940">
              <w:rPr>
                <w:bCs/>
                <w:szCs w:val="22"/>
              </w:rPr>
              <w:t>10 hrs.</w:t>
            </w:r>
          </w:p>
          <w:p w:rsidR="00EB79C8" w:rsidRPr="004F4940" w:rsidP="00EB79C8" w14:paraId="4E0C6B01" w14:textId="77777777">
            <w:pPr>
              <w:pStyle w:val="FERCparanumber"/>
              <w:widowControl w:val="0"/>
              <w:numPr>
                <w:ilvl w:val="0"/>
                <w:numId w:val="0"/>
              </w:numPr>
              <w:suppressLineNumbers/>
              <w:rPr>
                <w:bCs/>
                <w:szCs w:val="22"/>
              </w:rPr>
            </w:pPr>
            <w:r w:rsidRPr="004F4940">
              <w:rPr>
                <w:bCs/>
                <w:szCs w:val="22"/>
              </w:rPr>
              <w:t>$648.90</w:t>
            </w:r>
          </w:p>
        </w:tc>
        <w:tc>
          <w:tcPr>
            <w:tcW w:w="2236" w:type="dxa"/>
            <w:shd w:val="clear" w:color="auto" w:fill="FFFFFF" w:themeFill="background1"/>
          </w:tcPr>
          <w:p w:rsidR="00EB79C8" w:rsidRPr="004F4940" w:rsidP="00EB79C8" w14:paraId="4D71F215" w14:textId="77777777">
            <w:pPr>
              <w:pStyle w:val="FERCparanumber"/>
              <w:widowControl w:val="0"/>
              <w:numPr>
                <w:ilvl w:val="0"/>
                <w:numId w:val="0"/>
              </w:numPr>
              <w:suppressLineNumbers/>
              <w:rPr>
                <w:bCs/>
                <w:szCs w:val="22"/>
              </w:rPr>
            </w:pPr>
            <w:r w:rsidRPr="004F4940">
              <w:rPr>
                <w:bCs/>
                <w:szCs w:val="22"/>
              </w:rPr>
              <w:t>980 hrs.</w:t>
            </w:r>
          </w:p>
          <w:p w:rsidR="00EB79C8" w:rsidRPr="004F4940" w:rsidP="00EB79C8" w14:paraId="2760FEF9" w14:textId="77777777">
            <w:pPr>
              <w:pStyle w:val="FERCparanumber"/>
              <w:widowControl w:val="0"/>
              <w:numPr>
                <w:ilvl w:val="0"/>
                <w:numId w:val="0"/>
              </w:numPr>
              <w:suppressLineNumbers/>
              <w:rPr>
                <w:bCs/>
                <w:szCs w:val="22"/>
              </w:rPr>
            </w:pPr>
            <w:r w:rsidRPr="004F4940">
              <w:rPr>
                <w:bCs/>
                <w:szCs w:val="22"/>
              </w:rPr>
              <w:t>$63,592.20</w:t>
            </w:r>
          </w:p>
        </w:tc>
      </w:tr>
      <w:tr w14:paraId="55E57DF9" w14:textId="77777777" w:rsidTr="00070273">
        <w:tblPrEx>
          <w:tblW w:w="0" w:type="auto"/>
          <w:tblLook w:val="04A0"/>
        </w:tblPrEx>
        <w:trPr>
          <w:trHeight w:val="256"/>
        </w:trPr>
        <w:tc>
          <w:tcPr>
            <w:tcW w:w="1675" w:type="dxa"/>
            <w:shd w:val="clear" w:color="auto" w:fill="FFFFFF" w:themeFill="background1"/>
          </w:tcPr>
          <w:p w:rsidR="00EB79C8" w:rsidRPr="004F4940" w:rsidP="00EB79C8" w14:paraId="76C22AB6" w14:textId="77777777">
            <w:pPr>
              <w:pStyle w:val="FERCparanumber"/>
              <w:widowControl w:val="0"/>
              <w:numPr>
                <w:ilvl w:val="0"/>
                <w:numId w:val="0"/>
              </w:numPr>
              <w:suppressLineNumbers/>
              <w:rPr>
                <w:b/>
                <w:szCs w:val="22"/>
              </w:rPr>
            </w:pPr>
            <w:r w:rsidRPr="004F4940">
              <w:rPr>
                <w:szCs w:val="22"/>
              </w:rPr>
              <w:t>EOP-011-3</w:t>
            </w:r>
            <w:r>
              <w:rPr>
                <w:b/>
                <w:szCs w:val="22"/>
                <w:vertAlign w:val="superscript"/>
              </w:rPr>
              <w:footnoteReference w:id="179"/>
            </w:r>
          </w:p>
        </w:tc>
        <w:tc>
          <w:tcPr>
            <w:tcW w:w="1141" w:type="dxa"/>
            <w:shd w:val="clear" w:color="auto" w:fill="FFFFFF" w:themeFill="background1"/>
          </w:tcPr>
          <w:p w:rsidR="00EB79C8" w:rsidRPr="004F4940" w:rsidP="00EB79C8" w14:paraId="11ED7524" w14:textId="77777777">
            <w:pPr>
              <w:pStyle w:val="FERCparanumber"/>
              <w:widowControl w:val="0"/>
              <w:numPr>
                <w:ilvl w:val="0"/>
                <w:numId w:val="0"/>
              </w:numPr>
              <w:suppressLineNumbers/>
              <w:rPr>
                <w:b/>
                <w:szCs w:val="22"/>
              </w:rPr>
            </w:pPr>
            <w:r w:rsidRPr="004F4940">
              <w:rPr>
                <w:szCs w:val="22"/>
              </w:rPr>
              <w:t>12 (RC)</w:t>
            </w:r>
          </w:p>
        </w:tc>
        <w:tc>
          <w:tcPr>
            <w:tcW w:w="1358" w:type="dxa"/>
            <w:shd w:val="clear" w:color="auto" w:fill="FFFFFF" w:themeFill="background1"/>
          </w:tcPr>
          <w:p w:rsidR="00EB79C8" w:rsidRPr="004F4940" w:rsidP="00EB79C8" w14:paraId="5DB3A4A4" w14:textId="77777777">
            <w:pPr>
              <w:pStyle w:val="FERCparanumber"/>
              <w:widowControl w:val="0"/>
              <w:numPr>
                <w:ilvl w:val="0"/>
                <w:numId w:val="0"/>
              </w:numPr>
              <w:suppressLineNumbers/>
              <w:rPr>
                <w:b/>
                <w:szCs w:val="22"/>
              </w:rPr>
            </w:pPr>
            <w:r w:rsidRPr="004F4940">
              <w:rPr>
                <w:szCs w:val="22"/>
              </w:rPr>
              <w:t>1</w:t>
            </w:r>
          </w:p>
        </w:tc>
        <w:tc>
          <w:tcPr>
            <w:tcW w:w="1404" w:type="dxa"/>
            <w:shd w:val="clear" w:color="auto" w:fill="FFFFFF" w:themeFill="background1"/>
          </w:tcPr>
          <w:p w:rsidR="00EB79C8" w:rsidRPr="004F4940" w:rsidP="00EB79C8" w14:paraId="4FC01B1E" w14:textId="77777777">
            <w:pPr>
              <w:pStyle w:val="FERCparanumber"/>
              <w:widowControl w:val="0"/>
              <w:numPr>
                <w:ilvl w:val="0"/>
                <w:numId w:val="0"/>
              </w:numPr>
              <w:suppressLineNumbers/>
              <w:rPr>
                <w:b/>
                <w:szCs w:val="22"/>
              </w:rPr>
            </w:pPr>
            <w:r w:rsidRPr="004F4940">
              <w:rPr>
                <w:szCs w:val="22"/>
              </w:rPr>
              <w:t>12</w:t>
            </w:r>
          </w:p>
        </w:tc>
        <w:tc>
          <w:tcPr>
            <w:tcW w:w="1536" w:type="dxa"/>
            <w:shd w:val="clear" w:color="auto" w:fill="FFFFFF" w:themeFill="background1"/>
          </w:tcPr>
          <w:p w:rsidR="00EB79C8" w:rsidRPr="004F4940" w:rsidP="00EB79C8" w14:paraId="17DD2B30" w14:textId="77777777">
            <w:pPr>
              <w:pStyle w:val="FERCparanumber"/>
              <w:widowControl w:val="0"/>
              <w:numPr>
                <w:ilvl w:val="0"/>
                <w:numId w:val="0"/>
              </w:numPr>
              <w:suppressLineNumbers/>
              <w:rPr>
                <w:bCs/>
                <w:szCs w:val="22"/>
              </w:rPr>
            </w:pPr>
            <w:r w:rsidRPr="004F4940">
              <w:rPr>
                <w:bCs/>
                <w:szCs w:val="22"/>
              </w:rPr>
              <w:t>14 hrs.</w:t>
            </w:r>
          </w:p>
          <w:p w:rsidR="00EB79C8" w:rsidRPr="004F4940" w:rsidP="00EB79C8" w14:paraId="1ACE8963" w14:textId="77777777">
            <w:pPr>
              <w:pStyle w:val="FERCparanumber"/>
              <w:widowControl w:val="0"/>
              <w:numPr>
                <w:ilvl w:val="0"/>
                <w:numId w:val="0"/>
              </w:numPr>
              <w:suppressLineNumbers/>
              <w:rPr>
                <w:bCs/>
                <w:szCs w:val="22"/>
              </w:rPr>
            </w:pPr>
            <w:r w:rsidRPr="004F4940">
              <w:rPr>
                <w:bCs/>
                <w:szCs w:val="22"/>
              </w:rPr>
              <w:t>$908.46</w:t>
            </w:r>
          </w:p>
        </w:tc>
        <w:tc>
          <w:tcPr>
            <w:tcW w:w="2236" w:type="dxa"/>
            <w:shd w:val="clear" w:color="auto" w:fill="FFFFFF" w:themeFill="background1"/>
          </w:tcPr>
          <w:p w:rsidR="00EB79C8" w:rsidRPr="004F4940" w:rsidP="00EB79C8" w14:paraId="0079503E" w14:textId="77777777">
            <w:pPr>
              <w:pStyle w:val="FERCparanumber"/>
              <w:widowControl w:val="0"/>
              <w:numPr>
                <w:ilvl w:val="0"/>
                <w:numId w:val="0"/>
              </w:numPr>
              <w:suppressLineNumbers/>
              <w:rPr>
                <w:bCs/>
                <w:szCs w:val="22"/>
              </w:rPr>
            </w:pPr>
            <w:r w:rsidRPr="004F4940">
              <w:rPr>
                <w:bCs/>
                <w:szCs w:val="22"/>
              </w:rPr>
              <w:t>168 hrs.</w:t>
            </w:r>
          </w:p>
          <w:p w:rsidR="00EB79C8" w:rsidRPr="004F4940" w:rsidP="00EB79C8" w14:paraId="4908139E" w14:textId="77777777">
            <w:pPr>
              <w:pStyle w:val="FERCparanumber"/>
              <w:widowControl w:val="0"/>
              <w:numPr>
                <w:ilvl w:val="0"/>
                <w:numId w:val="0"/>
              </w:numPr>
              <w:suppressLineNumbers/>
              <w:rPr>
                <w:bCs/>
                <w:szCs w:val="22"/>
              </w:rPr>
            </w:pPr>
            <w:r w:rsidRPr="004F4940">
              <w:rPr>
                <w:bCs/>
                <w:szCs w:val="22"/>
              </w:rPr>
              <w:t>$10,901.52</w:t>
            </w:r>
          </w:p>
        </w:tc>
      </w:tr>
      <w:tr w14:paraId="17206B92" w14:textId="77777777" w:rsidTr="00070273">
        <w:tblPrEx>
          <w:tblW w:w="0" w:type="auto"/>
          <w:tblLook w:val="04A0"/>
        </w:tblPrEx>
        <w:trPr>
          <w:trHeight w:val="256"/>
        </w:trPr>
        <w:tc>
          <w:tcPr>
            <w:tcW w:w="1675" w:type="dxa"/>
            <w:shd w:val="clear" w:color="auto" w:fill="FFFFFF" w:themeFill="background1"/>
          </w:tcPr>
          <w:p w:rsidR="00EB79C8" w:rsidRPr="004F4940" w:rsidP="00EB79C8" w14:paraId="601E9C23" w14:textId="77777777">
            <w:pPr>
              <w:pStyle w:val="FERCparanumber"/>
              <w:widowControl w:val="0"/>
              <w:numPr>
                <w:ilvl w:val="0"/>
                <w:numId w:val="0"/>
              </w:numPr>
              <w:suppressLineNumbers/>
              <w:spacing w:after="0"/>
              <w:rPr>
                <w:b/>
                <w:szCs w:val="22"/>
              </w:rPr>
            </w:pPr>
            <w:r w:rsidRPr="004F4940">
              <w:rPr>
                <w:b/>
                <w:szCs w:val="22"/>
              </w:rPr>
              <w:t>Sub-Total of EOP-011-3 (ongoing)</w:t>
            </w:r>
          </w:p>
        </w:tc>
        <w:tc>
          <w:tcPr>
            <w:tcW w:w="1141" w:type="dxa"/>
            <w:shd w:val="clear" w:color="auto" w:fill="FFFFFF" w:themeFill="background1"/>
          </w:tcPr>
          <w:p w:rsidR="00EB79C8" w:rsidRPr="004F4940" w:rsidP="00EB79C8" w14:paraId="1158CD06" w14:textId="77777777">
            <w:pPr>
              <w:pStyle w:val="FERCparanumber"/>
              <w:widowControl w:val="0"/>
              <w:numPr>
                <w:ilvl w:val="0"/>
                <w:numId w:val="0"/>
              </w:numPr>
              <w:suppressLineNumbers/>
              <w:rPr>
                <w:b/>
                <w:szCs w:val="22"/>
              </w:rPr>
            </w:pPr>
          </w:p>
        </w:tc>
        <w:tc>
          <w:tcPr>
            <w:tcW w:w="1358" w:type="dxa"/>
            <w:shd w:val="clear" w:color="auto" w:fill="FFFFFF" w:themeFill="background1"/>
          </w:tcPr>
          <w:p w:rsidR="00EB79C8" w:rsidRPr="004F4940" w:rsidP="00EB79C8" w14:paraId="16BE1EA6" w14:textId="77777777">
            <w:pPr>
              <w:pStyle w:val="FERCparanumber"/>
              <w:widowControl w:val="0"/>
              <w:numPr>
                <w:ilvl w:val="0"/>
                <w:numId w:val="0"/>
              </w:numPr>
              <w:suppressLineNumbers/>
              <w:rPr>
                <w:b/>
                <w:szCs w:val="22"/>
              </w:rPr>
            </w:pPr>
          </w:p>
        </w:tc>
        <w:tc>
          <w:tcPr>
            <w:tcW w:w="1404" w:type="dxa"/>
            <w:shd w:val="clear" w:color="auto" w:fill="FFFFFF" w:themeFill="background1"/>
          </w:tcPr>
          <w:p w:rsidR="00EB79C8" w:rsidRPr="004F4940" w:rsidP="00EB79C8" w14:paraId="16AA7404" w14:textId="77777777">
            <w:pPr>
              <w:pStyle w:val="FERCparanumber"/>
              <w:widowControl w:val="0"/>
              <w:numPr>
                <w:ilvl w:val="0"/>
                <w:numId w:val="0"/>
              </w:numPr>
              <w:suppressLineNumbers/>
              <w:rPr>
                <w:bCs/>
                <w:szCs w:val="22"/>
              </w:rPr>
            </w:pPr>
            <w:r w:rsidRPr="004F4940">
              <w:rPr>
                <w:bCs/>
                <w:szCs w:val="22"/>
              </w:rPr>
              <w:t>278</w:t>
            </w:r>
          </w:p>
        </w:tc>
        <w:tc>
          <w:tcPr>
            <w:tcW w:w="1536" w:type="dxa"/>
            <w:shd w:val="clear" w:color="auto" w:fill="FFFFFF" w:themeFill="background1"/>
          </w:tcPr>
          <w:p w:rsidR="00EB79C8" w:rsidRPr="004F4940" w:rsidP="00EB79C8" w14:paraId="2431694A" w14:textId="77777777">
            <w:pPr>
              <w:pStyle w:val="FERCparanumber"/>
              <w:widowControl w:val="0"/>
              <w:numPr>
                <w:ilvl w:val="0"/>
                <w:numId w:val="0"/>
              </w:numPr>
              <w:suppressLineNumbers/>
              <w:rPr>
                <w:b/>
                <w:szCs w:val="22"/>
              </w:rPr>
            </w:pPr>
          </w:p>
        </w:tc>
        <w:tc>
          <w:tcPr>
            <w:tcW w:w="2236" w:type="dxa"/>
            <w:shd w:val="clear" w:color="auto" w:fill="FFFFFF" w:themeFill="background1"/>
          </w:tcPr>
          <w:p w:rsidR="00EB79C8" w:rsidRPr="004F4940" w:rsidP="00EB79C8" w14:paraId="16A0F954" w14:textId="77777777">
            <w:pPr>
              <w:pStyle w:val="FERCparanumber"/>
              <w:widowControl w:val="0"/>
              <w:numPr>
                <w:ilvl w:val="0"/>
                <w:numId w:val="0"/>
              </w:numPr>
              <w:suppressLineNumbers/>
              <w:rPr>
                <w:bCs/>
                <w:szCs w:val="22"/>
              </w:rPr>
            </w:pPr>
            <w:r w:rsidRPr="004F4940">
              <w:rPr>
                <w:bCs/>
                <w:szCs w:val="22"/>
              </w:rPr>
              <w:t>2,828</w:t>
            </w:r>
          </w:p>
          <w:p w:rsidR="00EB79C8" w:rsidRPr="004F4940" w:rsidP="00EB79C8" w14:paraId="3889BCE5" w14:textId="77777777">
            <w:pPr>
              <w:pStyle w:val="FERCparanumber"/>
              <w:widowControl w:val="0"/>
              <w:numPr>
                <w:ilvl w:val="0"/>
                <w:numId w:val="0"/>
              </w:numPr>
              <w:suppressLineNumbers/>
              <w:rPr>
                <w:bCs/>
                <w:szCs w:val="22"/>
              </w:rPr>
            </w:pPr>
            <w:r w:rsidRPr="004F4940">
              <w:rPr>
                <w:bCs/>
                <w:szCs w:val="22"/>
              </w:rPr>
              <w:t>$183,508.92</w:t>
            </w:r>
          </w:p>
        </w:tc>
      </w:tr>
      <w:tr w14:paraId="28270977" w14:textId="77777777" w:rsidTr="00EB79C8">
        <w:tblPrEx>
          <w:tblW w:w="0" w:type="auto"/>
          <w:tblLook w:val="04A0"/>
        </w:tblPrEx>
        <w:trPr>
          <w:trHeight w:val="1682"/>
        </w:trPr>
        <w:tc>
          <w:tcPr>
            <w:tcW w:w="1675" w:type="dxa"/>
            <w:shd w:val="clear" w:color="auto" w:fill="FFFFFF" w:themeFill="background1"/>
          </w:tcPr>
          <w:p w:rsidR="00EB79C8" w:rsidRPr="004F4940" w:rsidP="00EB79C8" w14:paraId="51CB735D" w14:textId="77777777">
            <w:pPr>
              <w:pStyle w:val="FERCparanumber"/>
              <w:widowControl w:val="0"/>
              <w:numPr>
                <w:ilvl w:val="0"/>
                <w:numId w:val="0"/>
              </w:numPr>
              <w:suppressLineNumbers/>
              <w:spacing w:after="0"/>
              <w:rPr>
                <w:b/>
                <w:szCs w:val="22"/>
              </w:rPr>
            </w:pPr>
            <w:r w:rsidRPr="004F4940">
              <w:rPr>
                <w:b/>
                <w:szCs w:val="22"/>
              </w:rPr>
              <w:t>Sub-Total of ongoing burden averaged over three years</w:t>
            </w:r>
          </w:p>
        </w:tc>
        <w:tc>
          <w:tcPr>
            <w:tcW w:w="1141" w:type="dxa"/>
            <w:shd w:val="clear" w:color="auto" w:fill="FFFFFF" w:themeFill="background1"/>
          </w:tcPr>
          <w:p w:rsidR="00EB79C8" w:rsidRPr="004F4940" w:rsidP="00EB79C8" w14:paraId="0515A0E3" w14:textId="77777777">
            <w:pPr>
              <w:pStyle w:val="FERCparanumber"/>
              <w:widowControl w:val="0"/>
              <w:numPr>
                <w:ilvl w:val="0"/>
                <w:numId w:val="0"/>
              </w:numPr>
              <w:suppressLineNumbers/>
              <w:rPr>
                <w:b/>
                <w:szCs w:val="22"/>
              </w:rPr>
            </w:pPr>
          </w:p>
        </w:tc>
        <w:tc>
          <w:tcPr>
            <w:tcW w:w="1358" w:type="dxa"/>
            <w:shd w:val="clear" w:color="auto" w:fill="FFFFFF" w:themeFill="background1"/>
          </w:tcPr>
          <w:p w:rsidR="00EB79C8" w:rsidRPr="004F4940" w:rsidP="00EB79C8" w14:paraId="29C9DFBC" w14:textId="77777777">
            <w:pPr>
              <w:pStyle w:val="FERCparanumber"/>
              <w:widowControl w:val="0"/>
              <w:numPr>
                <w:ilvl w:val="0"/>
                <w:numId w:val="0"/>
              </w:numPr>
              <w:suppressLineNumbers/>
              <w:rPr>
                <w:b/>
                <w:szCs w:val="22"/>
              </w:rPr>
            </w:pPr>
          </w:p>
        </w:tc>
        <w:tc>
          <w:tcPr>
            <w:tcW w:w="1404" w:type="dxa"/>
            <w:shd w:val="clear" w:color="auto" w:fill="FFFFFF" w:themeFill="background1"/>
          </w:tcPr>
          <w:p w:rsidR="00EB79C8" w:rsidRPr="004F4940" w:rsidP="00EB79C8" w14:paraId="4098FCC6" w14:textId="77777777">
            <w:pPr>
              <w:pStyle w:val="FERCparanumber"/>
              <w:widowControl w:val="0"/>
              <w:numPr>
                <w:ilvl w:val="0"/>
                <w:numId w:val="0"/>
              </w:numPr>
              <w:suppressLineNumbers/>
              <w:rPr>
                <w:bCs/>
                <w:szCs w:val="22"/>
              </w:rPr>
            </w:pPr>
            <w:r w:rsidRPr="004F4940">
              <w:rPr>
                <w:bCs/>
                <w:szCs w:val="22"/>
              </w:rPr>
              <w:t>92.67 (rounded)</w:t>
            </w:r>
          </w:p>
        </w:tc>
        <w:tc>
          <w:tcPr>
            <w:tcW w:w="1536" w:type="dxa"/>
            <w:shd w:val="clear" w:color="auto" w:fill="FFFFFF" w:themeFill="background1"/>
          </w:tcPr>
          <w:p w:rsidR="00EB79C8" w:rsidRPr="004F4940" w:rsidP="00EB79C8" w14:paraId="48260ABA" w14:textId="77777777">
            <w:pPr>
              <w:pStyle w:val="FERCparanumber"/>
              <w:widowControl w:val="0"/>
              <w:numPr>
                <w:ilvl w:val="0"/>
                <w:numId w:val="0"/>
              </w:numPr>
              <w:suppressLineNumbers/>
              <w:rPr>
                <w:b/>
                <w:szCs w:val="22"/>
              </w:rPr>
            </w:pPr>
          </w:p>
        </w:tc>
        <w:tc>
          <w:tcPr>
            <w:tcW w:w="2236" w:type="dxa"/>
            <w:shd w:val="clear" w:color="auto" w:fill="FFFFFF" w:themeFill="background1"/>
          </w:tcPr>
          <w:p w:rsidR="00EB79C8" w:rsidRPr="004F4940" w:rsidP="00EB79C8" w14:paraId="76765064" w14:textId="77777777">
            <w:pPr>
              <w:pStyle w:val="FERCparanumber"/>
              <w:widowControl w:val="0"/>
              <w:numPr>
                <w:ilvl w:val="0"/>
                <w:numId w:val="0"/>
              </w:numPr>
              <w:suppressLineNumbers/>
              <w:rPr>
                <w:bCs/>
                <w:szCs w:val="22"/>
              </w:rPr>
            </w:pPr>
            <w:r w:rsidRPr="004F4940">
              <w:rPr>
                <w:bCs/>
                <w:szCs w:val="22"/>
              </w:rPr>
              <w:t>942.67 hrs. (rounded)</w:t>
            </w:r>
          </w:p>
          <w:p w:rsidR="00EB79C8" w:rsidRPr="004F4940" w:rsidP="00EB79C8" w14:paraId="33F70FD4" w14:textId="77777777">
            <w:pPr>
              <w:pStyle w:val="FERCparanumber"/>
              <w:widowControl w:val="0"/>
              <w:numPr>
                <w:ilvl w:val="0"/>
                <w:numId w:val="0"/>
              </w:numPr>
              <w:suppressLineNumbers/>
              <w:rPr>
                <w:b/>
                <w:szCs w:val="22"/>
              </w:rPr>
            </w:pPr>
            <w:r w:rsidRPr="004F4940">
              <w:rPr>
                <w:bCs/>
                <w:szCs w:val="22"/>
              </w:rPr>
              <w:t>$61,169.64</w:t>
            </w:r>
          </w:p>
        </w:tc>
      </w:tr>
      <w:tr w14:paraId="6DD8EA98" w14:textId="77777777" w:rsidTr="00070273">
        <w:tblPrEx>
          <w:tblW w:w="0" w:type="auto"/>
          <w:tblLook w:val="04A0"/>
        </w:tblPrEx>
        <w:trPr>
          <w:trHeight w:val="256"/>
        </w:trPr>
        <w:tc>
          <w:tcPr>
            <w:tcW w:w="1675" w:type="dxa"/>
            <w:shd w:val="clear" w:color="auto" w:fill="FFFFFF" w:themeFill="background1"/>
          </w:tcPr>
          <w:p w:rsidR="00EB79C8" w:rsidRPr="004F4940" w:rsidP="003B06DD" w14:paraId="7CA2DEB6" w14:textId="77777777">
            <w:pPr>
              <w:pStyle w:val="FERCparanumber"/>
              <w:widowControl w:val="0"/>
              <w:numPr>
                <w:ilvl w:val="0"/>
                <w:numId w:val="0"/>
              </w:numPr>
              <w:suppressLineNumbers/>
              <w:spacing w:before="240"/>
              <w:rPr>
                <w:b/>
                <w:szCs w:val="22"/>
              </w:rPr>
            </w:pPr>
            <w:r w:rsidRPr="004F4940">
              <w:rPr>
                <w:b/>
                <w:szCs w:val="22"/>
              </w:rPr>
              <w:t>Proposed Total Burden Estimate of EOP-011-3</w:t>
            </w:r>
          </w:p>
        </w:tc>
        <w:tc>
          <w:tcPr>
            <w:tcW w:w="1141" w:type="dxa"/>
            <w:shd w:val="clear" w:color="auto" w:fill="FFFFFF" w:themeFill="background1"/>
          </w:tcPr>
          <w:p w:rsidR="00EB79C8" w:rsidRPr="004F4940" w:rsidP="003B06DD" w14:paraId="0F46ED12" w14:textId="77777777">
            <w:pPr>
              <w:pStyle w:val="FERCparanumber"/>
              <w:widowControl w:val="0"/>
              <w:numPr>
                <w:ilvl w:val="0"/>
                <w:numId w:val="0"/>
              </w:numPr>
              <w:suppressLineNumbers/>
              <w:spacing w:before="240"/>
              <w:rPr>
                <w:b/>
                <w:szCs w:val="22"/>
              </w:rPr>
            </w:pPr>
          </w:p>
        </w:tc>
        <w:tc>
          <w:tcPr>
            <w:tcW w:w="1358" w:type="dxa"/>
            <w:shd w:val="clear" w:color="auto" w:fill="FFFFFF" w:themeFill="background1"/>
          </w:tcPr>
          <w:p w:rsidR="00EB79C8" w:rsidRPr="004F4940" w:rsidP="003B06DD" w14:paraId="2F01963E" w14:textId="77777777">
            <w:pPr>
              <w:pStyle w:val="FERCparanumber"/>
              <w:widowControl w:val="0"/>
              <w:numPr>
                <w:ilvl w:val="0"/>
                <w:numId w:val="0"/>
              </w:numPr>
              <w:suppressLineNumbers/>
              <w:spacing w:before="240"/>
              <w:rPr>
                <w:b/>
                <w:szCs w:val="22"/>
              </w:rPr>
            </w:pPr>
          </w:p>
        </w:tc>
        <w:tc>
          <w:tcPr>
            <w:tcW w:w="1404" w:type="dxa"/>
            <w:shd w:val="clear" w:color="auto" w:fill="FFFFFF" w:themeFill="background1"/>
          </w:tcPr>
          <w:p w:rsidR="00EB79C8" w:rsidRPr="004F4940" w:rsidP="003B06DD" w14:paraId="6AEDA608" w14:textId="77777777">
            <w:pPr>
              <w:pStyle w:val="FERCparanumber"/>
              <w:widowControl w:val="0"/>
              <w:numPr>
                <w:ilvl w:val="0"/>
                <w:numId w:val="0"/>
              </w:numPr>
              <w:suppressLineNumbers/>
              <w:spacing w:before="240"/>
              <w:rPr>
                <w:b/>
                <w:szCs w:val="22"/>
              </w:rPr>
            </w:pPr>
            <w:r w:rsidRPr="004F4940">
              <w:rPr>
                <w:b/>
                <w:szCs w:val="22"/>
              </w:rPr>
              <w:t>370.67</w:t>
            </w:r>
          </w:p>
        </w:tc>
        <w:tc>
          <w:tcPr>
            <w:tcW w:w="1536" w:type="dxa"/>
            <w:shd w:val="clear" w:color="auto" w:fill="FFFFFF" w:themeFill="background1"/>
          </w:tcPr>
          <w:p w:rsidR="00EB79C8" w:rsidRPr="004F4940" w:rsidP="003B06DD" w14:paraId="3A07751F" w14:textId="77777777">
            <w:pPr>
              <w:pStyle w:val="FERCparanumber"/>
              <w:widowControl w:val="0"/>
              <w:numPr>
                <w:ilvl w:val="0"/>
                <w:numId w:val="0"/>
              </w:numPr>
              <w:suppressLineNumbers/>
              <w:spacing w:before="240"/>
              <w:rPr>
                <w:bCs/>
                <w:szCs w:val="22"/>
              </w:rPr>
            </w:pPr>
          </w:p>
        </w:tc>
        <w:tc>
          <w:tcPr>
            <w:tcW w:w="2236" w:type="dxa"/>
            <w:shd w:val="clear" w:color="auto" w:fill="FFFFFF" w:themeFill="background1"/>
          </w:tcPr>
          <w:p w:rsidR="00EB79C8" w:rsidRPr="004F4940" w:rsidP="003B06DD" w14:paraId="4B24F59C" w14:textId="77777777">
            <w:pPr>
              <w:pStyle w:val="FERCparanumber"/>
              <w:widowControl w:val="0"/>
              <w:numPr>
                <w:ilvl w:val="0"/>
                <w:numId w:val="0"/>
              </w:numPr>
              <w:suppressLineNumbers/>
              <w:spacing w:before="240"/>
              <w:rPr>
                <w:b/>
                <w:szCs w:val="22"/>
              </w:rPr>
            </w:pPr>
            <w:r w:rsidRPr="004F4940">
              <w:rPr>
                <w:b/>
                <w:szCs w:val="22"/>
              </w:rPr>
              <w:t>11,946.67 hrs.</w:t>
            </w:r>
          </w:p>
          <w:p w:rsidR="00EB79C8" w:rsidRPr="004F4940" w:rsidP="003B06DD" w14:paraId="63EF4939" w14:textId="77777777">
            <w:pPr>
              <w:pStyle w:val="FERCparanumber"/>
              <w:widowControl w:val="0"/>
              <w:numPr>
                <w:ilvl w:val="0"/>
                <w:numId w:val="0"/>
              </w:numPr>
              <w:suppressLineNumbers/>
              <w:spacing w:before="240"/>
              <w:rPr>
                <w:bCs/>
                <w:szCs w:val="22"/>
              </w:rPr>
            </w:pPr>
            <w:r w:rsidRPr="004F4940">
              <w:rPr>
                <w:b/>
                <w:szCs w:val="22"/>
              </w:rPr>
              <w:t>$775,219.42</w:t>
            </w:r>
            <w:r w:rsidRPr="004F4940">
              <w:rPr>
                <w:bCs/>
                <w:szCs w:val="22"/>
              </w:rPr>
              <w:t xml:space="preserve"> (rounded)</w:t>
            </w:r>
          </w:p>
        </w:tc>
      </w:tr>
      <w:bookmarkEnd w:id="14"/>
    </w:tbl>
    <w:p w:rsidR="006A319B" w:rsidRPr="004F4940" w:rsidP="00A53DF9" w14:paraId="35ACAFB9" w14:textId="77777777">
      <w:pPr>
        <w:pStyle w:val="FERCparanumber"/>
        <w:widowControl w:val="0"/>
        <w:numPr>
          <w:ilvl w:val="0"/>
          <w:numId w:val="0"/>
        </w:numPr>
        <w:suppressLineNumbers/>
        <w:rPr>
          <w:rFonts w:eastAsia="Times New Roman"/>
        </w:rPr>
      </w:pPr>
    </w:p>
    <w:tbl>
      <w:tblPr>
        <w:tblStyle w:val="TableGrid"/>
        <w:tblW w:w="0" w:type="auto"/>
        <w:tblLook w:val="04A0"/>
      </w:tblPr>
      <w:tblGrid>
        <w:gridCol w:w="1675"/>
        <w:gridCol w:w="1141"/>
        <w:gridCol w:w="1358"/>
        <w:gridCol w:w="1404"/>
        <w:gridCol w:w="1626"/>
        <w:gridCol w:w="2146"/>
      </w:tblGrid>
      <w:tr w14:paraId="2E6F8E2D" w14:textId="77777777" w:rsidTr="00070273">
        <w:tblPrEx>
          <w:tblW w:w="0" w:type="auto"/>
          <w:tblLook w:val="04A0"/>
        </w:tblPrEx>
        <w:tc>
          <w:tcPr>
            <w:tcW w:w="9350" w:type="dxa"/>
            <w:gridSpan w:val="6"/>
            <w:shd w:val="clear" w:color="auto" w:fill="D9D9D9" w:themeFill="background1" w:themeFillShade="D9"/>
          </w:tcPr>
          <w:p w:rsidR="002F3526" w:rsidRPr="004F4940" w:rsidP="00A97F95" w14:paraId="3CDE1244" w14:textId="77777777">
            <w:pPr>
              <w:spacing w:before="240" w:after="160" w:line="259" w:lineRule="auto"/>
              <w:jc w:val="center"/>
              <w:rPr>
                <w:b/>
              </w:rPr>
            </w:pPr>
            <w:r w:rsidRPr="004F4940">
              <w:rPr>
                <w:b/>
              </w:rPr>
              <w:t>Table 3: Proposed Changes Due to Final Rule in Docket No. RD23-1-000 for EOP-012-1</w:t>
            </w:r>
          </w:p>
        </w:tc>
      </w:tr>
      <w:tr w14:paraId="52639E79" w14:textId="77777777" w:rsidTr="00070273">
        <w:tblPrEx>
          <w:tblW w:w="0" w:type="auto"/>
          <w:tblLook w:val="04A0"/>
        </w:tblPrEx>
        <w:tc>
          <w:tcPr>
            <w:tcW w:w="1638" w:type="dxa"/>
            <w:shd w:val="clear" w:color="auto" w:fill="FFFFFF" w:themeFill="background1"/>
            <w:vAlign w:val="bottom"/>
          </w:tcPr>
          <w:p w:rsidR="002F3526" w:rsidRPr="004F4940" w:rsidP="003B06DD" w14:paraId="08AE152A" w14:textId="77777777">
            <w:pPr>
              <w:spacing w:before="240" w:after="160" w:line="259" w:lineRule="auto"/>
              <w:rPr>
                <w:b/>
              </w:rPr>
            </w:pPr>
            <w:r w:rsidRPr="004F4940">
              <w:rPr>
                <w:b/>
              </w:rPr>
              <w:t>Reliability Standard &amp; Requirement</w:t>
            </w:r>
          </w:p>
        </w:tc>
        <w:tc>
          <w:tcPr>
            <w:tcW w:w="1117" w:type="dxa"/>
            <w:shd w:val="clear" w:color="auto" w:fill="FFFFFF" w:themeFill="background1"/>
            <w:vAlign w:val="bottom"/>
          </w:tcPr>
          <w:p w:rsidR="002F3526" w:rsidRPr="004F4940" w:rsidP="003B06DD" w14:paraId="196EA44F" w14:textId="77777777">
            <w:pPr>
              <w:spacing w:before="240" w:after="160" w:line="259" w:lineRule="auto"/>
              <w:rPr>
                <w:b/>
              </w:rPr>
            </w:pPr>
            <w:r w:rsidRPr="004F4940">
              <w:rPr>
                <w:b/>
              </w:rPr>
              <w:t>Type</w:t>
            </w:r>
            <w:r w:rsidRPr="004F4940" w:rsidR="00126A14">
              <w:rPr>
                <w:b/>
              </w:rPr>
              <w:t xml:space="preserve"> </w:t>
            </w:r>
            <w:r w:rsidRPr="004F4940">
              <w:rPr>
                <w:b/>
              </w:rPr>
              <w:t>and Number of Entity</w:t>
            </w:r>
          </w:p>
          <w:p w:rsidR="002F3526" w:rsidRPr="004F4940" w:rsidP="003B06DD" w14:paraId="44A21914" w14:textId="77777777">
            <w:pPr>
              <w:spacing w:before="240" w:after="160" w:line="259" w:lineRule="auto"/>
              <w:rPr>
                <w:b/>
              </w:rPr>
            </w:pPr>
            <w:r w:rsidRPr="004F4940">
              <w:t>(1)</w:t>
            </w:r>
          </w:p>
        </w:tc>
        <w:tc>
          <w:tcPr>
            <w:tcW w:w="1328" w:type="dxa"/>
            <w:shd w:val="clear" w:color="auto" w:fill="FFFFFF" w:themeFill="background1"/>
            <w:vAlign w:val="bottom"/>
          </w:tcPr>
          <w:p w:rsidR="002F3526" w:rsidRPr="004F4940" w:rsidP="003B06DD" w14:paraId="19A8FED1" w14:textId="77777777">
            <w:pPr>
              <w:spacing w:before="240" w:after="160" w:line="259" w:lineRule="auto"/>
              <w:rPr>
                <w:b/>
              </w:rPr>
            </w:pPr>
            <w:r w:rsidRPr="004F4940">
              <w:rPr>
                <w:b/>
              </w:rPr>
              <w:t xml:space="preserve">Number of Annual </w:t>
            </w:r>
            <w:r w:rsidRPr="004F4940">
              <w:rPr>
                <w:b/>
              </w:rPr>
              <w:t>Responses  Per</w:t>
            </w:r>
            <w:r w:rsidRPr="004F4940">
              <w:rPr>
                <w:b/>
              </w:rPr>
              <w:t xml:space="preserve"> Entity</w:t>
            </w:r>
          </w:p>
          <w:p w:rsidR="002F3526" w:rsidRPr="004F4940" w:rsidP="003B06DD" w14:paraId="034456A5" w14:textId="77777777">
            <w:pPr>
              <w:spacing w:before="240" w:after="160" w:line="259" w:lineRule="auto"/>
              <w:rPr>
                <w:b/>
              </w:rPr>
            </w:pPr>
            <w:r w:rsidRPr="004F4940">
              <w:rPr>
                <w:b/>
              </w:rPr>
              <w:t>(</w:t>
            </w:r>
            <w:r w:rsidRPr="004F4940">
              <w:t>2)</w:t>
            </w:r>
          </w:p>
        </w:tc>
        <w:tc>
          <w:tcPr>
            <w:tcW w:w="1373" w:type="dxa"/>
            <w:shd w:val="clear" w:color="auto" w:fill="FFFFFF" w:themeFill="background1"/>
            <w:vAlign w:val="bottom"/>
          </w:tcPr>
          <w:p w:rsidR="002F3526" w:rsidRPr="004F4940" w:rsidP="003B06DD" w14:paraId="6FBCACB0" w14:textId="77777777">
            <w:pPr>
              <w:spacing w:before="240" w:after="160" w:line="259" w:lineRule="auto"/>
              <w:rPr>
                <w:b/>
              </w:rPr>
            </w:pPr>
            <w:r w:rsidRPr="004F4940">
              <w:rPr>
                <w:b/>
              </w:rPr>
              <w:t>Total Number of Responses</w:t>
            </w:r>
          </w:p>
          <w:p w:rsidR="002F3526" w:rsidRPr="004F4940" w:rsidP="003B06DD" w14:paraId="3439D759" w14:textId="77777777">
            <w:pPr>
              <w:spacing w:before="240" w:after="160" w:line="259" w:lineRule="auto"/>
              <w:rPr>
                <w:b/>
              </w:rPr>
            </w:pPr>
            <w:r w:rsidRPr="004F4940">
              <w:rPr>
                <w:b/>
              </w:rPr>
              <w:t>(</w:t>
            </w:r>
            <w:r w:rsidRPr="004F4940">
              <w:rPr>
                <w:b/>
              </w:rPr>
              <w:t>1)*</w:t>
            </w:r>
            <w:r w:rsidRPr="004F4940">
              <w:rPr>
                <w:b/>
              </w:rPr>
              <w:t>(2)=(3)</w:t>
            </w:r>
          </w:p>
        </w:tc>
        <w:tc>
          <w:tcPr>
            <w:tcW w:w="1659" w:type="dxa"/>
            <w:shd w:val="clear" w:color="auto" w:fill="FFFFFF" w:themeFill="background1"/>
            <w:vAlign w:val="bottom"/>
          </w:tcPr>
          <w:p w:rsidR="002F3526" w:rsidRPr="004F4940" w:rsidP="003B06DD" w14:paraId="2A074208" w14:textId="77777777">
            <w:pPr>
              <w:spacing w:before="240" w:after="160" w:line="259" w:lineRule="auto"/>
              <w:rPr>
                <w:b/>
              </w:rPr>
            </w:pPr>
            <w:r w:rsidRPr="004F4940">
              <w:rPr>
                <w:b/>
              </w:rPr>
              <w:t>Average Number of Burden Hours per Response</w:t>
            </w:r>
            <w:r>
              <w:rPr>
                <w:rStyle w:val="FootnoteReference"/>
              </w:rPr>
              <w:footnoteReference w:id="180"/>
            </w:r>
          </w:p>
          <w:p w:rsidR="002F3526" w:rsidRPr="004F4940" w:rsidP="003B06DD" w14:paraId="737CF86E" w14:textId="77777777">
            <w:pPr>
              <w:spacing w:before="240" w:after="160" w:line="259" w:lineRule="auto"/>
              <w:rPr>
                <w:b/>
              </w:rPr>
            </w:pPr>
            <w:r w:rsidRPr="004F4940">
              <w:rPr>
                <w:b/>
              </w:rPr>
              <w:t>(4)</w:t>
            </w:r>
          </w:p>
        </w:tc>
        <w:tc>
          <w:tcPr>
            <w:tcW w:w="2235" w:type="dxa"/>
            <w:shd w:val="clear" w:color="auto" w:fill="FFFFFF" w:themeFill="background1"/>
            <w:vAlign w:val="bottom"/>
          </w:tcPr>
          <w:p w:rsidR="002F3526" w:rsidRPr="004F4940" w:rsidP="003B06DD" w14:paraId="1C5397C3" w14:textId="77777777">
            <w:pPr>
              <w:spacing w:before="240" w:after="160" w:line="259" w:lineRule="auto"/>
              <w:rPr>
                <w:b/>
              </w:rPr>
            </w:pPr>
            <w:r w:rsidRPr="004F4940">
              <w:rPr>
                <w:b/>
              </w:rPr>
              <w:t>Total Burden Hours</w:t>
            </w:r>
          </w:p>
          <w:p w:rsidR="002F3526" w:rsidRPr="004F4940" w:rsidP="003B06DD" w14:paraId="4DF1DACC" w14:textId="77777777">
            <w:pPr>
              <w:spacing w:before="240" w:after="160" w:line="259" w:lineRule="auto"/>
              <w:rPr>
                <w:b/>
              </w:rPr>
            </w:pPr>
            <w:r w:rsidRPr="004F4940">
              <w:rPr>
                <w:b/>
              </w:rPr>
              <w:t>(</w:t>
            </w:r>
            <w:r w:rsidRPr="004F4940">
              <w:rPr>
                <w:b/>
              </w:rPr>
              <w:t>3)*</w:t>
            </w:r>
            <w:r w:rsidRPr="004F4940">
              <w:rPr>
                <w:b/>
              </w:rPr>
              <w:t>(4)=(5)</w:t>
            </w:r>
          </w:p>
        </w:tc>
      </w:tr>
      <w:tr w14:paraId="2CE1DCE7" w14:textId="77777777" w:rsidTr="00070273">
        <w:tblPrEx>
          <w:tblW w:w="0" w:type="auto"/>
          <w:tblLook w:val="04A0"/>
        </w:tblPrEx>
        <w:tc>
          <w:tcPr>
            <w:tcW w:w="9350" w:type="dxa"/>
            <w:gridSpan w:val="6"/>
            <w:shd w:val="clear" w:color="auto" w:fill="D9D9D9" w:themeFill="background1" w:themeFillShade="D9"/>
          </w:tcPr>
          <w:p w:rsidR="002F3526" w:rsidRPr="004F4940" w:rsidP="00A97F95" w14:paraId="52C3640B" w14:textId="77777777">
            <w:pPr>
              <w:spacing w:before="240" w:after="160" w:line="259" w:lineRule="auto"/>
              <w:jc w:val="center"/>
              <w:rPr>
                <w:b/>
              </w:rPr>
            </w:pPr>
            <w:r w:rsidRPr="004F4940">
              <w:rPr>
                <w:b/>
              </w:rPr>
              <w:t>FERC-725S</w:t>
            </w:r>
          </w:p>
        </w:tc>
      </w:tr>
      <w:tr w14:paraId="54897777" w14:textId="77777777" w:rsidTr="00070273">
        <w:tblPrEx>
          <w:tblW w:w="0" w:type="auto"/>
          <w:tblLook w:val="04A0"/>
        </w:tblPrEx>
        <w:tc>
          <w:tcPr>
            <w:tcW w:w="9350" w:type="dxa"/>
            <w:gridSpan w:val="6"/>
            <w:shd w:val="clear" w:color="auto" w:fill="D9D9D9" w:themeFill="background1" w:themeFillShade="D9"/>
          </w:tcPr>
          <w:p w:rsidR="00126A14" w:rsidRPr="004F4940" w:rsidP="00070273" w14:paraId="6FE45AC3" w14:textId="77777777">
            <w:pPr>
              <w:jc w:val="center"/>
              <w:rPr>
                <w:b/>
              </w:rPr>
            </w:pPr>
          </w:p>
          <w:p w:rsidR="002F3526" w:rsidRPr="004F4940" w:rsidP="00A97F95" w14:paraId="267AEAAB" w14:textId="77777777">
            <w:pPr>
              <w:spacing w:after="240"/>
              <w:jc w:val="center"/>
              <w:rPr>
                <w:b/>
              </w:rPr>
            </w:pPr>
            <w:r w:rsidRPr="004F4940">
              <w:rPr>
                <w:b/>
              </w:rPr>
              <w:t>One Time Estimate - Years 1 and 2 EOP-012-1</w:t>
            </w:r>
          </w:p>
        </w:tc>
      </w:tr>
      <w:tr w14:paraId="48009FC0" w14:textId="77777777" w:rsidTr="00070273">
        <w:tblPrEx>
          <w:tblW w:w="0" w:type="auto"/>
          <w:tblLook w:val="04A0"/>
        </w:tblPrEx>
        <w:tc>
          <w:tcPr>
            <w:tcW w:w="1638" w:type="dxa"/>
          </w:tcPr>
          <w:p w:rsidR="002F3526" w:rsidRPr="004F4940" w:rsidP="00070273" w14:paraId="38B8E5CD" w14:textId="77777777">
            <w:pPr>
              <w:spacing w:after="160" w:line="259" w:lineRule="auto"/>
            </w:pPr>
            <w:r w:rsidRPr="004F4940">
              <w:t>EOP-012-1</w:t>
            </w:r>
            <w:r>
              <w:rPr>
                <w:rStyle w:val="FootnoteReference"/>
              </w:rPr>
              <w:footnoteReference w:id="181"/>
            </w:r>
          </w:p>
        </w:tc>
        <w:tc>
          <w:tcPr>
            <w:tcW w:w="1117" w:type="dxa"/>
          </w:tcPr>
          <w:p w:rsidR="002F3526" w:rsidRPr="004F4940" w:rsidP="00070273" w14:paraId="2854AD96" w14:textId="77777777">
            <w:pPr>
              <w:spacing w:after="160" w:line="259" w:lineRule="auto"/>
            </w:pPr>
            <w:r w:rsidRPr="004F4940">
              <w:t>1,107 (GO)</w:t>
            </w:r>
          </w:p>
        </w:tc>
        <w:tc>
          <w:tcPr>
            <w:tcW w:w="1328" w:type="dxa"/>
          </w:tcPr>
          <w:p w:rsidR="002F3526" w:rsidRPr="004F4940" w:rsidP="00070273" w14:paraId="53940B3D" w14:textId="77777777">
            <w:pPr>
              <w:spacing w:after="160" w:line="259" w:lineRule="auto"/>
            </w:pPr>
            <w:r w:rsidRPr="004F4940">
              <w:t>1</w:t>
            </w:r>
          </w:p>
        </w:tc>
        <w:tc>
          <w:tcPr>
            <w:tcW w:w="1373" w:type="dxa"/>
          </w:tcPr>
          <w:p w:rsidR="002F3526" w:rsidRPr="004F4940" w:rsidP="00070273" w14:paraId="71800264" w14:textId="77777777">
            <w:pPr>
              <w:spacing w:after="160" w:line="259" w:lineRule="auto"/>
            </w:pPr>
            <w:r w:rsidRPr="004F4940">
              <w:t>1,107</w:t>
            </w:r>
          </w:p>
        </w:tc>
        <w:tc>
          <w:tcPr>
            <w:tcW w:w="1659" w:type="dxa"/>
          </w:tcPr>
          <w:p w:rsidR="002F3526" w:rsidRPr="004F4940" w:rsidP="00070273" w14:paraId="56E8B15C" w14:textId="77777777">
            <w:pPr>
              <w:spacing w:after="160" w:line="259" w:lineRule="auto"/>
            </w:pPr>
            <w:r w:rsidRPr="004F4940">
              <w:t>1</w:t>
            </w:r>
            <w:r w:rsidRPr="004F4940" w:rsidR="0072235D">
              <w:t>5</w:t>
            </w:r>
            <w:r w:rsidRPr="004F4940">
              <w:t>0 hrs.</w:t>
            </w:r>
          </w:p>
          <w:p w:rsidR="002F3526" w:rsidRPr="004F4940" w:rsidP="00070273" w14:paraId="37E8FA27" w14:textId="77777777">
            <w:pPr>
              <w:spacing w:after="160" w:line="259" w:lineRule="auto"/>
            </w:pPr>
            <w:r w:rsidRPr="004F4940">
              <w:t>$</w:t>
            </w:r>
            <w:r w:rsidRPr="004F4940" w:rsidR="00140C01">
              <w:t>9,733.50</w:t>
            </w:r>
          </w:p>
        </w:tc>
        <w:tc>
          <w:tcPr>
            <w:tcW w:w="2235" w:type="dxa"/>
          </w:tcPr>
          <w:p w:rsidR="002F3526" w:rsidRPr="004F4940" w:rsidP="00070273" w14:paraId="7FD17AF0" w14:textId="77777777">
            <w:pPr>
              <w:spacing w:after="160" w:line="259" w:lineRule="auto"/>
            </w:pPr>
            <w:r w:rsidRPr="004F4940">
              <w:t>166,050</w:t>
            </w:r>
            <w:r w:rsidRPr="004F4940" w:rsidR="00050233">
              <w:t xml:space="preserve"> </w:t>
            </w:r>
            <w:r w:rsidRPr="004F4940">
              <w:t>hrs.</w:t>
            </w:r>
          </w:p>
          <w:p w:rsidR="002F3526" w:rsidRPr="004F4940" w:rsidP="00070273" w14:paraId="2266420D" w14:textId="77777777">
            <w:pPr>
              <w:spacing w:after="160" w:line="259" w:lineRule="auto"/>
            </w:pPr>
            <w:r w:rsidRPr="004F4940">
              <w:t>$</w:t>
            </w:r>
            <w:r w:rsidRPr="004F4940" w:rsidR="00723C86">
              <w:t>10,774,984.5</w:t>
            </w:r>
            <w:r w:rsidRPr="004F4940" w:rsidR="002071C4">
              <w:t>0</w:t>
            </w:r>
          </w:p>
        </w:tc>
      </w:tr>
      <w:tr w14:paraId="41D50ACD" w14:textId="77777777" w:rsidTr="002F3526">
        <w:tblPrEx>
          <w:tblW w:w="0" w:type="auto"/>
          <w:tblLook w:val="04A0"/>
        </w:tblPrEx>
        <w:trPr>
          <w:trHeight w:val="800"/>
        </w:trPr>
        <w:tc>
          <w:tcPr>
            <w:tcW w:w="1638" w:type="dxa"/>
          </w:tcPr>
          <w:p w:rsidR="002F3526" w:rsidRPr="004F4940" w:rsidP="00070273" w14:paraId="5AFD56F9" w14:textId="77777777">
            <w:pPr>
              <w:spacing w:after="160" w:line="259" w:lineRule="auto"/>
            </w:pPr>
            <w:r w:rsidRPr="004F4940">
              <w:t>EOP-012-1</w:t>
            </w:r>
          </w:p>
        </w:tc>
        <w:tc>
          <w:tcPr>
            <w:tcW w:w="1117" w:type="dxa"/>
          </w:tcPr>
          <w:p w:rsidR="002F3526" w:rsidRPr="004F4940" w:rsidP="00070273" w14:paraId="43FE8093" w14:textId="77777777">
            <w:pPr>
              <w:spacing w:after="160" w:line="259" w:lineRule="auto"/>
            </w:pPr>
            <w:r w:rsidRPr="004F4940">
              <w:t xml:space="preserve">981 (GOP) </w:t>
            </w:r>
          </w:p>
        </w:tc>
        <w:tc>
          <w:tcPr>
            <w:tcW w:w="1328" w:type="dxa"/>
          </w:tcPr>
          <w:p w:rsidR="002F3526" w:rsidRPr="004F4940" w:rsidP="00070273" w14:paraId="15975362" w14:textId="77777777">
            <w:pPr>
              <w:spacing w:after="160" w:line="259" w:lineRule="auto"/>
            </w:pPr>
            <w:r w:rsidRPr="004F4940">
              <w:t>1</w:t>
            </w:r>
          </w:p>
        </w:tc>
        <w:tc>
          <w:tcPr>
            <w:tcW w:w="1373" w:type="dxa"/>
          </w:tcPr>
          <w:p w:rsidR="002F3526" w:rsidRPr="004F4940" w:rsidP="00070273" w14:paraId="6966911E" w14:textId="77777777">
            <w:pPr>
              <w:spacing w:after="160" w:line="259" w:lineRule="auto"/>
            </w:pPr>
            <w:r w:rsidRPr="004F4940">
              <w:t>981</w:t>
            </w:r>
          </w:p>
        </w:tc>
        <w:tc>
          <w:tcPr>
            <w:tcW w:w="1659" w:type="dxa"/>
          </w:tcPr>
          <w:p w:rsidR="002F3526" w:rsidRPr="004F4940" w:rsidP="00070273" w14:paraId="1EDA26C8" w14:textId="77777777">
            <w:pPr>
              <w:spacing w:after="160" w:line="259" w:lineRule="auto"/>
            </w:pPr>
            <w:r w:rsidRPr="004F4940">
              <w:t>10 hrs.</w:t>
            </w:r>
          </w:p>
          <w:p w:rsidR="002F3526" w:rsidRPr="004F4940" w:rsidP="00070273" w14:paraId="320E9C4D" w14:textId="77777777">
            <w:pPr>
              <w:spacing w:after="160" w:line="259" w:lineRule="auto"/>
            </w:pPr>
            <w:r w:rsidRPr="004F4940">
              <w:t>$</w:t>
            </w:r>
            <w:r w:rsidRPr="004F4940">
              <w:rPr>
                <w:bCs/>
              </w:rPr>
              <w:t>648.90</w:t>
            </w:r>
          </w:p>
        </w:tc>
        <w:tc>
          <w:tcPr>
            <w:tcW w:w="2235" w:type="dxa"/>
          </w:tcPr>
          <w:p w:rsidR="002F3526" w:rsidRPr="004F4940" w:rsidP="00070273" w14:paraId="758F010C" w14:textId="77777777">
            <w:pPr>
              <w:spacing w:after="160" w:line="259" w:lineRule="auto"/>
            </w:pPr>
            <w:r w:rsidRPr="004F4940">
              <w:t>9,810 hrs.</w:t>
            </w:r>
          </w:p>
          <w:p w:rsidR="006A319B" w:rsidRPr="004F4940" w:rsidP="00070273" w14:paraId="0A2829B7" w14:textId="77777777">
            <w:pPr>
              <w:spacing w:after="160" w:line="259" w:lineRule="auto"/>
            </w:pPr>
            <w:r w:rsidRPr="004F4940">
              <w:t>$636,570.90</w:t>
            </w:r>
          </w:p>
        </w:tc>
      </w:tr>
      <w:tr w14:paraId="64C850E9" w14:textId="77777777" w:rsidTr="002F3526">
        <w:tblPrEx>
          <w:tblW w:w="0" w:type="auto"/>
          <w:tblLook w:val="04A0"/>
        </w:tblPrEx>
        <w:trPr>
          <w:trHeight w:val="98"/>
        </w:trPr>
        <w:tc>
          <w:tcPr>
            <w:tcW w:w="1638" w:type="dxa"/>
          </w:tcPr>
          <w:p w:rsidR="002F3526" w:rsidRPr="004F4940" w:rsidP="00070273" w14:paraId="250C3297" w14:textId="77777777">
            <w:pPr>
              <w:rPr>
                <w:b/>
                <w:bCs/>
              </w:rPr>
            </w:pPr>
            <w:r w:rsidRPr="004F4940">
              <w:rPr>
                <w:b/>
                <w:bCs/>
              </w:rPr>
              <w:t>Sub-Total for EOP-012-1 (one-time)</w:t>
            </w:r>
          </w:p>
        </w:tc>
        <w:tc>
          <w:tcPr>
            <w:tcW w:w="1117" w:type="dxa"/>
          </w:tcPr>
          <w:p w:rsidR="002F3526" w:rsidRPr="004F4940" w:rsidP="00070273" w14:paraId="5FFD95B5" w14:textId="77777777"/>
        </w:tc>
        <w:tc>
          <w:tcPr>
            <w:tcW w:w="1328" w:type="dxa"/>
          </w:tcPr>
          <w:p w:rsidR="002F3526" w:rsidRPr="004F4940" w:rsidP="00070273" w14:paraId="1E652C34" w14:textId="77777777"/>
        </w:tc>
        <w:tc>
          <w:tcPr>
            <w:tcW w:w="1373" w:type="dxa"/>
          </w:tcPr>
          <w:p w:rsidR="002F3526" w:rsidRPr="004F4940" w:rsidP="00070273" w14:paraId="2A5D8C80" w14:textId="77777777">
            <w:r w:rsidRPr="004F4940">
              <w:t>2,088</w:t>
            </w:r>
          </w:p>
        </w:tc>
        <w:tc>
          <w:tcPr>
            <w:tcW w:w="1659" w:type="dxa"/>
          </w:tcPr>
          <w:p w:rsidR="002F3526" w:rsidRPr="004F4940" w:rsidP="00070273" w14:paraId="61E3DA86" w14:textId="77777777">
            <w:pPr>
              <w:spacing w:after="160" w:line="259" w:lineRule="auto"/>
            </w:pPr>
            <w:r w:rsidRPr="004F4940">
              <w:t>1</w:t>
            </w:r>
            <w:r w:rsidRPr="004F4940" w:rsidR="009C323A">
              <w:t>60</w:t>
            </w:r>
            <w:r w:rsidRPr="004F4940">
              <w:t xml:space="preserve"> hrs.</w:t>
            </w:r>
          </w:p>
          <w:p w:rsidR="002F3526" w:rsidRPr="004F4940" w:rsidP="00070273" w14:paraId="7D432037" w14:textId="77777777">
            <w:pPr>
              <w:spacing w:after="160" w:line="259" w:lineRule="auto"/>
            </w:pPr>
            <w:r w:rsidRPr="004F4940">
              <w:t>$</w:t>
            </w:r>
            <w:r w:rsidRPr="004F4940" w:rsidR="006C49B8">
              <w:t>10,382.40</w:t>
            </w:r>
          </w:p>
          <w:p w:rsidR="002F3526" w:rsidRPr="004F4940" w:rsidP="00070273" w14:paraId="1337E082" w14:textId="77777777"/>
        </w:tc>
        <w:tc>
          <w:tcPr>
            <w:tcW w:w="2235" w:type="dxa"/>
          </w:tcPr>
          <w:p w:rsidR="002F3526" w:rsidRPr="004F4940" w:rsidP="00070273" w14:paraId="61AC9EE3" w14:textId="77777777">
            <w:pPr>
              <w:spacing w:after="160" w:line="259" w:lineRule="auto"/>
            </w:pPr>
            <w:r w:rsidRPr="004F4940">
              <w:t>175,860</w:t>
            </w:r>
            <w:r w:rsidRPr="004F4940" w:rsidR="00050233">
              <w:t xml:space="preserve"> </w:t>
            </w:r>
            <w:r w:rsidRPr="004F4940">
              <w:t>hrs.</w:t>
            </w:r>
          </w:p>
          <w:p w:rsidR="002F3526" w:rsidRPr="004F4940" w:rsidP="00070273" w14:paraId="36584521" w14:textId="77777777">
            <w:pPr>
              <w:spacing w:after="160" w:line="259" w:lineRule="auto"/>
            </w:pPr>
            <w:r w:rsidRPr="004F4940">
              <w:t>$</w:t>
            </w:r>
            <w:r w:rsidRPr="004F4940" w:rsidR="00313018">
              <w:t>11,411,555.40</w:t>
            </w:r>
          </w:p>
          <w:p w:rsidR="006A319B" w:rsidRPr="004F4940" w:rsidP="00070273" w14:paraId="7360D495" w14:textId="77777777">
            <w:pPr>
              <w:spacing w:after="160" w:line="259" w:lineRule="auto"/>
            </w:pPr>
          </w:p>
        </w:tc>
      </w:tr>
      <w:tr w14:paraId="4B88B570" w14:textId="77777777" w:rsidTr="00070273">
        <w:tblPrEx>
          <w:tblW w:w="0" w:type="auto"/>
          <w:tblLook w:val="04A0"/>
        </w:tblPrEx>
        <w:tc>
          <w:tcPr>
            <w:tcW w:w="9350" w:type="dxa"/>
            <w:gridSpan w:val="6"/>
            <w:shd w:val="clear" w:color="auto" w:fill="D9D9D9" w:themeFill="background1" w:themeFillShade="D9"/>
          </w:tcPr>
          <w:p w:rsidR="002F3526" w:rsidRPr="004F4940" w:rsidP="00D562AC" w14:paraId="73D4F35A" w14:textId="77777777">
            <w:pPr>
              <w:spacing w:before="240" w:after="240"/>
              <w:jc w:val="center"/>
              <w:rPr>
                <w:b/>
                <w:bCs/>
              </w:rPr>
            </w:pPr>
            <w:r w:rsidRPr="004F4940">
              <w:rPr>
                <w:b/>
                <w:bCs/>
              </w:rPr>
              <w:t xml:space="preserve">Ongoing Estimate – Year 3 ongoing </w:t>
            </w:r>
            <w:r w:rsidRPr="004F4940">
              <w:rPr>
                <w:b/>
              </w:rPr>
              <w:t>EOP-012-1</w:t>
            </w:r>
          </w:p>
        </w:tc>
      </w:tr>
      <w:tr w14:paraId="79A00FB0" w14:textId="77777777" w:rsidTr="00070273">
        <w:tblPrEx>
          <w:tblW w:w="0" w:type="auto"/>
          <w:tblLook w:val="04A0"/>
        </w:tblPrEx>
        <w:tc>
          <w:tcPr>
            <w:tcW w:w="1638" w:type="dxa"/>
          </w:tcPr>
          <w:p w:rsidR="002F3526" w:rsidRPr="004F4940" w:rsidP="00070273" w14:paraId="56A55956" w14:textId="77777777">
            <w:r w:rsidRPr="004F4940">
              <w:t>EOP-012-1</w:t>
            </w:r>
          </w:p>
        </w:tc>
        <w:tc>
          <w:tcPr>
            <w:tcW w:w="1117" w:type="dxa"/>
          </w:tcPr>
          <w:p w:rsidR="002F3526" w:rsidRPr="004F4940" w:rsidP="00070273" w14:paraId="2061154E" w14:textId="77777777">
            <w:r w:rsidRPr="004F4940">
              <w:t>1,107 (GO)</w:t>
            </w:r>
          </w:p>
        </w:tc>
        <w:tc>
          <w:tcPr>
            <w:tcW w:w="1328" w:type="dxa"/>
          </w:tcPr>
          <w:p w:rsidR="002F3526" w:rsidRPr="004F4940" w:rsidP="00070273" w14:paraId="477B1BBD" w14:textId="77777777">
            <w:r w:rsidRPr="004F4940">
              <w:t>1</w:t>
            </w:r>
          </w:p>
        </w:tc>
        <w:tc>
          <w:tcPr>
            <w:tcW w:w="1373" w:type="dxa"/>
          </w:tcPr>
          <w:p w:rsidR="002F3526" w:rsidRPr="004F4940" w:rsidP="00070273" w14:paraId="58E409A9" w14:textId="77777777">
            <w:r w:rsidRPr="004F4940">
              <w:t>1,107</w:t>
            </w:r>
          </w:p>
        </w:tc>
        <w:tc>
          <w:tcPr>
            <w:tcW w:w="1659" w:type="dxa"/>
          </w:tcPr>
          <w:p w:rsidR="002F3526" w:rsidRPr="004F4940" w:rsidP="00070273" w14:paraId="3F5376BB" w14:textId="77777777">
            <w:pPr>
              <w:spacing w:after="160" w:line="259" w:lineRule="auto"/>
            </w:pPr>
            <w:r w:rsidRPr="004F4940">
              <w:t>40 hrs.</w:t>
            </w:r>
          </w:p>
          <w:p w:rsidR="002F3526" w:rsidRPr="004F4940" w:rsidP="00070273" w14:paraId="7FFEB1B5" w14:textId="77777777">
            <w:pPr>
              <w:spacing w:after="160" w:line="259" w:lineRule="auto"/>
            </w:pPr>
            <w:r w:rsidRPr="004F4940">
              <w:t>$ 2,595.60</w:t>
            </w:r>
          </w:p>
        </w:tc>
        <w:tc>
          <w:tcPr>
            <w:tcW w:w="2235" w:type="dxa"/>
          </w:tcPr>
          <w:p w:rsidR="002F3526" w:rsidRPr="004F4940" w:rsidP="00070273" w14:paraId="68F45B6C" w14:textId="77777777">
            <w:pPr>
              <w:spacing w:after="160" w:line="259" w:lineRule="auto"/>
            </w:pPr>
            <w:r w:rsidRPr="004F4940">
              <w:t>40,680 hrs.</w:t>
            </w:r>
          </w:p>
          <w:p w:rsidR="002F3526" w:rsidRPr="004F4940" w:rsidP="00070273" w14:paraId="01642304" w14:textId="77777777">
            <w:pPr>
              <w:spacing w:after="160" w:line="259" w:lineRule="auto"/>
            </w:pPr>
            <w:r w:rsidRPr="004F4940">
              <w:t>$ 2,639,725.20</w:t>
            </w:r>
          </w:p>
        </w:tc>
      </w:tr>
      <w:tr w14:paraId="0DE01380" w14:textId="77777777" w:rsidTr="00070273">
        <w:tblPrEx>
          <w:tblW w:w="0" w:type="auto"/>
          <w:tblLook w:val="04A0"/>
        </w:tblPrEx>
        <w:tc>
          <w:tcPr>
            <w:tcW w:w="1638" w:type="dxa"/>
          </w:tcPr>
          <w:p w:rsidR="002F3526" w:rsidRPr="004F4940" w:rsidP="00070273" w14:paraId="0C86DED5" w14:textId="77777777">
            <w:r w:rsidRPr="004F4940">
              <w:t>EOP-012-1</w:t>
            </w:r>
          </w:p>
        </w:tc>
        <w:tc>
          <w:tcPr>
            <w:tcW w:w="1117" w:type="dxa"/>
          </w:tcPr>
          <w:p w:rsidR="002F3526" w:rsidRPr="004F4940" w:rsidP="00070273" w14:paraId="2D1F5531" w14:textId="707D6973">
            <w:r w:rsidRPr="004F4940">
              <w:t>981</w:t>
            </w:r>
            <w:r w:rsidR="00947D29">
              <w:t xml:space="preserve"> </w:t>
            </w:r>
            <w:r w:rsidRPr="004F4940">
              <w:t xml:space="preserve">(GOP) </w:t>
            </w:r>
          </w:p>
        </w:tc>
        <w:tc>
          <w:tcPr>
            <w:tcW w:w="1328" w:type="dxa"/>
          </w:tcPr>
          <w:p w:rsidR="002F3526" w:rsidRPr="004F4940" w:rsidP="00070273" w14:paraId="2613FB0A" w14:textId="77777777">
            <w:r w:rsidRPr="004F4940">
              <w:t>1</w:t>
            </w:r>
          </w:p>
        </w:tc>
        <w:tc>
          <w:tcPr>
            <w:tcW w:w="1373" w:type="dxa"/>
          </w:tcPr>
          <w:p w:rsidR="002F3526" w:rsidRPr="004F4940" w:rsidP="00070273" w14:paraId="679277FC" w14:textId="77777777">
            <w:r w:rsidRPr="004F4940">
              <w:t>981</w:t>
            </w:r>
          </w:p>
        </w:tc>
        <w:tc>
          <w:tcPr>
            <w:tcW w:w="1659" w:type="dxa"/>
          </w:tcPr>
          <w:p w:rsidR="002F3526" w:rsidRPr="004F4940" w:rsidP="00070273" w14:paraId="7911F814" w14:textId="77777777">
            <w:pPr>
              <w:spacing w:after="160" w:line="259" w:lineRule="auto"/>
            </w:pPr>
            <w:r w:rsidRPr="004F4940">
              <w:t>10 hrs.</w:t>
            </w:r>
          </w:p>
          <w:p w:rsidR="002F3526" w:rsidRPr="004F4940" w:rsidP="00070273" w14:paraId="416708EF" w14:textId="77777777">
            <w:pPr>
              <w:spacing w:after="160" w:line="259" w:lineRule="auto"/>
            </w:pPr>
            <w:r w:rsidRPr="004F4940">
              <w:t>$</w:t>
            </w:r>
            <w:r w:rsidRPr="004F4940">
              <w:rPr>
                <w:bCs/>
              </w:rPr>
              <w:t>648.90</w:t>
            </w:r>
          </w:p>
        </w:tc>
        <w:tc>
          <w:tcPr>
            <w:tcW w:w="2235" w:type="dxa"/>
          </w:tcPr>
          <w:p w:rsidR="002F3526" w:rsidRPr="004F4940" w:rsidP="00070273" w14:paraId="28CE816E" w14:textId="77777777">
            <w:pPr>
              <w:spacing w:after="160" w:line="259" w:lineRule="auto"/>
            </w:pPr>
            <w:r w:rsidRPr="004F4940">
              <w:t>9,810 hrs.</w:t>
            </w:r>
          </w:p>
          <w:p w:rsidR="002F3526" w:rsidRPr="004F4940" w:rsidP="00070273" w14:paraId="1548332D" w14:textId="77777777">
            <w:pPr>
              <w:spacing w:after="160" w:line="259" w:lineRule="auto"/>
            </w:pPr>
            <w:r w:rsidRPr="004F4940">
              <w:t>$ 636,570.90</w:t>
            </w:r>
          </w:p>
        </w:tc>
      </w:tr>
      <w:tr w14:paraId="183174F4" w14:textId="77777777" w:rsidTr="00070273">
        <w:tblPrEx>
          <w:tblW w:w="0" w:type="auto"/>
          <w:tblLook w:val="04A0"/>
        </w:tblPrEx>
        <w:tc>
          <w:tcPr>
            <w:tcW w:w="1638" w:type="dxa"/>
          </w:tcPr>
          <w:p w:rsidR="002F3526" w:rsidRPr="004F4940" w:rsidP="00070273" w14:paraId="6858DA48" w14:textId="77777777">
            <w:pPr>
              <w:spacing w:after="160" w:line="259" w:lineRule="auto"/>
              <w:rPr>
                <w:b/>
              </w:rPr>
            </w:pPr>
            <w:r w:rsidRPr="004F4940">
              <w:rPr>
                <w:b/>
              </w:rPr>
              <w:t>Sub-Total for EOP-012-1 (ongoing)</w:t>
            </w:r>
          </w:p>
        </w:tc>
        <w:tc>
          <w:tcPr>
            <w:tcW w:w="1117" w:type="dxa"/>
          </w:tcPr>
          <w:p w:rsidR="002F3526" w:rsidRPr="004F4940" w:rsidP="00070273" w14:paraId="33BAF29E" w14:textId="77777777">
            <w:pPr>
              <w:spacing w:after="160" w:line="259" w:lineRule="auto"/>
              <w:rPr>
                <w:b/>
              </w:rPr>
            </w:pPr>
          </w:p>
        </w:tc>
        <w:tc>
          <w:tcPr>
            <w:tcW w:w="1328" w:type="dxa"/>
          </w:tcPr>
          <w:p w:rsidR="002F3526" w:rsidRPr="004F4940" w:rsidP="00070273" w14:paraId="25FA77E8" w14:textId="77777777">
            <w:pPr>
              <w:spacing w:after="160" w:line="259" w:lineRule="auto"/>
            </w:pPr>
          </w:p>
        </w:tc>
        <w:tc>
          <w:tcPr>
            <w:tcW w:w="1373" w:type="dxa"/>
          </w:tcPr>
          <w:p w:rsidR="002F3526" w:rsidRPr="004F4940" w:rsidP="00070273" w14:paraId="14D6D753" w14:textId="77777777">
            <w:pPr>
              <w:spacing w:after="160" w:line="259" w:lineRule="auto"/>
              <w:rPr>
                <w:bCs/>
              </w:rPr>
            </w:pPr>
            <w:r w:rsidRPr="004F4940">
              <w:rPr>
                <w:bCs/>
              </w:rPr>
              <w:t>2,088</w:t>
            </w:r>
          </w:p>
        </w:tc>
        <w:tc>
          <w:tcPr>
            <w:tcW w:w="1659" w:type="dxa"/>
          </w:tcPr>
          <w:p w:rsidR="002F3526" w:rsidRPr="004F4940" w:rsidP="00070273" w14:paraId="110F4F0A" w14:textId="77777777">
            <w:pPr>
              <w:spacing w:after="160" w:line="259" w:lineRule="auto"/>
            </w:pPr>
            <w:r w:rsidRPr="004F4940">
              <w:t>50 hrs.</w:t>
            </w:r>
          </w:p>
          <w:p w:rsidR="002F3526" w:rsidRPr="004F4940" w:rsidP="00070273" w14:paraId="1357FBD7" w14:textId="77777777">
            <w:pPr>
              <w:spacing w:after="160" w:line="259" w:lineRule="auto"/>
            </w:pPr>
            <w:r w:rsidRPr="004F4940">
              <w:t>$ 3,244.50</w:t>
            </w:r>
          </w:p>
        </w:tc>
        <w:tc>
          <w:tcPr>
            <w:tcW w:w="2235" w:type="dxa"/>
          </w:tcPr>
          <w:p w:rsidR="002F3526" w:rsidRPr="004F4940" w:rsidP="00070273" w14:paraId="31652C57" w14:textId="77777777">
            <w:pPr>
              <w:spacing w:after="160" w:line="259" w:lineRule="auto"/>
              <w:rPr>
                <w:bCs/>
              </w:rPr>
            </w:pPr>
            <w:r w:rsidRPr="004F4940">
              <w:rPr>
                <w:bCs/>
              </w:rPr>
              <w:t>50,490 hrs.</w:t>
            </w:r>
          </w:p>
          <w:p w:rsidR="002F3526" w:rsidRPr="004F4940" w:rsidP="00070273" w14:paraId="1162D927" w14:textId="77777777">
            <w:pPr>
              <w:spacing w:after="160" w:line="259" w:lineRule="auto"/>
              <w:rPr>
                <w:b/>
              </w:rPr>
            </w:pPr>
            <w:r w:rsidRPr="004F4940">
              <w:rPr>
                <w:bCs/>
              </w:rPr>
              <w:t>$</w:t>
            </w:r>
            <w:r w:rsidRPr="004F4940">
              <w:t xml:space="preserve"> </w:t>
            </w:r>
            <w:r w:rsidRPr="004F4940">
              <w:rPr>
                <w:bCs/>
              </w:rPr>
              <w:t>3,276,296.10</w:t>
            </w:r>
          </w:p>
        </w:tc>
      </w:tr>
      <w:tr w14:paraId="2D580768" w14:textId="77777777" w:rsidTr="00070273">
        <w:tblPrEx>
          <w:tblW w:w="0" w:type="auto"/>
          <w:tblLook w:val="04A0"/>
        </w:tblPrEx>
        <w:tc>
          <w:tcPr>
            <w:tcW w:w="1638" w:type="dxa"/>
          </w:tcPr>
          <w:p w:rsidR="002F3526" w:rsidRPr="004F4940" w:rsidP="00070273" w14:paraId="3C606891" w14:textId="77777777">
            <w:pPr>
              <w:rPr>
                <w:b/>
              </w:rPr>
            </w:pPr>
            <w:r w:rsidRPr="004F4940">
              <w:rPr>
                <w:b/>
              </w:rPr>
              <w:t>Sub-Total of ongoing burden averaged over three years</w:t>
            </w:r>
          </w:p>
        </w:tc>
        <w:tc>
          <w:tcPr>
            <w:tcW w:w="1117" w:type="dxa"/>
          </w:tcPr>
          <w:p w:rsidR="002F3526" w:rsidRPr="004F4940" w:rsidP="00070273" w14:paraId="599857CB" w14:textId="77777777">
            <w:pPr>
              <w:rPr>
                <w:b/>
              </w:rPr>
            </w:pPr>
          </w:p>
        </w:tc>
        <w:tc>
          <w:tcPr>
            <w:tcW w:w="1328" w:type="dxa"/>
          </w:tcPr>
          <w:p w:rsidR="002F3526" w:rsidRPr="004F4940" w:rsidP="00070273" w14:paraId="446CEDC6" w14:textId="77777777"/>
        </w:tc>
        <w:tc>
          <w:tcPr>
            <w:tcW w:w="1373" w:type="dxa"/>
          </w:tcPr>
          <w:p w:rsidR="002F3526" w:rsidRPr="004F4940" w:rsidP="00070273" w14:paraId="21EA9568" w14:textId="77777777">
            <w:pPr>
              <w:rPr>
                <w:bCs/>
              </w:rPr>
            </w:pPr>
            <w:r w:rsidRPr="004F4940">
              <w:rPr>
                <w:bCs/>
              </w:rPr>
              <w:t>696</w:t>
            </w:r>
          </w:p>
        </w:tc>
        <w:tc>
          <w:tcPr>
            <w:tcW w:w="1659" w:type="dxa"/>
          </w:tcPr>
          <w:p w:rsidR="002F3526" w:rsidRPr="004F4940" w:rsidP="00070273" w14:paraId="3F726D68" w14:textId="77777777"/>
        </w:tc>
        <w:tc>
          <w:tcPr>
            <w:tcW w:w="2235" w:type="dxa"/>
          </w:tcPr>
          <w:p w:rsidR="002F3526" w:rsidRPr="004F4940" w:rsidP="00070273" w14:paraId="23DBF238" w14:textId="77777777">
            <w:pPr>
              <w:rPr>
                <w:bCs/>
              </w:rPr>
            </w:pPr>
            <w:r w:rsidRPr="004F4940">
              <w:rPr>
                <w:bCs/>
              </w:rPr>
              <w:t>16,830 hrs.</w:t>
            </w:r>
          </w:p>
          <w:p w:rsidR="002F3526" w:rsidRPr="004F4940" w:rsidP="00070273" w14:paraId="47E8141A" w14:textId="77777777">
            <w:pPr>
              <w:rPr>
                <w:b/>
              </w:rPr>
            </w:pPr>
            <w:r w:rsidRPr="004F4940">
              <w:rPr>
                <w:bCs/>
              </w:rPr>
              <w:t>$1,092,098.70</w:t>
            </w:r>
          </w:p>
        </w:tc>
      </w:tr>
      <w:tr w14:paraId="6C8D785F" w14:textId="77777777" w:rsidTr="00070273">
        <w:tblPrEx>
          <w:tblW w:w="0" w:type="auto"/>
          <w:tblLook w:val="04A0"/>
        </w:tblPrEx>
        <w:tc>
          <w:tcPr>
            <w:tcW w:w="1638" w:type="dxa"/>
          </w:tcPr>
          <w:p w:rsidR="002F3526" w:rsidRPr="004F4940" w:rsidP="00070273" w14:paraId="2520F215" w14:textId="77777777">
            <w:pPr>
              <w:rPr>
                <w:b/>
              </w:rPr>
            </w:pPr>
            <w:r w:rsidRPr="004F4940">
              <w:rPr>
                <w:b/>
              </w:rPr>
              <w:t xml:space="preserve">Proposed Total </w:t>
            </w:r>
            <w:r w:rsidRPr="004F4940">
              <w:rPr>
                <w:b/>
              </w:rPr>
              <w:t>Burden Estimate of EOP-012-1</w:t>
            </w:r>
          </w:p>
        </w:tc>
        <w:tc>
          <w:tcPr>
            <w:tcW w:w="1117" w:type="dxa"/>
          </w:tcPr>
          <w:p w:rsidR="002F3526" w:rsidRPr="004F4940" w:rsidP="00070273" w14:paraId="7BF3C62C" w14:textId="77777777">
            <w:pPr>
              <w:rPr>
                <w:b/>
              </w:rPr>
            </w:pPr>
          </w:p>
        </w:tc>
        <w:tc>
          <w:tcPr>
            <w:tcW w:w="1328" w:type="dxa"/>
          </w:tcPr>
          <w:p w:rsidR="002F3526" w:rsidRPr="004F4940" w:rsidP="00070273" w14:paraId="52068F2D" w14:textId="77777777"/>
        </w:tc>
        <w:tc>
          <w:tcPr>
            <w:tcW w:w="1373" w:type="dxa"/>
          </w:tcPr>
          <w:p w:rsidR="002F3526" w:rsidRPr="004F4940" w:rsidP="00070273" w14:paraId="60AFA1AA" w14:textId="77777777">
            <w:pPr>
              <w:rPr>
                <w:b/>
              </w:rPr>
            </w:pPr>
            <w:r w:rsidRPr="004F4940">
              <w:rPr>
                <w:b/>
              </w:rPr>
              <w:t>2,784</w:t>
            </w:r>
          </w:p>
        </w:tc>
        <w:tc>
          <w:tcPr>
            <w:tcW w:w="1659" w:type="dxa"/>
          </w:tcPr>
          <w:p w:rsidR="002F3526" w:rsidRPr="004F4940" w:rsidP="00070273" w14:paraId="4CD9DB50" w14:textId="77777777">
            <w:pPr>
              <w:rPr>
                <w:b/>
              </w:rPr>
            </w:pPr>
          </w:p>
        </w:tc>
        <w:tc>
          <w:tcPr>
            <w:tcW w:w="2235" w:type="dxa"/>
          </w:tcPr>
          <w:p w:rsidR="002F3526" w:rsidRPr="004F4940" w:rsidP="00070273" w14:paraId="5CBF5CC2" w14:textId="77777777">
            <w:pPr>
              <w:rPr>
                <w:b/>
              </w:rPr>
            </w:pPr>
            <w:r w:rsidRPr="004F4940">
              <w:rPr>
                <w:b/>
              </w:rPr>
              <w:t>192,690</w:t>
            </w:r>
            <w:r w:rsidRPr="004F4940" w:rsidR="00050233">
              <w:rPr>
                <w:b/>
              </w:rPr>
              <w:t xml:space="preserve"> </w:t>
            </w:r>
            <w:r w:rsidRPr="004F4940">
              <w:rPr>
                <w:b/>
              </w:rPr>
              <w:t>hrs.</w:t>
            </w:r>
          </w:p>
          <w:p w:rsidR="002F3526" w:rsidRPr="004F4940" w:rsidP="00070273" w14:paraId="3456705E" w14:textId="77777777">
            <w:pPr>
              <w:rPr>
                <w:b/>
              </w:rPr>
            </w:pPr>
            <w:r w:rsidRPr="004F4940">
              <w:rPr>
                <w:b/>
              </w:rPr>
              <w:t>$</w:t>
            </w:r>
            <w:r w:rsidRPr="004F4940" w:rsidR="00CD242C">
              <w:rPr>
                <w:b/>
              </w:rPr>
              <w:t>12,503,654.10</w:t>
            </w:r>
          </w:p>
          <w:p w:rsidR="002F3526" w:rsidRPr="004F4940" w:rsidP="00070273" w14:paraId="7321A395" w14:textId="77777777">
            <w:pPr>
              <w:rPr>
                <w:b/>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32AECD17" w14:textId="77777777" w:rsidTr="00BC1BF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themeFill="background1" w:themeFillShade="D9"/>
            <w:vAlign w:val="bottom"/>
          </w:tcPr>
          <w:p w:rsidR="002F3526" w:rsidRPr="004F4940" w:rsidP="00A97F95" w14:paraId="0A4FCE6C" w14:textId="77777777">
            <w:pPr>
              <w:spacing w:before="240" w:after="240"/>
              <w:jc w:val="center"/>
              <w:rPr>
                <w:b/>
                <w:szCs w:val="26"/>
              </w:rPr>
            </w:pPr>
            <w:r w:rsidRPr="004F4940">
              <w:rPr>
                <w:b/>
                <w:szCs w:val="26"/>
              </w:rPr>
              <w:t>Changes to FERC 725S by RD23-1-000</w:t>
            </w:r>
          </w:p>
        </w:tc>
      </w:tr>
      <w:tr w14:paraId="5CDD6C3C" w14:textId="77777777" w:rsidTr="00BC1BF1">
        <w:tblPrEx>
          <w:tblW w:w="9360" w:type="dxa"/>
          <w:tblInd w:w="-5" w:type="dxa"/>
          <w:tblLook w:val="01E0"/>
        </w:tblPrEx>
        <w:trPr>
          <w:trHeight w:val="870"/>
        </w:trPr>
        <w:tc>
          <w:tcPr>
            <w:tcW w:w="1646" w:type="dxa"/>
            <w:shd w:val="clear" w:color="auto" w:fill="D9D9D9" w:themeFill="background1" w:themeFillShade="D9"/>
            <w:vAlign w:val="bottom"/>
          </w:tcPr>
          <w:p w:rsidR="002F3526" w:rsidRPr="004F4940" w:rsidP="00070273" w14:paraId="76FECC9C" w14:textId="77777777">
            <w:pPr>
              <w:jc w:val="center"/>
              <w:rPr>
                <w:b/>
                <w:szCs w:val="26"/>
              </w:rPr>
            </w:pPr>
            <w:r w:rsidRPr="004F4940">
              <w:rPr>
                <w:b/>
                <w:szCs w:val="26"/>
              </w:rPr>
              <w:t xml:space="preserve">FERC-725S Modification </w:t>
            </w:r>
          </w:p>
        </w:tc>
        <w:tc>
          <w:tcPr>
            <w:tcW w:w="1593" w:type="dxa"/>
            <w:shd w:val="clear" w:color="auto" w:fill="D9D9D9" w:themeFill="background1" w:themeFillShade="D9"/>
            <w:vAlign w:val="bottom"/>
          </w:tcPr>
          <w:p w:rsidR="002F3526" w:rsidRPr="004F4940" w:rsidP="00070273" w14:paraId="27FC7409" w14:textId="77777777">
            <w:pPr>
              <w:jc w:val="center"/>
              <w:rPr>
                <w:b/>
                <w:szCs w:val="26"/>
              </w:rPr>
            </w:pPr>
            <w:r w:rsidRPr="004F4940">
              <w:rPr>
                <w:b/>
                <w:szCs w:val="26"/>
              </w:rPr>
              <w:t>Current Inventory (h</w:t>
            </w:r>
            <w:r w:rsidRPr="004F4940" w:rsidR="006A319B">
              <w:rPr>
                <w:b/>
                <w:szCs w:val="26"/>
              </w:rPr>
              <w:t>ou</w:t>
            </w:r>
            <w:r w:rsidRPr="004F4940">
              <w:rPr>
                <w:b/>
                <w:szCs w:val="26"/>
              </w:rPr>
              <w:t>rs)</w:t>
            </w:r>
          </w:p>
        </w:tc>
        <w:tc>
          <w:tcPr>
            <w:tcW w:w="1652" w:type="dxa"/>
            <w:shd w:val="clear" w:color="auto" w:fill="D9D9D9" w:themeFill="background1" w:themeFillShade="D9"/>
          </w:tcPr>
          <w:p w:rsidR="002F3526" w:rsidRPr="004F4940" w:rsidP="00070273" w14:paraId="1AFC3E63" w14:textId="77777777">
            <w:pPr>
              <w:jc w:val="center"/>
              <w:rPr>
                <w:b/>
                <w:szCs w:val="26"/>
              </w:rPr>
            </w:pPr>
            <w:r w:rsidRPr="004F4940">
              <w:rPr>
                <w:b/>
                <w:szCs w:val="26"/>
              </w:rPr>
              <w:t>Current Inventory</w:t>
            </w:r>
          </w:p>
          <w:p w:rsidR="002F3526" w:rsidRPr="004F4940" w:rsidP="00070273" w14:paraId="59F20985" w14:textId="77777777">
            <w:pPr>
              <w:jc w:val="center"/>
              <w:rPr>
                <w:b/>
                <w:szCs w:val="26"/>
              </w:rPr>
            </w:pPr>
            <w:r w:rsidRPr="004F4940">
              <w:rPr>
                <w:b/>
                <w:szCs w:val="26"/>
              </w:rPr>
              <w:t>(responses)</w:t>
            </w:r>
          </w:p>
        </w:tc>
        <w:tc>
          <w:tcPr>
            <w:tcW w:w="4469" w:type="dxa"/>
            <w:shd w:val="clear" w:color="auto" w:fill="D9D9D9" w:themeFill="background1" w:themeFillShade="D9"/>
            <w:vAlign w:val="bottom"/>
          </w:tcPr>
          <w:p w:rsidR="002F3526" w:rsidRPr="004F4940" w:rsidP="00070273" w14:paraId="35641DF1" w14:textId="77777777">
            <w:pPr>
              <w:jc w:val="center"/>
              <w:rPr>
                <w:b/>
                <w:szCs w:val="26"/>
              </w:rPr>
            </w:pPr>
            <w:r w:rsidRPr="004F4940">
              <w:rPr>
                <w:b/>
                <w:szCs w:val="26"/>
              </w:rPr>
              <w:t>Total Change Due to RD23-1-000</w:t>
            </w:r>
          </w:p>
        </w:tc>
      </w:tr>
      <w:tr w14:paraId="5ED36BB3" w14:textId="77777777" w:rsidTr="00BC1BF1">
        <w:tblPrEx>
          <w:tblW w:w="9360" w:type="dxa"/>
          <w:tblInd w:w="-5" w:type="dxa"/>
          <w:tblLook w:val="01E0"/>
        </w:tblPrEx>
        <w:trPr>
          <w:trHeight w:val="591"/>
        </w:trPr>
        <w:tc>
          <w:tcPr>
            <w:tcW w:w="1646" w:type="dxa"/>
            <w:shd w:val="clear" w:color="auto" w:fill="FFFFFF" w:themeFill="background1"/>
          </w:tcPr>
          <w:p w:rsidR="002F3526" w:rsidRPr="004F4940" w:rsidP="00BC1BF1" w14:paraId="358E10CA" w14:textId="77777777">
            <w:pPr>
              <w:rPr>
                <w:szCs w:val="26"/>
              </w:rPr>
            </w:pPr>
            <w:r w:rsidRPr="004F4940">
              <w:rPr>
                <w:szCs w:val="26"/>
              </w:rPr>
              <w:t>Removal of EOP-011-1</w:t>
            </w:r>
          </w:p>
        </w:tc>
        <w:tc>
          <w:tcPr>
            <w:tcW w:w="1593" w:type="dxa"/>
            <w:shd w:val="clear" w:color="auto" w:fill="FFFFFF" w:themeFill="background1"/>
            <w:vAlign w:val="center"/>
          </w:tcPr>
          <w:p w:rsidR="002F3526" w:rsidRPr="004F4940" w:rsidP="00070273" w14:paraId="2626EACE" w14:textId="77777777">
            <w:r w:rsidRPr="004F4940">
              <w:t>18,000 hrs.</w:t>
            </w:r>
          </w:p>
          <w:p w:rsidR="002F3526" w:rsidRPr="004F4940" w:rsidP="00070273" w14:paraId="3E0A9702" w14:textId="77777777">
            <w:pPr>
              <w:jc w:val="right"/>
              <w:rPr>
                <w:szCs w:val="26"/>
              </w:rPr>
            </w:pPr>
          </w:p>
        </w:tc>
        <w:tc>
          <w:tcPr>
            <w:tcW w:w="1652" w:type="dxa"/>
            <w:shd w:val="clear" w:color="auto" w:fill="FFFFFF" w:themeFill="background1"/>
            <w:vAlign w:val="center"/>
          </w:tcPr>
          <w:p w:rsidR="002F3526" w:rsidRPr="004F4940" w:rsidP="00BC1BF1" w14:paraId="37500E14" w14:textId="77777777">
            <w:pPr>
              <w:rPr>
                <w:szCs w:val="26"/>
              </w:rPr>
            </w:pPr>
            <w:r w:rsidRPr="004F4940">
              <w:rPr>
                <w:szCs w:val="26"/>
              </w:rPr>
              <w:t>12</w:t>
            </w:r>
          </w:p>
        </w:tc>
        <w:tc>
          <w:tcPr>
            <w:tcW w:w="4469" w:type="dxa"/>
            <w:shd w:val="clear" w:color="auto" w:fill="FFFFFF" w:themeFill="background1"/>
            <w:vAlign w:val="center"/>
          </w:tcPr>
          <w:p w:rsidR="002F3526" w:rsidRPr="004F4940" w:rsidP="00BC1BF1" w14:paraId="1538F3C1" w14:textId="77777777">
            <w:pPr>
              <w:jc w:val="right"/>
              <w:rPr>
                <w:szCs w:val="26"/>
              </w:rPr>
            </w:pPr>
          </w:p>
          <w:p w:rsidR="002F3526" w:rsidRPr="004F4940" w:rsidP="00BC1BF1" w14:paraId="44EBE876" w14:textId="77777777">
            <w:pPr>
              <w:jc w:val="right"/>
              <w:rPr>
                <w:szCs w:val="26"/>
              </w:rPr>
            </w:pPr>
            <w:r w:rsidRPr="004F4940">
              <w:rPr>
                <w:szCs w:val="26"/>
              </w:rPr>
              <w:t>-18,000 hrs.</w:t>
            </w:r>
          </w:p>
          <w:p w:rsidR="002F3526" w:rsidRPr="004F4940" w:rsidP="00BC1BF1" w14:paraId="2941DD4C" w14:textId="77777777">
            <w:pPr>
              <w:jc w:val="right"/>
              <w:rPr>
                <w:szCs w:val="26"/>
              </w:rPr>
            </w:pPr>
            <w:r w:rsidRPr="004F4940">
              <w:rPr>
                <w:szCs w:val="26"/>
              </w:rPr>
              <w:t>-12 responses</w:t>
            </w:r>
          </w:p>
        </w:tc>
      </w:tr>
      <w:tr w14:paraId="2587A256" w14:textId="77777777" w:rsidTr="00BC1BF1">
        <w:tblPrEx>
          <w:tblW w:w="9360" w:type="dxa"/>
          <w:tblInd w:w="-5" w:type="dxa"/>
          <w:tblLook w:val="01E0"/>
        </w:tblPrEx>
        <w:trPr>
          <w:trHeight w:val="98"/>
        </w:trPr>
        <w:tc>
          <w:tcPr>
            <w:tcW w:w="1646" w:type="dxa"/>
            <w:shd w:val="clear" w:color="auto" w:fill="FFFFFF" w:themeFill="background1"/>
          </w:tcPr>
          <w:p w:rsidR="002F3526" w:rsidRPr="004F4940" w:rsidP="00BC1BF1" w14:paraId="6FD7899E" w14:textId="77777777">
            <w:pPr>
              <w:rPr>
                <w:szCs w:val="26"/>
              </w:rPr>
            </w:pPr>
            <w:r w:rsidRPr="004F4940">
              <w:rPr>
                <w:szCs w:val="26"/>
              </w:rPr>
              <w:t>Updates to EOP-011-3</w:t>
            </w:r>
          </w:p>
        </w:tc>
        <w:tc>
          <w:tcPr>
            <w:tcW w:w="1593" w:type="dxa"/>
            <w:shd w:val="clear" w:color="auto" w:fill="FFFFFF" w:themeFill="background1"/>
            <w:vAlign w:val="center"/>
          </w:tcPr>
          <w:p w:rsidR="002F3526" w:rsidRPr="004F4940" w:rsidP="00070273" w14:paraId="3AC75933" w14:textId="77777777">
            <w:pPr>
              <w:jc w:val="right"/>
              <w:rPr>
                <w:szCs w:val="26"/>
              </w:rPr>
            </w:pPr>
            <w:r w:rsidRPr="004F4940">
              <w:rPr>
                <w:szCs w:val="26"/>
              </w:rPr>
              <w:t>-</w:t>
            </w:r>
          </w:p>
        </w:tc>
        <w:tc>
          <w:tcPr>
            <w:tcW w:w="1652" w:type="dxa"/>
            <w:shd w:val="clear" w:color="auto" w:fill="FFFFFF" w:themeFill="background1"/>
            <w:vAlign w:val="center"/>
          </w:tcPr>
          <w:p w:rsidR="002F3526" w:rsidRPr="004F4940" w:rsidP="00070273" w14:paraId="0CB5DB76" w14:textId="77777777">
            <w:pPr>
              <w:jc w:val="right"/>
              <w:rPr>
                <w:szCs w:val="26"/>
              </w:rPr>
            </w:pPr>
            <w:r w:rsidRPr="004F4940">
              <w:rPr>
                <w:szCs w:val="26"/>
              </w:rPr>
              <w:t>-</w:t>
            </w:r>
          </w:p>
        </w:tc>
        <w:tc>
          <w:tcPr>
            <w:tcW w:w="4469" w:type="dxa"/>
            <w:shd w:val="clear" w:color="auto" w:fill="FFFFFF" w:themeFill="background1"/>
            <w:vAlign w:val="center"/>
          </w:tcPr>
          <w:p w:rsidR="002F3526" w:rsidRPr="004F4940" w:rsidP="00BC1BF1" w14:paraId="37B100DB" w14:textId="77777777">
            <w:pPr>
              <w:jc w:val="right"/>
            </w:pPr>
            <w:r w:rsidRPr="004F4940">
              <w:rPr>
                <w:szCs w:val="26"/>
              </w:rPr>
              <w:t>+</w:t>
            </w:r>
            <w:r w:rsidRPr="004F4940">
              <w:t>11,946.67 hrs.</w:t>
            </w:r>
          </w:p>
          <w:p w:rsidR="002F3526" w:rsidRPr="004F4940" w:rsidP="00BC1BF1" w14:paraId="1C7A93DF" w14:textId="77777777">
            <w:pPr>
              <w:jc w:val="right"/>
              <w:rPr>
                <w:szCs w:val="26"/>
              </w:rPr>
            </w:pPr>
            <w:r w:rsidRPr="004F4940">
              <w:rPr>
                <w:szCs w:val="26"/>
              </w:rPr>
              <w:t>+</w:t>
            </w:r>
            <w:r w:rsidRPr="004F4940">
              <w:rPr>
                <w:bCs/>
              </w:rPr>
              <w:t>370.67 responses</w:t>
            </w:r>
          </w:p>
        </w:tc>
      </w:tr>
      <w:tr w14:paraId="02AA9CEC" w14:textId="77777777" w:rsidTr="00BC1BF1">
        <w:tblPrEx>
          <w:tblW w:w="9360" w:type="dxa"/>
          <w:tblInd w:w="-5" w:type="dxa"/>
          <w:tblLook w:val="01E0"/>
        </w:tblPrEx>
        <w:trPr>
          <w:trHeight w:val="295"/>
        </w:trPr>
        <w:tc>
          <w:tcPr>
            <w:tcW w:w="1646" w:type="dxa"/>
            <w:tcBorders>
              <w:bottom w:val="single" w:sz="4" w:space="0" w:color="auto"/>
            </w:tcBorders>
            <w:shd w:val="clear" w:color="auto" w:fill="FFFFFF" w:themeFill="background1"/>
          </w:tcPr>
          <w:p w:rsidR="002F3526" w:rsidRPr="004F4940" w:rsidP="00BC1BF1" w14:paraId="5F6B8C4A" w14:textId="74168E3A">
            <w:pPr>
              <w:rPr>
                <w:szCs w:val="26"/>
              </w:rPr>
            </w:pPr>
            <w:r w:rsidRPr="004F4940">
              <w:rPr>
                <w:szCs w:val="26"/>
              </w:rPr>
              <w:t>Addition of EOP-012</w:t>
            </w:r>
            <w:r w:rsidR="001D4799">
              <w:rPr>
                <w:szCs w:val="26"/>
              </w:rPr>
              <w:t>-</w:t>
            </w:r>
            <w:r w:rsidRPr="004F4940">
              <w:rPr>
                <w:szCs w:val="26"/>
              </w:rPr>
              <w:t>1</w:t>
            </w:r>
          </w:p>
        </w:tc>
        <w:tc>
          <w:tcPr>
            <w:tcW w:w="1593" w:type="dxa"/>
            <w:tcBorders>
              <w:bottom w:val="single" w:sz="4" w:space="0" w:color="auto"/>
            </w:tcBorders>
            <w:shd w:val="clear" w:color="auto" w:fill="FFFFFF" w:themeFill="background1"/>
            <w:vAlign w:val="center"/>
          </w:tcPr>
          <w:p w:rsidR="002F3526" w:rsidRPr="004F4940" w:rsidP="00070273" w14:paraId="3BF1E4ED" w14:textId="77777777">
            <w:pPr>
              <w:jc w:val="right"/>
              <w:rPr>
                <w:szCs w:val="26"/>
              </w:rPr>
            </w:pPr>
            <w:r w:rsidRPr="004F4940">
              <w:rPr>
                <w:szCs w:val="26"/>
              </w:rPr>
              <w:t>-</w:t>
            </w:r>
          </w:p>
        </w:tc>
        <w:tc>
          <w:tcPr>
            <w:tcW w:w="1652" w:type="dxa"/>
            <w:tcBorders>
              <w:bottom w:val="single" w:sz="4" w:space="0" w:color="auto"/>
            </w:tcBorders>
            <w:shd w:val="clear" w:color="auto" w:fill="FFFFFF" w:themeFill="background1"/>
            <w:vAlign w:val="center"/>
          </w:tcPr>
          <w:p w:rsidR="002F3526" w:rsidRPr="004F4940" w:rsidP="00070273" w14:paraId="49E81D1B" w14:textId="77777777">
            <w:pPr>
              <w:jc w:val="right"/>
              <w:rPr>
                <w:szCs w:val="26"/>
              </w:rPr>
            </w:pPr>
            <w:r w:rsidRPr="004F4940">
              <w:rPr>
                <w:szCs w:val="26"/>
              </w:rPr>
              <w:t>-</w:t>
            </w:r>
          </w:p>
        </w:tc>
        <w:tc>
          <w:tcPr>
            <w:tcW w:w="4469" w:type="dxa"/>
            <w:tcBorders>
              <w:bottom w:val="single" w:sz="4" w:space="0" w:color="auto"/>
            </w:tcBorders>
            <w:shd w:val="clear" w:color="auto" w:fill="FFFFFF" w:themeFill="background1"/>
            <w:vAlign w:val="center"/>
          </w:tcPr>
          <w:p w:rsidR="002F3526" w:rsidRPr="004F4940" w:rsidP="00BC1BF1" w14:paraId="68B179CF" w14:textId="205B2F13">
            <w:pPr>
              <w:jc w:val="right"/>
              <w:rPr>
                <w:bCs/>
              </w:rPr>
            </w:pPr>
            <w:r w:rsidRPr="004F4940">
              <w:rPr>
                <w:szCs w:val="26"/>
              </w:rPr>
              <w:t>+</w:t>
            </w:r>
            <w:r w:rsidRPr="004F4940" w:rsidR="005D73C6">
              <w:rPr>
                <w:b/>
              </w:rPr>
              <w:t>192,690</w:t>
            </w:r>
            <w:r w:rsidR="001D4799">
              <w:rPr>
                <w:b/>
              </w:rPr>
              <w:t xml:space="preserve"> </w:t>
            </w:r>
            <w:r w:rsidRPr="004F4940">
              <w:rPr>
                <w:bCs/>
              </w:rPr>
              <w:t>hrs.</w:t>
            </w:r>
          </w:p>
          <w:p w:rsidR="002F3526" w:rsidRPr="004F4940" w:rsidP="00BC1BF1" w14:paraId="7B9AF4B4" w14:textId="77777777">
            <w:pPr>
              <w:jc w:val="right"/>
              <w:rPr>
                <w:bCs/>
              </w:rPr>
            </w:pPr>
            <w:r w:rsidRPr="004F4940">
              <w:rPr>
                <w:bCs/>
              </w:rPr>
              <w:t xml:space="preserve">+2,784 responses </w:t>
            </w:r>
          </w:p>
        </w:tc>
      </w:tr>
    </w:tbl>
    <w:p w:rsidR="002F3526" w:rsidRPr="004F4940" w:rsidP="002F3526" w14:paraId="6652C334" w14:textId="77777777">
      <w:pPr>
        <w:rPr>
          <w:u w:val="single"/>
        </w:rPr>
      </w:pPr>
    </w:p>
    <w:p w:rsidR="00C92A07" w:rsidRPr="004F4940" w:rsidP="007301E1" w14:paraId="101787F3" w14:textId="77777777">
      <w:pPr>
        <w:pStyle w:val="FERCparanumber"/>
        <w:numPr>
          <w:ilvl w:val="0"/>
          <w:numId w:val="0"/>
        </w:numPr>
        <w:suppressLineNumbers/>
        <w:rPr>
          <w:rFonts w:eastAsia="Times New Roman"/>
        </w:rPr>
      </w:pPr>
      <w:r w:rsidRPr="004F4940">
        <w:rPr>
          <w:rFonts w:eastAsia="Times New Roman"/>
          <w:u w:val="single"/>
        </w:rPr>
        <w:t>Titles</w:t>
      </w:r>
      <w:r w:rsidRPr="004F4940">
        <w:rPr>
          <w:rFonts w:eastAsia="Times New Roman"/>
        </w:rPr>
        <w:t>:  FERC-725S, Mandatory Reliability Standards for the Bulk</w:t>
      </w:r>
      <w:r w:rsidRPr="004F4940" w:rsidR="000816EF">
        <w:rPr>
          <w:rFonts w:eastAsia="Times New Roman"/>
        </w:rPr>
        <w:t>-</w:t>
      </w:r>
      <w:r w:rsidRPr="004F4940">
        <w:rPr>
          <w:rFonts w:eastAsia="Times New Roman"/>
        </w:rPr>
        <w:t>Power System; EOP Reliability Standards.</w:t>
      </w:r>
    </w:p>
    <w:p w:rsidR="00C92A07" w:rsidRPr="004F4940" w:rsidP="007B1584" w14:paraId="71C72887" w14:textId="77777777">
      <w:pPr>
        <w:pStyle w:val="FERCparanumber"/>
        <w:widowControl w:val="0"/>
        <w:numPr>
          <w:ilvl w:val="0"/>
          <w:numId w:val="0"/>
        </w:numPr>
        <w:suppressLineNumbers/>
        <w:rPr>
          <w:rFonts w:eastAsia="Times New Roman"/>
        </w:rPr>
      </w:pPr>
      <w:r w:rsidRPr="004F4940">
        <w:rPr>
          <w:rFonts w:eastAsia="Times New Roman"/>
          <w:u w:val="single"/>
        </w:rPr>
        <w:t>Action</w:t>
      </w:r>
      <w:r w:rsidRPr="004F4940">
        <w:rPr>
          <w:rFonts w:eastAsia="Times New Roman"/>
        </w:rPr>
        <w:t>:</w:t>
      </w:r>
      <w:r w:rsidRPr="004F4940">
        <w:rPr>
          <w:rFonts w:eastAsia="Times New Roman"/>
          <w:i/>
        </w:rPr>
        <w:t xml:space="preserve"> </w:t>
      </w:r>
      <w:r w:rsidRPr="004F4940">
        <w:rPr>
          <w:rFonts w:eastAsia="Times New Roman"/>
        </w:rPr>
        <w:t xml:space="preserve"> Modifications to Existing Collections of Information in FERC-725S.</w:t>
      </w:r>
    </w:p>
    <w:p w:rsidR="00C92A07" w:rsidRPr="004F4940" w:rsidP="007B1584" w14:paraId="006AA62D" w14:textId="77777777">
      <w:pPr>
        <w:pStyle w:val="FERCparanumber"/>
        <w:widowControl w:val="0"/>
        <w:numPr>
          <w:ilvl w:val="0"/>
          <w:numId w:val="0"/>
        </w:numPr>
        <w:suppressLineNumbers/>
        <w:rPr>
          <w:rFonts w:eastAsia="Times New Roman"/>
        </w:rPr>
      </w:pPr>
      <w:r w:rsidRPr="004F4940">
        <w:rPr>
          <w:rFonts w:eastAsia="Times New Roman"/>
          <w:u w:val="single"/>
        </w:rPr>
        <w:t>OMB Control Nos</w:t>
      </w:r>
      <w:r w:rsidRPr="004F4940">
        <w:rPr>
          <w:rFonts w:eastAsia="Times New Roman"/>
        </w:rPr>
        <w:t>: 1902-0270 (FERC-725S).</w:t>
      </w:r>
    </w:p>
    <w:p w:rsidR="00C92A07" w:rsidRPr="004F4940" w:rsidP="007B1584" w14:paraId="1675CBD1" w14:textId="77777777">
      <w:pPr>
        <w:pStyle w:val="FERCparanumber"/>
        <w:widowControl w:val="0"/>
        <w:numPr>
          <w:ilvl w:val="0"/>
          <w:numId w:val="0"/>
        </w:numPr>
        <w:suppressLineNumbers/>
        <w:rPr>
          <w:rFonts w:eastAsia="Times New Roman"/>
        </w:rPr>
      </w:pPr>
      <w:r w:rsidRPr="004F4940">
        <w:rPr>
          <w:rFonts w:eastAsia="Times New Roman"/>
          <w:u w:val="single"/>
        </w:rPr>
        <w:t>Respondents</w:t>
      </w:r>
      <w:r w:rsidRPr="004F4940">
        <w:rPr>
          <w:rFonts w:eastAsia="Times New Roman"/>
        </w:rPr>
        <w:t>:</w:t>
      </w:r>
      <w:r w:rsidRPr="004F4940">
        <w:rPr>
          <w:rFonts w:eastAsia="Times New Roman"/>
          <w:i/>
        </w:rPr>
        <w:t xml:space="preserve">  </w:t>
      </w:r>
      <w:r w:rsidRPr="004F4940">
        <w:rPr>
          <w:rFonts w:eastAsia="Times New Roman"/>
        </w:rPr>
        <w:t>Business or other for profit, and not for profit institutions.</w:t>
      </w:r>
    </w:p>
    <w:p w:rsidR="00C92A07" w:rsidRPr="004F4940" w:rsidP="007B1584" w14:paraId="4018BEA2" w14:textId="04B31EB9">
      <w:pPr>
        <w:pStyle w:val="FERCparanumber"/>
        <w:widowControl w:val="0"/>
        <w:numPr>
          <w:ilvl w:val="0"/>
          <w:numId w:val="0"/>
        </w:numPr>
        <w:suppressLineNumbers/>
        <w:rPr>
          <w:rFonts w:eastAsia="Times New Roman"/>
        </w:rPr>
      </w:pPr>
      <w:r w:rsidRPr="004F4940">
        <w:rPr>
          <w:rFonts w:eastAsia="Times New Roman"/>
          <w:u w:val="single"/>
        </w:rPr>
        <w:t>Frequency of Responses</w:t>
      </w:r>
      <w:r w:rsidRPr="004F4940">
        <w:rPr>
          <w:rFonts w:eastAsia="Times New Roman"/>
        </w:rPr>
        <w:t>:  On occasion</w:t>
      </w:r>
      <w:r w:rsidRPr="004F4940" w:rsidR="001F469E">
        <w:rPr>
          <w:rFonts w:eastAsia="Times New Roman"/>
        </w:rPr>
        <w:t xml:space="preserve"> (and proposed for deletion).</w:t>
      </w:r>
    </w:p>
    <w:p w:rsidR="00C92A07" w:rsidRPr="004F4940" w:rsidP="007B1584" w14:paraId="10562A8D" w14:textId="69DAFAEB">
      <w:pPr>
        <w:pStyle w:val="FERCparanumber"/>
        <w:widowControl w:val="0"/>
        <w:numPr>
          <w:ilvl w:val="0"/>
          <w:numId w:val="0"/>
        </w:numPr>
        <w:suppressLineNumbers/>
        <w:rPr>
          <w:rFonts w:eastAsia="Times New Roman"/>
        </w:rPr>
      </w:pPr>
      <w:r w:rsidRPr="004F4940">
        <w:rPr>
          <w:rFonts w:eastAsia="Times New Roman"/>
          <w:u w:val="single"/>
        </w:rPr>
        <w:t>Necessity of the Information</w:t>
      </w:r>
      <w:r w:rsidRPr="004F4940">
        <w:rPr>
          <w:rFonts w:eastAsia="Times New Roman"/>
        </w:rPr>
        <w:t>:</w:t>
      </w:r>
      <w:r w:rsidRPr="004F4940">
        <w:rPr>
          <w:rFonts w:eastAsia="Times New Roman"/>
          <w:i/>
        </w:rPr>
        <w:t xml:space="preserve"> </w:t>
      </w:r>
      <w:r w:rsidRPr="004F4940">
        <w:rPr>
          <w:rFonts w:eastAsia="Times New Roman"/>
          <w:iCs/>
        </w:rPr>
        <w:t>Reliability Standards EOP-011-3 (Emergency Operations), and EOP-012-1 (Extreme Cold Weather Preparedness and Operations) are part of the implementation of the Congressional mandate of the Energy Policy Act of 2005 to develop mandatory and enforceable Reliability Standards to better ensure the reliability of the nation’s Bulk</w:t>
      </w:r>
      <w:r w:rsidRPr="004F4940" w:rsidR="006E36C1">
        <w:rPr>
          <w:rFonts w:eastAsia="Times New Roman"/>
          <w:iCs/>
        </w:rPr>
        <w:t>-</w:t>
      </w:r>
      <w:r w:rsidRPr="004F4940">
        <w:rPr>
          <w:rFonts w:eastAsia="Times New Roman"/>
          <w:iCs/>
        </w:rPr>
        <w:t xml:space="preserve">Power system.  Specifically, the revised and new </w:t>
      </w:r>
      <w:r w:rsidRPr="004F4940" w:rsidR="00B46372">
        <w:rPr>
          <w:rFonts w:eastAsia="Times New Roman"/>
          <w:iCs/>
        </w:rPr>
        <w:t>Reliability S</w:t>
      </w:r>
      <w:r w:rsidRPr="004F4940">
        <w:rPr>
          <w:rFonts w:eastAsia="Times New Roman"/>
          <w:iCs/>
        </w:rPr>
        <w:t>tandards ensure</w:t>
      </w:r>
      <w:r w:rsidRPr="004F4940" w:rsidR="00B46372">
        <w:rPr>
          <w:rFonts w:eastAsia="Times New Roman"/>
          <w:iCs/>
        </w:rPr>
        <w:t xml:space="preserve"> that</w:t>
      </w:r>
      <w:r w:rsidRPr="004F4940">
        <w:rPr>
          <w:rFonts w:eastAsia="Times New Roman"/>
          <w:iCs/>
        </w:rPr>
        <w:t xml:space="preserve"> generating resources are prepared for local cold weather events and that entities will effectively communicate </w:t>
      </w:r>
      <w:r w:rsidRPr="004F4940" w:rsidR="00B46372">
        <w:rPr>
          <w:rFonts w:eastAsia="Times New Roman"/>
          <w:iCs/>
        </w:rPr>
        <w:t xml:space="preserve">the </w:t>
      </w:r>
      <w:r w:rsidRPr="004F4940">
        <w:rPr>
          <w:rFonts w:eastAsia="Times New Roman"/>
          <w:iCs/>
        </w:rPr>
        <w:t>information needed for operating the Bulk</w:t>
      </w:r>
      <w:r w:rsidRPr="004F4940" w:rsidR="006E36C1">
        <w:rPr>
          <w:rFonts w:eastAsia="Times New Roman"/>
          <w:iCs/>
        </w:rPr>
        <w:t>-</w:t>
      </w:r>
      <w:r w:rsidRPr="004F4940">
        <w:rPr>
          <w:rFonts w:eastAsia="Times New Roman"/>
          <w:iCs/>
        </w:rPr>
        <w:t>Power System.</w:t>
      </w:r>
    </w:p>
    <w:p w:rsidR="00C92A07" w:rsidRPr="004F4940" w:rsidP="007B1584" w14:paraId="54AB2F59" w14:textId="3D1AE380">
      <w:pPr>
        <w:pStyle w:val="FERCparanumber"/>
        <w:widowControl w:val="0"/>
        <w:numPr>
          <w:ilvl w:val="0"/>
          <w:numId w:val="0"/>
        </w:numPr>
        <w:suppressLineNumbers/>
        <w:rPr>
          <w:rFonts w:eastAsia="Times New Roman"/>
        </w:rPr>
      </w:pPr>
      <w:r w:rsidRPr="004F4940">
        <w:rPr>
          <w:rFonts w:eastAsia="Times New Roman"/>
          <w:u w:val="single"/>
        </w:rPr>
        <w:t>Internal review</w:t>
      </w:r>
      <w:r w:rsidRPr="004F4940">
        <w:rPr>
          <w:rFonts w:eastAsia="Times New Roman"/>
        </w:rPr>
        <w:t>:</w:t>
      </w:r>
      <w:r w:rsidRPr="004F4940">
        <w:rPr>
          <w:rFonts w:eastAsia="Times New Roman"/>
          <w:i/>
        </w:rPr>
        <w:t xml:space="preserve">  </w:t>
      </w:r>
      <w:r w:rsidRPr="004F4940">
        <w:rPr>
          <w:rFonts w:eastAsia="Times New Roman"/>
        </w:rPr>
        <w:t>The Commission has reviewed NERC’s proposal and determined that its action is necessary to implement section 215 of the FPA.</w:t>
      </w:r>
    </w:p>
    <w:p w:rsidR="008263E9" w:rsidRPr="004F4940" w:rsidP="008263E9" w14:paraId="46445827" w14:textId="77777777">
      <w:pPr>
        <w:pStyle w:val="FERCparanumber"/>
        <w:widowControl w:val="0"/>
        <w:suppressLineNumbers/>
        <w:rPr>
          <w:rFonts w:eastAsia="Times New Roman"/>
        </w:rPr>
      </w:pPr>
      <w:r w:rsidRPr="004F4940">
        <w:rPr>
          <w:rFonts w:eastAsia="Times New Roman"/>
        </w:rPr>
        <w:t>Interested persons may obtain information on the reporting requirements by contacting the Federal Energy Regulatory Commission, Office of the Executive Director, 888 First Street, NE, Washington, DC 20426 [Attention: Ellen Brown, e-mail: DataClearance@ferc.gov, phone: (202) 502-8663, fax: (202) 273-0873].</w:t>
      </w:r>
    </w:p>
    <w:p w:rsidR="002F3526" w:rsidRPr="004F4940" w:rsidP="008263E9" w14:paraId="46F69C72" w14:textId="77777777">
      <w:pPr>
        <w:pStyle w:val="FERCparanumber"/>
        <w:widowControl w:val="0"/>
        <w:suppressLineNumbers/>
        <w:rPr>
          <w:rFonts w:eastAsia="Times New Roman"/>
        </w:rPr>
      </w:pPr>
      <w:r w:rsidRPr="004F4940">
        <w:rPr>
          <w:rFonts w:eastAsia="Times New Roman"/>
        </w:rPr>
        <w:t>Comments concerning the information collections and requirements approved for retirement in this Final Rule and the associated burden estimates, should be sent to the Commission in this docket and may also be sent to the Office of Management and</w:t>
      </w:r>
      <w:r w:rsidRPr="004F4940" w:rsidR="007B1584">
        <w:rPr>
          <w:rFonts w:eastAsia="Times New Roman"/>
        </w:rPr>
        <w:t xml:space="preserve"> Budget, Office of Information and Regulatory Affairs [Attention:  Desk Officer for the Federal Energy Regulatory Commission].  For security reasons, comments should be sent by e-mail to OMB at the following e-mail address:  oira_submission@omb.eop.gov.</w:t>
      </w:r>
    </w:p>
    <w:p w:rsidR="0031117C" w:rsidRPr="004F4940" w:rsidP="00710D39" w14:paraId="7DDC97CE" w14:textId="77777777">
      <w:pPr>
        <w:pStyle w:val="Heading1"/>
        <w:keepNext w:val="0"/>
        <w:keepLines w:val="0"/>
        <w:widowControl w:val="0"/>
        <w:suppressLineNumbers/>
        <w:rPr>
          <w:rFonts w:eastAsia="Times New Roman"/>
        </w:rPr>
      </w:pPr>
      <w:r w:rsidRPr="004F4940">
        <w:rPr>
          <w:rFonts w:eastAsia="Times New Roman"/>
        </w:rPr>
        <w:t>Document Availability</w:t>
      </w:r>
    </w:p>
    <w:p w:rsidR="0031117C" w:rsidRPr="004F4940" w:rsidP="000217DE" w14:paraId="12B8A43D" w14:textId="017D5ACA">
      <w:pPr>
        <w:pStyle w:val="FERCparanumber"/>
        <w:suppressLineNumbers/>
        <w:rPr>
          <w:rFonts w:eastAsia="Times New Roman"/>
        </w:rPr>
      </w:pPr>
      <w:r w:rsidRPr="004F4940">
        <w:rPr>
          <w:rFonts w:eastAsia="Times New Roman"/>
        </w:rPr>
        <w:t xml:space="preserve">In addition to publishing the full text of this document in the Federal </w:t>
      </w:r>
      <w:r w:rsidRPr="004F4940" w:rsidR="2FD5A4BD">
        <w:rPr>
          <w:rFonts w:eastAsia="Times New Roman"/>
        </w:rPr>
        <w:t xml:space="preserve">Register, </w:t>
      </w:r>
      <w:r w:rsidR="009339C5">
        <w:rPr>
          <w:rFonts w:eastAsia="Times New Roman"/>
        </w:rPr>
        <w:br/>
      </w:r>
      <w:r w:rsidRPr="004F4940" w:rsidR="2FD5A4BD">
        <w:rPr>
          <w:rFonts w:eastAsia="Times New Roman"/>
        </w:rPr>
        <w:t>the</w:t>
      </w:r>
      <w:r w:rsidRPr="004F4940">
        <w:rPr>
          <w:rFonts w:eastAsia="Times New Roman"/>
        </w:rPr>
        <w:t xml:space="preserve"> Commission provides all interested persons an opportunity to view and/or </w:t>
      </w:r>
      <w:r w:rsidRPr="004F4940" w:rsidR="216CB979">
        <w:rPr>
          <w:rFonts w:eastAsia="Times New Roman"/>
        </w:rPr>
        <w:t xml:space="preserve">print </w:t>
      </w:r>
      <w:r w:rsidR="009339C5">
        <w:rPr>
          <w:rFonts w:eastAsia="Times New Roman"/>
        </w:rPr>
        <w:br/>
      </w:r>
      <w:r w:rsidRPr="004F4940" w:rsidR="216CB979">
        <w:rPr>
          <w:rFonts w:eastAsia="Times New Roman"/>
        </w:rPr>
        <w:t>the</w:t>
      </w:r>
      <w:r w:rsidRPr="004F4940">
        <w:rPr>
          <w:rFonts w:eastAsia="Times New Roman"/>
        </w:rPr>
        <w:t xml:space="preserve"> contents of this document via the Internet through the Commission</w:t>
      </w:r>
      <w:r w:rsidRPr="004F4940" w:rsidR="000628A3">
        <w:rPr>
          <w:rFonts w:eastAsia="Times New Roman"/>
        </w:rPr>
        <w:t>’</w:t>
      </w:r>
      <w:r w:rsidRPr="004F4940">
        <w:rPr>
          <w:rFonts w:eastAsia="Times New Roman"/>
        </w:rPr>
        <w:t>s Home Page (http://www.ferc.gov) and in the Commission</w:t>
      </w:r>
      <w:r w:rsidRPr="004F4940" w:rsidR="000628A3">
        <w:rPr>
          <w:rFonts w:eastAsia="Times New Roman"/>
        </w:rPr>
        <w:t>’</w:t>
      </w:r>
      <w:r w:rsidRPr="004F4940">
        <w:rPr>
          <w:rFonts w:eastAsia="Times New Roman"/>
        </w:rPr>
        <w:t>s Public Reference Room during normal business hours (8:30 a.m. to 5:00 p.m. Eastern time) at 888 First Street, NE, Room 2A, Washington, DC  20426.</w:t>
      </w:r>
    </w:p>
    <w:p w:rsidR="009876DF" w:rsidP="007301E1" w14:paraId="508168F0" w14:textId="11C12B7C">
      <w:pPr>
        <w:pStyle w:val="FERCparanumber"/>
        <w:suppressLineNumbers/>
        <w:rPr>
          <w:rFonts w:eastAsia="Times New Roman"/>
        </w:rPr>
      </w:pPr>
      <w:r w:rsidRPr="004F4940">
        <w:rPr>
          <w:rFonts w:eastAsia="Times New Roman"/>
        </w:rPr>
        <w:t>From the Commission</w:t>
      </w:r>
      <w:r w:rsidRPr="004F4940" w:rsidR="000628A3">
        <w:rPr>
          <w:rFonts w:eastAsia="Times New Roman"/>
        </w:rPr>
        <w:t>’</w:t>
      </w:r>
      <w:r w:rsidRPr="004F4940">
        <w:rPr>
          <w:rFonts w:eastAsia="Times New Roman"/>
        </w:rPr>
        <w:t>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31117C" w:rsidRPr="004F4940" w:rsidP="00710D39" w14:paraId="0FA3A28C" w14:textId="77777777">
      <w:pPr>
        <w:pStyle w:val="FERCparanumber"/>
        <w:widowControl w:val="0"/>
        <w:suppressLineNumbers/>
        <w:rPr>
          <w:rFonts w:eastAsia="Times New Roman"/>
        </w:rPr>
      </w:pPr>
      <w:r w:rsidRPr="004F4940">
        <w:rPr>
          <w:rFonts w:eastAsia="Times New Roman"/>
        </w:rPr>
        <w:t>User assistance is available for eLibrary and the Commission’s website during normal business hours from the Commission’s Online Support at (202) 502-6652 (toll free at 1-866-208-3676) or email at ferconlinesupport@ferc.gov, or the Public Reference Room at (202) 502-8371, TTY (202) 502-8659.  E-mail the Public Reference Room at public.referenceroom@ferc.gov.</w:t>
      </w:r>
    </w:p>
    <w:p w:rsidR="004327B8" w:rsidRPr="004F4940" w:rsidP="00710D39" w14:paraId="139F82CB" w14:textId="77777777">
      <w:pPr>
        <w:suppressLineNumbers/>
        <w:rPr>
          <w:rFonts w:eastAsia="Times New Roman"/>
        </w:rPr>
      </w:pPr>
      <w:r w:rsidRPr="004F4940">
        <w:rPr>
          <w:rFonts w:eastAsia="Times New Roman"/>
          <w:u w:val="single"/>
        </w:rPr>
        <w:t>The Commission orders</w:t>
      </w:r>
      <w:r w:rsidRPr="004F4940">
        <w:rPr>
          <w:rFonts w:eastAsia="Times New Roman"/>
        </w:rPr>
        <w:t>:</w:t>
      </w:r>
    </w:p>
    <w:p w:rsidR="00AC75CF" w:rsidRPr="004F4940" w:rsidP="00710D39" w14:paraId="6969667B" w14:textId="77777777">
      <w:pPr>
        <w:suppressLineNumbers/>
        <w:rPr>
          <w:rFonts w:eastAsia="Times New Roman"/>
        </w:rPr>
      </w:pPr>
    </w:p>
    <w:p w:rsidR="005B3D4C" w:rsidRPr="004F4940" w:rsidP="00A72553" w14:paraId="726D62C2" w14:textId="45CB1C78">
      <w:pPr>
        <w:pStyle w:val="ListParagraph"/>
        <w:numPr>
          <w:ilvl w:val="0"/>
          <w:numId w:val="35"/>
        </w:numPr>
        <w:spacing w:after="260"/>
        <w:contextualSpacing w:val="0"/>
        <w:rPr>
          <w:rFonts w:eastAsia="Times New Roman"/>
        </w:rPr>
      </w:pPr>
      <w:r w:rsidRPr="004F4940">
        <w:rPr>
          <w:rFonts w:eastAsia="Times New Roman"/>
        </w:rPr>
        <w:t xml:space="preserve">Reliability Standards EOP-011-3 and EOP-012-1, the associated violation risk factors and violation severity levels, </w:t>
      </w:r>
      <w:r w:rsidRPr="004F4940" w:rsidR="002F4B50">
        <w:rPr>
          <w:rFonts w:eastAsia="Times New Roman"/>
        </w:rPr>
        <w:t xml:space="preserve">and </w:t>
      </w:r>
      <w:r w:rsidRPr="004F4940">
        <w:rPr>
          <w:rFonts w:eastAsia="Times New Roman"/>
        </w:rPr>
        <w:t xml:space="preserve">the newly defined terms Generator Cold Weather Critical Component, Extreme Cold Weather Temperature, and Generator Cold Weather Reliability Event, </w:t>
      </w:r>
      <w:r w:rsidRPr="004F4940" w:rsidR="0073750C">
        <w:rPr>
          <w:rFonts w:eastAsia="Times New Roman"/>
        </w:rPr>
        <w:t>are hereby approved</w:t>
      </w:r>
      <w:r w:rsidRPr="004F4940" w:rsidR="0015437B">
        <w:rPr>
          <w:rFonts w:eastAsia="Times New Roman"/>
        </w:rPr>
        <w:t>, as discussed in the body of this order</w:t>
      </w:r>
      <w:r w:rsidRPr="004F4940" w:rsidR="0073750C">
        <w:rPr>
          <w:rFonts w:eastAsia="Times New Roman"/>
        </w:rPr>
        <w:t>.</w:t>
      </w:r>
    </w:p>
    <w:p w:rsidR="00BD3AA3" w:rsidRPr="004F4940" w:rsidP="00BD3AA3" w14:paraId="6819ECF7" w14:textId="69624492">
      <w:pPr>
        <w:pStyle w:val="ListParagraph"/>
        <w:numPr>
          <w:ilvl w:val="0"/>
          <w:numId w:val="35"/>
        </w:numPr>
        <w:spacing w:after="260"/>
        <w:rPr>
          <w:rFonts w:eastAsia="Times New Roman"/>
        </w:rPr>
      </w:pPr>
      <w:r w:rsidRPr="004F4940">
        <w:rPr>
          <w:rFonts w:eastAsia="Times New Roman"/>
        </w:rPr>
        <w:t>NERC is hereby directed to develop and submit, within 12 months of the date of issuance of this order, modifications to Reliability Standard EOP-012-1</w:t>
      </w:r>
      <w:r w:rsidRPr="004F4940" w:rsidR="006463CA">
        <w:rPr>
          <w:rFonts w:eastAsia="Times New Roman"/>
        </w:rPr>
        <w:t xml:space="preserve"> as discussed </w:t>
      </w:r>
      <w:r w:rsidRPr="004F4940" w:rsidR="009F59F4">
        <w:rPr>
          <w:rFonts w:eastAsia="Times New Roman"/>
        </w:rPr>
        <w:t>in the body of this order</w:t>
      </w:r>
      <w:r w:rsidRPr="004F4940">
        <w:rPr>
          <w:rFonts w:eastAsia="Times New Roman"/>
        </w:rPr>
        <w:t>.</w:t>
      </w:r>
    </w:p>
    <w:p w:rsidR="00BD3AA3" w:rsidRPr="004F4940" w:rsidP="00A72553" w14:paraId="117AA5B5" w14:textId="45A4BC1D">
      <w:pPr>
        <w:pStyle w:val="ListParagraph"/>
        <w:spacing w:after="260"/>
        <w:rPr>
          <w:rFonts w:eastAsia="Times New Roman"/>
        </w:rPr>
      </w:pPr>
    </w:p>
    <w:p w:rsidR="00B778B0" w:rsidRPr="004F4940" w:rsidP="5DB309BC" w14:paraId="4310FD8C" w14:textId="503DB389">
      <w:pPr>
        <w:pStyle w:val="ListParagraph"/>
        <w:numPr>
          <w:ilvl w:val="0"/>
          <w:numId w:val="35"/>
        </w:numPr>
        <w:spacing w:after="260"/>
        <w:rPr>
          <w:rFonts w:eastAsia="Times New Roman"/>
        </w:rPr>
      </w:pPr>
      <w:r w:rsidRPr="004F4940">
        <w:rPr>
          <w:rFonts w:eastAsia="Times New Roman"/>
        </w:rPr>
        <w:t xml:space="preserve">NERC is hereby directed to </w:t>
      </w:r>
      <w:r w:rsidRPr="004F4940" w:rsidR="000A7AA6">
        <w:rPr>
          <w:rFonts w:eastAsia="Times New Roman"/>
        </w:rPr>
        <w:t xml:space="preserve">work with Commission staff to </w:t>
      </w:r>
      <w:r w:rsidRPr="004F4940">
        <w:rPr>
          <w:rFonts w:eastAsia="Times New Roman"/>
        </w:rPr>
        <w:t xml:space="preserve">submit a plan no later than 12 months after the date of issuance of this order </w:t>
      </w:r>
      <w:r w:rsidRPr="004F4940" w:rsidR="006014DF">
        <w:rPr>
          <w:rFonts w:eastAsia="Times New Roman"/>
        </w:rPr>
        <w:t>on how it will</w:t>
      </w:r>
      <w:r w:rsidRPr="004F4940">
        <w:rPr>
          <w:rFonts w:eastAsia="Times New Roman"/>
        </w:rPr>
        <w:t xml:space="preserve"> </w:t>
      </w:r>
      <w:r w:rsidRPr="004F4940" w:rsidR="7173074F">
        <w:rPr>
          <w:rFonts w:eastAsia="Times New Roman"/>
        </w:rPr>
        <w:t>collect</w:t>
      </w:r>
      <w:r w:rsidRPr="004F4940" w:rsidR="005039C7">
        <w:rPr>
          <w:rFonts w:eastAsia="Times New Roman"/>
        </w:rPr>
        <w:t xml:space="preserve"> and </w:t>
      </w:r>
      <w:r w:rsidRPr="004F4940" w:rsidR="5A4354B0">
        <w:rPr>
          <w:rFonts w:eastAsia="Times New Roman"/>
        </w:rPr>
        <w:t>assess</w:t>
      </w:r>
      <w:r w:rsidRPr="004F4940" w:rsidR="005039C7">
        <w:rPr>
          <w:rFonts w:eastAsia="Times New Roman"/>
        </w:rPr>
        <w:t xml:space="preserve"> data </w:t>
      </w:r>
      <w:r w:rsidRPr="004F4940" w:rsidR="0045693A">
        <w:rPr>
          <w:rFonts w:eastAsia="Times New Roman"/>
        </w:rPr>
        <w:t xml:space="preserve">prior to and </w:t>
      </w:r>
      <w:r w:rsidRPr="004F4940" w:rsidR="005039C7">
        <w:rPr>
          <w:rFonts w:eastAsia="Times New Roman"/>
        </w:rPr>
        <w:t xml:space="preserve">on </w:t>
      </w:r>
      <w:r w:rsidRPr="004F4940">
        <w:rPr>
          <w:rFonts w:eastAsia="Times New Roman"/>
        </w:rPr>
        <w:t>the implementation of the following elements of Reliability Standard EOP-012-1</w:t>
      </w:r>
      <w:r w:rsidRPr="004F4940">
        <w:rPr>
          <w:rFonts w:eastAsia="Times New Roman"/>
        </w:rPr>
        <w:t>:  (</w:t>
      </w:r>
      <w:r w:rsidRPr="004F4940">
        <w:rPr>
          <w:rFonts w:eastAsia="Times New Roman"/>
        </w:rPr>
        <w:t>1) generator owner declared constraints and explanations thereof; and (</w:t>
      </w:r>
      <w:r w:rsidRPr="004F4940" w:rsidR="00DB445E">
        <w:rPr>
          <w:rFonts w:eastAsia="Times New Roman"/>
        </w:rPr>
        <w:t>2</w:t>
      </w:r>
      <w:r w:rsidRPr="004F4940">
        <w:rPr>
          <w:rFonts w:eastAsia="Times New Roman"/>
        </w:rPr>
        <w:t>) the</w:t>
      </w:r>
      <w:r w:rsidRPr="004F4940" w:rsidR="003E0C30">
        <w:rPr>
          <w:rFonts w:eastAsia="Times New Roman"/>
        </w:rPr>
        <w:t xml:space="preserve"> adequacy</w:t>
      </w:r>
      <w:r w:rsidRPr="004F4940" w:rsidR="2113A02F">
        <w:rPr>
          <w:rFonts w:eastAsia="Times New Roman"/>
        </w:rPr>
        <w:t xml:space="preserve"> of the </w:t>
      </w:r>
      <w:r w:rsidRPr="004F4940">
        <w:rPr>
          <w:rFonts w:eastAsia="Times New Roman"/>
        </w:rPr>
        <w:t xml:space="preserve">Extreme Cold Weather Temperature </w:t>
      </w:r>
      <w:r w:rsidRPr="004F4940" w:rsidR="5DBF3DE4">
        <w:rPr>
          <w:rFonts w:eastAsia="Times New Roman"/>
        </w:rPr>
        <w:t>definition</w:t>
      </w:r>
      <w:r w:rsidRPr="004F4940">
        <w:rPr>
          <w:rFonts w:eastAsia="Times New Roman"/>
        </w:rPr>
        <w:t>, as discussed in the body of this order</w:t>
      </w:r>
      <w:r w:rsidRPr="004F4940" w:rsidR="000A7AA6">
        <w:rPr>
          <w:rFonts w:eastAsia="Times New Roman"/>
        </w:rPr>
        <w:t>.</w:t>
      </w:r>
    </w:p>
    <w:p w:rsidR="00D64814" w:rsidRPr="004F4940" w:rsidP="00D64814" w14:paraId="6F90EA26" w14:textId="30D12E55">
      <w:pPr>
        <w:pStyle w:val="ListParagraph"/>
        <w:numPr>
          <w:ilvl w:val="0"/>
          <w:numId w:val="35"/>
        </w:numPr>
        <w:spacing w:after="260"/>
        <w:rPr>
          <w:rFonts w:eastAsia="Times New Roman"/>
        </w:rPr>
      </w:pPr>
      <w:r w:rsidRPr="004F4940">
        <w:rPr>
          <w:rFonts w:eastAsia="Times New Roman"/>
        </w:rPr>
        <w:t xml:space="preserve">NERC is hereby directed to </w:t>
      </w:r>
      <w:r w:rsidRPr="004F4940" w:rsidR="00AE6F36">
        <w:rPr>
          <w:rFonts w:eastAsia="Times New Roman"/>
        </w:rPr>
        <w:t>assess</w:t>
      </w:r>
      <w:r w:rsidRPr="004F4940">
        <w:rPr>
          <w:rFonts w:eastAsia="Times New Roman"/>
        </w:rPr>
        <w:t xml:space="preserve"> </w:t>
      </w:r>
      <w:r w:rsidRPr="004F4940" w:rsidR="002C6658">
        <w:rPr>
          <w:rFonts w:eastAsia="Times New Roman"/>
        </w:rPr>
        <w:t>annual and event-based</w:t>
      </w:r>
      <w:r w:rsidRPr="004F4940">
        <w:rPr>
          <w:rFonts w:eastAsia="Times New Roman"/>
        </w:rPr>
        <w:t xml:space="preserve"> data </w:t>
      </w:r>
      <w:r w:rsidRPr="004F4940" w:rsidR="00D02AF3">
        <w:rPr>
          <w:rFonts w:eastAsia="Times New Roman"/>
        </w:rPr>
        <w:t>submittals to</w:t>
      </w:r>
      <w:r w:rsidRPr="004F4940">
        <w:rPr>
          <w:rFonts w:eastAsia="Times New Roman"/>
        </w:rPr>
        <w:t xml:space="preserve"> address the following elements of Reliability Standard EOP-012-1</w:t>
      </w:r>
      <w:r w:rsidRPr="004F4940">
        <w:rPr>
          <w:rFonts w:eastAsia="Times New Roman"/>
        </w:rPr>
        <w:t>:  (</w:t>
      </w:r>
      <w:r w:rsidRPr="004F4940">
        <w:rPr>
          <w:rFonts w:eastAsia="Times New Roman"/>
        </w:rPr>
        <w:t>1) generator owner declared constraints and explanations thereof; and (</w:t>
      </w:r>
      <w:r w:rsidRPr="004F4940" w:rsidR="00DB445E">
        <w:rPr>
          <w:rFonts w:eastAsia="Times New Roman"/>
        </w:rPr>
        <w:t>2</w:t>
      </w:r>
      <w:r w:rsidRPr="004F4940">
        <w:rPr>
          <w:rFonts w:eastAsia="Times New Roman"/>
        </w:rPr>
        <w:t>) the a</w:t>
      </w:r>
      <w:r w:rsidRPr="004F4940" w:rsidR="00800398">
        <w:rPr>
          <w:rFonts w:eastAsia="Times New Roman"/>
        </w:rPr>
        <w:t>dequacy</w:t>
      </w:r>
      <w:r w:rsidRPr="004F4940">
        <w:rPr>
          <w:rFonts w:eastAsia="Times New Roman"/>
        </w:rPr>
        <w:t xml:space="preserve"> of the Extreme Cold Weather Temperature</w:t>
      </w:r>
      <w:r w:rsidRPr="004F4940" w:rsidR="0082563C">
        <w:rPr>
          <w:rFonts w:eastAsia="Times New Roman"/>
        </w:rPr>
        <w:t xml:space="preserve"> definition</w:t>
      </w:r>
      <w:r w:rsidRPr="004F4940">
        <w:rPr>
          <w:rFonts w:eastAsia="Times New Roman"/>
        </w:rPr>
        <w:t xml:space="preserve">, </w:t>
      </w:r>
      <w:r w:rsidRPr="004F4940" w:rsidR="009850F8">
        <w:rPr>
          <w:rFonts w:eastAsia="Times New Roman"/>
        </w:rPr>
        <w:t xml:space="preserve">and to submit </w:t>
      </w:r>
      <w:r w:rsidRPr="004F4940" w:rsidR="00AB7B16">
        <w:rPr>
          <w:rFonts w:eastAsia="Times New Roman"/>
        </w:rPr>
        <w:t xml:space="preserve">periodic </w:t>
      </w:r>
      <w:r w:rsidRPr="004F4940" w:rsidR="009850F8">
        <w:rPr>
          <w:rFonts w:eastAsia="Times New Roman"/>
        </w:rPr>
        <w:t>report</w:t>
      </w:r>
      <w:r w:rsidRPr="004F4940" w:rsidR="00EB0F27">
        <w:rPr>
          <w:rFonts w:eastAsia="Times New Roman"/>
        </w:rPr>
        <w:t>s</w:t>
      </w:r>
      <w:r w:rsidRPr="004F4940" w:rsidR="009850F8">
        <w:rPr>
          <w:rFonts w:eastAsia="Times New Roman"/>
        </w:rPr>
        <w:t xml:space="preserve"> to the Commission </w:t>
      </w:r>
      <w:r w:rsidRPr="004F4940" w:rsidR="00052E29">
        <w:rPr>
          <w:rFonts w:eastAsia="Times New Roman"/>
        </w:rPr>
        <w:t>providing</w:t>
      </w:r>
      <w:r w:rsidRPr="004F4940">
        <w:rPr>
          <w:rFonts w:eastAsia="Times New Roman"/>
        </w:rPr>
        <w:t xml:space="preserve"> the </w:t>
      </w:r>
      <w:r w:rsidRPr="004F4940" w:rsidR="00052E29">
        <w:rPr>
          <w:rFonts w:eastAsia="Times New Roman"/>
        </w:rPr>
        <w:t>results</w:t>
      </w:r>
      <w:r w:rsidRPr="004F4940">
        <w:rPr>
          <w:rFonts w:eastAsia="Times New Roman"/>
        </w:rPr>
        <w:t xml:space="preserve"> of </w:t>
      </w:r>
      <w:r w:rsidRPr="004F4940" w:rsidR="00052E29">
        <w:rPr>
          <w:rFonts w:eastAsia="Times New Roman"/>
        </w:rPr>
        <w:t xml:space="preserve">the assessments, </w:t>
      </w:r>
      <w:r w:rsidRPr="004F4940">
        <w:rPr>
          <w:rFonts w:eastAsia="Times New Roman"/>
        </w:rPr>
        <w:t>as discussed in the body of this order.</w:t>
      </w:r>
    </w:p>
    <w:p w:rsidR="004327B8" w:rsidP="00710D39" w14:paraId="2573A59F" w14:textId="79FE7DF9">
      <w:pPr>
        <w:suppressLineNumbers/>
        <w:rPr>
          <w:rFonts w:eastAsia="Times New Roman"/>
        </w:rPr>
      </w:pPr>
      <w:r w:rsidRPr="004F4940">
        <w:rPr>
          <w:rFonts w:eastAsia="Times New Roman"/>
        </w:rPr>
        <w:t>By the Commission.</w:t>
      </w:r>
    </w:p>
    <w:p w:rsidR="00AC6123" w:rsidP="00710D39" w14:paraId="3333BADC" w14:textId="62945812">
      <w:pPr>
        <w:suppressLineNumbers/>
        <w:rPr>
          <w:rFonts w:eastAsia="Times New Roman"/>
        </w:rPr>
      </w:pPr>
    </w:p>
    <w:p w:rsidR="00AC6123" w:rsidP="00AC6123" w14:paraId="700395AF" w14:textId="0C3BA6DB">
      <w:pPr>
        <w:widowControl/>
        <w:rPr>
          <w:rFonts w:eastAsia="Times New Roman"/>
        </w:rPr>
      </w:pPr>
      <w:r w:rsidRPr="00AC6123">
        <w:rPr>
          <w:rFonts w:eastAsia="Times New Roman"/>
        </w:rPr>
        <w:t>( S</w:t>
      </w:r>
      <w:r w:rsidRPr="00AC6123">
        <w:rPr>
          <w:rFonts w:eastAsia="Times New Roman"/>
        </w:rPr>
        <w:t xml:space="preserve"> E A L )</w:t>
      </w:r>
    </w:p>
    <w:p w:rsidR="00AC6123" w:rsidP="00AC6123" w14:paraId="677CD834" w14:textId="3B7F2905">
      <w:pPr>
        <w:widowControl/>
        <w:rPr>
          <w:rFonts w:eastAsia="Times New Roman"/>
        </w:rPr>
      </w:pPr>
    </w:p>
    <w:p w:rsidR="00AC6123" w:rsidP="00AC6123" w14:paraId="18556E66" w14:textId="207900C5">
      <w:pPr>
        <w:widowControl/>
        <w:rPr>
          <w:rFonts w:eastAsia="Times New Roman"/>
        </w:rPr>
      </w:pPr>
    </w:p>
    <w:p w:rsidR="00AC6123" w:rsidP="00AC6123" w14:paraId="5D1F4481" w14:textId="1393F8E2">
      <w:pPr>
        <w:widowControl/>
        <w:rPr>
          <w:rFonts w:eastAsia="Times New Roman"/>
        </w:rPr>
      </w:pPr>
    </w:p>
    <w:p w:rsidR="00AC6123" w:rsidP="00AC6123" w14:paraId="2EBFBEC9" w14:textId="0D06DFD7">
      <w:pPr>
        <w:widowControl/>
        <w:rPr>
          <w:rFonts w:eastAsia="Times New Roman"/>
        </w:rPr>
      </w:pPr>
    </w:p>
    <w:p w:rsidR="00AC6123" w:rsidRPr="00AC6123" w:rsidP="00AC6123" w14:paraId="5BC60522" w14:textId="4D51EBC9">
      <w:pPr>
        <w:widowControl/>
        <w:ind w:firstLine="2174"/>
        <w:jc w:val="center"/>
      </w:pPr>
      <w:r w:rsidRPr="00AC6123">
        <w:t>Kimberly D. Bose,</w:t>
      </w:r>
    </w:p>
    <w:p w:rsidR="00AC6123" w:rsidRPr="00AC6123" w:rsidP="00AC6123" w14:paraId="185661F4" w14:textId="5ACF5349">
      <w:pPr>
        <w:widowControl/>
        <w:ind w:firstLine="2174"/>
        <w:jc w:val="center"/>
      </w:pPr>
      <w:r w:rsidRPr="00AC6123">
        <w:t>Secretary.</w:t>
      </w:r>
    </w:p>
    <w:p w:rsidR="00AC6123" w:rsidRPr="00AC6123" w:rsidP="00AC6123" w14:paraId="1027436A" w14:textId="77777777">
      <w:pPr>
        <w:widowControl/>
        <w:rPr>
          <w:rFonts w:eastAsia="Times New Roman"/>
        </w:rPr>
      </w:pPr>
    </w:p>
    <w:p w:rsidR="004327B8" w:rsidRPr="004F4940" w:rsidP="00710D39" w14:paraId="60A59B4D" w14:textId="77777777">
      <w:pPr>
        <w:suppressLineNumbers/>
        <w:rPr>
          <w:rFonts w:eastAsia="Times New Roman"/>
        </w:rPr>
      </w:pPr>
    </w:p>
    <w:p w:rsidR="00DD29CE" w:rsidRPr="004F4940" w:rsidP="00710D39" w14:paraId="4C43D14F" w14:textId="77777777">
      <w:pPr>
        <w:suppressLineNumbers/>
        <w:rPr>
          <w:rFonts w:eastAsia="Times New Roman"/>
        </w:rPr>
      </w:pPr>
    </w:p>
    <w:p w:rsidR="00FF32A1" w:rsidRPr="00E14BCF" w:rsidP="00AC6123" w14:paraId="7D21DBAF" w14:textId="5EBB0C7B">
      <w:pPr>
        <w:suppressLineNumbers/>
        <w:rPr>
          <w:rFonts w:eastAsia="Times New Roman"/>
        </w:rPr>
      </w:pPr>
      <w:r w:rsidRPr="004F4940">
        <w:rPr>
          <w:szCs w:val="26"/>
        </w:rPr>
        <w:tab/>
      </w:r>
      <w:r w:rsidRPr="004F4940">
        <w:rPr>
          <w:szCs w:val="26"/>
        </w:rPr>
        <w:tab/>
      </w:r>
      <w:r w:rsidRPr="004F4940">
        <w:rPr>
          <w:szCs w:val="26"/>
        </w:rPr>
        <w:tab/>
      </w:r>
      <w:r w:rsidRPr="004F4940">
        <w:rPr>
          <w:szCs w:val="26"/>
        </w:rPr>
        <w:tab/>
      </w:r>
      <w:r w:rsidRPr="004F4940">
        <w:rPr>
          <w:szCs w:val="26"/>
        </w:rPr>
        <w:tab/>
      </w:r>
      <w:r w:rsidRPr="004F4940">
        <w:rPr>
          <w:szCs w:val="26"/>
        </w:rPr>
        <w:tab/>
      </w:r>
      <w:r w:rsidRPr="004F4940">
        <w:rPr>
          <w:szCs w:val="26"/>
        </w:rPr>
        <w:tab/>
      </w:r>
    </w:p>
    <w:sectPr w:rsidSect="009339C5">
      <w:headerReference w:type="even" r:id="rId11"/>
      <w:headerReference w:type="default" r:id="rId12"/>
      <w:headerReference w:type="first" r:id="rId13"/>
      <w:pgSz w:w="12240" w:h="15840"/>
      <w:pgMar w:top="1440" w:right="1440" w:bottom="1008"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24F29" w:rsidP="0048020B" w14:paraId="17E7FCA1" w14:textId="77777777">
      <w:r>
        <w:separator/>
      </w:r>
    </w:p>
  </w:endnote>
  <w:endnote w:type="continuationSeparator" w:id="1">
    <w:p w:rsidR="00124F29" w:rsidP="0048020B" w14:paraId="7E62C966" w14:textId="77777777">
      <w:r>
        <w:continuationSeparator/>
      </w:r>
    </w:p>
  </w:endnote>
  <w:endnote w:type="continuationNotice" w:id="2">
    <w:p w:rsidR="00124F29" w14:paraId="45706B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24F29" w:rsidP="0048020B" w14:paraId="53FB68BA" w14:textId="77777777">
      <w:r>
        <w:separator/>
      </w:r>
    </w:p>
  </w:footnote>
  <w:footnote w:type="continuationSeparator" w:id="1">
    <w:p w:rsidR="00124F29" w:rsidP="0048020B" w14:paraId="272BBA99" w14:textId="77777777">
      <w:r>
        <w:continuationSeparator/>
      </w:r>
    </w:p>
  </w:footnote>
  <w:footnote w:type="continuationNotice" w:id="2">
    <w:p w:rsidR="00124F29" w:rsidRPr="000332F9" w:rsidP="000332F9" w14:paraId="111791EB" w14:textId="77777777">
      <w:pPr>
        <w:spacing w:line="14" w:lineRule="exact"/>
        <w:rPr>
          <w:sz w:val="2"/>
        </w:rPr>
      </w:pPr>
    </w:p>
  </w:footnote>
  <w:footnote w:id="3">
    <w:p w:rsidR="004327B8" w:rsidRPr="004F4940" w:rsidP="00710D39" w14:paraId="23507E5C" w14:textId="77777777">
      <w:pPr>
        <w:pStyle w:val="FootnoteText"/>
        <w:rPr>
          <w:szCs w:val="26"/>
        </w:rPr>
      </w:pPr>
      <w:r w:rsidRPr="004F4940">
        <w:rPr>
          <w:rStyle w:val="FootnoteReference"/>
          <w:szCs w:val="26"/>
        </w:rPr>
        <w:footnoteRef/>
      </w:r>
      <w:r w:rsidRPr="004F4940">
        <w:rPr>
          <w:szCs w:val="26"/>
        </w:rPr>
        <w:t xml:space="preserve"> The proposed Reliability Standards are not attached to this order.  The proposed Reliability Standards are available on the Commission’s eLibrary document retrieval system in Docket No. RD23-1-000 and on the NERC website, www.nerc.com.</w:t>
      </w:r>
    </w:p>
  </w:footnote>
  <w:footnote w:id="4">
    <w:p w:rsidR="007C1BDC" w:rsidRPr="004F4940" w:rsidP="007C1BDC" w14:paraId="6CF2B3DF" w14:textId="46E03606">
      <w:pPr>
        <w:pStyle w:val="FootnoteText"/>
        <w:rPr>
          <w:i/>
          <w:iCs/>
        </w:rPr>
      </w:pPr>
      <w:r w:rsidRPr="004F4940">
        <w:rPr>
          <w:rStyle w:val="FootnoteReference"/>
        </w:rPr>
        <w:footnoteRef/>
      </w:r>
      <w:r w:rsidRPr="004F4940">
        <w:t xml:space="preserve"> FERC, NERC, and Regional Entity Staff, </w:t>
      </w:r>
      <w:r w:rsidRPr="004F4940">
        <w:rPr>
          <w:i/>
        </w:rPr>
        <w:t xml:space="preserve">The February 2021 Cold Weather Outages in Texas and the </w:t>
      </w:r>
      <w:r w:rsidRPr="004F4940">
        <w:rPr>
          <w:i/>
        </w:rPr>
        <w:t>South Central</w:t>
      </w:r>
      <w:r w:rsidRPr="004F4940">
        <w:rPr>
          <w:i/>
        </w:rPr>
        <w:t xml:space="preserve"> United States</w:t>
      </w:r>
      <w:r w:rsidRPr="004F4940">
        <w:rPr>
          <w:iCs/>
        </w:rPr>
        <w:t>,</w:t>
      </w:r>
      <w:r w:rsidRPr="004F4940">
        <w:t xml:space="preserve"> </w:t>
      </w:r>
      <w:r w:rsidRPr="004F4940">
        <w:rPr>
          <w:iCs/>
        </w:rPr>
        <w:t xml:space="preserve">at </w:t>
      </w:r>
      <w:r w:rsidRPr="004F4940">
        <w:t xml:space="preserve">189 (Nov. 16, 2021), </w:t>
      </w:r>
      <w:r w:rsidRPr="00E20E34">
        <w:t>https://www.ferc.gov/media/february-2021-cold-weather-outages-texas-and-south-central-united-states-ferc-nerc-and</w:t>
      </w:r>
      <w:r w:rsidRPr="004F4940">
        <w:t xml:space="preserve"> (November 2021 Report).</w:t>
      </w:r>
    </w:p>
  </w:footnote>
  <w:footnote w:id="5">
    <w:p w:rsidR="00DC2C06" w:rsidRPr="004F4940" w:rsidP="00DC2C06" w14:paraId="33BF56DF" w14:textId="6D5A4517">
      <w:pPr>
        <w:pStyle w:val="FootnoteText"/>
      </w:pPr>
      <w:r w:rsidRPr="004F4940">
        <w:rPr>
          <w:rStyle w:val="FootnoteReference"/>
        </w:rPr>
        <w:footnoteRef/>
      </w:r>
      <w:r w:rsidRPr="004F4940">
        <w:t xml:space="preserve"> </w:t>
      </w:r>
      <w:r w:rsidRPr="004F4940" w:rsidR="007C1BDC">
        <w:rPr>
          <w:i/>
          <w:iCs/>
        </w:rPr>
        <w:t>Id.</w:t>
      </w:r>
    </w:p>
  </w:footnote>
  <w:footnote w:id="6">
    <w:p w:rsidR="00257CFF" w:rsidRPr="004F4940" w14:paraId="50F45CA5" w14:textId="2EF3ABFE">
      <w:pPr>
        <w:pStyle w:val="FootnoteText"/>
      </w:pPr>
      <w:r w:rsidRPr="004F4940">
        <w:rPr>
          <w:rStyle w:val="FootnoteReference"/>
        </w:rPr>
        <w:footnoteRef/>
      </w:r>
      <w:r w:rsidRPr="004F4940">
        <w:t xml:space="preserve"> </w:t>
      </w:r>
      <w:r w:rsidRPr="004F4940" w:rsidR="00330D57">
        <w:t>NERC Petition at 7.</w:t>
      </w:r>
    </w:p>
  </w:footnote>
  <w:footnote w:id="7">
    <w:p w:rsidR="00687557" w:rsidRPr="004F4940" w:rsidP="00710D39" w14:paraId="10EA041E" w14:textId="2105760A">
      <w:pPr>
        <w:pStyle w:val="FootnoteText"/>
        <w:rPr>
          <w:szCs w:val="26"/>
        </w:rPr>
      </w:pPr>
      <w:r w:rsidRPr="004F4940">
        <w:rPr>
          <w:rStyle w:val="FootnoteReference"/>
          <w:szCs w:val="26"/>
        </w:rPr>
        <w:footnoteRef/>
      </w:r>
      <w:r w:rsidRPr="004F4940">
        <w:rPr>
          <w:szCs w:val="26"/>
        </w:rPr>
        <w:t xml:space="preserve"> </w:t>
      </w:r>
      <w:r w:rsidRPr="004F4940" w:rsidR="00562BA1">
        <w:rPr>
          <w:szCs w:val="26"/>
        </w:rPr>
        <w:t>16 U.S.C.</w:t>
      </w:r>
      <w:r w:rsidRPr="004F4940">
        <w:rPr>
          <w:szCs w:val="26"/>
        </w:rPr>
        <w:t xml:space="preserve"> </w:t>
      </w:r>
      <w:r w:rsidRPr="004F4940" w:rsidR="000A2959">
        <w:rPr>
          <w:szCs w:val="26"/>
        </w:rPr>
        <w:t>§ 8</w:t>
      </w:r>
      <w:r w:rsidRPr="004F4940">
        <w:rPr>
          <w:szCs w:val="26"/>
        </w:rPr>
        <w:t>24o(d)(5).</w:t>
      </w:r>
    </w:p>
  </w:footnote>
  <w:footnote w:id="8">
    <w:p w:rsidR="00232BCC" w:rsidRPr="004F4940" w14:paraId="76C25592" w14:textId="33116AB8">
      <w:pPr>
        <w:pStyle w:val="FootnoteText"/>
      </w:pPr>
      <w:r w:rsidRPr="004F4940">
        <w:rPr>
          <w:rStyle w:val="FootnoteReference"/>
        </w:rPr>
        <w:footnoteRef/>
      </w:r>
      <w:r w:rsidRPr="004F4940">
        <w:t xml:space="preserve"> NERC’s Commission-approved bulk electric system definition defines the </w:t>
      </w:r>
      <w:r w:rsidR="00C36E44">
        <w:br/>
      </w:r>
      <w:r w:rsidRPr="004F4940">
        <w:t xml:space="preserve">scope of the Reliability Standards and the entities subject to NERC compliance.  </w:t>
      </w:r>
      <w:r w:rsidRPr="004F4940">
        <w:rPr>
          <w:i/>
          <w:iCs/>
        </w:rPr>
        <w:t>Revisions to Electric Reliability Organization Definition of Bulk Electric System and Rules of Procedure</w:t>
      </w:r>
      <w:r w:rsidRPr="004F4940">
        <w:t xml:space="preserve">, Order No. 773, 141 FERC ¶ 61,236 (2012), </w:t>
      </w:r>
      <w:r w:rsidRPr="004F4940">
        <w:rPr>
          <w:i/>
          <w:iCs/>
        </w:rPr>
        <w:t>order on reh’g</w:t>
      </w:r>
      <w:r w:rsidRPr="004F4940">
        <w:t xml:space="preserve">, Order No. 773-A, 143 FERC ¶ 61,053 (2013) </w:t>
      </w:r>
      <w:r w:rsidRPr="004F4940">
        <w:rPr>
          <w:i/>
          <w:iCs/>
        </w:rPr>
        <w:t>rev’d</w:t>
      </w:r>
      <w:r w:rsidRPr="004F4940">
        <w:rPr>
          <w:i/>
          <w:iCs/>
        </w:rPr>
        <w:t xml:space="preserve"> sub nom. People of the State of New York v. FERC</w:t>
      </w:r>
      <w:r w:rsidRPr="004F4940">
        <w:t>, 783 F.3d 946</w:t>
      </w:r>
      <w:r w:rsidRPr="004F4940">
        <w:rPr>
          <w:iCs/>
        </w:rPr>
        <w:t xml:space="preserve"> </w:t>
      </w:r>
      <w:r w:rsidRPr="004F4940">
        <w:t>(2d Cir. 2015); NERC Glossary at 5-7.</w:t>
      </w:r>
    </w:p>
  </w:footnote>
  <w:footnote w:id="9">
    <w:p w:rsidR="00A6438F" w:rsidRPr="004F4940" w:rsidP="00A6438F" w14:paraId="717790F7" w14:textId="77777777">
      <w:pPr>
        <w:pStyle w:val="FootnoteText"/>
      </w:pPr>
      <w:r w:rsidRPr="004F4940">
        <w:rPr>
          <w:rStyle w:val="FootnoteReference"/>
        </w:rPr>
        <w:footnoteRef/>
      </w:r>
      <w:r w:rsidRPr="004F4940">
        <w:t xml:space="preserve"> NERC Petition at 30.</w:t>
      </w:r>
    </w:p>
  </w:footnote>
  <w:footnote w:id="10">
    <w:p w:rsidR="002775D0" w:rsidRPr="004F4940" w14:paraId="7C1C6EC8" w14:textId="1A17075B">
      <w:pPr>
        <w:pStyle w:val="FootnoteText"/>
        <w:rPr>
          <w:i/>
          <w:iCs/>
        </w:rPr>
      </w:pPr>
      <w:r w:rsidRPr="004F4940">
        <w:rPr>
          <w:rStyle w:val="FootnoteReference"/>
        </w:rPr>
        <w:footnoteRef/>
      </w:r>
      <w:r w:rsidRPr="004F4940">
        <w:t xml:space="preserve"> </w:t>
      </w:r>
      <w:r w:rsidRPr="004F4940">
        <w:rPr>
          <w:i/>
          <w:iCs/>
        </w:rPr>
        <w:t>Id.</w:t>
      </w:r>
    </w:p>
  </w:footnote>
  <w:footnote w:id="11">
    <w:p w:rsidR="0037227A" w:rsidRPr="004F4940" w14:paraId="4D20BA80" w14:textId="418B352E">
      <w:pPr>
        <w:pStyle w:val="FootnoteText"/>
      </w:pPr>
      <w:r w:rsidRPr="004F4940">
        <w:rPr>
          <w:rStyle w:val="FootnoteReference"/>
        </w:rPr>
        <w:footnoteRef/>
      </w:r>
      <w:r w:rsidRPr="004F4940">
        <w:t xml:space="preserve"> As discussed below, we also find that</w:t>
      </w:r>
      <w:r w:rsidRPr="004F4940" w:rsidR="007209FB">
        <w:t>, even as to the limited set of excluded generating units,</w:t>
      </w:r>
      <w:r w:rsidRPr="004F4940" w:rsidR="00BF4F8C">
        <w:t xml:space="preserve"> the obligation to have a cold weather emergency preparedness plan</w:t>
      </w:r>
      <w:r w:rsidRPr="004F4940" w:rsidR="00B91245">
        <w:t>(s)</w:t>
      </w:r>
      <w:r w:rsidRPr="004F4940" w:rsidR="00BF4F8C">
        <w:t xml:space="preserve"> and training shoul</w:t>
      </w:r>
      <w:r w:rsidRPr="004F4940" w:rsidR="00182C11">
        <w:t>d remain.</w:t>
      </w:r>
    </w:p>
  </w:footnote>
  <w:footnote w:id="12">
    <w:p w:rsidR="007F1377" w:rsidRPr="004F4940" w:rsidP="00BA482D" w14:paraId="1B0D23DD" w14:textId="442DB85C">
      <w:pPr>
        <w:pStyle w:val="FootnoteText"/>
        <w:widowControl/>
        <w:rPr>
          <w:szCs w:val="26"/>
        </w:rPr>
      </w:pPr>
      <w:r w:rsidRPr="004F4940">
        <w:rPr>
          <w:rStyle w:val="FootnoteReference"/>
          <w:szCs w:val="26"/>
        </w:rPr>
        <w:footnoteRef/>
      </w:r>
      <w:r w:rsidRPr="004F4940">
        <w:rPr>
          <w:szCs w:val="26"/>
        </w:rPr>
        <w:t xml:space="preserve"> </w:t>
      </w:r>
      <w:r w:rsidRPr="004F4940" w:rsidR="00552232">
        <w:rPr>
          <w:szCs w:val="26"/>
        </w:rPr>
        <w:t>16 U.S.C. § 824o(d)(5)</w:t>
      </w:r>
      <w:r w:rsidRPr="004F4940" w:rsidR="00F70AB8">
        <w:rPr>
          <w:szCs w:val="26"/>
        </w:rPr>
        <w:t xml:space="preserve"> (</w:t>
      </w:r>
      <w:r w:rsidRPr="004F4940" w:rsidR="00D97F24">
        <w:rPr>
          <w:szCs w:val="26"/>
        </w:rPr>
        <w:t xml:space="preserve">stating that </w:t>
      </w:r>
      <w:r w:rsidRPr="004F4940" w:rsidR="00484775">
        <w:rPr>
          <w:szCs w:val="26"/>
        </w:rPr>
        <w:t>t</w:t>
      </w:r>
      <w:r w:rsidRPr="004F4940" w:rsidR="00D97F24">
        <w:rPr>
          <w:szCs w:val="26"/>
        </w:rPr>
        <w:t xml:space="preserve">he Commission, </w:t>
      </w:r>
      <w:r w:rsidRPr="004F4940" w:rsidR="00484775">
        <w:rPr>
          <w:szCs w:val="26"/>
        </w:rPr>
        <w:t>“</w:t>
      </w:r>
      <w:r w:rsidRPr="004F4940" w:rsidR="00D97F24">
        <w:rPr>
          <w:szCs w:val="26"/>
        </w:rPr>
        <w:t>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w:t>
      </w:r>
      <w:r w:rsidRPr="004F4940" w:rsidR="006D2EB6">
        <w:rPr>
          <w:szCs w:val="26"/>
        </w:rPr>
        <w:t>”</w:t>
      </w:r>
      <w:r w:rsidRPr="004F4940" w:rsidR="00D97F24">
        <w:rPr>
          <w:szCs w:val="26"/>
        </w:rPr>
        <w:t>).</w:t>
      </w:r>
    </w:p>
  </w:footnote>
  <w:footnote w:id="13">
    <w:p w:rsidR="007D6250" w:rsidRPr="004F4940" w14:paraId="4E3D8321" w14:textId="0360FB1B">
      <w:pPr>
        <w:pStyle w:val="FootnoteText"/>
      </w:pPr>
      <w:r w:rsidRPr="004F4940">
        <w:rPr>
          <w:rStyle w:val="FootnoteReference"/>
        </w:rPr>
        <w:footnoteRef/>
      </w:r>
      <w:r w:rsidRPr="004F4940">
        <w:t xml:space="preserve"> This order uses the term “effective date” to mean the mandatory and enforceable date of the Standards, which, according to NERC’s implementation plan, is 18 months after regulatory approval.  NERC Petition at 50-51.</w:t>
      </w:r>
    </w:p>
  </w:footnote>
  <w:footnote w:id="14">
    <w:p w:rsidR="002E544B" w:rsidRPr="004F4940" w:rsidP="002E544B" w14:paraId="75A8D042" w14:textId="75C7B63D">
      <w:pPr>
        <w:pStyle w:val="FootnoteText"/>
      </w:pPr>
      <w:r w:rsidRPr="004F4940">
        <w:rPr>
          <w:rStyle w:val="FootnoteReference"/>
        </w:rPr>
        <w:footnoteRef/>
      </w:r>
      <w:r w:rsidRPr="004F4940">
        <w:t xml:space="preserve"> </w:t>
      </w:r>
      <w:r w:rsidRPr="004F4940" w:rsidR="0015694B">
        <w:t>Reliability Standard</w:t>
      </w:r>
      <w:r w:rsidRPr="004F4940">
        <w:t xml:space="preserve"> </w:t>
      </w:r>
      <w:r w:rsidRPr="004F4940" w:rsidR="00AB1F04">
        <w:t>EOP-012-1</w:t>
      </w:r>
      <w:r w:rsidRPr="004F4940" w:rsidR="002822D0">
        <w:t xml:space="preserve">, Requirement </w:t>
      </w:r>
      <w:r w:rsidRPr="004F4940" w:rsidR="001916EA">
        <w:t>R</w:t>
      </w:r>
      <w:r w:rsidRPr="004F4940" w:rsidR="002822D0">
        <w:t>1</w:t>
      </w:r>
      <w:r w:rsidRPr="004F4940">
        <w:t>.</w:t>
      </w:r>
    </w:p>
  </w:footnote>
  <w:footnote w:id="15">
    <w:p w:rsidR="0030150E" w:rsidRPr="004F4940" w14:paraId="2D873410" w14:textId="3ED78FAD">
      <w:pPr>
        <w:pStyle w:val="FootnoteText"/>
      </w:pPr>
      <w:r w:rsidRPr="004F4940">
        <w:rPr>
          <w:rStyle w:val="FootnoteReference"/>
        </w:rPr>
        <w:footnoteRef/>
      </w:r>
      <w:r w:rsidRPr="004F4940">
        <w:t xml:space="preserve"> Reliability Standard EOP-012-1, Requirement R2.</w:t>
      </w:r>
    </w:p>
  </w:footnote>
  <w:footnote w:id="16">
    <w:p w:rsidR="000F058D" w:rsidRPr="004F4940" w14:paraId="133016D6" w14:textId="29836BC8">
      <w:pPr>
        <w:pStyle w:val="FootnoteText"/>
      </w:pPr>
      <w:r w:rsidRPr="004F4940">
        <w:rPr>
          <w:rStyle w:val="FootnoteReference"/>
        </w:rPr>
        <w:footnoteRef/>
      </w:r>
      <w:r w:rsidRPr="004F4940">
        <w:t xml:space="preserve"> NERC Petition at 29</w:t>
      </w:r>
      <w:r w:rsidRPr="004F4940" w:rsidR="00515247">
        <w:t xml:space="preserve"> (</w:t>
      </w:r>
      <w:r w:rsidRPr="004F4940" w:rsidR="0081629D">
        <w:t>noting that freeze protection measures of the Standard would advance the reliability of the Bulk-Power System by helping to improve generator reliability in cold weather)</w:t>
      </w:r>
      <w:r w:rsidRPr="004F4940">
        <w:t>.</w:t>
      </w:r>
    </w:p>
  </w:footnote>
  <w:footnote w:id="17">
    <w:p w:rsidR="00A61340" w:rsidRPr="004F4940" w14:paraId="18455E96" w14:textId="4FD8CAD1">
      <w:pPr>
        <w:pStyle w:val="FootnoteText"/>
      </w:pPr>
      <w:r w:rsidRPr="004F4940">
        <w:rPr>
          <w:rStyle w:val="FootnoteReference"/>
        </w:rPr>
        <w:footnoteRef/>
      </w:r>
      <w:r w:rsidRPr="004F4940">
        <w:t xml:space="preserve"> </w:t>
      </w:r>
      <w:r w:rsidRPr="004F4940" w:rsidR="008067ED">
        <w:rPr>
          <w:i/>
          <w:iCs/>
        </w:rPr>
        <w:t>See, e.g.</w:t>
      </w:r>
      <w:r w:rsidRPr="004F4940" w:rsidR="008067ED">
        <w:t xml:space="preserve">, </w:t>
      </w:r>
      <w:r w:rsidRPr="004F4940" w:rsidR="00FD420F">
        <w:t>November 2021 Report</w:t>
      </w:r>
      <w:r w:rsidRPr="004F4940" w:rsidR="00A27124">
        <w:t xml:space="preserve"> at </w:t>
      </w:r>
      <w:r w:rsidRPr="004F4940" w:rsidR="009F36A7">
        <w:t xml:space="preserve">187 (discussing </w:t>
      </w:r>
      <w:r w:rsidRPr="004F4940" w:rsidR="00A27124">
        <w:t xml:space="preserve">Key </w:t>
      </w:r>
      <w:r w:rsidRPr="004F4940" w:rsidR="000D4C89">
        <w:t>Recommendation 1d</w:t>
      </w:r>
      <w:r w:rsidRPr="004F4940" w:rsidR="00DA2498">
        <w:t xml:space="preserve">, which, while </w:t>
      </w:r>
      <w:r w:rsidRPr="004F4940" w:rsidR="00C8186A">
        <w:t xml:space="preserve">recommending that the standards drafting team have </w:t>
      </w:r>
      <w:r w:rsidRPr="004F4940" w:rsidR="004B5E8D">
        <w:t>flexibility to determine  the specific timing for the corrective action plan to be developed and implemented after the outage, derate or failure to start, also recommends that the corrective action plan</w:t>
      </w:r>
      <w:r w:rsidRPr="004F4940" w:rsidR="00DA2498">
        <w:t xml:space="preserve"> “be developed as quickly as possible, and be completed by no later than the beginning of the next winter season.”</w:t>
      </w:r>
      <w:r w:rsidRPr="004F4940" w:rsidR="009F36A7">
        <w:t>)</w:t>
      </w:r>
      <w:r w:rsidRPr="004F4940">
        <w:t>.</w:t>
      </w:r>
    </w:p>
  </w:footnote>
  <w:footnote w:id="18">
    <w:p w:rsidR="009F3E6F" w:rsidRPr="004F4940" w14:paraId="5FD120DB" w14:textId="47552E2A">
      <w:pPr>
        <w:pStyle w:val="FootnoteText"/>
      </w:pPr>
      <w:r w:rsidRPr="004F4940">
        <w:rPr>
          <w:rStyle w:val="FootnoteReference"/>
        </w:rPr>
        <w:footnoteRef/>
      </w:r>
      <w:r w:rsidRPr="004F4940">
        <w:t xml:space="preserve"> </w:t>
      </w:r>
      <w:r w:rsidRPr="004F4940" w:rsidR="008E4C05">
        <w:rPr>
          <w:i/>
          <w:iCs/>
        </w:rPr>
        <w:t>See</w:t>
      </w:r>
      <w:r w:rsidRPr="004F4940" w:rsidR="008F54DC">
        <w:rPr>
          <w:i/>
          <w:iCs/>
        </w:rPr>
        <w:t>,</w:t>
      </w:r>
      <w:r w:rsidRPr="004F4940" w:rsidR="008E4C05">
        <w:rPr>
          <w:i/>
          <w:iCs/>
        </w:rPr>
        <w:t xml:space="preserve"> e.g., </w:t>
      </w:r>
      <w:r w:rsidRPr="004F4940" w:rsidR="00A30155">
        <w:t>FERC and NERC Staff,</w:t>
      </w:r>
      <w:r w:rsidRPr="004F4940" w:rsidR="008E4C05">
        <w:t xml:space="preserve"> </w:t>
      </w:r>
      <w:r w:rsidRPr="004F4940" w:rsidR="008E4C05">
        <w:rPr>
          <w:i/>
          <w:iCs/>
        </w:rPr>
        <w:t xml:space="preserve">Report on Outages and Curtailments </w:t>
      </w:r>
      <w:r w:rsidR="00F90F35">
        <w:rPr>
          <w:i/>
          <w:iCs/>
        </w:rPr>
        <w:br/>
      </w:r>
      <w:r w:rsidRPr="004F4940" w:rsidR="008E4C05">
        <w:rPr>
          <w:i/>
          <w:iCs/>
        </w:rPr>
        <w:t>During the Southwest Cold Weather Event of February 1-5, 2011: Causes and Recommendations</w:t>
      </w:r>
      <w:r w:rsidRPr="004F4940" w:rsidR="00A30155">
        <w:t xml:space="preserve">, at </w:t>
      </w:r>
      <w:r w:rsidRPr="004F4940" w:rsidR="00AB362A">
        <w:t>208</w:t>
      </w:r>
      <w:r w:rsidRPr="004F4940" w:rsidR="008E4C05">
        <w:t xml:space="preserve"> (Aug. 2011)</w:t>
      </w:r>
      <w:r w:rsidRPr="004F4940" w:rsidR="00A30155">
        <w:t xml:space="preserve">, </w:t>
      </w:r>
      <w:r w:rsidRPr="00E20E34" w:rsidR="00A30155">
        <w:t>https://www.ferc.gov/sites/default/files/2020-07/OutagesandCurtailmentsDuringtheSouthwestColdWeatherEventofFebruary1-5-2011.pdf</w:t>
      </w:r>
      <w:r w:rsidRPr="004F4940" w:rsidR="00AB362A">
        <w:t xml:space="preserve"> (recommending that each generator owner and operator should take steps to ensure that winterization is in place before the inter season</w:t>
      </w:r>
      <w:r w:rsidRPr="004F4940" w:rsidR="00D330A8">
        <w:t xml:space="preserve"> and</w:t>
      </w:r>
      <w:r w:rsidRPr="004F4940" w:rsidR="00D80F91">
        <w:t xml:space="preserve"> take preventative action </w:t>
      </w:r>
      <w:r w:rsidR="00F90F35">
        <w:br/>
      </w:r>
      <w:r w:rsidRPr="004F4940" w:rsidR="00D80F91">
        <w:t>in a timely manner)</w:t>
      </w:r>
      <w:r w:rsidRPr="004F4940" w:rsidR="00624328">
        <w:t>.</w:t>
      </w:r>
    </w:p>
  </w:footnote>
  <w:footnote w:id="19">
    <w:p w:rsidR="00286C16" w:rsidRPr="004F4940" w14:paraId="4C1CFD67" w14:textId="5147D8CA">
      <w:pPr>
        <w:pStyle w:val="FootnoteText"/>
      </w:pPr>
      <w:r w:rsidRPr="004F4940">
        <w:rPr>
          <w:rStyle w:val="FootnoteReference"/>
        </w:rPr>
        <w:footnoteRef/>
      </w:r>
      <w:r w:rsidRPr="004F4940">
        <w:t xml:space="preserve"> FERC and NERC Staff, </w:t>
      </w:r>
      <w:r w:rsidRPr="004F4940" w:rsidR="00161720">
        <w:rPr>
          <w:i/>
          <w:iCs/>
        </w:rPr>
        <w:t xml:space="preserve">The </w:t>
      </w:r>
      <w:r w:rsidRPr="004F4940" w:rsidR="00161720">
        <w:rPr>
          <w:i/>
          <w:iCs/>
        </w:rPr>
        <w:t>South Central</w:t>
      </w:r>
      <w:r w:rsidRPr="004F4940" w:rsidR="00161720">
        <w:rPr>
          <w:i/>
          <w:iCs/>
        </w:rPr>
        <w:t xml:space="preserve"> United States Cold Weather Bulk Electric System Event of January 17, 2018</w:t>
      </w:r>
      <w:r w:rsidRPr="004F4940" w:rsidR="00161720">
        <w:t xml:space="preserve">, at </w:t>
      </w:r>
      <w:r w:rsidRPr="004F4940" w:rsidR="00FC35A0">
        <w:t>80-81</w:t>
      </w:r>
      <w:r w:rsidRPr="004F4940" w:rsidR="00161720">
        <w:t xml:space="preserve"> (</w:t>
      </w:r>
      <w:r w:rsidRPr="004F4940" w:rsidR="009B39E6">
        <w:t xml:space="preserve">July 2019), </w:t>
      </w:r>
      <w:r w:rsidRPr="00E20E34" w:rsidR="00FB6299">
        <w:t>https://www.ferc.gov/sites/default/files/legal/staff-reports/2019/07-18-19-ferc-nerc-report.pdf</w:t>
      </w:r>
      <w:r w:rsidRPr="004F4940" w:rsidR="00291D23">
        <w:t xml:space="preserve"> (finding that the event was “caused by failure to properly prepare or ‘winterize’ the generation facilities for cold temperatures”</w:t>
      </w:r>
      <w:r w:rsidRPr="004F4940" w:rsidR="00FC35A0">
        <w:t>)</w:t>
      </w:r>
      <w:r w:rsidRPr="004F4940" w:rsidR="00FB6299">
        <w:t xml:space="preserve">. </w:t>
      </w:r>
    </w:p>
  </w:footnote>
  <w:footnote w:id="20">
    <w:p w:rsidR="00E8021B" w:rsidRPr="004F4940" w:rsidP="00543141" w14:paraId="7B50E384" w14:textId="26D139DD">
      <w:pPr>
        <w:pStyle w:val="FootnoteText"/>
        <w:widowControl/>
      </w:pPr>
      <w:r w:rsidRPr="004F4940">
        <w:rPr>
          <w:rStyle w:val="FootnoteReference"/>
        </w:rPr>
        <w:footnoteRef/>
      </w:r>
      <w:r w:rsidRPr="004F4940">
        <w:t xml:space="preserve"> November 2021 Report at </w:t>
      </w:r>
      <w:r w:rsidRPr="004F4940" w:rsidR="001E7788">
        <w:t>185</w:t>
      </w:r>
      <w:r w:rsidRPr="004F4940" w:rsidR="004A2144">
        <w:t xml:space="preserve"> (finding that “generation freezing issues were </w:t>
      </w:r>
      <w:r w:rsidR="00F90F35">
        <w:br/>
      </w:r>
      <w:r w:rsidRPr="004F4940" w:rsidR="004A2144">
        <w:t>the number one cause of the Event, and the same frequently-seen frozen components reappear”)</w:t>
      </w:r>
      <w:r w:rsidRPr="004F4940" w:rsidR="001E7788">
        <w:t>.</w:t>
      </w:r>
    </w:p>
  </w:footnote>
  <w:footnote w:id="21">
    <w:p w:rsidR="00E052A0" w:rsidRPr="004F4940" w14:paraId="53A0FF20" w14:textId="4607C08D">
      <w:pPr>
        <w:pStyle w:val="FootnoteText"/>
      </w:pPr>
      <w:r w:rsidRPr="004F4940">
        <w:rPr>
          <w:rStyle w:val="FootnoteReference"/>
        </w:rPr>
        <w:footnoteRef/>
      </w:r>
      <w:r w:rsidRPr="004F4940">
        <w:t xml:space="preserve"> </w:t>
      </w:r>
      <w:r w:rsidRPr="004F4940">
        <w:rPr>
          <w:i/>
          <w:iCs/>
        </w:rPr>
        <w:t>Id.</w:t>
      </w:r>
    </w:p>
  </w:footnote>
  <w:footnote w:id="22">
    <w:p w:rsidR="006453B3" w:rsidRPr="004F4940" w14:paraId="6A0EA22B" w14:textId="29D8E211">
      <w:pPr>
        <w:pStyle w:val="FootnoteText"/>
      </w:pPr>
      <w:r w:rsidRPr="004F4940">
        <w:rPr>
          <w:rStyle w:val="FootnoteReference"/>
        </w:rPr>
        <w:footnoteRef/>
      </w:r>
      <w:r w:rsidRPr="004F4940">
        <w:t xml:space="preserve"> </w:t>
      </w:r>
      <w:r w:rsidRPr="004F4940">
        <w:rPr>
          <w:i/>
        </w:rPr>
        <w:t>See e.g.</w:t>
      </w:r>
      <w:r w:rsidRPr="004F4940">
        <w:t>,</w:t>
      </w:r>
      <w:r w:rsidRPr="004F4940" w:rsidR="001E7146">
        <w:t xml:space="preserve"> </w:t>
      </w:r>
      <w:r w:rsidRPr="004F4940" w:rsidR="0041637E">
        <w:rPr>
          <w:i/>
          <w:szCs w:val="26"/>
        </w:rPr>
        <w:t>Generator Verification</w:t>
      </w:r>
      <w:r w:rsidRPr="004F4940" w:rsidR="0046678D">
        <w:rPr>
          <w:i/>
          <w:szCs w:val="26"/>
        </w:rPr>
        <w:t xml:space="preserve"> Reliability Standards</w:t>
      </w:r>
      <w:r w:rsidRPr="004F4940" w:rsidR="0046678D">
        <w:rPr>
          <w:szCs w:val="26"/>
        </w:rPr>
        <w:t xml:space="preserve">, Order No. </w:t>
      </w:r>
      <w:r w:rsidRPr="004F4940" w:rsidR="0041637E">
        <w:rPr>
          <w:szCs w:val="26"/>
        </w:rPr>
        <w:t>796</w:t>
      </w:r>
      <w:r w:rsidRPr="004F4940" w:rsidR="0046678D">
        <w:rPr>
          <w:szCs w:val="26"/>
        </w:rPr>
        <w:t xml:space="preserve">, </w:t>
      </w:r>
      <w:r w:rsidR="00F90F35">
        <w:rPr>
          <w:szCs w:val="26"/>
        </w:rPr>
        <w:br/>
      </w:r>
      <w:r w:rsidRPr="004F4940" w:rsidR="0046678D">
        <w:rPr>
          <w:szCs w:val="26"/>
        </w:rPr>
        <w:t>1</w:t>
      </w:r>
      <w:r w:rsidRPr="004F4940" w:rsidR="00985F3A">
        <w:rPr>
          <w:szCs w:val="26"/>
        </w:rPr>
        <w:t>46</w:t>
      </w:r>
      <w:r w:rsidRPr="004F4940" w:rsidR="0046678D">
        <w:rPr>
          <w:szCs w:val="26"/>
        </w:rPr>
        <w:t xml:space="preserve"> FERC ¶ 61,21</w:t>
      </w:r>
      <w:r w:rsidRPr="004F4940" w:rsidR="00985F3A">
        <w:rPr>
          <w:szCs w:val="26"/>
        </w:rPr>
        <w:t>3</w:t>
      </w:r>
      <w:r w:rsidRPr="004F4940" w:rsidR="0046678D">
        <w:rPr>
          <w:szCs w:val="26"/>
        </w:rPr>
        <w:t xml:space="preserve">, </w:t>
      </w:r>
      <w:r w:rsidRPr="004F4940" w:rsidR="00E42017">
        <w:rPr>
          <w:szCs w:val="26"/>
        </w:rPr>
        <w:t xml:space="preserve">at </w:t>
      </w:r>
      <w:r w:rsidRPr="004F4940" w:rsidR="0046678D">
        <w:rPr>
          <w:szCs w:val="26"/>
        </w:rPr>
        <w:t>P</w:t>
      </w:r>
      <w:r w:rsidRPr="004F4940" w:rsidR="002B32C2">
        <w:rPr>
          <w:szCs w:val="26"/>
        </w:rPr>
        <w:t>P</w:t>
      </w:r>
      <w:r w:rsidRPr="004F4940" w:rsidR="0046678D">
        <w:rPr>
          <w:szCs w:val="26"/>
        </w:rPr>
        <w:t> 1</w:t>
      </w:r>
      <w:r w:rsidRPr="004F4940" w:rsidR="002B32C2">
        <w:rPr>
          <w:szCs w:val="26"/>
        </w:rPr>
        <w:t>-2</w:t>
      </w:r>
      <w:r w:rsidRPr="004F4940" w:rsidR="0046678D">
        <w:rPr>
          <w:szCs w:val="26"/>
        </w:rPr>
        <w:t xml:space="preserve"> (20</w:t>
      </w:r>
      <w:r w:rsidRPr="004F4940" w:rsidR="00985F3A">
        <w:rPr>
          <w:szCs w:val="26"/>
        </w:rPr>
        <w:t>14</w:t>
      </w:r>
      <w:r w:rsidRPr="004F4940" w:rsidR="0046678D">
        <w:rPr>
          <w:szCs w:val="26"/>
        </w:rPr>
        <w:t xml:space="preserve">) </w:t>
      </w:r>
      <w:r w:rsidRPr="004F4940" w:rsidR="002B32C2">
        <w:rPr>
          <w:szCs w:val="26"/>
        </w:rPr>
        <w:t>(approving</w:t>
      </w:r>
      <w:r w:rsidRPr="004F4940">
        <w:rPr>
          <w:szCs w:val="26"/>
        </w:rPr>
        <w:t xml:space="preserve"> Reliability Standard</w:t>
      </w:r>
      <w:r w:rsidRPr="004F4940">
        <w:t xml:space="preserve"> </w:t>
      </w:r>
      <w:r w:rsidRPr="004F4940" w:rsidR="001E7146">
        <w:t>MOD-025-2</w:t>
      </w:r>
      <w:r w:rsidRPr="004F4940" w:rsidR="002B32C2">
        <w:t xml:space="preserve"> and its associated staggered implementation plan</w:t>
      </w:r>
      <w:r w:rsidRPr="004F4940" w:rsidR="00E151B1">
        <w:t xml:space="preserve">, which required 40% of applicable facilities </w:t>
      </w:r>
      <w:r w:rsidRPr="004F4940" w:rsidR="00D30E61">
        <w:t xml:space="preserve">to be </w:t>
      </w:r>
      <w:r w:rsidRPr="004F4940" w:rsidR="00E151B1">
        <w:t>verified in 2 years, 60% in 3</w:t>
      </w:r>
      <w:r w:rsidRPr="004F4940" w:rsidR="00D30E61">
        <w:t xml:space="preserve"> years</w:t>
      </w:r>
      <w:r w:rsidRPr="004F4940" w:rsidR="00E151B1">
        <w:t>, 80% in 4</w:t>
      </w:r>
      <w:r w:rsidRPr="004F4940" w:rsidR="00D30E61">
        <w:t xml:space="preserve"> years</w:t>
      </w:r>
      <w:r w:rsidRPr="004F4940" w:rsidR="00E151B1">
        <w:t>, and 100% in 5 years</w:t>
      </w:r>
      <w:r w:rsidRPr="004F4940" w:rsidR="002B32C2">
        <w:t>)</w:t>
      </w:r>
      <w:r w:rsidRPr="004F4940" w:rsidR="001E7146">
        <w:t>.</w:t>
      </w:r>
    </w:p>
  </w:footnote>
  <w:footnote w:id="23">
    <w:p w:rsidR="00CD471B" w:rsidRPr="004F4940" w:rsidP="00CD471B" w14:paraId="7CACBC1A" w14:textId="7DE5F1B8">
      <w:pPr>
        <w:pStyle w:val="FootnoteText"/>
        <w:rPr>
          <w:szCs w:val="26"/>
        </w:rPr>
      </w:pPr>
      <w:r w:rsidRPr="004F4940">
        <w:rPr>
          <w:rStyle w:val="FootnoteReference"/>
          <w:szCs w:val="26"/>
        </w:rPr>
        <w:footnoteRef/>
      </w:r>
      <w:r w:rsidRPr="004F4940">
        <w:rPr>
          <w:szCs w:val="26"/>
        </w:rPr>
        <w:t xml:space="preserve"> 18 C</w:t>
      </w:r>
      <w:r w:rsidRPr="004F4940" w:rsidR="008B1E71">
        <w:rPr>
          <w:szCs w:val="26"/>
        </w:rPr>
        <w:t>.</w:t>
      </w:r>
      <w:r w:rsidRPr="004F4940">
        <w:rPr>
          <w:szCs w:val="26"/>
        </w:rPr>
        <w:t>F</w:t>
      </w:r>
      <w:r w:rsidRPr="004F4940" w:rsidR="008B1E71">
        <w:rPr>
          <w:szCs w:val="26"/>
        </w:rPr>
        <w:t>.</w:t>
      </w:r>
      <w:r w:rsidRPr="004F4940">
        <w:rPr>
          <w:szCs w:val="26"/>
        </w:rPr>
        <w:t>R</w:t>
      </w:r>
      <w:r w:rsidRPr="004F4940" w:rsidR="008B1E71">
        <w:rPr>
          <w:szCs w:val="26"/>
        </w:rPr>
        <w:t>.</w:t>
      </w:r>
      <w:r w:rsidRPr="004F4940">
        <w:rPr>
          <w:szCs w:val="26"/>
        </w:rPr>
        <w:t xml:space="preserve"> </w:t>
      </w:r>
      <w:r w:rsidRPr="004F4940" w:rsidR="000A2959">
        <w:rPr>
          <w:szCs w:val="26"/>
        </w:rPr>
        <w:t>§ 3</w:t>
      </w:r>
      <w:r w:rsidRPr="004F4940">
        <w:rPr>
          <w:szCs w:val="26"/>
        </w:rPr>
        <w:t>9.2(d)</w:t>
      </w:r>
      <w:r w:rsidR="00E20E34">
        <w:rPr>
          <w:szCs w:val="26"/>
        </w:rPr>
        <w:t xml:space="preserve"> (2021)</w:t>
      </w:r>
      <w:r w:rsidRPr="004F4940" w:rsidR="00EE03E3">
        <w:rPr>
          <w:szCs w:val="26"/>
        </w:rPr>
        <w:t xml:space="preserve"> (the ERO shall provide the Commission such information as is necessary to implement section 215 of the FPA)</w:t>
      </w:r>
      <w:r w:rsidRPr="004F4940">
        <w:rPr>
          <w:szCs w:val="26"/>
        </w:rPr>
        <w:t>.</w:t>
      </w:r>
    </w:p>
  </w:footnote>
  <w:footnote w:id="24">
    <w:p w:rsidR="005C4DFA" w:rsidRPr="004F4940" w:rsidP="00710D39" w14:paraId="09B91D0C" w14:textId="77777777">
      <w:pPr>
        <w:pStyle w:val="FootnoteText"/>
        <w:rPr>
          <w:szCs w:val="26"/>
        </w:rPr>
      </w:pPr>
      <w:r w:rsidRPr="004F4940">
        <w:rPr>
          <w:rStyle w:val="FootnoteReference"/>
          <w:szCs w:val="26"/>
        </w:rPr>
        <w:footnoteRef/>
      </w:r>
      <w:r w:rsidRPr="004F4940">
        <w:rPr>
          <w:szCs w:val="26"/>
        </w:rPr>
        <w:t xml:space="preserve"> </w:t>
      </w:r>
      <w:r w:rsidRPr="004F4940" w:rsidR="00F01C65">
        <w:rPr>
          <w:szCs w:val="26"/>
        </w:rPr>
        <w:t xml:space="preserve">16 U.S.C. </w:t>
      </w:r>
      <w:r w:rsidRPr="004F4940" w:rsidR="000A2959">
        <w:rPr>
          <w:szCs w:val="26"/>
        </w:rPr>
        <w:t>§ </w:t>
      </w:r>
      <w:r w:rsidRPr="004F4940" w:rsidR="000A2959">
        <w:rPr>
          <w:szCs w:val="26"/>
          <w:lang w:val="es-ES"/>
        </w:rPr>
        <w:t>8</w:t>
      </w:r>
      <w:r w:rsidRPr="004F4940">
        <w:rPr>
          <w:szCs w:val="26"/>
          <w:lang w:val="es-ES"/>
        </w:rPr>
        <w:t>24o(c).</w:t>
      </w:r>
    </w:p>
  </w:footnote>
  <w:footnote w:id="25">
    <w:p w:rsidR="00A31F36" w:rsidRPr="004F4940" w:rsidP="00710D39" w14:paraId="1D9C028B" w14:textId="77777777">
      <w:pPr>
        <w:pStyle w:val="FootnoteText"/>
        <w:rPr>
          <w:szCs w:val="26"/>
        </w:rPr>
      </w:pPr>
      <w:r w:rsidRPr="004F4940">
        <w:rPr>
          <w:rStyle w:val="FootnoteReference"/>
          <w:szCs w:val="26"/>
        </w:rPr>
        <w:footnoteRef/>
      </w:r>
      <w:r w:rsidRPr="004F4940">
        <w:rPr>
          <w:szCs w:val="26"/>
        </w:rPr>
        <w:t xml:space="preserve"> </w:t>
      </w:r>
      <w:r w:rsidRPr="004F4940" w:rsidR="00EA324C">
        <w:rPr>
          <w:i/>
          <w:iCs/>
          <w:szCs w:val="26"/>
        </w:rPr>
        <w:t>Id</w:t>
      </w:r>
      <w:r w:rsidRPr="004F4940">
        <w:rPr>
          <w:szCs w:val="26"/>
        </w:rPr>
        <w:t xml:space="preserve">. </w:t>
      </w:r>
      <w:r w:rsidRPr="004F4940" w:rsidR="000A2959">
        <w:rPr>
          <w:szCs w:val="26"/>
        </w:rPr>
        <w:t>§ 8</w:t>
      </w:r>
      <w:r w:rsidRPr="004F4940">
        <w:rPr>
          <w:szCs w:val="26"/>
        </w:rPr>
        <w:t>24o(e).</w:t>
      </w:r>
    </w:p>
  </w:footnote>
  <w:footnote w:id="26">
    <w:p w:rsidR="00A31F36" w:rsidRPr="004F4940" w:rsidP="00710D39" w14:paraId="051A5648" w14:textId="23EF084B">
      <w:pPr>
        <w:pStyle w:val="FootnoteText"/>
        <w:rPr>
          <w:szCs w:val="26"/>
        </w:rPr>
      </w:pPr>
      <w:r w:rsidRPr="004F4940">
        <w:rPr>
          <w:rStyle w:val="FootnoteReference"/>
          <w:szCs w:val="26"/>
        </w:rPr>
        <w:footnoteRef/>
      </w:r>
      <w:r w:rsidRPr="004F4940">
        <w:rPr>
          <w:szCs w:val="26"/>
        </w:rPr>
        <w:t xml:space="preserve"> </w:t>
      </w:r>
      <w:r w:rsidRPr="00E14BCF" w:rsidR="00E20E34">
        <w:rPr>
          <w:i/>
          <w:iCs/>
          <w:szCs w:val="26"/>
        </w:rPr>
        <w:t>Rules Concerning Certification of the Elec</w:t>
      </w:r>
      <w:r w:rsidR="00E20E34">
        <w:rPr>
          <w:i/>
          <w:iCs/>
          <w:szCs w:val="26"/>
        </w:rPr>
        <w:t>.</w:t>
      </w:r>
      <w:r w:rsidRPr="00E14BCF" w:rsidR="00E20E34">
        <w:rPr>
          <w:i/>
          <w:iCs/>
          <w:szCs w:val="26"/>
        </w:rPr>
        <w:t xml:space="preserve"> Reliability Org</w:t>
      </w:r>
      <w:r w:rsidR="00E20E34">
        <w:rPr>
          <w:i/>
          <w:iCs/>
          <w:szCs w:val="26"/>
        </w:rPr>
        <w:t>.</w:t>
      </w:r>
      <w:r w:rsidRPr="00E14BCF" w:rsidR="00E20E34">
        <w:rPr>
          <w:i/>
          <w:iCs/>
          <w:szCs w:val="26"/>
        </w:rPr>
        <w:t xml:space="preserve">; </w:t>
      </w:r>
      <w:r w:rsidR="00E20E34">
        <w:rPr>
          <w:i/>
          <w:iCs/>
          <w:szCs w:val="26"/>
        </w:rPr>
        <w:t>&amp;</w:t>
      </w:r>
      <w:r w:rsidRPr="00E14BCF" w:rsidR="00E20E34">
        <w:rPr>
          <w:i/>
          <w:iCs/>
          <w:szCs w:val="26"/>
        </w:rPr>
        <w:t xml:space="preserve"> </w:t>
      </w:r>
      <w:r w:rsidRPr="00E14BCF" w:rsidR="00E20E34">
        <w:rPr>
          <w:i/>
          <w:iCs/>
          <w:szCs w:val="26"/>
        </w:rPr>
        <w:t>Procs</w:t>
      </w:r>
      <w:r w:rsidR="00E20E34">
        <w:rPr>
          <w:i/>
          <w:iCs/>
          <w:szCs w:val="26"/>
        </w:rPr>
        <w:t>.</w:t>
      </w:r>
      <w:r w:rsidRPr="00E14BCF" w:rsidR="00E20E34">
        <w:rPr>
          <w:i/>
          <w:iCs/>
          <w:szCs w:val="26"/>
        </w:rPr>
        <w:t xml:space="preserve"> for the Establishment, Approval, </w:t>
      </w:r>
      <w:r w:rsidR="00E20E34">
        <w:rPr>
          <w:i/>
          <w:iCs/>
          <w:szCs w:val="26"/>
        </w:rPr>
        <w:t>&amp;</w:t>
      </w:r>
      <w:r w:rsidRPr="00E14BCF" w:rsidR="00E20E34">
        <w:rPr>
          <w:i/>
          <w:iCs/>
          <w:szCs w:val="26"/>
        </w:rPr>
        <w:t xml:space="preserve"> Enforcement of Elec</w:t>
      </w:r>
      <w:r w:rsidR="00E20E34">
        <w:rPr>
          <w:i/>
          <w:iCs/>
          <w:szCs w:val="26"/>
        </w:rPr>
        <w:t>.</w:t>
      </w:r>
      <w:r w:rsidRPr="00E14BCF" w:rsidR="00E20E34">
        <w:rPr>
          <w:i/>
          <w:iCs/>
          <w:szCs w:val="26"/>
        </w:rPr>
        <w:t xml:space="preserve"> Reliability Standards</w:t>
      </w:r>
      <w:r w:rsidRPr="00E14BCF" w:rsidR="00E20E34">
        <w:rPr>
          <w:szCs w:val="26"/>
        </w:rPr>
        <w:t xml:space="preserve">, Order No. 672, 114 FERC ¶ 61,104, </w:t>
      </w:r>
      <w:r w:rsidRPr="00E14BCF" w:rsidR="00E20E34">
        <w:rPr>
          <w:i/>
          <w:iCs/>
          <w:szCs w:val="26"/>
        </w:rPr>
        <w:t>order on reh’g</w:t>
      </w:r>
      <w:r w:rsidRPr="00E14BCF" w:rsidR="00E20E34">
        <w:rPr>
          <w:szCs w:val="26"/>
        </w:rPr>
        <w:t>, Order No. 672-A,</w:t>
      </w:r>
      <w:r w:rsidRPr="00E14BCF" w:rsidR="00E20E34">
        <w:rPr>
          <w:szCs w:val="26"/>
        </w:rPr>
        <w:t xml:space="preserve"> </w:t>
      </w:r>
      <w:r w:rsidRPr="00E14BCF" w:rsidR="00E20E34">
        <w:rPr>
          <w:szCs w:val="26"/>
        </w:rPr>
        <w:t>114 FERC ¶ 61,328 (2006).</w:t>
      </w:r>
    </w:p>
  </w:footnote>
  <w:footnote w:id="27">
    <w:p w:rsidR="00A31F36" w:rsidRPr="004F4940" w:rsidP="00710D39" w14:paraId="5E6CBC14" w14:textId="5AD8BA56">
      <w:pPr>
        <w:pStyle w:val="FootnoteText"/>
        <w:rPr>
          <w:szCs w:val="26"/>
        </w:rPr>
      </w:pPr>
      <w:r w:rsidRPr="004F4940">
        <w:rPr>
          <w:rStyle w:val="FootnoteReference"/>
          <w:szCs w:val="26"/>
        </w:rPr>
        <w:footnoteRef/>
      </w:r>
      <w:r w:rsidRPr="004F4940">
        <w:rPr>
          <w:szCs w:val="26"/>
        </w:rPr>
        <w:t xml:space="preserve"> </w:t>
      </w:r>
      <w:r w:rsidRPr="00E14BCF" w:rsidR="00BA0571">
        <w:rPr>
          <w:rStyle w:val="FootnoteReference"/>
          <w:szCs w:val="26"/>
        </w:rPr>
        <w:footnoteRef/>
      </w:r>
      <w:r w:rsidRPr="00E14BCF" w:rsidR="00BA0571">
        <w:rPr>
          <w:szCs w:val="26"/>
        </w:rPr>
        <w:t xml:space="preserve"> </w:t>
      </w:r>
      <w:r w:rsidRPr="00E14BCF" w:rsidR="00BA0571">
        <w:rPr>
          <w:i/>
          <w:iCs/>
          <w:szCs w:val="26"/>
        </w:rPr>
        <w:t>N</w:t>
      </w:r>
      <w:r w:rsidR="00BA0571">
        <w:rPr>
          <w:i/>
          <w:iCs/>
          <w:szCs w:val="26"/>
        </w:rPr>
        <w:t>.</w:t>
      </w:r>
      <w:r w:rsidRPr="00E14BCF" w:rsidR="00BA0571">
        <w:rPr>
          <w:i/>
          <w:iCs/>
          <w:szCs w:val="26"/>
        </w:rPr>
        <w:t xml:space="preserve"> Am</w:t>
      </w:r>
      <w:r w:rsidR="00BA0571">
        <w:rPr>
          <w:i/>
          <w:iCs/>
          <w:szCs w:val="26"/>
        </w:rPr>
        <w:t>.</w:t>
      </w:r>
      <w:r w:rsidRPr="00E14BCF" w:rsidR="00BA0571">
        <w:rPr>
          <w:i/>
          <w:iCs/>
          <w:szCs w:val="26"/>
        </w:rPr>
        <w:t xml:space="preserve"> Elec</w:t>
      </w:r>
      <w:r w:rsidR="00BA0571">
        <w:rPr>
          <w:i/>
          <w:iCs/>
          <w:szCs w:val="26"/>
        </w:rPr>
        <w:t>.</w:t>
      </w:r>
      <w:r w:rsidRPr="00E14BCF" w:rsidR="00BA0571">
        <w:rPr>
          <w:i/>
          <w:iCs/>
          <w:szCs w:val="26"/>
        </w:rPr>
        <w:t xml:space="preserve"> Reliability Corp.</w:t>
      </w:r>
      <w:r w:rsidRPr="00E14BCF" w:rsidR="00BA0571">
        <w:rPr>
          <w:szCs w:val="26"/>
        </w:rPr>
        <w:t xml:space="preserve">, 116 FERC ¶ 61,062, </w:t>
      </w:r>
      <w:r w:rsidRPr="00E14BCF" w:rsidR="00BA0571">
        <w:rPr>
          <w:i/>
          <w:iCs/>
          <w:szCs w:val="26"/>
        </w:rPr>
        <w:t>order on reh’g and compliance</w:t>
      </w:r>
      <w:r w:rsidRPr="00E14BCF" w:rsidR="00BA0571">
        <w:rPr>
          <w:szCs w:val="26"/>
        </w:rPr>
        <w:t xml:space="preserve">, 117 FERC ¶ 61,126 (2006), </w:t>
      </w:r>
      <w:r w:rsidRPr="00E14BCF" w:rsidR="00BA0571">
        <w:rPr>
          <w:i/>
          <w:iCs/>
          <w:szCs w:val="26"/>
        </w:rPr>
        <w:t>aff’d sub nom. Alcoa, Inc. v. FERC</w:t>
      </w:r>
      <w:r w:rsidRPr="00E14BCF" w:rsidR="00BA0571">
        <w:rPr>
          <w:szCs w:val="26"/>
        </w:rPr>
        <w:t>,</w:t>
      </w:r>
      <w:r w:rsidRPr="00E14BCF" w:rsidR="00BA0571">
        <w:rPr>
          <w:szCs w:val="26"/>
        </w:rPr>
        <w:t xml:space="preserve"> </w:t>
      </w:r>
      <w:r w:rsidRPr="00E14BCF" w:rsidR="00BA0571">
        <w:rPr>
          <w:szCs w:val="26"/>
        </w:rPr>
        <w:t>564 F.3d 1342 (D.C. Cir. 2009).</w:t>
      </w:r>
    </w:p>
  </w:footnote>
  <w:footnote w:id="28">
    <w:p w:rsidR="00DD13AD" w:rsidRPr="004F4940" w:rsidP="00710D39" w14:paraId="0C7846C0" w14:textId="10472EB9">
      <w:pPr>
        <w:pStyle w:val="FootnoteText"/>
        <w:rPr>
          <w:szCs w:val="26"/>
        </w:rPr>
      </w:pPr>
      <w:r w:rsidRPr="004F4940">
        <w:rPr>
          <w:rStyle w:val="FootnoteReference"/>
          <w:szCs w:val="26"/>
        </w:rPr>
        <w:footnoteRef/>
      </w:r>
      <w:r w:rsidRPr="004F4940" w:rsidR="00C323DA">
        <w:rPr>
          <w:szCs w:val="26"/>
        </w:rPr>
        <w:t xml:space="preserve"> </w:t>
      </w:r>
      <w:r w:rsidRPr="004F4940" w:rsidR="00C323DA">
        <w:rPr>
          <w:i/>
          <w:iCs/>
          <w:szCs w:val="26"/>
        </w:rPr>
        <w:t>See</w:t>
      </w:r>
      <w:r w:rsidRPr="004F4940" w:rsidR="00C323DA">
        <w:rPr>
          <w:iCs/>
          <w:szCs w:val="26"/>
        </w:rPr>
        <w:t xml:space="preserve"> </w:t>
      </w:r>
      <w:r w:rsidRPr="004F4940" w:rsidR="00FD06F3">
        <w:rPr>
          <w:szCs w:val="26"/>
        </w:rPr>
        <w:t>November 2021 Report</w:t>
      </w:r>
      <w:r w:rsidRPr="004F4940" w:rsidR="00C323DA">
        <w:rPr>
          <w:szCs w:val="26"/>
        </w:rPr>
        <w:t xml:space="preserve"> </w:t>
      </w:r>
      <w:r w:rsidRPr="004F4940" w:rsidR="00C323DA">
        <w:rPr>
          <w:iCs/>
          <w:szCs w:val="26"/>
        </w:rPr>
        <w:t>at 9</w:t>
      </w:r>
      <w:r w:rsidRPr="004F4940" w:rsidR="00C323DA">
        <w:rPr>
          <w:szCs w:val="26"/>
        </w:rPr>
        <w:t>.</w:t>
      </w:r>
    </w:p>
  </w:footnote>
  <w:footnote w:id="29">
    <w:p w:rsidR="00C323DA" w:rsidRPr="004F4940" w:rsidP="00710D39" w14:paraId="7D3EF469" w14:textId="20E4C8E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szCs w:val="26"/>
        </w:rPr>
        <w:t>.</w:t>
      </w:r>
    </w:p>
  </w:footnote>
  <w:footnote w:id="30">
    <w:p w:rsidR="00C323DA" w:rsidRPr="004F4940" w:rsidP="00710D39" w14:paraId="733356FA" w14:textId="03FBF8F3">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szCs w:val="26"/>
        </w:rPr>
        <w:t>. at 184-212 (sub-recommendations 1a through 1j).</w:t>
      </w:r>
    </w:p>
  </w:footnote>
  <w:footnote w:id="31">
    <w:p w:rsidR="009225F6" w:rsidRPr="004F4940" w:rsidP="00710D39" w14:paraId="139CB853" w14:textId="3D0DE666">
      <w:pPr>
        <w:pStyle w:val="FootnoteText"/>
        <w:rPr>
          <w:szCs w:val="26"/>
        </w:rPr>
      </w:pPr>
      <w:r w:rsidRPr="004F4940">
        <w:rPr>
          <w:rStyle w:val="FootnoteReference"/>
          <w:szCs w:val="26"/>
        </w:rPr>
        <w:footnoteRef/>
      </w:r>
      <w:r w:rsidRPr="004F4940" w:rsidR="00070152">
        <w:rPr>
          <w:szCs w:val="26"/>
        </w:rPr>
        <w:t xml:space="preserve"> </w:t>
      </w:r>
      <w:r w:rsidRPr="004F4940" w:rsidR="0013253A">
        <w:rPr>
          <w:szCs w:val="26"/>
        </w:rPr>
        <w:t xml:space="preserve">2019 </w:t>
      </w:r>
      <w:r w:rsidRPr="004F4940" w:rsidR="00070152">
        <w:rPr>
          <w:szCs w:val="26"/>
        </w:rPr>
        <w:t xml:space="preserve">South Central </w:t>
      </w:r>
      <w:r w:rsidRPr="004F4940" w:rsidR="0013253A">
        <w:rPr>
          <w:szCs w:val="26"/>
        </w:rPr>
        <w:t>Event Report</w:t>
      </w:r>
      <w:r w:rsidRPr="004F4940" w:rsidR="00070152">
        <w:rPr>
          <w:szCs w:val="26"/>
        </w:rPr>
        <w:t xml:space="preserve"> at 89</w:t>
      </w:r>
      <w:r w:rsidRPr="004F4940" w:rsidR="0013253A">
        <w:rPr>
          <w:szCs w:val="26"/>
        </w:rPr>
        <w:t>.</w:t>
      </w:r>
    </w:p>
  </w:footnote>
  <w:footnote w:id="32">
    <w:p w:rsidR="00070152" w:rsidRPr="004F4940" w:rsidP="00710D39" w14:paraId="7E57F33C" w14:textId="7DE0578B">
      <w:pPr>
        <w:pStyle w:val="FootnoteText"/>
        <w:rPr>
          <w:szCs w:val="26"/>
        </w:rPr>
      </w:pPr>
      <w:r w:rsidRPr="004F4940">
        <w:rPr>
          <w:rStyle w:val="FootnoteReference"/>
          <w:szCs w:val="26"/>
        </w:rPr>
        <w:footnoteRef/>
      </w:r>
      <w:r w:rsidRPr="004F4940" w:rsidR="00F5326F">
        <w:rPr>
          <w:szCs w:val="26"/>
        </w:rPr>
        <w:t xml:space="preserve"> </w:t>
      </w:r>
      <w:r w:rsidRPr="004F4940" w:rsidR="00F5326F">
        <w:rPr>
          <w:i/>
          <w:iCs/>
          <w:szCs w:val="26"/>
        </w:rPr>
        <w:t>See generally Order Approving Cold Weather Reliability Standards</w:t>
      </w:r>
      <w:r w:rsidRPr="004F4940" w:rsidR="00F5326F">
        <w:rPr>
          <w:szCs w:val="26"/>
        </w:rPr>
        <w:t xml:space="preserve">, 176 FERC </w:t>
      </w:r>
      <w:r w:rsidRPr="004F4940" w:rsidR="000A2959">
        <w:rPr>
          <w:szCs w:val="26"/>
        </w:rPr>
        <w:t>¶ 6</w:t>
      </w:r>
      <w:r w:rsidRPr="004F4940" w:rsidR="00F5326F">
        <w:rPr>
          <w:szCs w:val="26"/>
        </w:rPr>
        <w:t>1,119 (2021) (</w:t>
      </w:r>
      <w:r w:rsidRPr="004F4940" w:rsidR="009F11FC">
        <w:rPr>
          <w:szCs w:val="26"/>
        </w:rPr>
        <w:t>noting</w:t>
      </w:r>
      <w:r w:rsidRPr="004F4940" w:rsidR="00F5326F">
        <w:rPr>
          <w:szCs w:val="26"/>
        </w:rPr>
        <w:t xml:space="preserve"> that the standards be</w:t>
      </w:r>
      <w:r w:rsidRPr="004F4940" w:rsidR="00C833DA">
        <w:rPr>
          <w:szCs w:val="26"/>
        </w:rPr>
        <w:t>come</w:t>
      </w:r>
      <w:r w:rsidRPr="004F4940" w:rsidR="00F5326F">
        <w:rPr>
          <w:szCs w:val="26"/>
        </w:rPr>
        <w:t xml:space="preserve"> enforceable </w:t>
      </w:r>
      <w:r w:rsidRPr="004F4940" w:rsidR="005A64CD">
        <w:rPr>
          <w:szCs w:val="26"/>
        </w:rPr>
        <w:t>on</w:t>
      </w:r>
      <w:r w:rsidRPr="004F4940" w:rsidR="00F5326F">
        <w:rPr>
          <w:szCs w:val="26"/>
        </w:rPr>
        <w:t xml:space="preserve"> April 1, 2023).</w:t>
      </w:r>
    </w:p>
  </w:footnote>
  <w:footnote w:id="33">
    <w:p w:rsidR="00F5326F" w:rsidRPr="004F4940" w:rsidP="00710D39" w14:paraId="0F1B2FA6" w14:textId="228B764B">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p>
  </w:footnote>
  <w:footnote w:id="34">
    <w:p w:rsidR="0050233B" w:rsidRPr="004F4940" w14:paraId="20FFA7AF" w14:textId="5B45EC64">
      <w:pPr>
        <w:pStyle w:val="FootnoteText"/>
      </w:pPr>
      <w:r w:rsidRPr="004F4940">
        <w:rPr>
          <w:rStyle w:val="FootnoteReference"/>
        </w:rPr>
        <w:footnoteRef/>
      </w:r>
      <w:r w:rsidRPr="004F4940">
        <w:t xml:space="preserve"> </w:t>
      </w:r>
      <w:r w:rsidRPr="004F4940">
        <w:rPr>
          <w:i/>
          <w:iCs/>
        </w:rPr>
        <w:t>Id</w:t>
      </w:r>
      <w:r w:rsidRPr="004F4940">
        <w:rPr>
          <w:i/>
        </w:rPr>
        <w:t>.</w:t>
      </w:r>
    </w:p>
  </w:footnote>
  <w:footnote w:id="35">
    <w:p w:rsidR="00DC42CF" w:rsidRPr="004F4940" w:rsidP="00710D39" w14:paraId="0AD096C8" w14:textId="248AADAB">
      <w:pPr>
        <w:pStyle w:val="FootnoteText"/>
        <w:rPr>
          <w:szCs w:val="26"/>
        </w:rPr>
      </w:pPr>
      <w:r w:rsidRPr="004F4940">
        <w:rPr>
          <w:rStyle w:val="FootnoteReference"/>
          <w:szCs w:val="26"/>
        </w:rPr>
        <w:footnoteRef/>
      </w:r>
      <w:r w:rsidRPr="004F4940">
        <w:rPr>
          <w:szCs w:val="26"/>
        </w:rPr>
        <w:t xml:space="preserve"> NERC Petition at 1-2.</w:t>
      </w:r>
    </w:p>
  </w:footnote>
  <w:footnote w:id="36">
    <w:p w:rsidR="006D48A9" w:rsidRPr="004F4940" w:rsidP="00710D39" w14:paraId="7F351E97" w14:textId="77353DD4">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p>
  </w:footnote>
  <w:footnote w:id="37">
    <w:p w:rsidR="005E7F94" w:rsidRPr="004F4940" w:rsidP="00710D39" w14:paraId="33E37FF1" w14:textId="5091DD82">
      <w:pPr>
        <w:pStyle w:val="FootnoteText"/>
        <w:rPr>
          <w:szCs w:val="26"/>
        </w:rPr>
      </w:pPr>
      <w:r w:rsidRPr="004F4940">
        <w:rPr>
          <w:rStyle w:val="FootnoteReference"/>
          <w:szCs w:val="26"/>
        </w:rPr>
        <w:footnoteRef/>
      </w:r>
      <w:r w:rsidRPr="004F4940" w:rsidR="006D48A9">
        <w:rPr>
          <w:szCs w:val="26"/>
        </w:rPr>
        <w:t xml:space="preserve"> </w:t>
      </w:r>
      <w:r w:rsidRPr="004F4940" w:rsidR="00EA324C">
        <w:rPr>
          <w:i/>
          <w:iCs/>
          <w:szCs w:val="26"/>
        </w:rPr>
        <w:t>Id</w:t>
      </w:r>
      <w:r w:rsidRPr="004F4940" w:rsidR="00EA324C">
        <w:rPr>
          <w:i/>
          <w:szCs w:val="26"/>
        </w:rPr>
        <w:t>.</w:t>
      </w:r>
      <w:r w:rsidRPr="004F4940" w:rsidR="006D48A9">
        <w:rPr>
          <w:szCs w:val="26"/>
        </w:rPr>
        <w:t xml:space="preserve"> at 23; </w:t>
      </w:r>
      <w:r w:rsidRPr="004F4940" w:rsidR="006D48A9">
        <w:rPr>
          <w:i/>
          <w:iCs/>
          <w:szCs w:val="26"/>
        </w:rPr>
        <w:t>see also</w:t>
      </w:r>
      <w:r w:rsidRPr="004F4940" w:rsidR="006D48A9">
        <w:rPr>
          <w:szCs w:val="26"/>
        </w:rPr>
        <w:t xml:space="preserve"> November 2021 Report at 184-92, 208-10</w:t>
      </w:r>
      <w:r w:rsidRPr="004F4940" w:rsidR="00093E53">
        <w:rPr>
          <w:szCs w:val="26"/>
        </w:rPr>
        <w:t xml:space="preserve"> (Key Recommendations 1b, 1d, 1e, 1f, and 1j)</w:t>
      </w:r>
      <w:r w:rsidRPr="004F4940" w:rsidR="006D48A9">
        <w:rPr>
          <w:szCs w:val="26"/>
        </w:rPr>
        <w:t>.</w:t>
      </w:r>
    </w:p>
  </w:footnote>
  <w:footnote w:id="38">
    <w:p w:rsidR="00501403" w:rsidRPr="004F4940" w:rsidP="00710D39" w14:paraId="39B00868" w14:textId="77777777">
      <w:pPr>
        <w:pStyle w:val="FootnoteText"/>
        <w:rPr>
          <w:szCs w:val="26"/>
        </w:rPr>
      </w:pPr>
      <w:r w:rsidRPr="004F4940">
        <w:rPr>
          <w:rStyle w:val="FootnoteReference"/>
          <w:szCs w:val="26"/>
        </w:rPr>
        <w:footnoteRef/>
      </w:r>
      <w:r w:rsidRPr="004F4940">
        <w:rPr>
          <w:szCs w:val="26"/>
        </w:rPr>
        <w:t xml:space="preserve"> NERC Petition at 23</w:t>
      </w:r>
      <w:r w:rsidRPr="004F4940" w:rsidR="00674DFB">
        <w:rPr>
          <w:szCs w:val="26"/>
        </w:rPr>
        <w:t>.</w:t>
      </w:r>
    </w:p>
  </w:footnote>
  <w:footnote w:id="39">
    <w:p w:rsidR="0045218A" w:rsidRPr="004F4940" w:rsidP="00710D39" w14:paraId="313F5F0A" w14:textId="41001CE0">
      <w:pPr>
        <w:pStyle w:val="FootnoteText"/>
        <w:rPr>
          <w:szCs w:val="26"/>
        </w:rPr>
      </w:pPr>
      <w:r w:rsidRPr="004F4940">
        <w:rPr>
          <w:rStyle w:val="FootnoteReference"/>
          <w:szCs w:val="26"/>
        </w:rPr>
        <w:footnoteRef/>
      </w:r>
      <w:r w:rsidRPr="004F4940">
        <w:rPr>
          <w:szCs w:val="26"/>
        </w:rPr>
        <w:t xml:space="preserve"> </w:t>
      </w:r>
      <w:r w:rsidRPr="004F4940">
        <w:rPr>
          <w:i/>
          <w:szCs w:val="26"/>
        </w:rPr>
        <w:t>See</w:t>
      </w:r>
      <w:r w:rsidRPr="004F4940">
        <w:rPr>
          <w:szCs w:val="26"/>
        </w:rPr>
        <w:t xml:space="preserve"> </w:t>
      </w:r>
      <w:r w:rsidRPr="004F4940" w:rsidR="009B329E">
        <w:rPr>
          <w:i/>
          <w:szCs w:val="26"/>
        </w:rPr>
        <w:t>id</w:t>
      </w:r>
      <w:r w:rsidRPr="004F4940" w:rsidR="005253DE">
        <w:rPr>
          <w:i/>
          <w:szCs w:val="26"/>
        </w:rPr>
        <w:t>.</w:t>
      </w:r>
      <w:r w:rsidRPr="004F4940" w:rsidR="005253DE">
        <w:rPr>
          <w:iCs/>
          <w:szCs w:val="26"/>
        </w:rPr>
        <w:t xml:space="preserve"> </w:t>
      </w:r>
      <w:r w:rsidRPr="004F4940" w:rsidR="009B329E">
        <w:rPr>
          <w:szCs w:val="26"/>
        </w:rPr>
        <w:t>at</w:t>
      </w:r>
      <w:r w:rsidRPr="004F4940" w:rsidR="00B847B1">
        <w:rPr>
          <w:szCs w:val="26"/>
        </w:rPr>
        <w:t xml:space="preserve"> </w:t>
      </w:r>
      <w:r w:rsidRPr="004F4940" w:rsidR="004E5F79">
        <w:rPr>
          <w:szCs w:val="26"/>
        </w:rPr>
        <w:t>20</w:t>
      </w:r>
      <w:r w:rsidRPr="004F4940" w:rsidR="009B329E">
        <w:rPr>
          <w:szCs w:val="26"/>
        </w:rPr>
        <w:t xml:space="preserve"> (</w:t>
      </w:r>
      <w:r w:rsidRPr="004F4940" w:rsidR="00B847B1">
        <w:rPr>
          <w:szCs w:val="26"/>
        </w:rPr>
        <w:t xml:space="preserve">citing </w:t>
      </w:r>
      <w:r w:rsidRPr="004F4940" w:rsidR="00127610">
        <w:rPr>
          <w:szCs w:val="26"/>
        </w:rPr>
        <w:t xml:space="preserve">the </w:t>
      </w:r>
      <w:r w:rsidRPr="004F4940">
        <w:rPr>
          <w:szCs w:val="26"/>
        </w:rPr>
        <w:t xml:space="preserve">November 2021 Report at 208-10 (recommending </w:t>
      </w:r>
      <w:r w:rsidRPr="004F4940" w:rsidR="00357E49">
        <w:rPr>
          <w:szCs w:val="26"/>
        </w:rPr>
        <w:t>that transmission operators use automatic load shed as a last resort)</w:t>
      </w:r>
      <w:r w:rsidRPr="004F4940" w:rsidR="009B329E">
        <w:rPr>
          <w:szCs w:val="26"/>
        </w:rPr>
        <w:t>)</w:t>
      </w:r>
      <w:r w:rsidRPr="004F4940" w:rsidR="00357E49">
        <w:rPr>
          <w:szCs w:val="26"/>
        </w:rPr>
        <w:t>.</w:t>
      </w:r>
    </w:p>
  </w:footnote>
  <w:footnote w:id="40">
    <w:p w:rsidR="00CF1645" w:rsidRPr="004F4940" w:rsidP="00710D39" w14:paraId="672DD3A1" w14:textId="3478EA5D">
      <w:pPr>
        <w:pStyle w:val="FootnoteText"/>
        <w:rPr>
          <w:szCs w:val="26"/>
        </w:rPr>
      </w:pPr>
      <w:r w:rsidRPr="004F4940">
        <w:rPr>
          <w:rStyle w:val="FootnoteReference"/>
          <w:szCs w:val="26"/>
        </w:rPr>
        <w:footnoteRef/>
      </w:r>
      <w:r w:rsidRPr="004F4940">
        <w:rPr>
          <w:szCs w:val="26"/>
        </w:rPr>
        <w:t xml:space="preserve"> Reliability </w:t>
      </w:r>
      <w:r w:rsidRPr="004F4940" w:rsidR="00CA3FBF">
        <w:rPr>
          <w:szCs w:val="26"/>
        </w:rPr>
        <w:t>Standard EOP-011-3, R</w:t>
      </w:r>
      <w:r w:rsidRPr="004F4940" w:rsidR="00EB3A00">
        <w:rPr>
          <w:szCs w:val="26"/>
        </w:rPr>
        <w:t>equirements R3, R4, and R5 are unchanged</w:t>
      </w:r>
      <w:r w:rsidRPr="004F4940" w:rsidR="00CA3FBF">
        <w:rPr>
          <w:szCs w:val="26"/>
        </w:rPr>
        <w:t xml:space="preserve"> from the approved </w:t>
      </w:r>
      <w:r w:rsidRPr="004F4940" w:rsidR="00BE3AA2">
        <w:rPr>
          <w:szCs w:val="26"/>
        </w:rPr>
        <w:t>version</w:t>
      </w:r>
      <w:r w:rsidRPr="004F4940" w:rsidR="00EB3A00">
        <w:rPr>
          <w:szCs w:val="26"/>
        </w:rPr>
        <w:t>.</w:t>
      </w:r>
      <w:r w:rsidRPr="004F4940" w:rsidR="00BE3AA2">
        <w:rPr>
          <w:i/>
          <w:iCs/>
          <w:szCs w:val="26"/>
        </w:rPr>
        <w:t xml:space="preserve"> </w:t>
      </w:r>
      <w:r w:rsidRPr="004F4940">
        <w:rPr>
          <w:i/>
          <w:iCs/>
          <w:szCs w:val="26"/>
        </w:rPr>
        <w:t xml:space="preserve"> </w:t>
      </w:r>
      <w:r w:rsidRPr="004F4940">
        <w:rPr>
          <w:i/>
          <w:iCs/>
          <w:szCs w:val="26"/>
        </w:rPr>
        <w:t>See Order Approving Cold Weather Reliability Standards</w:t>
      </w:r>
      <w:r w:rsidRPr="004F4940">
        <w:rPr>
          <w:szCs w:val="26"/>
        </w:rPr>
        <w:t>,</w:t>
      </w:r>
      <w:r w:rsidRPr="004F4940">
        <w:rPr>
          <w:iCs/>
          <w:szCs w:val="26"/>
        </w:rPr>
        <w:t xml:space="preserve"> </w:t>
      </w:r>
      <w:r w:rsidRPr="004F4940">
        <w:rPr>
          <w:szCs w:val="26"/>
        </w:rPr>
        <w:t xml:space="preserve">176 FERC </w:t>
      </w:r>
      <w:r w:rsidRPr="004F4940" w:rsidR="000A2959">
        <w:rPr>
          <w:szCs w:val="26"/>
        </w:rPr>
        <w:t>¶</w:t>
      </w:r>
      <w:r w:rsidRPr="004F4940" w:rsidR="000A2959">
        <w:rPr>
          <w:szCs w:val="26"/>
        </w:rPr>
        <w:t> </w:t>
      </w:r>
      <w:r w:rsidRPr="004F4940" w:rsidR="000A2959">
        <w:rPr>
          <w:szCs w:val="26"/>
        </w:rPr>
        <w:t>6</w:t>
      </w:r>
      <w:r w:rsidRPr="004F4940">
        <w:rPr>
          <w:szCs w:val="26"/>
        </w:rPr>
        <w:t>1,119 (approving EOP-011-2).</w:t>
      </w:r>
    </w:p>
  </w:footnote>
  <w:footnote w:id="41">
    <w:p w:rsidR="00E07471" w:rsidRPr="004F4940" w:rsidP="00710D39" w14:paraId="641CAEE3" w14:textId="77777777">
      <w:pPr>
        <w:pStyle w:val="FootnoteText"/>
        <w:rPr>
          <w:szCs w:val="26"/>
        </w:rPr>
      </w:pPr>
      <w:r w:rsidRPr="004F4940">
        <w:rPr>
          <w:rStyle w:val="FootnoteReference"/>
          <w:szCs w:val="26"/>
        </w:rPr>
        <w:footnoteRef/>
      </w:r>
      <w:r w:rsidRPr="004F4940">
        <w:rPr>
          <w:szCs w:val="26"/>
        </w:rPr>
        <w:t xml:space="preserve"> </w:t>
      </w:r>
      <w:r w:rsidRPr="004F4940" w:rsidR="00405D15">
        <w:rPr>
          <w:i/>
          <w:iCs/>
          <w:szCs w:val="26"/>
        </w:rPr>
        <w:t>Id</w:t>
      </w:r>
      <w:r w:rsidRPr="004F4940" w:rsidR="00405D15">
        <w:rPr>
          <w:i/>
          <w:szCs w:val="26"/>
        </w:rPr>
        <w:t>.</w:t>
      </w:r>
      <w:r w:rsidRPr="004F4940" w:rsidR="00405D15">
        <w:rPr>
          <w:szCs w:val="26"/>
        </w:rPr>
        <w:t>;</w:t>
      </w:r>
      <w:r w:rsidRPr="004F4940" w:rsidR="00405D15">
        <w:rPr>
          <w:iCs/>
          <w:szCs w:val="26"/>
        </w:rPr>
        <w:t xml:space="preserve"> </w:t>
      </w:r>
      <w:r w:rsidRPr="004F4940">
        <w:rPr>
          <w:szCs w:val="26"/>
        </w:rPr>
        <w:t>NERC Petition at 4</w:t>
      </w:r>
      <w:r w:rsidRPr="004F4940" w:rsidR="0061127E">
        <w:rPr>
          <w:szCs w:val="26"/>
        </w:rPr>
        <w:t>5-4</w:t>
      </w:r>
      <w:r w:rsidRPr="004F4940">
        <w:rPr>
          <w:szCs w:val="26"/>
        </w:rPr>
        <w:t>6</w:t>
      </w:r>
      <w:r w:rsidRPr="004F4940" w:rsidR="00405D15">
        <w:rPr>
          <w:szCs w:val="26"/>
        </w:rPr>
        <w:t>.</w:t>
      </w:r>
    </w:p>
  </w:footnote>
  <w:footnote w:id="42">
    <w:p w:rsidR="007558C7" w:rsidRPr="004F4940" w:rsidP="00710D39" w14:paraId="3B6E2DC8" w14:textId="77777777">
      <w:pPr>
        <w:pStyle w:val="FootnoteText"/>
        <w:rPr>
          <w:szCs w:val="26"/>
        </w:rPr>
      </w:pPr>
      <w:r w:rsidRPr="004F4940">
        <w:rPr>
          <w:rStyle w:val="FootnoteReference"/>
          <w:szCs w:val="26"/>
        </w:rPr>
        <w:footnoteRef/>
      </w:r>
      <w:r w:rsidRPr="004F4940" w:rsidR="00EE3F49">
        <w:rPr>
          <w:iCs/>
          <w:szCs w:val="26"/>
        </w:rPr>
        <w:t xml:space="preserve"> </w:t>
      </w:r>
      <w:r w:rsidRPr="004F4940" w:rsidR="00E52338">
        <w:rPr>
          <w:szCs w:val="26"/>
        </w:rPr>
        <w:t>NERC Petition</w:t>
      </w:r>
      <w:r w:rsidRPr="004F4940" w:rsidR="00EE3F49">
        <w:rPr>
          <w:szCs w:val="26"/>
        </w:rPr>
        <w:t xml:space="preserve"> at 46-49</w:t>
      </w:r>
      <w:r w:rsidRPr="004F4940" w:rsidR="00E11EFA">
        <w:rPr>
          <w:szCs w:val="26"/>
        </w:rPr>
        <w:t>.</w:t>
      </w:r>
    </w:p>
  </w:footnote>
  <w:footnote w:id="43">
    <w:p w:rsidR="00F07584" w:rsidRPr="004F4940" w:rsidP="00710D39" w14:paraId="0CDF1A0A"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Ex. A-1, at 2-3.</w:t>
      </w:r>
    </w:p>
  </w:footnote>
  <w:footnote w:id="44">
    <w:p w:rsidR="00EC79D1" w:rsidRPr="004F4940" w14:paraId="2FA9DD7B" w14:textId="1A34D518">
      <w:pPr>
        <w:pStyle w:val="FootnoteText"/>
      </w:pPr>
      <w:r w:rsidRPr="004F4940">
        <w:rPr>
          <w:rStyle w:val="FootnoteReference"/>
        </w:rPr>
        <w:footnoteRef/>
      </w:r>
      <w:r w:rsidRPr="004F4940">
        <w:t xml:space="preserve"> NERC Petition at 50.</w:t>
      </w:r>
    </w:p>
  </w:footnote>
  <w:footnote w:id="45">
    <w:p w:rsidR="00233FC5" w:rsidRPr="004F4940" w:rsidP="00710D39" w14:paraId="65F6B6F1" w14:textId="594C9FA9">
      <w:pPr>
        <w:pStyle w:val="FootnoteText"/>
        <w:rPr>
          <w:szCs w:val="26"/>
        </w:rPr>
      </w:pPr>
      <w:r w:rsidRPr="004F4940">
        <w:rPr>
          <w:rStyle w:val="FootnoteReference"/>
          <w:szCs w:val="26"/>
        </w:rPr>
        <w:footnoteRef/>
      </w:r>
      <w:r w:rsidRPr="004F4940" w:rsidR="00CC7CAD">
        <w:rPr>
          <w:szCs w:val="26"/>
        </w:rPr>
        <w:t xml:space="preserve"> </w:t>
      </w:r>
      <w:r w:rsidRPr="004F4940" w:rsidR="00EC79D1">
        <w:rPr>
          <w:i/>
          <w:iCs/>
          <w:szCs w:val="26"/>
        </w:rPr>
        <w:t>Id.</w:t>
      </w:r>
      <w:r w:rsidRPr="004F4940" w:rsidR="00CC7CAD">
        <w:rPr>
          <w:szCs w:val="26"/>
        </w:rPr>
        <w:t xml:space="preserve"> at 29.</w:t>
      </w:r>
    </w:p>
  </w:footnote>
  <w:footnote w:id="46">
    <w:p w:rsidR="00233FC5" w:rsidRPr="004F4940" w:rsidP="00710D39" w14:paraId="44D51610" w14:textId="24122094">
      <w:pPr>
        <w:pStyle w:val="FootnoteText"/>
        <w:rPr>
          <w:i/>
          <w:iCs/>
          <w:szCs w:val="26"/>
        </w:rPr>
      </w:pPr>
      <w:r w:rsidRPr="004F4940">
        <w:rPr>
          <w:rStyle w:val="FootnoteReference"/>
          <w:szCs w:val="26"/>
        </w:rPr>
        <w:footnoteRef/>
      </w:r>
      <w:r w:rsidRPr="004F4940" w:rsidR="47D9F2F1">
        <w:rPr>
          <w:szCs w:val="26"/>
        </w:rPr>
        <w:t xml:space="preserve"> </w:t>
      </w:r>
      <w:r w:rsidRPr="004F4940" w:rsidR="47D9F2F1">
        <w:rPr>
          <w:i/>
          <w:iCs/>
          <w:szCs w:val="26"/>
        </w:rPr>
        <w:t>See</w:t>
      </w:r>
      <w:r w:rsidRPr="004F4940" w:rsidR="47D9F2F1">
        <w:rPr>
          <w:szCs w:val="26"/>
        </w:rPr>
        <w:t xml:space="preserve"> </w:t>
      </w:r>
      <w:r w:rsidRPr="004F4940" w:rsidR="00127610">
        <w:rPr>
          <w:i/>
          <w:iCs/>
          <w:szCs w:val="26"/>
        </w:rPr>
        <w:t>id</w:t>
      </w:r>
      <w:r w:rsidRPr="004F4940" w:rsidR="00127610">
        <w:rPr>
          <w:i/>
          <w:szCs w:val="26"/>
        </w:rPr>
        <w:t>.</w:t>
      </w:r>
      <w:r w:rsidRPr="004F4940" w:rsidR="00CC1E0F">
        <w:rPr>
          <w:szCs w:val="26"/>
        </w:rPr>
        <w:t xml:space="preserve"> at </w:t>
      </w:r>
      <w:r w:rsidRPr="004F4940" w:rsidR="00C32E4E">
        <w:rPr>
          <w:szCs w:val="26"/>
        </w:rPr>
        <w:t>17-18</w:t>
      </w:r>
      <w:r w:rsidRPr="004F4940" w:rsidR="00127610">
        <w:rPr>
          <w:szCs w:val="26"/>
        </w:rPr>
        <w:t xml:space="preserve"> (</w:t>
      </w:r>
      <w:r w:rsidRPr="004F4940" w:rsidR="00CC1E0F">
        <w:rPr>
          <w:szCs w:val="26"/>
        </w:rPr>
        <w:t xml:space="preserve">citing </w:t>
      </w:r>
      <w:r w:rsidRPr="004F4940" w:rsidR="00127610">
        <w:rPr>
          <w:szCs w:val="26"/>
        </w:rPr>
        <w:t xml:space="preserve">the </w:t>
      </w:r>
      <w:r w:rsidRPr="004F4940" w:rsidR="47D9F2F1">
        <w:rPr>
          <w:szCs w:val="26"/>
        </w:rPr>
        <w:t>November 2021 Report at 184-</w:t>
      </w:r>
      <w:r w:rsidRPr="004F4940" w:rsidR="00DC407A">
        <w:rPr>
          <w:szCs w:val="26"/>
        </w:rPr>
        <w:t>89</w:t>
      </w:r>
      <w:r w:rsidRPr="004F4940" w:rsidR="00127610">
        <w:rPr>
          <w:szCs w:val="26"/>
        </w:rPr>
        <w:t>)</w:t>
      </w:r>
      <w:r w:rsidRPr="004F4940" w:rsidR="00F3402E">
        <w:rPr>
          <w:szCs w:val="26"/>
        </w:rPr>
        <w:t>.</w:t>
      </w:r>
    </w:p>
  </w:footnote>
  <w:footnote w:id="47">
    <w:p w:rsidR="00FF22DD" w:rsidRPr="004F4940" w:rsidP="00710D39" w14:paraId="7C02E567"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33-37.</w:t>
      </w:r>
    </w:p>
  </w:footnote>
  <w:footnote w:id="48">
    <w:p w:rsidR="006859F9" w:rsidRPr="004F4940" w14:paraId="16279862" w14:textId="723C5ED2">
      <w:pPr>
        <w:pStyle w:val="FootnoteText"/>
        <w:rPr>
          <w:szCs w:val="26"/>
        </w:rPr>
      </w:pPr>
      <w:r w:rsidRPr="004F4940">
        <w:rPr>
          <w:rStyle w:val="FootnoteReference"/>
          <w:szCs w:val="26"/>
        </w:rPr>
        <w:footnoteRef/>
      </w:r>
      <w:r w:rsidRPr="004F4940">
        <w:rPr>
          <w:szCs w:val="26"/>
        </w:rPr>
        <w:t xml:space="preserve"> </w:t>
      </w:r>
      <w:r w:rsidRPr="004F4940" w:rsidR="003502E4">
        <w:rPr>
          <w:szCs w:val="26"/>
        </w:rPr>
        <w:t xml:space="preserve">NERC defines the term </w:t>
      </w:r>
      <w:r w:rsidRPr="004F4940" w:rsidR="00A55B8B">
        <w:rPr>
          <w:szCs w:val="26"/>
        </w:rPr>
        <w:t>“</w:t>
      </w:r>
      <w:r w:rsidRPr="004F4940" w:rsidR="00C75743">
        <w:rPr>
          <w:szCs w:val="26"/>
        </w:rPr>
        <w:t>c</w:t>
      </w:r>
      <w:r w:rsidRPr="004F4940" w:rsidR="003502E4">
        <w:rPr>
          <w:szCs w:val="26"/>
        </w:rPr>
        <w:t xml:space="preserve">orrective </w:t>
      </w:r>
      <w:r w:rsidRPr="004F4940" w:rsidR="00C75743">
        <w:rPr>
          <w:szCs w:val="26"/>
        </w:rPr>
        <w:t>a</w:t>
      </w:r>
      <w:r w:rsidRPr="004F4940" w:rsidR="003502E4">
        <w:rPr>
          <w:szCs w:val="26"/>
        </w:rPr>
        <w:t xml:space="preserve">ction </w:t>
      </w:r>
      <w:r w:rsidRPr="004F4940" w:rsidR="00C75743">
        <w:rPr>
          <w:szCs w:val="26"/>
        </w:rPr>
        <w:t>p</w:t>
      </w:r>
      <w:r w:rsidRPr="004F4940" w:rsidR="003502E4">
        <w:rPr>
          <w:szCs w:val="26"/>
        </w:rPr>
        <w:t>lan</w:t>
      </w:r>
      <w:r w:rsidRPr="004F4940" w:rsidR="00A55B8B">
        <w:rPr>
          <w:szCs w:val="26"/>
        </w:rPr>
        <w:t>”</w:t>
      </w:r>
      <w:r w:rsidRPr="004F4940" w:rsidR="003502E4">
        <w:rPr>
          <w:szCs w:val="26"/>
        </w:rPr>
        <w:t xml:space="preserve"> as a “list of actions and an associated timetable for implementation to remedy a specific problem.”  NERC, </w:t>
      </w:r>
      <w:r w:rsidRPr="004F4940" w:rsidR="003502E4">
        <w:rPr>
          <w:i/>
          <w:iCs/>
          <w:szCs w:val="26"/>
        </w:rPr>
        <w:t>Glossary of Terms Used in NERC Reliability Standards</w:t>
      </w:r>
      <w:r w:rsidRPr="004F4940" w:rsidR="003502E4">
        <w:rPr>
          <w:szCs w:val="26"/>
        </w:rPr>
        <w:t>, 11 (Dec. 2022)</w:t>
      </w:r>
      <w:r w:rsidRPr="004F4940" w:rsidR="00414020">
        <w:rPr>
          <w:szCs w:val="26"/>
        </w:rPr>
        <w:t xml:space="preserve"> (NERC Glossary</w:t>
      </w:r>
      <w:r w:rsidRPr="004F4940" w:rsidR="003502E4">
        <w:rPr>
          <w:szCs w:val="26"/>
        </w:rPr>
        <w:t xml:space="preserve">), </w:t>
      </w:r>
      <w:r w:rsidRPr="004F4940" w:rsidR="00AB6B9B">
        <w:t>https://www.nerc.com/pa/Stand/Glossary of Terms/Glossary_of_Terms.pdf</w:t>
      </w:r>
      <w:r w:rsidRPr="004F4940" w:rsidR="003502E4">
        <w:rPr>
          <w:szCs w:val="26"/>
        </w:rPr>
        <w:t>.</w:t>
      </w:r>
      <w:r w:rsidRPr="004F4940" w:rsidR="00EE49F7">
        <w:rPr>
          <w:szCs w:val="26"/>
        </w:rPr>
        <w:t xml:space="preserve"> </w:t>
      </w:r>
      <w:r w:rsidRPr="004F4940" w:rsidR="00DC5E6E">
        <w:rPr>
          <w:szCs w:val="26"/>
        </w:rPr>
        <w:t xml:space="preserve"> </w:t>
      </w:r>
      <w:r w:rsidRPr="004F4940" w:rsidR="00DC5E6E">
        <w:rPr>
          <w:i/>
          <w:iCs/>
          <w:szCs w:val="26"/>
        </w:rPr>
        <w:t xml:space="preserve">See also </w:t>
      </w:r>
      <w:r w:rsidRPr="004F4940" w:rsidR="00BB4212">
        <w:rPr>
          <w:szCs w:val="26"/>
        </w:rPr>
        <w:t>Reliability Standard</w:t>
      </w:r>
      <w:r w:rsidRPr="004F4940" w:rsidR="00DC5E6E">
        <w:rPr>
          <w:i/>
          <w:iCs/>
          <w:szCs w:val="26"/>
        </w:rPr>
        <w:t xml:space="preserve"> </w:t>
      </w:r>
      <w:r w:rsidRPr="004F4940" w:rsidR="00DC5E6E">
        <w:rPr>
          <w:szCs w:val="26"/>
        </w:rPr>
        <w:t>EOP-012-1</w:t>
      </w:r>
      <w:r w:rsidRPr="004F4940" w:rsidR="00BB4212">
        <w:rPr>
          <w:szCs w:val="26"/>
        </w:rPr>
        <w:t>, section</w:t>
      </w:r>
      <w:r w:rsidRPr="004F4940" w:rsidR="00DC5E6E">
        <w:rPr>
          <w:szCs w:val="26"/>
        </w:rPr>
        <w:t xml:space="preserve"> </w:t>
      </w:r>
      <w:r w:rsidRPr="004F4940" w:rsidR="00251A23">
        <w:rPr>
          <w:szCs w:val="26"/>
        </w:rPr>
        <w:t>4</w:t>
      </w:r>
      <w:r w:rsidRPr="004F4940" w:rsidR="00C41373">
        <w:rPr>
          <w:szCs w:val="26"/>
        </w:rPr>
        <w:t>.3.</w:t>
      </w:r>
    </w:p>
  </w:footnote>
  <w:footnote w:id="49">
    <w:p w:rsidR="00766FC4" w:rsidRPr="004F4940" w:rsidP="00710D39" w14:paraId="080D93BD" w14:textId="77777777">
      <w:pPr>
        <w:pStyle w:val="FootnoteText"/>
        <w:rPr>
          <w:szCs w:val="26"/>
        </w:rPr>
      </w:pPr>
      <w:r w:rsidRPr="004F4940">
        <w:rPr>
          <w:rStyle w:val="FootnoteReference"/>
          <w:szCs w:val="26"/>
        </w:rPr>
        <w:footnoteRef/>
      </w:r>
      <w:r w:rsidRPr="004F4940">
        <w:rPr>
          <w:szCs w:val="26"/>
        </w:rPr>
        <w:t xml:space="preserve"> </w:t>
      </w:r>
      <w:r w:rsidRPr="004F4940" w:rsidR="00174F04">
        <w:rPr>
          <w:szCs w:val="26"/>
        </w:rPr>
        <w:t xml:space="preserve">NERC Petition at 37-41 (stating that Requirements R3 and R5 were taken from Requirements </w:t>
      </w:r>
      <w:r w:rsidRPr="004F4940" w:rsidR="00174F04">
        <w:rPr>
          <w:szCs w:val="26"/>
        </w:rPr>
        <w:t>R7</w:t>
      </w:r>
      <w:r w:rsidRPr="004F4940" w:rsidR="00174F04">
        <w:rPr>
          <w:szCs w:val="26"/>
        </w:rPr>
        <w:t xml:space="preserve"> and R8 from Commission approved EOP-011-2 with modifications to ensure that a generator owner’s cold weather preparedness plan includes the Extreme Cold Weather Temperature, Generator Cold Weather Critical Components, and freeze protection measures)</w:t>
      </w:r>
      <w:r w:rsidRPr="004F4940" w:rsidR="009F116C">
        <w:rPr>
          <w:szCs w:val="26"/>
        </w:rPr>
        <w:t>.</w:t>
      </w:r>
    </w:p>
  </w:footnote>
  <w:footnote w:id="50">
    <w:p w:rsidR="00F22DB7" w:rsidRPr="004F4940" w:rsidP="00710D39" w14:paraId="0BE96C9D" w14:textId="27408FB7">
      <w:pPr>
        <w:pStyle w:val="FootnoteText"/>
        <w:rPr>
          <w:szCs w:val="26"/>
        </w:rPr>
      </w:pPr>
      <w:r w:rsidRPr="004F4940">
        <w:rPr>
          <w:rStyle w:val="FootnoteReference"/>
          <w:szCs w:val="26"/>
        </w:rPr>
        <w:footnoteRef/>
      </w:r>
      <w:r w:rsidRPr="004F4940">
        <w:rPr>
          <w:szCs w:val="26"/>
        </w:rPr>
        <w:t xml:space="preserve"> </w:t>
      </w:r>
      <w:r w:rsidRPr="004F4940" w:rsidR="00950BE4">
        <w:rPr>
          <w:i/>
          <w:iCs/>
          <w:szCs w:val="26"/>
        </w:rPr>
        <w:t>Id.</w:t>
      </w:r>
      <w:r w:rsidRPr="004F4940" w:rsidR="00B97409">
        <w:rPr>
          <w:szCs w:val="26"/>
        </w:rPr>
        <w:t xml:space="preserve"> </w:t>
      </w:r>
      <w:r w:rsidRPr="004F4940">
        <w:rPr>
          <w:szCs w:val="26"/>
        </w:rPr>
        <w:t xml:space="preserve">at 39-40 (this periodic review may require the </w:t>
      </w:r>
      <w:r w:rsidRPr="004F4940" w:rsidR="00DA66A3">
        <w:rPr>
          <w:szCs w:val="26"/>
        </w:rPr>
        <w:t>g</w:t>
      </w:r>
      <w:r w:rsidRPr="004F4940">
        <w:rPr>
          <w:szCs w:val="26"/>
        </w:rPr>
        <w:t xml:space="preserve">enerator </w:t>
      </w:r>
      <w:r w:rsidRPr="004F4940" w:rsidR="00DA66A3">
        <w:rPr>
          <w:szCs w:val="26"/>
        </w:rPr>
        <w:t>o</w:t>
      </w:r>
      <w:r w:rsidRPr="004F4940">
        <w:rPr>
          <w:szCs w:val="26"/>
        </w:rPr>
        <w:t xml:space="preserve">wner to add or modify </w:t>
      </w:r>
      <w:r w:rsidRPr="004F4940" w:rsidR="00B97409">
        <w:rPr>
          <w:szCs w:val="26"/>
        </w:rPr>
        <w:t xml:space="preserve">existing </w:t>
      </w:r>
      <w:r w:rsidRPr="004F4940">
        <w:rPr>
          <w:szCs w:val="26"/>
        </w:rPr>
        <w:t>freeze protection measures to continue reliable operation).</w:t>
      </w:r>
    </w:p>
  </w:footnote>
  <w:footnote w:id="51">
    <w:p w:rsidR="004F1411" w:rsidRPr="004F4940" w:rsidP="00710D39" w14:paraId="14F88A4B" w14:textId="72D63100">
      <w:pPr>
        <w:pStyle w:val="FootnoteText"/>
        <w:rPr>
          <w:szCs w:val="26"/>
        </w:rPr>
      </w:pPr>
      <w:r w:rsidRPr="004F4940">
        <w:rPr>
          <w:rStyle w:val="FootnoteReference"/>
          <w:szCs w:val="26"/>
        </w:rPr>
        <w:footnoteRef/>
      </w:r>
      <w:r w:rsidRPr="004F4940">
        <w:rPr>
          <w:szCs w:val="26"/>
        </w:rPr>
        <w:t xml:space="preserve"> </w:t>
      </w:r>
      <w:r w:rsidRPr="004F4940" w:rsidR="00317538">
        <w:rPr>
          <w:i/>
          <w:iCs/>
          <w:szCs w:val="26"/>
        </w:rPr>
        <w:t>Id</w:t>
      </w:r>
      <w:r w:rsidRPr="004F4940" w:rsidR="00317538">
        <w:rPr>
          <w:i/>
          <w:szCs w:val="26"/>
        </w:rPr>
        <w:t>.</w:t>
      </w:r>
      <w:r w:rsidRPr="004F4940">
        <w:rPr>
          <w:szCs w:val="26"/>
        </w:rPr>
        <w:t xml:space="preserve"> at 43-45</w:t>
      </w:r>
      <w:r w:rsidRPr="004F4940" w:rsidR="00583B0B">
        <w:rPr>
          <w:szCs w:val="26"/>
        </w:rPr>
        <w:t xml:space="preserve"> (noting that the generator owner defines these constraints)</w:t>
      </w:r>
      <w:r w:rsidRPr="004F4940">
        <w:rPr>
          <w:szCs w:val="26"/>
        </w:rPr>
        <w:t>.</w:t>
      </w:r>
    </w:p>
  </w:footnote>
  <w:footnote w:id="52">
    <w:p w:rsidR="00790863" w:rsidRPr="004F4940" w:rsidP="00710D39" w14:paraId="1DDE2F1F" w14:textId="4CD1DDE1">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sidR="00B6759F">
        <w:rPr>
          <w:szCs w:val="26"/>
        </w:rPr>
        <w:t xml:space="preserve"> Ex. E</w:t>
      </w:r>
      <w:r w:rsidRPr="004F4940">
        <w:rPr>
          <w:szCs w:val="26"/>
        </w:rPr>
        <w:t xml:space="preserve"> at </w:t>
      </w:r>
      <w:r w:rsidRPr="004F4940" w:rsidR="00513EBA">
        <w:rPr>
          <w:szCs w:val="26"/>
        </w:rPr>
        <w:t xml:space="preserve">7-20 </w:t>
      </w:r>
      <w:r w:rsidRPr="004F4940">
        <w:rPr>
          <w:szCs w:val="26"/>
        </w:rPr>
        <w:t>(explaining NERC’s justifications for each</w:t>
      </w:r>
      <w:r w:rsidRPr="004F4940" w:rsidR="00513EBA">
        <w:rPr>
          <w:szCs w:val="26"/>
        </w:rPr>
        <w:t xml:space="preserve"> violation risk </w:t>
      </w:r>
      <w:r w:rsidR="00F90F35">
        <w:rPr>
          <w:szCs w:val="26"/>
        </w:rPr>
        <w:br/>
      </w:r>
      <w:r w:rsidRPr="004F4940" w:rsidR="00513EBA">
        <w:rPr>
          <w:szCs w:val="26"/>
        </w:rPr>
        <w:t>factor and violation severity level</w:t>
      </w:r>
      <w:r w:rsidRPr="004F4940" w:rsidR="007A0EBA">
        <w:rPr>
          <w:szCs w:val="26"/>
        </w:rPr>
        <w:t xml:space="preserve"> associated with</w:t>
      </w:r>
      <w:r w:rsidRPr="004F4940" w:rsidR="00ED5039">
        <w:rPr>
          <w:szCs w:val="26"/>
        </w:rPr>
        <w:t xml:space="preserve"> Reliability Standard</w:t>
      </w:r>
      <w:r w:rsidRPr="004F4940" w:rsidR="007A0EBA">
        <w:rPr>
          <w:szCs w:val="26"/>
        </w:rPr>
        <w:t xml:space="preserve"> EOP-012-1</w:t>
      </w:r>
      <w:r w:rsidRPr="004F4940">
        <w:rPr>
          <w:szCs w:val="26"/>
        </w:rPr>
        <w:t>).</w:t>
      </w:r>
    </w:p>
  </w:footnote>
  <w:footnote w:id="53">
    <w:p w:rsidR="008D1EBC" w:rsidRPr="004F4940" w:rsidP="00710D39" w14:paraId="6FC283DD" w14:textId="77777777">
      <w:pPr>
        <w:pStyle w:val="FootnoteText"/>
        <w:rPr>
          <w:szCs w:val="26"/>
        </w:rPr>
      </w:pPr>
      <w:r w:rsidRPr="004F4940">
        <w:rPr>
          <w:rStyle w:val="FootnoteReference"/>
          <w:szCs w:val="26"/>
        </w:rPr>
        <w:footnoteRef/>
      </w:r>
      <w:r w:rsidRPr="004F4940">
        <w:rPr>
          <w:szCs w:val="26"/>
        </w:rPr>
        <w:t xml:space="preserve"> </w:t>
      </w:r>
      <w:r w:rsidRPr="004F4940" w:rsidR="00D63F16">
        <w:rPr>
          <w:szCs w:val="26"/>
        </w:rPr>
        <w:t>NERC Petition</w:t>
      </w:r>
      <w:r w:rsidRPr="004F4940">
        <w:rPr>
          <w:szCs w:val="26"/>
        </w:rPr>
        <w:t xml:space="preserve"> at 5</w:t>
      </w:r>
      <w:r w:rsidRPr="004F4940" w:rsidR="003A74A7">
        <w:rPr>
          <w:szCs w:val="26"/>
        </w:rPr>
        <w:t>0-5</w:t>
      </w:r>
      <w:r w:rsidRPr="004F4940">
        <w:rPr>
          <w:szCs w:val="26"/>
        </w:rPr>
        <w:t>1</w:t>
      </w:r>
      <w:r w:rsidRPr="004F4940" w:rsidR="0012249D">
        <w:rPr>
          <w:szCs w:val="26"/>
        </w:rPr>
        <w:t>.</w:t>
      </w:r>
    </w:p>
  </w:footnote>
  <w:footnote w:id="54">
    <w:p w:rsidR="00877EFE" w:rsidRPr="004F4940" w14:paraId="144999B1" w14:textId="77777777">
      <w:pPr>
        <w:pStyle w:val="FootnoteText"/>
        <w:rPr>
          <w:szCs w:val="26"/>
        </w:rPr>
      </w:pPr>
      <w:r w:rsidRPr="004F4940">
        <w:rPr>
          <w:rStyle w:val="FootnoteReference"/>
          <w:szCs w:val="26"/>
        </w:rPr>
        <w:footnoteRef/>
      </w:r>
      <w:r w:rsidRPr="004F4940" w:rsidR="0D3E6A2E">
        <w:rPr>
          <w:szCs w:val="26"/>
        </w:rPr>
        <w:t xml:space="preserve"> </w:t>
      </w:r>
      <w:r w:rsidRPr="004F4940" w:rsidR="0D3E6A2E">
        <w:rPr>
          <w:i/>
          <w:iCs/>
          <w:szCs w:val="26"/>
        </w:rPr>
        <w:t xml:space="preserve">Id. </w:t>
      </w:r>
      <w:r w:rsidRPr="004F4940" w:rsidR="0D3E6A2E">
        <w:rPr>
          <w:szCs w:val="26"/>
        </w:rPr>
        <w:t>at 52.</w:t>
      </w:r>
    </w:p>
  </w:footnote>
  <w:footnote w:id="55">
    <w:p w:rsidR="007E223D" w:rsidRPr="004F4940" w:rsidP="007E223D" w14:paraId="6699DE0F" w14:textId="133AAA2B">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53 (noting that NERC anticipates completing development and filing with the Commission new or revised Reliability Standards by November 1, 2023).</w:t>
      </w:r>
    </w:p>
  </w:footnote>
  <w:footnote w:id="56">
    <w:p w:rsidR="00EC578D" w:rsidRPr="004F4940" w14:paraId="493FBB00" w14:textId="773FDF8C">
      <w:pPr>
        <w:pStyle w:val="FootnoteText"/>
      </w:pPr>
      <w:r w:rsidRPr="004F4940">
        <w:rPr>
          <w:rStyle w:val="FootnoteReference"/>
        </w:rPr>
        <w:footnoteRef/>
      </w:r>
      <w:r w:rsidRPr="004F4940">
        <w:t xml:space="preserve"> </w:t>
      </w:r>
      <w:r w:rsidRPr="004F4940">
        <w:rPr>
          <w:i/>
          <w:iCs/>
        </w:rPr>
        <w:t xml:space="preserve">Id. </w:t>
      </w:r>
      <w:r w:rsidRPr="004F4940">
        <w:t>at 55.</w:t>
      </w:r>
    </w:p>
  </w:footnote>
  <w:footnote w:id="57">
    <w:p w:rsidR="00B06359" w:rsidRPr="004F4940" w:rsidP="00B06359" w14:paraId="37E8DF95" w14:textId="61236A05">
      <w:pPr>
        <w:pStyle w:val="FootnoteText"/>
        <w:rPr>
          <w:szCs w:val="26"/>
        </w:rPr>
      </w:pPr>
      <w:r w:rsidRPr="004F4940">
        <w:rPr>
          <w:rStyle w:val="FootnoteReference"/>
          <w:szCs w:val="26"/>
        </w:rPr>
        <w:footnoteRef/>
      </w:r>
      <w:r w:rsidRPr="004F4940">
        <w:rPr>
          <w:szCs w:val="26"/>
        </w:rPr>
        <w:t xml:space="preserve"> </w:t>
      </w:r>
      <w:r w:rsidRPr="004F4940" w:rsidR="00EB0979">
        <w:rPr>
          <w:i/>
          <w:iCs/>
          <w:szCs w:val="26"/>
        </w:rPr>
        <w:t>E.g.</w:t>
      </w:r>
      <w:r w:rsidRPr="004F4940" w:rsidR="00EB0979">
        <w:rPr>
          <w:szCs w:val="26"/>
        </w:rPr>
        <w:t xml:space="preserve">, </w:t>
      </w:r>
      <w:r w:rsidRPr="004F4940">
        <w:rPr>
          <w:szCs w:val="26"/>
        </w:rPr>
        <w:t>EPSA/PJM Group Comments at 3; NEPGA/EPSA/PJM Group Answer at 1; ISO/RTO Council Comments at 1-2, TAPS Comments at 1.</w:t>
      </w:r>
    </w:p>
  </w:footnote>
  <w:footnote w:id="58">
    <w:p w:rsidR="007223EC" w:rsidRPr="004F4940" w:rsidP="007223EC" w14:paraId="7BD633D0" w14:textId="7C38B52F">
      <w:pPr>
        <w:pStyle w:val="FootnoteText"/>
        <w:rPr>
          <w:szCs w:val="26"/>
        </w:rPr>
      </w:pPr>
      <w:r w:rsidRPr="004F4940">
        <w:rPr>
          <w:rStyle w:val="FootnoteReference"/>
          <w:szCs w:val="26"/>
        </w:rPr>
        <w:footnoteRef/>
      </w:r>
      <w:r w:rsidRPr="004F4940">
        <w:rPr>
          <w:szCs w:val="26"/>
        </w:rPr>
        <w:t xml:space="preserve"> </w:t>
      </w:r>
      <w:r w:rsidRPr="004F4940">
        <w:rPr>
          <w:i/>
          <w:iCs/>
          <w:szCs w:val="26"/>
        </w:rPr>
        <w:t>See</w:t>
      </w:r>
      <w:r w:rsidRPr="004F4940">
        <w:rPr>
          <w:iCs/>
          <w:szCs w:val="26"/>
        </w:rPr>
        <w:t xml:space="preserve"> </w:t>
      </w:r>
      <w:r w:rsidRPr="004F4940">
        <w:rPr>
          <w:szCs w:val="26"/>
        </w:rPr>
        <w:t>APPA/TAPS Answer at 2-9; ISO/RTO Comments at 1-3; ISO/RTO Answer at 1-2; TAPS Comments at 1.</w:t>
      </w:r>
    </w:p>
  </w:footnote>
  <w:footnote w:id="59">
    <w:p w:rsidR="007223EC" w:rsidRPr="004F4940" w:rsidP="007223EC" w14:paraId="638EA6D9"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See</w:t>
      </w:r>
      <w:r w:rsidRPr="004F4940">
        <w:rPr>
          <w:iCs/>
          <w:szCs w:val="26"/>
        </w:rPr>
        <w:t xml:space="preserve"> </w:t>
      </w:r>
      <w:r w:rsidRPr="004F4940">
        <w:rPr>
          <w:szCs w:val="26"/>
        </w:rPr>
        <w:t>EPSA/PJM Group Comments at 2-4; Invenergy Comments at 2, 13;</w:t>
      </w:r>
      <w:r w:rsidRPr="004F4940" w:rsidR="007C19BD">
        <w:rPr>
          <w:szCs w:val="26"/>
        </w:rPr>
        <w:t xml:space="preserve"> </w:t>
      </w:r>
      <w:r w:rsidRPr="004F4940">
        <w:rPr>
          <w:szCs w:val="26"/>
        </w:rPr>
        <w:t>NEPGA Comments at 2, 6-8; TCPA Comments at 2, 5-6. </w:t>
      </w:r>
    </w:p>
  </w:footnote>
  <w:footnote w:id="60">
    <w:p w:rsidR="004F7875" w:rsidRPr="004F4940" w14:paraId="72A3CF6F" w14:textId="77777777">
      <w:pPr>
        <w:pStyle w:val="FootnoteText"/>
      </w:pPr>
      <w:r w:rsidRPr="004F4940">
        <w:rPr>
          <w:rStyle w:val="FootnoteReference"/>
        </w:rPr>
        <w:footnoteRef/>
      </w:r>
      <w:r w:rsidRPr="004F4940">
        <w:t xml:space="preserve"> </w:t>
      </w:r>
      <w:r w:rsidRPr="004F4940">
        <w:rPr>
          <w:i/>
          <w:iCs/>
        </w:rPr>
        <w:t>See</w:t>
      </w:r>
      <w:r w:rsidRPr="004F4940">
        <w:t xml:space="preserve"> November 2021 Report at 18</w:t>
      </w:r>
      <w:r w:rsidRPr="004F4940" w:rsidR="009834A1">
        <w:t>4</w:t>
      </w:r>
      <w:r w:rsidRPr="004F4940">
        <w:t>-21</w:t>
      </w:r>
      <w:r w:rsidRPr="004F4940" w:rsidR="009834A1">
        <w:t>0</w:t>
      </w:r>
      <w:r w:rsidRPr="004F4940">
        <w:t>.</w:t>
      </w:r>
    </w:p>
  </w:footnote>
  <w:footnote w:id="61">
    <w:p w:rsidR="00B849C1" w:rsidRPr="004F4940" w14:paraId="1159D827" w14:textId="79E66828">
      <w:pPr>
        <w:pStyle w:val="FootnoteText"/>
        <w:rPr>
          <w:szCs w:val="26"/>
        </w:rPr>
      </w:pPr>
      <w:r w:rsidRPr="004F4940">
        <w:rPr>
          <w:rStyle w:val="FootnoteReference"/>
          <w:szCs w:val="26"/>
        </w:rPr>
        <w:footnoteRef/>
      </w:r>
      <w:r w:rsidRPr="004F4940" w:rsidR="0D3E6A2E">
        <w:rPr>
          <w:szCs w:val="26"/>
        </w:rPr>
        <w:t xml:space="preserve"> </w:t>
      </w:r>
      <w:r w:rsidRPr="004F4940" w:rsidR="0D3E6A2E">
        <w:rPr>
          <w:i/>
          <w:iCs/>
          <w:szCs w:val="26"/>
        </w:rPr>
        <w:t>See e.g.</w:t>
      </w:r>
      <w:r w:rsidRPr="004F4940" w:rsidR="006207E3">
        <w:rPr>
          <w:szCs w:val="26"/>
        </w:rPr>
        <w:t xml:space="preserve">, EPSA/PJM Group Comments at 7-9; ISO/RTO Council Comments </w:t>
      </w:r>
      <w:r w:rsidR="00FE3794">
        <w:rPr>
          <w:szCs w:val="26"/>
        </w:rPr>
        <w:br/>
      </w:r>
      <w:r w:rsidRPr="004F4940" w:rsidR="006207E3">
        <w:rPr>
          <w:szCs w:val="26"/>
        </w:rPr>
        <w:t>at 10; NEPGA Comments at 7-8.</w:t>
      </w:r>
    </w:p>
  </w:footnote>
  <w:footnote w:id="62">
    <w:p w:rsidR="008B6C78" w:rsidRPr="004F4940" w:rsidP="004B74B3" w14:paraId="3EC60957" w14:textId="52F41C16">
      <w:pPr>
        <w:pStyle w:val="FootnoteText"/>
        <w:rPr>
          <w:szCs w:val="26"/>
        </w:rPr>
      </w:pPr>
      <w:r w:rsidRPr="004F4940">
        <w:rPr>
          <w:rStyle w:val="FootnoteReference"/>
          <w:szCs w:val="26"/>
        </w:rPr>
        <w:footnoteRef/>
      </w:r>
      <w:r w:rsidRPr="004F4940">
        <w:rPr>
          <w:szCs w:val="26"/>
        </w:rPr>
        <w:t xml:space="preserve"> </w:t>
      </w:r>
      <w:r w:rsidRPr="004F4940" w:rsidR="00550B60">
        <w:rPr>
          <w:i/>
          <w:iCs/>
          <w:szCs w:val="26"/>
        </w:rPr>
        <w:t>See e.g.</w:t>
      </w:r>
      <w:r w:rsidRPr="004F4940" w:rsidR="00550B60">
        <w:rPr>
          <w:szCs w:val="26"/>
        </w:rPr>
        <w:t>,</w:t>
      </w:r>
      <w:r w:rsidRPr="004F4940" w:rsidR="000A2959">
        <w:rPr>
          <w:szCs w:val="26"/>
        </w:rPr>
        <w:t xml:space="preserve"> </w:t>
      </w:r>
      <w:r w:rsidRPr="004F4940" w:rsidR="00550B60">
        <w:rPr>
          <w:i/>
          <w:iCs/>
          <w:szCs w:val="26"/>
        </w:rPr>
        <w:t>Mandatory Reliability Standards for the Bulk-Power Sys</w:t>
      </w:r>
      <w:r w:rsidR="00FE3794">
        <w:rPr>
          <w:i/>
          <w:iCs/>
          <w:szCs w:val="26"/>
        </w:rPr>
        <w:t>.</w:t>
      </w:r>
      <w:r w:rsidRPr="004F4940" w:rsidR="00550B60">
        <w:rPr>
          <w:szCs w:val="26"/>
        </w:rPr>
        <w:t xml:space="preserve">, Order </w:t>
      </w:r>
      <w:r w:rsidR="00FE3794">
        <w:rPr>
          <w:szCs w:val="26"/>
        </w:rPr>
        <w:br/>
      </w:r>
      <w:r w:rsidRPr="004F4940" w:rsidR="00550B60">
        <w:rPr>
          <w:szCs w:val="26"/>
        </w:rPr>
        <w:t xml:space="preserve">No. 693, </w:t>
      </w:r>
      <w:r w:rsidRPr="004F4940" w:rsidR="008E366B">
        <w:rPr>
          <w:szCs w:val="26"/>
        </w:rPr>
        <w:t>118</w:t>
      </w:r>
      <w:r w:rsidRPr="004F4940" w:rsidR="00550B60">
        <w:rPr>
          <w:szCs w:val="26"/>
        </w:rPr>
        <w:t xml:space="preserve"> FERC </w:t>
      </w:r>
      <w:r w:rsidRPr="004F4940" w:rsidR="000A2959">
        <w:rPr>
          <w:szCs w:val="26"/>
        </w:rPr>
        <w:t>¶ 6</w:t>
      </w:r>
      <w:r w:rsidRPr="004F4940" w:rsidR="00550B60">
        <w:rPr>
          <w:szCs w:val="26"/>
        </w:rPr>
        <w:t>1,218,</w:t>
      </w:r>
      <w:r w:rsidR="00FE3794">
        <w:rPr>
          <w:szCs w:val="26"/>
        </w:rPr>
        <w:t xml:space="preserve"> at</w:t>
      </w:r>
      <w:r w:rsidRPr="004F4940" w:rsidR="00550B60">
        <w:rPr>
          <w:szCs w:val="26"/>
        </w:rPr>
        <w:t xml:space="preserve"> </w:t>
      </w:r>
      <w:r w:rsidRPr="004F4940" w:rsidR="000A2959">
        <w:rPr>
          <w:szCs w:val="26"/>
        </w:rPr>
        <w:t>P 1</w:t>
      </w:r>
      <w:r w:rsidRPr="004F4940" w:rsidR="00550B60">
        <w:rPr>
          <w:szCs w:val="26"/>
        </w:rPr>
        <w:t>0</w:t>
      </w:r>
      <w:r w:rsidRPr="004F4940" w:rsidR="000A2959">
        <w:rPr>
          <w:szCs w:val="26"/>
        </w:rPr>
        <w:t xml:space="preserve"> </w:t>
      </w:r>
      <w:r w:rsidRPr="004F4940" w:rsidR="00550B60">
        <w:rPr>
          <w:szCs w:val="26"/>
        </w:rPr>
        <w:t>(2007)</w:t>
      </w:r>
      <w:r w:rsidRPr="004F4940" w:rsidR="000A2959">
        <w:rPr>
          <w:szCs w:val="26"/>
        </w:rPr>
        <w:t xml:space="preserve"> </w:t>
      </w:r>
      <w:r w:rsidRPr="004F4940" w:rsidR="00550B60">
        <w:rPr>
          <w:szCs w:val="26"/>
        </w:rPr>
        <w:t>(noting that “[w]here a</w:t>
      </w:r>
      <w:r w:rsidRPr="004F4940" w:rsidR="000A2959">
        <w:rPr>
          <w:szCs w:val="26"/>
        </w:rPr>
        <w:t xml:space="preserve"> </w:t>
      </w:r>
      <w:r w:rsidRPr="004F4940" w:rsidR="00550B60">
        <w:rPr>
          <w:szCs w:val="26"/>
        </w:rPr>
        <w:t>Reliability</w:t>
      </w:r>
      <w:r w:rsidRPr="004F4940" w:rsidR="000A2959">
        <w:rPr>
          <w:szCs w:val="26"/>
        </w:rPr>
        <w:t xml:space="preserve"> </w:t>
      </w:r>
      <w:r w:rsidRPr="004F4940" w:rsidR="00550B60">
        <w:rPr>
          <w:szCs w:val="26"/>
        </w:rPr>
        <w:t>Standard</w:t>
      </w:r>
      <w:r w:rsidRPr="004F4940" w:rsidR="000A2959">
        <w:rPr>
          <w:szCs w:val="26"/>
        </w:rPr>
        <w:t xml:space="preserve"> </w:t>
      </w:r>
      <w:r w:rsidRPr="004F4940" w:rsidR="00550B60">
        <w:rPr>
          <w:szCs w:val="26"/>
        </w:rPr>
        <w:t>requires significant improvement, but is otherwise enforceable, the Commission approves the Reliability Standard” and “directs the ERO</w:t>
      </w:r>
      <w:r w:rsidRPr="004F4940" w:rsidR="000A2959">
        <w:rPr>
          <w:szCs w:val="26"/>
        </w:rPr>
        <w:t xml:space="preserve"> </w:t>
      </w:r>
      <w:r w:rsidRPr="004F4940" w:rsidR="00550B60">
        <w:rPr>
          <w:szCs w:val="26"/>
        </w:rPr>
        <w:t>to modify” such Standards to address identified issues or concerns);</w:t>
      </w:r>
      <w:r w:rsidRPr="004F4940" w:rsidR="000A2959">
        <w:rPr>
          <w:szCs w:val="26"/>
        </w:rPr>
        <w:t xml:space="preserve"> </w:t>
      </w:r>
      <w:r w:rsidRPr="004F4940" w:rsidR="00550B60">
        <w:rPr>
          <w:i/>
          <w:iCs/>
          <w:szCs w:val="26"/>
        </w:rPr>
        <w:t>Version 5 Critical Infrastructure</w:t>
      </w:r>
      <w:r w:rsidRPr="004F4940" w:rsidR="000A2959">
        <w:rPr>
          <w:i/>
          <w:iCs/>
          <w:szCs w:val="26"/>
        </w:rPr>
        <w:t xml:space="preserve"> </w:t>
      </w:r>
      <w:r w:rsidRPr="004F4940" w:rsidR="00550B60">
        <w:rPr>
          <w:i/>
          <w:iCs/>
          <w:szCs w:val="26"/>
        </w:rPr>
        <w:t>Prot.</w:t>
      </w:r>
      <w:r w:rsidRPr="004F4940" w:rsidR="000A2959">
        <w:rPr>
          <w:i/>
          <w:iCs/>
          <w:szCs w:val="26"/>
        </w:rPr>
        <w:t xml:space="preserve"> </w:t>
      </w:r>
      <w:r w:rsidRPr="004F4940" w:rsidR="00550B60">
        <w:rPr>
          <w:i/>
          <w:iCs/>
          <w:szCs w:val="26"/>
        </w:rPr>
        <w:t>Reliability Standards</w:t>
      </w:r>
      <w:r w:rsidRPr="004F4940" w:rsidR="00550B60">
        <w:rPr>
          <w:szCs w:val="26"/>
        </w:rPr>
        <w:t>, Order No. 791, 145 FERC </w:t>
      </w:r>
      <w:r w:rsidRPr="004F4940" w:rsidR="000A2959">
        <w:rPr>
          <w:szCs w:val="26"/>
        </w:rPr>
        <w:t>¶ 6</w:t>
      </w:r>
      <w:r w:rsidRPr="004F4940" w:rsidR="00550B60">
        <w:rPr>
          <w:szCs w:val="26"/>
        </w:rPr>
        <w:t xml:space="preserve">1,160, </w:t>
      </w:r>
      <w:r w:rsidRPr="004F4940" w:rsidR="00DC72FB">
        <w:rPr>
          <w:szCs w:val="26"/>
        </w:rPr>
        <w:t xml:space="preserve">at </w:t>
      </w:r>
      <w:r w:rsidRPr="004F4940" w:rsidR="00550B60">
        <w:rPr>
          <w:szCs w:val="26"/>
        </w:rPr>
        <w:t>P</w:t>
      </w:r>
      <w:r w:rsidRPr="004F4940" w:rsidR="000A2959">
        <w:rPr>
          <w:szCs w:val="26"/>
        </w:rPr>
        <w:t>P 1</w:t>
      </w:r>
      <w:r w:rsidRPr="004F4940" w:rsidR="00550B60">
        <w:rPr>
          <w:szCs w:val="26"/>
        </w:rPr>
        <w:t>-4</w:t>
      </w:r>
      <w:r w:rsidRPr="004F4940" w:rsidR="000A2959">
        <w:rPr>
          <w:szCs w:val="26"/>
        </w:rPr>
        <w:t xml:space="preserve"> </w:t>
      </w:r>
      <w:r w:rsidRPr="004F4940" w:rsidR="00550B60">
        <w:rPr>
          <w:szCs w:val="26"/>
        </w:rPr>
        <w:t>(2013)</w:t>
      </w:r>
      <w:r w:rsidRPr="004F4940" w:rsidR="00DC72FB">
        <w:rPr>
          <w:szCs w:val="26"/>
        </w:rPr>
        <w:t>,</w:t>
      </w:r>
      <w:r w:rsidRPr="004F4940" w:rsidR="000A2959">
        <w:rPr>
          <w:szCs w:val="26"/>
        </w:rPr>
        <w:t xml:space="preserve"> </w:t>
      </w:r>
      <w:r w:rsidRPr="004F4940" w:rsidR="00550B60">
        <w:rPr>
          <w:i/>
          <w:iCs/>
          <w:szCs w:val="26"/>
        </w:rPr>
        <w:t>order on clarification and reh’g</w:t>
      </w:r>
      <w:r w:rsidRPr="004F4940" w:rsidR="00550B60">
        <w:rPr>
          <w:iCs/>
          <w:szCs w:val="26"/>
        </w:rPr>
        <w:t>,</w:t>
      </w:r>
      <w:r w:rsidRPr="004F4940" w:rsidR="000A2959">
        <w:rPr>
          <w:szCs w:val="26"/>
        </w:rPr>
        <w:t xml:space="preserve"> </w:t>
      </w:r>
      <w:r w:rsidRPr="004F4940" w:rsidR="00550B60">
        <w:rPr>
          <w:szCs w:val="26"/>
        </w:rPr>
        <w:t xml:space="preserve">Order No. 791-A, 146 FERC </w:t>
      </w:r>
      <w:r w:rsidRPr="004F4940" w:rsidR="000A2959">
        <w:rPr>
          <w:szCs w:val="26"/>
        </w:rPr>
        <w:t>¶ 6</w:t>
      </w:r>
      <w:r w:rsidRPr="004F4940" w:rsidR="00550B60">
        <w:rPr>
          <w:szCs w:val="26"/>
        </w:rPr>
        <w:t>1,188 (2014)</w:t>
      </w:r>
      <w:r w:rsidRPr="004F4940" w:rsidR="00FD7637">
        <w:rPr>
          <w:szCs w:val="26"/>
        </w:rPr>
        <w:t>.</w:t>
      </w:r>
    </w:p>
  </w:footnote>
  <w:footnote w:id="63">
    <w:p w:rsidR="00B82FEF" w:rsidRPr="004F4940" w:rsidP="00B82FEF" w14:paraId="25416D4E" w14:textId="77777777">
      <w:pPr>
        <w:pStyle w:val="FootnoteText"/>
        <w:rPr>
          <w:szCs w:val="26"/>
        </w:rPr>
      </w:pPr>
      <w:r w:rsidRPr="004F4940">
        <w:rPr>
          <w:rStyle w:val="FootnoteReference"/>
          <w:szCs w:val="26"/>
        </w:rPr>
        <w:footnoteRef/>
      </w:r>
      <w:r w:rsidRPr="004F4940">
        <w:rPr>
          <w:szCs w:val="26"/>
        </w:rPr>
        <w:t xml:space="preserve"> 18 C.F.R. § 39.2(d).</w:t>
      </w:r>
    </w:p>
  </w:footnote>
  <w:footnote w:id="64">
    <w:p w:rsidR="00A658F5" w:rsidRPr="004F4940" w14:paraId="4E6118C9" w14:textId="77777777">
      <w:pPr>
        <w:pStyle w:val="FootnoteText"/>
        <w:rPr>
          <w:szCs w:val="26"/>
        </w:rPr>
      </w:pPr>
      <w:r w:rsidRPr="004F4940">
        <w:rPr>
          <w:rStyle w:val="FootnoteReference"/>
          <w:szCs w:val="26"/>
        </w:rPr>
        <w:footnoteRef/>
      </w:r>
      <w:r w:rsidRPr="004F4940">
        <w:rPr>
          <w:szCs w:val="26"/>
        </w:rPr>
        <w:t xml:space="preserve"> </w:t>
      </w:r>
      <w:r w:rsidRPr="004F4940" w:rsidR="00941A41">
        <w:rPr>
          <w:szCs w:val="26"/>
        </w:rPr>
        <w:t xml:space="preserve">16 U.S.C. </w:t>
      </w:r>
      <w:r w:rsidRPr="004F4940" w:rsidR="000A2959">
        <w:rPr>
          <w:szCs w:val="26"/>
        </w:rPr>
        <w:t>§ 8</w:t>
      </w:r>
      <w:r w:rsidRPr="004F4940" w:rsidR="00941A41">
        <w:rPr>
          <w:szCs w:val="26"/>
        </w:rPr>
        <w:t>24</w:t>
      </w:r>
      <w:r w:rsidRPr="004F4940" w:rsidR="00A97443">
        <w:rPr>
          <w:szCs w:val="26"/>
        </w:rPr>
        <w:t>o</w:t>
      </w:r>
      <w:r w:rsidRPr="004F4940" w:rsidR="00941A41">
        <w:rPr>
          <w:szCs w:val="26"/>
        </w:rPr>
        <w:t>(a)(3).</w:t>
      </w:r>
    </w:p>
  </w:footnote>
  <w:footnote w:id="65">
    <w:p w:rsidR="00A658F5" w:rsidRPr="004F4940" w14:paraId="7E00AA1D" w14:textId="77777777">
      <w:pPr>
        <w:pStyle w:val="FootnoteText"/>
        <w:rPr>
          <w:szCs w:val="26"/>
        </w:rPr>
      </w:pPr>
      <w:r w:rsidRPr="004F4940">
        <w:rPr>
          <w:rStyle w:val="FootnoteReference"/>
          <w:szCs w:val="26"/>
        </w:rPr>
        <w:footnoteRef/>
      </w:r>
      <w:r w:rsidRPr="004F4940">
        <w:rPr>
          <w:szCs w:val="26"/>
        </w:rPr>
        <w:t xml:space="preserve"> </w:t>
      </w:r>
      <w:r w:rsidRPr="004F4940" w:rsidR="009E2F55">
        <w:rPr>
          <w:i/>
          <w:iCs/>
          <w:szCs w:val="26"/>
        </w:rPr>
        <w:t>Id</w:t>
      </w:r>
      <w:r w:rsidRPr="004F4940" w:rsidR="009E2F55">
        <w:rPr>
          <w:i/>
          <w:szCs w:val="26"/>
        </w:rPr>
        <w:t>.</w:t>
      </w:r>
      <w:r w:rsidRPr="004F4940" w:rsidR="00941A41">
        <w:rPr>
          <w:szCs w:val="26"/>
        </w:rPr>
        <w:t xml:space="preserve"> </w:t>
      </w:r>
      <w:r w:rsidRPr="004F4940" w:rsidR="000A2959">
        <w:rPr>
          <w:szCs w:val="26"/>
        </w:rPr>
        <w:t>§ 8</w:t>
      </w:r>
      <w:r w:rsidRPr="004F4940" w:rsidR="00941A41">
        <w:rPr>
          <w:szCs w:val="26"/>
        </w:rPr>
        <w:t>24</w:t>
      </w:r>
      <w:r w:rsidRPr="004F4940" w:rsidR="00A97443">
        <w:rPr>
          <w:szCs w:val="26"/>
        </w:rPr>
        <w:t>o</w:t>
      </w:r>
      <w:r w:rsidRPr="004F4940" w:rsidR="00941A41">
        <w:rPr>
          <w:szCs w:val="26"/>
        </w:rPr>
        <w:t>(a)(</w:t>
      </w:r>
      <w:r w:rsidRPr="004F4940" w:rsidR="00BF5958">
        <w:rPr>
          <w:szCs w:val="26"/>
        </w:rPr>
        <w:t>4</w:t>
      </w:r>
      <w:r w:rsidRPr="004F4940" w:rsidR="00941A41">
        <w:rPr>
          <w:szCs w:val="26"/>
        </w:rPr>
        <w:t>).</w:t>
      </w:r>
    </w:p>
  </w:footnote>
  <w:footnote w:id="66">
    <w:p w:rsidR="00835F06" w:rsidRPr="004F4940" w:rsidP="00835F06" w14:paraId="7A8B053B" w14:textId="43E47D83">
      <w:pPr>
        <w:pStyle w:val="FootnoteText"/>
        <w:rPr>
          <w:szCs w:val="26"/>
        </w:rPr>
      </w:pPr>
      <w:r w:rsidRPr="004F4940">
        <w:rPr>
          <w:rStyle w:val="FootnoteReference"/>
          <w:szCs w:val="26"/>
        </w:rPr>
        <w:footnoteRef/>
      </w:r>
      <w:r w:rsidRPr="004F4940">
        <w:rPr>
          <w:szCs w:val="26"/>
        </w:rPr>
        <w:t xml:space="preserve"> </w:t>
      </w:r>
      <w:r w:rsidRPr="004F4940">
        <w:rPr>
          <w:i/>
          <w:iCs/>
          <w:szCs w:val="26"/>
        </w:rPr>
        <w:t>See</w:t>
      </w:r>
      <w:r w:rsidRPr="004F4940">
        <w:rPr>
          <w:iCs/>
          <w:szCs w:val="26"/>
        </w:rPr>
        <w:t xml:space="preserve"> </w:t>
      </w:r>
      <w:r w:rsidRPr="004F4940">
        <w:rPr>
          <w:szCs w:val="26"/>
        </w:rPr>
        <w:t>EPSA/PJM Group Comments at 5-7; Invenergy Comments at 13.</w:t>
      </w:r>
    </w:p>
  </w:footnote>
  <w:footnote w:id="67">
    <w:p w:rsidR="00835F06" w:rsidRPr="004F4940" w:rsidP="00835F06" w14:paraId="42549B73" w14:textId="77777777">
      <w:pPr>
        <w:pStyle w:val="FootnoteText"/>
        <w:rPr>
          <w:szCs w:val="26"/>
        </w:rPr>
      </w:pPr>
      <w:r w:rsidRPr="004F4940">
        <w:rPr>
          <w:rStyle w:val="FootnoteReference"/>
          <w:szCs w:val="26"/>
        </w:rPr>
        <w:footnoteRef/>
      </w:r>
      <w:r w:rsidRPr="004F4940">
        <w:rPr>
          <w:szCs w:val="26"/>
        </w:rPr>
        <w:t xml:space="preserve"> </w:t>
      </w:r>
      <w:r w:rsidRPr="004F4940" w:rsidR="00460C4B">
        <w:rPr>
          <w:i/>
          <w:szCs w:val="26"/>
        </w:rPr>
        <w:t>Id.</w:t>
      </w:r>
      <w:r w:rsidRPr="004F4940" w:rsidR="00460C4B">
        <w:rPr>
          <w:szCs w:val="26"/>
        </w:rPr>
        <w:t xml:space="preserve"> </w:t>
      </w:r>
      <w:r w:rsidRPr="004F4940">
        <w:rPr>
          <w:szCs w:val="26"/>
        </w:rPr>
        <w:t>(</w:t>
      </w:r>
      <w:r w:rsidRPr="004F4940" w:rsidR="00E70188">
        <w:rPr>
          <w:szCs w:val="26"/>
        </w:rPr>
        <w:t>footnotes omitted</w:t>
      </w:r>
      <w:r w:rsidRPr="004F4940">
        <w:rPr>
          <w:szCs w:val="26"/>
        </w:rPr>
        <w:t>).</w:t>
      </w:r>
    </w:p>
  </w:footnote>
  <w:footnote w:id="68">
    <w:p w:rsidR="00835F06" w:rsidRPr="004F4940" w:rsidP="00835F06" w14:paraId="42DC5DB9" w14:textId="3667E307">
      <w:pPr>
        <w:pStyle w:val="FootnoteText"/>
        <w:rPr>
          <w:szCs w:val="26"/>
        </w:rPr>
      </w:pPr>
      <w:r w:rsidRPr="004F4940">
        <w:rPr>
          <w:rStyle w:val="FootnoteReference"/>
          <w:szCs w:val="26"/>
        </w:rPr>
        <w:footnoteRef/>
      </w:r>
      <w:r w:rsidRPr="004F4940">
        <w:rPr>
          <w:szCs w:val="26"/>
        </w:rPr>
        <w:t xml:space="preserve"> </w:t>
      </w:r>
      <w:r w:rsidRPr="004F4940" w:rsidR="002640CD">
        <w:rPr>
          <w:i/>
          <w:szCs w:val="26"/>
        </w:rPr>
        <w:t>Id</w:t>
      </w:r>
      <w:r w:rsidRPr="004F4940">
        <w:rPr>
          <w:i/>
          <w:szCs w:val="26"/>
        </w:rPr>
        <w:t>.</w:t>
      </w:r>
      <w:r w:rsidRPr="004F4940" w:rsidR="002640CD">
        <w:rPr>
          <w:szCs w:val="26"/>
        </w:rPr>
        <w:t xml:space="preserve"> at 6.</w:t>
      </w:r>
    </w:p>
  </w:footnote>
  <w:footnote w:id="69">
    <w:p w:rsidR="003A6259" w:rsidRPr="004F4940" w14:paraId="1B045EF9" w14:textId="4A7D5C1C">
      <w:pPr>
        <w:pStyle w:val="FootnoteText"/>
        <w:rPr>
          <w:szCs w:val="26"/>
        </w:rPr>
      </w:pPr>
      <w:r w:rsidRPr="004F4940">
        <w:rPr>
          <w:rStyle w:val="FootnoteReference"/>
          <w:szCs w:val="26"/>
        </w:rPr>
        <w:footnoteRef/>
      </w:r>
      <w:r w:rsidRPr="004F4940">
        <w:rPr>
          <w:szCs w:val="26"/>
        </w:rPr>
        <w:t xml:space="preserve"> Invenergy Comments at 13.</w:t>
      </w:r>
    </w:p>
  </w:footnote>
  <w:footnote w:id="70">
    <w:p w:rsidR="00720202" w:rsidRPr="004F4940" w14:paraId="11BC24FE" w14:textId="6D4CB9E0">
      <w:pPr>
        <w:pStyle w:val="FootnoteText"/>
        <w:rPr>
          <w:szCs w:val="26"/>
        </w:rPr>
      </w:pPr>
      <w:r w:rsidRPr="004F4940">
        <w:rPr>
          <w:rStyle w:val="FootnoteReference"/>
          <w:szCs w:val="26"/>
        </w:rPr>
        <w:footnoteRef/>
      </w:r>
      <w:r w:rsidRPr="004F4940">
        <w:rPr>
          <w:szCs w:val="26"/>
        </w:rPr>
        <w:t xml:space="preserve"> </w:t>
      </w:r>
      <w:r w:rsidRPr="004F4940" w:rsidR="003A6259">
        <w:rPr>
          <w:i/>
          <w:iCs/>
          <w:szCs w:val="26"/>
        </w:rPr>
        <w:t>Id</w:t>
      </w:r>
      <w:r w:rsidRPr="004F4940" w:rsidR="003A6259">
        <w:rPr>
          <w:i/>
          <w:szCs w:val="26"/>
        </w:rPr>
        <w:t>.</w:t>
      </w:r>
    </w:p>
  </w:footnote>
  <w:footnote w:id="71">
    <w:p w:rsidR="00835F06" w:rsidRPr="004F4940" w:rsidP="00835F06" w14:paraId="79E3D007" w14:textId="6BAF8625">
      <w:pPr>
        <w:pStyle w:val="FootnoteText"/>
        <w:rPr>
          <w:szCs w:val="26"/>
        </w:rPr>
      </w:pPr>
      <w:r w:rsidRPr="004F4940">
        <w:rPr>
          <w:rStyle w:val="FootnoteReference"/>
          <w:szCs w:val="26"/>
        </w:rPr>
        <w:footnoteRef/>
      </w:r>
      <w:r w:rsidRPr="004F4940">
        <w:rPr>
          <w:szCs w:val="26"/>
        </w:rPr>
        <w:t xml:space="preserve"> NERC Reply Comments at 3-11.</w:t>
      </w:r>
    </w:p>
  </w:footnote>
  <w:footnote w:id="72">
    <w:p w:rsidR="00DA612F" w:rsidRPr="004F4940" w:rsidP="00DA612F" w14:paraId="33B09FBE" w14:textId="77777777">
      <w:pPr>
        <w:pStyle w:val="FootnoteText"/>
        <w:rPr>
          <w:i/>
          <w:iCs/>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sidR="00AF2508">
        <w:rPr>
          <w:szCs w:val="26"/>
        </w:rPr>
        <w:t xml:space="preserve">; </w:t>
      </w:r>
      <w:r w:rsidRPr="004F4940" w:rsidR="00AF2508">
        <w:rPr>
          <w:i/>
          <w:iCs/>
          <w:szCs w:val="26"/>
        </w:rPr>
        <w:t>see also</w:t>
      </w:r>
      <w:r w:rsidRPr="004F4940" w:rsidR="00AF2508">
        <w:rPr>
          <w:iCs/>
          <w:szCs w:val="26"/>
        </w:rPr>
        <w:t xml:space="preserve"> </w:t>
      </w:r>
      <w:r w:rsidRPr="004F4940" w:rsidR="00AF2508">
        <w:rPr>
          <w:szCs w:val="26"/>
        </w:rPr>
        <w:t xml:space="preserve">16 U.S.C. </w:t>
      </w:r>
      <w:r w:rsidRPr="004F4940" w:rsidR="000A2959">
        <w:rPr>
          <w:szCs w:val="26"/>
        </w:rPr>
        <w:t>§ 8</w:t>
      </w:r>
      <w:r w:rsidRPr="004F4940" w:rsidR="00AF2508">
        <w:rPr>
          <w:szCs w:val="26"/>
        </w:rPr>
        <w:t>24</w:t>
      </w:r>
      <w:r w:rsidRPr="004F4940" w:rsidR="00253B02">
        <w:rPr>
          <w:szCs w:val="26"/>
        </w:rPr>
        <w:t>o</w:t>
      </w:r>
      <w:r w:rsidRPr="004F4940" w:rsidR="00AF2508">
        <w:rPr>
          <w:szCs w:val="26"/>
        </w:rPr>
        <w:t>(a)(3)-(4).</w:t>
      </w:r>
    </w:p>
  </w:footnote>
  <w:footnote w:id="73">
    <w:p w:rsidR="006F351E" w:rsidRPr="004F4940" w:rsidP="006F351E" w14:paraId="19ED17F7" w14:textId="77777777">
      <w:pPr>
        <w:pStyle w:val="FootnoteText"/>
        <w:rPr>
          <w:szCs w:val="26"/>
        </w:rPr>
      </w:pPr>
      <w:r w:rsidRPr="004F4940">
        <w:rPr>
          <w:rStyle w:val="FootnoteReference"/>
          <w:szCs w:val="26"/>
        </w:rPr>
        <w:footnoteRef/>
      </w:r>
      <w:r w:rsidRPr="004F4940">
        <w:rPr>
          <w:szCs w:val="26"/>
        </w:rPr>
        <w:t xml:space="preserve"> </w:t>
      </w:r>
      <w:r w:rsidRPr="004F4940" w:rsidR="00646FE8">
        <w:rPr>
          <w:szCs w:val="26"/>
        </w:rPr>
        <w:t xml:space="preserve">16 U.S.C. </w:t>
      </w:r>
      <w:r w:rsidRPr="004F4940" w:rsidR="000A2959">
        <w:rPr>
          <w:szCs w:val="26"/>
        </w:rPr>
        <w:t>§ 8</w:t>
      </w:r>
      <w:r w:rsidRPr="004F4940" w:rsidR="00646FE8">
        <w:rPr>
          <w:szCs w:val="26"/>
        </w:rPr>
        <w:t>24o(a)(3).</w:t>
      </w:r>
    </w:p>
  </w:footnote>
  <w:footnote w:id="74">
    <w:p w:rsidR="008A2E4C" w:rsidRPr="004F4940" w14:paraId="37BD0D56"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w:t>
      </w:r>
      <w:r w:rsidRPr="004F4940" w:rsidR="000A2959">
        <w:rPr>
          <w:szCs w:val="26"/>
        </w:rPr>
        <w:t>§ 8</w:t>
      </w:r>
      <w:r w:rsidRPr="004F4940">
        <w:rPr>
          <w:szCs w:val="26"/>
        </w:rPr>
        <w:t>24o(a)(4).</w:t>
      </w:r>
    </w:p>
  </w:footnote>
  <w:footnote w:id="75">
    <w:p w:rsidR="008A2E4C" w:rsidRPr="004F4940" w14:paraId="6AB57554"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w:t>
      </w:r>
      <w:r w:rsidRPr="004F4940" w:rsidR="000A2959">
        <w:rPr>
          <w:szCs w:val="26"/>
        </w:rPr>
        <w:t>§ 8</w:t>
      </w:r>
      <w:r w:rsidRPr="004F4940">
        <w:rPr>
          <w:szCs w:val="26"/>
        </w:rPr>
        <w:t>24o(a)(3).</w:t>
      </w:r>
    </w:p>
  </w:footnote>
  <w:footnote w:id="76">
    <w:p w:rsidR="009B791A" w:rsidRPr="004F4940" w14:paraId="4E631698" w14:textId="26DD9D31">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p>
  </w:footnote>
  <w:footnote w:id="77">
    <w:p w:rsidR="004F4FBC" w:rsidRPr="004F4940" w14:paraId="4A66A175" w14:textId="77777777">
      <w:pPr>
        <w:pStyle w:val="FootnoteText"/>
        <w:rPr>
          <w:szCs w:val="26"/>
        </w:rPr>
      </w:pPr>
      <w:r w:rsidRPr="004F4940">
        <w:rPr>
          <w:rStyle w:val="FootnoteReference"/>
          <w:szCs w:val="26"/>
        </w:rPr>
        <w:footnoteRef/>
      </w:r>
      <w:r w:rsidRPr="004F4940">
        <w:rPr>
          <w:szCs w:val="26"/>
        </w:rPr>
        <w:t xml:space="preserve"> EPSA/PJM Group Comments at 5</w:t>
      </w:r>
      <w:r w:rsidRPr="004F4940" w:rsidR="00161EED">
        <w:rPr>
          <w:szCs w:val="26"/>
        </w:rPr>
        <w:t xml:space="preserve"> (citing to 16 U.S.C. </w:t>
      </w:r>
      <w:r w:rsidRPr="004F4940" w:rsidR="000A2959">
        <w:rPr>
          <w:szCs w:val="26"/>
        </w:rPr>
        <w:t>§ 8</w:t>
      </w:r>
      <w:r w:rsidRPr="004F4940" w:rsidR="00161EED">
        <w:rPr>
          <w:szCs w:val="26"/>
        </w:rPr>
        <w:t>24</w:t>
      </w:r>
      <w:r w:rsidRPr="004F4940" w:rsidR="00E671CC">
        <w:rPr>
          <w:szCs w:val="26"/>
        </w:rPr>
        <w:t>(a)(4)).</w:t>
      </w:r>
    </w:p>
  </w:footnote>
  <w:footnote w:id="78">
    <w:p w:rsidR="00F526B6" w:rsidRPr="004F4940" w:rsidP="00F526B6" w14:paraId="5E4CCFFB" w14:textId="1D169C82">
      <w:pPr>
        <w:pStyle w:val="FootnoteText"/>
      </w:pPr>
      <w:r w:rsidRPr="004F4940">
        <w:rPr>
          <w:rStyle w:val="FootnoteReference"/>
        </w:rPr>
        <w:footnoteRef/>
      </w:r>
      <w:r w:rsidRPr="004F4940" w:rsidR="7F855522">
        <w:rPr>
          <w:szCs w:val="26"/>
        </w:rPr>
        <w:t xml:space="preserve"> </w:t>
      </w:r>
      <w:r w:rsidRPr="004F4940" w:rsidR="7F855522">
        <w:rPr>
          <w:i/>
          <w:iCs/>
        </w:rPr>
        <w:t>See</w:t>
      </w:r>
      <w:r w:rsidRPr="004F4940" w:rsidR="00783B76">
        <w:rPr>
          <w:i/>
          <w:iCs/>
        </w:rPr>
        <w:t>,</w:t>
      </w:r>
      <w:r w:rsidRPr="004F4940" w:rsidR="7F855522">
        <w:rPr>
          <w:i/>
          <w:iCs/>
        </w:rPr>
        <w:t> e.g., </w:t>
      </w:r>
      <w:r w:rsidRPr="004F4940" w:rsidR="7F855522">
        <w:t>Order No. 693, 118 FERC ¶ 61,218 at PP 1547, 1550</w:t>
      </w:r>
      <w:r w:rsidRPr="004F4940" w:rsidR="0015694B">
        <w:t xml:space="preserve"> </w:t>
      </w:r>
      <w:r w:rsidRPr="004F4940" w:rsidR="7F855522">
        <w:t>(approving Reliability Standard PRC-018-1, which requires the installation of disturbance monitoring equipment);</w:t>
      </w:r>
      <w:r w:rsidRPr="004F4940" w:rsidR="0015694B">
        <w:t xml:space="preserve"> </w:t>
      </w:r>
      <w:r w:rsidRPr="004F4940" w:rsidR="7F855522">
        <w:rPr>
          <w:i/>
          <w:iCs/>
        </w:rPr>
        <w:t>Mandatory Reliability Standards for Critical Infrastructure Protection</w:t>
      </w:r>
      <w:r w:rsidRPr="004F4940" w:rsidR="7F855522">
        <w:t xml:space="preserve">, Order No. 706, 122 FERC ¶ 61,040, </w:t>
      </w:r>
      <w:r w:rsidRPr="004F4940" w:rsidR="00F84774">
        <w:t>at</w:t>
      </w:r>
      <w:r w:rsidRPr="004F4940" w:rsidR="7F855522">
        <w:t xml:space="preserve"> P 86</w:t>
      </w:r>
      <w:r w:rsidRPr="004F4940" w:rsidR="0015694B">
        <w:t xml:space="preserve"> </w:t>
      </w:r>
      <w:r w:rsidRPr="004F4940" w:rsidR="7F855522">
        <w:t>(2008)</w:t>
      </w:r>
      <w:r w:rsidRPr="004F4940" w:rsidR="0015694B">
        <w:t xml:space="preserve"> </w:t>
      </w:r>
      <w:r w:rsidRPr="004F4940" w:rsidR="7F855522">
        <w:t>(providing entities with </w:t>
      </w:r>
      <w:r w:rsidR="00680A31">
        <w:br/>
      </w:r>
      <w:r w:rsidRPr="004F4940" w:rsidR="7F855522">
        <w:t>a reasonable amount of</w:t>
      </w:r>
      <w:r w:rsidRPr="004F4940" w:rsidR="0015694B">
        <w:t xml:space="preserve"> </w:t>
      </w:r>
      <w:r w:rsidRPr="004F4940" w:rsidR="7F855522">
        <w:t>time to purchase and</w:t>
      </w:r>
      <w:r w:rsidRPr="004F4940" w:rsidR="0015694B">
        <w:t xml:space="preserve"> </w:t>
      </w:r>
      <w:r w:rsidRPr="004F4940" w:rsidR="7F855522">
        <w:t>install</w:t>
      </w:r>
      <w:r w:rsidRPr="004F4940" w:rsidR="0015694B">
        <w:t xml:space="preserve"> </w:t>
      </w:r>
      <w:r w:rsidRPr="004F4940" w:rsidR="7F855522">
        <w:t>new software</w:t>
      </w:r>
      <w:r w:rsidRPr="004F4940" w:rsidR="0015694B">
        <w:t xml:space="preserve"> </w:t>
      </w:r>
      <w:r w:rsidRPr="004F4940" w:rsidR="7F855522">
        <w:t>and</w:t>
      </w:r>
      <w:r w:rsidRPr="004F4940" w:rsidR="0015694B">
        <w:t xml:space="preserve"> </w:t>
      </w:r>
      <w:r w:rsidRPr="004F4940" w:rsidR="7F855522">
        <w:t>equipment</w:t>
      </w:r>
      <w:r w:rsidRPr="004F4940" w:rsidR="0015694B">
        <w:t xml:space="preserve"> </w:t>
      </w:r>
      <w:r w:rsidRPr="004F4940" w:rsidR="7F855522">
        <w:t xml:space="preserve">for compliance); </w:t>
      </w:r>
      <w:r w:rsidRPr="004F4940" w:rsidR="7F855522">
        <w:rPr>
          <w:i/>
          <w:iCs/>
        </w:rPr>
        <w:t>P</w:t>
      </w:r>
      <w:r w:rsidR="00FE3794">
        <w:rPr>
          <w:i/>
          <w:iCs/>
        </w:rPr>
        <w:t>acifiCorp</w:t>
      </w:r>
      <w:r w:rsidRPr="004F4940" w:rsidR="7F855522">
        <w:t>, 141 FERC ¶ 61,140 P 1 (2014).</w:t>
      </w:r>
    </w:p>
  </w:footnote>
  <w:footnote w:id="79">
    <w:p w:rsidR="0073196E" w:rsidRPr="004F4940" w14:paraId="43D3BF27" w14:textId="77777777">
      <w:pPr>
        <w:pStyle w:val="FootnoteText"/>
        <w:rPr>
          <w:szCs w:val="26"/>
        </w:rPr>
      </w:pPr>
      <w:r w:rsidRPr="004F4940">
        <w:rPr>
          <w:rStyle w:val="FootnoteReference"/>
          <w:szCs w:val="26"/>
        </w:rPr>
        <w:footnoteRef/>
      </w:r>
      <w:r w:rsidRPr="004F4940">
        <w:rPr>
          <w:szCs w:val="26"/>
        </w:rPr>
        <w:t xml:space="preserve"> 16 U.S.C. </w:t>
      </w:r>
      <w:r w:rsidRPr="004F4940" w:rsidR="000A2959">
        <w:rPr>
          <w:szCs w:val="26"/>
        </w:rPr>
        <w:t>§ 8</w:t>
      </w:r>
      <w:r w:rsidRPr="004F4940">
        <w:rPr>
          <w:szCs w:val="26"/>
        </w:rPr>
        <w:t>24o(a)(4).</w:t>
      </w:r>
    </w:p>
  </w:footnote>
  <w:footnote w:id="80">
    <w:p w:rsidR="00EC08DB" w:rsidRPr="004F4940" w14:paraId="2D591562" w14:textId="516D00EC">
      <w:pPr>
        <w:pStyle w:val="FootnoteText"/>
        <w:rPr>
          <w:szCs w:val="26"/>
        </w:rPr>
      </w:pPr>
      <w:r w:rsidRPr="004F4940">
        <w:rPr>
          <w:rStyle w:val="FootnoteReference"/>
          <w:szCs w:val="26"/>
        </w:rPr>
        <w:footnoteRef/>
      </w:r>
      <w:r w:rsidRPr="004F4940" w:rsidR="005073C9">
        <w:rPr>
          <w:szCs w:val="26"/>
        </w:rPr>
        <w:t xml:space="preserve"> EPSA/PJM Group Comments at </w:t>
      </w:r>
      <w:r w:rsidRPr="004F4940" w:rsidR="00010EB0">
        <w:rPr>
          <w:szCs w:val="26"/>
        </w:rPr>
        <w:t>5</w:t>
      </w:r>
      <w:r w:rsidRPr="004F4940" w:rsidR="005073C9">
        <w:rPr>
          <w:szCs w:val="26"/>
        </w:rPr>
        <w:t>.</w:t>
      </w:r>
    </w:p>
  </w:footnote>
  <w:footnote w:id="81">
    <w:p w:rsidR="001F02F7" w:rsidRPr="004F4940" w14:paraId="4D961EC0" w14:textId="77777777">
      <w:pPr>
        <w:pStyle w:val="FootnoteText"/>
        <w:rPr>
          <w:szCs w:val="26"/>
        </w:rPr>
      </w:pPr>
      <w:r w:rsidRPr="004F4940">
        <w:rPr>
          <w:rStyle w:val="FootnoteReference"/>
          <w:szCs w:val="26"/>
        </w:rPr>
        <w:footnoteRef/>
      </w:r>
      <w:r w:rsidRPr="004F4940">
        <w:rPr>
          <w:szCs w:val="26"/>
        </w:rPr>
        <w:t xml:space="preserve"> </w:t>
      </w:r>
      <w:r w:rsidRPr="004F4940" w:rsidR="005E6190">
        <w:rPr>
          <w:szCs w:val="26"/>
        </w:rPr>
        <w:t xml:space="preserve">16 U.S.C. </w:t>
      </w:r>
      <w:r w:rsidRPr="004F4940" w:rsidR="000A2959">
        <w:rPr>
          <w:szCs w:val="26"/>
        </w:rPr>
        <w:t>§ 8</w:t>
      </w:r>
      <w:r w:rsidRPr="004F4940" w:rsidR="005E6190">
        <w:rPr>
          <w:szCs w:val="26"/>
        </w:rPr>
        <w:t>24o(a)(3).</w:t>
      </w:r>
    </w:p>
  </w:footnote>
  <w:footnote w:id="82">
    <w:p w:rsidR="0079411E" w:rsidRPr="004F4940" w14:paraId="132696E7" w14:textId="7E311B8D">
      <w:pPr>
        <w:pStyle w:val="FootnoteText"/>
        <w:rPr>
          <w:szCs w:val="26"/>
        </w:rPr>
      </w:pPr>
      <w:r w:rsidRPr="004F4940">
        <w:rPr>
          <w:rStyle w:val="FootnoteReference"/>
          <w:szCs w:val="26"/>
        </w:rPr>
        <w:footnoteRef/>
      </w:r>
      <w:r w:rsidRPr="004F4940">
        <w:rPr>
          <w:szCs w:val="26"/>
        </w:rPr>
        <w:t xml:space="preserve"> </w:t>
      </w:r>
      <w:r w:rsidRPr="004F4940" w:rsidR="003966A6">
        <w:rPr>
          <w:i/>
          <w:iCs/>
          <w:szCs w:val="26"/>
        </w:rPr>
        <w:t>See</w:t>
      </w:r>
      <w:r w:rsidRPr="004F4940" w:rsidR="003966A6">
        <w:rPr>
          <w:iCs/>
          <w:szCs w:val="26"/>
        </w:rPr>
        <w:t xml:space="preserve"> </w:t>
      </w:r>
      <w:r w:rsidRPr="004F4940" w:rsidR="005073C9">
        <w:rPr>
          <w:szCs w:val="26"/>
        </w:rPr>
        <w:t xml:space="preserve">Invenergy Comments at </w:t>
      </w:r>
      <w:r w:rsidRPr="004F4940" w:rsidR="00DD3D6E">
        <w:rPr>
          <w:szCs w:val="26"/>
        </w:rPr>
        <w:t>13</w:t>
      </w:r>
      <w:r w:rsidRPr="004F4940" w:rsidR="00822B7E">
        <w:rPr>
          <w:szCs w:val="26"/>
        </w:rPr>
        <w:t xml:space="preserve">. </w:t>
      </w:r>
      <w:r w:rsidRPr="004F4940" w:rsidR="0D3E6A2E">
        <w:rPr>
          <w:szCs w:val="26"/>
        </w:rPr>
        <w:t xml:space="preserve"> </w:t>
      </w:r>
      <w:r w:rsidRPr="004F4940" w:rsidR="00822B7E">
        <w:rPr>
          <w:i/>
          <w:iCs/>
          <w:szCs w:val="26"/>
        </w:rPr>
        <w:t>But see</w:t>
      </w:r>
      <w:r w:rsidRPr="004F4940" w:rsidR="00F5526A">
        <w:rPr>
          <w:szCs w:val="26"/>
        </w:rPr>
        <w:t xml:space="preserve"> NERC Petition Ex. A-2, at </w:t>
      </w:r>
      <w:r w:rsidRPr="004F4940" w:rsidR="007826AB">
        <w:rPr>
          <w:szCs w:val="26"/>
        </w:rPr>
        <w:t>3-8 (</w:t>
      </w:r>
      <w:r w:rsidRPr="004F4940" w:rsidR="000329F4">
        <w:rPr>
          <w:szCs w:val="26"/>
        </w:rPr>
        <w:t>the term “retrofit” not appearing in</w:t>
      </w:r>
      <w:r w:rsidRPr="004F4940" w:rsidR="0083702B">
        <w:rPr>
          <w:szCs w:val="26"/>
        </w:rPr>
        <w:t xml:space="preserve"> proposed</w:t>
      </w:r>
      <w:r w:rsidRPr="004F4940" w:rsidR="000329F4">
        <w:rPr>
          <w:szCs w:val="26"/>
        </w:rPr>
        <w:t xml:space="preserve"> </w:t>
      </w:r>
      <w:r w:rsidRPr="004F4940" w:rsidR="000C394B">
        <w:rPr>
          <w:szCs w:val="26"/>
        </w:rPr>
        <w:t>Reliability Standard EOP-012-1)</w:t>
      </w:r>
      <w:r w:rsidRPr="004F4940" w:rsidR="005073C9">
        <w:rPr>
          <w:szCs w:val="26"/>
        </w:rPr>
        <w:t>.</w:t>
      </w:r>
    </w:p>
  </w:footnote>
  <w:footnote w:id="83">
    <w:p w:rsidR="00B1665B" w:rsidRPr="004F4940" w14:paraId="4A77C5A7" w14:textId="77777777">
      <w:pPr>
        <w:pStyle w:val="FootnoteText"/>
        <w:rPr>
          <w:szCs w:val="26"/>
        </w:rPr>
      </w:pPr>
      <w:r w:rsidRPr="004F4940">
        <w:rPr>
          <w:rStyle w:val="FootnoteReference"/>
          <w:szCs w:val="26"/>
        </w:rPr>
        <w:footnoteRef/>
      </w:r>
      <w:r w:rsidRPr="004F4940">
        <w:rPr>
          <w:szCs w:val="26"/>
        </w:rPr>
        <w:t xml:space="preserve"> </w:t>
      </w:r>
      <w:r w:rsidRPr="004F4940" w:rsidR="00BA77F4">
        <w:rPr>
          <w:szCs w:val="26"/>
        </w:rPr>
        <w:t xml:space="preserve">16 U.S.C. </w:t>
      </w:r>
      <w:r w:rsidRPr="004F4940" w:rsidR="000A2959">
        <w:rPr>
          <w:szCs w:val="26"/>
        </w:rPr>
        <w:t>§ 8</w:t>
      </w:r>
      <w:r w:rsidRPr="004F4940" w:rsidR="00BA77F4">
        <w:rPr>
          <w:szCs w:val="26"/>
        </w:rPr>
        <w:t>24o(a)(3).</w:t>
      </w:r>
    </w:p>
  </w:footnote>
  <w:footnote w:id="84">
    <w:p w:rsidR="00DB0D28" w:rsidRPr="004F4940" w:rsidP="00DB0D28" w14:paraId="4C52D173" w14:textId="320A15A8">
      <w:pPr>
        <w:pStyle w:val="FootnoteText"/>
      </w:pPr>
      <w:r w:rsidRPr="004F4940">
        <w:rPr>
          <w:rStyle w:val="FootnoteReference"/>
        </w:rPr>
        <w:footnoteRef/>
      </w:r>
      <w:r w:rsidRPr="004F4940">
        <w:t xml:space="preserve"> </w:t>
      </w:r>
      <w:r w:rsidRPr="004F4940">
        <w:rPr>
          <w:i/>
          <w:iCs/>
        </w:rPr>
        <w:t>See</w:t>
      </w:r>
      <w:r w:rsidRPr="004F4940">
        <w:rPr>
          <w:i/>
        </w:rPr>
        <w:t xml:space="preserve"> </w:t>
      </w:r>
      <w:r w:rsidRPr="004F4940">
        <w:rPr>
          <w:szCs w:val="26"/>
        </w:rPr>
        <w:t xml:space="preserve">NERC, </w:t>
      </w:r>
      <w:r w:rsidRPr="004F4940">
        <w:rPr>
          <w:i/>
          <w:iCs/>
          <w:szCs w:val="26"/>
        </w:rPr>
        <w:t xml:space="preserve">Rules of Procedure, </w:t>
      </w:r>
      <w:r w:rsidRPr="004F4940">
        <w:rPr>
          <w:szCs w:val="26"/>
        </w:rPr>
        <w:t xml:space="preserve">App. 3A (Standard Process Manual), 5 (Mar. 2019), </w:t>
      </w:r>
      <w:r w:rsidRPr="00E14BCF" w:rsidR="00FE3794">
        <w:rPr>
          <w:rStyle w:val="FootnoteReference"/>
          <w:szCs w:val="26"/>
        </w:rPr>
        <w:footnoteRef/>
      </w:r>
      <w:r w:rsidRPr="00E14BCF" w:rsidR="00FE3794">
        <w:rPr>
          <w:szCs w:val="26"/>
        </w:rPr>
        <w:t xml:space="preserve"> </w:t>
      </w:r>
      <w:r w:rsidRPr="00E14BCF" w:rsidR="00FE3794">
        <w:rPr>
          <w:i/>
          <w:iCs/>
          <w:szCs w:val="26"/>
        </w:rPr>
        <w:t>N</w:t>
      </w:r>
      <w:r w:rsidR="00FE3794">
        <w:rPr>
          <w:i/>
          <w:iCs/>
          <w:szCs w:val="26"/>
        </w:rPr>
        <w:t>.</w:t>
      </w:r>
      <w:r w:rsidRPr="00E14BCF" w:rsidR="00FE3794">
        <w:rPr>
          <w:i/>
          <w:iCs/>
          <w:szCs w:val="26"/>
        </w:rPr>
        <w:t xml:space="preserve"> Am</w:t>
      </w:r>
      <w:r w:rsidR="00FE3794">
        <w:rPr>
          <w:i/>
          <w:iCs/>
          <w:szCs w:val="26"/>
        </w:rPr>
        <w:t>.</w:t>
      </w:r>
      <w:r w:rsidRPr="00E14BCF" w:rsidR="00FE3794">
        <w:rPr>
          <w:i/>
          <w:iCs/>
          <w:szCs w:val="26"/>
        </w:rPr>
        <w:t xml:space="preserve"> Elec</w:t>
      </w:r>
      <w:r w:rsidR="00FE3794">
        <w:rPr>
          <w:i/>
          <w:iCs/>
          <w:szCs w:val="26"/>
        </w:rPr>
        <w:t>.</w:t>
      </w:r>
      <w:r w:rsidRPr="00E14BCF" w:rsidR="00FE3794">
        <w:rPr>
          <w:i/>
          <w:iCs/>
          <w:szCs w:val="26"/>
        </w:rPr>
        <w:t xml:space="preserve"> Reliability Corp.</w:t>
      </w:r>
      <w:r w:rsidRPr="00E14BCF" w:rsidR="00FE3794">
        <w:rPr>
          <w:szCs w:val="26"/>
        </w:rPr>
        <w:t xml:space="preserve">, 116 FERC ¶ 61,062, </w:t>
      </w:r>
      <w:r w:rsidRPr="00E14BCF" w:rsidR="00FE3794">
        <w:rPr>
          <w:i/>
          <w:iCs/>
          <w:szCs w:val="26"/>
        </w:rPr>
        <w:t>order on reh’g and</w:t>
      </w:r>
      <w:r w:rsidR="009876DF">
        <w:rPr>
          <w:i/>
          <w:iCs/>
          <w:szCs w:val="26"/>
        </w:rPr>
        <w:br/>
      </w:r>
      <w:r w:rsidR="009876DF">
        <w:rPr>
          <w:i/>
          <w:iCs/>
          <w:szCs w:val="26"/>
        </w:rPr>
        <w:br/>
      </w:r>
      <w:r w:rsidR="009876DF">
        <w:rPr>
          <w:i/>
          <w:iCs/>
          <w:szCs w:val="26"/>
        </w:rPr>
        <w:br/>
      </w:r>
      <w:r w:rsidRPr="00E14BCF" w:rsidR="00FE3794">
        <w:rPr>
          <w:i/>
          <w:iCs/>
          <w:szCs w:val="26"/>
        </w:rPr>
        <w:t>compliance</w:t>
      </w:r>
      <w:r w:rsidRPr="00E14BCF" w:rsidR="00FE3794">
        <w:rPr>
          <w:szCs w:val="26"/>
        </w:rPr>
        <w:t xml:space="preserve">, 117 FERC ¶ 61,126 (2006), </w:t>
      </w:r>
      <w:r w:rsidRPr="00E14BCF" w:rsidR="00FE3794">
        <w:rPr>
          <w:i/>
          <w:iCs/>
          <w:szCs w:val="26"/>
        </w:rPr>
        <w:t>aff’d sub nom. Alcoa, Inc. v. FERC</w:t>
      </w:r>
      <w:r w:rsidRPr="00E14BCF" w:rsidR="00FE3794">
        <w:rPr>
          <w:szCs w:val="26"/>
        </w:rPr>
        <w:t>,</w:t>
      </w:r>
      <w:r w:rsidRPr="00E14BCF" w:rsidR="00FE3794">
        <w:rPr>
          <w:szCs w:val="26"/>
        </w:rPr>
        <w:t xml:space="preserve"> </w:t>
      </w:r>
      <w:r w:rsidRPr="00E14BCF" w:rsidR="00FE3794">
        <w:rPr>
          <w:szCs w:val="26"/>
        </w:rPr>
        <w:t>564 F.3d 1342 (D.C. Cir. 2009).</w:t>
      </w:r>
      <w:r w:rsidRPr="004F4940" w:rsidR="00007B83">
        <w:t xml:space="preserve"> </w:t>
      </w:r>
    </w:p>
  </w:footnote>
  <w:footnote w:id="85">
    <w:p w:rsidR="00DB0D28" w:rsidRPr="004F4940" w:rsidP="00DB0D28" w14:paraId="2039F4C2" w14:textId="77777777">
      <w:pPr>
        <w:pStyle w:val="FootnoteText"/>
      </w:pPr>
      <w:r w:rsidRPr="004F4940">
        <w:rPr>
          <w:rStyle w:val="FootnoteReference"/>
        </w:rPr>
        <w:footnoteRef/>
      </w:r>
      <w:r w:rsidRPr="004F4940">
        <w:t xml:space="preserve"> Reliability Standard EOP-012-1, section 4.2.1.1.</w:t>
      </w:r>
    </w:p>
  </w:footnote>
  <w:footnote w:id="86">
    <w:p w:rsidR="00DB0D28" w:rsidRPr="004F4940" w:rsidP="00DB0D28" w14:paraId="6A6F70FE" w14:textId="77777777">
      <w:pPr>
        <w:pStyle w:val="FootnoteText"/>
      </w:pPr>
      <w:r w:rsidRPr="004F4940">
        <w:rPr>
          <w:rStyle w:val="FootnoteReference"/>
        </w:rPr>
        <w:footnoteRef/>
      </w:r>
      <w:r w:rsidRPr="004F4940">
        <w:t xml:space="preserve"> NERC Petition at 30.</w:t>
      </w:r>
    </w:p>
  </w:footnote>
  <w:footnote w:id="87">
    <w:p w:rsidR="00DB0D28" w:rsidRPr="004F4940" w:rsidP="00DB0D28" w14:paraId="504EBB28" w14:textId="0849264E">
      <w:pPr>
        <w:pStyle w:val="FootnoteText"/>
      </w:pPr>
      <w:r w:rsidRPr="004F4940">
        <w:rPr>
          <w:rStyle w:val="FootnoteReference"/>
        </w:rPr>
        <w:footnoteRef/>
      </w:r>
      <w:r w:rsidRPr="004F4940">
        <w:t xml:space="preserve"> Invenergy Comments at 4.</w:t>
      </w:r>
    </w:p>
  </w:footnote>
  <w:footnote w:id="88">
    <w:p w:rsidR="00DB0D28" w:rsidRPr="004F4940" w:rsidP="00DB0D28" w14:paraId="776EC32C" w14:textId="778F7210">
      <w:pPr>
        <w:pStyle w:val="FootnoteText"/>
      </w:pPr>
      <w:r w:rsidRPr="004F4940">
        <w:rPr>
          <w:rStyle w:val="FootnoteReference"/>
        </w:rPr>
        <w:footnoteRef/>
      </w:r>
      <w:r w:rsidRPr="004F4940">
        <w:t xml:space="preserve"> NERC Petition, Ex. C-2, Technical Rationale and Justification for EOP-012-1 </w:t>
      </w:r>
      <w:r w:rsidR="00E20E34">
        <w:br/>
      </w:r>
      <w:r w:rsidRPr="004F4940">
        <w:t>at 1.</w:t>
      </w:r>
    </w:p>
  </w:footnote>
  <w:footnote w:id="89">
    <w:p w:rsidR="00DB0D28" w:rsidRPr="004F4940" w:rsidP="00DB0D28" w14:paraId="6F42606C" w14:textId="68CB0D75">
      <w:pPr>
        <w:pStyle w:val="FootnoteText"/>
      </w:pPr>
      <w:r w:rsidRPr="004F4940">
        <w:rPr>
          <w:rStyle w:val="FootnoteReference"/>
        </w:rPr>
        <w:footnoteRef/>
      </w:r>
      <w:r w:rsidRPr="004F4940">
        <w:t xml:space="preserve"> </w:t>
      </w:r>
      <w:r w:rsidRPr="004F4940">
        <w:rPr>
          <w:i/>
          <w:iCs/>
        </w:rPr>
        <w:t>Id</w:t>
      </w:r>
      <w:r w:rsidRPr="004F4940">
        <w:rPr>
          <w:i/>
        </w:rPr>
        <w:t>.</w:t>
      </w:r>
    </w:p>
  </w:footnote>
  <w:footnote w:id="90">
    <w:p w:rsidR="00DB0D28" w:rsidRPr="004F4940" w:rsidP="00DB0D28" w14:paraId="607A0FBC" w14:textId="58211D81">
      <w:pPr>
        <w:pStyle w:val="FootnoteText"/>
      </w:pPr>
      <w:r w:rsidRPr="004F4940">
        <w:rPr>
          <w:rStyle w:val="FootnoteReference"/>
        </w:rPr>
        <w:footnoteRef/>
      </w:r>
      <w:r w:rsidRPr="004F4940">
        <w:t xml:space="preserve"> </w:t>
      </w:r>
      <w:r w:rsidRPr="004F4940">
        <w:rPr>
          <w:i/>
          <w:iCs/>
        </w:rPr>
        <w:t>Id</w:t>
      </w:r>
      <w:r w:rsidRPr="004F4940">
        <w:rPr>
          <w:i/>
        </w:rPr>
        <w:t>.</w:t>
      </w:r>
      <w:r w:rsidRPr="004F4940">
        <w:t xml:space="preserve"> at 2.</w:t>
      </w:r>
    </w:p>
  </w:footnote>
  <w:footnote w:id="91">
    <w:p w:rsidR="00E20E34" w14:paraId="683C8FE9" w14:textId="246FFED2">
      <w:pPr>
        <w:pStyle w:val="FootnoteText"/>
      </w:pPr>
      <w:r>
        <w:rPr>
          <w:rStyle w:val="FootnoteReference"/>
        </w:rPr>
        <w:footnoteRef/>
      </w:r>
      <w:r>
        <w:t xml:space="preserve"> </w:t>
      </w:r>
      <w:r w:rsidRPr="004F4940">
        <w:rPr>
          <w:i/>
          <w:iCs/>
        </w:rPr>
        <w:t>Id</w:t>
      </w:r>
      <w:r w:rsidRPr="004F4940">
        <w:rPr>
          <w:i/>
        </w:rPr>
        <w:t>.</w:t>
      </w:r>
      <w:r w:rsidRPr="004F4940">
        <w:t xml:space="preserve"> at 1</w:t>
      </w:r>
      <w:r>
        <w:t>.</w:t>
      </w:r>
    </w:p>
  </w:footnote>
  <w:footnote w:id="92">
    <w:p w:rsidR="00381D42" w:rsidRPr="004F4940" w:rsidP="00381D42" w14:paraId="666AD47B" w14:textId="101F5DEF">
      <w:pPr>
        <w:pStyle w:val="FootnoteText"/>
        <w:rPr>
          <w:b/>
          <w:bCs/>
        </w:rPr>
      </w:pPr>
      <w:r w:rsidRPr="00E20E34">
        <w:rPr>
          <w:rStyle w:val="FootnoteReference"/>
        </w:rPr>
        <w:footnoteRef/>
      </w:r>
      <w:r w:rsidRPr="00E20E34">
        <w:rPr>
          <w:b/>
          <w:bCs/>
        </w:rPr>
        <w:t xml:space="preserve"> </w:t>
      </w:r>
      <w:r w:rsidRPr="00E20E34" w:rsidR="001A7328">
        <w:t>Reliability Standard,</w:t>
      </w:r>
      <w:r w:rsidRPr="00E20E34">
        <w:t xml:space="preserve"> EOP-012-1</w:t>
      </w:r>
      <w:r w:rsidRPr="00E20E34" w:rsidR="001A7328">
        <w:t xml:space="preserve">, section </w:t>
      </w:r>
      <w:r w:rsidRPr="00E20E34">
        <w:t>4.2.</w:t>
      </w:r>
    </w:p>
  </w:footnote>
  <w:footnote w:id="93">
    <w:p w:rsidR="00381D42" w:rsidRPr="004F4940" w:rsidP="00381D42" w14:paraId="2B665F2E" w14:textId="77777777">
      <w:pPr>
        <w:pStyle w:val="FootnoteText"/>
      </w:pPr>
      <w:r w:rsidRPr="004F4940">
        <w:rPr>
          <w:rStyle w:val="FootnoteReference"/>
        </w:rPr>
        <w:footnoteRef/>
      </w:r>
      <w:r w:rsidRPr="004F4940">
        <w:t xml:space="preserve"> NERC Petition at 30.</w:t>
      </w:r>
    </w:p>
  </w:footnote>
  <w:footnote w:id="94">
    <w:p w:rsidR="006164D5" w:rsidRPr="004F4940" w:rsidP="006164D5" w14:paraId="797E5915" w14:textId="3383B26C">
      <w:pPr>
        <w:pStyle w:val="FootnoteText"/>
      </w:pPr>
      <w:r w:rsidRPr="004F4940">
        <w:rPr>
          <w:rStyle w:val="FootnoteReference"/>
        </w:rPr>
        <w:footnoteRef/>
      </w:r>
      <w:r w:rsidRPr="004F4940">
        <w:t xml:space="preserve"> </w:t>
      </w:r>
      <w:r w:rsidRPr="004F4940" w:rsidR="002554F6">
        <w:rPr>
          <w:i/>
          <w:iCs/>
        </w:rPr>
        <w:t>Id.</w:t>
      </w:r>
      <w:r w:rsidRPr="004F4940">
        <w:t xml:space="preserve"> at 30.</w:t>
      </w:r>
    </w:p>
  </w:footnote>
  <w:footnote w:id="95">
    <w:p w:rsidR="006164D5" w:rsidRPr="004F4940" w:rsidP="006164D5" w14:paraId="657FF102" w14:textId="2A5ECA19">
      <w:pPr>
        <w:pStyle w:val="FootnoteText"/>
        <w:widowControl/>
        <w:rPr>
          <w:szCs w:val="26"/>
        </w:rPr>
      </w:pPr>
      <w:r w:rsidRPr="004F4940">
        <w:rPr>
          <w:rStyle w:val="FootnoteReference"/>
          <w:szCs w:val="26"/>
        </w:rPr>
        <w:footnoteRef/>
      </w:r>
      <w:r w:rsidRPr="004F4940">
        <w:rPr>
          <w:szCs w:val="26"/>
        </w:rPr>
        <w:t xml:space="preserve"> 16 U.S.C. § 824o(d)(5) (stating that the Commission, “upon its own motion or upon complaint, may order the Electric Reliability Organization to submit to the Commission a proposed reliability standard or a modification to a reliability standard </w:t>
      </w:r>
      <w:r w:rsidR="00F90F35">
        <w:rPr>
          <w:szCs w:val="26"/>
        </w:rPr>
        <w:br/>
      </w:r>
      <w:r w:rsidRPr="004F4940">
        <w:rPr>
          <w:szCs w:val="26"/>
        </w:rPr>
        <w:t>that addresses a specific matter if the Commission considers such a new or modified reliability standard appropriate to carry out this section”).</w:t>
      </w:r>
    </w:p>
  </w:footnote>
  <w:footnote w:id="96">
    <w:p w:rsidR="00306418" w:rsidRPr="004F4940" w:rsidP="00306418" w14:paraId="2C82DB03" w14:textId="77777777">
      <w:pPr>
        <w:pStyle w:val="FootnoteText"/>
      </w:pPr>
      <w:r w:rsidRPr="004F4940">
        <w:rPr>
          <w:rStyle w:val="FootnoteReference"/>
        </w:rPr>
        <w:footnoteRef/>
      </w:r>
      <w:r w:rsidRPr="004F4940">
        <w:t xml:space="preserve"> November 2021 Report at 190-91.</w:t>
      </w:r>
    </w:p>
  </w:footnote>
  <w:footnote w:id="97">
    <w:p w:rsidR="001460F7" w:rsidRPr="004F4940" w:rsidP="001460F7" w14:paraId="6FE6782C" w14:textId="77777777">
      <w:pPr>
        <w:pStyle w:val="FootnoteText"/>
        <w:rPr>
          <w:szCs w:val="26"/>
        </w:rPr>
      </w:pPr>
      <w:r w:rsidRPr="004F4940">
        <w:rPr>
          <w:rStyle w:val="FootnoteReference"/>
          <w:szCs w:val="26"/>
        </w:rPr>
        <w:footnoteRef/>
      </w:r>
      <w:r w:rsidRPr="004F4940">
        <w:rPr>
          <w:szCs w:val="26"/>
        </w:rPr>
        <w:t xml:space="preserve">  </w:t>
      </w:r>
      <w:r w:rsidRPr="004F4940" w:rsidR="00E85338">
        <w:rPr>
          <w:szCs w:val="26"/>
        </w:rPr>
        <w:t xml:space="preserve">NERC Petition Ex A-2, at </w:t>
      </w:r>
      <w:r w:rsidRPr="004F4940" w:rsidR="007A11B7">
        <w:rPr>
          <w:szCs w:val="26"/>
        </w:rPr>
        <w:t>4.</w:t>
      </w:r>
    </w:p>
  </w:footnote>
  <w:footnote w:id="98">
    <w:p w:rsidR="007C6081" w:rsidRPr="004F4940" w14:paraId="779D2E63" w14:textId="7DF03E70">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4-6</w:t>
      </w:r>
      <w:r w:rsidRPr="004F4940" w:rsidR="007522DA">
        <w:rPr>
          <w:szCs w:val="26"/>
        </w:rPr>
        <w:t>.</w:t>
      </w:r>
    </w:p>
  </w:footnote>
  <w:footnote w:id="99">
    <w:p w:rsidR="001B42A6" w:rsidRPr="004F4940" w:rsidP="001B42A6" w14:paraId="64097649" w14:textId="77777777">
      <w:pPr>
        <w:pStyle w:val="FootnoteText"/>
        <w:rPr>
          <w:szCs w:val="26"/>
        </w:rPr>
      </w:pPr>
      <w:r w:rsidRPr="004F4940">
        <w:rPr>
          <w:rStyle w:val="FootnoteReference"/>
          <w:szCs w:val="26"/>
        </w:rPr>
        <w:footnoteRef/>
      </w:r>
      <w:r w:rsidRPr="004F4940">
        <w:rPr>
          <w:szCs w:val="26"/>
        </w:rPr>
        <w:t xml:space="preserve"> EPSA/PJM Group Comments at 7-9; ISO/RTO Council Comments at 10; NEPGA Comments at 7-8.</w:t>
      </w:r>
    </w:p>
  </w:footnote>
  <w:footnote w:id="100">
    <w:p w:rsidR="001B42A6" w:rsidRPr="004F4940" w:rsidP="001B42A6" w14:paraId="5A0BC521" w14:textId="77777777">
      <w:pPr>
        <w:pStyle w:val="FootnoteText"/>
        <w:rPr>
          <w:szCs w:val="26"/>
        </w:rPr>
      </w:pPr>
      <w:r w:rsidRPr="004F4940">
        <w:rPr>
          <w:rStyle w:val="FootnoteReference"/>
          <w:szCs w:val="26"/>
        </w:rPr>
        <w:footnoteRef/>
      </w:r>
      <w:r w:rsidRPr="004F4940">
        <w:rPr>
          <w:szCs w:val="26"/>
        </w:rPr>
        <w:t xml:space="preserve"> EPSA/PJM Group Comments at 7-9.</w:t>
      </w:r>
    </w:p>
  </w:footnote>
  <w:footnote w:id="101">
    <w:p w:rsidR="001B42A6" w:rsidRPr="004F4940" w:rsidP="001B42A6" w14:paraId="10967170" w14:textId="77777777">
      <w:pPr>
        <w:pStyle w:val="FootnoteText"/>
        <w:rPr>
          <w:szCs w:val="26"/>
        </w:rPr>
      </w:pPr>
      <w:r w:rsidRPr="004F4940">
        <w:rPr>
          <w:rStyle w:val="FootnoteReference"/>
          <w:szCs w:val="26"/>
        </w:rPr>
        <w:footnoteRef/>
      </w:r>
      <w:r w:rsidRPr="004F4940">
        <w:rPr>
          <w:szCs w:val="26"/>
        </w:rPr>
        <w:t xml:space="preserve"> ISO/RTO Council Comments at 10-11. </w:t>
      </w:r>
    </w:p>
  </w:footnote>
  <w:footnote w:id="102">
    <w:p w:rsidR="001B42A6" w:rsidRPr="004F4940" w:rsidP="001B42A6" w14:paraId="768A7F1F" w14:textId="18D6494F">
      <w:pPr>
        <w:pStyle w:val="FootnoteText"/>
        <w:rPr>
          <w:szCs w:val="26"/>
        </w:rPr>
      </w:pPr>
      <w:r w:rsidRPr="004F4940">
        <w:rPr>
          <w:rStyle w:val="FootnoteReference"/>
          <w:szCs w:val="26"/>
        </w:rPr>
        <w:footnoteRef/>
      </w:r>
      <w:r w:rsidRPr="004F4940">
        <w:rPr>
          <w:szCs w:val="26"/>
        </w:rPr>
        <w:t xml:space="preserve"> Invenergy Comments at 8.</w:t>
      </w:r>
    </w:p>
  </w:footnote>
  <w:footnote w:id="103">
    <w:p w:rsidR="001B42A6" w:rsidRPr="004F4940" w:rsidP="001B42A6" w14:paraId="3A3BB343" w14:textId="6FC71458">
      <w:pPr>
        <w:pStyle w:val="FootnoteText"/>
        <w:rPr>
          <w:szCs w:val="26"/>
        </w:rPr>
      </w:pPr>
      <w:r w:rsidRPr="004F4940">
        <w:rPr>
          <w:rStyle w:val="FootnoteReference"/>
          <w:szCs w:val="26"/>
        </w:rPr>
        <w:footnoteRef/>
      </w:r>
      <w:r w:rsidRPr="004F4940">
        <w:rPr>
          <w:szCs w:val="26"/>
        </w:rPr>
        <w:t xml:space="preserve"> TCPA Comments at 2-3, 7-8</w:t>
      </w:r>
      <w:r w:rsidRPr="004F4940" w:rsidR="00343BA6">
        <w:rPr>
          <w:szCs w:val="26"/>
        </w:rPr>
        <w:t>.</w:t>
      </w:r>
    </w:p>
  </w:footnote>
  <w:footnote w:id="104">
    <w:p w:rsidR="001B42A6" w:rsidRPr="004F4940" w:rsidP="001B42A6" w14:paraId="1F58D381" w14:textId="2960245F">
      <w:pPr>
        <w:pStyle w:val="FootnoteText"/>
        <w:rPr>
          <w:szCs w:val="26"/>
        </w:rPr>
      </w:pPr>
      <w:r w:rsidRPr="004F4940">
        <w:rPr>
          <w:rStyle w:val="FootnoteReference"/>
          <w:szCs w:val="26"/>
        </w:rPr>
        <w:footnoteRef/>
      </w:r>
      <w:r w:rsidRPr="004F4940">
        <w:rPr>
          <w:szCs w:val="26"/>
        </w:rPr>
        <w:t xml:space="preserve"> </w:t>
      </w:r>
      <w:r w:rsidRPr="004F4940">
        <w:rPr>
          <w:i/>
          <w:iCs/>
          <w:szCs w:val="26"/>
        </w:rPr>
        <w:t>E.g.</w:t>
      </w:r>
      <w:r w:rsidRPr="004F4940">
        <w:rPr>
          <w:szCs w:val="26"/>
        </w:rPr>
        <w:t>, ISO/RTO Council Comments at 10</w:t>
      </w:r>
      <w:r w:rsidRPr="004F4940" w:rsidR="00AA779E">
        <w:rPr>
          <w:szCs w:val="26"/>
        </w:rPr>
        <w:t>.</w:t>
      </w:r>
    </w:p>
  </w:footnote>
  <w:footnote w:id="105">
    <w:p w:rsidR="004F37D9" w:rsidRPr="004F4940" w14:paraId="2DB6BE40" w14:textId="77777777">
      <w:pPr>
        <w:pStyle w:val="FootnoteText"/>
        <w:rPr>
          <w:szCs w:val="26"/>
        </w:rPr>
      </w:pPr>
      <w:r w:rsidRPr="004F4940">
        <w:rPr>
          <w:rStyle w:val="FootnoteReference"/>
          <w:szCs w:val="26"/>
        </w:rPr>
        <w:footnoteRef/>
      </w:r>
      <w:r w:rsidRPr="004F4940">
        <w:rPr>
          <w:szCs w:val="26"/>
        </w:rPr>
        <w:t xml:space="preserve"> </w:t>
      </w:r>
      <w:r w:rsidRPr="004F4940" w:rsidR="0078318D">
        <w:rPr>
          <w:szCs w:val="26"/>
        </w:rPr>
        <w:t>NERC Reply Comments at 13.</w:t>
      </w:r>
    </w:p>
  </w:footnote>
  <w:footnote w:id="106">
    <w:p w:rsidR="002C1798" w:rsidRPr="004F4940" w14:paraId="7C09E186" w14:textId="10A6E7EB">
      <w:pPr>
        <w:pStyle w:val="FootnoteText"/>
      </w:pPr>
      <w:r w:rsidRPr="004F4940">
        <w:rPr>
          <w:rStyle w:val="FootnoteReference"/>
        </w:rPr>
        <w:footnoteRef/>
      </w:r>
      <w:r w:rsidRPr="004F4940">
        <w:t xml:space="preserve"> </w:t>
      </w:r>
      <w:r w:rsidRPr="004F4940">
        <w:rPr>
          <w:i/>
          <w:iCs/>
        </w:rPr>
        <w:t>See</w:t>
      </w:r>
      <w:r w:rsidRPr="004F4940" w:rsidR="00783B76">
        <w:rPr>
          <w:i/>
          <w:iCs/>
        </w:rPr>
        <w:t>,</w:t>
      </w:r>
      <w:r w:rsidRPr="004F4940">
        <w:rPr>
          <w:i/>
          <w:iCs/>
        </w:rPr>
        <w:t xml:space="preserve"> e.g., </w:t>
      </w:r>
      <w:r w:rsidRPr="004F4940">
        <w:t>I</w:t>
      </w:r>
      <w:r w:rsidRPr="004F4940" w:rsidR="00901CF5">
        <w:t>SO</w:t>
      </w:r>
      <w:r w:rsidRPr="004F4940" w:rsidR="00F15649">
        <w:t>/</w:t>
      </w:r>
      <w:r w:rsidRPr="004F4940" w:rsidR="00901CF5">
        <w:t>RTO</w:t>
      </w:r>
      <w:r w:rsidRPr="004F4940">
        <w:t xml:space="preserve"> Comments at 10</w:t>
      </w:r>
      <w:r w:rsidRPr="004F4940" w:rsidR="00AA779E">
        <w:t xml:space="preserve"> (cautioning that the “broad undefined ‘commercial’ exemption could lead to the exception swallowing the rule”)</w:t>
      </w:r>
      <w:r w:rsidRPr="004F4940" w:rsidR="00901CF5">
        <w:t>.</w:t>
      </w:r>
    </w:p>
  </w:footnote>
  <w:footnote w:id="107">
    <w:p w:rsidR="004D5A3C" w:rsidRPr="004F4940" w:rsidP="00710D39" w14:paraId="56AD748A" w14:textId="16216B02">
      <w:pPr>
        <w:pStyle w:val="FootnoteText"/>
        <w:rPr>
          <w:szCs w:val="26"/>
        </w:rPr>
      </w:pPr>
      <w:r w:rsidRPr="004F4940">
        <w:rPr>
          <w:rStyle w:val="FootnoteReference"/>
          <w:szCs w:val="26"/>
        </w:rPr>
        <w:footnoteRef/>
      </w:r>
      <w:r w:rsidRPr="004F4940">
        <w:rPr>
          <w:szCs w:val="26"/>
        </w:rPr>
        <w:t xml:space="preserve"> Order No. 693, </w:t>
      </w:r>
      <w:r w:rsidRPr="004F4940" w:rsidR="000A2959">
        <w:rPr>
          <w:szCs w:val="26"/>
        </w:rPr>
        <w:t>1</w:t>
      </w:r>
      <w:r w:rsidRPr="004F4940" w:rsidR="005C091C">
        <w:rPr>
          <w:szCs w:val="26"/>
        </w:rPr>
        <w:t>18</w:t>
      </w:r>
      <w:r w:rsidRPr="004F4940" w:rsidR="000A2959">
        <w:rPr>
          <w:szCs w:val="26"/>
        </w:rPr>
        <w:t xml:space="preserve"> FERC ¶ 61,218 at PP 1</w:t>
      </w:r>
      <w:r w:rsidRPr="004F4940">
        <w:rPr>
          <w:szCs w:val="26"/>
        </w:rPr>
        <w:t>, 461.</w:t>
      </w:r>
    </w:p>
  </w:footnote>
  <w:footnote w:id="108">
    <w:p w:rsidR="00322A68" w:rsidRPr="004F4940" w:rsidP="00710D39" w14:paraId="575CC36C" w14:textId="51C2B24A">
      <w:pPr>
        <w:pStyle w:val="FootnoteText"/>
        <w:rPr>
          <w:szCs w:val="26"/>
        </w:rPr>
      </w:pPr>
      <w:r w:rsidRPr="004F4940">
        <w:rPr>
          <w:rStyle w:val="FootnoteReference"/>
          <w:szCs w:val="26"/>
        </w:rPr>
        <w:footnoteRef/>
      </w:r>
      <w:r w:rsidRPr="004F4940" w:rsidR="004F2116">
        <w:rPr>
          <w:szCs w:val="26"/>
        </w:rPr>
        <w:t xml:space="preserve"> </w:t>
      </w:r>
      <w:r w:rsidRPr="004F4940" w:rsidR="007840D0">
        <w:rPr>
          <w:i/>
          <w:iCs/>
          <w:szCs w:val="26"/>
        </w:rPr>
        <w:t>See</w:t>
      </w:r>
      <w:r w:rsidRPr="004F4940" w:rsidR="007840D0">
        <w:rPr>
          <w:iCs/>
          <w:szCs w:val="26"/>
        </w:rPr>
        <w:t xml:space="preserve"> </w:t>
      </w:r>
      <w:r w:rsidRPr="004F4940" w:rsidR="004F2116">
        <w:rPr>
          <w:szCs w:val="26"/>
        </w:rPr>
        <w:t>Order No. 791, 145 FERC </w:t>
      </w:r>
      <w:r w:rsidRPr="004F4940" w:rsidR="000A2959">
        <w:rPr>
          <w:szCs w:val="26"/>
        </w:rPr>
        <w:t>¶ 6</w:t>
      </w:r>
      <w:r w:rsidRPr="004F4940" w:rsidR="004F2116">
        <w:rPr>
          <w:szCs w:val="26"/>
        </w:rPr>
        <w:t>1,160</w:t>
      </w:r>
      <w:r w:rsidRPr="004F4940" w:rsidR="007840D0">
        <w:rPr>
          <w:szCs w:val="26"/>
        </w:rPr>
        <w:t xml:space="preserve"> at </w:t>
      </w:r>
      <w:r w:rsidRPr="004F4940" w:rsidR="004F2116">
        <w:rPr>
          <w:szCs w:val="26"/>
        </w:rPr>
        <w:t>P</w:t>
      </w:r>
      <w:r w:rsidRPr="004F4940" w:rsidR="000A2959">
        <w:rPr>
          <w:szCs w:val="26"/>
        </w:rPr>
        <w:t>P 4</w:t>
      </w:r>
      <w:r w:rsidRPr="004F4940" w:rsidR="004F2116">
        <w:rPr>
          <w:szCs w:val="26"/>
        </w:rPr>
        <w:t>9-53, 67, 69</w:t>
      </w:r>
      <w:r w:rsidRPr="004F4940" w:rsidR="007840D0">
        <w:rPr>
          <w:szCs w:val="26"/>
        </w:rPr>
        <w:t>.</w:t>
      </w:r>
    </w:p>
  </w:footnote>
  <w:footnote w:id="109">
    <w:p w:rsidR="001C4234" w:rsidRPr="004F4940" w:rsidP="001C4234" w14:paraId="1CC1F8A7" w14:textId="1104B2CB">
      <w:pPr>
        <w:pStyle w:val="FootnoteText"/>
        <w:rPr>
          <w:szCs w:val="26"/>
        </w:rPr>
      </w:pPr>
      <w:r w:rsidRPr="004F4940">
        <w:rPr>
          <w:rStyle w:val="FootnoteReference"/>
          <w:szCs w:val="26"/>
        </w:rPr>
        <w:footnoteRef/>
      </w:r>
      <w:r w:rsidRPr="004F4940">
        <w:rPr>
          <w:szCs w:val="26"/>
        </w:rPr>
        <w:t xml:space="preserve"> TCPA Comments at 2-3, 7-8 (recommending that commercial constraints be expanded to include economic issues).</w:t>
      </w:r>
    </w:p>
  </w:footnote>
  <w:footnote w:id="110">
    <w:p w:rsidR="00DF7EB3" w:rsidRPr="004F4940" w14:paraId="586CE027" w14:textId="11419783">
      <w:pPr>
        <w:pStyle w:val="FootnoteText"/>
      </w:pPr>
      <w:r w:rsidRPr="004F4940">
        <w:rPr>
          <w:rStyle w:val="FootnoteReference"/>
        </w:rPr>
        <w:footnoteRef/>
      </w:r>
      <w:r w:rsidRPr="004F4940">
        <w:t xml:space="preserve"> </w:t>
      </w:r>
      <w:r w:rsidRPr="004F4940">
        <w:rPr>
          <w:i/>
          <w:iCs/>
        </w:rPr>
        <w:t>Id</w:t>
      </w:r>
      <w:r w:rsidRPr="004F4940">
        <w:rPr>
          <w:i/>
        </w:rPr>
        <w:t>.</w:t>
      </w:r>
      <w:r w:rsidRPr="004F4940">
        <w:t xml:space="preserve"> at 2.</w:t>
      </w:r>
    </w:p>
  </w:footnote>
  <w:footnote w:id="111">
    <w:p w:rsidR="006C6DB6" w:rsidRPr="004F4940" w14:paraId="63E02EED" w14:textId="0CD61CD3">
      <w:pPr>
        <w:pStyle w:val="FootnoteText"/>
        <w:rPr>
          <w:szCs w:val="26"/>
        </w:rPr>
      </w:pPr>
      <w:r w:rsidRPr="004F4940">
        <w:rPr>
          <w:rStyle w:val="FootnoteReference"/>
          <w:szCs w:val="26"/>
        </w:rPr>
        <w:footnoteRef/>
      </w:r>
      <w:r w:rsidRPr="004F4940">
        <w:rPr>
          <w:szCs w:val="26"/>
        </w:rPr>
        <w:t xml:space="preserve"> </w:t>
      </w:r>
      <w:r w:rsidRPr="004F4940" w:rsidR="00B9492A">
        <w:rPr>
          <w:szCs w:val="26"/>
        </w:rPr>
        <w:t>This order discusses</w:t>
      </w:r>
      <w:r w:rsidRPr="004F4940" w:rsidR="00AC3542">
        <w:rPr>
          <w:szCs w:val="26"/>
        </w:rPr>
        <w:t xml:space="preserve"> </w:t>
      </w:r>
      <w:r w:rsidRPr="004F4940" w:rsidR="009B74E4">
        <w:rPr>
          <w:szCs w:val="26"/>
        </w:rPr>
        <w:t>cost recovery mechanisms</w:t>
      </w:r>
      <w:r w:rsidRPr="004F4940" w:rsidR="000D6C39">
        <w:rPr>
          <w:szCs w:val="26"/>
        </w:rPr>
        <w:t xml:space="preserve"> </w:t>
      </w:r>
      <w:r w:rsidRPr="004F4940" w:rsidR="00B50BB5">
        <w:rPr>
          <w:szCs w:val="26"/>
        </w:rPr>
        <w:t>in more detail in section 5</w:t>
      </w:r>
      <w:r w:rsidRPr="004F4940" w:rsidR="009B74E4">
        <w:rPr>
          <w:szCs w:val="26"/>
        </w:rPr>
        <w:t>.</w:t>
      </w:r>
    </w:p>
  </w:footnote>
  <w:footnote w:id="112">
    <w:p w:rsidR="00F8607B" w:rsidRPr="004F4940" w:rsidP="00F8607B" w14:paraId="405613E8" w14:textId="1C5E2AC0">
      <w:pPr>
        <w:pStyle w:val="FootnoteText"/>
        <w:rPr>
          <w:szCs w:val="26"/>
        </w:rPr>
      </w:pPr>
      <w:r w:rsidRPr="004F4940">
        <w:rPr>
          <w:rStyle w:val="FootnoteReference"/>
          <w:szCs w:val="26"/>
        </w:rPr>
        <w:footnoteRef/>
      </w:r>
      <w:r w:rsidRPr="004F4940">
        <w:rPr>
          <w:szCs w:val="26"/>
        </w:rPr>
        <w:t xml:space="preserve"> </w:t>
      </w:r>
      <w:r w:rsidRPr="004F4940" w:rsidR="007840D0">
        <w:rPr>
          <w:i/>
          <w:iCs/>
          <w:szCs w:val="26"/>
        </w:rPr>
        <w:t>Id</w:t>
      </w:r>
      <w:r w:rsidRPr="004F4940" w:rsidR="007840D0">
        <w:rPr>
          <w:i/>
          <w:szCs w:val="26"/>
        </w:rPr>
        <w:t>.</w:t>
      </w:r>
      <w:r w:rsidRPr="004F4940">
        <w:rPr>
          <w:szCs w:val="26"/>
        </w:rPr>
        <w:t xml:space="preserve"> at 24.</w:t>
      </w:r>
    </w:p>
  </w:footnote>
  <w:footnote w:id="113">
    <w:p w:rsidR="00F8607B" w:rsidRPr="004F4940" w:rsidP="00F8607B" w14:paraId="41468CEA" w14:textId="0D1C91FD">
      <w:pPr>
        <w:pStyle w:val="FootnoteText"/>
      </w:pPr>
      <w:r w:rsidRPr="004F4940">
        <w:rPr>
          <w:rStyle w:val="FootnoteReference"/>
        </w:rPr>
        <w:footnoteRef/>
      </w:r>
      <w:r w:rsidRPr="004F4940" w:rsidR="7F855522">
        <w:rPr>
          <w:szCs w:val="26"/>
        </w:rPr>
        <w:t xml:space="preserve"> </w:t>
      </w:r>
      <w:r w:rsidRPr="004F4940" w:rsidR="7F855522">
        <w:rPr>
          <w:i/>
          <w:iCs/>
        </w:rPr>
        <w:t>Id</w:t>
      </w:r>
      <w:r w:rsidRPr="004F4940" w:rsidR="7F855522">
        <w:rPr>
          <w:i/>
        </w:rPr>
        <w:t>.</w:t>
      </w:r>
      <w:r w:rsidRPr="004F4940" w:rsidR="7F855522">
        <w:t xml:space="preserve"> at 25-27 (relying on the Modernization and Associated Restructuring from the National Weather Service, which has higher quality, more granular temperature data in more locations).</w:t>
      </w:r>
    </w:p>
  </w:footnote>
  <w:footnote w:id="114">
    <w:p w:rsidR="00D36BC6" w:rsidRPr="004F4940" w:rsidP="00D36BC6" w14:paraId="4A98BA7C" w14:textId="7A94A860">
      <w:pPr>
        <w:pStyle w:val="FootnoteText"/>
        <w:rPr>
          <w:szCs w:val="26"/>
        </w:rPr>
      </w:pPr>
      <w:r w:rsidRPr="004F4940">
        <w:rPr>
          <w:rStyle w:val="FootnoteReference"/>
          <w:szCs w:val="26"/>
        </w:rPr>
        <w:footnoteRef/>
      </w:r>
      <w:r w:rsidRPr="004F4940">
        <w:rPr>
          <w:szCs w:val="26"/>
        </w:rPr>
        <w:t xml:space="preserve"> NEPGA/EPSA/PJM Group Answer at 3-4; ISO/RTO Comments at 6.</w:t>
      </w:r>
    </w:p>
  </w:footnote>
  <w:footnote w:id="115">
    <w:p w:rsidR="00D32D85" w:rsidRPr="004F4940" w14:paraId="6036F9D7" w14:textId="2EA94822">
      <w:pPr>
        <w:pStyle w:val="FootnoteText"/>
        <w:rPr>
          <w:szCs w:val="26"/>
        </w:rPr>
      </w:pPr>
      <w:r w:rsidRPr="004F4940">
        <w:rPr>
          <w:rStyle w:val="FootnoteReference"/>
          <w:szCs w:val="26"/>
        </w:rPr>
        <w:footnoteRef/>
      </w:r>
      <w:r w:rsidRPr="004F4940">
        <w:rPr>
          <w:szCs w:val="26"/>
        </w:rPr>
        <w:t xml:space="preserve"> ISO/RTO Council Comments at 7</w:t>
      </w:r>
      <w:r w:rsidRPr="004F4940" w:rsidR="001013A4">
        <w:rPr>
          <w:szCs w:val="26"/>
        </w:rPr>
        <w:t>-9.</w:t>
      </w:r>
    </w:p>
  </w:footnote>
  <w:footnote w:id="116">
    <w:p w:rsidR="00D36BC6" w:rsidRPr="004F4940" w:rsidP="00D36BC6" w14:paraId="381BA24B" w14:textId="2F41055D">
      <w:pPr>
        <w:pStyle w:val="FootnoteText"/>
        <w:rPr>
          <w:szCs w:val="26"/>
        </w:rPr>
      </w:pPr>
      <w:r w:rsidRPr="004F4940">
        <w:rPr>
          <w:rStyle w:val="FootnoteReference"/>
          <w:szCs w:val="26"/>
        </w:rPr>
        <w:footnoteRef/>
      </w:r>
      <w:r w:rsidRPr="004F4940">
        <w:rPr>
          <w:szCs w:val="26"/>
        </w:rPr>
        <w:t xml:space="preserve"> NEPGA/EPSA/PJM Group Answer at 3-8 (requesting that the Commission </w:t>
      </w:r>
      <w:r w:rsidRPr="004F4940">
        <w:rPr>
          <w:i/>
          <w:iCs/>
          <w:szCs w:val="26"/>
        </w:rPr>
        <w:t>not</w:t>
      </w:r>
      <w:r w:rsidRPr="004F4940">
        <w:rPr>
          <w:iCs/>
          <w:szCs w:val="26"/>
        </w:rPr>
        <w:t xml:space="preserve"> </w:t>
      </w:r>
      <w:r w:rsidRPr="004F4940">
        <w:rPr>
          <w:szCs w:val="26"/>
        </w:rPr>
        <w:t>adopt the ISO/RTO Council’s alternative Extreme Cold Weather Temperature proposal).</w:t>
      </w:r>
    </w:p>
  </w:footnote>
  <w:footnote w:id="117">
    <w:p w:rsidR="00D36BC6" w:rsidRPr="004F4940" w:rsidP="00D36BC6" w14:paraId="172DF463" w14:textId="6C777F6C">
      <w:pPr>
        <w:pStyle w:val="FootnoteText"/>
        <w:rPr>
          <w:szCs w:val="26"/>
        </w:rPr>
      </w:pPr>
      <w:r w:rsidRPr="004F4940">
        <w:rPr>
          <w:rStyle w:val="FootnoteReference"/>
          <w:szCs w:val="26"/>
        </w:rPr>
        <w:footnoteRef/>
      </w:r>
      <w:r w:rsidRPr="004F4940">
        <w:rPr>
          <w:szCs w:val="26"/>
        </w:rPr>
        <w:t xml:space="preserve"> Invenergy Comments at 7-8</w:t>
      </w:r>
      <w:r w:rsidRPr="004F4940" w:rsidR="00174983">
        <w:rPr>
          <w:szCs w:val="26"/>
        </w:rPr>
        <w:t>.</w:t>
      </w:r>
    </w:p>
  </w:footnote>
  <w:footnote w:id="118">
    <w:p w:rsidR="00D36BC6" w:rsidRPr="004F4940" w:rsidP="00D36BC6" w14:paraId="590524F9" w14:textId="3F604CBE">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8.</w:t>
      </w:r>
    </w:p>
  </w:footnote>
  <w:footnote w:id="119">
    <w:p w:rsidR="00174983" w:rsidRPr="004F4940" w14:paraId="2D6B2A53" w14:textId="10562D7B">
      <w:pPr>
        <w:pStyle w:val="FootnoteText"/>
      </w:pPr>
      <w:r w:rsidRPr="004F4940">
        <w:rPr>
          <w:rStyle w:val="FootnoteReference"/>
        </w:rPr>
        <w:footnoteRef/>
      </w:r>
      <w:r w:rsidRPr="004F4940">
        <w:t xml:space="preserve"> </w:t>
      </w:r>
      <w:r w:rsidRPr="004F4940">
        <w:rPr>
          <w:i/>
          <w:iCs/>
        </w:rPr>
        <w:t>Id</w:t>
      </w:r>
      <w:r w:rsidRPr="004F4940">
        <w:rPr>
          <w:i/>
        </w:rPr>
        <w:t>.</w:t>
      </w:r>
      <w:r w:rsidRPr="004F4940">
        <w:t xml:space="preserve"> at 7-8.</w:t>
      </w:r>
    </w:p>
  </w:footnote>
  <w:footnote w:id="120">
    <w:p w:rsidR="00476224" w:rsidRPr="004F4940" w:rsidP="00710D39" w14:paraId="35684856" w14:textId="77777777">
      <w:pPr>
        <w:pStyle w:val="FootnoteText"/>
        <w:rPr>
          <w:szCs w:val="26"/>
        </w:rPr>
      </w:pPr>
      <w:r w:rsidRPr="004F4940">
        <w:rPr>
          <w:rStyle w:val="FootnoteReference"/>
          <w:szCs w:val="26"/>
        </w:rPr>
        <w:footnoteRef/>
      </w:r>
      <w:r w:rsidRPr="004F4940">
        <w:rPr>
          <w:szCs w:val="26"/>
        </w:rPr>
        <w:t xml:space="preserve"> NERC Petition at </w:t>
      </w:r>
      <w:r w:rsidRPr="004F4940" w:rsidR="00D14122">
        <w:rPr>
          <w:szCs w:val="26"/>
        </w:rPr>
        <w:t>24.</w:t>
      </w:r>
    </w:p>
  </w:footnote>
  <w:footnote w:id="121">
    <w:p w:rsidR="00604335" w:rsidRPr="004F4940" w:rsidP="00710D39" w14:paraId="7CABE9F3" w14:textId="77777777">
      <w:pPr>
        <w:pStyle w:val="FootnoteText"/>
        <w:rPr>
          <w:szCs w:val="26"/>
        </w:rPr>
      </w:pPr>
      <w:r w:rsidRPr="004F4940">
        <w:rPr>
          <w:rStyle w:val="FootnoteReference"/>
          <w:szCs w:val="26"/>
        </w:rPr>
        <w:footnoteRef/>
      </w:r>
      <w:r w:rsidRPr="004F4940">
        <w:rPr>
          <w:szCs w:val="26"/>
        </w:rPr>
        <w:t xml:space="preserve"> </w:t>
      </w:r>
      <w:r w:rsidRPr="004F4940" w:rsidR="004B0BA5">
        <w:rPr>
          <w:i/>
          <w:iCs/>
          <w:szCs w:val="26"/>
        </w:rPr>
        <w:t>Id</w:t>
      </w:r>
      <w:r w:rsidRPr="004F4940" w:rsidR="004B0BA5">
        <w:rPr>
          <w:i/>
          <w:szCs w:val="26"/>
        </w:rPr>
        <w:t>.</w:t>
      </w:r>
      <w:r w:rsidRPr="004F4940" w:rsidR="004B0BA5">
        <w:rPr>
          <w:szCs w:val="26"/>
        </w:rPr>
        <w:t xml:space="preserve"> at 25-27.</w:t>
      </w:r>
    </w:p>
  </w:footnote>
  <w:footnote w:id="122">
    <w:p w:rsidR="000250D1" w:rsidRPr="004F4940" w:rsidP="00710D39" w14:paraId="6A3AFFE4" w14:textId="094C2DB9">
      <w:pPr>
        <w:pStyle w:val="FootnoteText"/>
        <w:rPr>
          <w:szCs w:val="26"/>
        </w:rPr>
      </w:pPr>
      <w:r w:rsidRPr="004F4940">
        <w:rPr>
          <w:rStyle w:val="FootnoteReference"/>
          <w:szCs w:val="26"/>
        </w:rPr>
        <w:footnoteRef/>
      </w:r>
      <w:r w:rsidRPr="004F4940">
        <w:rPr>
          <w:szCs w:val="26"/>
        </w:rPr>
        <w:t xml:space="preserve"> </w:t>
      </w:r>
      <w:r w:rsidRPr="004F4940" w:rsidR="00F6484F">
        <w:rPr>
          <w:i/>
          <w:iCs/>
          <w:szCs w:val="26"/>
        </w:rPr>
        <w:t>See Order Approving Cold Weather Reliability Standards</w:t>
      </w:r>
      <w:r w:rsidRPr="004F4940" w:rsidR="00F6484F">
        <w:rPr>
          <w:szCs w:val="26"/>
        </w:rPr>
        <w:t>,</w:t>
      </w:r>
      <w:r w:rsidRPr="004F4940" w:rsidR="00F6484F">
        <w:rPr>
          <w:iCs/>
          <w:szCs w:val="26"/>
        </w:rPr>
        <w:t xml:space="preserve"> </w:t>
      </w:r>
      <w:r w:rsidRPr="004F4940" w:rsidR="00F6484F">
        <w:rPr>
          <w:szCs w:val="26"/>
        </w:rPr>
        <w:t xml:space="preserve">176 FERC </w:t>
      </w:r>
      <w:r w:rsidRPr="004F4940" w:rsidR="000A2959">
        <w:rPr>
          <w:szCs w:val="26"/>
        </w:rPr>
        <w:t>¶ 6</w:t>
      </w:r>
      <w:r w:rsidRPr="004F4940" w:rsidR="00F6484F">
        <w:rPr>
          <w:szCs w:val="26"/>
        </w:rPr>
        <w:t xml:space="preserve">1,119, </w:t>
      </w:r>
      <w:r w:rsidRPr="004F4940" w:rsidR="00BA4E27">
        <w:rPr>
          <w:szCs w:val="26"/>
        </w:rPr>
        <w:t xml:space="preserve">at </w:t>
      </w:r>
      <w:r w:rsidRPr="004F4940" w:rsidR="00F6484F">
        <w:rPr>
          <w:szCs w:val="26"/>
        </w:rPr>
        <w:t>P</w:t>
      </w:r>
      <w:r w:rsidRPr="004F4940" w:rsidR="00BA4E27">
        <w:rPr>
          <w:szCs w:val="26"/>
        </w:rPr>
        <w:t> </w:t>
      </w:r>
      <w:r w:rsidRPr="004F4940" w:rsidR="00F6484F">
        <w:rPr>
          <w:szCs w:val="26"/>
        </w:rPr>
        <w:t>1.</w:t>
      </w:r>
    </w:p>
  </w:footnote>
  <w:footnote w:id="123">
    <w:p w:rsidR="00D81937" w:rsidRPr="004F4940" w14:paraId="7477CE54" w14:textId="2CA09E5E">
      <w:pPr>
        <w:pStyle w:val="FootnoteText"/>
        <w:rPr>
          <w:szCs w:val="26"/>
        </w:rPr>
      </w:pPr>
      <w:r w:rsidRPr="004F4940">
        <w:rPr>
          <w:rStyle w:val="FootnoteReference"/>
          <w:szCs w:val="26"/>
        </w:rPr>
        <w:footnoteRef/>
      </w:r>
      <w:r w:rsidRPr="004F4940">
        <w:rPr>
          <w:szCs w:val="26"/>
        </w:rPr>
        <w:t xml:space="preserve"> NERC Petition at 130 (relying on this approach to ensure that the Extreme </w:t>
      </w:r>
      <w:r w:rsidR="00F90F35">
        <w:rPr>
          <w:szCs w:val="26"/>
        </w:rPr>
        <w:br/>
      </w:r>
      <w:r w:rsidRPr="004F4940">
        <w:rPr>
          <w:szCs w:val="26"/>
        </w:rPr>
        <w:t>Cold Weather Temperature does not result in an overly conservative design or preclude the generator owner from using historical operating data to show compliance).</w:t>
      </w:r>
    </w:p>
  </w:footnote>
  <w:footnote w:id="124">
    <w:p w:rsidR="00045713" w:rsidRPr="004F4940" w14:paraId="1D20CE3B" w14:textId="4396B36E">
      <w:pPr>
        <w:pStyle w:val="FootnoteText"/>
      </w:pPr>
      <w:r w:rsidRPr="004F4940">
        <w:rPr>
          <w:rStyle w:val="FootnoteReference"/>
        </w:rPr>
        <w:footnoteRef/>
      </w:r>
      <w:r w:rsidRPr="004F4940">
        <w:t xml:space="preserve"> </w:t>
      </w:r>
      <w:r w:rsidRPr="004F4940">
        <w:rPr>
          <w:i/>
          <w:iCs/>
        </w:rPr>
        <w:t xml:space="preserve">See </w:t>
      </w:r>
      <w:r w:rsidRPr="004F4940">
        <w:t xml:space="preserve">Invenergy Comments at </w:t>
      </w:r>
      <w:r w:rsidRPr="004F4940" w:rsidR="00EA6E15">
        <w:t>7-8.</w:t>
      </w:r>
    </w:p>
  </w:footnote>
  <w:footnote w:id="125">
    <w:p w:rsidR="006729F5" w:rsidRPr="004F4940" w:rsidP="00710D39" w14:paraId="33335A10" w14:textId="30B4CC09">
      <w:pPr>
        <w:pStyle w:val="FootnoteText"/>
        <w:rPr>
          <w:szCs w:val="26"/>
        </w:rPr>
      </w:pPr>
      <w:r w:rsidRPr="004F4940">
        <w:rPr>
          <w:rStyle w:val="FootnoteReference"/>
          <w:szCs w:val="26"/>
        </w:rPr>
        <w:footnoteRef/>
      </w:r>
      <w:r w:rsidRPr="004F4940" w:rsidR="0D3E6A2E">
        <w:rPr>
          <w:szCs w:val="26"/>
        </w:rPr>
        <w:t xml:space="preserve"> Reliability Standard</w:t>
      </w:r>
      <w:r w:rsidRPr="004F4940">
        <w:rPr>
          <w:szCs w:val="26"/>
        </w:rPr>
        <w:t xml:space="preserve"> EOP-012-1 already mandates a five</w:t>
      </w:r>
      <w:r w:rsidRPr="004F4940" w:rsidR="20F00B4F">
        <w:rPr>
          <w:szCs w:val="26"/>
        </w:rPr>
        <w:t>-</w:t>
      </w:r>
      <w:r w:rsidRPr="004F4940">
        <w:rPr>
          <w:szCs w:val="26"/>
        </w:rPr>
        <w:t>year</w:t>
      </w:r>
      <w:r w:rsidRPr="004F4940" w:rsidR="00405D15">
        <w:rPr>
          <w:szCs w:val="26"/>
        </w:rPr>
        <w:t xml:space="preserve"> </w:t>
      </w:r>
      <w:r w:rsidRPr="004F4940">
        <w:rPr>
          <w:szCs w:val="26"/>
        </w:rPr>
        <w:t>Extreme</w:t>
      </w:r>
      <w:r w:rsidRPr="004F4940" w:rsidR="00405D15">
        <w:rPr>
          <w:szCs w:val="26"/>
        </w:rPr>
        <w:t xml:space="preserve"> </w:t>
      </w:r>
      <w:r w:rsidRPr="004F4940">
        <w:rPr>
          <w:szCs w:val="26"/>
        </w:rPr>
        <w:t>Cold</w:t>
      </w:r>
      <w:r w:rsidRPr="004F4940" w:rsidR="00405D15">
        <w:rPr>
          <w:szCs w:val="26"/>
        </w:rPr>
        <w:t xml:space="preserve"> </w:t>
      </w:r>
      <w:r w:rsidRPr="004F4940">
        <w:rPr>
          <w:szCs w:val="26"/>
        </w:rPr>
        <w:t>Weather</w:t>
      </w:r>
      <w:r w:rsidRPr="004F4940" w:rsidR="00405D15">
        <w:rPr>
          <w:szCs w:val="26"/>
        </w:rPr>
        <w:t xml:space="preserve"> </w:t>
      </w:r>
      <w:r w:rsidRPr="004F4940">
        <w:rPr>
          <w:szCs w:val="26"/>
        </w:rPr>
        <w:t>Temperature</w:t>
      </w:r>
      <w:r w:rsidRPr="004F4940" w:rsidR="00405D15">
        <w:rPr>
          <w:szCs w:val="26"/>
        </w:rPr>
        <w:t xml:space="preserve"> </w:t>
      </w:r>
      <w:r w:rsidRPr="004F4940">
        <w:rPr>
          <w:szCs w:val="26"/>
        </w:rPr>
        <w:t>re-calculation</w:t>
      </w:r>
      <w:r w:rsidRPr="004F4940" w:rsidR="00405D15">
        <w:rPr>
          <w:szCs w:val="26"/>
        </w:rPr>
        <w:t xml:space="preserve"> </w:t>
      </w:r>
      <w:r w:rsidRPr="004F4940">
        <w:rPr>
          <w:szCs w:val="26"/>
        </w:rPr>
        <w:t>and updates to</w:t>
      </w:r>
      <w:r w:rsidRPr="004F4940" w:rsidR="00405D15">
        <w:rPr>
          <w:szCs w:val="26"/>
        </w:rPr>
        <w:t xml:space="preserve"> </w:t>
      </w:r>
      <w:r w:rsidRPr="004F4940">
        <w:rPr>
          <w:szCs w:val="26"/>
        </w:rPr>
        <w:t>corrective actions</w:t>
      </w:r>
      <w:r w:rsidRPr="004F4940" w:rsidR="00405D15">
        <w:rPr>
          <w:szCs w:val="26"/>
        </w:rPr>
        <w:t xml:space="preserve"> </w:t>
      </w:r>
      <w:r w:rsidRPr="004F4940">
        <w:rPr>
          <w:szCs w:val="26"/>
        </w:rPr>
        <w:t>where warranted.</w:t>
      </w:r>
    </w:p>
  </w:footnote>
  <w:footnote w:id="126">
    <w:p w:rsidR="009955E0" w:rsidRPr="004F4940" w:rsidP="00710D39" w14:paraId="5412E0DE" w14:textId="0A836D1D">
      <w:pPr>
        <w:pStyle w:val="FootnoteText"/>
        <w:rPr>
          <w:szCs w:val="26"/>
        </w:rPr>
      </w:pPr>
      <w:r w:rsidRPr="004F4940">
        <w:rPr>
          <w:rStyle w:val="FootnoteReference"/>
          <w:szCs w:val="26"/>
        </w:rPr>
        <w:footnoteRef/>
      </w:r>
      <w:r w:rsidRPr="004F4940">
        <w:rPr>
          <w:szCs w:val="26"/>
        </w:rPr>
        <w:t xml:space="preserve"> </w:t>
      </w:r>
      <w:r w:rsidRPr="004F4940" w:rsidR="0093222B">
        <w:rPr>
          <w:szCs w:val="26"/>
        </w:rPr>
        <w:t>The proposed Standard requires u</w:t>
      </w:r>
      <w:r w:rsidRPr="004F4940" w:rsidR="009C24ED">
        <w:rPr>
          <w:szCs w:val="26"/>
        </w:rPr>
        <w:t>pdates r</w:t>
      </w:r>
      <w:r w:rsidRPr="004F4940">
        <w:rPr>
          <w:szCs w:val="26"/>
        </w:rPr>
        <w:t>egardless of the</w:t>
      </w:r>
      <w:r w:rsidRPr="004F4940" w:rsidR="00405D15">
        <w:rPr>
          <w:szCs w:val="26"/>
        </w:rPr>
        <w:t xml:space="preserve"> </w:t>
      </w:r>
      <w:r w:rsidRPr="004F4940">
        <w:rPr>
          <w:szCs w:val="26"/>
        </w:rPr>
        <w:t>Extreme</w:t>
      </w:r>
      <w:r w:rsidRPr="004F4940" w:rsidR="00405D15">
        <w:rPr>
          <w:szCs w:val="26"/>
        </w:rPr>
        <w:t xml:space="preserve"> </w:t>
      </w:r>
      <w:r w:rsidRPr="004F4940">
        <w:rPr>
          <w:szCs w:val="26"/>
        </w:rPr>
        <w:t>Cold</w:t>
      </w:r>
      <w:r w:rsidRPr="004F4940" w:rsidR="00405D15">
        <w:rPr>
          <w:szCs w:val="26"/>
        </w:rPr>
        <w:t xml:space="preserve"> </w:t>
      </w:r>
      <w:r w:rsidRPr="004F4940">
        <w:rPr>
          <w:szCs w:val="26"/>
        </w:rPr>
        <w:t>Weather</w:t>
      </w:r>
      <w:r w:rsidRPr="004F4940" w:rsidR="00405D15">
        <w:rPr>
          <w:szCs w:val="26"/>
        </w:rPr>
        <w:t xml:space="preserve"> </w:t>
      </w:r>
      <w:r w:rsidRPr="004F4940">
        <w:rPr>
          <w:szCs w:val="26"/>
        </w:rPr>
        <w:t>Temperature</w:t>
      </w:r>
      <w:r w:rsidRPr="004F4940" w:rsidR="00405D15">
        <w:rPr>
          <w:szCs w:val="26"/>
        </w:rPr>
        <w:t xml:space="preserve"> </w:t>
      </w:r>
      <w:r w:rsidRPr="004F4940">
        <w:rPr>
          <w:szCs w:val="26"/>
        </w:rPr>
        <w:t>methodology used.</w:t>
      </w:r>
    </w:p>
  </w:footnote>
  <w:footnote w:id="127">
    <w:p w:rsidR="00F8607B" w:rsidRPr="004F4940" w:rsidP="00F8607B" w14:paraId="7349824E" w14:textId="21882AEB">
      <w:pPr>
        <w:pStyle w:val="FootnoteText"/>
        <w:rPr>
          <w:szCs w:val="26"/>
        </w:rPr>
      </w:pPr>
      <w:r w:rsidRPr="004F4940">
        <w:rPr>
          <w:rStyle w:val="FootnoteReference"/>
          <w:szCs w:val="26"/>
        </w:rPr>
        <w:footnoteRef/>
      </w:r>
      <w:r w:rsidRPr="004F4940">
        <w:rPr>
          <w:szCs w:val="26"/>
        </w:rPr>
        <w:t xml:space="preserve"> NERC Petition at 43.</w:t>
      </w:r>
    </w:p>
  </w:footnote>
  <w:footnote w:id="128">
    <w:p w:rsidR="00EE7C2F" w:rsidRPr="004F4940" w14:paraId="6618EC7C" w14:textId="331BC484">
      <w:pPr>
        <w:pStyle w:val="FootnoteText"/>
        <w:rPr>
          <w:szCs w:val="26"/>
        </w:rPr>
      </w:pPr>
      <w:r w:rsidRPr="004F4940">
        <w:rPr>
          <w:rStyle w:val="FootnoteReference"/>
          <w:szCs w:val="26"/>
        </w:rPr>
        <w:footnoteRef/>
      </w:r>
      <w:r w:rsidRPr="004F4940">
        <w:rPr>
          <w:szCs w:val="26"/>
        </w:rPr>
        <w:t xml:space="preserve"> </w:t>
      </w:r>
      <w:r w:rsidRPr="004F4940">
        <w:rPr>
          <w:i/>
          <w:iCs/>
          <w:szCs w:val="26"/>
        </w:rPr>
        <w:t>See</w:t>
      </w:r>
      <w:r w:rsidRPr="004F4940" w:rsidR="007F7145">
        <w:rPr>
          <w:i/>
          <w:iCs/>
          <w:szCs w:val="26"/>
        </w:rPr>
        <w:t>,</w:t>
      </w:r>
      <w:r w:rsidRPr="004F4940">
        <w:rPr>
          <w:i/>
          <w:iCs/>
          <w:szCs w:val="26"/>
        </w:rPr>
        <w:t xml:space="preserve"> e.g.</w:t>
      </w:r>
      <w:r w:rsidRPr="004F4940">
        <w:rPr>
          <w:szCs w:val="26"/>
        </w:rPr>
        <w:t>, ISO/RTO Council Comments at 1</w:t>
      </w:r>
      <w:r w:rsidRPr="004F4940" w:rsidR="002F6A65">
        <w:rPr>
          <w:szCs w:val="26"/>
        </w:rPr>
        <w:t>0-1</w:t>
      </w:r>
      <w:r w:rsidRPr="004F4940">
        <w:rPr>
          <w:szCs w:val="26"/>
        </w:rPr>
        <w:t>1</w:t>
      </w:r>
      <w:r w:rsidRPr="004F4940" w:rsidR="00511008">
        <w:rPr>
          <w:szCs w:val="26"/>
        </w:rPr>
        <w:t>; TCPA Comments at 4</w:t>
      </w:r>
      <w:r w:rsidRPr="004F4940" w:rsidR="00C8517A">
        <w:rPr>
          <w:szCs w:val="26"/>
        </w:rPr>
        <w:t>, 6</w:t>
      </w:r>
      <w:r w:rsidRPr="004F4940">
        <w:rPr>
          <w:szCs w:val="26"/>
        </w:rPr>
        <w:t>.</w:t>
      </w:r>
    </w:p>
  </w:footnote>
  <w:footnote w:id="129">
    <w:p w:rsidR="008B7F82" w:rsidRPr="004F4940" w14:paraId="65353E84" w14:textId="576F48DA">
      <w:pPr>
        <w:pStyle w:val="FootnoteText"/>
        <w:rPr>
          <w:szCs w:val="26"/>
        </w:rPr>
      </w:pPr>
      <w:r w:rsidRPr="004F4940">
        <w:rPr>
          <w:rStyle w:val="FootnoteReference"/>
          <w:szCs w:val="26"/>
        </w:rPr>
        <w:footnoteRef/>
      </w:r>
      <w:r w:rsidRPr="004F4940">
        <w:rPr>
          <w:szCs w:val="26"/>
        </w:rPr>
        <w:t xml:space="preserve"> ISO/RTO Council Comments at 11.</w:t>
      </w:r>
    </w:p>
  </w:footnote>
  <w:footnote w:id="130">
    <w:p w:rsidR="002F6A65" w:rsidRPr="004F4940" w14:paraId="46AC3641"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10.</w:t>
      </w:r>
    </w:p>
  </w:footnote>
  <w:footnote w:id="131">
    <w:p w:rsidR="00C8517A" w:rsidRPr="004F4940" w14:paraId="57AA2F75" w14:textId="634AC695">
      <w:pPr>
        <w:pStyle w:val="FootnoteText"/>
        <w:rPr>
          <w:szCs w:val="26"/>
        </w:rPr>
      </w:pPr>
      <w:r w:rsidRPr="004F4940">
        <w:rPr>
          <w:rStyle w:val="FootnoteReference"/>
          <w:szCs w:val="26"/>
        </w:rPr>
        <w:footnoteRef/>
      </w:r>
      <w:r w:rsidRPr="004F4940">
        <w:rPr>
          <w:szCs w:val="26"/>
        </w:rPr>
        <w:t xml:space="preserve"> TCPA Comments at 6.</w:t>
      </w:r>
    </w:p>
  </w:footnote>
  <w:footnote w:id="132">
    <w:p w:rsidR="00B0442F" w:rsidRPr="004F4940" w:rsidP="00710D39" w14:paraId="36EB7F29" w14:textId="46B137D7">
      <w:pPr>
        <w:pStyle w:val="FootnoteText"/>
        <w:rPr>
          <w:szCs w:val="26"/>
        </w:rPr>
      </w:pPr>
      <w:r w:rsidRPr="004F4940">
        <w:rPr>
          <w:rStyle w:val="FootnoteReference"/>
          <w:szCs w:val="26"/>
        </w:rPr>
        <w:footnoteRef/>
      </w:r>
      <w:r w:rsidRPr="004F4940" w:rsidR="00405D15">
        <w:rPr>
          <w:szCs w:val="26"/>
        </w:rPr>
        <w:t xml:space="preserve"> </w:t>
      </w:r>
      <w:r w:rsidRPr="004F4940">
        <w:rPr>
          <w:szCs w:val="26"/>
        </w:rPr>
        <w:t>NERC Petition at</w:t>
      </w:r>
      <w:r w:rsidRPr="004F4940" w:rsidR="00405D15">
        <w:rPr>
          <w:szCs w:val="26"/>
        </w:rPr>
        <w:t xml:space="preserve"> </w:t>
      </w:r>
      <w:r w:rsidRPr="004F4940">
        <w:rPr>
          <w:szCs w:val="26"/>
        </w:rPr>
        <w:t>1013.</w:t>
      </w:r>
    </w:p>
  </w:footnote>
  <w:footnote w:id="133">
    <w:p w:rsidR="001B236C" w:rsidRPr="004F4940" w:rsidP="009401FB" w14:paraId="037A11B4" w14:textId="042D9D3A">
      <w:pPr>
        <w:pStyle w:val="FootnoteText"/>
        <w:widowControl/>
        <w:rPr>
          <w:szCs w:val="26"/>
        </w:rPr>
      </w:pPr>
      <w:r w:rsidRPr="004F4940">
        <w:rPr>
          <w:rStyle w:val="FootnoteReference"/>
          <w:szCs w:val="26"/>
        </w:rPr>
        <w:footnoteRef/>
      </w:r>
      <w:r w:rsidRPr="004F4940">
        <w:rPr>
          <w:szCs w:val="26"/>
        </w:rPr>
        <w:t xml:space="preserve"> </w:t>
      </w:r>
      <w:r w:rsidRPr="004F4940">
        <w:rPr>
          <w:i/>
          <w:iCs/>
          <w:szCs w:val="26"/>
        </w:rPr>
        <w:t>Reliability</w:t>
      </w:r>
      <w:r w:rsidRPr="004F4940" w:rsidR="000A2959">
        <w:rPr>
          <w:i/>
          <w:iCs/>
          <w:szCs w:val="26"/>
        </w:rPr>
        <w:t xml:space="preserve"> </w:t>
      </w:r>
      <w:r w:rsidRPr="004F4940">
        <w:rPr>
          <w:i/>
          <w:iCs/>
          <w:szCs w:val="26"/>
        </w:rPr>
        <w:t>Standard for Transmission Sys</w:t>
      </w:r>
      <w:r w:rsidR="00AB2E10">
        <w:rPr>
          <w:i/>
          <w:iCs/>
          <w:szCs w:val="26"/>
        </w:rPr>
        <w:t>.</w:t>
      </w:r>
      <w:r w:rsidRPr="004F4940">
        <w:rPr>
          <w:i/>
          <w:iCs/>
          <w:szCs w:val="26"/>
        </w:rPr>
        <w:t xml:space="preserve"> Planned Performance for Geomagnetic Disturbance Events</w:t>
      </w:r>
      <w:r w:rsidRPr="004F4940">
        <w:rPr>
          <w:szCs w:val="26"/>
        </w:rPr>
        <w:t xml:space="preserve">, Order No. </w:t>
      </w:r>
      <w:r w:rsidRPr="004F4940" w:rsidR="0D3E6A2E">
        <w:rPr>
          <w:szCs w:val="26"/>
        </w:rPr>
        <w:t>830, 156 FERC ¶ 61,215,</w:t>
      </w:r>
      <w:r w:rsidRPr="004F4940" w:rsidR="000A2959">
        <w:rPr>
          <w:szCs w:val="26"/>
        </w:rPr>
        <w:t xml:space="preserve"> </w:t>
      </w:r>
      <w:r w:rsidRPr="004F4940" w:rsidR="004108DB">
        <w:rPr>
          <w:szCs w:val="26"/>
        </w:rPr>
        <w:t>at</w:t>
      </w:r>
      <w:r w:rsidRPr="004F4940" w:rsidR="000A2959">
        <w:rPr>
          <w:szCs w:val="26"/>
        </w:rPr>
        <w:t xml:space="preserve"> </w:t>
      </w:r>
      <w:r w:rsidRPr="004F4940">
        <w:rPr>
          <w:szCs w:val="26"/>
        </w:rPr>
        <w:t>P</w:t>
      </w:r>
      <w:r w:rsidRPr="004F4940" w:rsidR="000A2959">
        <w:rPr>
          <w:szCs w:val="26"/>
        </w:rPr>
        <w:t>P 1</w:t>
      </w:r>
      <w:r w:rsidRPr="004F4940">
        <w:rPr>
          <w:szCs w:val="26"/>
        </w:rPr>
        <w:t>01-04</w:t>
      </w:r>
      <w:r w:rsidRPr="004F4940" w:rsidR="000A2959">
        <w:rPr>
          <w:szCs w:val="26"/>
        </w:rPr>
        <w:t xml:space="preserve"> </w:t>
      </w:r>
      <w:r w:rsidRPr="004F4940">
        <w:rPr>
          <w:szCs w:val="26"/>
        </w:rPr>
        <w:t>(2016</w:t>
      </w:r>
      <w:r w:rsidRPr="004F4940" w:rsidR="0D3E6A2E">
        <w:rPr>
          <w:szCs w:val="26"/>
        </w:rPr>
        <w:t xml:space="preserve">), </w:t>
      </w:r>
      <w:r w:rsidRPr="004F4940" w:rsidR="0D3E6A2E">
        <w:rPr>
          <w:i/>
          <w:iCs/>
          <w:szCs w:val="26"/>
        </w:rPr>
        <w:t>reh’g denied,</w:t>
      </w:r>
      <w:r w:rsidRPr="004F4940" w:rsidR="0D3E6A2E">
        <w:rPr>
          <w:szCs w:val="26"/>
        </w:rPr>
        <w:t xml:space="preserve"> Order No. 830-A, 158 FERC ¶ 61,041 (2017</w:t>
      </w:r>
      <w:r w:rsidRPr="004F4940">
        <w:rPr>
          <w:szCs w:val="26"/>
        </w:rPr>
        <w:t>)</w:t>
      </w:r>
      <w:r w:rsidRPr="004F4940" w:rsidR="000A2959">
        <w:rPr>
          <w:szCs w:val="26"/>
        </w:rPr>
        <w:t xml:space="preserve"> </w:t>
      </w:r>
      <w:r w:rsidRPr="004F4940">
        <w:rPr>
          <w:szCs w:val="26"/>
        </w:rPr>
        <w:t>(directing NERC to modify TPL</w:t>
      </w:r>
      <w:r w:rsidRPr="004F4940" w:rsidR="00E332F2">
        <w:rPr>
          <w:szCs w:val="26"/>
        </w:rPr>
        <w:t>-</w:t>
      </w:r>
      <w:r w:rsidRPr="004F4940">
        <w:rPr>
          <w:szCs w:val="26"/>
        </w:rPr>
        <w:t>007-1 to include a two-year deadline after the development of a</w:t>
      </w:r>
      <w:r w:rsidRPr="004F4940" w:rsidR="000A2959">
        <w:rPr>
          <w:szCs w:val="26"/>
        </w:rPr>
        <w:t xml:space="preserve"> </w:t>
      </w:r>
      <w:r w:rsidRPr="004F4940">
        <w:rPr>
          <w:szCs w:val="26"/>
        </w:rPr>
        <w:t>CAP</w:t>
      </w:r>
      <w:r w:rsidRPr="004F4940" w:rsidR="000A2959">
        <w:rPr>
          <w:szCs w:val="26"/>
        </w:rPr>
        <w:t xml:space="preserve"> </w:t>
      </w:r>
      <w:r w:rsidRPr="004F4940">
        <w:rPr>
          <w:szCs w:val="26"/>
        </w:rPr>
        <w:t>to complete the implementation of non-hardware mitigation and a four-year deadline to complete hardware mitigation).</w:t>
      </w:r>
    </w:p>
  </w:footnote>
  <w:footnote w:id="134">
    <w:p w:rsidR="009B1FB9" w:rsidRPr="004F4940" w14:paraId="7D05D6A4" w14:textId="638FE160">
      <w:pPr>
        <w:pStyle w:val="FootnoteText"/>
        <w:rPr>
          <w:szCs w:val="26"/>
        </w:rPr>
      </w:pPr>
      <w:r w:rsidRPr="004F4940">
        <w:rPr>
          <w:rStyle w:val="FootnoteReference"/>
          <w:szCs w:val="26"/>
        </w:rPr>
        <w:footnoteRef/>
      </w:r>
      <w:r w:rsidRPr="004F4940">
        <w:rPr>
          <w:szCs w:val="26"/>
        </w:rPr>
        <w:t xml:space="preserve"> </w:t>
      </w:r>
      <w:r w:rsidRPr="004F4940" w:rsidR="00E46426">
        <w:rPr>
          <w:i/>
          <w:iCs/>
          <w:szCs w:val="26"/>
        </w:rPr>
        <w:t>See</w:t>
      </w:r>
      <w:r w:rsidRPr="004F4940" w:rsidR="004108DB">
        <w:rPr>
          <w:i/>
          <w:iCs/>
          <w:szCs w:val="26"/>
        </w:rPr>
        <w:t>,</w:t>
      </w:r>
      <w:r w:rsidRPr="004F4940" w:rsidR="00E46426">
        <w:rPr>
          <w:i/>
          <w:iCs/>
          <w:szCs w:val="26"/>
        </w:rPr>
        <w:t xml:space="preserve"> e.g.</w:t>
      </w:r>
      <w:r w:rsidRPr="004F4940" w:rsidR="00E46426">
        <w:rPr>
          <w:szCs w:val="26"/>
        </w:rPr>
        <w:t>,</w:t>
      </w:r>
      <w:r w:rsidRPr="004F4940" w:rsidR="000A2959">
        <w:rPr>
          <w:i/>
          <w:iCs/>
          <w:szCs w:val="26"/>
        </w:rPr>
        <w:t xml:space="preserve"> </w:t>
      </w:r>
      <w:r w:rsidRPr="004F4940" w:rsidR="00E46426">
        <w:rPr>
          <w:szCs w:val="26"/>
        </w:rPr>
        <w:t>PRC-004-6</w:t>
      </w:r>
      <w:r w:rsidRPr="004F4940" w:rsidR="0D3E6A2E">
        <w:rPr>
          <w:szCs w:val="26"/>
        </w:rPr>
        <w:t xml:space="preserve"> (Protection System </w:t>
      </w:r>
      <w:r w:rsidRPr="004F4940" w:rsidR="0D3E6A2E">
        <w:rPr>
          <w:szCs w:val="26"/>
        </w:rPr>
        <w:t>Misoperation</w:t>
      </w:r>
      <w:r w:rsidRPr="004F4940" w:rsidR="0D3E6A2E">
        <w:rPr>
          <w:szCs w:val="26"/>
        </w:rPr>
        <w:t xml:space="preserve"> Identification and Correction),</w:t>
      </w:r>
      <w:r w:rsidRPr="004F4940" w:rsidR="00E46426">
        <w:rPr>
          <w:szCs w:val="26"/>
        </w:rPr>
        <w:t xml:space="preserve"> Requirement R5 (requiring each transmission owner, generator owner, and distribution owner that owns a protection system component that caused</w:t>
      </w:r>
      <w:r w:rsidRPr="004F4940" w:rsidR="000A2959">
        <w:rPr>
          <w:szCs w:val="26"/>
        </w:rPr>
        <w:t xml:space="preserve"> </w:t>
      </w:r>
      <w:r w:rsidRPr="004F4940" w:rsidR="00E46426">
        <w:rPr>
          <w:szCs w:val="26"/>
        </w:rPr>
        <w:t>misoperation</w:t>
      </w:r>
      <w:r w:rsidRPr="004F4940" w:rsidR="000A2959">
        <w:rPr>
          <w:szCs w:val="26"/>
        </w:rPr>
        <w:t xml:space="preserve"> </w:t>
      </w:r>
      <w:r w:rsidRPr="004F4940" w:rsidR="00E46426">
        <w:rPr>
          <w:szCs w:val="26"/>
        </w:rPr>
        <w:t>to develop a</w:t>
      </w:r>
      <w:r w:rsidRPr="004F4940" w:rsidR="000A2959">
        <w:rPr>
          <w:szCs w:val="26"/>
        </w:rPr>
        <w:t xml:space="preserve"> </w:t>
      </w:r>
      <w:r w:rsidRPr="004F4940" w:rsidR="009B4A5C">
        <w:rPr>
          <w:szCs w:val="26"/>
        </w:rPr>
        <w:t>corrective action plan</w:t>
      </w:r>
      <w:r w:rsidRPr="004F4940" w:rsidR="000A2959">
        <w:rPr>
          <w:szCs w:val="26"/>
        </w:rPr>
        <w:t xml:space="preserve"> </w:t>
      </w:r>
      <w:r w:rsidRPr="004F4940" w:rsidR="00E46426">
        <w:rPr>
          <w:szCs w:val="26"/>
        </w:rPr>
        <w:t>or explain in declaration why corrective actions are beyond the entity’s control</w:t>
      </w:r>
      <w:r w:rsidRPr="004F4940" w:rsidR="00C90CB7">
        <w:rPr>
          <w:szCs w:val="26"/>
        </w:rPr>
        <w:t>).</w:t>
      </w:r>
    </w:p>
  </w:footnote>
  <w:footnote w:id="135">
    <w:p w:rsidR="00CA28C3" w:rsidRPr="004F4940" w14:paraId="640850E1" w14:textId="77777777">
      <w:pPr>
        <w:pStyle w:val="FootnoteText"/>
        <w:rPr>
          <w:szCs w:val="26"/>
        </w:rPr>
      </w:pPr>
      <w:r w:rsidRPr="004F4940">
        <w:rPr>
          <w:rStyle w:val="FootnoteReference"/>
          <w:szCs w:val="26"/>
        </w:rPr>
        <w:footnoteRef/>
      </w:r>
      <w:r w:rsidRPr="004F4940">
        <w:rPr>
          <w:szCs w:val="26"/>
        </w:rPr>
        <w:t xml:space="preserve"> </w:t>
      </w:r>
      <w:r w:rsidRPr="004F4940" w:rsidR="00093879">
        <w:rPr>
          <w:i/>
          <w:iCs/>
          <w:szCs w:val="26"/>
        </w:rPr>
        <w:t>Id</w:t>
      </w:r>
      <w:r w:rsidRPr="004F4940" w:rsidR="00093879">
        <w:rPr>
          <w:i/>
          <w:szCs w:val="26"/>
        </w:rPr>
        <w:t xml:space="preserve">. </w:t>
      </w:r>
      <w:r w:rsidRPr="004F4940" w:rsidR="00093879">
        <w:rPr>
          <w:szCs w:val="26"/>
        </w:rPr>
        <w:t>Ex. A-2 at 6-7.</w:t>
      </w:r>
    </w:p>
  </w:footnote>
  <w:footnote w:id="136">
    <w:p w:rsidR="009A5F27" w:rsidRPr="004F4940" w:rsidP="009A5F27" w14:paraId="750F3F42" w14:textId="3B8A5882">
      <w:pPr>
        <w:pStyle w:val="FootnoteText"/>
      </w:pPr>
      <w:r w:rsidRPr="004F4940">
        <w:rPr>
          <w:rStyle w:val="FootnoteReference"/>
        </w:rPr>
        <w:footnoteRef/>
      </w:r>
      <w:r w:rsidRPr="004F4940">
        <w:t xml:space="preserve"> </w:t>
      </w:r>
      <w:r w:rsidRPr="004F4940" w:rsidR="0034309F">
        <w:t>November 2021</w:t>
      </w:r>
      <w:r w:rsidRPr="004F4940">
        <w:t xml:space="preserve"> Report at </w:t>
      </w:r>
      <w:r w:rsidRPr="004F4940" w:rsidR="00335298">
        <w:t>187 (</w:t>
      </w:r>
      <w:r w:rsidRPr="004F4940">
        <w:t>Key Recommendation 1d</w:t>
      </w:r>
      <w:r w:rsidRPr="004F4940" w:rsidR="00335298">
        <w:t>).</w:t>
      </w:r>
    </w:p>
  </w:footnote>
  <w:footnote w:id="137">
    <w:p w:rsidR="006E2683" w:rsidRPr="004F4940" w14:paraId="2E13B8F5" w14:textId="7D97A54D">
      <w:pPr>
        <w:pStyle w:val="FootnoteText"/>
        <w:rPr>
          <w:szCs w:val="26"/>
        </w:rPr>
      </w:pPr>
      <w:r w:rsidRPr="004F4940">
        <w:rPr>
          <w:rStyle w:val="FootnoteReference"/>
          <w:szCs w:val="26"/>
        </w:rPr>
        <w:footnoteRef/>
      </w:r>
      <w:r w:rsidRPr="004F4940">
        <w:rPr>
          <w:szCs w:val="26"/>
        </w:rPr>
        <w:t xml:space="preserve"> NERC Petition at 44 (citing to November 2021 Report at 191-92).</w:t>
      </w:r>
    </w:p>
  </w:footnote>
  <w:footnote w:id="138">
    <w:p w:rsidR="00F00A59" w:rsidRPr="004F4940" w:rsidP="00F00A59" w14:paraId="45AB5416" w14:textId="21C6099A">
      <w:pPr>
        <w:pStyle w:val="FootnoteText"/>
        <w:rPr>
          <w:szCs w:val="26"/>
        </w:rPr>
      </w:pPr>
      <w:r w:rsidRPr="004F4940">
        <w:rPr>
          <w:rStyle w:val="FootnoteReference"/>
          <w:szCs w:val="26"/>
        </w:rPr>
        <w:footnoteRef/>
      </w:r>
      <w:r w:rsidRPr="004F4940">
        <w:rPr>
          <w:szCs w:val="26"/>
        </w:rPr>
        <w:t xml:space="preserve"> </w:t>
      </w:r>
      <w:r w:rsidRPr="004F4940">
        <w:rPr>
          <w:i/>
          <w:iCs/>
          <w:szCs w:val="26"/>
        </w:rPr>
        <w:t>See</w:t>
      </w:r>
      <w:r w:rsidRPr="004F4940" w:rsidR="004108DB">
        <w:rPr>
          <w:i/>
          <w:iCs/>
          <w:szCs w:val="26"/>
        </w:rPr>
        <w:t>,</w:t>
      </w:r>
      <w:r w:rsidRPr="004F4940">
        <w:rPr>
          <w:i/>
          <w:iCs/>
          <w:szCs w:val="26"/>
        </w:rPr>
        <w:t xml:space="preserve"> e.g.</w:t>
      </w:r>
      <w:r w:rsidRPr="004F4940">
        <w:rPr>
          <w:szCs w:val="26"/>
        </w:rPr>
        <w:t>, EPSA/PJM Group Comments at 10-13</w:t>
      </w:r>
      <w:r w:rsidRPr="004F4940" w:rsidR="00757D68">
        <w:rPr>
          <w:szCs w:val="26"/>
        </w:rPr>
        <w:t>.</w:t>
      </w:r>
    </w:p>
  </w:footnote>
  <w:footnote w:id="139">
    <w:p w:rsidR="00F00A59" w:rsidRPr="004F4940" w:rsidP="00F00A59" w14:paraId="58C5BBF6" w14:textId="4532A9E3">
      <w:pPr>
        <w:pStyle w:val="FootnoteText"/>
        <w:rPr>
          <w:szCs w:val="26"/>
        </w:rPr>
      </w:pPr>
      <w:r w:rsidRPr="004F4940">
        <w:rPr>
          <w:rStyle w:val="FootnoteReference"/>
          <w:szCs w:val="26"/>
        </w:rPr>
        <w:footnoteRef/>
      </w:r>
      <w:r w:rsidRPr="004F4940">
        <w:rPr>
          <w:szCs w:val="26"/>
        </w:rPr>
        <w:t xml:space="preserve"> </w:t>
      </w:r>
      <w:r w:rsidRPr="004F4940">
        <w:rPr>
          <w:szCs w:val="26"/>
        </w:rPr>
        <w:t>TCPA Comments at 2</w:t>
      </w:r>
      <w:r w:rsidRPr="004F4940" w:rsidR="00EA5E90">
        <w:rPr>
          <w:szCs w:val="26"/>
        </w:rPr>
        <w:t>.</w:t>
      </w:r>
    </w:p>
  </w:footnote>
  <w:footnote w:id="140">
    <w:p w:rsidR="00746C5D" w:rsidRPr="004F4940" w14:paraId="34C8C2C1" w14:textId="77777777">
      <w:pPr>
        <w:pStyle w:val="FootnoteText"/>
      </w:pPr>
      <w:r w:rsidRPr="004F4940">
        <w:rPr>
          <w:rStyle w:val="FootnoteReference"/>
        </w:rPr>
        <w:footnoteRef/>
      </w:r>
      <w:r w:rsidRPr="004F4940">
        <w:t xml:space="preserve"> ISO/RTO Council Comments at 10.</w:t>
      </w:r>
    </w:p>
  </w:footnote>
  <w:footnote w:id="141">
    <w:p w:rsidR="00F00A59" w:rsidRPr="004F4940" w:rsidP="00F00A59" w14:paraId="14E43FA8" w14:textId="43AC3225">
      <w:pPr>
        <w:pStyle w:val="FootnoteText"/>
        <w:rPr>
          <w:szCs w:val="26"/>
        </w:rPr>
      </w:pPr>
      <w:r w:rsidRPr="004F4940">
        <w:rPr>
          <w:rStyle w:val="FootnoteReference"/>
          <w:szCs w:val="26"/>
        </w:rPr>
        <w:footnoteRef/>
      </w:r>
      <w:r w:rsidRPr="004F4940">
        <w:rPr>
          <w:szCs w:val="26"/>
        </w:rPr>
        <w:t xml:space="preserve"> Invenergy Comments at 11-13.</w:t>
      </w:r>
    </w:p>
  </w:footnote>
  <w:footnote w:id="142">
    <w:p w:rsidR="00F00A59" w:rsidRPr="004F4940" w:rsidP="00F00A59" w14:paraId="136AC5D5" w14:textId="400C96A0">
      <w:pPr>
        <w:pStyle w:val="FootnoteText"/>
        <w:rPr>
          <w:szCs w:val="26"/>
        </w:rPr>
      </w:pPr>
      <w:r w:rsidRPr="004F4940">
        <w:rPr>
          <w:rStyle w:val="FootnoteReference"/>
          <w:szCs w:val="26"/>
        </w:rPr>
        <w:footnoteRef/>
      </w:r>
      <w:r w:rsidRPr="004F4940">
        <w:rPr>
          <w:szCs w:val="26"/>
        </w:rPr>
        <w:t xml:space="preserve"> NEPGA Comments at 2, 4-6.</w:t>
      </w:r>
    </w:p>
  </w:footnote>
  <w:footnote w:id="143">
    <w:p w:rsidR="00154B69" w:rsidRPr="004F4940" w14:paraId="02343FE5" w14:textId="45777FFA">
      <w:pPr>
        <w:pStyle w:val="FootnoteText"/>
      </w:pPr>
      <w:r w:rsidRPr="004F4940">
        <w:rPr>
          <w:rStyle w:val="FootnoteReference"/>
        </w:rPr>
        <w:footnoteRef/>
      </w:r>
      <w:r w:rsidRPr="004F4940">
        <w:t xml:space="preserve"> EPSA/PJM Group Comments at </w:t>
      </w:r>
      <w:r w:rsidRPr="004F4940" w:rsidR="00184DA9">
        <w:t xml:space="preserve">11, </w:t>
      </w:r>
      <w:r w:rsidRPr="004F4940">
        <w:t>13</w:t>
      </w:r>
      <w:r w:rsidRPr="004F4940" w:rsidR="00184DA9">
        <w:t xml:space="preserve"> (</w:t>
      </w:r>
      <w:r w:rsidRPr="004F4940" w:rsidR="009B55E9">
        <w:t>proffering</w:t>
      </w:r>
      <w:r w:rsidRPr="004F4940" w:rsidR="00184DA9">
        <w:t xml:space="preserve"> that the Commission could issue </w:t>
      </w:r>
      <w:r w:rsidRPr="004F4940" w:rsidR="009B55E9">
        <w:t>a show cause</w:t>
      </w:r>
      <w:r w:rsidRPr="004F4940" w:rsidR="00184DA9">
        <w:t xml:space="preserve"> order </w:t>
      </w:r>
      <w:r w:rsidRPr="004F4940" w:rsidR="009B55E9">
        <w:t xml:space="preserve">pursuant to FPA section 206 </w:t>
      </w:r>
      <w:r w:rsidRPr="004F4940" w:rsidR="00184DA9">
        <w:t>to ensure that each ISO and RTO ha</w:t>
      </w:r>
      <w:r w:rsidRPr="004F4940" w:rsidR="009B55E9">
        <w:t>ve</w:t>
      </w:r>
      <w:r w:rsidRPr="004F4940" w:rsidR="00184DA9">
        <w:t xml:space="preserve"> cost recovery mechanism</w:t>
      </w:r>
      <w:r w:rsidRPr="004F4940" w:rsidR="009B55E9">
        <w:t>s</w:t>
      </w:r>
      <w:r w:rsidRPr="004F4940" w:rsidR="00184DA9">
        <w:t xml:space="preserve"> in place</w:t>
      </w:r>
      <w:r w:rsidRPr="004F4940" w:rsidR="008B4736">
        <w:t>)</w:t>
      </w:r>
      <w:r w:rsidRPr="004F4940">
        <w:t>.</w:t>
      </w:r>
    </w:p>
  </w:footnote>
  <w:footnote w:id="144">
    <w:p w:rsidR="00F00A59" w:rsidRPr="004F4940" w:rsidP="00F00A59" w14:paraId="2983DA8E" w14:textId="3DFB4228">
      <w:pPr>
        <w:pStyle w:val="FootnoteText"/>
        <w:rPr>
          <w:szCs w:val="26"/>
        </w:rPr>
      </w:pPr>
      <w:r w:rsidRPr="004F4940">
        <w:rPr>
          <w:rStyle w:val="FootnoteReference"/>
          <w:szCs w:val="26"/>
        </w:rPr>
        <w:footnoteRef/>
      </w:r>
      <w:r w:rsidRPr="004F4940">
        <w:rPr>
          <w:szCs w:val="26"/>
        </w:rPr>
        <w:t xml:space="preserve"> NERC Reply Comments at 10; APPA/TAPS Answer at 2-9.</w:t>
      </w:r>
    </w:p>
  </w:footnote>
  <w:footnote w:id="145">
    <w:p w:rsidR="005B1CDE" w:rsidRPr="004F4940" w14:paraId="4264536D" w14:textId="77777777">
      <w:pPr>
        <w:pStyle w:val="FootnoteText"/>
        <w:rPr>
          <w:szCs w:val="26"/>
        </w:rPr>
      </w:pPr>
      <w:r w:rsidRPr="004F4940">
        <w:rPr>
          <w:rStyle w:val="FootnoteReference"/>
          <w:szCs w:val="26"/>
        </w:rPr>
        <w:footnoteRef/>
      </w:r>
      <w:r w:rsidRPr="004F4940">
        <w:rPr>
          <w:szCs w:val="26"/>
        </w:rPr>
        <w:t xml:space="preserve"> APPA/TAPS Answer at 2-</w:t>
      </w:r>
      <w:r w:rsidRPr="004F4940" w:rsidR="00FC59E2">
        <w:rPr>
          <w:szCs w:val="26"/>
        </w:rPr>
        <w:t>8.</w:t>
      </w:r>
    </w:p>
  </w:footnote>
  <w:footnote w:id="146">
    <w:p w:rsidR="00FC59E2" w:rsidRPr="004F4940" w14:paraId="1DE16546" w14:textId="77777777">
      <w:pPr>
        <w:pStyle w:val="FootnoteText"/>
        <w:rPr>
          <w:szCs w:val="26"/>
        </w:rPr>
      </w:pPr>
      <w:r w:rsidRPr="004F4940">
        <w:rPr>
          <w:rStyle w:val="FootnoteReference"/>
          <w:szCs w:val="26"/>
        </w:rPr>
        <w:footnoteRef/>
      </w:r>
      <w:r w:rsidRPr="004F4940">
        <w:rPr>
          <w:szCs w:val="26"/>
        </w:rPr>
        <w:t xml:space="preserve"> </w:t>
      </w:r>
      <w:r w:rsidRPr="004F4940" w:rsidR="003F18E1">
        <w:rPr>
          <w:i/>
          <w:iCs/>
          <w:szCs w:val="26"/>
        </w:rPr>
        <w:t>Id</w:t>
      </w:r>
      <w:r w:rsidRPr="004F4940" w:rsidR="003F18E1">
        <w:rPr>
          <w:i/>
          <w:szCs w:val="26"/>
        </w:rPr>
        <w:t>.</w:t>
      </w:r>
      <w:r w:rsidRPr="004F4940" w:rsidR="003F18E1">
        <w:rPr>
          <w:szCs w:val="26"/>
        </w:rPr>
        <w:t xml:space="preserve"> at 8-9.</w:t>
      </w:r>
    </w:p>
  </w:footnote>
  <w:footnote w:id="147">
    <w:p w:rsidR="00851671" w:rsidRPr="004F4940" w:rsidP="00851671" w14:paraId="6AF6FEC0" w14:textId="5BB8D6B4">
      <w:pPr>
        <w:pStyle w:val="FootnoteText"/>
        <w:rPr>
          <w:szCs w:val="26"/>
        </w:rPr>
      </w:pPr>
      <w:r w:rsidRPr="004F4940">
        <w:rPr>
          <w:rStyle w:val="FootnoteReference"/>
          <w:szCs w:val="26"/>
        </w:rPr>
        <w:footnoteRef/>
      </w:r>
      <w:r w:rsidRPr="004F4940">
        <w:rPr>
          <w:szCs w:val="26"/>
        </w:rPr>
        <w:t xml:space="preserve"> ISO/RTO Council Comments at 15-16.</w:t>
      </w:r>
    </w:p>
  </w:footnote>
  <w:footnote w:id="148">
    <w:p w:rsidR="00851671" w:rsidRPr="004F4940" w:rsidP="00851671" w14:paraId="2098012A" w14:textId="3BCDA828">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16-17.</w:t>
      </w:r>
    </w:p>
  </w:footnote>
  <w:footnote w:id="149">
    <w:p w:rsidR="00374D7D" w:rsidRPr="004F4940" w14:paraId="65255F04" w14:textId="57B2F297">
      <w:pPr>
        <w:pStyle w:val="FootnoteText"/>
      </w:pPr>
      <w:r w:rsidRPr="004F4940">
        <w:rPr>
          <w:rStyle w:val="FootnoteReference"/>
        </w:rPr>
        <w:footnoteRef/>
      </w:r>
      <w:r w:rsidRPr="004F4940">
        <w:t xml:space="preserve"> </w:t>
      </w:r>
      <w:r w:rsidRPr="004F4940">
        <w:rPr>
          <w:i/>
          <w:iCs/>
        </w:rPr>
        <w:t>Id</w:t>
      </w:r>
      <w:r w:rsidRPr="004F4940">
        <w:rPr>
          <w:i/>
        </w:rPr>
        <w:t>.</w:t>
      </w:r>
      <w:r w:rsidRPr="004F4940">
        <w:t xml:space="preserve"> at 11-12.</w:t>
      </w:r>
    </w:p>
  </w:footnote>
  <w:footnote w:id="150">
    <w:p w:rsidR="00C6535E" w:rsidRPr="004F4940" w14:paraId="21E05BDE" w14:textId="18904868">
      <w:pPr>
        <w:pStyle w:val="FootnoteText"/>
      </w:pPr>
      <w:r w:rsidRPr="004F4940">
        <w:rPr>
          <w:rStyle w:val="FootnoteReference"/>
        </w:rPr>
        <w:footnoteRef/>
      </w:r>
      <w:r w:rsidRPr="004F4940">
        <w:t xml:space="preserve"> </w:t>
      </w:r>
      <w:r w:rsidRPr="004F4940">
        <w:rPr>
          <w:i/>
          <w:iCs/>
        </w:rPr>
        <w:t>Id</w:t>
      </w:r>
      <w:r w:rsidRPr="004F4940">
        <w:rPr>
          <w:i/>
        </w:rPr>
        <w:t>.</w:t>
      </w:r>
      <w:r w:rsidRPr="004F4940">
        <w:t xml:space="preserve"> at 13-15.</w:t>
      </w:r>
    </w:p>
  </w:footnote>
  <w:footnote w:id="151">
    <w:p w:rsidR="00851671" w:rsidRPr="004F4940" w:rsidP="00851671" w14:paraId="02717404" w14:textId="77777777">
      <w:pPr>
        <w:pStyle w:val="FootnoteText"/>
        <w:rPr>
          <w:szCs w:val="26"/>
        </w:rPr>
      </w:pPr>
      <w:r w:rsidRPr="004F4940">
        <w:rPr>
          <w:rStyle w:val="FootnoteReference"/>
          <w:szCs w:val="26"/>
        </w:rPr>
        <w:footnoteRef/>
      </w:r>
      <w:r w:rsidRPr="004F4940">
        <w:rPr>
          <w:szCs w:val="26"/>
        </w:rPr>
        <w:t xml:space="preserve"> EPSA/PJM Comments at 2.</w:t>
      </w:r>
    </w:p>
  </w:footnote>
  <w:footnote w:id="152">
    <w:p w:rsidR="00851671" w:rsidRPr="004F4940" w:rsidP="00851671" w14:paraId="557C6311" w14:textId="77777777">
      <w:pPr>
        <w:pStyle w:val="FootnoteText"/>
        <w:rPr>
          <w:szCs w:val="26"/>
        </w:rPr>
      </w:pPr>
      <w:r w:rsidRPr="004F4940">
        <w:rPr>
          <w:rStyle w:val="FootnoteReference"/>
          <w:szCs w:val="26"/>
        </w:rPr>
        <w:footnoteRef/>
      </w:r>
      <w:r w:rsidRPr="004F4940">
        <w:rPr>
          <w:szCs w:val="26"/>
        </w:rPr>
        <w:t xml:space="preserve"> TAPS Comments at 5-6.</w:t>
      </w:r>
    </w:p>
  </w:footnote>
  <w:footnote w:id="153">
    <w:p w:rsidR="00851671" w:rsidRPr="004F4940" w:rsidP="00851671" w14:paraId="1FF16410" w14:textId="3D2F41BC">
      <w:pPr>
        <w:pStyle w:val="FootnoteText"/>
        <w:rPr>
          <w:szCs w:val="26"/>
        </w:rPr>
      </w:pPr>
      <w:r w:rsidRPr="004F4940">
        <w:rPr>
          <w:rStyle w:val="FootnoteReference"/>
          <w:szCs w:val="26"/>
        </w:rPr>
        <w:footnoteRef/>
      </w:r>
      <w:r w:rsidRPr="004F4940">
        <w:rPr>
          <w:szCs w:val="26"/>
        </w:rPr>
        <w:t xml:space="preserve"> TCPA Comments at 6.</w:t>
      </w:r>
    </w:p>
  </w:footnote>
  <w:footnote w:id="154">
    <w:p w:rsidR="00851671" w:rsidRPr="004F4940" w:rsidP="00851671" w14:paraId="0A987EFA" w14:textId="58F9B079">
      <w:pPr>
        <w:pStyle w:val="FootnoteText"/>
        <w:rPr>
          <w:szCs w:val="26"/>
        </w:rPr>
      </w:pPr>
      <w:r w:rsidRPr="004F4940">
        <w:rPr>
          <w:rStyle w:val="FootnoteReference"/>
          <w:szCs w:val="26"/>
        </w:rPr>
        <w:footnoteRef/>
      </w:r>
      <w:r w:rsidRPr="004F4940">
        <w:rPr>
          <w:i/>
          <w:iCs/>
          <w:szCs w:val="26"/>
        </w:rPr>
        <w:t xml:space="preserve"> Id.</w:t>
      </w:r>
    </w:p>
  </w:footnote>
  <w:footnote w:id="155">
    <w:p w:rsidR="00851671" w:rsidRPr="004F4940" w:rsidP="00851671" w14:paraId="174BE309" w14:textId="77777777">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szCs w:val="26"/>
        </w:rPr>
        <w:t xml:space="preserve"> at 7.</w:t>
      </w:r>
    </w:p>
  </w:footnote>
  <w:footnote w:id="156">
    <w:p w:rsidR="00851671" w:rsidRPr="004F4940" w:rsidP="00851671" w14:paraId="36E11DE6" w14:textId="7DF3F05D">
      <w:pPr>
        <w:pStyle w:val="FootnoteText"/>
        <w:rPr>
          <w:szCs w:val="26"/>
        </w:rPr>
      </w:pPr>
      <w:r w:rsidRPr="004F4940">
        <w:rPr>
          <w:rStyle w:val="FootnoteReference"/>
          <w:szCs w:val="26"/>
        </w:rPr>
        <w:footnoteRef/>
      </w:r>
      <w:r w:rsidRPr="004F4940">
        <w:rPr>
          <w:szCs w:val="26"/>
        </w:rPr>
        <w:t xml:space="preserve"> Invenergy Comments at 2, 5-6.</w:t>
      </w:r>
    </w:p>
  </w:footnote>
  <w:footnote w:id="157">
    <w:p w:rsidR="00851671" w:rsidRPr="004F4940" w:rsidP="00851671" w14:paraId="7544D931" w14:textId="6EFDB771">
      <w:pPr>
        <w:pStyle w:val="FootnoteText"/>
        <w:rPr>
          <w:szCs w:val="26"/>
        </w:rPr>
      </w:pPr>
      <w:r w:rsidRPr="004F4940">
        <w:rPr>
          <w:rStyle w:val="FootnoteReference"/>
          <w:szCs w:val="26"/>
        </w:rPr>
        <w:footnoteRef/>
      </w:r>
      <w:r w:rsidRPr="004F4940">
        <w:rPr>
          <w:szCs w:val="26"/>
        </w:rPr>
        <w:t xml:space="preserve"> </w:t>
      </w:r>
      <w:r w:rsidRPr="004F4940">
        <w:rPr>
          <w:i/>
          <w:iCs/>
          <w:szCs w:val="26"/>
        </w:rPr>
        <w:t>Id</w:t>
      </w:r>
      <w:r w:rsidRPr="004F4940">
        <w:rPr>
          <w:i/>
          <w:szCs w:val="26"/>
        </w:rPr>
        <w:t>.</w:t>
      </w:r>
      <w:r w:rsidRPr="004F4940">
        <w:rPr>
          <w:szCs w:val="26"/>
        </w:rPr>
        <w:t xml:space="preserve"> at 2, 9-10; TCPA Comments at 5.</w:t>
      </w:r>
    </w:p>
  </w:footnote>
  <w:footnote w:id="158">
    <w:p w:rsidR="00C64090" w:rsidRPr="004F4940" w14:paraId="6D4D286E" w14:textId="7AD9DE89">
      <w:pPr>
        <w:pStyle w:val="FootnoteText"/>
        <w:rPr>
          <w:szCs w:val="26"/>
        </w:rPr>
      </w:pPr>
      <w:r w:rsidRPr="004F4940">
        <w:rPr>
          <w:rStyle w:val="FootnoteReference"/>
          <w:szCs w:val="26"/>
        </w:rPr>
        <w:footnoteRef/>
      </w:r>
      <w:r w:rsidRPr="004F4940">
        <w:rPr>
          <w:szCs w:val="26"/>
        </w:rPr>
        <w:t xml:space="preserve"> NERC Reply Comments at 13.</w:t>
      </w:r>
    </w:p>
  </w:footnote>
  <w:footnote w:id="159">
    <w:p w:rsidR="00B00175" w:rsidRPr="004F4940" w14:paraId="6C716463" w14:textId="7BFE03AC">
      <w:pPr>
        <w:pStyle w:val="FootnoteText"/>
      </w:pPr>
      <w:r w:rsidRPr="004F4940">
        <w:rPr>
          <w:rStyle w:val="FootnoteReference"/>
        </w:rPr>
        <w:footnoteRef/>
      </w:r>
      <w:r w:rsidRPr="004F4940">
        <w:t xml:space="preserve"> </w:t>
      </w:r>
      <w:r w:rsidRPr="004F4940">
        <w:rPr>
          <w:i/>
          <w:iCs/>
        </w:rPr>
        <w:t>See</w:t>
      </w:r>
      <w:r w:rsidRPr="004F4940" w:rsidR="00D743FC">
        <w:rPr>
          <w:i/>
          <w:iCs/>
        </w:rPr>
        <w:t>,</w:t>
      </w:r>
      <w:r w:rsidRPr="004F4940">
        <w:rPr>
          <w:i/>
          <w:iCs/>
        </w:rPr>
        <w:t xml:space="preserve"> e.g.</w:t>
      </w:r>
      <w:r w:rsidRPr="004F4940">
        <w:t xml:space="preserve">, </w:t>
      </w:r>
      <w:r w:rsidRPr="004F4940">
        <w:rPr>
          <w:szCs w:val="26"/>
        </w:rPr>
        <w:t>146 FERC ¶ 61,213</w:t>
      </w:r>
      <w:r w:rsidRPr="004F4940" w:rsidR="00867A58">
        <w:rPr>
          <w:szCs w:val="26"/>
        </w:rPr>
        <w:t xml:space="preserve"> at </w:t>
      </w:r>
      <w:r w:rsidRPr="004F4940">
        <w:rPr>
          <w:szCs w:val="26"/>
        </w:rPr>
        <w:t>PP 1-2 (approving Reliability Standard</w:t>
      </w:r>
      <w:r w:rsidRPr="004F4940">
        <w:t xml:space="preserve"> MOD-025-2 and its associated staggered implementation plan).</w:t>
      </w:r>
    </w:p>
  </w:footnote>
  <w:footnote w:id="160">
    <w:p w:rsidR="00C5747A" w:rsidRPr="004F4940" w:rsidP="00710D39" w14:paraId="4414F913" w14:textId="6846DBF8">
      <w:pPr>
        <w:pStyle w:val="FootnoteText"/>
        <w:rPr>
          <w:szCs w:val="26"/>
        </w:rPr>
      </w:pPr>
      <w:r w:rsidRPr="004F4940">
        <w:rPr>
          <w:rStyle w:val="FootnoteReference"/>
          <w:szCs w:val="26"/>
        </w:rPr>
        <w:footnoteRef/>
      </w:r>
      <w:r w:rsidRPr="004F4940">
        <w:rPr>
          <w:szCs w:val="26"/>
        </w:rPr>
        <w:t xml:space="preserve"> Reliability Standard EOP-012-1 does not restrict longer duration commitments of generating units, whether based on tariff commitments, emergencies, or other conditions.  </w:t>
      </w:r>
      <w:r w:rsidRPr="004F4940">
        <w:rPr>
          <w:i/>
          <w:iCs/>
          <w:szCs w:val="26"/>
        </w:rPr>
        <w:t>See</w:t>
      </w:r>
      <w:r w:rsidRPr="004F4940">
        <w:rPr>
          <w:iCs/>
          <w:szCs w:val="26"/>
        </w:rPr>
        <w:t xml:space="preserve"> </w:t>
      </w:r>
      <w:r w:rsidRPr="004F4940">
        <w:rPr>
          <w:szCs w:val="26"/>
        </w:rPr>
        <w:t>NERC Petition Ex. C-2 at 5</w:t>
      </w:r>
      <w:r w:rsidRPr="004F4940" w:rsidR="00520A2E">
        <w:rPr>
          <w:szCs w:val="26"/>
        </w:rPr>
        <w:t xml:space="preserve"> (</w:t>
      </w:r>
      <w:r w:rsidRPr="004F4940" w:rsidR="008F2E37">
        <w:rPr>
          <w:szCs w:val="26"/>
        </w:rPr>
        <w:t>e</w:t>
      </w:r>
      <w:r w:rsidRPr="004F4940" w:rsidR="000C1AD1">
        <w:rPr>
          <w:szCs w:val="26"/>
        </w:rPr>
        <w:t>xplaining that</w:t>
      </w:r>
      <w:r w:rsidRPr="004F4940" w:rsidR="00EA67B0">
        <w:rPr>
          <w:szCs w:val="26"/>
        </w:rPr>
        <w:t xml:space="preserve"> the intent of R</w:t>
      </w:r>
      <w:r w:rsidRPr="004F4940" w:rsidR="008F2E37">
        <w:rPr>
          <w:szCs w:val="26"/>
        </w:rPr>
        <w:t>equirement R</w:t>
      </w:r>
      <w:r w:rsidRPr="004F4940" w:rsidR="00EA67B0">
        <w:rPr>
          <w:szCs w:val="26"/>
        </w:rPr>
        <w:t xml:space="preserve">1 is to implement freeze protection measures such that facilities are capable </w:t>
      </w:r>
      <w:r w:rsidRPr="004F4940" w:rsidR="00153162">
        <w:rPr>
          <w:szCs w:val="26"/>
        </w:rPr>
        <w:t xml:space="preserve">of continuous </w:t>
      </w:r>
      <w:r w:rsidRPr="004F4940" w:rsidR="00D432E9">
        <w:rPr>
          <w:szCs w:val="26"/>
        </w:rPr>
        <w:t xml:space="preserve">operation </w:t>
      </w:r>
      <w:r w:rsidRPr="004F4940" w:rsidR="00D432E9">
        <w:rPr>
          <w:i/>
          <w:iCs/>
          <w:szCs w:val="26"/>
        </w:rPr>
        <w:t xml:space="preserve">for not less than </w:t>
      </w:r>
      <w:r w:rsidRPr="004F4940" w:rsidR="00D432E9">
        <w:rPr>
          <w:szCs w:val="26"/>
        </w:rPr>
        <w:t>12 hours</w:t>
      </w:r>
      <w:r w:rsidRPr="004F4940" w:rsidR="00DD649A">
        <w:rPr>
          <w:szCs w:val="26"/>
        </w:rPr>
        <w:t>)</w:t>
      </w:r>
      <w:r w:rsidRPr="004F4940" w:rsidR="008F2E37">
        <w:rPr>
          <w:szCs w:val="26"/>
        </w:rPr>
        <w:t xml:space="preserve"> </w:t>
      </w:r>
      <w:r w:rsidRPr="004F4940" w:rsidR="00DD649A">
        <w:rPr>
          <w:szCs w:val="26"/>
        </w:rPr>
        <w:t>(emphasis added)</w:t>
      </w:r>
      <w:r w:rsidRPr="004F4940">
        <w:rPr>
          <w:szCs w:val="26"/>
        </w:rPr>
        <w:t>.</w:t>
      </w:r>
    </w:p>
  </w:footnote>
  <w:footnote w:id="161">
    <w:p w:rsidR="00251B0B" w:rsidRPr="004F4940" w:rsidP="00251B0B" w14:paraId="08747C54" w14:textId="6789FEC2">
      <w:pPr>
        <w:pStyle w:val="FootnoteText"/>
      </w:pPr>
      <w:r w:rsidRPr="004F4940">
        <w:rPr>
          <w:rStyle w:val="FootnoteReference"/>
        </w:rPr>
        <w:footnoteRef/>
      </w:r>
      <w:r w:rsidRPr="004F4940">
        <w:t xml:space="preserve"> Invenergy Comments at </w:t>
      </w:r>
      <w:r w:rsidRPr="004F4940" w:rsidR="00B070BD">
        <w:t>9</w:t>
      </w:r>
      <w:r w:rsidRPr="004F4940">
        <w:t>.</w:t>
      </w:r>
    </w:p>
  </w:footnote>
  <w:footnote w:id="162">
    <w:p w:rsidR="00251B0B" w:rsidRPr="004F4940" w:rsidP="00251B0B" w14:paraId="77D24C2C" w14:textId="57A3C3DE">
      <w:pPr>
        <w:pStyle w:val="FootnoteText"/>
      </w:pPr>
      <w:r w:rsidRPr="004F4940">
        <w:rPr>
          <w:rStyle w:val="FootnoteReference"/>
        </w:rPr>
        <w:footnoteRef/>
      </w:r>
      <w:r w:rsidRPr="004F4940">
        <w:t xml:space="preserve"> </w:t>
      </w:r>
      <w:r w:rsidRPr="004F4940">
        <w:rPr>
          <w:i/>
          <w:iCs/>
        </w:rPr>
        <w:t>Id.</w:t>
      </w:r>
    </w:p>
  </w:footnote>
  <w:footnote w:id="163">
    <w:p w:rsidR="00251B0B" w:rsidRPr="004F4940" w:rsidP="00251B0B" w14:paraId="59C133E3" w14:textId="3A70E756">
      <w:pPr>
        <w:pStyle w:val="FootnoteText"/>
      </w:pPr>
      <w:r w:rsidRPr="004F4940">
        <w:rPr>
          <w:rStyle w:val="FootnoteReference"/>
        </w:rPr>
        <w:footnoteRef/>
      </w:r>
      <w:r w:rsidRPr="004F4940">
        <w:t xml:space="preserve"> Order No. 693</w:t>
      </w:r>
      <w:r w:rsidRPr="004F4940" w:rsidR="00834ECA">
        <w:t xml:space="preserve">, </w:t>
      </w:r>
      <w:r w:rsidRPr="004F4940" w:rsidR="00834ECA">
        <w:rPr>
          <w:szCs w:val="26"/>
        </w:rPr>
        <w:t>1</w:t>
      </w:r>
      <w:r w:rsidRPr="004F4940" w:rsidR="00405A6D">
        <w:rPr>
          <w:szCs w:val="26"/>
        </w:rPr>
        <w:t>18</w:t>
      </w:r>
      <w:r w:rsidRPr="004F4940" w:rsidR="00834ECA">
        <w:rPr>
          <w:szCs w:val="26"/>
        </w:rPr>
        <w:t xml:space="preserve"> FERC ¶ 61,218</w:t>
      </w:r>
      <w:r w:rsidRPr="004F4940">
        <w:rPr>
          <w:szCs w:val="26"/>
        </w:rPr>
        <w:t xml:space="preserve"> </w:t>
      </w:r>
      <w:r w:rsidRPr="004F4940" w:rsidR="00410CBC">
        <w:rPr>
          <w:szCs w:val="26"/>
        </w:rPr>
        <w:t>at P 253</w:t>
      </w:r>
      <w:r w:rsidRPr="004F4940">
        <w:t xml:space="preserve"> (“The most critical element of a Reliability Standard is the Requirements. </w:t>
      </w:r>
      <w:r w:rsidRPr="004F4940" w:rsidR="00834ECA">
        <w:t xml:space="preserve"> </w:t>
      </w:r>
      <w:r w:rsidRPr="004F4940">
        <w:t xml:space="preserve">As NERC explains, </w:t>
      </w:r>
      <w:r w:rsidRPr="004F4940" w:rsidR="00410CBC">
        <w:t>‘</w:t>
      </w:r>
      <w:r w:rsidRPr="004F4940">
        <w:t>the Requirements within a standard define what an entity must do to be compliant</w:t>
      </w:r>
      <w:r w:rsidRPr="004F4940" w:rsidR="003B6990">
        <w:t> </w:t>
      </w:r>
      <w:r w:rsidRPr="004F4940">
        <w:t>.</w:t>
      </w:r>
      <w:r w:rsidRPr="004F4940" w:rsidR="003B6990">
        <w:t> </w:t>
      </w:r>
      <w:r w:rsidRPr="004F4940">
        <w:t>.</w:t>
      </w:r>
      <w:r w:rsidRPr="004F4940" w:rsidR="003B6990">
        <w:t> </w:t>
      </w:r>
      <w:r w:rsidRPr="004F4940">
        <w:t>.</w:t>
      </w:r>
      <w:r w:rsidRPr="004F4940" w:rsidR="003B6990">
        <w:t> </w:t>
      </w:r>
      <w:r w:rsidRPr="004F4940">
        <w:t>[and] binds an entity to certain obligations of performance under section 215 of the FPA.</w:t>
      </w:r>
      <w:r w:rsidRPr="004F4940" w:rsidR="00410CBC">
        <w:t>’</w:t>
      </w:r>
      <w:r w:rsidRPr="004F4940">
        <w:t>”)</w:t>
      </w:r>
      <w:r w:rsidRPr="004F4940" w:rsidR="005343B1">
        <w:t>.</w:t>
      </w:r>
    </w:p>
  </w:footnote>
  <w:footnote w:id="164">
    <w:p w:rsidR="00507228" w:rsidRPr="004F4940" w:rsidP="00507228" w14:paraId="44C90022" w14:textId="77777777">
      <w:pPr>
        <w:pStyle w:val="FootnoteText"/>
      </w:pPr>
      <w:r w:rsidRPr="004F4940">
        <w:rPr>
          <w:rStyle w:val="FootnoteReference"/>
        </w:rPr>
        <w:footnoteRef/>
      </w:r>
      <w:r w:rsidRPr="004F4940">
        <w:t xml:space="preserve"> NERC Petition at 29 (noting that freeze protection measures of the Standard would advance the reliability of the Bulk-Power System by helping to improve generator reliability in cold weather).</w:t>
      </w:r>
    </w:p>
  </w:footnote>
  <w:footnote w:id="165">
    <w:p w:rsidR="006C4655" w:rsidRPr="004F4940" w:rsidP="00710D39" w14:paraId="73A42424" w14:textId="72B1C140">
      <w:pPr>
        <w:pStyle w:val="FootnoteText"/>
        <w:rPr>
          <w:szCs w:val="26"/>
        </w:rPr>
      </w:pPr>
      <w:r w:rsidRPr="004F4940">
        <w:rPr>
          <w:rStyle w:val="FootnoteReference"/>
          <w:szCs w:val="26"/>
        </w:rPr>
        <w:footnoteRef/>
      </w:r>
      <w:r w:rsidRPr="004F4940">
        <w:rPr>
          <w:szCs w:val="26"/>
        </w:rPr>
        <w:t xml:space="preserve"> TCPA Comments at 5.</w:t>
      </w:r>
    </w:p>
  </w:footnote>
  <w:footnote w:id="166">
    <w:p w:rsidR="003152C5" w:rsidRPr="004F4940" w:rsidP="003152C5" w14:paraId="0CB65E07" w14:textId="77777777">
      <w:pPr>
        <w:pStyle w:val="FootnoteText"/>
        <w:rPr>
          <w:szCs w:val="26"/>
        </w:rPr>
      </w:pPr>
      <w:r w:rsidRPr="004F4940">
        <w:rPr>
          <w:rStyle w:val="FootnoteReference"/>
          <w:szCs w:val="26"/>
        </w:rPr>
        <w:footnoteRef/>
      </w:r>
      <w:r w:rsidRPr="004F4940">
        <w:rPr>
          <w:szCs w:val="26"/>
        </w:rPr>
        <w:t xml:space="preserve"> EPSA/PJM Comments at 2.</w:t>
      </w:r>
    </w:p>
  </w:footnote>
  <w:footnote w:id="167">
    <w:p w:rsidR="00A7521F" w:rsidRPr="004F4940" w:rsidP="00A7521F" w14:paraId="1FE2D450" w14:textId="77777777">
      <w:pPr>
        <w:pStyle w:val="FootnoteText"/>
        <w:rPr>
          <w:szCs w:val="26"/>
        </w:rPr>
      </w:pPr>
      <w:r w:rsidRPr="004F4940">
        <w:rPr>
          <w:rStyle w:val="FootnoteReference"/>
          <w:szCs w:val="26"/>
        </w:rPr>
        <w:footnoteRef/>
      </w:r>
      <w:r w:rsidRPr="004F4940">
        <w:rPr>
          <w:szCs w:val="26"/>
        </w:rPr>
        <w:t xml:space="preserve"> NERC Petition at 54-55.</w:t>
      </w:r>
    </w:p>
  </w:footnote>
  <w:footnote w:id="168">
    <w:p w:rsidR="00A7521F" w:rsidRPr="004F4940" w:rsidP="00A7521F" w14:paraId="01165DAE" w14:textId="77777777">
      <w:pPr>
        <w:pStyle w:val="FootnoteText"/>
      </w:pPr>
      <w:r w:rsidRPr="004F4940">
        <w:rPr>
          <w:rStyle w:val="FootnoteReference"/>
        </w:rPr>
        <w:footnoteRef/>
      </w:r>
      <w:r w:rsidRPr="004F4940">
        <w:t xml:space="preserve"> For example, wind or solar equipment.</w:t>
      </w:r>
    </w:p>
  </w:footnote>
  <w:footnote w:id="169">
    <w:p w:rsidR="00190CB5" w:rsidRPr="004F4940" w:rsidP="00190CB5" w14:paraId="029D2C75" w14:textId="77777777">
      <w:pPr>
        <w:pStyle w:val="FootnoteText"/>
      </w:pPr>
      <w:r w:rsidRPr="004F4940">
        <w:rPr>
          <w:rStyle w:val="FootnoteReference"/>
        </w:rPr>
        <w:footnoteRef/>
      </w:r>
      <w:r w:rsidRPr="004F4940">
        <w:rPr>
          <w:b/>
        </w:rPr>
        <w:t xml:space="preserve"> </w:t>
      </w:r>
      <w:r w:rsidRPr="004F4940">
        <w:t xml:space="preserve">44 U.S.C. </w:t>
      </w:r>
      <w:r w:rsidRPr="004F4940" w:rsidR="006A319B">
        <w:t xml:space="preserve">§ </w:t>
      </w:r>
      <w:r w:rsidRPr="004F4940">
        <w:t>3507(d).</w:t>
      </w:r>
    </w:p>
  </w:footnote>
  <w:footnote w:id="170">
    <w:p w:rsidR="00190CB5" w:rsidRPr="004F4940" w:rsidP="00190CB5" w14:paraId="62BF2865" w14:textId="3F31F12F">
      <w:pPr>
        <w:pStyle w:val="FootnoteText"/>
      </w:pPr>
      <w:r w:rsidRPr="004F4940">
        <w:rPr>
          <w:rStyle w:val="FootnoteReference"/>
        </w:rPr>
        <w:footnoteRef/>
      </w:r>
      <w:r w:rsidRPr="004F4940">
        <w:t xml:space="preserve"> 5 C</w:t>
      </w:r>
      <w:r w:rsidRPr="004F4940" w:rsidR="00A64E37">
        <w:t>.</w:t>
      </w:r>
      <w:r w:rsidRPr="004F4940">
        <w:t>F</w:t>
      </w:r>
      <w:r w:rsidRPr="004F4940" w:rsidR="00A64E37">
        <w:t>.</w:t>
      </w:r>
      <w:r w:rsidRPr="004F4940">
        <w:t>R</w:t>
      </w:r>
      <w:r w:rsidRPr="004F4940" w:rsidR="00A64E37">
        <w:t>.</w:t>
      </w:r>
      <w:r w:rsidRPr="004F4940">
        <w:t xml:space="preserve"> </w:t>
      </w:r>
      <w:r w:rsidRPr="004F4940" w:rsidR="006A319B">
        <w:t xml:space="preserve">§ </w:t>
      </w:r>
      <w:r w:rsidRPr="004F4940">
        <w:t>1320</w:t>
      </w:r>
      <w:r w:rsidR="00AC6123">
        <w:t xml:space="preserve"> (2021)</w:t>
      </w:r>
      <w:r w:rsidRPr="004F4940">
        <w:t>.</w:t>
      </w:r>
    </w:p>
  </w:footnote>
  <w:footnote w:id="171">
    <w:p w:rsidR="00C06652" w:rsidRPr="004F4940" w14:paraId="5A7D84C2" w14:textId="52C28287">
      <w:pPr>
        <w:pStyle w:val="FootnoteText"/>
      </w:pPr>
      <w:r w:rsidRPr="004F4940">
        <w:rPr>
          <w:rStyle w:val="FootnoteReference"/>
        </w:rPr>
        <w:footnoteRef/>
      </w:r>
      <w:r w:rsidRPr="004F4940">
        <w:t xml:space="preserve"> </w:t>
      </w:r>
      <w:r w:rsidRPr="004F4940" w:rsidR="006647C3">
        <w:t>The currently OMB</w:t>
      </w:r>
      <w:r w:rsidRPr="004F4940" w:rsidR="00D73588">
        <w:t xml:space="preserve"> </w:t>
      </w:r>
      <w:r w:rsidRPr="004F4940" w:rsidR="006647C3">
        <w:t xml:space="preserve">approved FERC-725S includes the burden related to Reliability Standard EOP-011-1. </w:t>
      </w:r>
      <w:r w:rsidRPr="004F4940" w:rsidR="00E74277">
        <w:t xml:space="preserve"> </w:t>
      </w:r>
      <w:r w:rsidRPr="004F4940" w:rsidR="006647C3">
        <w:t>Reliability Standard EOP-011-1 was superseded by</w:t>
      </w:r>
      <w:r w:rsidRPr="004F4940" w:rsidR="00FC79C5">
        <w:t xml:space="preserve"> Reliability Standard</w:t>
      </w:r>
      <w:r w:rsidRPr="004F4940" w:rsidR="006647C3">
        <w:t xml:space="preserve"> EOP-011-2</w:t>
      </w:r>
      <w:r w:rsidRPr="004F4940" w:rsidR="00093E4D">
        <w:t>, which</w:t>
      </w:r>
      <w:r w:rsidRPr="004F4940" w:rsidR="006647C3">
        <w:t xml:space="preserve"> was approved by the Commission in Docket </w:t>
      </w:r>
      <w:r w:rsidR="007D093B">
        <w:br/>
      </w:r>
      <w:r w:rsidRPr="004F4940" w:rsidR="006647C3">
        <w:t>No. RD21-5-000 (issued August 24, 2021).  Reliability Standard EOP-011-3</w:t>
      </w:r>
      <w:r w:rsidRPr="004F4940" w:rsidR="00146ED2">
        <w:t>,</w:t>
      </w:r>
      <w:r w:rsidRPr="004F4940" w:rsidR="006647C3">
        <w:t xml:space="preserve"> as </w:t>
      </w:r>
      <w:r w:rsidRPr="004F4940" w:rsidR="00092CD6">
        <w:t>noted</w:t>
      </w:r>
      <w:r w:rsidRPr="004F4940" w:rsidR="006647C3">
        <w:t xml:space="preserve"> </w:t>
      </w:r>
      <w:r w:rsidR="007D093B">
        <w:br/>
      </w:r>
      <w:r w:rsidRPr="004F4940" w:rsidR="006647C3">
        <w:t>in Docket No. RD23-1-000, will supersede Reliability Standard EOP-011-2</w:t>
      </w:r>
      <w:r w:rsidRPr="004F4940" w:rsidR="00CC3300">
        <w:t>; thus,</w:t>
      </w:r>
      <w:r w:rsidRPr="004F4940" w:rsidR="006647C3">
        <w:t xml:space="preserve"> the burden</w:t>
      </w:r>
      <w:r w:rsidRPr="004F4940" w:rsidR="005E3EEC">
        <w:t xml:space="preserve">s resulting from </w:t>
      </w:r>
      <w:r w:rsidRPr="004F4940" w:rsidR="006647C3">
        <w:t>Reliability Standard EOP-011-3 will be reflected in the FERC-725S information collection.</w:t>
      </w:r>
    </w:p>
  </w:footnote>
  <w:footnote w:id="172">
    <w:p w:rsidR="00A53DF9" w:rsidRPr="004F4940" w:rsidP="00A53DF9" w14:paraId="1C5ADDB2" w14:textId="77777777">
      <w:pPr>
        <w:pStyle w:val="FootnoteText"/>
      </w:pPr>
      <w:r w:rsidRPr="004F4940">
        <w:rPr>
          <w:rStyle w:val="FootnoteReference"/>
        </w:rPr>
        <w:footnoteRef/>
      </w:r>
      <w:r w:rsidRPr="004F4940">
        <w:t xml:space="preserve"> Burden hours per response may also include any methods for improvement not limited to trainings, drills, simulations, testing, etc.</w:t>
      </w:r>
    </w:p>
  </w:footnote>
  <w:footnote w:id="173">
    <w:p w:rsidR="00EB79C8" w:rsidRPr="004F4940" w:rsidP="00EB79C8" w14:paraId="64F7B99F" w14:textId="77777777">
      <w:pPr>
        <w:pStyle w:val="FootnoteText"/>
      </w:pPr>
      <w:r w:rsidRPr="004F4940">
        <w:rPr>
          <w:rStyle w:val="FootnoteReference"/>
        </w:rPr>
        <w:footnoteRef/>
      </w:r>
      <w:r w:rsidRPr="004F4940">
        <w:t xml:space="preserve"> TOP=Transmission Operator, BA=Balancing Authority, GO=Generator Owner, GOP=Generator Operator and RC=Reliability Coordinator.</w:t>
      </w:r>
    </w:p>
  </w:footnote>
  <w:footnote w:id="174">
    <w:p w:rsidR="00EB79C8" w:rsidRPr="004F4940" w:rsidP="00EB79C8" w14:paraId="0E98FF4D" w14:textId="020182CE">
      <w:pPr>
        <w:pStyle w:val="FootnoteText"/>
      </w:pPr>
      <w:r w:rsidRPr="004F4940">
        <w:rPr>
          <w:rStyle w:val="FootnoteReference"/>
        </w:rPr>
        <w:footnoteRef/>
      </w:r>
      <w:r w:rsidRPr="004F4940">
        <w:t xml:space="preserve"> The estimated hourly cost (salary plus benefits) </w:t>
      </w:r>
      <w:r w:rsidRPr="004F4940" w:rsidR="004D3DE7">
        <w:t>is</w:t>
      </w:r>
      <w:r w:rsidRPr="004F4940">
        <w:t xml:space="preserve"> </w:t>
      </w:r>
      <w:r w:rsidRPr="004F4940" w:rsidR="007B1584">
        <w:t xml:space="preserve">a </w:t>
      </w:r>
      <w:r w:rsidRPr="004F4940">
        <w:t xml:space="preserve">combination based on the Bureau of Labor Statistics (BLS), as of 2022, for </w:t>
      </w:r>
      <w:r w:rsidR="00C20282">
        <w:t xml:space="preserve">75% </w:t>
      </w:r>
      <w:r w:rsidRPr="004F4940" w:rsidR="00781D99">
        <w:t>of</w:t>
      </w:r>
      <w:r w:rsidRPr="004F4940">
        <w:t xml:space="preserve"> the average of an Electrical Engineer (17-2071) - $77.02, mechanical engineers (17-2141) - $67.79.  $77.02 + $67.79/2 = 72.405 x .75 = 54.303 ($</w:t>
      </w:r>
      <w:r w:rsidRPr="004F4940">
        <w:rPr>
          <w:b/>
          <w:bCs/>
        </w:rPr>
        <w:t>54.30</w:t>
      </w:r>
      <w:r w:rsidRPr="004F4940">
        <w:t xml:space="preserve">-rounded) </w:t>
      </w:r>
      <w:r w:rsidRPr="004F4940">
        <w:rPr>
          <w:b/>
          <w:bCs/>
        </w:rPr>
        <w:t>($54.30/hour)</w:t>
      </w:r>
      <w:r w:rsidRPr="004F4940">
        <w:t xml:space="preserve"> and </w:t>
      </w:r>
      <w:r w:rsidR="00C20282">
        <w:t xml:space="preserve">25% </w:t>
      </w:r>
      <w:r w:rsidRPr="004F4940" w:rsidR="00781D99">
        <w:t>of an</w:t>
      </w:r>
      <w:r w:rsidRPr="004F4940">
        <w:t xml:space="preserve"> Information and Record Clerk</w:t>
      </w:r>
      <w:r w:rsidRPr="004F4940" w:rsidR="00781D99">
        <w:t xml:space="preserve"> </w:t>
      </w:r>
      <w:r w:rsidRPr="004F4940">
        <w:t xml:space="preserve">(43-4199) $42.35 x .25% = 10.5875 </w:t>
      </w:r>
      <w:r w:rsidRPr="004F4940">
        <w:rPr>
          <w:b/>
          <w:bCs/>
        </w:rPr>
        <w:t>($10.59</w:t>
      </w:r>
      <w:r w:rsidRPr="004F4940">
        <w:t xml:space="preserve"> rounded) ($10.59/hour), for a total ($54.30+$10.59 = $</w:t>
      </w:r>
      <w:r w:rsidRPr="004F4940">
        <w:rPr>
          <w:b/>
          <w:bCs/>
        </w:rPr>
        <w:t>64.89/h</w:t>
      </w:r>
      <w:r w:rsidRPr="004F4940" w:rsidR="003A5B74">
        <w:rPr>
          <w:b/>
          <w:bCs/>
        </w:rPr>
        <w:t>ou</w:t>
      </w:r>
      <w:r w:rsidRPr="004F4940">
        <w:rPr>
          <w:b/>
          <w:bCs/>
        </w:rPr>
        <w:t>r</w:t>
      </w:r>
      <w:r w:rsidRPr="004F4940">
        <w:t>).</w:t>
      </w:r>
    </w:p>
  </w:footnote>
  <w:footnote w:id="175">
    <w:p w:rsidR="00EB79C8" w:rsidRPr="004F4940" w:rsidP="00EB79C8" w14:paraId="1E86EE16" w14:textId="77777777">
      <w:pPr>
        <w:pStyle w:val="FootnoteText"/>
      </w:pPr>
      <w:r w:rsidRPr="004F4940">
        <w:rPr>
          <w:rStyle w:val="FootnoteReference"/>
        </w:rPr>
        <w:footnoteRef/>
      </w:r>
      <w:r w:rsidRPr="004F4940">
        <w:t xml:space="preserve"> Reduce the estimate for </w:t>
      </w:r>
      <w:r w:rsidRPr="004F4940" w:rsidR="003A5B74">
        <w:t>balancing authorit</w:t>
      </w:r>
      <w:r w:rsidRPr="004F4940" w:rsidR="00AE4526">
        <w:t>ies</w:t>
      </w:r>
      <w:r w:rsidRPr="004F4940">
        <w:t xml:space="preserve"> from EOP-011-2 down from previous 60</w:t>
      </w:r>
      <w:r w:rsidRPr="004F4940" w:rsidR="003056B6">
        <w:t xml:space="preserve"> hours</w:t>
      </w:r>
      <w:r w:rsidRPr="004F4940">
        <w:t xml:space="preserve"> to 6</w:t>
      </w:r>
      <w:r w:rsidRPr="004F4940" w:rsidR="003056B6">
        <w:t xml:space="preserve"> </w:t>
      </w:r>
      <w:r w:rsidRPr="004F4940">
        <w:t>h</w:t>
      </w:r>
      <w:r w:rsidRPr="004F4940" w:rsidR="003056B6">
        <w:t>ou</w:t>
      </w:r>
      <w:r w:rsidRPr="004F4940">
        <w:t>rs for EOP-011-3.</w:t>
      </w:r>
    </w:p>
  </w:footnote>
  <w:footnote w:id="176">
    <w:p w:rsidR="00EB79C8" w:rsidRPr="004F4940" w:rsidP="00EB79C8" w14:paraId="396895EA" w14:textId="77777777">
      <w:pPr>
        <w:pStyle w:val="FootnoteText"/>
      </w:pPr>
      <w:r w:rsidRPr="004F4940">
        <w:rPr>
          <w:rStyle w:val="FootnoteReference"/>
        </w:rPr>
        <w:footnoteRef/>
      </w:r>
      <w:r w:rsidRPr="004F4940">
        <w:t xml:space="preserve"> Reduce the estimate for </w:t>
      </w:r>
      <w:r w:rsidRPr="004F4940" w:rsidR="00AE4526">
        <w:t>reliability coordinators</w:t>
      </w:r>
      <w:r w:rsidRPr="004F4940">
        <w:t xml:space="preserve"> from EOP-011-2 down from previous 40</w:t>
      </w:r>
      <w:r w:rsidRPr="004F4940" w:rsidR="003056B6">
        <w:t xml:space="preserve"> hours</w:t>
      </w:r>
      <w:r w:rsidRPr="004F4940">
        <w:t xml:space="preserve"> to 28</w:t>
      </w:r>
      <w:r w:rsidRPr="004F4940" w:rsidR="003056B6">
        <w:t xml:space="preserve"> hours</w:t>
      </w:r>
      <w:r w:rsidRPr="004F4940">
        <w:t xml:space="preserve"> for EOP-011-3.</w:t>
      </w:r>
    </w:p>
  </w:footnote>
  <w:footnote w:id="177">
    <w:p w:rsidR="00EB79C8" w:rsidRPr="004F4940" w:rsidP="00EB79C8" w14:paraId="7C4BF644" w14:textId="77777777">
      <w:pPr>
        <w:pStyle w:val="FootnoteText"/>
      </w:pPr>
      <w:r w:rsidRPr="004F4940">
        <w:rPr>
          <w:rStyle w:val="FootnoteReference"/>
        </w:rPr>
        <w:footnoteRef/>
      </w:r>
      <w:r w:rsidRPr="004F4940">
        <w:t xml:space="preserve"> Reduce the estimate for </w:t>
      </w:r>
      <w:r w:rsidRPr="004F4940" w:rsidR="00AE4526">
        <w:t>transmission operators</w:t>
      </w:r>
      <w:r w:rsidRPr="004F4940">
        <w:t xml:space="preserve"> from EOP-011-2 down from previous 50</w:t>
      </w:r>
      <w:r w:rsidRPr="004F4940" w:rsidR="00AE4526">
        <w:t xml:space="preserve"> hours</w:t>
      </w:r>
      <w:r w:rsidRPr="004F4940">
        <w:t xml:space="preserve"> to 10</w:t>
      </w:r>
      <w:r w:rsidRPr="004F4940" w:rsidR="00AE4526">
        <w:t xml:space="preserve"> hours </w:t>
      </w:r>
      <w:r w:rsidRPr="004F4940">
        <w:t>for EOP-011-3.</w:t>
      </w:r>
    </w:p>
  </w:footnote>
  <w:footnote w:id="178">
    <w:p w:rsidR="00EB79C8" w:rsidRPr="004F4940" w:rsidP="00EB79C8" w14:paraId="09337AC1" w14:textId="77777777">
      <w:pPr>
        <w:pStyle w:val="FootnoteText"/>
      </w:pPr>
      <w:r w:rsidRPr="004F4940">
        <w:rPr>
          <w:rStyle w:val="FootnoteReference"/>
        </w:rPr>
        <w:footnoteRef/>
      </w:r>
      <w:r w:rsidRPr="004F4940">
        <w:t xml:space="preserve"> Reduce the estimate for </w:t>
      </w:r>
      <w:r w:rsidRPr="004F4940" w:rsidR="00AE4526">
        <w:t>balancing authorities</w:t>
      </w:r>
      <w:r w:rsidRPr="004F4940">
        <w:t xml:space="preserve"> from EOP-011-2 down from previous 50</w:t>
      </w:r>
      <w:r w:rsidRPr="004F4940" w:rsidR="00AE4526">
        <w:t xml:space="preserve"> hours</w:t>
      </w:r>
      <w:r w:rsidRPr="004F4940">
        <w:t xml:space="preserve"> to 10</w:t>
      </w:r>
      <w:r w:rsidRPr="004F4940" w:rsidR="00AE4526">
        <w:t xml:space="preserve"> </w:t>
      </w:r>
      <w:r w:rsidRPr="004F4940">
        <w:t>h</w:t>
      </w:r>
      <w:r w:rsidRPr="004F4940" w:rsidR="00AE4526">
        <w:t>ou</w:t>
      </w:r>
      <w:r w:rsidRPr="004F4940">
        <w:t>rs for EOP-011-3.</w:t>
      </w:r>
    </w:p>
  </w:footnote>
  <w:footnote w:id="179">
    <w:p w:rsidR="00EB79C8" w:rsidRPr="004F4940" w:rsidP="00EB79C8" w14:paraId="16F8EEE5" w14:textId="77777777">
      <w:pPr>
        <w:pStyle w:val="FootnoteText"/>
      </w:pPr>
      <w:r w:rsidRPr="004F4940">
        <w:rPr>
          <w:rStyle w:val="FootnoteReference"/>
        </w:rPr>
        <w:footnoteRef/>
      </w:r>
      <w:r w:rsidRPr="004F4940">
        <w:t xml:space="preserve"> Reduce the estimate for </w:t>
      </w:r>
      <w:r w:rsidRPr="004F4940" w:rsidR="00AE4526">
        <w:t xml:space="preserve">reliability coordinators </w:t>
      </w:r>
      <w:r w:rsidRPr="004F4940">
        <w:t>from EOP-011-2 down from previous 20</w:t>
      </w:r>
      <w:r w:rsidRPr="004F4940" w:rsidR="00AE4526">
        <w:t xml:space="preserve"> hours </w:t>
      </w:r>
      <w:r w:rsidRPr="004F4940">
        <w:t>to 14</w:t>
      </w:r>
      <w:r w:rsidRPr="004F4940" w:rsidR="00AE4526">
        <w:t xml:space="preserve"> hours</w:t>
      </w:r>
      <w:r w:rsidRPr="004F4940">
        <w:t xml:space="preserve"> for EOP-011-3.</w:t>
      </w:r>
    </w:p>
  </w:footnote>
  <w:footnote w:id="180">
    <w:p w:rsidR="002F3526" w:rsidRPr="004F4940" w:rsidP="002F3526" w14:paraId="66F1842E" w14:textId="2AFCCA4F">
      <w:pPr>
        <w:pStyle w:val="FootnoteText"/>
      </w:pPr>
      <w:r w:rsidRPr="004F4940">
        <w:rPr>
          <w:rStyle w:val="FootnoteReference"/>
        </w:rPr>
        <w:footnoteRef/>
      </w:r>
      <w:r w:rsidRPr="004F4940">
        <w:t xml:space="preserve"> The estimated hourly cost (salary plus benefits) </w:t>
      </w:r>
      <w:r w:rsidRPr="004F4940" w:rsidR="00957C96">
        <w:t>is a</w:t>
      </w:r>
      <w:r w:rsidRPr="004F4940">
        <w:t xml:space="preserve"> combination based on the Bureau of Labor Statistics (BLS), as of 2022, for </w:t>
      </w:r>
      <w:r w:rsidR="00680A31">
        <w:t>75%</w:t>
      </w:r>
      <w:r w:rsidRPr="004F4940">
        <w:t xml:space="preserve"> </w:t>
      </w:r>
      <w:r w:rsidRPr="004F4940" w:rsidR="001F469E">
        <w:t xml:space="preserve">of </w:t>
      </w:r>
      <w:r w:rsidRPr="004F4940">
        <w:t>the average of an Electrical Engineer (17-2071) - $77.02, mechanical engineers (17-2141) - $67.79.  $77.02 + $67.79/2 = 72.405 x .75 = 54.303 ($</w:t>
      </w:r>
      <w:r w:rsidRPr="004F4940">
        <w:rPr>
          <w:b/>
          <w:bCs/>
        </w:rPr>
        <w:t>54.30</w:t>
      </w:r>
      <w:r w:rsidRPr="004F4940">
        <w:t xml:space="preserve">-rounded) </w:t>
      </w:r>
      <w:r w:rsidRPr="004F4940">
        <w:rPr>
          <w:b/>
          <w:bCs/>
        </w:rPr>
        <w:t>($54.30/hour)</w:t>
      </w:r>
      <w:r w:rsidRPr="004F4940">
        <w:t xml:space="preserve"> an</w:t>
      </w:r>
      <w:r w:rsidR="00680A31">
        <w:t>d 25%</w:t>
      </w:r>
      <w:r w:rsidRPr="004F4940">
        <w:t xml:space="preserve"> percent </w:t>
      </w:r>
      <w:r w:rsidRPr="004F4940" w:rsidR="001F469E">
        <w:t xml:space="preserve">of </w:t>
      </w:r>
      <w:r w:rsidR="00680A31">
        <w:br/>
      </w:r>
      <w:r w:rsidRPr="004F4940" w:rsidR="001F469E">
        <w:t>an</w:t>
      </w:r>
      <w:r w:rsidRPr="004F4940">
        <w:t xml:space="preserve"> Information and Record Clerk (43-4199) $42.35 x .25% = 10.5875 </w:t>
      </w:r>
      <w:r w:rsidRPr="004F4940">
        <w:rPr>
          <w:b/>
          <w:bCs/>
        </w:rPr>
        <w:t>($10.59</w:t>
      </w:r>
      <w:r w:rsidRPr="004F4940">
        <w:t xml:space="preserve"> rounded) ($10.59/hour), for a total ($54.30+$10.59 = $</w:t>
      </w:r>
      <w:r w:rsidRPr="004F4940">
        <w:rPr>
          <w:b/>
          <w:bCs/>
        </w:rPr>
        <w:t>64.89/h</w:t>
      </w:r>
      <w:r w:rsidRPr="004F4940" w:rsidR="00957C96">
        <w:rPr>
          <w:b/>
          <w:bCs/>
        </w:rPr>
        <w:t>ou</w:t>
      </w:r>
      <w:r w:rsidRPr="004F4940">
        <w:rPr>
          <w:b/>
          <w:bCs/>
        </w:rPr>
        <w:t>r</w:t>
      </w:r>
      <w:r w:rsidRPr="004F4940">
        <w:t>).</w:t>
      </w:r>
    </w:p>
  </w:footnote>
  <w:footnote w:id="181">
    <w:p w:rsidR="002F3526" w:rsidP="002F3526" w14:paraId="5A68D35E" w14:textId="77777777">
      <w:pPr>
        <w:pStyle w:val="FootnoteText"/>
      </w:pPr>
      <w:r w:rsidRPr="004F4940">
        <w:rPr>
          <w:rStyle w:val="FootnoteReference"/>
        </w:rPr>
        <w:footnoteRef/>
      </w:r>
      <w:r w:rsidRPr="004F4940">
        <w:t xml:space="preserve"> The estimates for the </w:t>
      </w:r>
      <w:r w:rsidRPr="004F4940" w:rsidR="00957C96">
        <w:t>generator owner and generator operator</w:t>
      </w:r>
      <w:r w:rsidRPr="004F4940">
        <w:t xml:space="preserve"> are being moved from the current EOP-011-2 to the new EOP-012-1.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07EE0" w14:paraId="7EA7BED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0451C81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327B8" w14:paraId="68683892" w14:textId="7AD9A776">
    <w:pPr>
      <w:pStyle w:val="Header"/>
      <w:tabs>
        <w:tab w:val="clear" w:pos="4680"/>
      </w:tabs>
      <w:spacing w:after="240"/>
    </w:pPr>
    <w:r>
      <w:t>Docket No. RD23-1-000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EC3F55" w14:paraId="0FB788F2" w14:textId="0206ABB8">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2C65D63"/>
    <w:multiLevelType w:val="hybridMultilevel"/>
    <w:tmpl w:val="E01628BE"/>
    <w:lvl w:ilvl="0">
      <w:start w:val="5"/>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0B7C9B"/>
    <w:multiLevelType w:val="hybridMultilevel"/>
    <w:tmpl w:val="90DCF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62607C"/>
    <w:multiLevelType w:val="hybridMultilevel"/>
    <w:tmpl w:val="90C0BA0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8">
    <w:nsid w:val="22E55325"/>
    <w:multiLevelType w:val="hybridMultilevel"/>
    <w:tmpl w:val="D94E419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397E80"/>
    <w:multiLevelType w:val="hybridMultilevel"/>
    <w:tmpl w:val="2C1C9D7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8F4DDD"/>
    <w:multiLevelType w:val="hybridMultilevel"/>
    <w:tmpl w:val="C7D4AD18"/>
    <w:lvl w:ilvl="0">
      <w:start w:val="4"/>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1B4365"/>
    <w:multiLevelType w:val="hybridMultilevel"/>
    <w:tmpl w:val="578C11EA"/>
    <w:lvl w:ilvl="0">
      <w:start w:val="3"/>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6502FF"/>
    <w:multiLevelType w:val="multilevel"/>
    <w:tmpl w:val="E4E261B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rFonts w:ascii="Times New Roman" w:hAnsi="Times New Roman" w:cs="Times New Roman" w:hint="default"/>
        <w:sz w:val="26"/>
        <w:szCs w:val="26"/>
      </w:r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DB80BCC"/>
    <w:multiLevelType w:val="hybridMultilevel"/>
    <w:tmpl w:val="9976DEF2"/>
    <w:lvl w:ilvl="0">
      <w:start w:val="2"/>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9B0FE5"/>
    <w:multiLevelType w:val="hybridMultilevel"/>
    <w:tmpl w:val="D77C3004"/>
    <w:lvl w:ilvl="0">
      <w:start w:val="2"/>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9">
    <w:nsid w:val="71B4578D"/>
    <w:multiLevelType w:val="hybridMultilevel"/>
    <w:tmpl w:val="1ABAC66C"/>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1A7E6B"/>
    <w:multiLevelType w:val="hybridMultilevel"/>
    <w:tmpl w:val="DAE2A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3B09D3"/>
    <w:multiLevelType w:val="hybridMultilevel"/>
    <w:tmpl w:val="7DB4ECAC"/>
    <w:lvl w:ilvl="0">
      <w:start w:val="1"/>
      <w:numFmt w:val="decimal"/>
      <w:pStyle w:val="FERCparanumber"/>
      <w:lvlText w:val="%1."/>
      <w:lvlJc w:val="left"/>
      <w:pPr>
        <w:tabs>
          <w:tab w:val="num" w:pos="72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5"/>
  </w:num>
  <w:num w:numId="13">
    <w:abstractNumId w:val="16"/>
  </w:num>
  <w:num w:numId="14">
    <w:abstractNumId w:val="28"/>
  </w:num>
  <w:num w:numId="15">
    <w:abstractNumId w:val="24"/>
  </w:num>
  <w:num w:numId="16">
    <w:abstractNumId w:val="31"/>
  </w:num>
  <w:num w:numId="17">
    <w:abstractNumId w:val="11"/>
  </w:num>
  <w:num w:numId="18">
    <w:abstractNumId w:val="10"/>
  </w:num>
  <w:num w:numId="19">
    <w:abstractNumId w:val="17"/>
  </w:num>
  <w:num w:numId="20">
    <w:abstractNumId w:val="13"/>
  </w:num>
  <w:num w:numId="21">
    <w:abstractNumId w:val="32"/>
  </w:num>
  <w:num w:numId="22">
    <w:abstractNumId w:val="20"/>
  </w:num>
  <w:num w:numId="23">
    <w:abstractNumId w:val="29"/>
  </w:num>
  <w:num w:numId="24">
    <w:abstractNumId w:val="24"/>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lvlOverride w:ilvl="0">
      <w:startOverride w:val="1"/>
    </w:lvlOverride>
    <w:lvlOverride w:ilvl="1">
      <w:startOverride w:val="2"/>
    </w:lvlOverride>
  </w:num>
  <w:num w:numId="28">
    <w:abstractNumId w:val="26"/>
  </w:num>
  <w:num w:numId="29">
    <w:abstractNumId w:val="27"/>
  </w:num>
  <w:num w:numId="30">
    <w:abstractNumId w:val="23"/>
  </w:num>
  <w:num w:numId="31">
    <w:abstractNumId w:val="21"/>
  </w:num>
  <w:num w:numId="32">
    <w:abstractNumId w:val="12"/>
  </w:num>
  <w:num w:numId="33">
    <w:abstractNumId w:val="15"/>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1"/>
    <w:lvlOverride w:ilvl="0"/>
    <w:lvlOverride w:ilvl="1">
      <w:startOverride w:val="2"/>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2"/>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num>
  <w:num w:numId="42">
    <w:abstractNumId w:val="31"/>
    <w:lvlOverride w:ilvl="0">
      <w:startOverride w:val="54"/>
    </w:lvlOverride>
  </w:num>
  <w:num w:numId="43">
    <w:abstractNumId w:val="19"/>
  </w:num>
  <w:num w:numId="44">
    <w:abstractNumId w:val="31"/>
    <w:lvlOverride w:ilvl="0">
      <w:startOverride w:val="54"/>
    </w:lvlOverride>
  </w:num>
  <w:num w:numId="45">
    <w:abstractNumId w:val="1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8"/>
    <w:rsid w:val="000009FA"/>
    <w:rsid w:val="000010C7"/>
    <w:rsid w:val="00001375"/>
    <w:rsid w:val="00001520"/>
    <w:rsid w:val="00001995"/>
    <w:rsid w:val="00001C30"/>
    <w:rsid w:val="00001FE6"/>
    <w:rsid w:val="0000269A"/>
    <w:rsid w:val="000027E4"/>
    <w:rsid w:val="00002AFF"/>
    <w:rsid w:val="00002B15"/>
    <w:rsid w:val="00002BE0"/>
    <w:rsid w:val="000030E5"/>
    <w:rsid w:val="00003340"/>
    <w:rsid w:val="00003B58"/>
    <w:rsid w:val="000044C3"/>
    <w:rsid w:val="000046AA"/>
    <w:rsid w:val="00004828"/>
    <w:rsid w:val="0000486D"/>
    <w:rsid w:val="00004AE5"/>
    <w:rsid w:val="00004D01"/>
    <w:rsid w:val="000050E6"/>
    <w:rsid w:val="00005852"/>
    <w:rsid w:val="000059CC"/>
    <w:rsid w:val="00005B37"/>
    <w:rsid w:val="00005D68"/>
    <w:rsid w:val="00005E61"/>
    <w:rsid w:val="00005FE7"/>
    <w:rsid w:val="000060A1"/>
    <w:rsid w:val="00006426"/>
    <w:rsid w:val="00006765"/>
    <w:rsid w:val="00006DE9"/>
    <w:rsid w:val="00007001"/>
    <w:rsid w:val="00007089"/>
    <w:rsid w:val="00007313"/>
    <w:rsid w:val="0000731D"/>
    <w:rsid w:val="000073D2"/>
    <w:rsid w:val="0000748D"/>
    <w:rsid w:val="000077BD"/>
    <w:rsid w:val="00007B15"/>
    <w:rsid w:val="00007B83"/>
    <w:rsid w:val="00007D8B"/>
    <w:rsid w:val="00010016"/>
    <w:rsid w:val="0001005F"/>
    <w:rsid w:val="00010AB6"/>
    <w:rsid w:val="00010AE5"/>
    <w:rsid w:val="00010CF7"/>
    <w:rsid w:val="00010D69"/>
    <w:rsid w:val="00010EB0"/>
    <w:rsid w:val="00010FA6"/>
    <w:rsid w:val="000118C8"/>
    <w:rsid w:val="00011A9A"/>
    <w:rsid w:val="00011D3B"/>
    <w:rsid w:val="00011F81"/>
    <w:rsid w:val="000121D8"/>
    <w:rsid w:val="000122C8"/>
    <w:rsid w:val="00012338"/>
    <w:rsid w:val="00012371"/>
    <w:rsid w:val="00012FC7"/>
    <w:rsid w:val="000132E2"/>
    <w:rsid w:val="000133D6"/>
    <w:rsid w:val="00013722"/>
    <w:rsid w:val="00013A4F"/>
    <w:rsid w:val="00013A62"/>
    <w:rsid w:val="00013AC9"/>
    <w:rsid w:val="00013BD5"/>
    <w:rsid w:val="00013BDA"/>
    <w:rsid w:val="00013C14"/>
    <w:rsid w:val="00013E62"/>
    <w:rsid w:val="00013ECE"/>
    <w:rsid w:val="00013ECF"/>
    <w:rsid w:val="00013FAC"/>
    <w:rsid w:val="000140C2"/>
    <w:rsid w:val="000143AA"/>
    <w:rsid w:val="00014502"/>
    <w:rsid w:val="000147C4"/>
    <w:rsid w:val="00014B73"/>
    <w:rsid w:val="00014C9A"/>
    <w:rsid w:val="00014FA4"/>
    <w:rsid w:val="00014FE2"/>
    <w:rsid w:val="00015592"/>
    <w:rsid w:val="00015606"/>
    <w:rsid w:val="0001634E"/>
    <w:rsid w:val="00016447"/>
    <w:rsid w:val="000166F1"/>
    <w:rsid w:val="000167B0"/>
    <w:rsid w:val="0001691B"/>
    <w:rsid w:val="00016957"/>
    <w:rsid w:val="00017B69"/>
    <w:rsid w:val="00017F4C"/>
    <w:rsid w:val="00017FBD"/>
    <w:rsid w:val="0002029D"/>
    <w:rsid w:val="0002032A"/>
    <w:rsid w:val="00020407"/>
    <w:rsid w:val="0002042F"/>
    <w:rsid w:val="000204A1"/>
    <w:rsid w:val="000205B9"/>
    <w:rsid w:val="000206ED"/>
    <w:rsid w:val="00020BAF"/>
    <w:rsid w:val="000217B9"/>
    <w:rsid w:val="000217DE"/>
    <w:rsid w:val="0002191D"/>
    <w:rsid w:val="00021920"/>
    <w:rsid w:val="00021C20"/>
    <w:rsid w:val="000228D3"/>
    <w:rsid w:val="0002299D"/>
    <w:rsid w:val="00022A33"/>
    <w:rsid w:val="00022A39"/>
    <w:rsid w:val="00022ED7"/>
    <w:rsid w:val="00023380"/>
    <w:rsid w:val="0002355F"/>
    <w:rsid w:val="00023940"/>
    <w:rsid w:val="00023C42"/>
    <w:rsid w:val="0002434E"/>
    <w:rsid w:val="00024D99"/>
    <w:rsid w:val="000250D1"/>
    <w:rsid w:val="000251BA"/>
    <w:rsid w:val="00025502"/>
    <w:rsid w:val="000255B3"/>
    <w:rsid w:val="000258B1"/>
    <w:rsid w:val="000258F2"/>
    <w:rsid w:val="000262B4"/>
    <w:rsid w:val="00026673"/>
    <w:rsid w:val="00026747"/>
    <w:rsid w:val="00026815"/>
    <w:rsid w:val="00026B92"/>
    <w:rsid w:val="00027CBE"/>
    <w:rsid w:val="00030093"/>
    <w:rsid w:val="00030570"/>
    <w:rsid w:val="00030E6F"/>
    <w:rsid w:val="00031141"/>
    <w:rsid w:val="000315B8"/>
    <w:rsid w:val="000316A1"/>
    <w:rsid w:val="000317A5"/>
    <w:rsid w:val="00031AB0"/>
    <w:rsid w:val="00031ED1"/>
    <w:rsid w:val="000320BF"/>
    <w:rsid w:val="00032311"/>
    <w:rsid w:val="0003243F"/>
    <w:rsid w:val="000327D7"/>
    <w:rsid w:val="000329F4"/>
    <w:rsid w:val="00033140"/>
    <w:rsid w:val="0003317F"/>
    <w:rsid w:val="00033272"/>
    <w:rsid w:val="000332F9"/>
    <w:rsid w:val="00033606"/>
    <w:rsid w:val="00033677"/>
    <w:rsid w:val="0003382F"/>
    <w:rsid w:val="0003389D"/>
    <w:rsid w:val="00033C39"/>
    <w:rsid w:val="00033CC2"/>
    <w:rsid w:val="000342D3"/>
    <w:rsid w:val="00034537"/>
    <w:rsid w:val="00034928"/>
    <w:rsid w:val="00034B0E"/>
    <w:rsid w:val="00034B91"/>
    <w:rsid w:val="00034F57"/>
    <w:rsid w:val="00035020"/>
    <w:rsid w:val="00035309"/>
    <w:rsid w:val="00035391"/>
    <w:rsid w:val="000353B7"/>
    <w:rsid w:val="00035936"/>
    <w:rsid w:val="00035984"/>
    <w:rsid w:val="00035E0F"/>
    <w:rsid w:val="00036504"/>
    <w:rsid w:val="000365E9"/>
    <w:rsid w:val="000365F2"/>
    <w:rsid w:val="0003696F"/>
    <w:rsid w:val="00036A6B"/>
    <w:rsid w:val="00037115"/>
    <w:rsid w:val="000373B2"/>
    <w:rsid w:val="00037726"/>
    <w:rsid w:val="00037BE5"/>
    <w:rsid w:val="00037D53"/>
    <w:rsid w:val="000402C2"/>
    <w:rsid w:val="0004049F"/>
    <w:rsid w:val="00040767"/>
    <w:rsid w:val="00040B9E"/>
    <w:rsid w:val="00040EF0"/>
    <w:rsid w:val="0004126B"/>
    <w:rsid w:val="000412D2"/>
    <w:rsid w:val="000417F8"/>
    <w:rsid w:val="0004182A"/>
    <w:rsid w:val="00041899"/>
    <w:rsid w:val="00041C72"/>
    <w:rsid w:val="00041D13"/>
    <w:rsid w:val="00041FFC"/>
    <w:rsid w:val="00042303"/>
    <w:rsid w:val="000428C4"/>
    <w:rsid w:val="00042BC5"/>
    <w:rsid w:val="00042D27"/>
    <w:rsid w:val="00042D98"/>
    <w:rsid w:val="0004333B"/>
    <w:rsid w:val="000434F0"/>
    <w:rsid w:val="00043618"/>
    <w:rsid w:val="00043C89"/>
    <w:rsid w:val="00043C8B"/>
    <w:rsid w:val="000444F3"/>
    <w:rsid w:val="000445C6"/>
    <w:rsid w:val="00044609"/>
    <w:rsid w:val="00044613"/>
    <w:rsid w:val="000455F5"/>
    <w:rsid w:val="00045713"/>
    <w:rsid w:val="00045A8E"/>
    <w:rsid w:val="00045A9D"/>
    <w:rsid w:val="00045C85"/>
    <w:rsid w:val="0004624A"/>
    <w:rsid w:val="000463A1"/>
    <w:rsid w:val="00046C5D"/>
    <w:rsid w:val="00046C64"/>
    <w:rsid w:val="00046EDB"/>
    <w:rsid w:val="000475E9"/>
    <w:rsid w:val="00047986"/>
    <w:rsid w:val="000479CD"/>
    <w:rsid w:val="00050233"/>
    <w:rsid w:val="000509C0"/>
    <w:rsid w:val="00050D4D"/>
    <w:rsid w:val="00050FD9"/>
    <w:rsid w:val="000511B8"/>
    <w:rsid w:val="000512F4"/>
    <w:rsid w:val="0005135D"/>
    <w:rsid w:val="0005157C"/>
    <w:rsid w:val="00051614"/>
    <w:rsid w:val="00051618"/>
    <w:rsid w:val="00051736"/>
    <w:rsid w:val="00051940"/>
    <w:rsid w:val="0005197E"/>
    <w:rsid w:val="00051FD9"/>
    <w:rsid w:val="00052372"/>
    <w:rsid w:val="000523E6"/>
    <w:rsid w:val="000524AA"/>
    <w:rsid w:val="00052922"/>
    <w:rsid w:val="000529BA"/>
    <w:rsid w:val="00052E29"/>
    <w:rsid w:val="00053122"/>
    <w:rsid w:val="0005341C"/>
    <w:rsid w:val="00053CC5"/>
    <w:rsid w:val="00053F35"/>
    <w:rsid w:val="00054066"/>
    <w:rsid w:val="00054128"/>
    <w:rsid w:val="0005440D"/>
    <w:rsid w:val="0005453C"/>
    <w:rsid w:val="00054786"/>
    <w:rsid w:val="000548EB"/>
    <w:rsid w:val="000550DC"/>
    <w:rsid w:val="0005522C"/>
    <w:rsid w:val="00055354"/>
    <w:rsid w:val="00055432"/>
    <w:rsid w:val="0005564E"/>
    <w:rsid w:val="0005566A"/>
    <w:rsid w:val="00055F5F"/>
    <w:rsid w:val="00056527"/>
    <w:rsid w:val="00056588"/>
    <w:rsid w:val="00056591"/>
    <w:rsid w:val="000565DD"/>
    <w:rsid w:val="000567DE"/>
    <w:rsid w:val="00056AA0"/>
    <w:rsid w:val="00056C02"/>
    <w:rsid w:val="00056E79"/>
    <w:rsid w:val="00056F82"/>
    <w:rsid w:val="00057381"/>
    <w:rsid w:val="000573F6"/>
    <w:rsid w:val="000577C0"/>
    <w:rsid w:val="00057DE3"/>
    <w:rsid w:val="000603D0"/>
    <w:rsid w:val="00060512"/>
    <w:rsid w:val="000605A0"/>
    <w:rsid w:val="00060785"/>
    <w:rsid w:val="000607CD"/>
    <w:rsid w:val="00060828"/>
    <w:rsid w:val="00060BDA"/>
    <w:rsid w:val="00060CAE"/>
    <w:rsid w:val="00060D7E"/>
    <w:rsid w:val="0006117F"/>
    <w:rsid w:val="000612F0"/>
    <w:rsid w:val="0006135E"/>
    <w:rsid w:val="00061A24"/>
    <w:rsid w:val="00061CB7"/>
    <w:rsid w:val="00061FA9"/>
    <w:rsid w:val="00062732"/>
    <w:rsid w:val="000628A3"/>
    <w:rsid w:val="00062BA8"/>
    <w:rsid w:val="00062D7D"/>
    <w:rsid w:val="00062F76"/>
    <w:rsid w:val="0006316F"/>
    <w:rsid w:val="000635FB"/>
    <w:rsid w:val="00064658"/>
    <w:rsid w:val="00064B3E"/>
    <w:rsid w:val="00064F92"/>
    <w:rsid w:val="000651BD"/>
    <w:rsid w:val="00065471"/>
    <w:rsid w:val="00065710"/>
    <w:rsid w:val="000659B3"/>
    <w:rsid w:val="00066605"/>
    <w:rsid w:val="00066676"/>
    <w:rsid w:val="00066BE4"/>
    <w:rsid w:val="00067061"/>
    <w:rsid w:val="000672DB"/>
    <w:rsid w:val="0006780A"/>
    <w:rsid w:val="000679BE"/>
    <w:rsid w:val="00067B25"/>
    <w:rsid w:val="00067BFD"/>
    <w:rsid w:val="00067CDB"/>
    <w:rsid w:val="00069755"/>
    <w:rsid w:val="0007009B"/>
    <w:rsid w:val="00070152"/>
    <w:rsid w:val="00070273"/>
    <w:rsid w:val="000703B8"/>
    <w:rsid w:val="000705F5"/>
    <w:rsid w:val="00070857"/>
    <w:rsid w:val="00071457"/>
    <w:rsid w:val="00071803"/>
    <w:rsid w:val="00071F49"/>
    <w:rsid w:val="00072229"/>
    <w:rsid w:val="0007225F"/>
    <w:rsid w:val="00072491"/>
    <w:rsid w:val="00072873"/>
    <w:rsid w:val="00072F21"/>
    <w:rsid w:val="00073170"/>
    <w:rsid w:val="00073256"/>
    <w:rsid w:val="0007339B"/>
    <w:rsid w:val="0007359F"/>
    <w:rsid w:val="000735B7"/>
    <w:rsid w:val="0007377C"/>
    <w:rsid w:val="00073925"/>
    <w:rsid w:val="00073926"/>
    <w:rsid w:val="00073AC0"/>
    <w:rsid w:val="00073B3E"/>
    <w:rsid w:val="00073FDC"/>
    <w:rsid w:val="0007409A"/>
    <w:rsid w:val="00074287"/>
    <w:rsid w:val="000742C7"/>
    <w:rsid w:val="0007457D"/>
    <w:rsid w:val="000747B4"/>
    <w:rsid w:val="000749A4"/>
    <w:rsid w:val="00074B78"/>
    <w:rsid w:val="00074DBD"/>
    <w:rsid w:val="00074DC8"/>
    <w:rsid w:val="000751B9"/>
    <w:rsid w:val="000751E0"/>
    <w:rsid w:val="000755BA"/>
    <w:rsid w:val="0007587F"/>
    <w:rsid w:val="000758C9"/>
    <w:rsid w:val="00076054"/>
    <w:rsid w:val="0007636C"/>
    <w:rsid w:val="00076DF6"/>
    <w:rsid w:val="000771D5"/>
    <w:rsid w:val="000774B9"/>
    <w:rsid w:val="000774BA"/>
    <w:rsid w:val="00077BD8"/>
    <w:rsid w:val="00077E04"/>
    <w:rsid w:val="0008064B"/>
    <w:rsid w:val="00080EFC"/>
    <w:rsid w:val="00081148"/>
    <w:rsid w:val="000813A2"/>
    <w:rsid w:val="000816EF"/>
    <w:rsid w:val="00081FB4"/>
    <w:rsid w:val="00082187"/>
    <w:rsid w:val="0008228C"/>
    <w:rsid w:val="00082388"/>
    <w:rsid w:val="000824DD"/>
    <w:rsid w:val="000826F4"/>
    <w:rsid w:val="000827BE"/>
    <w:rsid w:val="00082AF7"/>
    <w:rsid w:val="00082C5F"/>
    <w:rsid w:val="00082E29"/>
    <w:rsid w:val="00083186"/>
    <w:rsid w:val="0008320C"/>
    <w:rsid w:val="00083461"/>
    <w:rsid w:val="00083727"/>
    <w:rsid w:val="000837B4"/>
    <w:rsid w:val="00083AF5"/>
    <w:rsid w:val="00083B4F"/>
    <w:rsid w:val="00083BDA"/>
    <w:rsid w:val="00083F41"/>
    <w:rsid w:val="00084341"/>
    <w:rsid w:val="0008478C"/>
    <w:rsid w:val="0008480F"/>
    <w:rsid w:val="00084A31"/>
    <w:rsid w:val="00084C02"/>
    <w:rsid w:val="00084EFE"/>
    <w:rsid w:val="00084FB4"/>
    <w:rsid w:val="00085152"/>
    <w:rsid w:val="00085413"/>
    <w:rsid w:val="000858AE"/>
    <w:rsid w:val="000859A2"/>
    <w:rsid w:val="00085CD7"/>
    <w:rsid w:val="00085E1E"/>
    <w:rsid w:val="00085EE1"/>
    <w:rsid w:val="00085F6B"/>
    <w:rsid w:val="00086158"/>
    <w:rsid w:val="000863EB"/>
    <w:rsid w:val="0008655E"/>
    <w:rsid w:val="00086867"/>
    <w:rsid w:val="00086D98"/>
    <w:rsid w:val="00086F72"/>
    <w:rsid w:val="0008710A"/>
    <w:rsid w:val="00087457"/>
    <w:rsid w:val="0008778D"/>
    <w:rsid w:val="00087AA5"/>
    <w:rsid w:val="00087B29"/>
    <w:rsid w:val="000900A3"/>
    <w:rsid w:val="000902BB"/>
    <w:rsid w:val="00090524"/>
    <w:rsid w:val="00090653"/>
    <w:rsid w:val="0009076B"/>
    <w:rsid w:val="00090A20"/>
    <w:rsid w:val="00090A43"/>
    <w:rsid w:val="00090D8E"/>
    <w:rsid w:val="00090DA1"/>
    <w:rsid w:val="0009135C"/>
    <w:rsid w:val="0009177B"/>
    <w:rsid w:val="0009179F"/>
    <w:rsid w:val="00091AC8"/>
    <w:rsid w:val="00091B64"/>
    <w:rsid w:val="00091DBB"/>
    <w:rsid w:val="000924B8"/>
    <w:rsid w:val="00092634"/>
    <w:rsid w:val="00092CD6"/>
    <w:rsid w:val="00092F0D"/>
    <w:rsid w:val="0009319D"/>
    <w:rsid w:val="0009341A"/>
    <w:rsid w:val="00093879"/>
    <w:rsid w:val="00093967"/>
    <w:rsid w:val="00093A4A"/>
    <w:rsid w:val="00093D5F"/>
    <w:rsid w:val="00093E4D"/>
    <w:rsid w:val="00093E53"/>
    <w:rsid w:val="00094131"/>
    <w:rsid w:val="00094437"/>
    <w:rsid w:val="0009454E"/>
    <w:rsid w:val="00094791"/>
    <w:rsid w:val="00094A03"/>
    <w:rsid w:val="00094E66"/>
    <w:rsid w:val="00094EC4"/>
    <w:rsid w:val="00095150"/>
    <w:rsid w:val="000952F5"/>
    <w:rsid w:val="0009566C"/>
    <w:rsid w:val="000957B3"/>
    <w:rsid w:val="00095B8B"/>
    <w:rsid w:val="00095F1F"/>
    <w:rsid w:val="000960BD"/>
    <w:rsid w:val="000961D1"/>
    <w:rsid w:val="0009624F"/>
    <w:rsid w:val="000962A5"/>
    <w:rsid w:val="00096499"/>
    <w:rsid w:val="0009692C"/>
    <w:rsid w:val="00096C84"/>
    <w:rsid w:val="00096CB9"/>
    <w:rsid w:val="00096F40"/>
    <w:rsid w:val="00097458"/>
    <w:rsid w:val="000974C6"/>
    <w:rsid w:val="00097682"/>
    <w:rsid w:val="00097C05"/>
    <w:rsid w:val="00097D1C"/>
    <w:rsid w:val="00097EF2"/>
    <w:rsid w:val="000A0148"/>
    <w:rsid w:val="000A078A"/>
    <w:rsid w:val="000A0A30"/>
    <w:rsid w:val="000A0D59"/>
    <w:rsid w:val="000A11A0"/>
    <w:rsid w:val="000A181B"/>
    <w:rsid w:val="000A19F5"/>
    <w:rsid w:val="000A1A49"/>
    <w:rsid w:val="000A2036"/>
    <w:rsid w:val="000A21A0"/>
    <w:rsid w:val="000A2227"/>
    <w:rsid w:val="000A2603"/>
    <w:rsid w:val="000A2959"/>
    <w:rsid w:val="000A2A46"/>
    <w:rsid w:val="000A2D4E"/>
    <w:rsid w:val="000A310B"/>
    <w:rsid w:val="000A3182"/>
    <w:rsid w:val="000A325F"/>
    <w:rsid w:val="000A3583"/>
    <w:rsid w:val="000A35DA"/>
    <w:rsid w:val="000A3B58"/>
    <w:rsid w:val="000A3C9B"/>
    <w:rsid w:val="000A3D2F"/>
    <w:rsid w:val="000A4185"/>
    <w:rsid w:val="000A44F9"/>
    <w:rsid w:val="000A45FA"/>
    <w:rsid w:val="000A4BC2"/>
    <w:rsid w:val="000A4CFA"/>
    <w:rsid w:val="000A4EA4"/>
    <w:rsid w:val="000A4EC1"/>
    <w:rsid w:val="000A4FB1"/>
    <w:rsid w:val="000A5454"/>
    <w:rsid w:val="000A57F5"/>
    <w:rsid w:val="000A5A49"/>
    <w:rsid w:val="000A63CC"/>
    <w:rsid w:val="000A6426"/>
    <w:rsid w:val="000A6835"/>
    <w:rsid w:val="000A6B9D"/>
    <w:rsid w:val="000A6C08"/>
    <w:rsid w:val="000A6DF0"/>
    <w:rsid w:val="000A6F6B"/>
    <w:rsid w:val="000A7195"/>
    <w:rsid w:val="000A73F6"/>
    <w:rsid w:val="000A75FD"/>
    <w:rsid w:val="000A7AA6"/>
    <w:rsid w:val="000A7D39"/>
    <w:rsid w:val="000A7F38"/>
    <w:rsid w:val="000B04DD"/>
    <w:rsid w:val="000B05F5"/>
    <w:rsid w:val="000B0638"/>
    <w:rsid w:val="000B087D"/>
    <w:rsid w:val="000B0BFA"/>
    <w:rsid w:val="000B0CC9"/>
    <w:rsid w:val="000B0D27"/>
    <w:rsid w:val="000B0D9B"/>
    <w:rsid w:val="000B0F30"/>
    <w:rsid w:val="000B1054"/>
    <w:rsid w:val="000B118E"/>
    <w:rsid w:val="000B1629"/>
    <w:rsid w:val="000B17A0"/>
    <w:rsid w:val="000B1CF6"/>
    <w:rsid w:val="000B1D58"/>
    <w:rsid w:val="000B1E2F"/>
    <w:rsid w:val="000B1E4E"/>
    <w:rsid w:val="000B278E"/>
    <w:rsid w:val="000B294B"/>
    <w:rsid w:val="000B2DB3"/>
    <w:rsid w:val="000B2E2A"/>
    <w:rsid w:val="000B31B9"/>
    <w:rsid w:val="000B3853"/>
    <w:rsid w:val="000B38B7"/>
    <w:rsid w:val="000B3A82"/>
    <w:rsid w:val="000B3ABF"/>
    <w:rsid w:val="000B4124"/>
    <w:rsid w:val="000B4183"/>
    <w:rsid w:val="000B4196"/>
    <w:rsid w:val="000B424D"/>
    <w:rsid w:val="000B4394"/>
    <w:rsid w:val="000B4828"/>
    <w:rsid w:val="000B486D"/>
    <w:rsid w:val="000B48EA"/>
    <w:rsid w:val="000B4AB0"/>
    <w:rsid w:val="000B4B6F"/>
    <w:rsid w:val="000B534E"/>
    <w:rsid w:val="000B548A"/>
    <w:rsid w:val="000B55A9"/>
    <w:rsid w:val="000B56B7"/>
    <w:rsid w:val="000B56FD"/>
    <w:rsid w:val="000B5829"/>
    <w:rsid w:val="000B5A71"/>
    <w:rsid w:val="000B5FD7"/>
    <w:rsid w:val="000B60A7"/>
    <w:rsid w:val="000B60E7"/>
    <w:rsid w:val="000B63D6"/>
    <w:rsid w:val="000B6541"/>
    <w:rsid w:val="000B6673"/>
    <w:rsid w:val="000B6848"/>
    <w:rsid w:val="000B6ACD"/>
    <w:rsid w:val="000B6D6A"/>
    <w:rsid w:val="000B70D1"/>
    <w:rsid w:val="000B74B8"/>
    <w:rsid w:val="000B7708"/>
    <w:rsid w:val="000B7812"/>
    <w:rsid w:val="000B7888"/>
    <w:rsid w:val="000B78F8"/>
    <w:rsid w:val="000B7AD8"/>
    <w:rsid w:val="000B7B30"/>
    <w:rsid w:val="000B7E62"/>
    <w:rsid w:val="000B7EA2"/>
    <w:rsid w:val="000C01F6"/>
    <w:rsid w:val="000C0253"/>
    <w:rsid w:val="000C07C8"/>
    <w:rsid w:val="000C0FD4"/>
    <w:rsid w:val="000C118B"/>
    <w:rsid w:val="000C12EE"/>
    <w:rsid w:val="000C135E"/>
    <w:rsid w:val="000C147F"/>
    <w:rsid w:val="000C1696"/>
    <w:rsid w:val="000C192B"/>
    <w:rsid w:val="000C1AD1"/>
    <w:rsid w:val="000C1FCA"/>
    <w:rsid w:val="000C2015"/>
    <w:rsid w:val="000C221B"/>
    <w:rsid w:val="000C2233"/>
    <w:rsid w:val="000C2293"/>
    <w:rsid w:val="000C241A"/>
    <w:rsid w:val="000C2507"/>
    <w:rsid w:val="000C2724"/>
    <w:rsid w:val="000C29DA"/>
    <w:rsid w:val="000C2F8C"/>
    <w:rsid w:val="000C30DD"/>
    <w:rsid w:val="000C394B"/>
    <w:rsid w:val="000C3EC1"/>
    <w:rsid w:val="000C448B"/>
    <w:rsid w:val="000C4647"/>
    <w:rsid w:val="000C47DF"/>
    <w:rsid w:val="000C4A0B"/>
    <w:rsid w:val="000C4C01"/>
    <w:rsid w:val="000C4C9C"/>
    <w:rsid w:val="000C4CBF"/>
    <w:rsid w:val="000C4D1F"/>
    <w:rsid w:val="000C50A6"/>
    <w:rsid w:val="000C521A"/>
    <w:rsid w:val="000C535E"/>
    <w:rsid w:val="000C5794"/>
    <w:rsid w:val="000C5B8D"/>
    <w:rsid w:val="000C608E"/>
    <w:rsid w:val="000C63E5"/>
    <w:rsid w:val="000C648F"/>
    <w:rsid w:val="000C6869"/>
    <w:rsid w:val="000C6DA6"/>
    <w:rsid w:val="000C73D4"/>
    <w:rsid w:val="000C7832"/>
    <w:rsid w:val="000C7B0C"/>
    <w:rsid w:val="000C7CFE"/>
    <w:rsid w:val="000D0038"/>
    <w:rsid w:val="000D03DC"/>
    <w:rsid w:val="000D06D4"/>
    <w:rsid w:val="000D08D4"/>
    <w:rsid w:val="000D09DD"/>
    <w:rsid w:val="000D0BF8"/>
    <w:rsid w:val="000D0D64"/>
    <w:rsid w:val="000D0E79"/>
    <w:rsid w:val="000D0EE6"/>
    <w:rsid w:val="000D12EA"/>
    <w:rsid w:val="000D1443"/>
    <w:rsid w:val="000D1A60"/>
    <w:rsid w:val="000D1B69"/>
    <w:rsid w:val="000D1D4B"/>
    <w:rsid w:val="000D1E5D"/>
    <w:rsid w:val="000D1F7D"/>
    <w:rsid w:val="000D1FB6"/>
    <w:rsid w:val="000D2107"/>
    <w:rsid w:val="000D2155"/>
    <w:rsid w:val="000D21A0"/>
    <w:rsid w:val="000D2D31"/>
    <w:rsid w:val="000D30BE"/>
    <w:rsid w:val="000D31B2"/>
    <w:rsid w:val="000D35B6"/>
    <w:rsid w:val="000D370D"/>
    <w:rsid w:val="000D3794"/>
    <w:rsid w:val="000D3917"/>
    <w:rsid w:val="000D3BBC"/>
    <w:rsid w:val="000D41FA"/>
    <w:rsid w:val="000D420C"/>
    <w:rsid w:val="000D42E1"/>
    <w:rsid w:val="000D4718"/>
    <w:rsid w:val="000D4B7F"/>
    <w:rsid w:val="000D4C89"/>
    <w:rsid w:val="000D4CC2"/>
    <w:rsid w:val="000D4F41"/>
    <w:rsid w:val="000D541B"/>
    <w:rsid w:val="000D5D6E"/>
    <w:rsid w:val="000D5D8B"/>
    <w:rsid w:val="000D622D"/>
    <w:rsid w:val="000D624A"/>
    <w:rsid w:val="000D6783"/>
    <w:rsid w:val="000D6C08"/>
    <w:rsid w:val="000D6C39"/>
    <w:rsid w:val="000D6CBB"/>
    <w:rsid w:val="000D7019"/>
    <w:rsid w:val="000D739B"/>
    <w:rsid w:val="000D7518"/>
    <w:rsid w:val="000D7629"/>
    <w:rsid w:val="000D79EE"/>
    <w:rsid w:val="000D7DD4"/>
    <w:rsid w:val="000D7E4E"/>
    <w:rsid w:val="000D7E96"/>
    <w:rsid w:val="000E00C1"/>
    <w:rsid w:val="000E0496"/>
    <w:rsid w:val="000E065C"/>
    <w:rsid w:val="000E0857"/>
    <w:rsid w:val="000E0FB3"/>
    <w:rsid w:val="000E137E"/>
    <w:rsid w:val="000E138B"/>
    <w:rsid w:val="000E1919"/>
    <w:rsid w:val="000E1971"/>
    <w:rsid w:val="000E1A18"/>
    <w:rsid w:val="000E1E45"/>
    <w:rsid w:val="000E20EC"/>
    <w:rsid w:val="000E212D"/>
    <w:rsid w:val="000E2271"/>
    <w:rsid w:val="000E2388"/>
    <w:rsid w:val="000E267D"/>
    <w:rsid w:val="000E267E"/>
    <w:rsid w:val="000E2BFA"/>
    <w:rsid w:val="000E2EC5"/>
    <w:rsid w:val="000E2F12"/>
    <w:rsid w:val="000E2F89"/>
    <w:rsid w:val="000E3325"/>
    <w:rsid w:val="000E3D22"/>
    <w:rsid w:val="000E3D4C"/>
    <w:rsid w:val="000E41E4"/>
    <w:rsid w:val="000E4683"/>
    <w:rsid w:val="000E49A4"/>
    <w:rsid w:val="000E4B33"/>
    <w:rsid w:val="000E4D1E"/>
    <w:rsid w:val="000E4E43"/>
    <w:rsid w:val="000E510F"/>
    <w:rsid w:val="000E511C"/>
    <w:rsid w:val="000E53FA"/>
    <w:rsid w:val="000E55C9"/>
    <w:rsid w:val="000E5B3B"/>
    <w:rsid w:val="000E5E7B"/>
    <w:rsid w:val="000E5F15"/>
    <w:rsid w:val="000E5FD0"/>
    <w:rsid w:val="000E619A"/>
    <w:rsid w:val="000E61D3"/>
    <w:rsid w:val="000E63B1"/>
    <w:rsid w:val="000E66AF"/>
    <w:rsid w:val="000E66D0"/>
    <w:rsid w:val="000E67D9"/>
    <w:rsid w:val="000E6884"/>
    <w:rsid w:val="000E7008"/>
    <w:rsid w:val="000E708F"/>
    <w:rsid w:val="000E7182"/>
    <w:rsid w:val="000E7560"/>
    <w:rsid w:val="000E78D2"/>
    <w:rsid w:val="000E7D23"/>
    <w:rsid w:val="000E7D9D"/>
    <w:rsid w:val="000E7F80"/>
    <w:rsid w:val="000F051A"/>
    <w:rsid w:val="000F058D"/>
    <w:rsid w:val="000F0797"/>
    <w:rsid w:val="000F0B64"/>
    <w:rsid w:val="000F0D31"/>
    <w:rsid w:val="000F0E29"/>
    <w:rsid w:val="000F0E3A"/>
    <w:rsid w:val="000F0F93"/>
    <w:rsid w:val="000F137A"/>
    <w:rsid w:val="000F147E"/>
    <w:rsid w:val="000F18C7"/>
    <w:rsid w:val="000F1C8E"/>
    <w:rsid w:val="000F1CB8"/>
    <w:rsid w:val="000F1D5A"/>
    <w:rsid w:val="000F1FCE"/>
    <w:rsid w:val="000F2129"/>
    <w:rsid w:val="000F2131"/>
    <w:rsid w:val="000F274C"/>
    <w:rsid w:val="000F2955"/>
    <w:rsid w:val="000F2DC1"/>
    <w:rsid w:val="000F2E6D"/>
    <w:rsid w:val="000F2F87"/>
    <w:rsid w:val="000F32F8"/>
    <w:rsid w:val="000F3402"/>
    <w:rsid w:val="000F372C"/>
    <w:rsid w:val="000F37DD"/>
    <w:rsid w:val="000F38E9"/>
    <w:rsid w:val="000F3A9E"/>
    <w:rsid w:val="000F40AC"/>
    <w:rsid w:val="000F439A"/>
    <w:rsid w:val="000F44A2"/>
    <w:rsid w:val="000F44E1"/>
    <w:rsid w:val="000F475D"/>
    <w:rsid w:val="000F497F"/>
    <w:rsid w:val="000F4BEB"/>
    <w:rsid w:val="000F4ED5"/>
    <w:rsid w:val="000F53AE"/>
    <w:rsid w:val="000F569C"/>
    <w:rsid w:val="000F5990"/>
    <w:rsid w:val="000F5E1A"/>
    <w:rsid w:val="000F603B"/>
    <w:rsid w:val="000F6148"/>
    <w:rsid w:val="000F614F"/>
    <w:rsid w:val="000F6403"/>
    <w:rsid w:val="000F6758"/>
    <w:rsid w:val="000F6807"/>
    <w:rsid w:val="000F6C7F"/>
    <w:rsid w:val="000F6CF4"/>
    <w:rsid w:val="000F6F10"/>
    <w:rsid w:val="000F7C59"/>
    <w:rsid w:val="000F7DE1"/>
    <w:rsid w:val="0010012E"/>
    <w:rsid w:val="001001FE"/>
    <w:rsid w:val="001002B3"/>
    <w:rsid w:val="00100AA0"/>
    <w:rsid w:val="00100C29"/>
    <w:rsid w:val="00100E1B"/>
    <w:rsid w:val="00100F14"/>
    <w:rsid w:val="00101107"/>
    <w:rsid w:val="00101236"/>
    <w:rsid w:val="001013A4"/>
    <w:rsid w:val="001013A7"/>
    <w:rsid w:val="001017F4"/>
    <w:rsid w:val="00101E1C"/>
    <w:rsid w:val="00101FA8"/>
    <w:rsid w:val="001021AD"/>
    <w:rsid w:val="00102736"/>
    <w:rsid w:val="0010290F"/>
    <w:rsid w:val="00102C72"/>
    <w:rsid w:val="00102C98"/>
    <w:rsid w:val="00102CBA"/>
    <w:rsid w:val="00102D87"/>
    <w:rsid w:val="001030E1"/>
    <w:rsid w:val="00103304"/>
    <w:rsid w:val="00103AA1"/>
    <w:rsid w:val="00103B25"/>
    <w:rsid w:val="00104333"/>
    <w:rsid w:val="001046CC"/>
    <w:rsid w:val="001047B4"/>
    <w:rsid w:val="00104858"/>
    <w:rsid w:val="00104A98"/>
    <w:rsid w:val="00104E75"/>
    <w:rsid w:val="00104F76"/>
    <w:rsid w:val="00105117"/>
    <w:rsid w:val="00105148"/>
    <w:rsid w:val="00105A69"/>
    <w:rsid w:val="00105C1D"/>
    <w:rsid w:val="00106326"/>
    <w:rsid w:val="00106EA5"/>
    <w:rsid w:val="0010702D"/>
    <w:rsid w:val="0010715E"/>
    <w:rsid w:val="001074AA"/>
    <w:rsid w:val="0010754F"/>
    <w:rsid w:val="00107BE6"/>
    <w:rsid w:val="00108BEB"/>
    <w:rsid w:val="001100C3"/>
    <w:rsid w:val="00110224"/>
    <w:rsid w:val="00110241"/>
    <w:rsid w:val="001102A4"/>
    <w:rsid w:val="001106F1"/>
    <w:rsid w:val="00111441"/>
    <w:rsid w:val="00111635"/>
    <w:rsid w:val="00111813"/>
    <w:rsid w:val="00111B3A"/>
    <w:rsid w:val="00111C36"/>
    <w:rsid w:val="00112089"/>
    <w:rsid w:val="0011229B"/>
    <w:rsid w:val="001122C3"/>
    <w:rsid w:val="0011236C"/>
    <w:rsid w:val="001125FA"/>
    <w:rsid w:val="001129F8"/>
    <w:rsid w:val="0011315C"/>
    <w:rsid w:val="0011366D"/>
    <w:rsid w:val="001137A1"/>
    <w:rsid w:val="00113CF2"/>
    <w:rsid w:val="001141C8"/>
    <w:rsid w:val="00114576"/>
    <w:rsid w:val="001145FC"/>
    <w:rsid w:val="00114788"/>
    <w:rsid w:val="00114EE4"/>
    <w:rsid w:val="001155D8"/>
    <w:rsid w:val="001173FB"/>
    <w:rsid w:val="0011789D"/>
    <w:rsid w:val="00117B20"/>
    <w:rsid w:val="00117E30"/>
    <w:rsid w:val="00120603"/>
    <w:rsid w:val="001208A2"/>
    <w:rsid w:val="001209EF"/>
    <w:rsid w:val="00120A0D"/>
    <w:rsid w:val="00120C4E"/>
    <w:rsid w:val="00120D24"/>
    <w:rsid w:val="00120F26"/>
    <w:rsid w:val="001211EC"/>
    <w:rsid w:val="001214FA"/>
    <w:rsid w:val="00121688"/>
    <w:rsid w:val="001216A6"/>
    <w:rsid w:val="00121BEF"/>
    <w:rsid w:val="00121C42"/>
    <w:rsid w:val="00121D7F"/>
    <w:rsid w:val="00121FAD"/>
    <w:rsid w:val="001220F2"/>
    <w:rsid w:val="0012249D"/>
    <w:rsid w:val="0012267B"/>
    <w:rsid w:val="001226D4"/>
    <w:rsid w:val="00122C7A"/>
    <w:rsid w:val="00122FEE"/>
    <w:rsid w:val="001232E3"/>
    <w:rsid w:val="0012354B"/>
    <w:rsid w:val="001235D8"/>
    <w:rsid w:val="001236E4"/>
    <w:rsid w:val="001239DE"/>
    <w:rsid w:val="00123B44"/>
    <w:rsid w:val="00123E75"/>
    <w:rsid w:val="00123F23"/>
    <w:rsid w:val="001240CF"/>
    <w:rsid w:val="0012457C"/>
    <w:rsid w:val="00124769"/>
    <w:rsid w:val="00124794"/>
    <w:rsid w:val="00124A65"/>
    <w:rsid w:val="00124B49"/>
    <w:rsid w:val="00124C66"/>
    <w:rsid w:val="00124E23"/>
    <w:rsid w:val="00124F29"/>
    <w:rsid w:val="00125206"/>
    <w:rsid w:val="00125329"/>
    <w:rsid w:val="00125428"/>
    <w:rsid w:val="001254AB"/>
    <w:rsid w:val="001255AF"/>
    <w:rsid w:val="0012574C"/>
    <w:rsid w:val="00125A50"/>
    <w:rsid w:val="00125BE9"/>
    <w:rsid w:val="00125DDB"/>
    <w:rsid w:val="00126632"/>
    <w:rsid w:val="00126842"/>
    <w:rsid w:val="00126A14"/>
    <w:rsid w:val="00126A65"/>
    <w:rsid w:val="0012713F"/>
    <w:rsid w:val="00127478"/>
    <w:rsid w:val="00127610"/>
    <w:rsid w:val="001277CE"/>
    <w:rsid w:val="001279B9"/>
    <w:rsid w:val="0012B8EE"/>
    <w:rsid w:val="001309A1"/>
    <w:rsid w:val="00130B33"/>
    <w:rsid w:val="00130CCE"/>
    <w:rsid w:val="00130F3C"/>
    <w:rsid w:val="00131245"/>
    <w:rsid w:val="00131BF0"/>
    <w:rsid w:val="00131C39"/>
    <w:rsid w:val="001322B1"/>
    <w:rsid w:val="0013253A"/>
    <w:rsid w:val="001326F5"/>
    <w:rsid w:val="00132779"/>
    <w:rsid w:val="0013299F"/>
    <w:rsid w:val="00132C42"/>
    <w:rsid w:val="00132D57"/>
    <w:rsid w:val="001330C6"/>
    <w:rsid w:val="001331DF"/>
    <w:rsid w:val="00133403"/>
    <w:rsid w:val="001335B1"/>
    <w:rsid w:val="00133A99"/>
    <w:rsid w:val="00133D96"/>
    <w:rsid w:val="00134113"/>
    <w:rsid w:val="00134422"/>
    <w:rsid w:val="00134528"/>
    <w:rsid w:val="00134B82"/>
    <w:rsid w:val="0013549D"/>
    <w:rsid w:val="001356E2"/>
    <w:rsid w:val="001357F8"/>
    <w:rsid w:val="00135ABB"/>
    <w:rsid w:val="00135CA5"/>
    <w:rsid w:val="0013642A"/>
    <w:rsid w:val="0013676F"/>
    <w:rsid w:val="001367BF"/>
    <w:rsid w:val="00136924"/>
    <w:rsid w:val="00136AB3"/>
    <w:rsid w:val="00136C7D"/>
    <w:rsid w:val="00136D4A"/>
    <w:rsid w:val="00136D50"/>
    <w:rsid w:val="00136F13"/>
    <w:rsid w:val="0013708B"/>
    <w:rsid w:val="00137643"/>
    <w:rsid w:val="00137971"/>
    <w:rsid w:val="00137BDD"/>
    <w:rsid w:val="00137CA2"/>
    <w:rsid w:val="00137D82"/>
    <w:rsid w:val="00140384"/>
    <w:rsid w:val="001405DD"/>
    <w:rsid w:val="00140966"/>
    <w:rsid w:val="00140BEA"/>
    <w:rsid w:val="00140C01"/>
    <w:rsid w:val="00140F6A"/>
    <w:rsid w:val="0014104D"/>
    <w:rsid w:val="001414C5"/>
    <w:rsid w:val="001421AA"/>
    <w:rsid w:val="00142391"/>
    <w:rsid w:val="001428DD"/>
    <w:rsid w:val="00142928"/>
    <w:rsid w:val="00142E3D"/>
    <w:rsid w:val="00142FF1"/>
    <w:rsid w:val="0014308B"/>
    <w:rsid w:val="0014322C"/>
    <w:rsid w:val="001432F6"/>
    <w:rsid w:val="001437E8"/>
    <w:rsid w:val="00143EC7"/>
    <w:rsid w:val="00143F66"/>
    <w:rsid w:val="0014404E"/>
    <w:rsid w:val="0014408B"/>
    <w:rsid w:val="0014440F"/>
    <w:rsid w:val="001445B3"/>
    <w:rsid w:val="00144D4F"/>
    <w:rsid w:val="00144E23"/>
    <w:rsid w:val="0014529F"/>
    <w:rsid w:val="001452A6"/>
    <w:rsid w:val="001454A9"/>
    <w:rsid w:val="00145744"/>
    <w:rsid w:val="00145AA7"/>
    <w:rsid w:val="00145F6B"/>
    <w:rsid w:val="00146074"/>
    <w:rsid w:val="001460F7"/>
    <w:rsid w:val="001467CB"/>
    <w:rsid w:val="001469D7"/>
    <w:rsid w:val="00146A50"/>
    <w:rsid w:val="00146C8A"/>
    <w:rsid w:val="00146ED2"/>
    <w:rsid w:val="0014708B"/>
    <w:rsid w:val="00147163"/>
    <w:rsid w:val="00147245"/>
    <w:rsid w:val="0014757B"/>
    <w:rsid w:val="00147AF5"/>
    <w:rsid w:val="00147DD9"/>
    <w:rsid w:val="00150003"/>
    <w:rsid w:val="001500FD"/>
    <w:rsid w:val="00150234"/>
    <w:rsid w:val="00150391"/>
    <w:rsid w:val="001503C2"/>
    <w:rsid w:val="00150894"/>
    <w:rsid w:val="001508A9"/>
    <w:rsid w:val="00150B13"/>
    <w:rsid w:val="00151044"/>
    <w:rsid w:val="0015118A"/>
    <w:rsid w:val="001512A7"/>
    <w:rsid w:val="001515F6"/>
    <w:rsid w:val="00151857"/>
    <w:rsid w:val="0015206A"/>
    <w:rsid w:val="001520D4"/>
    <w:rsid w:val="0015296F"/>
    <w:rsid w:val="00152BED"/>
    <w:rsid w:val="00153162"/>
    <w:rsid w:val="00153495"/>
    <w:rsid w:val="001537FE"/>
    <w:rsid w:val="00153BB4"/>
    <w:rsid w:val="0015437B"/>
    <w:rsid w:val="0015437C"/>
    <w:rsid w:val="001544B0"/>
    <w:rsid w:val="001545F8"/>
    <w:rsid w:val="001549DE"/>
    <w:rsid w:val="00154A28"/>
    <w:rsid w:val="00154B69"/>
    <w:rsid w:val="00154C61"/>
    <w:rsid w:val="00154C7A"/>
    <w:rsid w:val="00155052"/>
    <w:rsid w:val="0015514B"/>
    <w:rsid w:val="00155454"/>
    <w:rsid w:val="00156182"/>
    <w:rsid w:val="001565C5"/>
    <w:rsid w:val="001567AE"/>
    <w:rsid w:val="00156819"/>
    <w:rsid w:val="0015694B"/>
    <w:rsid w:val="00156F6D"/>
    <w:rsid w:val="0015787F"/>
    <w:rsid w:val="001579FA"/>
    <w:rsid w:val="00157B0C"/>
    <w:rsid w:val="00157B89"/>
    <w:rsid w:val="00157C33"/>
    <w:rsid w:val="00157DE9"/>
    <w:rsid w:val="0015C823"/>
    <w:rsid w:val="001602DC"/>
    <w:rsid w:val="001607FB"/>
    <w:rsid w:val="00161720"/>
    <w:rsid w:val="0016172B"/>
    <w:rsid w:val="0016174D"/>
    <w:rsid w:val="00161EED"/>
    <w:rsid w:val="00161FB4"/>
    <w:rsid w:val="00162212"/>
    <w:rsid w:val="001623B0"/>
    <w:rsid w:val="001626F5"/>
    <w:rsid w:val="00162E68"/>
    <w:rsid w:val="001631E1"/>
    <w:rsid w:val="00163369"/>
    <w:rsid w:val="00163374"/>
    <w:rsid w:val="001633E7"/>
    <w:rsid w:val="001634F1"/>
    <w:rsid w:val="0016367F"/>
    <w:rsid w:val="001637E8"/>
    <w:rsid w:val="00163892"/>
    <w:rsid w:val="00163B8B"/>
    <w:rsid w:val="00163CB7"/>
    <w:rsid w:val="00163E38"/>
    <w:rsid w:val="00164335"/>
    <w:rsid w:val="00164A2C"/>
    <w:rsid w:val="00164D63"/>
    <w:rsid w:val="00164F65"/>
    <w:rsid w:val="00164FC6"/>
    <w:rsid w:val="0016531B"/>
    <w:rsid w:val="00165690"/>
    <w:rsid w:val="00165BB8"/>
    <w:rsid w:val="00166413"/>
    <w:rsid w:val="00166693"/>
    <w:rsid w:val="001667A4"/>
    <w:rsid w:val="00166F51"/>
    <w:rsid w:val="00167344"/>
    <w:rsid w:val="001674CB"/>
    <w:rsid w:val="0016792D"/>
    <w:rsid w:val="00167A31"/>
    <w:rsid w:val="00170004"/>
    <w:rsid w:val="0017086F"/>
    <w:rsid w:val="00170D16"/>
    <w:rsid w:val="00171157"/>
    <w:rsid w:val="00171219"/>
    <w:rsid w:val="001712A1"/>
    <w:rsid w:val="0017165C"/>
    <w:rsid w:val="001716B1"/>
    <w:rsid w:val="0017212B"/>
    <w:rsid w:val="00172202"/>
    <w:rsid w:val="00172218"/>
    <w:rsid w:val="001724E2"/>
    <w:rsid w:val="00172518"/>
    <w:rsid w:val="001727FA"/>
    <w:rsid w:val="001728E8"/>
    <w:rsid w:val="00172AFE"/>
    <w:rsid w:val="00172EF8"/>
    <w:rsid w:val="00173045"/>
    <w:rsid w:val="001732C5"/>
    <w:rsid w:val="0017351D"/>
    <w:rsid w:val="001735ED"/>
    <w:rsid w:val="001739E9"/>
    <w:rsid w:val="00173B47"/>
    <w:rsid w:val="00173DA3"/>
    <w:rsid w:val="00174037"/>
    <w:rsid w:val="001747B1"/>
    <w:rsid w:val="00174983"/>
    <w:rsid w:val="00174B16"/>
    <w:rsid w:val="00174B4F"/>
    <w:rsid w:val="00174DA5"/>
    <w:rsid w:val="00174F04"/>
    <w:rsid w:val="00175163"/>
    <w:rsid w:val="001756E9"/>
    <w:rsid w:val="00175B8E"/>
    <w:rsid w:val="00175E4A"/>
    <w:rsid w:val="00175E6B"/>
    <w:rsid w:val="00176297"/>
    <w:rsid w:val="0017637D"/>
    <w:rsid w:val="0017696A"/>
    <w:rsid w:val="0017701D"/>
    <w:rsid w:val="00177345"/>
    <w:rsid w:val="0017735A"/>
    <w:rsid w:val="001773D6"/>
    <w:rsid w:val="00177B2F"/>
    <w:rsid w:val="00177C43"/>
    <w:rsid w:val="00177DA1"/>
    <w:rsid w:val="0018014A"/>
    <w:rsid w:val="0018017E"/>
    <w:rsid w:val="001801F9"/>
    <w:rsid w:val="001802CC"/>
    <w:rsid w:val="00180374"/>
    <w:rsid w:val="001805DC"/>
    <w:rsid w:val="001807DA"/>
    <w:rsid w:val="001808F4"/>
    <w:rsid w:val="00180A0D"/>
    <w:rsid w:val="00180EA1"/>
    <w:rsid w:val="00180F8E"/>
    <w:rsid w:val="0018104B"/>
    <w:rsid w:val="0018180B"/>
    <w:rsid w:val="00181A18"/>
    <w:rsid w:val="00181A3C"/>
    <w:rsid w:val="00181DD1"/>
    <w:rsid w:val="00182366"/>
    <w:rsid w:val="001823D8"/>
    <w:rsid w:val="00182441"/>
    <w:rsid w:val="001826C3"/>
    <w:rsid w:val="00182853"/>
    <w:rsid w:val="001829F8"/>
    <w:rsid w:val="00182B2B"/>
    <w:rsid w:val="00182C11"/>
    <w:rsid w:val="00183173"/>
    <w:rsid w:val="001833B2"/>
    <w:rsid w:val="00183533"/>
    <w:rsid w:val="0018353A"/>
    <w:rsid w:val="001836B9"/>
    <w:rsid w:val="0018380D"/>
    <w:rsid w:val="0018399F"/>
    <w:rsid w:val="00183CDB"/>
    <w:rsid w:val="00183EC7"/>
    <w:rsid w:val="00183F8A"/>
    <w:rsid w:val="0018401A"/>
    <w:rsid w:val="00184800"/>
    <w:rsid w:val="00184A27"/>
    <w:rsid w:val="00184B93"/>
    <w:rsid w:val="00184DA9"/>
    <w:rsid w:val="00184FEE"/>
    <w:rsid w:val="001850C2"/>
    <w:rsid w:val="0018534A"/>
    <w:rsid w:val="00185590"/>
    <w:rsid w:val="00185595"/>
    <w:rsid w:val="0018591E"/>
    <w:rsid w:val="00185CA9"/>
    <w:rsid w:val="001865E9"/>
    <w:rsid w:val="001868D8"/>
    <w:rsid w:val="0018690A"/>
    <w:rsid w:val="00186AD6"/>
    <w:rsid w:val="00186F2F"/>
    <w:rsid w:val="00187017"/>
    <w:rsid w:val="001873FC"/>
    <w:rsid w:val="0018758C"/>
    <w:rsid w:val="001878C7"/>
    <w:rsid w:val="00187975"/>
    <w:rsid w:val="00187AC8"/>
    <w:rsid w:val="00187E52"/>
    <w:rsid w:val="00190357"/>
    <w:rsid w:val="001903F1"/>
    <w:rsid w:val="0019058F"/>
    <w:rsid w:val="001909FC"/>
    <w:rsid w:val="00190CB5"/>
    <w:rsid w:val="00191617"/>
    <w:rsid w:val="0019169B"/>
    <w:rsid w:val="001916EA"/>
    <w:rsid w:val="0019238E"/>
    <w:rsid w:val="001925F9"/>
    <w:rsid w:val="001926A8"/>
    <w:rsid w:val="001926B7"/>
    <w:rsid w:val="0019292E"/>
    <w:rsid w:val="00192A48"/>
    <w:rsid w:val="00192B0F"/>
    <w:rsid w:val="00192C08"/>
    <w:rsid w:val="00192C88"/>
    <w:rsid w:val="001930BA"/>
    <w:rsid w:val="00193209"/>
    <w:rsid w:val="00193280"/>
    <w:rsid w:val="001937A6"/>
    <w:rsid w:val="00193B0A"/>
    <w:rsid w:val="00193D77"/>
    <w:rsid w:val="00193F47"/>
    <w:rsid w:val="0019430C"/>
    <w:rsid w:val="001947F2"/>
    <w:rsid w:val="00194A03"/>
    <w:rsid w:val="00194F1D"/>
    <w:rsid w:val="0019513A"/>
    <w:rsid w:val="001958AB"/>
    <w:rsid w:val="00195BA7"/>
    <w:rsid w:val="00195D42"/>
    <w:rsid w:val="00195EDC"/>
    <w:rsid w:val="001960D3"/>
    <w:rsid w:val="001960DD"/>
    <w:rsid w:val="001963F4"/>
    <w:rsid w:val="00196454"/>
    <w:rsid w:val="001967E2"/>
    <w:rsid w:val="00196833"/>
    <w:rsid w:val="00196836"/>
    <w:rsid w:val="00197148"/>
    <w:rsid w:val="00197CC8"/>
    <w:rsid w:val="001A01AD"/>
    <w:rsid w:val="001A024E"/>
    <w:rsid w:val="001A0419"/>
    <w:rsid w:val="001A0B13"/>
    <w:rsid w:val="001A0D23"/>
    <w:rsid w:val="001A1135"/>
    <w:rsid w:val="001A139F"/>
    <w:rsid w:val="001A172F"/>
    <w:rsid w:val="001A1C04"/>
    <w:rsid w:val="001A2216"/>
    <w:rsid w:val="001A23C5"/>
    <w:rsid w:val="001A266B"/>
    <w:rsid w:val="001A2783"/>
    <w:rsid w:val="001A27F8"/>
    <w:rsid w:val="001A29D8"/>
    <w:rsid w:val="001A2AF1"/>
    <w:rsid w:val="001A2CB1"/>
    <w:rsid w:val="001A3079"/>
    <w:rsid w:val="001A33D6"/>
    <w:rsid w:val="001A34B0"/>
    <w:rsid w:val="001A35B4"/>
    <w:rsid w:val="001A3699"/>
    <w:rsid w:val="001A3A25"/>
    <w:rsid w:val="001A3CB8"/>
    <w:rsid w:val="001A3E80"/>
    <w:rsid w:val="001A48AD"/>
    <w:rsid w:val="001A48DD"/>
    <w:rsid w:val="001A4BE6"/>
    <w:rsid w:val="001A563A"/>
    <w:rsid w:val="001A59D8"/>
    <w:rsid w:val="001A5CF2"/>
    <w:rsid w:val="001A5E86"/>
    <w:rsid w:val="001A5F1D"/>
    <w:rsid w:val="001A6457"/>
    <w:rsid w:val="001A66E7"/>
    <w:rsid w:val="001A676B"/>
    <w:rsid w:val="001A71CA"/>
    <w:rsid w:val="001A7328"/>
    <w:rsid w:val="001A767B"/>
    <w:rsid w:val="001A778D"/>
    <w:rsid w:val="001A7964"/>
    <w:rsid w:val="001A7ACF"/>
    <w:rsid w:val="001A9B3D"/>
    <w:rsid w:val="001B042B"/>
    <w:rsid w:val="001B049C"/>
    <w:rsid w:val="001B04E1"/>
    <w:rsid w:val="001B0B24"/>
    <w:rsid w:val="001B0C31"/>
    <w:rsid w:val="001B1410"/>
    <w:rsid w:val="001B1825"/>
    <w:rsid w:val="001B1A86"/>
    <w:rsid w:val="001B1C09"/>
    <w:rsid w:val="001B1FE9"/>
    <w:rsid w:val="001B236C"/>
    <w:rsid w:val="001B237A"/>
    <w:rsid w:val="001B2735"/>
    <w:rsid w:val="001B276B"/>
    <w:rsid w:val="001B2C6D"/>
    <w:rsid w:val="001B2DF9"/>
    <w:rsid w:val="001B33F9"/>
    <w:rsid w:val="001B3518"/>
    <w:rsid w:val="001B362D"/>
    <w:rsid w:val="001B3C9E"/>
    <w:rsid w:val="001B3ED1"/>
    <w:rsid w:val="001B4166"/>
    <w:rsid w:val="001B4209"/>
    <w:rsid w:val="001B42A6"/>
    <w:rsid w:val="001B4373"/>
    <w:rsid w:val="001B455E"/>
    <w:rsid w:val="001B46E3"/>
    <w:rsid w:val="001B4933"/>
    <w:rsid w:val="001B4C51"/>
    <w:rsid w:val="001B4E3C"/>
    <w:rsid w:val="001B4FB2"/>
    <w:rsid w:val="001B5E46"/>
    <w:rsid w:val="001B60E2"/>
    <w:rsid w:val="001B618C"/>
    <w:rsid w:val="001B6773"/>
    <w:rsid w:val="001B69FB"/>
    <w:rsid w:val="001B6B50"/>
    <w:rsid w:val="001B6D0E"/>
    <w:rsid w:val="001B6DA4"/>
    <w:rsid w:val="001B6DC6"/>
    <w:rsid w:val="001B712E"/>
    <w:rsid w:val="001B7B66"/>
    <w:rsid w:val="001B7E2A"/>
    <w:rsid w:val="001C03D0"/>
    <w:rsid w:val="001C04E9"/>
    <w:rsid w:val="001C06EC"/>
    <w:rsid w:val="001C0B76"/>
    <w:rsid w:val="001C0C74"/>
    <w:rsid w:val="001C0DBB"/>
    <w:rsid w:val="001C0FB7"/>
    <w:rsid w:val="001C1920"/>
    <w:rsid w:val="001C19E4"/>
    <w:rsid w:val="001C1CCF"/>
    <w:rsid w:val="001C1E3B"/>
    <w:rsid w:val="001C1EB6"/>
    <w:rsid w:val="001C207A"/>
    <w:rsid w:val="001C20B0"/>
    <w:rsid w:val="001C222F"/>
    <w:rsid w:val="001C2258"/>
    <w:rsid w:val="001C27B0"/>
    <w:rsid w:val="001C2979"/>
    <w:rsid w:val="001C2FBB"/>
    <w:rsid w:val="001C309C"/>
    <w:rsid w:val="001C3120"/>
    <w:rsid w:val="001C3387"/>
    <w:rsid w:val="001C351F"/>
    <w:rsid w:val="001C37C1"/>
    <w:rsid w:val="001C3918"/>
    <w:rsid w:val="001C3C9A"/>
    <w:rsid w:val="001C3CC1"/>
    <w:rsid w:val="001C4084"/>
    <w:rsid w:val="001C4112"/>
    <w:rsid w:val="001C4234"/>
    <w:rsid w:val="001C441B"/>
    <w:rsid w:val="001C4592"/>
    <w:rsid w:val="001C488F"/>
    <w:rsid w:val="001C4C38"/>
    <w:rsid w:val="001C4F72"/>
    <w:rsid w:val="001C51D7"/>
    <w:rsid w:val="001C5267"/>
    <w:rsid w:val="001C5625"/>
    <w:rsid w:val="001C595C"/>
    <w:rsid w:val="001C5AEA"/>
    <w:rsid w:val="001C6079"/>
    <w:rsid w:val="001C6096"/>
    <w:rsid w:val="001C611B"/>
    <w:rsid w:val="001C612D"/>
    <w:rsid w:val="001C64B8"/>
    <w:rsid w:val="001C65A3"/>
    <w:rsid w:val="001C6731"/>
    <w:rsid w:val="001C6AE0"/>
    <w:rsid w:val="001C6D88"/>
    <w:rsid w:val="001C706F"/>
    <w:rsid w:val="001C7156"/>
    <w:rsid w:val="001C72A7"/>
    <w:rsid w:val="001C7390"/>
    <w:rsid w:val="001C7F47"/>
    <w:rsid w:val="001C7F50"/>
    <w:rsid w:val="001C7FDA"/>
    <w:rsid w:val="001D0A27"/>
    <w:rsid w:val="001D0C15"/>
    <w:rsid w:val="001D10E3"/>
    <w:rsid w:val="001D124A"/>
    <w:rsid w:val="001D128E"/>
    <w:rsid w:val="001D12FA"/>
    <w:rsid w:val="001D1604"/>
    <w:rsid w:val="001D19AB"/>
    <w:rsid w:val="001D1D3A"/>
    <w:rsid w:val="001D1E2E"/>
    <w:rsid w:val="001D1F62"/>
    <w:rsid w:val="001D264B"/>
    <w:rsid w:val="001D2725"/>
    <w:rsid w:val="001D2760"/>
    <w:rsid w:val="001D28A6"/>
    <w:rsid w:val="001D2C03"/>
    <w:rsid w:val="001D2C65"/>
    <w:rsid w:val="001D3035"/>
    <w:rsid w:val="001D31BE"/>
    <w:rsid w:val="001D395A"/>
    <w:rsid w:val="001D3B0D"/>
    <w:rsid w:val="001D3E69"/>
    <w:rsid w:val="001D3F3B"/>
    <w:rsid w:val="001D420E"/>
    <w:rsid w:val="001D459E"/>
    <w:rsid w:val="001D4777"/>
    <w:rsid w:val="001D4799"/>
    <w:rsid w:val="001D47A6"/>
    <w:rsid w:val="001D47D3"/>
    <w:rsid w:val="001D4A7A"/>
    <w:rsid w:val="001D4AAB"/>
    <w:rsid w:val="001D52FF"/>
    <w:rsid w:val="001D5344"/>
    <w:rsid w:val="001D56FE"/>
    <w:rsid w:val="001D579D"/>
    <w:rsid w:val="001D5D1C"/>
    <w:rsid w:val="001D5E68"/>
    <w:rsid w:val="001D6564"/>
    <w:rsid w:val="001D6676"/>
    <w:rsid w:val="001D6AA6"/>
    <w:rsid w:val="001D6DA0"/>
    <w:rsid w:val="001D6ED2"/>
    <w:rsid w:val="001D7042"/>
    <w:rsid w:val="001D742A"/>
    <w:rsid w:val="001D7696"/>
    <w:rsid w:val="001D7841"/>
    <w:rsid w:val="001D789D"/>
    <w:rsid w:val="001D790C"/>
    <w:rsid w:val="001D7927"/>
    <w:rsid w:val="001D7928"/>
    <w:rsid w:val="001D7967"/>
    <w:rsid w:val="001D79FA"/>
    <w:rsid w:val="001D7A19"/>
    <w:rsid w:val="001D7D7E"/>
    <w:rsid w:val="001D7E9F"/>
    <w:rsid w:val="001D7EA4"/>
    <w:rsid w:val="001D7EA9"/>
    <w:rsid w:val="001E0146"/>
    <w:rsid w:val="001E0417"/>
    <w:rsid w:val="001E0894"/>
    <w:rsid w:val="001E0B78"/>
    <w:rsid w:val="001E0C8F"/>
    <w:rsid w:val="001E0D7B"/>
    <w:rsid w:val="001E0FA4"/>
    <w:rsid w:val="001E1483"/>
    <w:rsid w:val="001E176F"/>
    <w:rsid w:val="001E17E1"/>
    <w:rsid w:val="001E18C1"/>
    <w:rsid w:val="001E194E"/>
    <w:rsid w:val="001E1C08"/>
    <w:rsid w:val="001E1F2F"/>
    <w:rsid w:val="001E1F33"/>
    <w:rsid w:val="001E24B6"/>
    <w:rsid w:val="001E2C2B"/>
    <w:rsid w:val="001E2D87"/>
    <w:rsid w:val="001E2DDE"/>
    <w:rsid w:val="001E2F0C"/>
    <w:rsid w:val="001E2F1C"/>
    <w:rsid w:val="001E3292"/>
    <w:rsid w:val="001E3445"/>
    <w:rsid w:val="001E36ED"/>
    <w:rsid w:val="001E3809"/>
    <w:rsid w:val="001E3BA6"/>
    <w:rsid w:val="001E3BBD"/>
    <w:rsid w:val="001E3C16"/>
    <w:rsid w:val="001E3F99"/>
    <w:rsid w:val="001E41CA"/>
    <w:rsid w:val="001E430C"/>
    <w:rsid w:val="001E4348"/>
    <w:rsid w:val="001E497E"/>
    <w:rsid w:val="001E4AC2"/>
    <w:rsid w:val="001E4F78"/>
    <w:rsid w:val="001E502C"/>
    <w:rsid w:val="001E51B6"/>
    <w:rsid w:val="001E51D0"/>
    <w:rsid w:val="001E5202"/>
    <w:rsid w:val="001E572E"/>
    <w:rsid w:val="001E5871"/>
    <w:rsid w:val="001E59F9"/>
    <w:rsid w:val="001E5D57"/>
    <w:rsid w:val="001E641E"/>
    <w:rsid w:val="001E6A33"/>
    <w:rsid w:val="001E6D50"/>
    <w:rsid w:val="001E6F2F"/>
    <w:rsid w:val="001E7146"/>
    <w:rsid w:val="001E71CE"/>
    <w:rsid w:val="001E71F4"/>
    <w:rsid w:val="001E734F"/>
    <w:rsid w:val="001E74A1"/>
    <w:rsid w:val="001E754F"/>
    <w:rsid w:val="001E7788"/>
    <w:rsid w:val="001E7850"/>
    <w:rsid w:val="001E7A5F"/>
    <w:rsid w:val="001E7A8F"/>
    <w:rsid w:val="001E7B1B"/>
    <w:rsid w:val="001F0020"/>
    <w:rsid w:val="001F00E4"/>
    <w:rsid w:val="001F02F7"/>
    <w:rsid w:val="001F04DD"/>
    <w:rsid w:val="001F06F6"/>
    <w:rsid w:val="001F09E7"/>
    <w:rsid w:val="001F0DCA"/>
    <w:rsid w:val="001F116C"/>
    <w:rsid w:val="001F1389"/>
    <w:rsid w:val="001F1797"/>
    <w:rsid w:val="001F17ED"/>
    <w:rsid w:val="001F1CD8"/>
    <w:rsid w:val="001F1CDC"/>
    <w:rsid w:val="001F230C"/>
    <w:rsid w:val="001F238E"/>
    <w:rsid w:val="001F2578"/>
    <w:rsid w:val="001F257F"/>
    <w:rsid w:val="001F277D"/>
    <w:rsid w:val="001F2786"/>
    <w:rsid w:val="001F2BFB"/>
    <w:rsid w:val="001F34D5"/>
    <w:rsid w:val="001F34E1"/>
    <w:rsid w:val="001F379B"/>
    <w:rsid w:val="001F3B86"/>
    <w:rsid w:val="001F3D53"/>
    <w:rsid w:val="001F3F6A"/>
    <w:rsid w:val="001F469E"/>
    <w:rsid w:val="001F4759"/>
    <w:rsid w:val="001F4884"/>
    <w:rsid w:val="001F4B71"/>
    <w:rsid w:val="001F4BA5"/>
    <w:rsid w:val="001F4E97"/>
    <w:rsid w:val="001F4F4F"/>
    <w:rsid w:val="001F4F6B"/>
    <w:rsid w:val="001F50D6"/>
    <w:rsid w:val="001F51A0"/>
    <w:rsid w:val="001F5BD4"/>
    <w:rsid w:val="001F5CC6"/>
    <w:rsid w:val="001F6282"/>
    <w:rsid w:val="001F6621"/>
    <w:rsid w:val="001F66DD"/>
    <w:rsid w:val="001F6768"/>
    <w:rsid w:val="001F67EB"/>
    <w:rsid w:val="001F681D"/>
    <w:rsid w:val="001F6863"/>
    <w:rsid w:val="001F68F8"/>
    <w:rsid w:val="001F6E52"/>
    <w:rsid w:val="001F75C3"/>
    <w:rsid w:val="001F7B69"/>
    <w:rsid w:val="00200046"/>
    <w:rsid w:val="0020031D"/>
    <w:rsid w:val="00200556"/>
    <w:rsid w:val="00200687"/>
    <w:rsid w:val="00200700"/>
    <w:rsid w:val="0020076B"/>
    <w:rsid w:val="0020088C"/>
    <w:rsid w:val="0020098D"/>
    <w:rsid w:val="00200C51"/>
    <w:rsid w:val="00200D8C"/>
    <w:rsid w:val="00200F2F"/>
    <w:rsid w:val="00200F42"/>
    <w:rsid w:val="00202197"/>
    <w:rsid w:val="002021E5"/>
    <w:rsid w:val="002022E3"/>
    <w:rsid w:val="002027A8"/>
    <w:rsid w:val="00202B9A"/>
    <w:rsid w:val="00202BC3"/>
    <w:rsid w:val="00202E57"/>
    <w:rsid w:val="00203036"/>
    <w:rsid w:val="002030AC"/>
    <w:rsid w:val="002032B5"/>
    <w:rsid w:val="00203365"/>
    <w:rsid w:val="0020348E"/>
    <w:rsid w:val="002037C2"/>
    <w:rsid w:val="00203827"/>
    <w:rsid w:val="00203911"/>
    <w:rsid w:val="00203B2E"/>
    <w:rsid w:val="00203C72"/>
    <w:rsid w:val="0020400A"/>
    <w:rsid w:val="0020414B"/>
    <w:rsid w:val="002041AF"/>
    <w:rsid w:val="00204C93"/>
    <w:rsid w:val="0020522A"/>
    <w:rsid w:val="0020534C"/>
    <w:rsid w:val="00205713"/>
    <w:rsid w:val="00205888"/>
    <w:rsid w:val="00205ABD"/>
    <w:rsid w:val="002060F1"/>
    <w:rsid w:val="002062E7"/>
    <w:rsid w:val="00206455"/>
    <w:rsid w:val="002067DD"/>
    <w:rsid w:val="00206891"/>
    <w:rsid w:val="00206CAF"/>
    <w:rsid w:val="00207052"/>
    <w:rsid w:val="002071C4"/>
    <w:rsid w:val="002072CF"/>
    <w:rsid w:val="002072E2"/>
    <w:rsid w:val="00207408"/>
    <w:rsid w:val="002076B1"/>
    <w:rsid w:val="00207944"/>
    <w:rsid w:val="00207C4F"/>
    <w:rsid w:val="00207C6A"/>
    <w:rsid w:val="00207EA0"/>
    <w:rsid w:val="0020ECE6"/>
    <w:rsid w:val="0021011C"/>
    <w:rsid w:val="00210548"/>
    <w:rsid w:val="00210F14"/>
    <w:rsid w:val="0021110C"/>
    <w:rsid w:val="0021132F"/>
    <w:rsid w:val="00211765"/>
    <w:rsid w:val="00211A81"/>
    <w:rsid w:val="00211AD9"/>
    <w:rsid w:val="00211FC1"/>
    <w:rsid w:val="00212092"/>
    <w:rsid w:val="00212D74"/>
    <w:rsid w:val="00212DCA"/>
    <w:rsid w:val="002132ED"/>
    <w:rsid w:val="00213474"/>
    <w:rsid w:val="0021355C"/>
    <w:rsid w:val="002136E7"/>
    <w:rsid w:val="00213792"/>
    <w:rsid w:val="002139E2"/>
    <w:rsid w:val="00213A6B"/>
    <w:rsid w:val="00213D6C"/>
    <w:rsid w:val="00213DB0"/>
    <w:rsid w:val="00213DBF"/>
    <w:rsid w:val="00214AE2"/>
    <w:rsid w:val="00214B91"/>
    <w:rsid w:val="00214C79"/>
    <w:rsid w:val="0021522F"/>
    <w:rsid w:val="00215461"/>
    <w:rsid w:val="00215C3C"/>
    <w:rsid w:val="00215CFA"/>
    <w:rsid w:val="00215EDB"/>
    <w:rsid w:val="002167E1"/>
    <w:rsid w:val="0021689E"/>
    <w:rsid w:val="002170C2"/>
    <w:rsid w:val="002177E7"/>
    <w:rsid w:val="00217816"/>
    <w:rsid w:val="002178DC"/>
    <w:rsid w:val="00217A34"/>
    <w:rsid w:val="00217C08"/>
    <w:rsid w:val="00217CCD"/>
    <w:rsid w:val="0022033B"/>
    <w:rsid w:val="0022048A"/>
    <w:rsid w:val="002205FA"/>
    <w:rsid w:val="002206DB"/>
    <w:rsid w:val="00220F41"/>
    <w:rsid w:val="002210B5"/>
    <w:rsid w:val="00221322"/>
    <w:rsid w:val="0022158A"/>
    <w:rsid w:val="0022182D"/>
    <w:rsid w:val="002218DA"/>
    <w:rsid w:val="0022194D"/>
    <w:rsid w:val="00221C25"/>
    <w:rsid w:val="00221C9B"/>
    <w:rsid w:val="00221DF0"/>
    <w:rsid w:val="00222186"/>
    <w:rsid w:val="002221E0"/>
    <w:rsid w:val="0022241F"/>
    <w:rsid w:val="00222519"/>
    <w:rsid w:val="00222935"/>
    <w:rsid w:val="00222DF0"/>
    <w:rsid w:val="00222F17"/>
    <w:rsid w:val="00223733"/>
    <w:rsid w:val="00223779"/>
    <w:rsid w:val="002239CC"/>
    <w:rsid w:val="00223B0D"/>
    <w:rsid w:val="00223C80"/>
    <w:rsid w:val="00223DAD"/>
    <w:rsid w:val="002247DF"/>
    <w:rsid w:val="00224859"/>
    <w:rsid w:val="00224CB7"/>
    <w:rsid w:val="00224D3A"/>
    <w:rsid w:val="0022594E"/>
    <w:rsid w:val="00225990"/>
    <w:rsid w:val="00225A12"/>
    <w:rsid w:val="00225A6A"/>
    <w:rsid w:val="00226174"/>
    <w:rsid w:val="002261B3"/>
    <w:rsid w:val="002262B6"/>
    <w:rsid w:val="002264D6"/>
    <w:rsid w:val="002269DE"/>
    <w:rsid w:val="00226A44"/>
    <w:rsid w:val="00226A4E"/>
    <w:rsid w:val="00226A7D"/>
    <w:rsid w:val="00226CC8"/>
    <w:rsid w:val="00227592"/>
    <w:rsid w:val="0022765C"/>
    <w:rsid w:val="002278FA"/>
    <w:rsid w:val="00227BB6"/>
    <w:rsid w:val="002300C7"/>
    <w:rsid w:val="002305CE"/>
    <w:rsid w:val="00230661"/>
    <w:rsid w:val="00230A88"/>
    <w:rsid w:val="00230DE7"/>
    <w:rsid w:val="0023137F"/>
    <w:rsid w:val="002314A3"/>
    <w:rsid w:val="002318B6"/>
    <w:rsid w:val="002318CD"/>
    <w:rsid w:val="00231953"/>
    <w:rsid w:val="00231E17"/>
    <w:rsid w:val="00232727"/>
    <w:rsid w:val="00232875"/>
    <w:rsid w:val="002329FD"/>
    <w:rsid w:val="00232A59"/>
    <w:rsid w:val="00232BCC"/>
    <w:rsid w:val="00233094"/>
    <w:rsid w:val="00233163"/>
    <w:rsid w:val="00233596"/>
    <w:rsid w:val="00233CEF"/>
    <w:rsid w:val="00233E95"/>
    <w:rsid w:val="00233F29"/>
    <w:rsid w:val="00233FC5"/>
    <w:rsid w:val="00233FCB"/>
    <w:rsid w:val="00233FD0"/>
    <w:rsid w:val="00234134"/>
    <w:rsid w:val="00234A0E"/>
    <w:rsid w:val="00234A50"/>
    <w:rsid w:val="00234C3A"/>
    <w:rsid w:val="00234F1F"/>
    <w:rsid w:val="00234F21"/>
    <w:rsid w:val="002352B0"/>
    <w:rsid w:val="00235410"/>
    <w:rsid w:val="002354E4"/>
    <w:rsid w:val="0023563D"/>
    <w:rsid w:val="002364A4"/>
    <w:rsid w:val="002367E3"/>
    <w:rsid w:val="002368B5"/>
    <w:rsid w:val="00236BC2"/>
    <w:rsid w:val="0023717C"/>
    <w:rsid w:val="0023752A"/>
    <w:rsid w:val="00237733"/>
    <w:rsid w:val="0023774B"/>
    <w:rsid w:val="00237B6F"/>
    <w:rsid w:val="00237B8F"/>
    <w:rsid w:val="00237BA0"/>
    <w:rsid w:val="002400A9"/>
    <w:rsid w:val="00240106"/>
    <w:rsid w:val="00240229"/>
    <w:rsid w:val="00240493"/>
    <w:rsid w:val="0024064A"/>
    <w:rsid w:val="00240708"/>
    <w:rsid w:val="0024078E"/>
    <w:rsid w:val="002407D3"/>
    <w:rsid w:val="00240B08"/>
    <w:rsid w:val="00240DD8"/>
    <w:rsid w:val="002410DD"/>
    <w:rsid w:val="002411FB"/>
    <w:rsid w:val="002412D9"/>
    <w:rsid w:val="0024171E"/>
    <w:rsid w:val="00241840"/>
    <w:rsid w:val="00241AAB"/>
    <w:rsid w:val="00241B4E"/>
    <w:rsid w:val="00241D83"/>
    <w:rsid w:val="00241FDD"/>
    <w:rsid w:val="00242064"/>
    <w:rsid w:val="00242189"/>
    <w:rsid w:val="0024270D"/>
    <w:rsid w:val="00242CAE"/>
    <w:rsid w:val="00242DBC"/>
    <w:rsid w:val="002436FE"/>
    <w:rsid w:val="00243942"/>
    <w:rsid w:val="00243C0A"/>
    <w:rsid w:val="00243F34"/>
    <w:rsid w:val="002447B3"/>
    <w:rsid w:val="00244B3D"/>
    <w:rsid w:val="00245050"/>
    <w:rsid w:val="002458A0"/>
    <w:rsid w:val="002459AC"/>
    <w:rsid w:val="00245F09"/>
    <w:rsid w:val="0024604D"/>
    <w:rsid w:val="002460C0"/>
    <w:rsid w:val="002461CA"/>
    <w:rsid w:val="002464E8"/>
    <w:rsid w:val="0024664A"/>
    <w:rsid w:val="00246654"/>
    <w:rsid w:val="0024688E"/>
    <w:rsid w:val="00246A68"/>
    <w:rsid w:val="00246B3F"/>
    <w:rsid w:val="00246BA9"/>
    <w:rsid w:val="00246BDA"/>
    <w:rsid w:val="00246EDF"/>
    <w:rsid w:val="0024710C"/>
    <w:rsid w:val="002474F7"/>
    <w:rsid w:val="00247827"/>
    <w:rsid w:val="00247954"/>
    <w:rsid w:val="0025022E"/>
    <w:rsid w:val="00250814"/>
    <w:rsid w:val="00250978"/>
    <w:rsid w:val="00250E0D"/>
    <w:rsid w:val="00250F5C"/>
    <w:rsid w:val="00250FFB"/>
    <w:rsid w:val="002511CE"/>
    <w:rsid w:val="00251277"/>
    <w:rsid w:val="00251456"/>
    <w:rsid w:val="002518BB"/>
    <w:rsid w:val="00251A23"/>
    <w:rsid w:val="00251B0B"/>
    <w:rsid w:val="00251BA9"/>
    <w:rsid w:val="00251C5B"/>
    <w:rsid w:val="00251CC2"/>
    <w:rsid w:val="00252119"/>
    <w:rsid w:val="00252A7E"/>
    <w:rsid w:val="00252F40"/>
    <w:rsid w:val="00252F9C"/>
    <w:rsid w:val="00253259"/>
    <w:rsid w:val="002533DC"/>
    <w:rsid w:val="002535F7"/>
    <w:rsid w:val="0025372C"/>
    <w:rsid w:val="00253776"/>
    <w:rsid w:val="00253B02"/>
    <w:rsid w:val="00253DBA"/>
    <w:rsid w:val="0025407A"/>
    <w:rsid w:val="00254142"/>
    <w:rsid w:val="002545DB"/>
    <w:rsid w:val="00255040"/>
    <w:rsid w:val="00255417"/>
    <w:rsid w:val="002554F6"/>
    <w:rsid w:val="00256059"/>
    <w:rsid w:val="0025624D"/>
    <w:rsid w:val="002564CB"/>
    <w:rsid w:val="00256A3A"/>
    <w:rsid w:val="00256EC0"/>
    <w:rsid w:val="002573C5"/>
    <w:rsid w:val="00257712"/>
    <w:rsid w:val="00257896"/>
    <w:rsid w:val="00257989"/>
    <w:rsid w:val="00257B70"/>
    <w:rsid w:val="00257B91"/>
    <w:rsid w:val="00257CFF"/>
    <w:rsid w:val="00257DC7"/>
    <w:rsid w:val="00257F05"/>
    <w:rsid w:val="002601EF"/>
    <w:rsid w:val="00260517"/>
    <w:rsid w:val="00260C96"/>
    <w:rsid w:val="00260F09"/>
    <w:rsid w:val="002611A5"/>
    <w:rsid w:val="00261450"/>
    <w:rsid w:val="002615AD"/>
    <w:rsid w:val="0026184A"/>
    <w:rsid w:val="00261D28"/>
    <w:rsid w:val="00261D82"/>
    <w:rsid w:val="00261DF9"/>
    <w:rsid w:val="00261E11"/>
    <w:rsid w:val="00261EC7"/>
    <w:rsid w:val="00261FC5"/>
    <w:rsid w:val="0026210B"/>
    <w:rsid w:val="00262280"/>
    <w:rsid w:val="002624E2"/>
    <w:rsid w:val="00262527"/>
    <w:rsid w:val="00262597"/>
    <w:rsid w:val="0026281A"/>
    <w:rsid w:val="00262950"/>
    <w:rsid w:val="00262F13"/>
    <w:rsid w:val="00262FED"/>
    <w:rsid w:val="00263029"/>
    <w:rsid w:val="002637FF"/>
    <w:rsid w:val="00263E55"/>
    <w:rsid w:val="00263F12"/>
    <w:rsid w:val="002640CD"/>
    <w:rsid w:val="0026413D"/>
    <w:rsid w:val="0026437A"/>
    <w:rsid w:val="0026458F"/>
    <w:rsid w:val="00264FBB"/>
    <w:rsid w:val="0026536F"/>
    <w:rsid w:val="002656F9"/>
    <w:rsid w:val="00265890"/>
    <w:rsid w:val="0026596D"/>
    <w:rsid w:val="00265C01"/>
    <w:rsid w:val="00265C8C"/>
    <w:rsid w:val="00265D05"/>
    <w:rsid w:val="00266701"/>
    <w:rsid w:val="002668CE"/>
    <w:rsid w:val="00266DCD"/>
    <w:rsid w:val="00266F01"/>
    <w:rsid w:val="00267328"/>
    <w:rsid w:val="00267760"/>
    <w:rsid w:val="00267DE0"/>
    <w:rsid w:val="002703CF"/>
    <w:rsid w:val="00270B89"/>
    <w:rsid w:val="00270BA5"/>
    <w:rsid w:val="00270BCE"/>
    <w:rsid w:val="00271942"/>
    <w:rsid w:val="00271962"/>
    <w:rsid w:val="0027197A"/>
    <w:rsid w:val="00271B95"/>
    <w:rsid w:val="00271DF9"/>
    <w:rsid w:val="00271F99"/>
    <w:rsid w:val="00271FA2"/>
    <w:rsid w:val="00271FE5"/>
    <w:rsid w:val="0027235A"/>
    <w:rsid w:val="00272375"/>
    <w:rsid w:val="00272564"/>
    <w:rsid w:val="002725EB"/>
    <w:rsid w:val="00272717"/>
    <w:rsid w:val="00272C7B"/>
    <w:rsid w:val="002733ED"/>
    <w:rsid w:val="00273455"/>
    <w:rsid w:val="002734A0"/>
    <w:rsid w:val="002736E7"/>
    <w:rsid w:val="00273713"/>
    <w:rsid w:val="00273777"/>
    <w:rsid w:val="00273796"/>
    <w:rsid w:val="00273A7E"/>
    <w:rsid w:val="00273B76"/>
    <w:rsid w:val="00273C95"/>
    <w:rsid w:val="00273DB8"/>
    <w:rsid w:val="002742BA"/>
    <w:rsid w:val="00274512"/>
    <w:rsid w:val="0027455B"/>
    <w:rsid w:val="00274963"/>
    <w:rsid w:val="00274985"/>
    <w:rsid w:val="002749C9"/>
    <w:rsid w:val="00275015"/>
    <w:rsid w:val="0027549E"/>
    <w:rsid w:val="0027550A"/>
    <w:rsid w:val="0027588E"/>
    <w:rsid w:val="00275E96"/>
    <w:rsid w:val="002760B1"/>
    <w:rsid w:val="00276639"/>
    <w:rsid w:val="002769CE"/>
    <w:rsid w:val="00276C13"/>
    <w:rsid w:val="00276E94"/>
    <w:rsid w:val="00276EFB"/>
    <w:rsid w:val="00276F8C"/>
    <w:rsid w:val="0027705C"/>
    <w:rsid w:val="0027715A"/>
    <w:rsid w:val="002773C0"/>
    <w:rsid w:val="002775D0"/>
    <w:rsid w:val="0027761A"/>
    <w:rsid w:val="0027768B"/>
    <w:rsid w:val="00277EA4"/>
    <w:rsid w:val="0028039A"/>
    <w:rsid w:val="0028066D"/>
    <w:rsid w:val="00280784"/>
    <w:rsid w:val="002809A2"/>
    <w:rsid w:val="00280C98"/>
    <w:rsid w:val="00280D3E"/>
    <w:rsid w:val="00280D62"/>
    <w:rsid w:val="002811C5"/>
    <w:rsid w:val="002812B5"/>
    <w:rsid w:val="002817CE"/>
    <w:rsid w:val="00281868"/>
    <w:rsid w:val="0028196A"/>
    <w:rsid w:val="00281A65"/>
    <w:rsid w:val="00281B84"/>
    <w:rsid w:val="00281F11"/>
    <w:rsid w:val="00281F3F"/>
    <w:rsid w:val="00282027"/>
    <w:rsid w:val="002822D0"/>
    <w:rsid w:val="0028233A"/>
    <w:rsid w:val="00282A6A"/>
    <w:rsid w:val="00282F6F"/>
    <w:rsid w:val="00283015"/>
    <w:rsid w:val="00283379"/>
    <w:rsid w:val="002839AF"/>
    <w:rsid w:val="00283AA6"/>
    <w:rsid w:val="00283D8B"/>
    <w:rsid w:val="00283E2E"/>
    <w:rsid w:val="00283F8D"/>
    <w:rsid w:val="00284156"/>
    <w:rsid w:val="0028432C"/>
    <w:rsid w:val="002844D3"/>
    <w:rsid w:val="00284580"/>
    <w:rsid w:val="00284708"/>
    <w:rsid w:val="0028477E"/>
    <w:rsid w:val="00284899"/>
    <w:rsid w:val="00284BDD"/>
    <w:rsid w:val="00284C44"/>
    <w:rsid w:val="00284E46"/>
    <w:rsid w:val="0028523C"/>
    <w:rsid w:val="002852DE"/>
    <w:rsid w:val="002857E2"/>
    <w:rsid w:val="00285C5C"/>
    <w:rsid w:val="00285C78"/>
    <w:rsid w:val="00285DA9"/>
    <w:rsid w:val="00285E86"/>
    <w:rsid w:val="00285FD8"/>
    <w:rsid w:val="00286237"/>
    <w:rsid w:val="00286499"/>
    <w:rsid w:val="0028654D"/>
    <w:rsid w:val="002867DE"/>
    <w:rsid w:val="00286A80"/>
    <w:rsid w:val="00286B17"/>
    <w:rsid w:val="00286C16"/>
    <w:rsid w:val="002870A9"/>
    <w:rsid w:val="0028749D"/>
    <w:rsid w:val="0028788A"/>
    <w:rsid w:val="002878FB"/>
    <w:rsid w:val="0028793E"/>
    <w:rsid w:val="00287F1E"/>
    <w:rsid w:val="00290397"/>
    <w:rsid w:val="00290583"/>
    <w:rsid w:val="002906F9"/>
    <w:rsid w:val="00290978"/>
    <w:rsid w:val="00290ABD"/>
    <w:rsid w:val="00290ED4"/>
    <w:rsid w:val="002910D9"/>
    <w:rsid w:val="00291213"/>
    <w:rsid w:val="002912CD"/>
    <w:rsid w:val="002915E5"/>
    <w:rsid w:val="002916B9"/>
    <w:rsid w:val="00291B04"/>
    <w:rsid w:val="00291BD8"/>
    <w:rsid w:val="00291BDB"/>
    <w:rsid w:val="00291D23"/>
    <w:rsid w:val="00292056"/>
    <w:rsid w:val="00292479"/>
    <w:rsid w:val="00292776"/>
    <w:rsid w:val="00292842"/>
    <w:rsid w:val="00292BBC"/>
    <w:rsid w:val="00292DAB"/>
    <w:rsid w:val="002930AB"/>
    <w:rsid w:val="00293417"/>
    <w:rsid w:val="002939E7"/>
    <w:rsid w:val="00293ADE"/>
    <w:rsid w:val="00293BF3"/>
    <w:rsid w:val="00293C33"/>
    <w:rsid w:val="00293E05"/>
    <w:rsid w:val="0029406F"/>
    <w:rsid w:val="002947E9"/>
    <w:rsid w:val="00294CC5"/>
    <w:rsid w:val="00294E0E"/>
    <w:rsid w:val="00294EEE"/>
    <w:rsid w:val="002951E5"/>
    <w:rsid w:val="00295517"/>
    <w:rsid w:val="0029555F"/>
    <w:rsid w:val="00295D9C"/>
    <w:rsid w:val="00295EBC"/>
    <w:rsid w:val="0029605F"/>
    <w:rsid w:val="00296094"/>
    <w:rsid w:val="0029609B"/>
    <w:rsid w:val="00296190"/>
    <w:rsid w:val="0029626C"/>
    <w:rsid w:val="00296357"/>
    <w:rsid w:val="002963F0"/>
    <w:rsid w:val="00296A15"/>
    <w:rsid w:val="00296D4D"/>
    <w:rsid w:val="0029746B"/>
    <w:rsid w:val="00297934"/>
    <w:rsid w:val="00297A53"/>
    <w:rsid w:val="00297E61"/>
    <w:rsid w:val="00297E70"/>
    <w:rsid w:val="002A00D0"/>
    <w:rsid w:val="002A0572"/>
    <w:rsid w:val="002A08F3"/>
    <w:rsid w:val="002A0AAA"/>
    <w:rsid w:val="002A0B4A"/>
    <w:rsid w:val="002A1153"/>
    <w:rsid w:val="002A15A7"/>
    <w:rsid w:val="002A1677"/>
    <w:rsid w:val="002A1C59"/>
    <w:rsid w:val="002A2253"/>
    <w:rsid w:val="002A2A5A"/>
    <w:rsid w:val="002A2FFC"/>
    <w:rsid w:val="002A309E"/>
    <w:rsid w:val="002A34C1"/>
    <w:rsid w:val="002A38C3"/>
    <w:rsid w:val="002A3AA0"/>
    <w:rsid w:val="002A3FDF"/>
    <w:rsid w:val="002A40DB"/>
    <w:rsid w:val="002A4862"/>
    <w:rsid w:val="002A4AA1"/>
    <w:rsid w:val="002A4EC8"/>
    <w:rsid w:val="002A5114"/>
    <w:rsid w:val="002A5A68"/>
    <w:rsid w:val="002A5C43"/>
    <w:rsid w:val="002A6335"/>
    <w:rsid w:val="002A64DF"/>
    <w:rsid w:val="002A6728"/>
    <w:rsid w:val="002A6747"/>
    <w:rsid w:val="002A6805"/>
    <w:rsid w:val="002A6C7D"/>
    <w:rsid w:val="002A6DF8"/>
    <w:rsid w:val="002A6E0B"/>
    <w:rsid w:val="002A729E"/>
    <w:rsid w:val="002A74DF"/>
    <w:rsid w:val="002A76AD"/>
    <w:rsid w:val="002A7BDA"/>
    <w:rsid w:val="002A7FB5"/>
    <w:rsid w:val="002B062E"/>
    <w:rsid w:val="002B0865"/>
    <w:rsid w:val="002B0CCA"/>
    <w:rsid w:val="002B0E7A"/>
    <w:rsid w:val="002B15E6"/>
    <w:rsid w:val="002B167E"/>
    <w:rsid w:val="002B1B6A"/>
    <w:rsid w:val="002B200A"/>
    <w:rsid w:val="002B232C"/>
    <w:rsid w:val="002B23D3"/>
    <w:rsid w:val="002B262D"/>
    <w:rsid w:val="002B2AC9"/>
    <w:rsid w:val="002B32C2"/>
    <w:rsid w:val="002B33CE"/>
    <w:rsid w:val="002B35F2"/>
    <w:rsid w:val="002B3BE0"/>
    <w:rsid w:val="002B3D2A"/>
    <w:rsid w:val="002B3E0B"/>
    <w:rsid w:val="002B40C9"/>
    <w:rsid w:val="002B4102"/>
    <w:rsid w:val="002B4AB1"/>
    <w:rsid w:val="002B4C9B"/>
    <w:rsid w:val="002B4DEF"/>
    <w:rsid w:val="002B529C"/>
    <w:rsid w:val="002B5305"/>
    <w:rsid w:val="002B5E91"/>
    <w:rsid w:val="002B5F9B"/>
    <w:rsid w:val="002B6125"/>
    <w:rsid w:val="002B62A1"/>
    <w:rsid w:val="002B680F"/>
    <w:rsid w:val="002B6B33"/>
    <w:rsid w:val="002B6C9D"/>
    <w:rsid w:val="002B6CE8"/>
    <w:rsid w:val="002B6D0D"/>
    <w:rsid w:val="002B6E88"/>
    <w:rsid w:val="002B6F56"/>
    <w:rsid w:val="002B70FA"/>
    <w:rsid w:val="002B71F2"/>
    <w:rsid w:val="002B7E15"/>
    <w:rsid w:val="002B7FB9"/>
    <w:rsid w:val="002BC6D3"/>
    <w:rsid w:val="002C0091"/>
    <w:rsid w:val="002C07A3"/>
    <w:rsid w:val="002C0910"/>
    <w:rsid w:val="002C11E1"/>
    <w:rsid w:val="002C150C"/>
    <w:rsid w:val="002C1798"/>
    <w:rsid w:val="002C19C7"/>
    <w:rsid w:val="002C19CE"/>
    <w:rsid w:val="002C1B79"/>
    <w:rsid w:val="002C2336"/>
    <w:rsid w:val="002C23F4"/>
    <w:rsid w:val="002C2423"/>
    <w:rsid w:val="002C2510"/>
    <w:rsid w:val="002C2700"/>
    <w:rsid w:val="002C287E"/>
    <w:rsid w:val="002C28F3"/>
    <w:rsid w:val="002C2B19"/>
    <w:rsid w:val="002C2B34"/>
    <w:rsid w:val="002C2B61"/>
    <w:rsid w:val="002C2BB6"/>
    <w:rsid w:val="002C2D0A"/>
    <w:rsid w:val="002C3460"/>
    <w:rsid w:val="002C395C"/>
    <w:rsid w:val="002C3BDC"/>
    <w:rsid w:val="002C4321"/>
    <w:rsid w:val="002C4A7E"/>
    <w:rsid w:val="002C5391"/>
    <w:rsid w:val="002C57E5"/>
    <w:rsid w:val="002C5ABD"/>
    <w:rsid w:val="002C5B7A"/>
    <w:rsid w:val="002C6584"/>
    <w:rsid w:val="002C65CC"/>
    <w:rsid w:val="002C6658"/>
    <w:rsid w:val="002C6F0B"/>
    <w:rsid w:val="002C726C"/>
    <w:rsid w:val="002C732B"/>
    <w:rsid w:val="002C76D6"/>
    <w:rsid w:val="002C7704"/>
    <w:rsid w:val="002C772F"/>
    <w:rsid w:val="002C7874"/>
    <w:rsid w:val="002C7A16"/>
    <w:rsid w:val="002C7A28"/>
    <w:rsid w:val="002C7B1A"/>
    <w:rsid w:val="002C7D1D"/>
    <w:rsid w:val="002C7F13"/>
    <w:rsid w:val="002C7F53"/>
    <w:rsid w:val="002C7FC8"/>
    <w:rsid w:val="002CFDC0"/>
    <w:rsid w:val="002D03F8"/>
    <w:rsid w:val="002D056A"/>
    <w:rsid w:val="002D094F"/>
    <w:rsid w:val="002D0D64"/>
    <w:rsid w:val="002D0E27"/>
    <w:rsid w:val="002D0E53"/>
    <w:rsid w:val="002D1528"/>
    <w:rsid w:val="002D1952"/>
    <w:rsid w:val="002D1962"/>
    <w:rsid w:val="002D1B00"/>
    <w:rsid w:val="002D206A"/>
    <w:rsid w:val="002D225D"/>
    <w:rsid w:val="002D22AC"/>
    <w:rsid w:val="002D23E9"/>
    <w:rsid w:val="002D2506"/>
    <w:rsid w:val="002D2512"/>
    <w:rsid w:val="002D2B3E"/>
    <w:rsid w:val="002D2FEC"/>
    <w:rsid w:val="002D358E"/>
    <w:rsid w:val="002D3C8C"/>
    <w:rsid w:val="002D3D65"/>
    <w:rsid w:val="002D3E09"/>
    <w:rsid w:val="002D3FFA"/>
    <w:rsid w:val="002D4380"/>
    <w:rsid w:val="002D47E3"/>
    <w:rsid w:val="002D4C7F"/>
    <w:rsid w:val="002D4E97"/>
    <w:rsid w:val="002D51CF"/>
    <w:rsid w:val="002D5BE1"/>
    <w:rsid w:val="002D5CF3"/>
    <w:rsid w:val="002D5F6C"/>
    <w:rsid w:val="002D5F95"/>
    <w:rsid w:val="002D5FD2"/>
    <w:rsid w:val="002D64E8"/>
    <w:rsid w:val="002D65B3"/>
    <w:rsid w:val="002D6844"/>
    <w:rsid w:val="002D6DED"/>
    <w:rsid w:val="002D7045"/>
    <w:rsid w:val="002D7386"/>
    <w:rsid w:val="002D78A1"/>
    <w:rsid w:val="002D7A0A"/>
    <w:rsid w:val="002D7D6B"/>
    <w:rsid w:val="002D7F6A"/>
    <w:rsid w:val="002E01C8"/>
    <w:rsid w:val="002E01CA"/>
    <w:rsid w:val="002E0B30"/>
    <w:rsid w:val="002E0EE5"/>
    <w:rsid w:val="002E106E"/>
    <w:rsid w:val="002E1173"/>
    <w:rsid w:val="002E1583"/>
    <w:rsid w:val="002E166F"/>
    <w:rsid w:val="002E1A6B"/>
    <w:rsid w:val="002E2058"/>
    <w:rsid w:val="002E218A"/>
    <w:rsid w:val="002E2247"/>
    <w:rsid w:val="002E2321"/>
    <w:rsid w:val="002E278A"/>
    <w:rsid w:val="002E2D98"/>
    <w:rsid w:val="002E329E"/>
    <w:rsid w:val="002E32BE"/>
    <w:rsid w:val="002E3489"/>
    <w:rsid w:val="002E36E6"/>
    <w:rsid w:val="002E3F42"/>
    <w:rsid w:val="002E40C1"/>
    <w:rsid w:val="002E40FF"/>
    <w:rsid w:val="002E4179"/>
    <w:rsid w:val="002E469E"/>
    <w:rsid w:val="002E46CC"/>
    <w:rsid w:val="002E4AFB"/>
    <w:rsid w:val="002E4E8A"/>
    <w:rsid w:val="002E506C"/>
    <w:rsid w:val="002E5430"/>
    <w:rsid w:val="002E544B"/>
    <w:rsid w:val="002E54C6"/>
    <w:rsid w:val="002E5D59"/>
    <w:rsid w:val="002E5EF1"/>
    <w:rsid w:val="002E5F0F"/>
    <w:rsid w:val="002E615D"/>
    <w:rsid w:val="002E6212"/>
    <w:rsid w:val="002E6392"/>
    <w:rsid w:val="002E63E3"/>
    <w:rsid w:val="002E6484"/>
    <w:rsid w:val="002E661E"/>
    <w:rsid w:val="002E67FE"/>
    <w:rsid w:val="002E6879"/>
    <w:rsid w:val="002E6883"/>
    <w:rsid w:val="002E6A15"/>
    <w:rsid w:val="002E6C81"/>
    <w:rsid w:val="002E6CF7"/>
    <w:rsid w:val="002E6F65"/>
    <w:rsid w:val="002E728B"/>
    <w:rsid w:val="002E7538"/>
    <w:rsid w:val="002E76BC"/>
    <w:rsid w:val="002E7E00"/>
    <w:rsid w:val="002EB313"/>
    <w:rsid w:val="002F0133"/>
    <w:rsid w:val="002F048B"/>
    <w:rsid w:val="002F0551"/>
    <w:rsid w:val="002F08DF"/>
    <w:rsid w:val="002F09EB"/>
    <w:rsid w:val="002F0BDC"/>
    <w:rsid w:val="002F0F1F"/>
    <w:rsid w:val="002F1225"/>
    <w:rsid w:val="002F155C"/>
    <w:rsid w:val="002F1A5C"/>
    <w:rsid w:val="002F1BD0"/>
    <w:rsid w:val="002F20DE"/>
    <w:rsid w:val="002F2549"/>
    <w:rsid w:val="002F2623"/>
    <w:rsid w:val="002F26AF"/>
    <w:rsid w:val="002F31C2"/>
    <w:rsid w:val="002F350B"/>
    <w:rsid w:val="002F3526"/>
    <w:rsid w:val="002F3ADE"/>
    <w:rsid w:val="002F3DED"/>
    <w:rsid w:val="002F3F80"/>
    <w:rsid w:val="002F3FB5"/>
    <w:rsid w:val="002F427D"/>
    <w:rsid w:val="002F44A3"/>
    <w:rsid w:val="002F45B2"/>
    <w:rsid w:val="002F45C7"/>
    <w:rsid w:val="002F4B50"/>
    <w:rsid w:val="002F52A9"/>
    <w:rsid w:val="002F53AE"/>
    <w:rsid w:val="002F5B54"/>
    <w:rsid w:val="002F5D81"/>
    <w:rsid w:val="002F5E36"/>
    <w:rsid w:val="002F6136"/>
    <w:rsid w:val="002F62C3"/>
    <w:rsid w:val="002F65F8"/>
    <w:rsid w:val="002F685D"/>
    <w:rsid w:val="002F6975"/>
    <w:rsid w:val="002F69A6"/>
    <w:rsid w:val="002F6A65"/>
    <w:rsid w:val="002F6A67"/>
    <w:rsid w:val="002F6CBC"/>
    <w:rsid w:val="002F7086"/>
    <w:rsid w:val="002F7DA5"/>
    <w:rsid w:val="002F7DB4"/>
    <w:rsid w:val="00300020"/>
    <w:rsid w:val="003006F9"/>
    <w:rsid w:val="0030082D"/>
    <w:rsid w:val="003008BA"/>
    <w:rsid w:val="00300981"/>
    <w:rsid w:val="00300C3D"/>
    <w:rsid w:val="00300F16"/>
    <w:rsid w:val="00300F47"/>
    <w:rsid w:val="00300F61"/>
    <w:rsid w:val="00300F69"/>
    <w:rsid w:val="0030150E"/>
    <w:rsid w:val="00301BA4"/>
    <w:rsid w:val="00301D68"/>
    <w:rsid w:val="00301E72"/>
    <w:rsid w:val="00301EF0"/>
    <w:rsid w:val="003025F8"/>
    <w:rsid w:val="00302B0B"/>
    <w:rsid w:val="00302B17"/>
    <w:rsid w:val="003030AA"/>
    <w:rsid w:val="003031DA"/>
    <w:rsid w:val="00303320"/>
    <w:rsid w:val="00303442"/>
    <w:rsid w:val="0030367F"/>
    <w:rsid w:val="003037D7"/>
    <w:rsid w:val="00303D4A"/>
    <w:rsid w:val="00303E01"/>
    <w:rsid w:val="00303E66"/>
    <w:rsid w:val="003043B8"/>
    <w:rsid w:val="003049F6"/>
    <w:rsid w:val="00304A5E"/>
    <w:rsid w:val="00304B30"/>
    <w:rsid w:val="00304DC8"/>
    <w:rsid w:val="00304E7F"/>
    <w:rsid w:val="003051C3"/>
    <w:rsid w:val="0030561E"/>
    <w:rsid w:val="00305649"/>
    <w:rsid w:val="003056B6"/>
    <w:rsid w:val="003059EF"/>
    <w:rsid w:val="00305B4A"/>
    <w:rsid w:val="00305FE2"/>
    <w:rsid w:val="003060B0"/>
    <w:rsid w:val="00306157"/>
    <w:rsid w:val="00306194"/>
    <w:rsid w:val="003063C3"/>
    <w:rsid w:val="00306418"/>
    <w:rsid w:val="00306540"/>
    <w:rsid w:val="00306942"/>
    <w:rsid w:val="003069D7"/>
    <w:rsid w:val="00306F49"/>
    <w:rsid w:val="00307115"/>
    <w:rsid w:val="00307244"/>
    <w:rsid w:val="003074A8"/>
    <w:rsid w:val="003074D1"/>
    <w:rsid w:val="0030797B"/>
    <w:rsid w:val="003079E9"/>
    <w:rsid w:val="00307D4A"/>
    <w:rsid w:val="003102DA"/>
    <w:rsid w:val="003103F5"/>
    <w:rsid w:val="0031117C"/>
    <w:rsid w:val="003112EE"/>
    <w:rsid w:val="00311468"/>
    <w:rsid w:val="00311692"/>
    <w:rsid w:val="0031197B"/>
    <w:rsid w:val="00311E24"/>
    <w:rsid w:val="00311FAF"/>
    <w:rsid w:val="00312031"/>
    <w:rsid w:val="003120E5"/>
    <w:rsid w:val="00312287"/>
    <w:rsid w:val="003123CD"/>
    <w:rsid w:val="0031252F"/>
    <w:rsid w:val="00312651"/>
    <w:rsid w:val="00312826"/>
    <w:rsid w:val="00312AC4"/>
    <w:rsid w:val="00312B62"/>
    <w:rsid w:val="00312EB5"/>
    <w:rsid w:val="00313018"/>
    <w:rsid w:val="00313174"/>
    <w:rsid w:val="0031333F"/>
    <w:rsid w:val="0031362B"/>
    <w:rsid w:val="00313634"/>
    <w:rsid w:val="00314570"/>
    <w:rsid w:val="0031484F"/>
    <w:rsid w:val="0031491F"/>
    <w:rsid w:val="00314A71"/>
    <w:rsid w:val="00314B80"/>
    <w:rsid w:val="00314CC0"/>
    <w:rsid w:val="003152C5"/>
    <w:rsid w:val="0031538B"/>
    <w:rsid w:val="0031566F"/>
    <w:rsid w:val="0031568B"/>
    <w:rsid w:val="003157C0"/>
    <w:rsid w:val="003158A9"/>
    <w:rsid w:val="00315910"/>
    <w:rsid w:val="0031615F"/>
    <w:rsid w:val="003164C0"/>
    <w:rsid w:val="0031658C"/>
    <w:rsid w:val="00316776"/>
    <w:rsid w:val="00316942"/>
    <w:rsid w:val="00316A8C"/>
    <w:rsid w:val="00316CCF"/>
    <w:rsid w:val="0031705C"/>
    <w:rsid w:val="003171F8"/>
    <w:rsid w:val="00317227"/>
    <w:rsid w:val="00317538"/>
    <w:rsid w:val="003175C1"/>
    <w:rsid w:val="00317EE1"/>
    <w:rsid w:val="00320007"/>
    <w:rsid w:val="003206DA"/>
    <w:rsid w:val="00320EA3"/>
    <w:rsid w:val="00320F5F"/>
    <w:rsid w:val="00321799"/>
    <w:rsid w:val="00321840"/>
    <w:rsid w:val="00321C09"/>
    <w:rsid w:val="00321E14"/>
    <w:rsid w:val="00321F98"/>
    <w:rsid w:val="0032206E"/>
    <w:rsid w:val="003221B2"/>
    <w:rsid w:val="00322258"/>
    <w:rsid w:val="003228D7"/>
    <w:rsid w:val="003229D8"/>
    <w:rsid w:val="00322A08"/>
    <w:rsid w:val="00322A68"/>
    <w:rsid w:val="00322B5C"/>
    <w:rsid w:val="00322F05"/>
    <w:rsid w:val="00323101"/>
    <w:rsid w:val="00323134"/>
    <w:rsid w:val="003236CC"/>
    <w:rsid w:val="0032375C"/>
    <w:rsid w:val="00323783"/>
    <w:rsid w:val="00323F89"/>
    <w:rsid w:val="0032428E"/>
    <w:rsid w:val="0032442F"/>
    <w:rsid w:val="00324938"/>
    <w:rsid w:val="00324C52"/>
    <w:rsid w:val="00324E66"/>
    <w:rsid w:val="00324E7C"/>
    <w:rsid w:val="00324F79"/>
    <w:rsid w:val="00325016"/>
    <w:rsid w:val="00325498"/>
    <w:rsid w:val="0032594F"/>
    <w:rsid w:val="003259C3"/>
    <w:rsid w:val="00325DC3"/>
    <w:rsid w:val="00325ECE"/>
    <w:rsid w:val="00325FC7"/>
    <w:rsid w:val="00326120"/>
    <w:rsid w:val="003266F8"/>
    <w:rsid w:val="00326921"/>
    <w:rsid w:val="00326C07"/>
    <w:rsid w:val="00326E29"/>
    <w:rsid w:val="00326EE9"/>
    <w:rsid w:val="00327271"/>
    <w:rsid w:val="00327401"/>
    <w:rsid w:val="00327AC2"/>
    <w:rsid w:val="00327E19"/>
    <w:rsid w:val="00327E65"/>
    <w:rsid w:val="00330975"/>
    <w:rsid w:val="00330CBE"/>
    <w:rsid w:val="00330CDF"/>
    <w:rsid w:val="00330D57"/>
    <w:rsid w:val="00331424"/>
    <w:rsid w:val="00331CE2"/>
    <w:rsid w:val="00331E31"/>
    <w:rsid w:val="00332167"/>
    <w:rsid w:val="003329F0"/>
    <w:rsid w:val="00332B60"/>
    <w:rsid w:val="00332E5C"/>
    <w:rsid w:val="00333018"/>
    <w:rsid w:val="0033371E"/>
    <w:rsid w:val="00333765"/>
    <w:rsid w:val="0033378F"/>
    <w:rsid w:val="003337E0"/>
    <w:rsid w:val="00333D57"/>
    <w:rsid w:val="00333E18"/>
    <w:rsid w:val="00333FB0"/>
    <w:rsid w:val="00334531"/>
    <w:rsid w:val="003346EB"/>
    <w:rsid w:val="00334736"/>
    <w:rsid w:val="00334BC8"/>
    <w:rsid w:val="00334D2A"/>
    <w:rsid w:val="0033502B"/>
    <w:rsid w:val="00335298"/>
    <w:rsid w:val="00335933"/>
    <w:rsid w:val="00335A1A"/>
    <w:rsid w:val="00335C7E"/>
    <w:rsid w:val="003361AB"/>
    <w:rsid w:val="003361D4"/>
    <w:rsid w:val="0033642A"/>
    <w:rsid w:val="003365BD"/>
    <w:rsid w:val="00336625"/>
    <w:rsid w:val="003367A2"/>
    <w:rsid w:val="00336A48"/>
    <w:rsid w:val="00336AA1"/>
    <w:rsid w:val="00336BFD"/>
    <w:rsid w:val="00336CE4"/>
    <w:rsid w:val="003370E4"/>
    <w:rsid w:val="003374B1"/>
    <w:rsid w:val="003375BE"/>
    <w:rsid w:val="00337D57"/>
    <w:rsid w:val="00337FB6"/>
    <w:rsid w:val="003401C0"/>
    <w:rsid w:val="0034029D"/>
    <w:rsid w:val="003403B2"/>
    <w:rsid w:val="0034051A"/>
    <w:rsid w:val="0034082E"/>
    <w:rsid w:val="003408A0"/>
    <w:rsid w:val="0034121D"/>
    <w:rsid w:val="00341242"/>
    <w:rsid w:val="0034134E"/>
    <w:rsid w:val="00341518"/>
    <w:rsid w:val="00341B7F"/>
    <w:rsid w:val="00342117"/>
    <w:rsid w:val="00342456"/>
    <w:rsid w:val="0034309F"/>
    <w:rsid w:val="00343474"/>
    <w:rsid w:val="003437BD"/>
    <w:rsid w:val="00343BA6"/>
    <w:rsid w:val="00343D67"/>
    <w:rsid w:val="003443D8"/>
    <w:rsid w:val="00344572"/>
    <w:rsid w:val="00344D91"/>
    <w:rsid w:val="003453BE"/>
    <w:rsid w:val="0034558E"/>
    <w:rsid w:val="003456C6"/>
    <w:rsid w:val="00345838"/>
    <w:rsid w:val="00345982"/>
    <w:rsid w:val="00345992"/>
    <w:rsid w:val="00345F05"/>
    <w:rsid w:val="003469E6"/>
    <w:rsid w:val="00346B64"/>
    <w:rsid w:val="00346BBA"/>
    <w:rsid w:val="00347201"/>
    <w:rsid w:val="003477F6"/>
    <w:rsid w:val="003478CF"/>
    <w:rsid w:val="00347C2D"/>
    <w:rsid w:val="00347D70"/>
    <w:rsid w:val="0035011C"/>
    <w:rsid w:val="003502E4"/>
    <w:rsid w:val="00350A4C"/>
    <w:rsid w:val="00350C37"/>
    <w:rsid w:val="00350E98"/>
    <w:rsid w:val="00350FC8"/>
    <w:rsid w:val="00351078"/>
    <w:rsid w:val="00351176"/>
    <w:rsid w:val="003511CE"/>
    <w:rsid w:val="003515EB"/>
    <w:rsid w:val="003516FE"/>
    <w:rsid w:val="00351716"/>
    <w:rsid w:val="00351840"/>
    <w:rsid w:val="00351E09"/>
    <w:rsid w:val="00351E1E"/>
    <w:rsid w:val="003520AB"/>
    <w:rsid w:val="003520AD"/>
    <w:rsid w:val="003522C3"/>
    <w:rsid w:val="0035252B"/>
    <w:rsid w:val="0035260E"/>
    <w:rsid w:val="00352C2D"/>
    <w:rsid w:val="003539E4"/>
    <w:rsid w:val="003539E9"/>
    <w:rsid w:val="003539F7"/>
    <w:rsid w:val="00353AFE"/>
    <w:rsid w:val="00353B1D"/>
    <w:rsid w:val="00354CCF"/>
    <w:rsid w:val="00354E9E"/>
    <w:rsid w:val="00355152"/>
    <w:rsid w:val="00355523"/>
    <w:rsid w:val="003558E5"/>
    <w:rsid w:val="00355A74"/>
    <w:rsid w:val="00355BDF"/>
    <w:rsid w:val="00355D41"/>
    <w:rsid w:val="00356044"/>
    <w:rsid w:val="00356733"/>
    <w:rsid w:val="003569EE"/>
    <w:rsid w:val="00356A6A"/>
    <w:rsid w:val="00356AFB"/>
    <w:rsid w:val="00356FDF"/>
    <w:rsid w:val="003570EB"/>
    <w:rsid w:val="003571C1"/>
    <w:rsid w:val="00357451"/>
    <w:rsid w:val="00357A55"/>
    <w:rsid w:val="00357C1C"/>
    <w:rsid w:val="00357E33"/>
    <w:rsid w:val="00357E49"/>
    <w:rsid w:val="00357E56"/>
    <w:rsid w:val="00360141"/>
    <w:rsid w:val="0036023E"/>
    <w:rsid w:val="00360725"/>
    <w:rsid w:val="003608E7"/>
    <w:rsid w:val="00360AA1"/>
    <w:rsid w:val="00360B4F"/>
    <w:rsid w:val="00360D2A"/>
    <w:rsid w:val="00360DD1"/>
    <w:rsid w:val="00360DDB"/>
    <w:rsid w:val="00361275"/>
    <w:rsid w:val="0036133D"/>
    <w:rsid w:val="003616AD"/>
    <w:rsid w:val="00361A3D"/>
    <w:rsid w:val="00362045"/>
    <w:rsid w:val="00362344"/>
    <w:rsid w:val="0036241C"/>
    <w:rsid w:val="003625E9"/>
    <w:rsid w:val="003627E3"/>
    <w:rsid w:val="0036290E"/>
    <w:rsid w:val="00362ACF"/>
    <w:rsid w:val="00362C49"/>
    <w:rsid w:val="00362CBF"/>
    <w:rsid w:val="0036302A"/>
    <w:rsid w:val="00363035"/>
    <w:rsid w:val="00363C36"/>
    <w:rsid w:val="0036406C"/>
    <w:rsid w:val="0036411B"/>
    <w:rsid w:val="00364253"/>
    <w:rsid w:val="0036452F"/>
    <w:rsid w:val="003646B5"/>
    <w:rsid w:val="00364936"/>
    <w:rsid w:val="00364A0F"/>
    <w:rsid w:val="00364E6F"/>
    <w:rsid w:val="00364FFE"/>
    <w:rsid w:val="0036500A"/>
    <w:rsid w:val="0036549E"/>
    <w:rsid w:val="0036563A"/>
    <w:rsid w:val="00365939"/>
    <w:rsid w:val="00365BA5"/>
    <w:rsid w:val="00365CB7"/>
    <w:rsid w:val="00365CF2"/>
    <w:rsid w:val="003661F4"/>
    <w:rsid w:val="00366259"/>
    <w:rsid w:val="00366C77"/>
    <w:rsid w:val="00366CAA"/>
    <w:rsid w:val="00366CC3"/>
    <w:rsid w:val="00366E73"/>
    <w:rsid w:val="00367877"/>
    <w:rsid w:val="003679CA"/>
    <w:rsid w:val="00367A69"/>
    <w:rsid w:val="00367AC5"/>
    <w:rsid w:val="00367BA5"/>
    <w:rsid w:val="0037002F"/>
    <w:rsid w:val="0037004B"/>
    <w:rsid w:val="00370119"/>
    <w:rsid w:val="003701E9"/>
    <w:rsid w:val="003705C0"/>
    <w:rsid w:val="00370735"/>
    <w:rsid w:val="00370815"/>
    <w:rsid w:val="00370DF5"/>
    <w:rsid w:val="00370FB0"/>
    <w:rsid w:val="00370FD5"/>
    <w:rsid w:val="003711A8"/>
    <w:rsid w:val="0037143E"/>
    <w:rsid w:val="00371638"/>
    <w:rsid w:val="00371807"/>
    <w:rsid w:val="003718FC"/>
    <w:rsid w:val="0037196C"/>
    <w:rsid w:val="0037200A"/>
    <w:rsid w:val="0037207A"/>
    <w:rsid w:val="0037227A"/>
    <w:rsid w:val="00372288"/>
    <w:rsid w:val="00372659"/>
    <w:rsid w:val="00372A9B"/>
    <w:rsid w:val="00372AF0"/>
    <w:rsid w:val="00373276"/>
    <w:rsid w:val="0037350D"/>
    <w:rsid w:val="00373761"/>
    <w:rsid w:val="0037376B"/>
    <w:rsid w:val="0037390C"/>
    <w:rsid w:val="00373AE1"/>
    <w:rsid w:val="00373B04"/>
    <w:rsid w:val="00374012"/>
    <w:rsid w:val="00374308"/>
    <w:rsid w:val="00374484"/>
    <w:rsid w:val="00374532"/>
    <w:rsid w:val="0037462D"/>
    <w:rsid w:val="00374868"/>
    <w:rsid w:val="00374D7D"/>
    <w:rsid w:val="00375729"/>
    <w:rsid w:val="003759FF"/>
    <w:rsid w:val="00375B67"/>
    <w:rsid w:val="00375BCE"/>
    <w:rsid w:val="00375CE1"/>
    <w:rsid w:val="00375D24"/>
    <w:rsid w:val="00375DF4"/>
    <w:rsid w:val="003761DC"/>
    <w:rsid w:val="0037629E"/>
    <w:rsid w:val="003762E2"/>
    <w:rsid w:val="00376313"/>
    <w:rsid w:val="0037669C"/>
    <w:rsid w:val="003770D7"/>
    <w:rsid w:val="003770FB"/>
    <w:rsid w:val="0037718F"/>
    <w:rsid w:val="003771EF"/>
    <w:rsid w:val="003773FC"/>
    <w:rsid w:val="00377C54"/>
    <w:rsid w:val="00377E1D"/>
    <w:rsid w:val="00377EE5"/>
    <w:rsid w:val="00380229"/>
    <w:rsid w:val="00380488"/>
    <w:rsid w:val="003805F3"/>
    <w:rsid w:val="00380C9B"/>
    <w:rsid w:val="00380E09"/>
    <w:rsid w:val="00380EC7"/>
    <w:rsid w:val="00380F8A"/>
    <w:rsid w:val="00380FBB"/>
    <w:rsid w:val="00381408"/>
    <w:rsid w:val="00381BE4"/>
    <w:rsid w:val="00381D42"/>
    <w:rsid w:val="00382198"/>
    <w:rsid w:val="003824C6"/>
    <w:rsid w:val="00382527"/>
    <w:rsid w:val="0038266A"/>
    <w:rsid w:val="00383004"/>
    <w:rsid w:val="003830CE"/>
    <w:rsid w:val="003832D1"/>
    <w:rsid w:val="003834A2"/>
    <w:rsid w:val="003837F1"/>
    <w:rsid w:val="00383B26"/>
    <w:rsid w:val="00383F15"/>
    <w:rsid w:val="00384251"/>
    <w:rsid w:val="003842D9"/>
    <w:rsid w:val="0038430A"/>
    <w:rsid w:val="003845BA"/>
    <w:rsid w:val="003845EB"/>
    <w:rsid w:val="00384664"/>
    <w:rsid w:val="00384A12"/>
    <w:rsid w:val="00385119"/>
    <w:rsid w:val="00385256"/>
    <w:rsid w:val="003853BA"/>
    <w:rsid w:val="00385D22"/>
    <w:rsid w:val="00385E1C"/>
    <w:rsid w:val="00385E2D"/>
    <w:rsid w:val="00386197"/>
    <w:rsid w:val="003861ED"/>
    <w:rsid w:val="00386202"/>
    <w:rsid w:val="003864D7"/>
    <w:rsid w:val="0038651D"/>
    <w:rsid w:val="00386813"/>
    <w:rsid w:val="00386BD1"/>
    <w:rsid w:val="00386C99"/>
    <w:rsid w:val="00386FA6"/>
    <w:rsid w:val="003875AE"/>
    <w:rsid w:val="00387C30"/>
    <w:rsid w:val="00387CBC"/>
    <w:rsid w:val="00387F1C"/>
    <w:rsid w:val="0038DCB4"/>
    <w:rsid w:val="0039065E"/>
    <w:rsid w:val="003909B5"/>
    <w:rsid w:val="00390A0A"/>
    <w:rsid w:val="00390D7B"/>
    <w:rsid w:val="00390F9D"/>
    <w:rsid w:val="00391056"/>
    <w:rsid w:val="003915DD"/>
    <w:rsid w:val="00391A12"/>
    <w:rsid w:val="00391CA4"/>
    <w:rsid w:val="00391E57"/>
    <w:rsid w:val="00391F79"/>
    <w:rsid w:val="0039208E"/>
    <w:rsid w:val="003922D6"/>
    <w:rsid w:val="00392361"/>
    <w:rsid w:val="003924DD"/>
    <w:rsid w:val="0039262E"/>
    <w:rsid w:val="003926B3"/>
    <w:rsid w:val="00392800"/>
    <w:rsid w:val="00392823"/>
    <w:rsid w:val="003928F3"/>
    <w:rsid w:val="00392999"/>
    <w:rsid w:val="00392BA4"/>
    <w:rsid w:val="00393637"/>
    <w:rsid w:val="003937F3"/>
    <w:rsid w:val="0039389D"/>
    <w:rsid w:val="0039494F"/>
    <w:rsid w:val="0039495A"/>
    <w:rsid w:val="003949DE"/>
    <w:rsid w:val="00394B8B"/>
    <w:rsid w:val="00395205"/>
    <w:rsid w:val="003955D6"/>
    <w:rsid w:val="00395667"/>
    <w:rsid w:val="0039573F"/>
    <w:rsid w:val="003957B3"/>
    <w:rsid w:val="00395B15"/>
    <w:rsid w:val="00396282"/>
    <w:rsid w:val="003964DA"/>
    <w:rsid w:val="00396578"/>
    <w:rsid w:val="00396692"/>
    <w:rsid w:val="003966A6"/>
    <w:rsid w:val="003966D5"/>
    <w:rsid w:val="0039675C"/>
    <w:rsid w:val="00396827"/>
    <w:rsid w:val="00396CBD"/>
    <w:rsid w:val="00397376"/>
    <w:rsid w:val="00397682"/>
    <w:rsid w:val="003979D3"/>
    <w:rsid w:val="003A00D0"/>
    <w:rsid w:val="003A0310"/>
    <w:rsid w:val="003A08BD"/>
    <w:rsid w:val="003A0B4B"/>
    <w:rsid w:val="003A0ED5"/>
    <w:rsid w:val="003A115D"/>
    <w:rsid w:val="003A1337"/>
    <w:rsid w:val="003A15D6"/>
    <w:rsid w:val="003A15FF"/>
    <w:rsid w:val="003A160F"/>
    <w:rsid w:val="003A1A9B"/>
    <w:rsid w:val="003A1ABF"/>
    <w:rsid w:val="003A1B05"/>
    <w:rsid w:val="003A1BDE"/>
    <w:rsid w:val="003A2434"/>
    <w:rsid w:val="003A24F2"/>
    <w:rsid w:val="003A25C6"/>
    <w:rsid w:val="003A2751"/>
    <w:rsid w:val="003A2C94"/>
    <w:rsid w:val="003A2D97"/>
    <w:rsid w:val="003A2E6C"/>
    <w:rsid w:val="003A2FE2"/>
    <w:rsid w:val="003A30DA"/>
    <w:rsid w:val="003A3195"/>
    <w:rsid w:val="003A38E6"/>
    <w:rsid w:val="003A408E"/>
    <w:rsid w:val="003A44C6"/>
    <w:rsid w:val="003A457C"/>
    <w:rsid w:val="003A5145"/>
    <w:rsid w:val="003A5358"/>
    <w:rsid w:val="003A5B74"/>
    <w:rsid w:val="003A5DFF"/>
    <w:rsid w:val="003A6259"/>
    <w:rsid w:val="003A69B6"/>
    <w:rsid w:val="003A6BD8"/>
    <w:rsid w:val="003A6C59"/>
    <w:rsid w:val="003A6D6F"/>
    <w:rsid w:val="003A6F5B"/>
    <w:rsid w:val="003A719A"/>
    <w:rsid w:val="003A74A7"/>
    <w:rsid w:val="003A7876"/>
    <w:rsid w:val="003A7A63"/>
    <w:rsid w:val="003A7CDA"/>
    <w:rsid w:val="003A7D7F"/>
    <w:rsid w:val="003B029A"/>
    <w:rsid w:val="003B06DD"/>
    <w:rsid w:val="003B09C4"/>
    <w:rsid w:val="003B1180"/>
    <w:rsid w:val="003B14FB"/>
    <w:rsid w:val="003B1C00"/>
    <w:rsid w:val="003B22A1"/>
    <w:rsid w:val="003B2445"/>
    <w:rsid w:val="003B275C"/>
    <w:rsid w:val="003B2B36"/>
    <w:rsid w:val="003B2B43"/>
    <w:rsid w:val="003B2BCE"/>
    <w:rsid w:val="003B2C6D"/>
    <w:rsid w:val="003B2CB0"/>
    <w:rsid w:val="003B3036"/>
    <w:rsid w:val="003B3B03"/>
    <w:rsid w:val="003B3B37"/>
    <w:rsid w:val="003B3DE6"/>
    <w:rsid w:val="003B3EBB"/>
    <w:rsid w:val="003B456E"/>
    <w:rsid w:val="003B4609"/>
    <w:rsid w:val="003B4701"/>
    <w:rsid w:val="003B4993"/>
    <w:rsid w:val="003B4F8E"/>
    <w:rsid w:val="003B5168"/>
    <w:rsid w:val="003B5C7F"/>
    <w:rsid w:val="003B5CC3"/>
    <w:rsid w:val="003B5F9B"/>
    <w:rsid w:val="003B5FE4"/>
    <w:rsid w:val="003B61DB"/>
    <w:rsid w:val="003B6291"/>
    <w:rsid w:val="003B62A0"/>
    <w:rsid w:val="003B6786"/>
    <w:rsid w:val="003B6824"/>
    <w:rsid w:val="003B6990"/>
    <w:rsid w:val="003B6A5F"/>
    <w:rsid w:val="003B70D8"/>
    <w:rsid w:val="003B7113"/>
    <w:rsid w:val="003B731D"/>
    <w:rsid w:val="003B7566"/>
    <w:rsid w:val="003B7870"/>
    <w:rsid w:val="003B7E9A"/>
    <w:rsid w:val="003B7F05"/>
    <w:rsid w:val="003C04C4"/>
    <w:rsid w:val="003C077E"/>
    <w:rsid w:val="003C0C92"/>
    <w:rsid w:val="003C114A"/>
    <w:rsid w:val="003C122A"/>
    <w:rsid w:val="003C196E"/>
    <w:rsid w:val="003C1970"/>
    <w:rsid w:val="003C201A"/>
    <w:rsid w:val="003C259E"/>
    <w:rsid w:val="003C2649"/>
    <w:rsid w:val="003C2E67"/>
    <w:rsid w:val="003C3A1E"/>
    <w:rsid w:val="003C3D65"/>
    <w:rsid w:val="003C410A"/>
    <w:rsid w:val="003C41E3"/>
    <w:rsid w:val="003C425B"/>
    <w:rsid w:val="003C4508"/>
    <w:rsid w:val="003C4583"/>
    <w:rsid w:val="003C48FE"/>
    <w:rsid w:val="003C4AAF"/>
    <w:rsid w:val="003C4B16"/>
    <w:rsid w:val="003C4BCC"/>
    <w:rsid w:val="003C4BDB"/>
    <w:rsid w:val="003C4F13"/>
    <w:rsid w:val="003C505B"/>
    <w:rsid w:val="003C53EA"/>
    <w:rsid w:val="003C54ED"/>
    <w:rsid w:val="003C5676"/>
    <w:rsid w:val="003C5699"/>
    <w:rsid w:val="003C59D1"/>
    <w:rsid w:val="003C5CAB"/>
    <w:rsid w:val="003C61CC"/>
    <w:rsid w:val="003C64DC"/>
    <w:rsid w:val="003C65A4"/>
    <w:rsid w:val="003C6A31"/>
    <w:rsid w:val="003C6F0F"/>
    <w:rsid w:val="003C71CF"/>
    <w:rsid w:val="003C7427"/>
    <w:rsid w:val="003C789D"/>
    <w:rsid w:val="003CCA2A"/>
    <w:rsid w:val="003D0176"/>
    <w:rsid w:val="003D03A2"/>
    <w:rsid w:val="003D0446"/>
    <w:rsid w:val="003D05FA"/>
    <w:rsid w:val="003D0A48"/>
    <w:rsid w:val="003D0BB4"/>
    <w:rsid w:val="003D16BE"/>
    <w:rsid w:val="003D179B"/>
    <w:rsid w:val="003D1AC5"/>
    <w:rsid w:val="003D1EA0"/>
    <w:rsid w:val="003D20FA"/>
    <w:rsid w:val="003D2695"/>
    <w:rsid w:val="003D2A7D"/>
    <w:rsid w:val="003D2D7C"/>
    <w:rsid w:val="003D2E22"/>
    <w:rsid w:val="003D373E"/>
    <w:rsid w:val="003D39B2"/>
    <w:rsid w:val="003D414B"/>
    <w:rsid w:val="003D45B7"/>
    <w:rsid w:val="003D46F4"/>
    <w:rsid w:val="003D495D"/>
    <w:rsid w:val="003D4A56"/>
    <w:rsid w:val="003D4ADD"/>
    <w:rsid w:val="003D4B5D"/>
    <w:rsid w:val="003D4CE8"/>
    <w:rsid w:val="003D4DE7"/>
    <w:rsid w:val="003D5257"/>
    <w:rsid w:val="003D5827"/>
    <w:rsid w:val="003D5958"/>
    <w:rsid w:val="003D6444"/>
    <w:rsid w:val="003D6552"/>
    <w:rsid w:val="003D66EE"/>
    <w:rsid w:val="003D69F9"/>
    <w:rsid w:val="003D6E8B"/>
    <w:rsid w:val="003D714C"/>
    <w:rsid w:val="003D737F"/>
    <w:rsid w:val="003D74C7"/>
    <w:rsid w:val="003D75A1"/>
    <w:rsid w:val="003D7B2C"/>
    <w:rsid w:val="003DA135"/>
    <w:rsid w:val="003E0011"/>
    <w:rsid w:val="003E006A"/>
    <w:rsid w:val="003E031C"/>
    <w:rsid w:val="003E042E"/>
    <w:rsid w:val="003E061C"/>
    <w:rsid w:val="003E09CC"/>
    <w:rsid w:val="003E0A52"/>
    <w:rsid w:val="003E0C30"/>
    <w:rsid w:val="003E0E45"/>
    <w:rsid w:val="003E14CC"/>
    <w:rsid w:val="003E16D5"/>
    <w:rsid w:val="003E17AF"/>
    <w:rsid w:val="003E1917"/>
    <w:rsid w:val="003E1955"/>
    <w:rsid w:val="003E1F57"/>
    <w:rsid w:val="003E259A"/>
    <w:rsid w:val="003E27C8"/>
    <w:rsid w:val="003E2E21"/>
    <w:rsid w:val="003E30F8"/>
    <w:rsid w:val="003E320E"/>
    <w:rsid w:val="003E336B"/>
    <w:rsid w:val="003E3460"/>
    <w:rsid w:val="003E34ED"/>
    <w:rsid w:val="003E3D12"/>
    <w:rsid w:val="003E3DD9"/>
    <w:rsid w:val="003E4817"/>
    <w:rsid w:val="003E4905"/>
    <w:rsid w:val="003E4BA9"/>
    <w:rsid w:val="003E5211"/>
    <w:rsid w:val="003E58F5"/>
    <w:rsid w:val="003E5F8A"/>
    <w:rsid w:val="003E65EE"/>
    <w:rsid w:val="003E6FD8"/>
    <w:rsid w:val="003E71B3"/>
    <w:rsid w:val="003E71C1"/>
    <w:rsid w:val="003E7443"/>
    <w:rsid w:val="003E7677"/>
    <w:rsid w:val="003E77A3"/>
    <w:rsid w:val="003E7C12"/>
    <w:rsid w:val="003E7D1A"/>
    <w:rsid w:val="003F014D"/>
    <w:rsid w:val="003F0623"/>
    <w:rsid w:val="003F06D9"/>
    <w:rsid w:val="003F0E35"/>
    <w:rsid w:val="003F1262"/>
    <w:rsid w:val="003F18E1"/>
    <w:rsid w:val="003F1CB2"/>
    <w:rsid w:val="003F1DC6"/>
    <w:rsid w:val="003F20DD"/>
    <w:rsid w:val="003F2228"/>
    <w:rsid w:val="003F24F8"/>
    <w:rsid w:val="003F2ADC"/>
    <w:rsid w:val="003F2E05"/>
    <w:rsid w:val="003F2E3E"/>
    <w:rsid w:val="003F2F52"/>
    <w:rsid w:val="003F2F6C"/>
    <w:rsid w:val="003F310D"/>
    <w:rsid w:val="003F31D2"/>
    <w:rsid w:val="003F33E9"/>
    <w:rsid w:val="003F3716"/>
    <w:rsid w:val="003F3981"/>
    <w:rsid w:val="003F3DC0"/>
    <w:rsid w:val="003F3E90"/>
    <w:rsid w:val="003F4305"/>
    <w:rsid w:val="003F4845"/>
    <w:rsid w:val="003F49A6"/>
    <w:rsid w:val="003F4A35"/>
    <w:rsid w:val="003F4A3D"/>
    <w:rsid w:val="003F4DBE"/>
    <w:rsid w:val="003F4F2A"/>
    <w:rsid w:val="003F4F2C"/>
    <w:rsid w:val="003F5167"/>
    <w:rsid w:val="003F51C7"/>
    <w:rsid w:val="003F5260"/>
    <w:rsid w:val="003F54EC"/>
    <w:rsid w:val="003F557E"/>
    <w:rsid w:val="003F55C1"/>
    <w:rsid w:val="003F56B1"/>
    <w:rsid w:val="003F5ABF"/>
    <w:rsid w:val="003F61B3"/>
    <w:rsid w:val="003F6239"/>
    <w:rsid w:val="003F647F"/>
    <w:rsid w:val="003F68F1"/>
    <w:rsid w:val="003F6981"/>
    <w:rsid w:val="003F6C0C"/>
    <w:rsid w:val="003F6E28"/>
    <w:rsid w:val="003F6F0F"/>
    <w:rsid w:val="003F6F3F"/>
    <w:rsid w:val="003F730C"/>
    <w:rsid w:val="003F7380"/>
    <w:rsid w:val="003F758A"/>
    <w:rsid w:val="003F76E2"/>
    <w:rsid w:val="003F7CC5"/>
    <w:rsid w:val="003F7FDF"/>
    <w:rsid w:val="004001AF"/>
    <w:rsid w:val="0040064D"/>
    <w:rsid w:val="0040068C"/>
    <w:rsid w:val="004008C8"/>
    <w:rsid w:val="00400A0C"/>
    <w:rsid w:val="00400AA4"/>
    <w:rsid w:val="00400BBD"/>
    <w:rsid w:val="00400C90"/>
    <w:rsid w:val="00400CC6"/>
    <w:rsid w:val="00400D68"/>
    <w:rsid w:val="00400E99"/>
    <w:rsid w:val="00400EC6"/>
    <w:rsid w:val="00401117"/>
    <w:rsid w:val="00401646"/>
    <w:rsid w:val="004017AE"/>
    <w:rsid w:val="00401A63"/>
    <w:rsid w:val="00401B94"/>
    <w:rsid w:val="00401B97"/>
    <w:rsid w:val="00401FE7"/>
    <w:rsid w:val="0040231B"/>
    <w:rsid w:val="00402AB9"/>
    <w:rsid w:val="00402C06"/>
    <w:rsid w:val="00402C95"/>
    <w:rsid w:val="00402FA0"/>
    <w:rsid w:val="004036F1"/>
    <w:rsid w:val="00403940"/>
    <w:rsid w:val="00403D61"/>
    <w:rsid w:val="00405215"/>
    <w:rsid w:val="004055FD"/>
    <w:rsid w:val="0040576E"/>
    <w:rsid w:val="00405A6D"/>
    <w:rsid w:val="00405ABE"/>
    <w:rsid w:val="00405BD9"/>
    <w:rsid w:val="00405D15"/>
    <w:rsid w:val="004067AD"/>
    <w:rsid w:val="00406BBF"/>
    <w:rsid w:val="00406D2B"/>
    <w:rsid w:val="00406E75"/>
    <w:rsid w:val="0040703C"/>
    <w:rsid w:val="00407395"/>
    <w:rsid w:val="00407478"/>
    <w:rsid w:val="00407ED9"/>
    <w:rsid w:val="00407EE0"/>
    <w:rsid w:val="004102B2"/>
    <w:rsid w:val="0041050E"/>
    <w:rsid w:val="00410598"/>
    <w:rsid w:val="0041085B"/>
    <w:rsid w:val="004108DB"/>
    <w:rsid w:val="00410CBC"/>
    <w:rsid w:val="00411CBC"/>
    <w:rsid w:val="00411CDC"/>
    <w:rsid w:val="00411F82"/>
    <w:rsid w:val="004127D6"/>
    <w:rsid w:val="00412895"/>
    <w:rsid w:val="00412CC5"/>
    <w:rsid w:val="00412D22"/>
    <w:rsid w:val="00412E87"/>
    <w:rsid w:val="00412EBA"/>
    <w:rsid w:val="00412F5E"/>
    <w:rsid w:val="00412F6B"/>
    <w:rsid w:val="00413258"/>
    <w:rsid w:val="004136C8"/>
    <w:rsid w:val="0041377A"/>
    <w:rsid w:val="00413849"/>
    <w:rsid w:val="00413D55"/>
    <w:rsid w:val="00413E4C"/>
    <w:rsid w:val="00414010"/>
    <w:rsid w:val="00414020"/>
    <w:rsid w:val="004145B8"/>
    <w:rsid w:val="0041462D"/>
    <w:rsid w:val="00414806"/>
    <w:rsid w:val="00414B94"/>
    <w:rsid w:val="004154B4"/>
    <w:rsid w:val="0041552D"/>
    <w:rsid w:val="00415D3F"/>
    <w:rsid w:val="00415F80"/>
    <w:rsid w:val="00416076"/>
    <w:rsid w:val="0041637E"/>
    <w:rsid w:val="0041642B"/>
    <w:rsid w:val="004166C1"/>
    <w:rsid w:val="00416819"/>
    <w:rsid w:val="004168A7"/>
    <w:rsid w:val="00416B7A"/>
    <w:rsid w:val="00416DAB"/>
    <w:rsid w:val="00416F35"/>
    <w:rsid w:val="004171A0"/>
    <w:rsid w:val="0041787C"/>
    <w:rsid w:val="00417B8E"/>
    <w:rsid w:val="0042015A"/>
    <w:rsid w:val="004208D2"/>
    <w:rsid w:val="00420AEC"/>
    <w:rsid w:val="00420C35"/>
    <w:rsid w:val="00420D8D"/>
    <w:rsid w:val="00420F43"/>
    <w:rsid w:val="0042139B"/>
    <w:rsid w:val="00421A2D"/>
    <w:rsid w:val="00421B99"/>
    <w:rsid w:val="00421BCB"/>
    <w:rsid w:val="00421D42"/>
    <w:rsid w:val="00421F01"/>
    <w:rsid w:val="00422375"/>
    <w:rsid w:val="00422A0B"/>
    <w:rsid w:val="00422CEA"/>
    <w:rsid w:val="00423B60"/>
    <w:rsid w:val="00423FAA"/>
    <w:rsid w:val="00423FE0"/>
    <w:rsid w:val="00423FE9"/>
    <w:rsid w:val="004243A9"/>
    <w:rsid w:val="00424471"/>
    <w:rsid w:val="00424B78"/>
    <w:rsid w:val="00424DDE"/>
    <w:rsid w:val="00424E64"/>
    <w:rsid w:val="0042501E"/>
    <w:rsid w:val="00425336"/>
    <w:rsid w:val="00425487"/>
    <w:rsid w:val="004258D6"/>
    <w:rsid w:val="00425E3B"/>
    <w:rsid w:val="00425F34"/>
    <w:rsid w:val="004261DE"/>
    <w:rsid w:val="0042621F"/>
    <w:rsid w:val="0042651E"/>
    <w:rsid w:val="00426708"/>
    <w:rsid w:val="00426CAE"/>
    <w:rsid w:val="00426F90"/>
    <w:rsid w:val="00426FCC"/>
    <w:rsid w:val="004274B8"/>
    <w:rsid w:val="0042752E"/>
    <w:rsid w:val="00427D16"/>
    <w:rsid w:val="00427D52"/>
    <w:rsid w:val="00427D7A"/>
    <w:rsid w:val="0043030C"/>
    <w:rsid w:val="004303F7"/>
    <w:rsid w:val="00430CBA"/>
    <w:rsid w:val="00430EE1"/>
    <w:rsid w:val="00431163"/>
    <w:rsid w:val="004316B8"/>
    <w:rsid w:val="0043195D"/>
    <w:rsid w:val="00431A24"/>
    <w:rsid w:val="00431B94"/>
    <w:rsid w:val="00431E00"/>
    <w:rsid w:val="00432275"/>
    <w:rsid w:val="00432628"/>
    <w:rsid w:val="004327B8"/>
    <w:rsid w:val="00433025"/>
    <w:rsid w:val="00433059"/>
    <w:rsid w:val="00433346"/>
    <w:rsid w:val="00433422"/>
    <w:rsid w:val="004335E8"/>
    <w:rsid w:val="004337CF"/>
    <w:rsid w:val="004337DA"/>
    <w:rsid w:val="004338B2"/>
    <w:rsid w:val="00433966"/>
    <w:rsid w:val="00433E3E"/>
    <w:rsid w:val="00433E90"/>
    <w:rsid w:val="00433F13"/>
    <w:rsid w:val="00433F4A"/>
    <w:rsid w:val="0043407B"/>
    <w:rsid w:val="00434099"/>
    <w:rsid w:val="004342E1"/>
    <w:rsid w:val="004347A2"/>
    <w:rsid w:val="00434831"/>
    <w:rsid w:val="00434919"/>
    <w:rsid w:val="00434AF0"/>
    <w:rsid w:val="00434E3A"/>
    <w:rsid w:val="00434EA2"/>
    <w:rsid w:val="00435202"/>
    <w:rsid w:val="00435255"/>
    <w:rsid w:val="004359B3"/>
    <w:rsid w:val="00435E9E"/>
    <w:rsid w:val="00436274"/>
    <w:rsid w:val="0043645C"/>
    <w:rsid w:val="00436460"/>
    <w:rsid w:val="004366D7"/>
    <w:rsid w:val="004366F1"/>
    <w:rsid w:val="00436A3E"/>
    <w:rsid w:val="00436AEA"/>
    <w:rsid w:val="00436B30"/>
    <w:rsid w:val="00436F03"/>
    <w:rsid w:val="00437080"/>
    <w:rsid w:val="00437A19"/>
    <w:rsid w:val="00437A8F"/>
    <w:rsid w:val="00440561"/>
    <w:rsid w:val="004405DB"/>
    <w:rsid w:val="0044066C"/>
    <w:rsid w:val="00440D78"/>
    <w:rsid w:val="004411A0"/>
    <w:rsid w:val="00441257"/>
    <w:rsid w:val="004419A6"/>
    <w:rsid w:val="00441A2A"/>
    <w:rsid w:val="00441A67"/>
    <w:rsid w:val="00441C22"/>
    <w:rsid w:val="00441C5C"/>
    <w:rsid w:val="00441F92"/>
    <w:rsid w:val="004420F6"/>
    <w:rsid w:val="0044268B"/>
    <w:rsid w:val="004426B2"/>
    <w:rsid w:val="00443010"/>
    <w:rsid w:val="004430ED"/>
    <w:rsid w:val="00443319"/>
    <w:rsid w:val="0044359A"/>
    <w:rsid w:val="004435D0"/>
    <w:rsid w:val="004435F5"/>
    <w:rsid w:val="00443649"/>
    <w:rsid w:val="004437F4"/>
    <w:rsid w:val="004439E6"/>
    <w:rsid w:val="00444228"/>
    <w:rsid w:val="00444758"/>
    <w:rsid w:val="004449DA"/>
    <w:rsid w:val="00444B6F"/>
    <w:rsid w:val="00444D92"/>
    <w:rsid w:val="00444F65"/>
    <w:rsid w:val="00445083"/>
    <w:rsid w:val="004451CB"/>
    <w:rsid w:val="004453E8"/>
    <w:rsid w:val="00445429"/>
    <w:rsid w:val="004454F0"/>
    <w:rsid w:val="00445805"/>
    <w:rsid w:val="00445C0C"/>
    <w:rsid w:val="004460BA"/>
    <w:rsid w:val="004462F0"/>
    <w:rsid w:val="0044668A"/>
    <w:rsid w:val="00446720"/>
    <w:rsid w:val="00446F28"/>
    <w:rsid w:val="00447221"/>
    <w:rsid w:val="0044726E"/>
    <w:rsid w:val="004474AA"/>
    <w:rsid w:val="004476C6"/>
    <w:rsid w:val="00447816"/>
    <w:rsid w:val="004479B7"/>
    <w:rsid w:val="00447F93"/>
    <w:rsid w:val="00450195"/>
    <w:rsid w:val="004501F7"/>
    <w:rsid w:val="00450255"/>
    <w:rsid w:val="00450531"/>
    <w:rsid w:val="004505D9"/>
    <w:rsid w:val="004506B4"/>
    <w:rsid w:val="00450F7A"/>
    <w:rsid w:val="00450F7C"/>
    <w:rsid w:val="004511FC"/>
    <w:rsid w:val="0045130C"/>
    <w:rsid w:val="0045185F"/>
    <w:rsid w:val="00451A1C"/>
    <w:rsid w:val="00451AC4"/>
    <w:rsid w:val="00451B58"/>
    <w:rsid w:val="00451D27"/>
    <w:rsid w:val="00451D83"/>
    <w:rsid w:val="0045218A"/>
    <w:rsid w:val="004524AD"/>
    <w:rsid w:val="00452884"/>
    <w:rsid w:val="004530D9"/>
    <w:rsid w:val="00453578"/>
    <w:rsid w:val="004535EE"/>
    <w:rsid w:val="00453BF8"/>
    <w:rsid w:val="00453D9D"/>
    <w:rsid w:val="00454A58"/>
    <w:rsid w:val="00454C66"/>
    <w:rsid w:val="00454FFC"/>
    <w:rsid w:val="0045518C"/>
    <w:rsid w:val="00455214"/>
    <w:rsid w:val="004552C2"/>
    <w:rsid w:val="00455BA6"/>
    <w:rsid w:val="00456136"/>
    <w:rsid w:val="004567FC"/>
    <w:rsid w:val="004568F1"/>
    <w:rsid w:val="0045693A"/>
    <w:rsid w:val="0045699C"/>
    <w:rsid w:val="00456D5A"/>
    <w:rsid w:val="00456D6A"/>
    <w:rsid w:val="00456D74"/>
    <w:rsid w:val="00456DDD"/>
    <w:rsid w:val="00456ECB"/>
    <w:rsid w:val="00456EDB"/>
    <w:rsid w:val="00456F65"/>
    <w:rsid w:val="0045770D"/>
    <w:rsid w:val="00457782"/>
    <w:rsid w:val="0045786A"/>
    <w:rsid w:val="004579EC"/>
    <w:rsid w:val="004579FA"/>
    <w:rsid w:val="00457C2B"/>
    <w:rsid w:val="00457E41"/>
    <w:rsid w:val="00460593"/>
    <w:rsid w:val="004606B3"/>
    <w:rsid w:val="00460989"/>
    <w:rsid w:val="00460C14"/>
    <w:rsid w:val="00460C4B"/>
    <w:rsid w:val="0046133D"/>
    <w:rsid w:val="00461DAB"/>
    <w:rsid w:val="00462151"/>
    <w:rsid w:val="00462273"/>
    <w:rsid w:val="004623A7"/>
    <w:rsid w:val="00462E6F"/>
    <w:rsid w:val="0046306A"/>
    <w:rsid w:val="004631F4"/>
    <w:rsid w:val="004635B9"/>
    <w:rsid w:val="00463830"/>
    <w:rsid w:val="00463EE7"/>
    <w:rsid w:val="004640FE"/>
    <w:rsid w:val="004641B5"/>
    <w:rsid w:val="00464328"/>
    <w:rsid w:val="004643D9"/>
    <w:rsid w:val="00464542"/>
    <w:rsid w:val="00464573"/>
    <w:rsid w:val="00464896"/>
    <w:rsid w:val="004648E2"/>
    <w:rsid w:val="00464A5C"/>
    <w:rsid w:val="00464AF1"/>
    <w:rsid w:val="00464B2D"/>
    <w:rsid w:val="00464D87"/>
    <w:rsid w:val="0046551A"/>
    <w:rsid w:val="004655F0"/>
    <w:rsid w:val="00465D39"/>
    <w:rsid w:val="00465D6E"/>
    <w:rsid w:val="00465DD0"/>
    <w:rsid w:val="00465E99"/>
    <w:rsid w:val="004663B1"/>
    <w:rsid w:val="00466420"/>
    <w:rsid w:val="00466676"/>
    <w:rsid w:val="0046678D"/>
    <w:rsid w:val="004667AE"/>
    <w:rsid w:val="0046681A"/>
    <w:rsid w:val="00466892"/>
    <w:rsid w:val="00466C5E"/>
    <w:rsid w:val="00466E71"/>
    <w:rsid w:val="00467407"/>
    <w:rsid w:val="00467810"/>
    <w:rsid w:val="00467C2E"/>
    <w:rsid w:val="00467D4F"/>
    <w:rsid w:val="00467D59"/>
    <w:rsid w:val="00467E6F"/>
    <w:rsid w:val="004690A3"/>
    <w:rsid w:val="00470B2A"/>
    <w:rsid w:val="00470F6A"/>
    <w:rsid w:val="00471085"/>
    <w:rsid w:val="00471088"/>
    <w:rsid w:val="004713FE"/>
    <w:rsid w:val="004715D6"/>
    <w:rsid w:val="0047162A"/>
    <w:rsid w:val="004718F5"/>
    <w:rsid w:val="00471966"/>
    <w:rsid w:val="00471A6E"/>
    <w:rsid w:val="00471B93"/>
    <w:rsid w:val="00471D50"/>
    <w:rsid w:val="00471D9A"/>
    <w:rsid w:val="00472010"/>
    <w:rsid w:val="00472014"/>
    <w:rsid w:val="00472229"/>
    <w:rsid w:val="004724E1"/>
    <w:rsid w:val="00472718"/>
    <w:rsid w:val="004729B5"/>
    <w:rsid w:val="00472C9B"/>
    <w:rsid w:val="00472F8B"/>
    <w:rsid w:val="004730A4"/>
    <w:rsid w:val="00473300"/>
    <w:rsid w:val="00473541"/>
    <w:rsid w:val="004735F3"/>
    <w:rsid w:val="00473622"/>
    <w:rsid w:val="00473A5E"/>
    <w:rsid w:val="00473A9B"/>
    <w:rsid w:val="00473DA9"/>
    <w:rsid w:val="00474484"/>
    <w:rsid w:val="0047469C"/>
    <w:rsid w:val="00474DA3"/>
    <w:rsid w:val="004750DA"/>
    <w:rsid w:val="00475531"/>
    <w:rsid w:val="00475691"/>
    <w:rsid w:val="004756AC"/>
    <w:rsid w:val="004756E2"/>
    <w:rsid w:val="004758A9"/>
    <w:rsid w:val="00476224"/>
    <w:rsid w:val="00476273"/>
    <w:rsid w:val="00476488"/>
    <w:rsid w:val="00476E53"/>
    <w:rsid w:val="0047714D"/>
    <w:rsid w:val="00477399"/>
    <w:rsid w:val="00477E8D"/>
    <w:rsid w:val="00477F43"/>
    <w:rsid w:val="00477FEB"/>
    <w:rsid w:val="0048005C"/>
    <w:rsid w:val="004800BB"/>
    <w:rsid w:val="0048020B"/>
    <w:rsid w:val="00480415"/>
    <w:rsid w:val="004804DF"/>
    <w:rsid w:val="0048137E"/>
    <w:rsid w:val="004817F4"/>
    <w:rsid w:val="0048223B"/>
    <w:rsid w:val="0048223E"/>
    <w:rsid w:val="004822E6"/>
    <w:rsid w:val="0048306D"/>
    <w:rsid w:val="00483243"/>
    <w:rsid w:val="00483297"/>
    <w:rsid w:val="004832A7"/>
    <w:rsid w:val="00483605"/>
    <w:rsid w:val="0048370D"/>
    <w:rsid w:val="00483804"/>
    <w:rsid w:val="004839F9"/>
    <w:rsid w:val="00483BFF"/>
    <w:rsid w:val="0048411E"/>
    <w:rsid w:val="0048471A"/>
    <w:rsid w:val="0048475B"/>
    <w:rsid w:val="00484775"/>
    <w:rsid w:val="00484D48"/>
    <w:rsid w:val="004850CF"/>
    <w:rsid w:val="0048531B"/>
    <w:rsid w:val="004856A4"/>
    <w:rsid w:val="00485A91"/>
    <w:rsid w:val="00485B55"/>
    <w:rsid w:val="00485F37"/>
    <w:rsid w:val="0048601F"/>
    <w:rsid w:val="004864DA"/>
    <w:rsid w:val="004864DF"/>
    <w:rsid w:val="004864FA"/>
    <w:rsid w:val="004865D2"/>
    <w:rsid w:val="004867BD"/>
    <w:rsid w:val="004868EC"/>
    <w:rsid w:val="00486A83"/>
    <w:rsid w:val="00486CD7"/>
    <w:rsid w:val="0048724B"/>
    <w:rsid w:val="004872BC"/>
    <w:rsid w:val="00487369"/>
    <w:rsid w:val="00487470"/>
    <w:rsid w:val="004874A4"/>
    <w:rsid w:val="004874D9"/>
    <w:rsid w:val="004876AD"/>
    <w:rsid w:val="00487832"/>
    <w:rsid w:val="00487E2C"/>
    <w:rsid w:val="00487E97"/>
    <w:rsid w:val="00487F9C"/>
    <w:rsid w:val="0048D72F"/>
    <w:rsid w:val="00490027"/>
    <w:rsid w:val="00490074"/>
    <w:rsid w:val="00490146"/>
    <w:rsid w:val="004904AF"/>
    <w:rsid w:val="004905BF"/>
    <w:rsid w:val="00490601"/>
    <w:rsid w:val="004914D0"/>
    <w:rsid w:val="004914E5"/>
    <w:rsid w:val="00491977"/>
    <w:rsid w:val="00491D41"/>
    <w:rsid w:val="00491F52"/>
    <w:rsid w:val="004920E4"/>
    <w:rsid w:val="004921BD"/>
    <w:rsid w:val="00492369"/>
    <w:rsid w:val="004923C6"/>
    <w:rsid w:val="0049281D"/>
    <w:rsid w:val="00492E6B"/>
    <w:rsid w:val="00492FAB"/>
    <w:rsid w:val="004931D8"/>
    <w:rsid w:val="00493805"/>
    <w:rsid w:val="00493A87"/>
    <w:rsid w:val="00493AF2"/>
    <w:rsid w:val="00493BD7"/>
    <w:rsid w:val="00493D1A"/>
    <w:rsid w:val="00493DCE"/>
    <w:rsid w:val="00493E41"/>
    <w:rsid w:val="00494276"/>
    <w:rsid w:val="0049432B"/>
    <w:rsid w:val="00494355"/>
    <w:rsid w:val="00494746"/>
    <w:rsid w:val="00494881"/>
    <w:rsid w:val="00494945"/>
    <w:rsid w:val="00494B45"/>
    <w:rsid w:val="00494EB7"/>
    <w:rsid w:val="00494F1B"/>
    <w:rsid w:val="00495417"/>
    <w:rsid w:val="0049584E"/>
    <w:rsid w:val="00495AFC"/>
    <w:rsid w:val="00495E07"/>
    <w:rsid w:val="00495FD7"/>
    <w:rsid w:val="00495FFB"/>
    <w:rsid w:val="004967CA"/>
    <w:rsid w:val="00496C00"/>
    <w:rsid w:val="00496DF2"/>
    <w:rsid w:val="00496F8D"/>
    <w:rsid w:val="004970E2"/>
    <w:rsid w:val="00497370"/>
    <w:rsid w:val="004973F0"/>
    <w:rsid w:val="004975B1"/>
    <w:rsid w:val="00497F70"/>
    <w:rsid w:val="004A0037"/>
    <w:rsid w:val="004A02B3"/>
    <w:rsid w:val="004A03E5"/>
    <w:rsid w:val="004A05F8"/>
    <w:rsid w:val="004A067D"/>
    <w:rsid w:val="004A07D7"/>
    <w:rsid w:val="004A080E"/>
    <w:rsid w:val="004A08ED"/>
    <w:rsid w:val="004A091D"/>
    <w:rsid w:val="004A09B6"/>
    <w:rsid w:val="004A0E0F"/>
    <w:rsid w:val="004A0F2F"/>
    <w:rsid w:val="004A112E"/>
    <w:rsid w:val="004A12F0"/>
    <w:rsid w:val="004A156E"/>
    <w:rsid w:val="004A1CAD"/>
    <w:rsid w:val="004A1E42"/>
    <w:rsid w:val="004A20C6"/>
    <w:rsid w:val="004A2144"/>
    <w:rsid w:val="004A2187"/>
    <w:rsid w:val="004A24CA"/>
    <w:rsid w:val="004A2608"/>
    <w:rsid w:val="004A26E4"/>
    <w:rsid w:val="004A26FD"/>
    <w:rsid w:val="004A2FFF"/>
    <w:rsid w:val="004A3A22"/>
    <w:rsid w:val="004A3CE9"/>
    <w:rsid w:val="004A3D01"/>
    <w:rsid w:val="004A3F36"/>
    <w:rsid w:val="004A40F3"/>
    <w:rsid w:val="004A44C9"/>
    <w:rsid w:val="004A4659"/>
    <w:rsid w:val="004A46A3"/>
    <w:rsid w:val="004A475C"/>
    <w:rsid w:val="004A503D"/>
    <w:rsid w:val="004A5047"/>
    <w:rsid w:val="004A516D"/>
    <w:rsid w:val="004A531E"/>
    <w:rsid w:val="004A5804"/>
    <w:rsid w:val="004A60EA"/>
    <w:rsid w:val="004A67A4"/>
    <w:rsid w:val="004A6AB8"/>
    <w:rsid w:val="004A6C3F"/>
    <w:rsid w:val="004A6FB9"/>
    <w:rsid w:val="004A70B0"/>
    <w:rsid w:val="004A732D"/>
    <w:rsid w:val="004A74CF"/>
    <w:rsid w:val="004A7846"/>
    <w:rsid w:val="004A7C4C"/>
    <w:rsid w:val="004B0781"/>
    <w:rsid w:val="004B07FA"/>
    <w:rsid w:val="004B0B97"/>
    <w:rsid w:val="004B0BA5"/>
    <w:rsid w:val="004B0F1C"/>
    <w:rsid w:val="004B141F"/>
    <w:rsid w:val="004B17F1"/>
    <w:rsid w:val="004B1FD4"/>
    <w:rsid w:val="004B22F8"/>
    <w:rsid w:val="004B2605"/>
    <w:rsid w:val="004B271A"/>
    <w:rsid w:val="004B277D"/>
    <w:rsid w:val="004B2891"/>
    <w:rsid w:val="004B2BF8"/>
    <w:rsid w:val="004B3519"/>
    <w:rsid w:val="004B36EE"/>
    <w:rsid w:val="004B379A"/>
    <w:rsid w:val="004B383B"/>
    <w:rsid w:val="004B3B1D"/>
    <w:rsid w:val="004B3CA6"/>
    <w:rsid w:val="004B3F5C"/>
    <w:rsid w:val="004B44B4"/>
    <w:rsid w:val="004B46AD"/>
    <w:rsid w:val="004B483A"/>
    <w:rsid w:val="004B4842"/>
    <w:rsid w:val="004B4A8D"/>
    <w:rsid w:val="004B4BEE"/>
    <w:rsid w:val="004B5063"/>
    <w:rsid w:val="004B5604"/>
    <w:rsid w:val="004B584D"/>
    <w:rsid w:val="004B5863"/>
    <w:rsid w:val="004B5926"/>
    <w:rsid w:val="004B59A1"/>
    <w:rsid w:val="004B59CB"/>
    <w:rsid w:val="004B5E2F"/>
    <w:rsid w:val="004B5E8D"/>
    <w:rsid w:val="004B5F68"/>
    <w:rsid w:val="004B65FB"/>
    <w:rsid w:val="004B6A05"/>
    <w:rsid w:val="004B6BD9"/>
    <w:rsid w:val="004B6D0D"/>
    <w:rsid w:val="004B71BC"/>
    <w:rsid w:val="004B746C"/>
    <w:rsid w:val="004B74B3"/>
    <w:rsid w:val="004B7540"/>
    <w:rsid w:val="004B76A6"/>
    <w:rsid w:val="004B79B4"/>
    <w:rsid w:val="004B7AF0"/>
    <w:rsid w:val="004B7B86"/>
    <w:rsid w:val="004B7F52"/>
    <w:rsid w:val="004C02BD"/>
    <w:rsid w:val="004C06CE"/>
    <w:rsid w:val="004C0B4C"/>
    <w:rsid w:val="004C0D66"/>
    <w:rsid w:val="004C0D8E"/>
    <w:rsid w:val="004C0E28"/>
    <w:rsid w:val="004C0ED1"/>
    <w:rsid w:val="004C0FC6"/>
    <w:rsid w:val="004C11BB"/>
    <w:rsid w:val="004C190E"/>
    <w:rsid w:val="004C1A6F"/>
    <w:rsid w:val="004C1C1C"/>
    <w:rsid w:val="004C1D98"/>
    <w:rsid w:val="004C1F1F"/>
    <w:rsid w:val="004C1FA2"/>
    <w:rsid w:val="004C1FF9"/>
    <w:rsid w:val="004C2107"/>
    <w:rsid w:val="004C2116"/>
    <w:rsid w:val="004C216D"/>
    <w:rsid w:val="004C2301"/>
    <w:rsid w:val="004C282C"/>
    <w:rsid w:val="004C2A81"/>
    <w:rsid w:val="004C2B2F"/>
    <w:rsid w:val="004C2CBE"/>
    <w:rsid w:val="004C2CF1"/>
    <w:rsid w:val="004C2DA5"/>
    <w:rsid w:val="004C2E14"/>
    <w:rsid w:val="004C394B"/>
    <w:rsid w:val="004C3BB8"/>
    <w:rsid w:val="004C4434"/>
    <w:rsid w:val="004C456B"/>
    <w:rsid w:val="004C4D5F"/>
    <w:rsid w:val="004C5344"/>
    <w:rsid w:val="004C535E"/>
    <w:rsid w:val="004C5D06"/>
    <w:rsid w:val="004C624C"/>
    <w:rsid w:val="004C66FC"/>
    <w:rsid w:val="004C68D2"/>
    <w:rsid w:val="004C6AE7"/>
    <w:rsid w:val="004C6CDB"/>
    <w:rsid w:val="004C6E47"/>
    <w:rsid w:val="004C713C"/>
    <w:rsid w:val="004C7227"/>
    <w:rsid w:val="004C76CC"/>
    <w:rsid w:val="004C7AA9"/>
    <w:rsid w:val="004C7D54"/>
    <w:rsid w:val="004CD890"/>
    <w:rsid w:val="004D00DE"/>
    <w:rsid w:val="004D05AB"/>
    <w:rsid w:val="004D062B"/>
    <w:rsid w:val="004D0BA0"/>
    <w:rsid w:val="004D0DE6"/>
    <w:rsid w:val="004D0F6E"/>
    <w:rsid w:val="004D0FE0"/>
    <w:rsid w:val="004D128B"/>
    <w:rsid w:val="004D2191"/>
    <w:rsid w:val="004D2EF3"/>
    <w:rsid w:val="004D320F"/>
    <w:rsid w:val="004D35E8"/>
    <w:rsid w:val="004D39E5"/>
    <w:rsid w:val="004D3DA3"/>
    <w:rsid w:val="004D3DE7"/>
    <w:rsid w:val="004D409A"/>
    <w:rsid w:val="004D44AD"/>
    <w:rsid w:val="004D48D4"/>
    <w:rsid w:val="004D4A17"/>
    <w:rsid w:val="004D5790"/>
    <w:rsid w:val="004D58DB"/>
    <w:rsid w:val="004D5A3C"/>
    <w:rsid w:val="004D5A8B"/>
    <w:rsid w:val="004D614C"/>
    <w:rsid w:val="004D6C03"/>
    <w:rsid w:val="004D6F59"/>
    <w:rsid w:val="004D75D2"/>
    <w:rsid w:val="004D767B"/>
    <w:rsid w:val="004D7788"/>
    <w:rsid w:val="004D7828"/>
    <w:rsid w:val="004D7920"/>
    <w:rsid w:val="004D795F"/>
    <w:rsid w:val="004D7A0F"/>
    <w:rsid w:val="004D7C2B"/>
    <w:rsid w:val="004D7F28"/>
    <w:rsid w:val="004E01BC"/>
    <w:rsid w:val="004E01D0"/>
    <w:rsid w:val="004E04D9"/>
    <w:rsid w:val="004E0536"/>
    <w:rsid w:val="004E06B2"/>
    <w:rsid w:val="004E093E"/>
    <w:rsid w:val="004E09B4"/>
    <w:rsid w:val="004E0C37"/>
    <w:rsid w:val="004E1071"/>
    <w:rsid w:val="004E10BD"/>
    <w:rsid w:val="004E11E8"/>
    <w:rsid w:val="004E12BD"/>
    <w:rsid w:val="004E152B"/>
    <w:rsid w:val="004E17D4"/>
    <w:rsid w:val="004E1DAD"/>
    <w:rsid w:val="004E1DAE"/>
    <w:rsid w:val="004E21D3"/>
    <w:rsid w:val="004E230A"/>
    <w:rsid w:val="004E25A6"/>
    <w:rsid w:val="004E28D9"/>
    <w:rsid w:val="004E324F"/>
    <w:rsid w:val="004E3587"/>
    <w:rsid w:val="004E36A8"/>
    <w:rsid w:val="004E395D"/>
    <w:rsid w:val="004E3ADF"/>
    <w:rsid w:val="004E3C89"/>
    <w:rsid w:val="004E3CFC"/>
    <w:rsid w:val="004E4164"/>
    <w:rsid w:val="004E449F"/>
    <w:rsid w:val="004E4A83"/>
    <w:rsid w:val="004E4CB7"/>
    <w:rsid w:val="004E4CFE"/>
    <w:rsid w:val="004E4D73"/>
    <w:rsid w:val="004E4E46"/>
    <w:rsid w:val="004E4FB4"/>
    <w:rsid w:val="004E51D5"/>
    <w:rsid w:val="004E533E"/>
    <w:rsid w:val="004E56D9"/>
    <w:rsid w:val="004E5AAA"/>
    <w:rsid w:val="004E5B39"/>
    <w:rsid w:val="004E5ED8"/>
    <w:rsid w:val="004E5EFC"/>
    <w:rsid w:val="004E5F32"/>
    <w:rsid w:val="004E5F79"/>
    <w:rsid w:val="004E5F9A"/>
    <w:rsid w:val="004E65DC"/>
    <w:rsid w:val="004E6B64"/>
    <w:rsid w:val="004E77CC"/>
    <w:rsid w:val="004E79CF"/>
    <w:rsid w:val="004E7A3E"/>
    <w:rsid w:val="004F0188"/>
    <w:rsid w:val="004F01FF"/>
    <w:rsid w:val="004F0A64"/>
    <w:rsid w:val="004F0E2E"/>
    <w:rsid w:val="004F10DB"/>
    <w:rsid w:val="004F1346"/>
    <w:rsid w:val="004F1391"/>
    <w:rsid w:val="004F1411"/>
    <w:rsid w:val="004F14F0"/>
    <w:rsid w:val="004F1618"/>
    <w:rsid w:val="004F1A39"/>
    <w:rsid w:val="004F1DA7"/>
    <w:rsid w:val="004F20B8"/>
    <w:rsid w:val="004F2116"/>
    <w:rsid w:val="004F26FE"/>
    <w:rsid w:val="004F2AF6"/>
    <w:rsid w:val="004F358C"/>
    <w:rsid w:val="004F37D9"/>
    <w:rsid w:val="004F3B9B"/>
    <w:rsid w:val="004F3BAF"/>
    <w:rsid w:val="004F3D0A"/>
    <w:rsid w:val="004F41A6"/>
    <w:rsid w:val="004F4268"/>
    <w:rsid w:val="004F46FF"/>
    <w:rsid w:val="004F4940"/>
    <w:rsid w:val="004F4BC1"/>
    <w:rsid w:val="004F4FBC"/>
    <w:rsid w:val="004F513C"/>
    <w:rsid w:val="004F52A5"/>
    <w:rsid w:val="004F52A9"/>
    <w:rsid w:val="004F53FD"/>
    <w:rsid w:val="004F5548"/>
    <w:rsid w:val="004F5759"/>
    <w:rsid w:val="004F5B20"/>
    <w:rsid w:val="004F5B6B"/>
    <w:rsid w:val="004F5E7B"/>
    <w:rsid w:val="004F5E8D"/>
    <w:rsid w:val="004F5ECE"/>
    <w:rsid w:val="004F640E"/>
    <w:rsid w:val="004F6475"/>
    <w:rsid w:val="004F66C5"/>
    <w:rsid w:val="004F6A2D"/>
    <w:rsid w:val="004F6BCB"/>
    <w:rsid w:val="004F6E89"/>
    <w:rsid w:val="004F70C6"/>
    <w:rsid w:val="004F72A0"/>
    <w:rsid w:val="004F7405"/>
    <w:rsid w:val="004F74C4"/>
    <w:rsid w:val="004F74FD"/>
    <w:rsid w:val="004F7578"/>
    <w:rsid w:val="004F7875"/>
    <w:rsid w:val="004F7ACE"/>
    <w:rsid w:val="004F7D11"/>
    <w:rsid w:val="004F7E2A"/>
    <w:rsid w:val="004FD406"/>
    <w:rsid w:val="0050001C"/>
    <w:rsid w:val="00500227"/>
    <w:rsid w:val="0050067B"/>
    <w:rsid w:val="00500680"/>
    <w:rsid w:val="0050082A"/>
    <w:rsid w:val="0050086A"/>
    <w:rsid w:val="00500FA7"/>
    <w:rsid w:val="0050117E"/>
    <w:rsid w:val="00501358"/>
    <w:rsid w:val="0050139E"/>
    <w:rsid w:val="00501403"/>
    <w:rsid w:val="005017CE"/>
    <w:rsid w:val="00501ED6"/>
    <w:rsid w:val="005020CD"/>
    <w:rsid w:val="0050233B"/>
    <w:rsid w:val="00502828"/>
    <w:rsid w:val="005039C7"/>
    <w:rsid w:val="00503A1F"/>
    <w:rsid w:val="00504146"/>
    <w:rsid w:val="0050436A"/>
    <w:rsid w:val="005047DF"/>
    <w:rsid w:val="00504857"/>
    <w:rsid w:val="00504883"/>
    <w:rsid w:val="00504A51"/>
    <w:rsid w:val="00505567"/>
    <w:rsid w:val="00505936"/>
    <w:rsid w:val="00505BCB"/>
    <w:rsid w:val="00505E34"/>
    <w:rsid w:val="00506280"/>
    <w:rsid w:val="00506478"/>
    <w:rsid w:val="0050654F"/>
    <w:rsid w:val="00506D05"/>
    <w:rsid w:val="005070D1"/>
    <w:rsid w:val="0050712B"/>
    <w:rsid w:val="0050717B"/>
    <w:rsid w:val="00507228"/>
    <w:rsid w:val="005072DB"/>
    <w:rsid w:val="005073C9"/>
    <w:rsid w:val="0050784E"/>
    <w:rsid w:val="00507AA5"/>
    <w:rsid w:val="00507E74"/>
    <w:rsid w:val="00507F3D"/>
    <w:rsid w:val="00507FE9"/>
    <w:rsid w:val="0051085B"/>
    <w:rsid w:val="00510875"/>
    <w:rsid w:val="005108C8"/>
    <w:rsid w:val="005108D7"/>
    <w:rsid w:val="005109B3"/>
    <w:rsid w:val="005109E1"/>
    <w:rsid w:val="00510B56"/>
    <w:rsid w:val="00511008"/>
    <w:rsid w:val="0051117B"/>
    <w:rsid w:val="0051165D"/>
    <w:rsid w:val="005119EA"/>
    <w:rsid w:val="00512024"/>
    <w:rsid w:val="0051208A"/>
    <w:rsid w:val="00512599"/>
    <w:rsid w:val="00513557"/>
    <w:rsid w:val="00513673"/>
    <w:rsid w:val="00513799"/>
    <w:rsid w:val="00513E14"/>
    <w:rsid w:val="00513EBA"/>
    <w:rsid w:val="005141C7"/>
    <w:rsid w:val="0051444F"/>
    <w:rsid w:val="005144DC"/>
    <w:rsid w:val="00514556"/>
    <w:rsid w:val="0051461E"/>
    <w:rsid w:val="00514888"/>
    <w:rsid w:val="00514DF5"/>
    <w:rsid w:val="00514F11"/>
    <w:rsid w:val="00515247"/>
    <w:rsid w:val="005152C0"/>
    <w:rsid w:val="005154C1"/>
    <w:rsid w:val="00515A62"/>
    <w:rsid w:val="00515CCE"/>
    <w:rsid w:val="0051612D"/>
    <w:rsid w:val="005162AB"/>
    <w:rsid w:val="005166DD"/>
    <w:rsid w:val="00516C2A"/>
    <w:rsid w:val="00516D9A"/>
    <w:rsid w:val="00516E0B"/>
    <w:rsid w:val="0051701D"/>
    <w:rsid w:val="0051726A"/>
    <w:rsid w:val="005173C7"/>
    <w:rsid w:val="0051771E"/>
    <w:rsid w:val="00517CF1"/>
    <w:rsid w:val="005208A3"/>
    <w:rsid w:val="00520959"/>
    <w:rsid w:val="00520A2E"/>
    <w:rsid w:val="00520B90"/>
    <w:rsid w:val="00521122"/>
    <w:rsid w:val="00521337"/>
    <w:rsid w:val="005213BF"/>
    <w:rsid w:val="00521403"/>
    <w:rsid w:val="00521638"/>
    <w:rsid w:val="00521D04"/>
    <w:rsid w:val="00521DF6"/>
    <w:rsid w:val="00522378"/>
    <w:rsid w:val="00522B1F"/>
    <w:rsid w:val="00522D0A"/>
    <w:rsid w:val="00523034"/>
    <w:rsid w:val="0052351B"/>
    <w:rsid w:val="00523710"/>
    <w:rsid w:val="0052374B"/>
    <w:rsid w:val="00523BC4"/>
    <w:rsid w:val="00523EE5"/>
    <w:rsid w:val="00523F9D"/>
    <w:rsid w:val="005240BB"/>
    <w:rsid w:val="005240DF"/>
    <w:rsid w:val="005244C0"/>
    <w:rsid w:val="005244C9"/>
    <w:rsid w:val="005244D2"/>
    <w:rsid w:val="005247B5"/>
    <w:rsid w:val="005248DB"/>
    <w:rsid w:val="00524B2A"/>
    <w:rsid w:val="00524CF2"/>
    <w:rsid w:val="00525056"/>
    <w:rsid w:val="0052519A"/>
    <w:rsid w:val="005251A1"/>
    <w:rsid w:val="005253CD"/>
    <w:rsid w:val="005253DE"/>
    <w:rsid w:val="0052554D"/>
    <w:rsid w:val="00525C2E"/>
    <w:rsid w:val="00526082"/>
    <w:rsid w:val="005262F4"/>
    <w:rsid w:val="0052686B"/>
    <w:rsid w:val="00526C1E"/>
    <w:rsid w:val="00527303"/>
    <w:rsid w:val="005273F6"/>
    <w:rsid w:val="0052743F"/>
    <w:rsid w:val="0052747D"/>
    <w:rsid w:val="005278ED"/>
    <w:rsid w:val="00527941"/>
    <w:rsid w:val="00527B38"/>
    <w:rsid w:val="00527C12"/>
    <w:rsid w:val="00527CC2"/>
    <w:rsid w:val="00527E54"/>
    <w:rsid w:val="005306EF"/>
    <w:rsid w:val="00530C50"/>
    <w:rsid w:val="00530E2A"/>
    <w:rsid w:val="005311D2"/>
    <w:rsid w:val="00531799"/>
    <w:rsid w:val="00531B10"/>
    <w:rsid w:val="00531BBA"/>
    <w:rsid w:val="00531E84"/>
    <w:rsid w:val="00532554"/>
    <w:rsid w:val="0053264C"/>
    <w:rsid w:val="005328D7"/>
    <w:rsid w:val="00532A42"/>
    <w:rsid w:val="00532B11"/>
    <w:rsid w:val="00533273"/>
    <w:rsid w:val="005334C0"/>
    <w:rsid w:val="00533579"/>
    <w:rsid w:val="00533C7F"/>
    <w:rsid w:val="00533CA9"/>
    <w:rsid w:val="00533D5F"/>
    <w:rsid w:val="00534146"/>
    <w:rsid w:val="0053430D"/>
    <w:rsid w:val="00534334"/>
    <w:rsid w:val="005343B1"/>
    <w:rsid w:val="005343C8"/>
    <w:rsid w:val="005347AA"/>
    <w:rsid w:val="0053488F"/>
    <w:rsid w:val="0053490C"/>
    <w:rsid w:val="00534A05"/>
    <w:rsid w:val="00534BEA"/>
    <w:rsid w:val="00535495"/>
    <w:rsid w:val="00535859"/>
    <w:rsid w:val="005358E4"/>
    <w:rsid w:val="00535915"/>
    <w:rsid w:val="005359D0"/>
    <w:rsid w:val="005363DC"/>
    <w:rsid w:val="0053645C"/>
    <w:rsid w:val="005364FA"/>
    <w:rsid w:val="00536C54"/>
    <w:rsid w:val="00536E3E"/>
    <w:rsid w:val="0053722F"/>
    <w:rsid w:val="00537367"/>
    <w:rsid w:val="00537395"/>
    <w:rsid w:val="005373E4"/>
    <w:rsid w:val="005376A8"/>
    <w:rsid w:val="005407DB"/>
    <w:rsid w:val="005407F9"/>
    <w:rsid w:val="00540C14"/>
    <w:rsid w:val="00540D30"/>
    <w:rsid w:val="00540E1C"/>
    <w:rsid w:val="00540E95"/>
    <w:rsid w:val="00540F11"/>
    <w:rsid w:val="00540F50"/>
    <w:rsid w:val="00541098"/>
    <w:rsid w:val="00541146"/>
    <w:rsid w:val="005411EA"/>
    <w:rsid w:val="005412D6"/>
    <w:rsid w:val="005413BD"/>
    <w:rsid w:val="00541509"/>
    <w:rsid w:val="00541556"/>
    <w:rsid w:val="0054177E"/>
    <w:rsid w:val="00541B01"/>
    <w:rsid w:val="00541DD9"/>
    <w:rsid w:val="00541F29"/>
    <w:rsid w:val="005420B9"/>
    <w:rsid w:val="0054244E"/>
    <w:rsid w:val="00542466"/>
    <w:rsid w:val="0054270B"/>
    <w:rsid w:val="00542814"/>
    <w:rsid w:val="00542823"/>
    <w:rsid w:val="00542C94"/>
    <w:rsid w:val="00542EB7"/>
    <w:rsid w:val="0054303E"/>
    <w:rsid w:val="00543141"/>
    <w:rsid w:val="0054314B"/>
    <w:rsid w:val="0054358E"/>
    <w:rsid w:val="00543854"/>
    <w:rsid w:val="00543A29"/>
    <w:rsid w:val="00543F9C"/>
    <w:rsid w:val="00544278"/>
    <w:rsid w:val="00544288"/>
    <w:rsid w:val="005442C5"/>
    <w:rsid w:val="0054430F"/>
    <w:rsid w:val="00544AD6"/>
    <w:rsid w:val="00544BA2"/>
    <w:rsid w:val="00544C55"/>
    <w:rsid w:val="00544F35"/>
    <w:rsid w:val="0054501A"/>
    <w:rsid w:val="00545124"/>
    <w:rsid w:val="00545CC2"/>
    <w:rsid w:val="005460BB"/>
    <w:rsid w:val="00546238"/>
    <w:rsid w:val="005469C4"/>
    <w:rsid w:val="00546AB4"/>
    <w:rsid w:val="00546F70"/>
    <w:rsid w:val="00547436"/>
    <w:rsid w:val="00547D3F"/>
    <w:rsid w:val="00547EC0"/>
    <w:rsid w:val="00550866"/>
    <w:rsid w:val="00550AC6"/>
    <w:rsid w:val="00550B60"/>
    <w:rsid w:val="00550E0D"/>
    <w:rsid w:val="00550E38"/>
    <w:rsid w:val="00551396"/>
    <w:rsid w:val="00551434"/>
    <w:rsid w:val="00551591"/>
    <w:rsid w:val="005518E9"/>
    <w:rsid w:val="00551C37"/>
    <w:rsid w:val="00551FEA"/>
    <w:rsid w:val="00552130"/>
    <w:rsid w:val="00552232"/>
    <w:rsid w:val="00552271"/>
    <w:rsid w:val="005527C6"/>
    <w:rsid w:val="005527D7"/>
    <w:rsid w:val="00552A11"/>
    <w:rsid w:val="00552A7D"/>
    <w:rsid w:val="00552EA5"/>
    <w:rsid w:val="00552EB3"/>
    <w:rsid w:val="00553430"/>
    <w:rsid w:val="00553B05"/>
    <w:rsid w:val="00553DD8"/>
    <w:rsid w:val="0055446A"/>
    <w:rsid w:val="00554737"/>
    <w:rsid w:val="005547B1"/>
    <w:rsid w:val="00554976"/>
    <w:rsid w:val="00554CEC"/>
    <w:rsid w:val="00554F91"/>
    <w:rsid w:val="00555239"/>
    <w:rsid w:val="00555B29"/>
    <w:rsid w:val="00555DD4"/>
    <w:rsid w:val="00556766"/>
    <w:rsid w:val="00556767"/>
    <w:rsid w:val="00556828"/>
    <w:rsid w:val="00556855"/>
    <w:rsid w:val="00556990"/>
    <w:rsid w:val="005572EF"/>
    <w:rsid w:val="0055732B"/>
    <w:rsid w:val="00557563"/>
    <w:rsid w:val="00557790"/>
    <w:rsid w:val="005577D9"/>
    <w:rsid w:val="00557DD6"/>
    <w:rsid w:val="00557F46"/>
    <w:rsid w:val="005601C2"/>
    <w:rsid w:val="00560CB2"/>
    <w:rsid w:val="00560FAD"/>
    <w:rsid w:val="00561242"/>
    <w:rsid w:val="00561492"/>
    <w:rsid w:val="005614B1"/>
    <w:rsid w:val="005615DF"/>
    <w:rsid w:val="005619F8"/>
    <w:rsid w:val="00561DA8"/>
    <w:rsid w:val="00561F21"/>
    <w:rsid w:val="00562066"/>
    <w:rsid w:val="005622E9"/>
    <w:rsid w:val="00562591"/>
    <w:rsid w:val="005627E2"/>
    <w:rsid w:val="0056297F"/>
    <w:rsid w:val="00562BA1"/>
    <w:rsid w:val="00562CB2"/>
    <w:rsid w:val="005630C0"/>
    <w:rsid w:val="00563344"/>
    <w:rsid w:val="0056373E"/>
    <w:rsid w:val="005638BC"/>
    <w:rsid w:val="0056392E"/>
    <w:rsid w:val="00563DE6"/>
    <w:rsid w:val="0056401F"/>
    <w:rsid w:val="00564081"/>
    <w:rsid w:val="0056410A"/>
    <w:rsid w:val="005644C0"/>
    <w:rsid w:val="0056471E"/>
    <w:rsid w:val="005647BB"/>
    <w:rsid w:val="0056496F"/>
    <w:rsid w:val="005649F4"/>
    <w:rsid w:val="00564C5C"/>
    <w:rsid w:val="00564DBA"/>
    <w:rsid w:val="00564F2F"/>
    <w:rsid w:val="00565293"/>
    <w:rsid w:val="00565398"/>
    <w:rsid w:val="00565458"/>
    <w:rsid w:val="0056550E"/>
    <w:rsid w:val="00565882"/>
    <w:rsid w:val="00565966"/>
    <w:rsid w:val="00565EE9"/>
    <w:rsid w:val="0056667B"/>
    <w:rsid w:val="00567089"/>
    <w:rsid w:val="005670B1"/>
    <w:rsid w:val="005671E9"/>
    <w:rsid w:val="00567276"/>
    <w:rsid w:val="005672EF"/>
    <w:rsid w:val="00567574"/>
    <w:rsid w:val="00567A74"/>
    <w:rsid w:val="00567B29"/>
    <w:rsid w:val="00567ED6"/>
    <w:rsid w:val="0057025B"/>
    <w:rsid w:val="005705B2"/>
    <w:rsid w:val="005706A8"/>
    <w:rsid w:val="00570C7D"/>
    <w:rsid w:val="00570F8F"/>
    <w:rsid w:val="0057107F"/>
    <w:rsid w:val="00571B57"/>
    <w:rsid w:val="00571D6D"/>
    <w:rsid w:val="005721B6"/>
    <w:rsid w:val="005725AA"/>
    <w:rsid w:val="00572840"/>
    <w:rsid w:val="005729A6"/>
    <w:rsid w:val="00572CE4"/>
    <w:rsid w:val="00572F46"/>
    <w:rsid w:val="00573069"/>
    <w:rsid w:val="005730BD"/>
    <w:rsid w:val="0057312B"/>
    <w:rsid w:val="00573379"/>
    <w:rsid w:val="0057360C"/>
    <w:rsid w:val="00573B6E"/>
    <w:rsid w:val="00573D6F"/>
    <w:rsid w:val="00573DFB"/>
    <w:rsid w:val="005741DA"/>
    <w:rsid w:val="0057482D"/>
    <w:rsid w:val="00574851"/>
    <w:rsid w:val="00574A02"/>
    <w:rsid w:val="00574A08"/>
    <w:rsid w:val="00574B4A"/>
    <w:rsid w:val="00574EC2"/>
    <w:rsid w:val="00575382"/>
    <w:rsid w:val="005756EB"/>
    <w:rsid w:val="0057587E"/>
    <w:rsid w:val="005758EA"/>
    <w:rsid w:val="00575C02"/>
    <w:rsid w:val="00575E46"/>
    <w:rsid w:val="00575FDC"/>
    <w:rsid w:val="005761F7"/>
    <w:rsid w:val="0057621D"/>
    <w:rsid w:val="005765AA"/>
    <w:rsid w:val="0057686E"/>
    <w:rsid w:val="00576A54"/>
    <w:rsid w:val="00576EC8"/>
    <w:rsid w:val="00577031"/>
    <w:rsid w:val="0057756E"/>
    <w:rsid w:val="00577CA9"/>
    <w:rsid w:val="00577DC6"/>
    <w:rsid w:val="0058040E"/>
    <w:rsid w:val="005807E9"/>
    <w:rsid w:val="00580812"/>
    <w:rsid w:val="0058088A"/>
    <w:rsid w:val="005809BB"/>
    <w:rsid w:val="00580C9E"/>
    <w:rsid w:val="005811EE"/>
    <w:rsid w:val="0058121F"/>
    <w:rsid w:val="005815BB"/>
    <w:rsid w:val="005816F4"/>
    <w:rsid w:val="00581B2A"/>
    <w:rsid w:val="00581B4B"/>
    <w:rsid w:val="00581BDF"/>
    <w:rsid w:val="00581C7B"/>
    <w:rsid w:val="00581D63"/>
    <w:rsid w:val="00581DE9"/>
    <w:rsid w:val="00581F0D"/>
    <w:rsid w:val="0058236D"/>
    <w:rsid w:val="005823DF"/>
    <w:rsid w:val="0058263F"/>
    <w:rsid w:val="00582731"/>
    <w:rsid w:val="005829DE"/>
    <w:rsid w:val="005829FF"/>
    <w:rsid w:val="00583257"/>
    <w:rsid w:val="0058333D"/>
    <w:rsid w:val="0058372D"/>
    <w:rsid w:val="00583B0B"/>
    <w:rsid w:val="00584090"/>
    <w:rsid w:val="005845DB"/>
    <w:rsid w:val="00584A32"/>
    <w:rsid w:val="00584B89"/>
    <w:rsid w:val="00584DC3"/>
    <w:rsid w:val="00584F79"/>
    <w:rsid w:val="00585156"/>
    <w:rsid w:val="00585174"/>
    <w:rsid w:val="0058538F"/>
    <w:rsid w:val="005859A8"/>
    <w:rsid w:val="00585B26"/>
    <w:rsid w:val="00585E14"/>
    <w:rsid w:val="00585E31"/>
    <w:rsid w:val="00585EE8"/>
    <w:rsid w:val="0058620D"/>
    <w:rsid w:val="005863A4"/>
    <w:rsid w:val="005863AB"/>
    <w:rsid w:val="00586C92"/>
    <w:rsid w:val="005873A7"/>
    <w:rsid w:val="005877C5"/>
    <w:rsid w:val="005878D0"/>
    <w:rsid w:val="00587992"/>
    <w:rsid w:val="005879D5"/>
    <w:rsid w:val="00587B48"/>
    <w:rsid w:val="00587ED2"/>
    <w:rsid w:val="00590005"/>
    <w:rsid w:val="005901AB"/>
    <w:rsid w:val="0059038C"/>
    <w:rsid w:val="005903DF"/>
    <w:rsid w:val="0059054C"/>
    <w:rsid w:val="005906D7"/>
    <w:rsid w:val="005911AC"/>
    <w:rsid w:val="005912C4"/>
    <w:rsid w:val="005913CF"/>
    <w:rsid w:val="0059149E"/>
    <w:rsid w:val="0059158A"/>
    <w:rsid w:val="0059167F"/>
    <w:rsid w:val="005921E2"/>
    <w:rsid w:val="005922CE"/>
    <w:rsid w:val="005923BB"/>
    <w:rsid w:val="005925F3"/>
    <w:rsid w:val="00592693"/>
    <w:rsid w:val="005929B3"/>
    <w:rsid w:val="00592B1C"/>
    <w:rsid w:val="00592B4C"/>
    <w:rsid w:val="00592BB2"/>
    <w:rsid w:val="00592C5A"/>
    <w:rsid w:val="005933E8"/>
    <w:rsid w:val="005935A6"/>
    <w:rsid w:val="005937A4"/>
    <w:rsid w:val="00593B5F"/>
    <w:rsid w:val="00593CAD"/>
    <w:rsid w:val="00593E9D"/>
    <w:rsid w:val="0059414B"/>
    <w:rsid w:val="00594156"/>
    <w:rsid w:val="005942BE"/>
    <w:rsid w:val="00594470"/>
    <w:rsid w:val="0059456E"/>
    <w:rsid w:val="00594690"/>
    <w:rsid w:val="0059495C"/>
    <w:rsid w:val="00594DA2"/>
    <w:rsid w:val="00594DEF"/>
    <w:rsid w:val="00594E87"/>
    <w:rsid w:val="00594EB4"/>
    <w:rsid w:val="005950E5"/>
    <w:rsid w:val="005950F2"/>
    <w:rsid w:val="005953A2"/>
    <w:rsid w:val="00595679"/>
    <w:rsid w:val="005959A3"/>
    <w:rsid w:val="00595B1E"/>
    <w:rsid w:val="00596079"/>
    <w:rsid w:val="005961F7"/>
    <w:rsid w:val="00596732"/>
    <w:rsid w:val="0059688A"/>
    <w:rsid w:val="00596A32"/>
    <w:rsid w:val="00596B59"/>
    <w:rsid w:val="00596BBD"/>
    <w:rsid w:val="00596D7A"/>
    <w:rsid w:val="005970B4"/>
    <w:rsid w:val="00597309"/>
    <w:rsid w:val="0059732A"/>
    <w:rsid w:val="005974B6"/>
    <w:rsid w:val="0059774E"/>
    <w:rsid w:val="005978D3"/>
    <w:rsid w:val="00597EFA"/>
    <w:rsid w:val="005A00CD"/>
    <w:rsid w:val="005A03A9"/>
    <w:rsid w:val="005A040B"/>
    <w:rsid w:val="005A056D"/>
    <w:rsid w:val="005A0B83"/>
    <w:rsid w:val="005A0F37"/>
    <w:rsid w:val="005A105B"/>
    <w:rsid w:val="005A10F9"/>
    <w:rsid w:val="005A11EB"/>
    <w:rsid w:val="005A16F6"/>
    <w:rsid w:val="005A1772"/>
    <w:rsid w:val="005A1E8E"/>
    <w:rsid w:val="005A2113"/>
    <w:rsid w:val="005A2560"/>
    <w:rsid w:val="005A27B0"/>
    <w:rsid w:val="005A28F7"/>
    <w:rsid w:val="005A2D28"/>
    <w:rsid w:val="005A3010"/>
    <w:rsid w:val="005A3110"/>
    <w:rsid w:val="005A314C"/>
    <w:rsid w:val="005A3716"/>
    <w:rsid w:val="005A3926"/>
    <w:rsid w:val="005A3D14"/>
    <w:rsid w:val="005A4189"/>
    <w:rsid w:val="005A44C0"/>
    <w:rsid w:val="005A498C"/>
    <w:rsid w:val="005A4BCB"/>
    <w:rsid w:val="005A4CD3"/>
    <w:rsid w:val="005A4DA4"/>
    <w:rsid w:val="005A5398"/>
    <w:rsid w:val="005A5448"/>
    <w:rsid w:val="005A6130"/>
    <w:rsid w:val="005A64CD"/>
    <w:rsid w:val="005A69BF"/>
    <w:rsid w:val="005A6D4D"/>
    <w:rsid w:val="005A6E1B"/>
    <w:rsid w:val="005A6F7C"/>
    <w:rsid w:val="005A7058"/>
    <w:rsid w:val="005A7267"/>
    <w:rsid w:val="005A73B1"/>
    <w:rsid w:val="005A787A"/>
    <w:rsid w:val="005A78BD"/>
    <w:rsid w:val="005A7DE0"/>
    <w:rsid w:val="005A7FB7"/>
    <w:rsid w:val="005B0071"/>
    <w:rsid w:val="005B0C04"/>
    <w:rsid w:val="005B12A5"/>
    <w:rsid w:val="005B132F"/>
    <w:rsid w:val="005B15EB"/>
    <w:rsid w:val="005B18B2"/>
    <w:rsid w:val="005B18C3"/>
    <w:rsid w:val="005B18E9"/>
    <w:rsid w:val="005B1CDE"/>
    <w:rsid w:val="005B209C"/>
    <w:rsid w:val="005B261F"/>
    <w:rsid w:val="005B284D"/>
    <w:rsid w:val="005B2A3F"/>
    <w:rsid w:val="005B2BFE"/>
    <w:rsid w:val="005B2F31"/>
    <w:rsid w:val="005B38E7"/>
    <w:rsid w:val="005B3D4C"/>
    <w:rsid w:val="005B4096"/>
    <w:rsid w:val="005B40A6"/>
    <w:rsid w:val="005B40A8"/>
    <w:rsid w:val="005B40AA"/>
    <w:rsid w:val="005B41C7"/>
    <w:rsid w:val="005B42E6"/>
    <w:rsid w:val="005B45C0"/>
    <w:rsid w:val="005B46B8"/>
    <w:rsid w:val="005B46CB"/>
    <w:rsid w:val="005B47DE"/>
    <w:rsid w:val="005B4C6C"/>
    <w:rsid w:val="005B519F"/>
    <w:rsid w:val="005B56DA"/>
    <w:rsid w:val="005B5BC6"/>
    <w:rsid w:val="005B5BCD"/>
    <w:rsid w:val="005B5C47"/>
    <w:rsid w:val="005B5E03"/>
    <w:rsid w:val="005B5E8A"/>
    <w:rsid w:val="005B5F33"/>
    <w:rsid w:val="005B6300"/>
    <w:rsid w:val="005B646E"/>
    <w:rsid w:val="005B6708"/>
    <w:rsid w:val="005B6726"/>
    <w:rsid w:val="005B68A1"/>
    <w:rsid w:val="005B6C0C"/>
    <w:rsid w:val="005B6D1D"/>
    <w:rsid w:val="005B6DF6"/>
    <w:rsid w:val="005B71DF"/>
    <w:rsid w:val="005B723C"/>
    <w:rsid w:val="005B750E"/>
    <w:rsid w:val="005B7552"/>
    <w:rsid w:val="005B7D30"/>
    <w:rsid w:val="005B7EF6"/>
    <w:rsid w:val="005C017A"/>
    <w:rsid w:val="005C0180"/>
    <w:rsid w:val="005C01B7"/>
    <w:rsid w:val="005C02C0"/>
    <w:rsid w:val="005C0409"/>
    <w:rsid w:val="005C0662"/>
    <w:rsid w:val="005C091C"/>
    <w:rsid w:val="005C0F78"/>
    <w:rsid w:val="005C11D5"/>
    <w:rsid w:val="005C1952"/>
    <w:rsid w:val="005C1ACA"/>
    <w:rsid w:val="005C2195"/>
    <w:rsid w:val="005C2E2C"/>
    <w:rsid w:val="005C3448"/>
    <w:rsid w:val="005C37C8"/>
    <w:rsid w:val="005C38F5"/>
    <w:rsid w:val="005C399A"/>
    <w:rsid w:val="005C3C73"/>
    <w:rsid w:val="005C3FD6"/>
    <w:rsid w:val="005C445A"/>
    <w:rsid w:val="005C48BD"/>
    <w:rsid w:val="005C49E9"/>
    <w:rsid w:val="005C4DFA"/>
    <w:rsid w:val="005C4EF2"/>
    <w:rsid w:val="005C5330"/>
    <w:rsid w:val="005C5359"/>
    <w:rsid w:val="005C59E3"/>
    <w:rsid w:val="005C5C51"/>
    <w:rsid w:val="005C5DF7"/>
    <w:rsid w:val="005C619C"/>
    <w:rsid w:val="005C66EA"/>
    <w:rsid w:val="005C66F0"/>
    <w:rsid w:val="005C67DD"/>
    <w:rsid w:val="005C69AD"/>
    <w:rsid w:val="005C6A22"/>
    <w:rsid w:val="005C6B02"/>
    <w:rsid w:val="005C6BA1"/>
    <w:rsid w:val="005C6C04"/>
    <w:rsid w:val="005C6D79"/>
    <w:rsid w:val="005C7204"/>
    <w:rsid w:val="005C734A"/>
    <w:rsid w:val="005C7B58"/>
    <w:rsid w:val="005C7CFC"/>
    <w:rsid w:val="005D08E0"/>
    <w:rsid w:val="005D096B"/>
    <w:rsid w:val="005D0E3F"/>
    <w:rsid w:val="005D0F27"/>
    <w:rsid w:val="005D1150"/>
    <w:rsid w:val="005D11C5"/>
    <w:rsid w:val="005D1320"/>
    <w:rsid w:val="005D19D3"/>
    <w:rsid w:val="005D1CC5"/>
    <w:rsid w:val="005D22D4"/>
    <w:rsid w:val="005D236B"/>
    <w:rsid w:val="005D2581"/>
    <w:rsid w:val="005D2A79"/>
    <w:rsid w:val="005D2C87"/>
    <w:rsid w:val="005D3004"/>
    <w:rsid w:val="005D39DB"/>
    <w:rsid w:val="005D3D39"/>
    <w:rsid w:val="005D4453"/>
    <w:rsid w:val="005D44BB"/>
    <w:rsid w:val="005D4875"/>
    <w:rsid w:val="005D48DE"/>
    <w:rsid w:val="005D4A58"/>
    <w:rsid w:val="005D4DC7"/>
    <w:rsid w:val="005D516A"/>
    <w:rsid w:val="005D5A13"/>
    <w:rsid w:val="005D6141"/>
    <w:rsid w:val="005D6AD1"/>
    <w:rsid w:val="005D6EBE"/>
    <w:rsid w:val="005D7063"/>
    <w:rsid w:val="005D70B8"/>
    <w:rsid w:val="005D73C6"/>
    <w:rsid w:val="005D7703"/>
    <w:rsid w:val="005D787E"/>
    <w:rsid w:val="005D7943"/>
    <w:rsid w:val="005D7A9D"/>
    <w:rsid w:val="005D7C39"/>
    <w:rsid w:val="005E009D"/>
    <w:rsid w:val="005E01FF"/>
    <w:rsid w:val="005E0479"/>
    <w:rsid w:val="005E05AC"/>
    <w:rsid w:val="005E063F"/>
    <w:rsid w:val="005E06D6"/>
    <w:rsid w:val="005E0721"/>
    <w:rsid w:val="005E087D"/>
    <w:rsid w:val="005E0C28"/>
    <w:rsid w:val="005E0E1D"/>
    <w:rsid w:val="005E125E"/>
    <w:rsid w:val="005E13DF"/>
    <w:rsid w:val="005E1774"/>
    <w:rsid w:val="005E1B5E"/>
    <w:rsid w:val="005E1C8B"/>
    <w:rsid w:val="005E1EC4"/>
    <w:rsid w:val="005E2130"/>
    <w:rsid w:val="005E25FC"/>
    <w:rsid w:val="005E2D3E"/>
    <w:rsid w:val="005E334B"/>
    <w:rsid w:val="005E3509"/>
    <w:rsid w:val="005E387D"/>
    <w:rsid w:val="005E3907"/>
    <w:rsid w:val="005E3A2C"/>
    <w:rsid w:val="005E3A49"/>
    <w:rsid w:val="005E3B75"/>
    <w:rsid w:val="005E3BE8"/>
    <w:rsid w:val="005E3D15"/>
    <w:rsid w:val="005E3EEC"/>
    <w:rsid w:val="005E3FBF"/>
    <w:rsid w:val="005E4128"/>
    <w:rsid w:val="005E48B6"/>
    <w:rsid w:val="005E4C65"/>
    <w:rsid w:val="005E4DCC"/>
    <w:rsid w:val="005E4FEB"/>
    <w:rsid w:val="005E5056"/>
    <w:rsid w:val="005E58BD"/>
    <w:rsid w:val="005E5E95"/>
    <w:rsid w:val="005E5F76"/>
    <w:rsid w:val="005E6190"/>
    <w:rsid w:val="005E646B"/>
    <w:rsid w:val="005E6521"/>
    <w:rsid w:val="005E6556"/>
    <w:rsid w:val="005E6FA9"/>
    <w:rsid w:val="005E6FF2"/>
    <w:rsid w:val="005E7181"/>
    <w:rsid w:val="005E72DC"/>
    <w:rsid w:val="005E7372"/>
    <w:rsid w:val="005E75D7"/>
    <w:rsid w:val="005E7664"/>
    <w:rsid w:val="005E7D4D"/>
    <w:rsid w:val="005E7E45"/>
    <w:rsid w:val="005E7E4D"/>
    <w:rsid w:val="005E7F94"/>
    <w:rsid w:val="005F0179"/>
    <w:rsid w:val="005F0486"/>
    <w:rsid w:val="005F075F"/>
    <w:rsid w:val="005F07CF"/>
    <w:rsid w:val="005F1552"/>
    <w:rsid w:val="005F17B4"/>
    <w:rsid w:val="005F183D"/>
    <w:rsid w:val="005F1B89"/>
    <w:rsid w:val="005F220D"/>
    <w:rsid w:val="005F25BC"/>
    <w:rsid w:val="005F289C"/>
    <w:rsid w:val="005F2946"/>
    <w:rsid w:val="005F2A11"/>
    <w:rsid w:val="005F2A67"/>
    <w:rsid w:val="005F30E0"/>
    <w:rsid w:val="005F34C6"/>
    <w:rsid w:val="005F3531"/>
    <w:rsid w:val="005F35C1"/>
    <w:rsid w:val="005F36E2"/>
    <w:rsid w:val="005F376A"/>
    <w:rsid w:val="005F3EE7"/>
    <w:rsid w:val="005F3F4C"/>
    <w:rsid w:val="005F41C9"/>
    <w:rsid w:val="005F42F5"/>
    <w:rsid w:val="005F4318"/>
    <w:rsid w:val="005F490B"/>
    <w:rsid w:val="005F4A3D"/>
    <w:rsid w:val="005F4B11"/>
    <w:rsid w:val="005F4CCD"/>
    <w:rsid w:val="005F4F8E"/>
    <w:rsid w:val="005F54A4"/>
    <w:rsid w:val="005F56B7"/>
    <w:rsid w:val="005F5A03"/>
    <w:rsid w:val="005F627A"/>
    <w:rsid w:val="005F6567"/>
    <w:rsid w:val="005F656E"/>
    <w:rsid w:val="005F65EF"/>
    <w:rsid w:val="005F66FC"/>
    <w:rsid w:val="005F6774"/>
    <w:rsid w:val="005F67CE"/>
    <w:rsid w:val="005F6827"/>
    <w:rsid w:val="005F688B"/>
    <w:rsid w:val="005F6A1A"/>
    <w:rsid w:val="005F6B39"/>
    <w:rsid w:val="005F71D1"/>
    <w:rsid w:val="005F795A"/>
    <w:rsid w:val="005F799F"/>
    <w:rsid w:val="005F7E1F"/>
    <w:rsid w:val="005F7EDA"/>
    <w:rsid w:val="005F7FC4"/>
    <w:rsid w:val="0060035F"/>
    <w:rsid w:val="006005BF"/>
    <w:rsid w:val="0060061A"/>
    <w:rsid w:val="006006BF"/>
    <w:rsid w:val="006007AF"/>
    <w:rsid w:val="00600A46"/>
    <w:rsid w:val="00600E9C"/>
    <w:rsid w:val="0060108E"/>
    <w:rsid w:val="00601107"/>
    <w:rsid w:val="006011C9"/>
    <w:rsid w:val="006014DF"/>
    <w:rsid w:val="00601676"/>
    <w:rsid w:val="00601869"/>
    <w:rsid w:val="00601A04"/>
    <w:rsid w:val="00601D85"/>
    <w:rsid w:val="00601DB5"/>
    <w:rsid w:val="00602098"/>
    <w:rsid w:val="0060218C"/>
    <w:rsid w:val="0060227E"/>
    <w:rsid w:val="006022D8"/>
    <w:rsid w:val="0060271C"/>
    <w:rsid w:val="00602A43"/>
    <w:rsid w:val="0060319A"/>
    <w:rsid w:val="0060369B"/>
    <w:rsid w:val="006037E2"/>
    <w:rsid w:val="00603818"/>
    <w:rsid w:val="00603C8E"/>
    <w:rsid w:val="00603CB0"/>
    <w:rsid w:val="00603D48"/>
    <w:rsid w:val="0060407D"/>
    <w:rsid w:val="00604335"/>
    <w:rsid w:val="006047C5"/>
    <w:rsid w:val="0060490E"/>
    <w:rsid w:val="006050DE"/>
    <w:rsid w:val="0060543A"/>
    <w:rsid w:val="0060551E"/>
    <w:rsid w:val="00605984"/>
    <w:rsid w:val="00605C87"/>
    <w:rsid w:val="00605F6A"/>
    <w:rsid w:val="006065B5"/>
    <w:rsid w:val="00606E3B"/>
    <w:rsid w:val="00607188"/>
    <w:rsid w:val="00607205"/>
    <w:rsid w:val="00607325"/>
    <w:rsid w:val="006074E4"/>
    <w:rsid w:val="00607D23"/>
    <w:rsid w:val="006101CE"/>
    <w:rsid w:val="0061070B"/>
    <w:rsid w:val="00610745"/>
    <w:rsid w:val="006107DB"/>
    <w:rsid w:val="00610F9E"/>
    <w:rsid w:val="0061100B"/>
    <w:rsid w:val="0061100C"/>
    <w:rsid w:val="00611087"/>
    <w:rsid w:val="006110A3"/>
    <w:rsid w:val="0061127E"/>
    <w:rsid w:val="006112D1"/>
    <w:rsid w:val="006112FA"/>
    <w:rsid w:val="006119F9"/>
    <w:rsid w:val="00611D84"/>
    <w:rsid w:val="00611F62"/>
    <w:rsid w:val="00611FB0"/>
    <w:rsid w:val="006121FB"/>
    <w:rsid w:val="006125CD"/>
    <w:rsid w:val="0061272A"/>
    <w:rsid w:val="00612DC0"/>
    <w:rsid w:val="00613605"/>
    <w:rsid w:val="00613B25"/>
    <w:rsid w:val="006145B1"/>
    <w:rsid w:val="006146B1"/>
    <w:rsid w:val="00614A66"/>
    <w:rsid w:val="00614B49"/>
    <w:rsid w:val="00614C8E"/>
    <w:rsid w:val="00615D01"/>
    <w:rsid w:val="00615FF7"/>
    <w:rsid w:val="00616148"/>
    <w:rsid w:val="0061623A"/>
    <w:rsid w:val="006164D5"/>
    <w:rsid w:val="00616627"/>
    <w:rsid w:val="006166E3"/>
    <w:rsid w:val="006169A1"/>
    <w:rsid w:val="00616E0E"/>
    <w:rsid w:val="00616E63"/>
    <w:rsid w:val="0061747D"/>
    <w:rsid w:val="006177F8"/>
    <w:rsid w:val="006179B9"/>
    <w:rsid w:val="00617E30"/>
    <w:rsid w:val="00620205"/>
    <w:rsid w:val="00620377"/>
    <w:rsid w:val="006203D3"/>
    <w:rsid w:val="0062070D"/>
    <w:rsid w:val="006207E3"/>
    <w:rsid w:val="00620913"/>
    <w:rsid w:val="0062091E"/>
    <w:rsid w:val="00621798"/>
    <w:rsid w:val="00621821"/>
    <w:rsid w:val="00621948"/>
    <w:rsid w:val="006219CA"/>
    <w:rsid w:val="00621AFA"/>
    <w:rsid w:val="00621BC0"/>
    <w:rsid w:val="006220A1"/>
    <w:rsid w:val="00622A2E"/>
    <w:rsid w:val="00622BF3"/>
    <w:rsid w:val="00622D42"/>
    <w:rsid w:val="00622F11"/>
    <w:rsid w:val="00622F63"/>
    <w:rsid w:val="006231A3"/>
    <w:rsid w:val="006231EF"/>
    <w:rsid w:val="0062320F"/>
    <w:rsid w:val="00623402"/>
    <w:rsid w:val="006234F2"/>
    <w:rsid w:val="00623CD3"/>
    <w:rsid w:val="00624328"/>
    <w:rsid w:val="006244C5"/>
    <w:rsid w:val="006245B9"/>
    <w:rsid w:val="00624A97"/>
    <w:rsid w:val="00624B34"/>
    <w:rsid w:val="00625207"/>
    <w:rsid w:val="00625680"/>
    <w:rsid w:val="00625A3B"/>
    <w:rsid w:val="00625B93"/>
    <w:rsid w:val="00625F12"/>
    <w:rsid w:val="0062661F"/>
    <w:rsid w:val="00626901"/>
    <w:rsid w:val="00626A47"/>
    <w:rsid w:val="00626AD6"/>
    <w:rsid w:val="00626C51"/>
    <w:rsid w:val="00627088"/>
    <w:rsid w:val="0062740B"/>
    <w:rsid w:val="0062779A"/>
    <w:rsid w:val="006277A2"/>
    <w:rsid w:val="00627C3D"/>
    <w:rsid w:val="00627D6B"/>
    <w:rsid w:val="00630044"/>
    <w:rsid w:val="0063048B"/>
    <w:rsid w:val="0063048C"/>
    <w:rsid w:val="006306AA"/>
    <w:rsid w:val="0063087D"/>
    <w:rsid w:val="0063088F"/>
    <w:rsid w:val="006308E9"/>
    <w:rsid w:val="00630A31"/>
    <w:rsid w:val="00630C0C"/>
    <w:rsid w:val="00631568"/>
    <w:rsid w:val="0063212D"/>
    <w:rsid w:val="0063240D"/>
    <w:rsid w:val="00632B9F"/>
    <w:rsid w:val="006333CE"/>
    <w:rsid w:val="0063351A"/>
    <w:rsid w:val="00633563"/>
    <w:rsid w:val="00633637"/>
    <w:rsid w:val="006339EC"/>
    <w:rsid w:val="00633FD3"/>
    <w:rsid w:val="006344A9"/>
    <w:rsid w:val="00634615"/>
    <w:rsid w:val="0063493A"/>
    <w:rsid w:val="00634B25"/>
    <w:rsid w:val="00634D95"/>
    <w:rsid w:val="00634E2A"/>
    <w:rsid w:val="00634EE9"/>
    <w:rsid w:val="0063520F"/>
    <w:rsid w:val="006352B8"/>
    <w:rsid w:val="006352BC"/>
    <w:rsid w:val="00635362"/>
    <w:rsid w:val="00635410"/>
    <w:rsid w:val="00635925"/>
    <w:rsid w:val="006359F2"/>
    <w:rsid w:val="00635A78"/>
    <w:rsid w:val="00636262"/>
    <w:rsid w:val="00636271"/>
    <w:rsid w:val="0063630E"/>
    <w:rsid w:val="00636E61"/>
    <w:rsid w:val="00637534"/>
    <w:rsid w:val="006376B3"/>
    <w:rsid w:val="00637A39"/>
    <w:rsid w:val="00637B74"/>
    <w:rsid w:val="00637DFE"/>
    <w:rsid w:val="00637F11"/>
    <w:rsid w:val="00637FC7"/>
    <w:rsid w:val="006404F3"/>
    <w:rsid w:val="0064068F"/>
    <w:rsid w:val="00640879"/>
    <w:rsid w:val="00640F75"/>
    <w:rsid w:val="0064152E"/>
    <w:rsid w:val="0064155B"/>
    <w:rsid w:val="00641732"/>
    <w:rsid w:val="00641BFE"/>
    <w:rsid w:val="00641C77"/>
    <w:rsid w:val="00641CFA"/>
    <w:rsid w:val="00641F23"/>
    <w:rsid w:val="00642128"/>
    <w:rsid w:val="006421AC"/>
    <w:rsid w:val="006425E8"/>
    <w:rsid w:val="0064298F"/>
    <w:rsid w:val="00642BAE"/>
    <w:rsid w:val="00642F49"/>
    <w:rsid w:val="006437DF"/>
    <w:rsid w:val="00643987"/>
    <w:rsid w:val="00643BBC"/>
    <w:rsid w:val="00643C23"/>
    <w:rsid w:val="00643C5A"/>
    <w:rsid w:val="00643E0F"/>
    <w:rsid w:val="00643EB7"/>
    <w:rsid w:val="006442D6"/>
    <w:rsid w:val="0064442E"/>
    <w:rsid w:val="006448A7"/>
    <w:rsid w:val="00644A25"/>
    <w:rsid w:val="00644A3E"/>
    <w:rsid w:val="006450DD"/>
    <w:rsid w:val="006453B3"/>
    <w:rsid w:val="006453F6"/>
    <w:rsid w:val="00645507"/>
    <w:rsid w:val="006457B0"/>
    <w:rsid w:val="00645A19"/>
    <w:rsid w:val="00645E1A"/>
    <w:rsid w:val="006461F1"/>
    <w:rsid w:val="006463CA"/>
    <w:rsid w:val="006464D5"/>
    <w:rsid w:val="00646783"/>
    <w:rsid w:val="006468FF"/>
    <w:rsid w:val="00646A9E"/>
    <w:rsid w:val="00646AED"/>
    <w:rsid w:val="00646D16"/>
    <w:rsid w:val="00646D87"/>
    <w:rsid w:val="00646EAA"/>
    <w:rsid w:val="00646EB9"/>
    <w:rsid w:val="00646FE8"/>
    <w:rsid w:val="00647152"/>
    <w:rsid w:val="0064721E"/>
    <w:rsid w:val="00647381"/>
    <w:rsid w:val="006477F4"/>
    <w:rsid w:val="00647975"/>
    <w:rsid w:val="00647C94"/>
    <w:rsid w:val="00647D4F"/>
    <w:rsid w:val="006502FA"/>
    <w:rsid w:val="00650856"/>
    <w:rsid w:val="00650E97"/>
    <w:rsid w:val="00650F03"/>
    <w:rsid w:val="00651056"/>
    <w:rsid w:val="006511A5"/>
    <w:rsid w:val="006514A8"/>
    <w:rsid w:val="006514C6"/>
    <w:rsid w:val="006515BC"/>
    <w:rsid w:val="006516F5"/>
    <w:rsid w:val="00651A23"/>
    <w:rsid w:val="00651B49"/>
    <w:rsid w:val="00651C02"/>
    <w:rsid w:val="00651C96"/>
    <w:rsid w:val="00651EB7"/>
    <w:rsid w:val="0065203A"/>
    <w:rsid w:val="0065219F"/>
    <w:rsid w:val="006522CE"/>
    <w:rsid w:val="006525A6"/>
    <w:rsid w:val="006525EB"/>
    <w:rsid w:val="006525F9"/>
    <w:rsid w:val="0065289A"/>
    <w:rsid w:val="00652BEC"/>
    <w:rsid w:val="00652E02"/>
    <w:rsid w:val="00653248"/>
    <w:rsid w:val="00653598"/>
    <w:rsid w:val="006539FC"/>
    <w:rsid w:val="00653B83"/>
    <w:rsid w:val="00653D5A"/>
    <w:rsid w:val="00653D8D"/>
    <w:rsid w:val="0065418B"/>
    <w:rsid w:val="0065423C"/>
    <w:rsid w:val="0065426D"/>
    <w:rsid w:val="006542A8"/>
    <w:rsid w:val="006546E6"/>
    <w:rsid w:val="006552AB"/>
    <w:rsid w:val="006552D5"/>
    <w:rsid w:val="00655A79"/>
    <w:rsid w:val="00655DAF"/>
    <w:rsid w:val="00655F45"/>
    <w:rsid w:val="00656039"/>
    <w:rsid w:val="006560B7"/>
    <w:rsid w:val="0065625F"/>
    <w:rsid w:val="00656604"/>
    <w:rsid w:val="00656EFB"/>
    <w:rsid w:val="00656F3C"/>
    <w:rsid w:val="00657263"/>
    <w:rsid w:val="006572B0"/>
    <w:rsid w:val="00657538"/>
    <w:rsid w:val="0065759A"/>
    <w:rsid w:val="006575B7"/>
    <w:rsid w:val="00657ACB"/>
    <w:rsid w:val="00657B45"/>
    <w:rsid w:val="00657C84"/>
    <w:rsid w:val="00657D85"/>
    <w:rsid w:val="00657E80"/>
    <w:rsid w:val="00657F75"/>
    <w:rsid w:val="006600F9"/>
    <w:rsid w:val="00660427"/>
    <w:rsid w:val="0066057E"/>
    <w:rsid w:val="0066065E"/>
    <w:rsid w:val="00660D62"/>
    <w:rsid w:val="0066129C"/>
    <w:rsid w:val="006613F1"/>
    <w:rsid w:val="00661469"/>
    <w:rsid w:val="00661818"/>
    <w:rsid w:val="00661B52"/>
    <w:rsid w:val="006620F3"/>
    <w:rsid w:val="00662466"/>
    <w:rsid w:val="006625C5"/>
    <w:rsid w:val="006627DD"/>
    <w:rsid w:val="0066294B"/>
    <w:rsid w:val="00662BC9"/>
    <w:rsid w:val="00662D1A"/>
    <w:rsid w:val="00662E00"/>
    <w:rsid w:val="00663035"/>
    <w:rsid w:val="006631C1"/>
    <w:rsid w:val="00663326"/>
    <w:rsid w:val="00663971"/>
    <w:rsid w:val="00663DD9"/>
    <w:rsid w:val="00664474"/>
    <w:rsid w:val="006645A0"/>
    <w:rsid w:val="0066463E"/>
    <w:rsid w:val="0066471B"/>
    <w:rsid w:val="006647C3"/>
    <w:rsid w:val="00664DCD"/>
    <w:rsid w:val="00665008"/>
    <w:rsid w:val="0066510C"/>
    <w:rsid w:val="00665218"/>
    <w:rsid w:val="00665755"/>
    <w:rsid w:val="006658DF"/>
    <w:rsid w:val="00665E44"/>
    <w:rsid w:val="0066618D"/>
    <w:rsid w:val="00666222"/>
    <w:rsid w:val="00666296"/>
    <w:rsid w:val="0066679B"/>
    <w:rsid w:val="0066695B"/>
    <w:rsid w:val="00666BAD"/>
    <w:rsid w:val="00666F96"/>
    <w:rsid w:val="00666FE5"/>
    <w:rsid w:val="006672F1"/>
    <w:rsid w:val="00667366"/>
    <w:rsid w:val="006674FE"/>
    <w:rsid w:val="0066757A"/>
    <w:rsid w:val="006676C4"/>
    <w:rsid w:val="00667B22"/>
    <w:rsid w:val="0066F784"/>
    <w:rsid w:val="00670387"/>
    <w:rsid w:val="0067074B"/>
    <w:rsid w:val="0067091E"/>
    <w:rsid w:val="00670960"/>
    <w:rsid w:val="00670FC5"/>
    <w:rsid w:val="006710C1"/>
    <w:rsid w:val="006715A0"/>
    <w:rsid w:val="00671974"/>
    <w:rsid w:val="00671D99"/>
    <w:rsid w:val="006720AF"/>
    <w:rsid w:val="006724B4"/>
    <w:rsid w:val="006727F6"/>
    <w:rsid w:val="00672822"/>
    <w:rsid w:val="006728E6"/>
    <w:rsid w:val="006729F5"/>
    <w:rsid w:val="00672ABB"/>
    <w:rsid w:val="00672C10"/>
    <w:rsid w:val="00672C63"/>
    <w:rsid w:val="00672F0A"/>
    <w:rsid w:val="0067304E"/>
    <w:rsid w:val="0067386D"/>
    <w:rsid w:val="006738D7"/>
    <w:rsid w:val="006739AD"/>
    <w:rsid w:val="00673E68"/>
    <w:rsid w:val="006740BE"/>
    <w:rsid w:val="006745E5"/>
    <w:rsid w:val="0067469F"/>
    <w:rsid w:val="00674ACC"/>
    <w:rsid w:val="00674DFB"/>
    <w:rsid w:val="00675076"/>
    <w:rsid w:val="00675445"/>
    <w:rsid w:val="006755B2"/>
    <w:rsid w:val="0067609A"/>
    <w:rsid w:val="00676308"/>
    <w:rsid w:val="0067634B"/>
    <w:rsid w:val="00676B57"/>
    <w:rsid w:val="00677613"/>
    <w:rsid w:val="00677738"/>
    <w:rsid w:val="00677A0E"/>
    <w:rsid w:val="00680257"/>
    <w:rsid w:val="0068031A"/>
    <w:rsid w:val="006806CB"/>
    <w:rsid w:val="00680A31"/>
    <w:rsid w:val="00680A73"/>
    <w:rsid w:val="00681181"/>
    <w:rsid w:val="00681588"/>
    <w:rsid w:val="00681849"/>
    <w:rsid w:val="0068190C"/>
    <w:rsid w:val="00681B42"/>
    <w:rsid w:val="00681B73"/>
    <w:rsid w:val="00681C7D"/>
    <w:rsid w:val="00681CBF"/>
    <w:rsid w:val="00681CFF"/>
    <w:rsid w:val="00682099"/>
    <w:rsid w:val="0068233E"/>
    <w:rsid w:val="0068243F"/>
    <w:rsid w:val="00682710"/>
    <w:rsid w:val="00682FBC"/>
    <w:rsid w:val="006838EF"/>
    <w:rsid w:val="00683FE6"/>
    <w:rsid w:val="0068406A"/>
    <w:rsid w:val="00684075"/>
    <w:rsid w:val="00684093"/>
    <w:rsid w:val="00684310"/>
    <w:rsid w:val="006849ED"/>
    <w:rsid w:val="00684DC0"/>
    <w:rsid w:val="00685129"/>
    <w:rsid w:val="00685942"/>
    <w:rsid w:val="006859F9"/>
    <w:rsid w:val="00685A22"/>
    <w:rsid w:val="00685E82"/>
    <w:rsid w:val="00685EEC"/>
    <w:rsid w:val="00686524"/>
    <w:rsid w:val="00686648"/>
    <w:rsid w:val="006866A2"/>
    <w:rsid w:val="00686750"/>
    <w:rsid w:val="00687151"/>
    <w:rsid w:val="0068734A"/>
    <w:rsid w:val="00687557"/>
    <w:rsid w:val="00687686"/>
    <w:rsid w:val="00687AF0"/>
    <w:rsid w:val="00690349"/>
    <w:rsid w:val="00690361"/>
    <w:rsid w:val="0069077D"/>
    <w:rsid w:val="006907FA"/>
    <w:rsid w:val="006908A6"/>
    <w:rsid w:val="006908EB"/>
    <w:rsid w:val="0069186A"/>
    <w:rsid w:val="00691B61"/>
    <w:rsid w:val="00691DF4"/>
    <w:rsid w:val="00691E10"/>
    <w:rsid w:val="00691E6E"/>
    <w:rsid w:val="00692394"/>
    <w:rsid w:val="0069285D"/>
    <w:rsid w:val="00692885"/>
    <w:rsid w:val="00692950"/>
    <w:rsid w:val="00692B4A"/>
    <w:rsid w:val="00692CCD"/>
    <w:rsid w:val="00692D86"/>
    <w:rsid w:val="00692E63"/>
    <w:rsid w:val="006936D0"/>
    <w:rsid w:val="0069376A"/>
    <w:rsid w:val="00693BCC"/>
    <w:rsid w:val="006944DA"/>
    <w:rsid w:val="00694F3D"/>
    <w:rsid w:val="0069502F"/>
    <w:rsid w:val="006951CB"/>
    <w:rsid w:val="00695D55"/>
    <w:rsid w:val="00695E2A"/>
    <w:rsid w:val="00695F43"/>
    <w:rsid w:val="00695F76"/>
    <w:rsid w:val="00696169"/>
    <w:rsid w:val="00696372"/>
    <w:rsid w:val="0069664D"/>
    <w:rsid w:val="006967BA"/>
    <w:rsid w:val="006967C3"/>
    <w:rsid w:val="00696FE7"/>
    <w:rsid w:val="00697166"/>
    <w:rsid w:val="00697485"/>
    <w:rsid w:val="006975D0"/>
    <w:rsid w:val="00697787"/>
    <w:rsid w:val="006979CB"/>
    <w:rsid w:val="00697AAB"/>
    <w:rsid w:val="006A0026"/>
    <w:rsid w:val="006A0359"/>
    <w:rsid w:val="006A03DA"/>
    <w:rsid w:val="006A080A"/>
    <w:rsid w:val="006A0D89"/>
    <w:rsid w:val="006A0EFA"/>
    <w:rsid w:val="006A1092"/>
    <w:rsid w:val="006A120F"/>
    <w:rsid w:val="006A1514"/>
    <w:rsid w:val="006A18B6"/>
    <w:rsid w:val="006A1987"/>
    <w:rsid w:val="006A1E95"/>
    <w:rsid w:val="006A1EDC"/>
    <w:rsid w:val="006A1EEA"/>
    <w:rsid w:val="006A2198"/>
    <w:rsid w:val="006A2396"/>
    <w:rsid w:val="006A2508"/>
    <w:rsid w:val="006A2529"/>
    <w:rsid w:val="006A2A4F"/>
    <w:rsid w:val="006A2A7C"/>
    <w:rsid w:val="006A2D31"/>
    <w:rsid w:val="006A2FDA"/>
    <w:rsid w:val="006A314A"/>
    <w:rsid w:val="006A319B"/>
    <w:rsid w:val="006A3256"/>
    <w:rsid w:val="006A3492"/>
    <w:rsid w:val="006A3549"/>
    <w:rsid w:val="006A3563"/>
    <w:rsid w:val="006A3B31"/>
    <w:rsid w:val="006A3EAD"/>
    <w:rsid w:val="006A40F4"/>
    <w:rsid w:val="006A4342"/>
    <w:rsid w:val="006A476E"/>
    <w:rsid w:val="006A5658"/>
    <w:rsid w:val="006A584D"/>
    <w:rsid w:val="006A5B0F"/>
    <w:rsid w:val="006A5ED6"/>
    <w:rsid w:val="006A5FF3"/>
    <w:rsid w:val="006A6038"/>
    <w:rsid w:val="006A6278"/>
    <w:rsid w:val="006A6656"/>
    <w:rsid w:val="006A6CA1"/>
    <w:rsid w:val="006A6DC9"/>
    <w:rsid w:val="006A7060"/>
    <w:rsid w:val="006A72AF"/>
    <w:rsid w:val="006A77A0"/>
    <w:rsid w:val="006A78BD"/>
    <w:rsid w:val="006A7C2C"/>
    <w:rsid w:val="006A7C69"/>
    <w:rsid w:val="006A7DEF"/>
    <w:rsid w:val="006A7EF9"/>
    <w:rsid w:val="006B033E"/>
    <w:rsid w:val="006B0440"/>
    <w:rsid w:val="006B04CB"/>
    <w:rsid w:val="006B054B"/>
    <w:rsid w:val="006B096F"/>
    <w:rsid w:val="006B09AD"/>
    <w:rsid w:val="006B09E2"/>
    <w:rsid w:val="006B09EA"/>
    <w:rsid w:val="006B0BB7"/>
    <w:rsid w:val="006B0F21"/>
    <w:rsid w:val="006B1161"/>
    <w:rsid w:val="006B1472"/>
    <w:rsid w:val="006B14A6"/>
    <w:rsid w:val="006B16EA"/>
    <w:rsid w:val="006B1894"/>
    <w:rsid w:val="006B18C6"/>
    <w:rsid w:val="006B20EE"/>
    <w:rsid w:val="006B28D6"/>
    <w:rsid w:val="006B2A74"/>
    <w:rsid w:val="006B3645"/>
    <w:rsid w:val="006B3C0E"/>
    <w:rsid w:val="006B3F8F"/>
    <w:rsid w:val="006B429E"/>
    <w:rsid w:val="006B4405"/>
    <w:rsid w:val="006B4451"/>
    <w:rsid w:val="006B47FF"/>
    <w:rsid w:val="006B4826"/>
    <w:rsid w:val="006B4855"/>
    <w:rsid w:val="006B4884"/>
    <w:rsid w:val="006B49DC"/>
    <w:rsid w:val="006B4AE0"/>
    <w:rsid w:val="006B523A"/>
    <w:rsid w:val="006B52B4"/>
    <w:rsid w:val="006B57B0"/>
    <w:rsid w:val="006B57FB"/>
    <w:rsid w:val="006B5B8D"/>
    <w:rsid w:val="006B63CF"/>
    <w:rsid w:val="006B707E"/>
    <w:rsid w:val="006B78A4"/>
    <w:rsid w:val="006B7EF1"/>
    <w:rsid w:val="006C0400"/>
    <w:rsid w:val="006C08A6"/>
    <w:rsid w:val="006C0BE7"/>
    <w:rsid w:val="006C0E31"/>
    <w:rsid w:val="006C0E4B"/>
    <w:rsid w:val="006C15A2"/>
    <w:rsid w:val="006C1614"/>
    <w:rsid w:val="006C17EB"/>
    <w:rsid w:val="006C19E8"/>
    <w:rsid w:val="006C1A83"/>
    <w:rsid w:val="006C1BF6"/>
    <w:rsid w:val="006C1D8C"/>
    <w:rsid w:val="006C200A"/>
    <w:rsid w:val="006C296D"/>
    <w:rsid w:val="006C2A22"/>
    <w:rsid w:val="006C2AE8"/>
    <w:rsid w:val="006C2F8B"/>
    <w:rsid w:val="006C308E"/>
    <w:rsid w:val="006C30CA"/>
    <w:rsid w:val="006C335B"/>
    <w:rsid w:val="006C33C3"/>
    <w:rsid w:val="006C3908"/>
    <w:rsid w:val="006C3B77"/>
    <w:rsid w:val="006C401F"/>
    <w:rsid w:val="006C40B8"/>
    <w:rsid w:val="006C40D2"/>
    <w:rsid w:val="006C4201"/>
    <w:rsid w:val="006C4655"/>
    <w:rsid w:val="006C4660"/>
    <w:rsid w:val="006C46A0"/>
    <w:rsid w:val="006C46BD"/>
    <w:rsid w:val="006C4872"/>
    <w:rsid w:val="006C489B"/>
    <w:rsid w:val="006C492B"/>
    <w:rsid w:val="006C49B8"/>
    <w:rsid w:val="006C4FD5"/>
    <w:rsid w:val="006C51D5"/>
    <w:rsid w:val="006C55AB"/>
    <w:rsid w:val="006C5954"/>
    <w:rsid w:val="006C6115"/>
    <w:rsid w:val="006C61D7"/>
    <w:rsid w:val="006C63D5"/>
    <w:rsid w:val="006C6629"/>
    <w:rsid w:val="006C6655"/>
    <w:rsid w:val="006C6687"/>
    <w:rsid w:val="006C6DB6"/>
    <w:rsid w:val="006C6FD0"/>
    <w:rsid w:val="006C79B2"/>
    <w:rsid w:val="006C79C3"/>
    <w:rsid w:val="006C7A8F"/>
    <w:rsid w:val="006C7AB5"/>
    <w:rsid w:val="006C7D62"/>
    <w:rsid w:val="006C7FFB"/>
    <w:rsid w:val="006D03A2"/>
    <w:rsid w:val="006D0454"/>
    <w:rsid w:val="006D04F4"/>
    <w:rsid w:val="006D05CE"/>
    <w:rsid w:val="006D0DBA"/>
    <w:rsid w:val="006D0E08"/>
    <w:rsid w:val="006D0E8A"/>
    <w:rsid w:val="006D114A"/>
    <w:rsid w:val="006D122B"/>
    <w:rsid w:val="006D1263"/>
    <w:rsid w:val="006D1319"/>
    <w:rsid w:val="006D14BA"/>
    <w:rsid w:val="006D170E"/>
    <w:rsid w:val="006D17D6"/>
    <w:rsid w:val="006D17FC"/>
    <w:rsid w:val="006D1952"/>
    <w:rsid w:val="006D1C14"/>
    <w:rsid w:val="006D1E49"/>
    <w:rsid w:val="006D2327"/>
    <w:rsid w:val="006D2553"/>
    <w:rsid w:val="006D2AF1"/>
    <w:rsid w:val="006D2EB6"/>
    <w:rsid w:val="006D30CF"/>
    <w:rsid w:val="006D315D"/>
    <w:rsid w:val="006D3204"/>
    <w:rsid w:val="006D33D9"/>
    <w:rsid w:val="006D354F"/>
    <w:rsid w:val="006D3760"/>
    <w:rsid w:val="006D38F2"/>
    <w:rsid w:val="006D3D0F"/>
    <w:rsid w:val="006D4119"/>
    <w:rsid w:val="006D424A"/>
    <w:rsid w:val="006D432E"/>
    <w:rsid w:val="006D44B0"/>
    <w:rsid w:val="006D44C3"/>
    <w:rsid w:val="006D4535"/>
    <w:rsid w:val="006D45B8"/>
    <w:rsid w:val="006D45F3"/>
    <w:rsid w:val="006D48A9"/>
    <w:rsid w:val="006D48C3"/>
    <w:rsid w:val="006D4E91"/>
    <w:rsid w:val="006D4F2E"/>
    <w:rsid w:val="006D4FB8"/>
    <w:rsid w:val="006D524A"/>
    <w:rsid w:val="006D5284"/>
    <w:rsid w:val="006D5B0E"/>
    <w:rsid w:val="006D5D6D"/>
    <w:rsid w:val="006D5E78"/>
    <w:rsid w:val="006D6A53"/>
    <w:rsid w:val="006D6EC4"/>
    <w:rsid w:val="006D6F35"/>
    <w:rsid w:val="006D6F56"/>
    <w:rsid w:val="006D71C5"/>
    <w:rsid w:val="006D76C7"/>
    <w:rsid w:val="006D7850"/>
    <w:rsid w:val="006D7B82"/>
    <w:rsid w:val="006D7FCA"/>
    <w:rsid w:val="006DC977"/>
    <w:rsid w:val="006E093A"/>
    <w:rsid w:val="006E09EC"/>
    <w:rsid w:val="006E0F73"/>
    <w:rsid w:val="006E1595"/>
    <w:rsid w:val="006E198D"/>
    <w:rsid w:val="006E19C9"/>
    <w:rsid w:val="006E1C7C"/>
    <w:rsid w:val="006E1CF4"/>
    <w:rsid w:val="006E1F28"/>
    <w:rsid w:val="006E207B"/>
    <w:rsid w:val="006E2274"/>
    <w:rsid w:val="006E2491"/>
    <w:rsid w:val="006E2683"/>
    <w:rsid w:val="006E2880"/>
    <w:rsid w:val="006E2DB5"/>
    <w:rsid w:val="006E33DC"/>
    <w:rsid w:val="006E364C"/>
    <w:rsid w:val="006E3672"/>
    <w:rsid w:val="006E36C1"/>
    <w:rsid w:val="006E3789"/>
    <w:rsid w:val="006E3E50"/>
    <w:rsid w:val="006E403D"/>
    <w:rsid w:val="006E4070"/>
    <w:rsid w:val="006E4092"/>
    <w:rsid w:val="006E44F9"/>
    <w:rsid w:val="006E4861"/>
    <w:rsid w:val="006E4894"/>
    <w:rsid w:val="006E4DD6"/>
    <w:rsid w:val="006E5123"/>
    <w:rsid w:val="006E52CC"/>
    <w:rsid w:val="006E53A3"/>
    <w:rsid w:val="006E5449"/>
    <w:rsid w:val="006E5548"/>
    <w:rsid w:val="006E562B"/>
    <w:rsid w:val="006E596E"/>
    <w:rsid w:val="006E5FE4"/>
    <w:rsid w:val="006E6044"/>
    <w:rsid w:val="006E6275"/>
    <w:rsid w:val="006E63C5"/>
    <w:rsid w:val="006E67E9"/>
    <w:rsid w:val="006E689C"/>
    <w:rsid w:val="006E69D5"/>
    <w:rsid w:val="006E73A2"/>
    <w:rsid w:val="006E78FE"/>
    <w:rsid w:val="006E7DBA"/>
    <w:rsid w:val="006E7EC2"/>
    <w:rsid w:val="006F0190"/>
    <w:rsid w:val="006F02EB"/>
    <w:rsid w:val="006F0325"/>
    <w:rsid w:val="006F0592"/>
    <w:rsid w:val="006F0A4D"/>
    <w:rsid w:val="006F0AFA"/>
    <w:rsid w:val="006F0F7C"/>
    <w:rsid w:val="006F130F"/>
    <w:rsid w:val="006F1B52"/>
    <w:rsid w:val="006F1BCC"/>
    <w:rsid w:val="006F1BD3"/>
    <w:rsid w:val="006F208B"/>
    <w:rsid w:val="006F2335"/>
    <w:rsid w:val="006F27A6"/>
    <w:rsid w:val="006F28F2"/>
    <w:rsid w:val="006F2A00"/>
    <w:rsid w:val="006F2C94"/>
    <w:rsid w:val="006F307A"/>
    <w:rsid w:val="006F351E"/>
    <w:rsid w:val="006F3780"/>
    <w:rsid w:val="006F39A4"/>
    <w:rsid w:val="006F3B75"/>
    <w:rsid w:val="006F3BA2"/>
    <w:rsid w:val="006F42DE"/>
    <w:rsid w:val="006F4756"/>
    <w:rsid w:val="006F4D13"/>
    <w:rsid w:val="006F4DA2"/>
    <w:rsid w:val="006F519C"/>
    <w:rsid w:val="006F557C"/>
    <w:rsid w:val="006F5733"/>
    <w:rsid w:val="006F60D4"/>
    <w:rsid w:val="006F60FC"/>
    <w:rsid w:val="006F64EC"/>
    <w:rsid w:val="006F684C"/>
    <w:rsid w:val="006F690B"/>
    <w:rsid w:val="006F6A0D"/>
    <w:rsid w:val="006F6D4A"/>
    <w:rsid w:val="006F6E8A"/>
    <w:rsid w:val="006F714A"/>
    <w:rsid w:val="006F7972"/>
    <w:rsid w:val="006F7C96"/>
    <w:rsid w:val="006F7E0B"/>
    <w:rsid w:val="006F7F13"/>
    <w:rsid w:val="00700352"/>
    <w:rsid w:val="00700462"/>
    <w:rsid w:val="007005ED"/>
    <w:rsid w:val="0070090E"/>
    <w:rsid w:val="00700CDA"/>
    <w:rsid w:val="00700CFE"/>
    <w:rsid w:val="00701849"/>
    <w:rsid w:val="00701BDE"/>
    <w:rsid w:val="00701EF7"/>
    <w:rsid w:val="00702118"/>
    <w:rsid w:val="00702636"/>
    <w:rsid w:val="0070278A"/>
    <w:rsid w:val="007027E7"/>
    <w:rsid w:val="00702C8A"/>
    <w:rsid w:val="00702FA7"/>
    <w:rsid w:val="00703957"/>
    <w:rsid w:val="00703B96"/>
    <w:rsid w:val="007040D1"/>
    <w:rsid w:val="00704524"/>
    <w:rsid w:val="0070455B"/>
    <w:rsid w:val="0070473A"/>
    <w:rsid w:val="00704847"/>
    <w:rsid w:val="007048A8"/>
    <w:rsid w:val="0070497D"/>
    <w:rsid w:val="00704F69"/>
    <w:rsid w:val="0070546A"/>
    <w:rsid w:val="00705730"/>
    <w:rsid w:val="00705AB7"/>
    <w:rsid w:val="00705B33"/>
    <w:rsid w:val="00706103"/>
    <w:rsid w:val="0070615D"/>
    <w:rsid w:val="0070615E"/>
    <w:rsid w:val="0070644E"/>
    <w:rsid w:val="0070649E"/>
    <w:rsid w:val="0070652F"/>
    <w:rsid w:val="0070663E"/>
    <w:rsid w:val="00706C4B"/>
    <w:rsid w:val="00706CC5"/>
    <w:rsid w:val="00706D49"/>
    <w:rsid w:val="007072BB"/>
    <w:rsid w:val="00707665"/>
    <w:rsid w:val="00707684"/>
    <w:rsid w:val="00707738"/>
    <w:rsid w:val="0070779C"/>
    <w:rsid w:val="00707B2E"/>
    <w:rsid w:val="00707CA3"/>
    <w:rsid w:val="00710011"/>
    <w:rsid w:val="0071008C"/>
    <w:rsid w:val="007101BE"/>
    <w:rsid w:val="00710841"/>
    <w:rsid w:val="00710A58"/>
    <w:rsid w:val="00710A90"/>
    <w:rsid w:val="00710D39"/>
    <w:rsid w:val="00710F96"/>
    <w:rsid w:val="007110CF"/>
    <w:rsid w:val="0071116E"/>
    <w:rsid w:val="00711283"/>
    <w:rsid w:val="00711395"/>
    <w:rsid w:val="00711594"/>
    <w:rsid w:val="00711668"/>
    <w:rsid w:val="007116AC"/>
    <w:rsid w:val="0071177A"/>
    <w:rsid w:val="007119B3"/>
    <w:rsid w:val="00711B2E"/>
    <w:rsid w:val="00711CFB"/>
    <w:rsid w:val="00711DC0"/>
    <w:rsid w:val="00711E9B"/>
    <w:rsid w:val="0071239E"/>
    <w:rsid w:val="0071245A"/>
    <w:rsid w:val="007124A2"/>
    <w:rsid w:val="0071261D"/>
    <w:rsid w:val="007128FF"/>
    <w:rsid w:val="00712A8F"/>
    <w:rsid w:val="00712CE8"/>
    <w:rsid w:val="00712D5D"/>
    <w:rsid w:val="007132D2"/>
    <w:rsid w:val="007133ED"/>
    <w:rsid w:val="00713AD4"/>
    <w:rsid w:val="00713B51"/>
    <w:rsid w:val="00713C83"/>
    <w:rsid w:val="00713DC9"/>
    <w:rsid w:val="00713E66"/>
    <w:rsid w:val="00714A71"/>
    <w:rsid w:val="00714FF7"/>
    <w:rsid w:val="0071510A"/>
    <w:rsid w:val="00715308"/>
    <w:rsid w:val="00715760"/>
    <w:rsid w:val="00715904"/>
    <w:rsid w:val="00715A54"/>
    <w:rsid w:val="00715C74"/>
    <w:rsid w:val="00715FDF"/>
    <w:rsid w:val="00716483"/>
    <w:rsid w:val="00717482"/>
    <w:rsid w:val="007175EE"/>
    <w:rsid w:val="00717639"/>
    <w:rsid w:val="0071777C"/>
    <w:rsid w:val="00717AEB"/>
    <w:rsid w:val="00717E6C"/>
    <w:rsid w:val="0072015D"/>
    <w:rsid w:val="007201F8"/>
    <w:rsid w:val="00720202"/>
    <w:rsid w:val="00720250"/>
    <w:rsid w:val="007205F5"/>
    <w:rsid w:val="007209FB"/>
    <w:rsid w:val="00720DEB"/>
    <w:rsid w:val="00720E31"/>
    <w:rsid w:val="00720E8C"/>
    <w:rsid w:val="00720F3F"/>
    <w:rsid w:val="007211F5"/>
    <w:rsid w:val="007213CF"/>
    <w:rsid w:val="007214EE"/>
    <w:rsid w:val="00721754"/>
    <w:rsid w:val="00721C08"/>
    <w:rsid w:val="00721C9A"/>
    <w:rsid w:val="00721DCA"/>
    <w:rsid w:val="00721FBB"/>
    <w:rsid w:val="00722165"/>
    <w:rsid w:val="0072235D"/>
    <w:rsid w:val="007223EC"/>
    <w:rsid w:val="00722536"/>
    <w:rsid w:val="007230D6"/>
    <w:rsid w:val="00723540"/>
    <w:rsid w:val="007237F6"/>
    <w:rsid w:val="0072380F"/>
    <w:rsid w:val="00723A71"/>
    <w:rsid w:val="00723C86"/>
    <w:rsid w:val="00723D00"/>
    <w:rsid w:val="00723D89"/>
    <w:rsid w:val="00723E4B"/>
    <w:rsid w:val="00724508"/>
    <w:rsid w:val="00724553"/>
    <w:rsid w:val="0072461E"/>
    <w:rsid w:val="00724893"/>
    <w:rsid w:val="00724AF1"/>
    <w:rsid w:val="00724B29"/>
    <w:rsid w:val="00724DD5"/>
    <w:rsid w:val="00725045"/>
    <w:rsid w:val="00725451"/>
    <w:rsid w:val="007255DF"/>
    <w:rsid w:val="0072563F"/>
    <w:rsid w:val="00725CCE"/>
    <w:rsid w:val="00725EAE"/>
    <w:rsid w:val="00726023"/>
    <w:rsid w:val="007261A3"/>
    <w:rsid w:val="00726447"/>
    <w:rsid w:val="00726892"/>
    <w:rsid w:val="007268D2"/>
    <w:rsid w:val="00726A15"/>
    <w:rsid w:val="00726B8C"/>
    <w:rsid w:val="007279E6"/>
    <w:rsid w:val="00727C40"/>
    <w:rsid w:val="00727FEE"/>
    <w:rsid w:val="007301E1"/>
    <w:rsid w:val="00730BF4"/>
    <w:rsid w:val="00730DA7"/>
    <w:rsid w:val="00730DEB"/>
    <w:rsid w:val="0073154F"/>
    <w:rsid w:val="00731768"/>
    <w:rsid w:val="007317DF"/>
    <w:rsid w:val="0073196E"/>
    <w:rsid w:val="00731D81"/>
    <w:rsid w:val="00732339"/>
    <w:rsid w:val="00732357"/>
    <w:rsid w:val="007326C2"/>
    <w:rsid w:val="00732CFA"/>
    <w:rsid w:val="00732DD6"/>
    <w:rsid w:val="00732E2C"/>
    <w:rsid w:val="00732FE9"/>
    <w:rsid w:val="00733398"/>
    <w:rsid w:val="0073347C"/>
    <w:rsid w:val="007337C3"/>
    <w:rsid w:val="00733CD9"/>
    <w:rsid w:val="00734468"/>
    <w:rsid w:val="0073449F"/>
    <w:rsid w:val="00734515"/>
    <w:rsid w:val="00734A07"/>
    <w:rsid w:val="00734A80"/>
    <w:rsid w:val="00734CED"/>
    <w:rsid w:val="00734D81"/>
    <w:rsid w:val="00734DAC"/>
    <w:rsid w:val="00734E61"/>
    <w:rsid w:val="0073510C"/>
    <w:rsid w:val="00735135"/>
    <w:rsid w:val="0073513B"/>
    <w:rsid w:val="007351D1"/>
    <w:rsid w:val="00735319"/>
    <w:rsid w:val="0073548C"/>
    <w:rsid w:val="00735526"/>
    <w:rsid w:val="00735677"/>
    <w:rsid w:val="00735719"/>
    <w:rsid w:val="007358D0"/>
    <w:rsid w:val="00735A04"/>
    <w:rsid w:val="00735E9D"/>
    <w:rsid w:val="00735ECF"/>
    <w:rsid w:val="00735F7C"/>
    <w:rsid w:val="007361F8"/>
    <w:rsid w:val="00736245"/>
    <w:rsid w:val="0073624E"/>
    <w:rsid w:val="0073689D"/>
    <w:rsid w:val="007368A2"/>
    <w:rsid w:val="00736BA5"/>
    <w:rsid w:val="00736BB4"/>
    <w:rsid w:val="00736DE9"/>
    <w:rsid w:val="00736E47"/>
    <w:rsid w:val="00736E91"/>
    <w:rsid w:val="0073750C"/>
    <w:rsid w:val="00737BA9"/>
    <w:rsid w:val="00737CBF"/>
    <w:rsid w:val="00737D5A"/>
    <w:rsid w:val="00737D62"/>
    <w:rsid w:val="00740168"/>
    <w:rsid w:val="007406AA"/>
    <w:rsid w:val="007409A2"/>
    <w:rsid w:val="00740B9E"/>
    <w:rsid w:val="00741669"/>
    <w:rsid w:val="00741E87"/>
    <w:rsid w:val="00741EF2"/>
    <w:rsid w:val="0074221F"/>
    <w:rsid w:val="007422A1"/>
    <w:rsid w:val="007422F7"/>
    <w:rsid w:val="00742439"/>
    <w:rsid w:val="0074253C"/>
    <w:rsid w:val="00742E13"/>
    <w:rsid w:val="00743585"/>
    <w:rsid w:val="0074359A"/>
    <w:rsid w:val="007435E0"/>
    <w:rsid w:val="00743766"/>
    <w:rsid w:val="00743A10"/>
    <w:rsid w:val="00743B6C"/>
    <w:rsid w:val="00743BDE"/>
    <w:rsid w:val="00743ED9"/>
    <w:rsid w:val="00743F17"/>
    <w:rsid w:val="00744437"/>
    <w:rsid w:val="007445F6"/>
    <w:rsid w:val="007449EA"/>
    <w:rsid w:val="00744C7B"/>
    <w:rsid w:val="00745BAD"/>
    <w:rsid w:val="00746077"/>
    <w:rsid w:val="00746186"/>
    <w:rsid w:val="00746422"/>
    <w:rsid w:val="007464BD"/>
    <w:rsid w:val="007465A9"/>
    <w:rsid w:val="00746C5D"/>
    <w:rsid w:val="00747514"/>
    <w:rsid w:val="007478B0"/>
    <w:rsid w:val="007479DD"/>
    <w:rsid w:val="00747C1C"/>
    <w:rsid w:val="00747E0D"/>
    <w:rsid w:val="00747F54"/>
    <w:rsid w:val="00747F92"/>
    <w:rsid w:val="00750405"/>
    <w:rsid w:val="007505AA"/>
    <w:rsid w:val="0075066D"/>
    <w:rsid w:val="00750AE3"/>
    <w:rsid w:val="00750B7B"/>
    <w:rsid w:val="00750C9F"/>
    <w:rsid w:val="00750CF1"/>
    <w:rsid w:val="00750EC9"/>
    <w:rsid w:val="00750F30"/>
    <w:rsid w:val="007511CB"/>
    <w:rsid w:val="0075144B"/>
    <w:rsid w:val="00751864"/>
    <w:rsid w:val="00751949"/>
    <w:rsid w:val="00751B11"/>
    <w:rsid w:val="007520EE"/>
    <w:rsid w:val="007522DA"/>
    <w:rsid w:val="00752434"/>
    <w:rsid w:val="00752926"/>
    <w:rsid w:val="00752B5E"/>
    <w:rsid w:val="0075343A"/>
    <w:rsid w:val="00753603"/>
    <w:rsid w:val="00753E2F"/>
    <w:rsid w:val="00753E9F"/>
    <w:rsid w:val="00754109"/>
    <w:rsid w:val="0075428D"/>
    <w:rsid w:val="00754398"/>
    <w:rsid w:val="007546DF"/>
    <w:rsid w:val="00754817"/>
    <w:rsid w:val="00754A0D"/>
    <w:rsid w:val="00755109"/>
    <w:rsid w:val="007552C1"/>
    <w:rsid w:val="0075531A"/>
    <w:rsid w:val="00755752"/>
    <w:rsid w:val="007558C7"/>
    <w:rsid w:val="00755AE8"/>
    <w:rsid w:val="00755C46"/>
    <w:rsid w:val="00755FB9"/>
    <w:rsid w:val="007561B0"/>
    <w:rsid w:val="00756254"/>
    <w:rsid w:val="007562E2"/>
    <w:rsid w:val="007566FD"/>
    <w:rsid w:val="00756CEB"/>
    <w:rsid w:val="00756E67"/>
    <w:rsid w:val="0075700E"/>
    <w:rsid w:val="00757512"/>
    <w:rsid w:val="007576AA"/>
    <w:rsid w:val="007577C2"/>
    <w:rsid w:val="00757A9C"/>
    <w:rsid w:val="00757D68"/>
    <w:rsid w:val="0075EDC3"/>
    <w:rsid w:val="00760173"/>
    <w:rsid w:val="007601E0"/>
    <w:rsid w:val="0076026A"/>
    <w:rsid w:val="00760358"/>
    <w:rsid w:val="007605FA"/>
    <w:rsid w:val="007607F6"/>
    <w:rsid w:val="007609C8"/>
    <w:rsid w:val="00760E6F"/>
    <w:rsid w:val="00760F6A"/>
    <w:rsid w:val="00761014"/>
    <w:rsid w:val="00761106"/>
    <w:rsid w:val="00761286"/>
    <w:rsid w:val="0076134A"/>
    <w:rsid w:val="0076150B"/>
    <w:rsid w:val="00761E94"/>
    <w:rsid w:val="00761EBC"/>
    <w:rsid w:val="007628D9"/>
    <w:rsid w:val="00762E4A"/>
    <w:rsid w:val="00762F2B"/>
    <w:rsid w:val="00763233"/>
    <w:rsid w:val="0076328E"/>
    <w:rsid w:val="00763B45"/>
    <w:rsid w:val="00763BC6"/>
    <w:rsid w:val="00763CA0"/>
    <w:rsid w:val="00763E3C"/>
    <w:rsid w:val="00763FC0"/>
    <w:rsid w:val="007641FC"/>
    <w:rsid w:val="00764395"/>
    <w:rsid w:val="007643BA"/>
    <w:rsid w:val="0076460B"/>
    <w:rsid w:val="00765339"/>
    <w:rsid w:val="0076539B"/>
    <w:rsid w:val="0076561E"/>
    <w:rsid w:val="00765776"/>
    <w:rsid w:val="007657D8"/>
    <w:rsid w:val="00765951"/>
    <w:rsid w:val="007659C6"/>
    <w:rsid w:val="00765C74"/>
    <w:rsid w:val="00765F7A"/>
    <w:rsid w:val="0076607E"/>
    <w:rsid w:val="007661B0"/>
    <w:rsid w:val="007661D3"/>
    <w:rsid w:val="00766881"/>
    <w:rsid w:val="00766FC4"/>
    <w:rsid w:val="0076719F"/>
    <w:rsid w:val="007676C3"/>
    <w:rsid w:val="007679C7"/>
    <w:rsid w:val="00767A8C"/>
    <w:rsid w:val="00767DFE"/>
    <w:rsid w:val="00767F5F"/>
    <w:rsid w:val="00770918"/>
    <w:rsid w:val="00770A3E"/>
    <w:rsid w:val="00771738"/>
    <w:rsid w:val="00771ED0"/>
    <w:rsid w:val="0077211A"/>
    <w:rsid w:val="007724F5"/>
    <w:rsid w:val="00772676"/>
    <w:rsid w:val="00772780"/>
    <w:rsid w:val="00772884"/>
    <w:rsid w:val="007728E9"/>
    <w:rsid w:val="00772B4E"/>
    <w:rsid w:val="00772BDF"/>
    <w:rsid w:val="00772E01"/>
    <w:rsid w:val="007730C7"/>
    <w:rsid w:val="007731F0"/>
    <w:rsid w:val="00773353"/>
    <w:rsid w:val="007733F0"/>
    <w:rsid w:val="00773759"/>
    <w:rsid w:val="007737B8"/>
    <w:rsid w:val="007739FF"/>
    <w:rsid w:val="00773BE4"/>
    <w:rsid w:val="00773D18"/>
    <w:rsid w:val="00773FCF"/>
    <w:rsid w:val="00773FDD"/>
    <w:rsid w:val="007743A9"/>
    <w:rsid w:val="0077460E"/>
    <w:rsid w:val="00774CFC"/>
    <w:rsid w:val="00775261"/>
    <w:rsid w:val="007753B4"/>
    <w:rsid w:val="00775821"/>
    <w:rsid w:val="00776291"/>
    <w:rsid w:val="00776401"/>
    <w:rsid w:val="00776447"/>
    <w:rsid w:val="0077683F"/>
    <w:rsid w:val="00777081"/>
    <w:rsid w:val="007771C0"/>
    <w:rsid w:val="00777900"/>
    <w:rsid w:val="00777B06"/>
    <w:rsid w:val="00780003"/>
    <w:rsid w:val="007800B4"/>
    <w:rsid w:val="007804F8"/>
    <w:rsid w:val="00780801"/>
    <w:rsid w:val="007808D8"/>
    <w:rsid w:val="00780A45"/>
    <w:rsid w:val="00780B6B"/>
    <w:rsid w:val="00780DC8"/>
    <w:rsid w:val="007810D6"/>
    <w:rsid w:val="00781302"/>
    <w:rsid w:val="007816F1"/>
    <w:rsid w:val="0078176A"/>
    <w:rsid w:val="00781D5C"/>
    <w:rsid w:val="00781D99"/>
    <w:rsid w:val="00781DD2"/>
    <w:rsid w:val="007822C8"/>
    <w:rsid w:val="0078244B"/>
    <w:rsid w:val="00782651"/>
    <w:rsid w:val="007826AB"/>
    <w:rsid w:val="0078275B"/>
    <w:rsid w:val="00782891"/>
    <w:rsid w:val="00782A08"/>
    <w:rsid w:val="00782D97"/>
    <w:rsid w:val="00782E27"/>
    <w:rsid w:val="00782F58"/>
    <w:rsid w:val="0078318D"/>
    <w:rsid w:val="0078319E"/>
    <w:rsid w:val="007832DC"/>
    <w:rsid w:val="0078378F"/>
    <w:rsid w:val="00783842"/>
    <w:rsid w:val="00783B76"/>
    <w:rsid w:val="00783D89"/>
    <w:rsid w:val="00783F90"/>
    <w:rsid w:val="007840D0"/>
    <w:rsid w:val="00785038"/>
    <w:rsid w:val="00785389"/>
    <w:rsid w:val="007855DF"/>
    <w:rsid w:val="007858B7"/>
    <w:rsid w:val="00785A83"/>
    <w:rsid w:val="00786291"/>
    <w:rsid w:val="007865A1"/>
    <w:rsid w:val="007865F3"/>
    <w:rsid w:val="007867B3"/>
    <w:rsid w:val="0078689D"/>
    <w:rsid w:val="00786B16"/>
    <w:rsid w:val="00786BA5"/>
    <w:rsid w:val="00786C6D"/>
    <w:rsid w:val="00786E8C"/>
    <w:rsid w:val="00786E91"/>
    <w:rsid w:val="007870DC"/>
    <w:rsid w:val="007871FF"/>
    <w:rsid w:val="007876E3"/>
    <w:rsid w:val="007876ED"/>
    <w:rsid w:val="0078773E"/>
    <w:rsid w:val="007878CD"/>
    <w:rsid w:val="00787BFF"/>
    <w:rsid w:val="00787D13"/>
    <w:rsid w:val="00790392"/>
    <w:rsid w:val="007903EA"/>
    <w:rsid w:val="007904E6"/>
    <w:rsid w:val="00790863"/>
    <w:rsid w:val="007908B9"/>
    <w:rsid w:val="00790ECB"/>
    <w:rsid w:val="00790F7F"/>
    <w:rsid w:val="00790FB7"/>
    <w:rsid w:val="007910E8"/>
    <w:rsid w:val="0079139F"/>
    <w:rsid w:val="0079179A"/>
    <w:rsid w:val="00791A38"/>
    <w:rsid w:val="00791A39"/>
    <w:rsid w:val="00792097"/>
    <w:rsid w:val="00792257"/>
    <w:rsid w:val="007928AD"/>
    <w:rsid w:val="00792998"/>
    <w:rsid w:val="00792B94"/>
    <w:rsid w:val="00792DCE"/>
    <w:rsid w:val="007934A8"/>
    <w:rsid w:val="007936D9"/>
    <w:rsid w:val="00793AEC"/>
    <w:rsid w:val="00793F99"/>
    <w:rsid w:val="00793FC0"/>
    <w:rsid w:val="0079411E"/>
    <w:rsid w:val="00794176"/>
    <w:rsid w:val="00794628"/>
    <w:rsid w:val="00794724"/>
    <w:rsid w:val="007947E9"/>
    <w:rsid w:val="007949DE"/>
    <w:rsid w:val="00794FF7"/>
    <w:rsid w:val="00795198"/>
    <w:rsid w:val="007953FE"/>
    <w:rsid w:val="0079563F"/>
    <w:rsid w:val="00795643"/>
    <w:rsid w:val="00795983"/>
    <w:rsid w:val="00795A07"/>
    <w:rsid w:val="00795CF9"/>
    <w:rsid w:val="00796075"/>
    <w:rsid w:val="0079629C"/>
    <w:rsid w:val="007965A5"/>
    <w:rsid w:val="00796701"/>
    <w:rsid w:val="00796823"/>
    <w:rsid w:val="0079692A"/>
    <w:rsid w:val="00797621"/>
    <w:rsid w:val="00797F6D"/>
    <w:rsid w:val="00798D83"/>
    <w:rsid w:val="007A00CA"/>
    <w:rsid w:val="007A0174"/>
    <w:rsid w:val="007A0310"/>
    <w:rsid w:val="007A0733"/>
    <w:rsid w:val="007A0BB2"/>
    <w:rsid w:val="007A0BD5"/>
    <w:rsid w:val="007A0C1E"/>
    <w:rsid w:val="007A0EBA"/>
    <w:rsid w:val="007A11B7"/>
    <w:rsid w:val="007A1206"/>
    <w:rsid w:val="007A16BF"/>
    <w:rsid w:val="007A190E"/>
    <w:rsid w:val="007A1A42"/>
    <w:rsid w:val="007A1A8A"/>
    <w:rsid w:val="007A1DF5"/>
    <w:rsid w:val="007A1E0D"/>
    <w:rsid w:val="007A1EC1"/>
    <w:rsid w:val="007A1F11"/>
    <w:rsid w:val="007A225A"/>
    <w:rsid w:val="007A2ABC"/>
    <w:rsid w:val="007A2B94"/>
    <w:rsid w:val="007A30F0"/>
    <w:rsid w:val="007A3163"/>
    <w:rsid w:val="007A3D7C"/>
    <w:rsid w:val="007A3E19"/>
    <w:rsid w:val="007A3F9B"/>
    <w:rsid w:val="007A446C"/>
    <w:rsid w:val="007A457F"/>
    <w:rsid w:val="007A45C6"/>
    <w:rsid w:val="007A4C1B"/>
    <w:rsid w:val="007A4D06"/>
    <w:rsid w:val="007A5131"/>
    <w:rsid w:val="007A51D6"/>
    <w:rsid w:val="007A53E0"/>
    <w:rsid w:val="007A5472"/>
    <w:rsid w:val="007A55A3"/>
    <w:rsid w:val="007A587B"/>
    <w:rsid w:val="007A58E7"/>
    <w:rsid w:val="007A5A21"/>
    <w:rsid w:val="007A5A51"/>
    <w:rsid w:val="007A5AA1"/>
    <w:rsid w:val="007A5C86"/>
    <w:rsid w:val="007A60FC"/>
    <w:rsid w:val="007A61E6"/>
    <w:rsid w:val="007A621F"/>
    <w:rsid w:val="007A6264"/>
    <w:rsid w:val="007A6538"/>
    <w:rsid w:val="007A6D0C"/>
    <w:rsid w:val="007A6F9D"/>
    <w:rsid w:val="007A7447"/>
    <w:rsid w:val="007A7922"/>
    <w:rsid w:val="007A79C2"/>
    <w:rsid w:val="007A79FA"/>
    <w:rsid w:val="007A7B8C"/>
    <w:rsid w:val="007A7BF2"/>
    <w:rsid w:val="007A7CCE"/>
    <w:rsid w:val="007B02D5"/>
    <w:rsid w:val="007B083D"/>
    <w:rsid w:val="007B0AA5"/>
    <w:rsid w:val="007B0F61"/>
    <w:rsid w:val="007B10BB"/>
    <w:rsid w:val="007B14A9"/>
    <w:rsid w:val="007B1584"/>
    <w:rsid w:val="007B1607"/>
    <w:rsid w:val="007B174C"/>
    <w:rsid w:val="007B1B8D"/>
    <w:rsid w:val="007B1CC2"/>
    <w:rsid w:val="007B20BD"/>
    <w:rsid w:val="007B2403"/>
    <w:rsid w:val="007B254A"/>
    <w:rsid w:val="007B2E15"/>
    <w:rsid w:val="007B2F32"/>
    <w:rsid w:val="007B3119"/>
    <w:rsid w:val="007B31A2"/>
    <w:rsid w:val="007B331D"/>
    <w:rsid w:val="007B356C"/>
    <w:rsid w:val="007B3A6C"/>
    <w:rsid w:val="007B3BD8"/>
    <w:rsid w:val="007B3EC7"/>
    <w:rsid w:val="007B3F28"/>
    <w:rsid w:val="007B4019"/>
    <w:rsid w:val="007B44A2"/>
    <w:rsid w:val="007B452D"/>
    <w:rsid w:val="007B4B08"/>
    <w:rsid w:val="007B4B90"/>
    <w:rsid w:val="007B4C26"/>
    <w:rsid w:val="007B4D9E"/>
    <w:rsid w:val="007B50C8"/>
    <w:rsid w:val="007B53CB"/>
    <w:rsid w:val="007B5770"/>
    <w:rsid w:val="007B58E4"/>
    <w:rsid w:val="007B5B40"/>
    <w:rsid w:val="007B5E08"/>
    <w:rsid w:val="007B5E10"/>
    <w:rsid w:val="007B5FE1"/>
    <w:rsid w:val="007B605D"/>
    <w:rsid w:val="007B61EC"/>
    <w:rsid w:val="007B6330"/>
    <w:rsid w:val="007B66A0"/>
    <w:rsid w:val="007B66F0"/>
    <w:rsid w:val="007B67A6"/>
    <w:rsid w:val="007B6AC1"/>
    <w:rsid w:val="007B6E4E"/>
    <w:rsid w:val="007B6F34"/>
    <w:rsid w:val="007B71E9"/>
    <w:rsid w:val="007B735C"/>
    <w:rsid w:val="007B73B8"/>
    <w:rsid w:val="007B740D"/>
    <w:rsid w:val="007B76E6"/>
    <w:rsid w:val="007B7C1E"/>
    <w:rsid w:val="007C01BB"/>
    <w:rsid w:val="007C03A6"/>
    <w:rsid w:val="007C090F"/>
    <w:rsid w:val="007C0D2C"/>
    <w:rsid w:val="007C11F3"/>
    <w:rsid w:val="007C1232"/>
    <w:rsid w:val="007C12FD"/>
    <w:rsid w:val="007C1348"/>
    <w:rsid w:val="007C1702"/>
    <w:rsid w:val="007C19BD"/>
    <w:rsid w:val="007C1A91"/>
    <w:rsid w:val="007C1B50"/>
    <w:rsid w:val="007C1BDC"/>
    <w:rsid w:val="007C1C0E"/>
    <w:rsid w:val="007C1EAE"/>
    <w:rsid w:val="007C2079"/>
    <w:rsid w:val="007C25B3"/>
    <w:rsid w:val="007C25CF"/>
    <w:rsid w:val="007C2A51"/>
    <w:rsid w:val="007C2AB5"/>
    <w:rsid w:val="007C3C46"/>
    <w:rsid w:val="007C3D0C"/>
    <w:rsid w:val="007C40DC"/>
    <w:rsid w:val="007C41D1"/>
    <w:rsid w:val="007C445D"/>
    <w:rsid w:val="007C4524"/>
    <w:rsid w:val="007C4840"/>
    <w:rsid w:val="007C48C7"/>
    <w:rsid w:val="007C4FBB"/>
    <w:rsid w:val="007C58A4"/>
    <w:rsid w:val="007C5D12"/>
    <w:rsid w:val="007C5EB1"/>
    <w:rsid w:val="007C5FCA"/>
    <w:rsid w:val="007C6028"/>
    <w:rsid w:val="007C6081"/>
    <w:rsid w:val="007C62F9"/>
    <w:rsid w:val="007C63A6"/>
    <w:rsid w:val="007C6559"/>
    <w:rsid w:val="007C69D6"/>
    <w:rsid w:val="007C6D20"/>
    <w:rsid w:val="007C6F28"/>
    <w:rsid w:val="007C72C3"/>
    <w:rsid w:val="007C7306"/>
    <w:rsid w:val="007C7564"/>
    <w:rsid w:val="007C76DF"/>
    <w:rsid w:val="007C78CD"/>
    <w:rsid w:val="007C7BEB"/>
    <w:rsid w:val="007C7CB7"/>
    <w:rsid w:val="007C7D6A"/>
    <w:rsid w:val="007C7F4D"/>
    <w:rsid w:val="007D0230"/>
    <w:rsid w:val="007D06D3"/>
    <w:rsid w:val="007D093B"/>
    <w:rsid w:val="007D1157"/>
    <w:rsid w:val="007D12DF"/>
    <w:rsid w:val="007D1659"/>
    <w:rsid w:val="007D220A"/>
    <w:rsid w:val="007D223F"/>
    <w:rsid w:val="007D27B2"/>
    <w:rsid w:val="007D2849"/>
    <w:rsid w:val="007D2CEB"/>
    <w:rsid w:val="007D2FD8"/>
    <w:rsid w:val="007D3064"/>
    <w:rsid w:val="007D3591"/>
    <w:rsid w:val="007D389C"/>
    <w:rsid w:val="007D39AE"/>
    <w:rsid w:val="007D3CDC"/>
    <w:rsid w:val="007D4165"/>
    <w:rsid w:val="007D4723"/>
    <w:rsid w:val="007D4B97"/>
    <w:rsid w:val="007D52DD"/>
    <w:rsid w:val="007D5466"/>
    <w:rsid w:val="007D54E2"/>
    <w:rsid w:val="007D55B2"/>
    <w:rsid w:val="007D5787"/>
    <w:rsid w:val="007D5824"/>
    <w:rsid w:val="007D5908"/>
    <w:rsid w:val="007D59EA"/>
    <w:rsid w:val="007D5D1D"/>
    <w:rsid w:val="007D5D36"/>
    <w:rsid w:val="007D5D38"/>
    <w:rsid w:val="007D6250"/>
    <w:rsid w:val="007D6285"/>
    <w:rsid w:val="007D65E8"/>
    <w:rsid w:val="007D6683"/>
    <w:rsid w:val="007D6766"/>
    <w:rsid w:val="007D6CBC"/>
    <w:rsid w:val="007D71C0"/>
    <w:rsid w:val="007D748B"/>
    <w:rsid w:val="007E011C"/>
    <w:rsid w:val="007E012B"/>
    <w:rsid w:val="007E0186"/>
    <w:rsid w:val="007E0467"/>
    <w:rsid w:val="007E046D"/>
    <w:rsid w:val="007E0B06"/>
    <w:rsid w:val="007E0DAD"/>
    <w:rsid w:val="007E1153"/>
    <w:rsid w:val="007E15FD"/>
    <w:rsid w:val="007E16B9"/>
    <w:rsid w:val="007E223D"/>
    <w:rsid w:val="007E22D1"/>
    <w:rsid w:val="007E22DB"/>
    <w:rsid w:val="007E2976"/>
    <w:rsid w:val="007E2BC1"/>
    <w:rsid w:val="007E2C50"/>
    <w:rsid w:val="007E2D09"/>
    <w:rsid w:val="007E3573"/>
    <w:rsid w:val="007E3892"/>
    <w:rsid w:val="007E3EFB"/>
    <w:rsid w:val="007E3F93"/>
    <w:rsid w:val="007E4A72"/>
    <w:rsid w:val="007E4A93"/>
    <w:rsid w:val="007E4DCC"/>
    <w:rsid w:val="007E4F01"/>
    <w:rsid w:val="007E511B"/>
    <w:rsid w:val="007E526C"/>
    <w:rsid w:val="007E535F"/>
    <w:rsid w:val="007E5506"/>
    <w:rsid w:val="007E5864"/>
    <w:rsid w:val="007E5953"/>
    <w:rsid w:val="007E6167"/>
    <w:rsid w:val="007E67A2"/>
    <w:rsid w:val="007E6B45"/>
    <w:rsid w:val="007E6C9C"/>
    <w:rsid w:val="007E70DB"/>
    <w:rsid w:val="007E74C5"/>
    <w:rsid w:val="007E7919"/>
    <w:rsid w:val="007E79AD"/>
    <w:rsid w:val="007E7AD0"/>
    <w:rsid w:val="007F0021"/>
    <w:rsid w:val="007F092E"/>
    <w:rsid w:val="007F0B72"/>
    <w:rsid w:val="007F0BB8"/>
    <w:rsid w:val="007F0D9D"/>
    <w:rsid w:val="007F0E01"/>
    <w:rsid w:val="007F0E34"/>
    <w:rsid w:val="007F0E65"/>
    <w:rsid w:val="007F0E9C"/>
    <w:rsid w:val="007F0F79"/>
    <w:rsid w:val="007F106A"/>
    <w:rsid w:val="007F1314"/>
    <w:rsid w:val="007F1377"/>
    <w:rsid w:val="007F16E9"/>
    <w:rsid w:val="007F1BA8"/>
    <w:rsid w:val="007F1DA9"/>
    <w:rsid w:val="007F1EC0"/>
    <w:rsid w:val="007F2011"/>
    <w:rsid w:val="007F21D6"/>
    <w:rsid w:val="007F2296"/>
    <w:rsid w:val="007F252C"/>
    <w:rsid w:val="007F29A3"/>
    <w:rsid w:val="007F2CC5"/>
    <w:rsid w:val="007F32C6"/>
    <w:rsid w:val="007F3593"/>
    <w:rsid w:val="007F4036"/>
    <w:rsid w:val="007F42D2"/>
    <w:rsid w:val="007F46A0"/>
    <w:rsid w:val="007F46FB"/>
    <w:rsid w:val="007F474E"/>
    <w:rsid w:val="007F491D"/>
    <w:rsid w:val="007F4FF3"/>
    <w:rsid w:val="007F5050"/>
    <w:rsid w:val="007F51AE"/>
    <w:rsid w:val="007F52F7"/>
    <w:rsid w:val="007F53CF"/>
    <w:rsid w:val="007F5545"/>
    <w:rsid w:val="007F557F"/>
    <w:rsid w:val="007F57CD"/>
    <w:rsid w:val="007F601D"/>
    <w:rsid w:val="007F61B4"/>
    <w:rsid w:val="007F6368"/>
    <w:rsid w:val="007F653C"/>
    <w:rsid w:val="007F6BA5"/>
    <w:rsid w:val="007F7145"/>
    <w:rsid w:val="007F73A9"/>
    <w:rsid w:val="007F75F9"/>
    <w:rsid w:val="007F77DA"/>
    <w:rsid w:val="007F7A0C"/>
    <w:rsid w:val="007F7B2F"/>
    <w:rsid w:val="007F7B7F"/>
    <w:rsid w:val="007F7BE2"/>
    <w:rsid w:val="0080004E"/>
    <w:rsid w:val="00800398"/>
    <w:rsid w:val="0080050E"/>
    <w:rsid w:val="00800813"/>
    <w:rsid w:val="00800834"/>
    <w:rsid w:val="00800FDC"/>
    <w:rsid w:val="0080149E"/>
    <w:rsid w:val="00801515"/>
    <w:rsid w:val="008018F9"/>
    <w:rsid w:val="0080211D"/>
    <w:rsid w:val="008021FA"/>
    <w:rsid w:val="00802B8D"/>
    <w:rsid w:val="008030D2"/>
    <w:rsid w:val="00803193"/>
    <w:rsid w:val="0080321A"/>
    <w:rsid w:val="0080334A"/>
    <w:rsid w:val="00803845"/>
    <w:rsid w:val="00803991"/>
    <w:rsid w:val="008039F1"/>
    <w:rsid w:val="00803C60"/>
    <w:rsid w:val="00803CCB"/>
    <w:rsid w:val="008041FE"/>
    <w:rsid w:val="0080422C"/>
    <w:rsid w:val="008043DE"/>
    <w:rsid w:val="00804688"/>
    <w:rsid w:val="008046E6"/>
    <w:rsid w:val="0080498D"/>
    <w:rsid w:val="008052C0"/>
    <w:rsid w:val="008055E4"/>
    <w:rsid w:val="0080570D"/>
    <w:rsid w:val="00805CFA"/>
    <w:rsid w:val="00805E8D"/>
    <w:rsid w:val="0080606A"/>
    <w:rsid w:val="0080648B"/>
    <w:rsid w:val="008065F0"/>
    <w:rsid w:val="0080674E"/>
    <w:rsid w:val="00806769"/>
    <w:rsid w:val="008067ED"/>
    <w:rsid w:val="00806BCB"/>
    <w:rsid w:val="00806C97"/>
    <w:rsid w:val="00807111"/>
    <w:rsid w:val="008073F6"/>
    <w:rsid w:val="008074D5"/>
    <w:rsid w:val="00807756"/>
    <w:rsid w:val="00807C0B"/>
    <w:rsid w:val="00807C2F"/>
    <w:rsid w:val="00807D18"/>
    <w:rsid w:val="00807DEE"/>
    <w:rsid w:val="00807F6E"/>
    <w:rsid w:val="0080C00D"/>
    <w:rsid w:val="00810199"/>
    <w:rsid w:val="00810282"/>
    <w:rsid w:val="008102A5"/>
    <w:rsid w:val="0081062E"/>
    <w:rsid w:val="008107EB"/>
    <w:rsid w:val="00810A98"/>
    <w:rsid w:val="00810B67"/>
    <w:rsid w:val="00810B88"/>
    <w:rsid w:val="00810F58"/>
    <w:rsid w:val="00810FEA"/>
    <w:rsid w:val="00811BB5"/>
    <w:rsid w:val="00811C1C"/>
    <w:rsid w:val="00811C54"/>
    <w:rsid w:val="00811CE1"/>
    <w:rsid w:val="00811F1B"/>
    <w:rsid w:val="00812436"/>
    <w:rsid w:val="00812663"/>
    <w:rsid w:val="008129C6"/>
    <w:rsid w:val="00812A02"/>
    <w:rsid w:val="00812D7C"/>
    <w:rsid w:val="00812E0A"/>
    <w:rsid w:val="0081352B"/>
    <w:rsid w:val="008140C1"/>
    <w:rsid w:val="0081419F"/>
    <w:rsid w:val="00814514"/>
    <w:rsid w:val="00814562"/>
    <w:rsid w:val="008146A7"/>
    <w:rsid w:val="008147B2"/>
    <w:rsid w:val="00814D62"/>
    <w:rsid w:val="00814EFD"/>
    <w:rsid w:val="00814F1F"/>
    <w:rsid w:val="00815134"/>
    <w:rsid w:val="008154B5"/>
    <w:rsid w:val="0081563D"/>
    <w:rsid w:val="00815857"/>
    <w:rsid w:val="00815881"/>
    <w:rsid w:val="008158CD"/>
    <w:rsid w:val="00815DEB"/>
    <w:rsid w:val="00815ED8"/>
    <w:rsid w:val="00816047"/>
    <w:rsid w:val="00816168"/>
    <w:rsid w:val="0081629D"/>
    <w:rsid w:val="0081648E"/>
    <w:rsid w:val="00816608"/>
    <w:rsid w:val="00816658"/>
    <w:rsid w:val="008166A1"/>
    <w:rsid w:val="00816C77"/>
    <w:rsid w:val="00817030"/>
    <w:rsid w:val="008171DA"/>
    <w:rsid w:val="008173FE"/>
    <w:rsid w:val="00817580"/>
    <w:rsid w:val="00817913"/>
    <w:rsid w:val="00817922"/>
    <w:rsid w:val="008201EC"/>
    <w:rsid w:val="00820521"/>
    <w:rsid w:val="008206CE"/>
    <w:rsid w:val="00820A5E"/>
    <w:rsid w:val="00821121"/>
    <w:rsid w:val="0082140C"/>
    <w:rsid w:val="008214F8"/>
    <w:rsid w:val="0082158A"/>
    <w:rsid w:val="00821631"/>
    <w:rsid w:val="00821669"/>
    <w:rsid w:val="008217CB"/>
    <w:rsid w:val="00821A64"/>
    <w:rsid w:val="00822299"/>
    <w:rsid w:val="00822393"/>
    <w:rsid w:val="008226F7"/>
    <w:rsid w:val="00822B7E"/>
    <w:rsid w:val="00822E8A"/>
    <w:rsid w:val="0082314D"/>
    <w:rsid w:val="0082321C"/>
    <w:rsid w:val="00823387"/>
    <w:rsid w:val="0082341B"/>
    <w:rsid w:val="008235FB"/>
    <w:rsid w:val="008236A1"/>
    <w:rsid w:val="008237E2"/>
    <w:rsid w:val="008238D1"/>
    <w:rsid w:val="0082398B"/>
    <w:rsid w:val="0082412E"/>
    <w:rsid w:val="0082416A"/>
    <w:rsid w:val="008242E8"/>
    <w:rsid w:val="008245C1"/>
    <w:rsid w:val="00824724"/>
    <w:rsid w:val="00824A4A"/>
    <w:rsid w:val="00824C72"/>
    <w:rsid w:val="00824EC6"/>
    <w:rsid w:val="008253F7"/>
    <w:rsid w:val="008254B5"/>
    <w:rsid w:val="0082553F"/>
    <w:rsid w:val="008255E4"/>
    <w:rsid w:val="0082563C"/>
    <w:rsid w:val="008262F0"/>
    <w:rsid w:val="00826305"/>
    <w:rsid w:val="008263E9"/>
    <w:rsid w:val="00826637"/>
    <w:rsid w:val="00826794"/>
    <w:rsid w:val="00826AC4"/>
    <w:rsid w:val="00826B7D"/>
    <w:rsid w:val="00827098"/>
    <w:rsid w:val="0082729B"/>
    <w:rsid w:val="008272E6"/>
    <w:rsid w:val="008279A3"/>
    <w:rsid w:val="00827BAD"/>
    <w:rsid w:val="008304B5"/>
    <w:rsid w:val="00830501"/>
    <w:rsid w:val="008305D0"/>
    <w:rsid w:val="008305E3"/>
    <w:rsid w:val="00830639"/>
    <w:rsid w:val="008309C9"/>
    <w:rsid w:val="00830A82"/>
    <w:rsid w:val="00830BC7"/>
    <w:rsid w:val="00830DEC"/>
    <w:rsid w:val="00830FB6"/>
    <w:rsid w:val="0083177B"/>
    <w:rsid w:val="00831B16"/>
    <w:rsid w:val="008327A3"/>
    <w:rsid w:val="008330C8"/>
    <w:rsid w:val="00833137"/>
    <w:rsid w:val="0083321A"/>
    <w:rsid w:val="008335C2"/>
    <w:rsid w:val="008335E3"/>
    <w:rsid w:val="0083383B"/>
    <w:rsid w:val="008348A7"/>
    <w:rsid w:val="00834AF4"/>
    <w:rsid w:val="00834B2F"/>
    <w:rsid w:val="00834CD6"/>
    <w:rsid w:val="00834D67"/>
    <w:rsid w:val="00834DB2"/>
    <w:rsid w:val="00834DCB"/>
    <w:rsid w:val="00834EC7"/>
    <w:rsid w:val="00834ECA"/>
    <w:rsid w:val="0083501D"/>
    <w:rsid w:val="00835177"/>
    <w:rsid w:val="0083521A"/>
    <w:rsid w:val="0083538A"/>
    <w:rsid w:val="00835AD5"/>
    <w:rsid w:val="00835C8C"/>
    <w:rsid w:val="00835CE0"/>
    <w:rsid w:val="00835F06"/>
    <w:rsid w:val="0083619B"/>
    <w:rsid w:val="008364F1"/>
    <w:rsid w:val="00836673"/>
    <w:rsid w:val="00836747"/>
    <w:rsid w:val="0083695F"/>
    <w:rsid w:val="00836CD1"/>
    <w:rsid w:val="00836DFB"/>
    <w:rsid w:val="0083702B"/>
    <w:rsid w:val="00837395"/>
    <w:rsid w:val="00837416"/>
    <w:rsid w:val="0083766A"/>
    <w:rsid w:val="00837964"/>
    <w:rsid w:val="0083FDEE"/>
    <w:rsid w:val="008401EB"/>
    <w:rsid w:val="0084088A"/>
    <w:rsid w:val="008408EF"/>
    <w:rsid w:val="008409F0"/>
    <w:rsid w:val="00840C01"/>
    <w:rsid w:val="00840C42"/>
    <w:rsid w:val="00840FF5"/>
    <w:rsid w:val="0084167C"/>
    <w:rsid w:val="00841A34"/>
    <w:rsid w:val="00842424"/>
    <w:rsid w:val="008425BE"/>
    <w:rsid w:val="00843133"/>
    <w:rsid w:val="008431F5"/>
    <w:rsid w:val="008433B0"/>
    <w:rsid w:val="008433D4"/>
    <w:rsid w:val="00843D20"/>
    <w:rsid w:val="00843ED0"/>
    <w:rsid w:val="0084433D"/>
    <w:rsid w:val="0084485A"/>
    <w:rsid w:val="00844AD1"/>
    <w:rsid w:val="00844D2B"/>
    <w:rsid w:val="00844DF2"/>
    <w:rsid w:val="00844E3D"/>
    <w:rsid w:val="00844E9F"/>
    <w:rsid w:val="00844F10"/>
    <w:rsid w:val="00845186"/>
    <w:rsid w:val="008458ED"/>
    <w:rsid w:val="0084599C"/>
    <w:rsid w:val="00845BBC"/>
    <w:rsid w:val="00845C97"/>
    <w:rsid w:val="00845DB2"/>
    <w:rsid w:val="008461D9"/>
    <w:rsid w:val="0084630E"/>
    <w:rsid w:val="0084665C"/>
    <w:rsid w:val="00846672"/>
    <w:rsid w:val="00846CEC"/>
    <w:rsid w:val="00846E4C"/>
    <w:rsid w:val="00846FEF"/>
    <w:rsid w:val="00847156"/>
    <w:rsid w:val="00847505"/>
    <w:rsid w:val="00847824"/>
    <w:rsid w:val="00847AA2"/>
    <w:rsid w:val="00847C76"/>
    <w:rsid w:val="00847F2B"/>
    <w:rsid w:val="00850048"/>
    <w:rsid w:val="0085004A"/>
    <w:rsid w:val="00850179"/>
    <w:rsid w:val="008505B8"/>
    <w:rsid w:val="00850756"/>
    <w:rsid w:val="00850835"/>
    <w:rsid w:val="00850A1F"/>
    <w:rsid w:val="00850D0F"/>
    <w:rsid w:val="00851166"/>
    <w:rsid w:val="008513B7"/>
    <w:rsid w:val="008513D8"/>
    <w:rsid w:val="00851671"/>
    <w:rsid w:val="00851B96"/>
    <w:rsid w:val="00851BD7"/>
    <w:rsid w:val="00851FD0"/>
    <w:rsid w:val="008520A6"/>
    <w:rsid w:val="00852979"/>
    <w:rsid w:val="00852983"/>
    <w:rsid w:val="00852C25"/>
    <w:rsid w:val="00852C49"/>
    <w:rsid w:val="00852DC8"/>
    <w:rsid w:val="00853013"/>
    <w:rsid w:val="0085346F"/>
    <w:rsid w:val="0085362D"/>
    <w:rsid w:val="0085377D"/>
    <w:rsid w:val="008537A0"/>
    <w:rsid w:val="00853977"/>
    <w:rsid w:val="00853E5B"/>
    <w:rsid w:val="00854733"/>
    <w:rsid w:val="0085476F"/>
    <w:rsid w:val="00854773"/>
    <w:rsid w:val="00854AF5"/>
    <w:rsid w:val="00854B45"/>
    <w:rsid w:val="00854FE0"/>
    <w:rsid w:val="00854FFB"/>
    <w:rsid w:val="0085525F"/>
    <w:rsid w:val="008553B3"/>
    <w:rsid w:val="008553F8"/>
    <w:rsid w:val="008557BD"/>
    <w:rsid w:val="00855910"/>
    <w:rsid w:val="0085596C"/>
    <w:rsid w:val="00855992"/>
    <w:rsid w:val="00855A8E"/>
    <w:rsid w:val="00855D00"/>
    <w:rsid w:val="00855D43"/>
    <w:rsid w:val="008561D7"/>
    <w:rsid w:val="00856272"/>
    <w:rsid w:val="0085653A"/>
    <w:rsid w:val="008565F8"/>
    <w:rsid w:val="00856711"/>
    <w:rsid w:val="00856941"/>
    <w:rsid w:val="008569B6"/>
    <w:rsid w:val="008570BA"/>
    <w:rsid w:val="008571AE"/>
    <w:rsid w:val="00857565"/>
    <w:rsid w:val="008578AA"/>
    <w:rsid w:val="00857A4F"/>
    <w:rsid w:val="00857CC4"/>
    <w:rsid w:val="00857ECE"/>
    <w:rsid w:val="0086072C"/>
    <w:rsid w:val="008607B4"/>
    <w:rsid w:val="00860A2C"/>
    <w:rsid w:val="00860B22"/>
    <w:rsid w:val="00860D18"/>
    <w:rsid w:val="00860D73"/>
    <w:rsid w:val="00861074"/>
    <w:rsid w:val="008612E3"/>
    <w:rsid w:val="008614D1"/>
    <w:rsid w:val="008615C1"/>
    <w:rsid w:val="008619DF"/>
    <w:rsid w:val="00861A66"/>
    <w:rsid w:val="00861A7C"/>
    <w:rsid w:val="00861A97"/>
    <w:rsid w:val="00861C2E"/>
    <w:rsid w:val="00861EC1"/>
    <w:rsid w:val="00862711"/>
    <w:rsid w:val="00862799"/>
    <w:rsid w:val="00862A11"/>
    <w:rsid w:val="00862D3E"/>
    <w:rsid w:val="00862D83"/>
    <w:rsid w:val="00862F5B"/>
    <w:rsid w:val="00863318"/>
    <w:rsid w:val="008634E6"/>
    <w:rsid w:val="008635D0"/>
    <w:rsid w:val="008636FC"/>
    <w:rsid w:val="008639EF"/>
    <w:rsid w:val="00863B00"/>
    <w:rsid w:val="00863DB6"/>
    <w:rsid w:val="00863DD4"/>
    <w:rsid w:val="008641B9"/>
    <w:rsid w:val="00864299"/>
    <w:rsid w:val="0086475A"/>
    <w:rsid w:val="00864AAC"/>
    <w:rsid w:val="00864ACD"/>
    <w:rsid w:val="00864B91"/>
    <w:rsid w:val="00864D34"/>
    <w:rsid w:val="008650F1"/>
    <w:rsid w:val="008650F2"/>
    <w:rsid w:val="008652C5"/>
    <w:rsid w:val="00865668"/>
    <w:rsid w:val="008656BF"/>
    <w:rsid w:val="00865B86"/>
    <w:rsid w:val="00865C6D"/>
    <w:rsid w:val="00865CAA"/>
    <w:rsid w:val="00865F06"/>
    <w:rsid w:val="00865F27"/>
    <w:rsid w:val="00866104"/>
    <w:rsid w:val="008661DE"/>
    <w:rsid w:val="0086637C"/>
    <w:rsid w:val="0086652E"/>
    <w:rsid w:val="00866719"/>
    <w:rsid w:val="008668A7"/>
    <w:rsid w:val="00866BAE"/>
    <w:rsid w:val="00867073"/>
    <w:rsid w:val="0086720C"/>
    <w:rsid w:val="0086722E"/>
    <w:rsid w:val="008678BE"/>
    <w:rsid w:val="008679BB"/>
    <w:rsid w:val="00867A51"/>
    <w:rsid w:val="00867A58"/>
    <w:rsid w:val="0087023F"/>
    <w:rsid w:val="0087025D"/>
    <w:rsid w:val="008702F2"/>
    <w:rsid w:val="00870368"/>
    <w:rsid w:val="0087086D"/>
    <w:rsid w:val="00870A10"/>
    <w:rsid w:val="00870DDB"/>
    <w:rsid w:val="00871164"/>
    <w:rsid w:val="0087130C"/>
    <w:rsid w:val="008714BE"/>
    <w:rsid w:val="00871A14"/>
    <w:rsid w:val="00871C1E"/>
    <w:rsid w:val="008720C2"/>
    <w:rsid w:val="008728DE"/>
    <w:rsid w:val="00872AE6"/>
    <w:rsid w:val="00872BF1"/>
    <w:rsid w:val="00872C0B"/>
    <w:rsid w:val="00872C7F"/>
    <w:rsid w:val="00872DB2"/>
    <w:rsid w:val="00872DBA"/>
    <w:rsid w:val="008730C7"/>
    <w:rsid w:val="0087330E"/>
    <w:rsid w:val="00873397"/>
    <w:rsid w:val="00873447"/>
    <w:rsid w:val="00873735"/>
    <w:rsid w:val="00873779"/>
    <w:rsid w:val="00873BC5"/>
    <w:rsid w:val="00873BC6"/>
    <w:rsid w:val="00873CB8"/>
    <w:rsid w:val="00874B55"/>
    <w:rsid w:val="00874B7A"/>
    <w:rsid w:val="00874BB8"/>
    <w:rsid w:val="00874FB1"/>
    <w:rsid w:val="0087501C"/>
    <w:rsid w:val="00875F75"/>
    <w:rsid w:val="00875F91"/>
    <w:rsid w:val="00876061"/>
    <w:rsid w:val="008764CD"/>
    <w:rsid w:val="008765F2"/>
    <w:rsid w:val="008767E9"/>
    <w:rsid w:val="00876A89"/>
    <w:rsid w:val="008771F4"/>
    <w:rsid w:val="008775FE"/>
    <w:rsid w:val="008779BA"/>
    <w:rsid w:val="00877B59"/>
    <w:rsid w:val="00877EFE"/>
    <w:rsid w:val="00880180"/>
    <w:rsid w:val="0088051F"/>
    <w:rsid w:val="00880691"/>
    <w:rsid w:val="00880902"/>
    <w:rsid w:val="008810BE"/>
    <w:rsid w:val="008815DD"/>
    <w:rsid w:val="00881B7A"/>
    <w:rsid w:val="00881C55"/>
    <w:rsid w:val="00881C9A"/>
    <w:rsid w:val="00881E3C"/>
    <w:rsid w:val="00881E68"/>
    <w:rsid w:val="00882701"/>
    <w:rsid w:val="0088272E"/>
    <w:rsid w:val="00882887"/>
    <w:rsid w:val="00883131"/>
    <w:rsid w:val="008831E4"/>
    <w:rsid w:val="00883B9D"/>
    <w:rsid w:val="00883BE5"/>
    <w:rsid w:val="00883DA3"/>
    <w:rsid w:val="0088420F"/>
    <w:rsid w:val="0088436A"/>
    <w:rsid w:val="008844A4"/>
    <w:rsid w:val="008844B9"/>
    <w:rsid w:val="008844CA"/>
    <w:rsid w:val="008846C9"/>
    <w:rsid w:val="008847A6"/>
    <w:rsid w:val="00884983"/>
    <w:rsid w:val="00884A14"/>
    <w:rsid w:val="00884EAF"/>
    <w:rsid w:val="00884FA4"/>
    <w:rsid w:val="008857C7"/>
    <w:rsid w:val="008857D0"/>
    <w:rsid w:val="008859EC"/>
    <w:rsid w:val="00885A12"/>
    <w:rsid w:val="00885AEB"/>
    <w:rsid w:val="00885EFD"/>
    <w:rsid w:val="008863D2"/>
    <w:rsid w:val="0088683B"/>
    <w:rsid w:val="00886F68"/>
    <w:rsid w:val="0088734E"/>
    <w:rsid w:val="00887362"/>
    <w:rsid w:val="00887383"/>
    <w:rsid w:val="00887398"/>
    <w:rsid w:val="0088740E"/>
    <w:rsid w:val="008877D7"/>
    <w:rsid w:val="00887C22"/>
    <w:rsid w:val="00887C24"/>
    <w:rsid w:val="00887CBA"/>
    <w:rsid w:val="00887E56"/>
    <w:rsid w:val="00890DE3"/>
    <w:rsid w:val="00890ED7"/>
    <w:rsid w:val="008914F5"/>
    <w:rsid w:val="008918EF"/>
    <w:rsid w:val="00891BFE"/>
    <w:rsid w:val="008929CB"/>
    <w:rsid w:val="00892A4E"/>
    <w:rsid w:val="00892F17"/>
    <w:rsid w:val="00893474"/>
    <w:rsid w:val="00894135"/>
    <w:rsid w:val="0089430B"/>
    <w:rsid w:val="00894830"/>
    <w:rsid w:val="00894A1F"/>
    <w:rsid w:val="00894A27"/>
    <w:rsid w:val="00894F95"/>
    <w:rsid w:val="00895044"/>
    <w:rsid w:val="0089545A"/>
    <w:rsid w:val="008954E2"/>
    <w:rsid w:val="008954F7"/>
    <w:rsid w:val="00895E43"/>
    <w:rsid w:val="00895E71"/>
    <w:rsid w:val="00895E8F"/>
    <w:rsid w:val="00895EF5"/>
    <w:rsid w:val="00896168"/>
    <w:rsid w:val="00896A4C"/>
    <w:rsid w:val="00896BAF"/>
    <w:rsid w:val="00896EBA"/>
    <w:rsid w:val="00896FA7"/>
    <w:rsid w:val="00897395"/>
    <w:rsid w:val="00897530"/>
    <w:rsid w:val="008976A6"/>
    <w:rsid w:val="0089797F"/>
    <w:rsid w:val="00897B79"/>
    <w:rsid w:val="00897BCD"/>
    <w:rsid w:val="00897E79"/>
    <w:rsid w:val="00897FAD"/>
    <w:rsid w:val="008A034A"/>
    <w:rsid w:val="008A0ADD"/>
    <w:rsid w:val="008A0AE0"/>
    <w:rsid w:val="008A0CE5"/>
    <w:rsid w:val="008A0FE8"/>
    <w:rsid w:val="008A10BD"/>
    <w:rsid w:val="008A1113"/>
    <w:rsid w:val="008A12A8"/>
    <w:rsid w:val="008A12BC"/>
    <w:rsid w:val="008A133A"/>
    <w:rsid w:val="008A137D"/>
    <w:rsid w:val="008A141A"/>
    <w:rsid w:val="008A1B54"/>
    <w:rsid w:val="008A1C10"/>
    <w:rsid w:val="008A1D51"/>
    <w:rsid w:val="008A1E43"/>
    <w:rsid w:val="008A1E5E"/>
    <w:rsid w:val="008A2107"/>
    <w:rsid w:val="008A23C9"/>
    <w:rsid w:val="008A24FA"/>
    <w:rsid w:val="008A253B"/>
    <w:rsid w:val="008A2603"/>
    <w:rsid w:val="008A2CCA"/>
    <w:rsid w:val="008A2DC7"/>
    <w:rsid w:val="008A2E4C"/>
    <w:rsid w:val="008A3465"/>
    <w:rsid w:val="008A39CE"/>
    <w:rsid w:val="008A39F8"/>
    <w:rsid w:val="008A3B84"/>
    <w:rsid w:val="008A3BBA"/>
    <w:rsid w:val="008A3FA7"/>
    <w:rsid w:val="008A41CF"/>
    <w:rsid w:val="008A4A44"/>
    <w:rsid w:val="008A4C5C"/>
    <w:rsid w:val="008A4D67"/>
    <w:rsid w:val="008A4DDB"/>
    <w:rsid w:val="008A4F13"/>
    <w:rsid w:val="008A5449"/>
    <w:rsid w:val="008A5D84"/>
    <w:rsid w:val="008A5F54"/>
    <w:rsid w:val="008A69B3"/>
    <w:rsid w:val="008A69F4"/>
    <w:rsid w:val="008A6F5E"/>
    <w:rsid w:val="008A6F7C"/>
    <w:rsid w:val="008A72E3"/>
    <w:rsid w:val="008A7326"/>
    <w:rsid w:val="008A73E2"/>
    <w:rsid w:val="008A7519"/>
    <w:rsid w:val="008A75CC"/>
    <w:rsid w:val="008A76F0"/>
    <w:rsid w:val="008A7735"/>
    <w:rsid w:val="008A7841"/>
    <w:rsid w:val="008A7D35"/>
    <w:rsid w:val="008A7D53"/>
    <w:rsid w:val="008A7D6A"/>
    <w:rsid w:val="008A7E2D"/>
    <w:rsid w:val="008B055F"/>
    <w:rsid w:val="008B07B5"/>
    <w:rsid w:val="008B07D6"/>
    <w:rsid w:val="008B07EF"/>
    <w:rsid w:val="008B0866"/>
    <w:rsid w:val="008B0B3A"/>
    <w:rsid w:val="008B0DDB"/>
    <w:rsid w:val="008B12B4"/>
    <w:rsid w:val="008B14D4"/>
    <w:rsid w:val="008B161E"/>
    <w:rsid w:val="008B17E2"/>
    <w:rsid w:val="008B1C44"/>
    <w:rsid w:val="008B1E65"/>
    <w:rsid w:val="008B1E71"/>
    <w:rsid w:val="008B2133"/>
    <w:rsid w:val="008B230F"/>
    <w:rsid w:val="008B23A4"/>
    <w:rsid w:val="008B23DD"/>
    <w:rsid w:val="008B2668"/>
    <w:rsid w:val="008B2EDF"/>
    <w:rsid w:val="008B3284"/>
    <w:rsid w:val="008B32A9"/>
    <w:rsid w:val="008B32DA"/>
    <w:rsid w:val="008B3329"/>
    <w:rsid w:val="008B3435"/>
    <w:rsid w:val="008B369F"/>
    <w:rsid w:val="008B376A"/>
    <w:rsid w:val="008B3818"/>
    <w:rsid w:val="008B3832"/>
    <w:rsid w:val="008B3B6B"/>
    <w:rsid w:val="008B3C0C"/>
    <w:rsid w:val="008B3EA9"/>
    <w:rsid w:val="008B3FAA"/>
    <w:rsid w:val="008B40F3"/>
    <w:rsid w:val="008B44C3"/>
    <w:rsid w:val="008B4597"/>
    <w:rsid w:val="008B472B"/>
    <w:rsid w:val="008B4736"/>
    <w:rsid w:val="008B4870"/>
    <w:rsid w:val="008B4A7E"/>
    <w:rsid w:val="008B4B46"/>
    <w:rsid w:val="008B5916"/>
    <w:rsid w:val="008B59B3"/>
    <w:rsid w:val="008B5BEC"/>
    <w:rsid w:val="008B60DC"/>
    <w:rsid w:val="008B691A"/>
    <w:rsid w:val="008B6C78"/>
    <w:rsid w:val="008B6D97"/>
    <w:rsid w:val="008B73B9"/>
    <w:rsid w:val="008B73E4"/>
    <w:rsid w:val="008B748D"/>
    <w:rsid w:val="008B7BAF"/>
    <w:rsid w:val="008B7DC1"/>
    <w:rsid w:val="008B7DD7"/>
    <w:rsid w:val="008B7EF2"/>
    <w:rsid w:val="008B7F40"/>
    <w:rsid w:val="008B7F82"/>
    <w:rsid w:val="008C0083"/>
    <w:rsid w:val="008C01A3"/>
    <w:rsid w:val="008C025F"/>
    <w:rsid w:val="008C02FB"/>
    <w:rsid w:val="008C096F"/>
    <w:rsid w:val="008C09A3"/>
    <w:rsid w:val="008C0B31"/>
    <w:rsid w:val="008C0CE8"/>
    <w:rsid w:val="008C0E3E"/>
    <w:rsid w:val="008C12C7"/>
    <w:rsid w:val="008C159A"/>
    <w:rsid w:val="008C1782"/>
    <w:rsid w:val="008C1AA3"/>
    <w:rsid w:val="008C2EDB"/>
    <w:rsid w:val="008C321E"/>
    <w:rsid w:val="008C3CB9"/>
    <w:rsid w:val="008C3CDB"/>
    <w:rsid w:val="008C3D14"/>
    <w:rsid w:val="008C3D70"/>
    <w:rsid w:val="008C40F7"/>
    <w:rsid w:val="008C471D"/>
    <w:rsid w:val="008C4769"/>
    <w:rsid w:val="008C48CE"/>
    <w:rsid w:val="008C4920"/>
    <w:rsid w:val="008C4B9A"/>
    <w:rsid w:val="008C52DA"/>
    <w:rsid w:val="008C55A6"/>
    <w:rsid w:val="008C596E"/>
    <w:rsid w:val="008C5D69"/>
    <w:rsid w:val="008C6199"/>
    <w:rsid w:val="008C6281"/>
    <w:rsid w:val="008C6C9A"/>
    <w:rsid w:val="008C701E"/>
    <w:rsid w:val="008C7909"/>
    <w:rsid w:val="008C79F9"/>
    <w:rsid w:val="008C7D9D"/>
    <w:rsid w:val="008C7EE6"/>
    <w:rsid w:val="008D0134"/>
    <w:rsid w:val="008D0432"/>
    <w:rsid w:val="008D090F"/>
    <w:rsid w:val="008D09E8"/>
    <w:rsid w:val="008D0D80"/>
    <w:rsid w:val="008D0E35"/>
    <w:rsid w:val="008D14ED"/>
    <w:rsid w:val="008D1561"/>
    <w:rsid w:val="008D1631"/>
    <w:rsid w:val="008D1AD9"/>
    <w:rsid w:val="008D1B64"/>
    <w:rsid w:val="008D1C95"/>
    <w:rsid w:val="008D1EBC"/>
    <w:rsid w:val="008D2011"/>
    <w:rsid w:val="008D2331"/>
    <w:rsid w:val="008D24FB"/>
    <w:rsid w:val="008D288B"/>
    <w:rsid w:val="008D2C13"/>
    <w:rsid w:val="008D30D8"/>
    <w:rsid w:val="008D3384"/>
    <w:rsid w:val="008D33C4"/>
    <w:rsid w:val="008D3545"/>
    <w:rsid w:val="008D355A"/>
    <w:rsid w:val="008D3629"/>
    <w:rsid w:val="008D3833"/>
    <w:rsid w:val="008D3C58"/>
    <w:rsid w:val="008D3E73"/>
    <w:rsid w:val="008D4162"/>
    <w:rsid w:val="008D417F"/>
    <w:rsid w:val="008D426C"/>
    <w:rsid w:val="008D42C8"/>
    <w:rsid w:val="008D44BE"/>
    <w:rsid w:val="008D45D4"/>
    <w:rsid w:val="008D47C6"/>
    <w:rsid w:val="008D49B4"/>
    <w:rsid w:val="008D4D9D"/>
    <w:rsid w:val="008D4E54"/>
    <w:rsid w:val="008D4EDC"/>
    <w:rsid w:val="008D55A7"/>
    <w:rsid w:val="008D5832"/>
    <w:rsid w:val="008D584F"/>
    <w:rsid w:val="008D5DBF"/>
    <w:rsid w:val="008D6022"/>
    <w:rsid w:val="008D60C4"/>
    <w:rsid w:val="008D616B"/>
    <w:rsid w:val="008D6B0D"/>
    <w:rsid w:val="008D6C97"/>
    <w:rsid w:val="008D6D20"/>
    <w:rsid w:val="008D6F7F"/>
    <w:rsid w:val="008D7013"/>
    <w:rsid w:val="008D7118"/>
    <w:rsid w:val="008D71BA"/>
    <w:rsid w:val="008D7233"/>
    <w:rsid w:val="008D7376"/>
    <w:rsid w:val="008D73BB"/>
    <w:rsid w:val="008D76A5"/>
    <w:rsid w:val="008D7821"/>
    <w:rsid w:val="008D79D7"/>
    <w:rsid w:val="008D7CFB"/>
    <w:rsid w:val="008D7DF6"/>
    <w:rsid w:val="008E013D"/>
    <w:rsid w:val="008E04C7"/>
    <w:rsid w:val="008E04FE"/>
    <w:rsid w:val="008E079E"/>
    <w:rsid w:val="008E0C4D"/>
    <w:rsid w:val="008E1144"/>
    <w:rsid w:val="008E1351"/>
    <w:rsid w:val="008E135A"/>
    <w:rsid w:val="008E1398"/>
    <w:rsid w:val="008E1622"/>
    <w:rsid w:val="008E170B"/>
    <w:rsid w:val="008E1877"/>
    <w:rsid w:val="008E1ABF"/>
    <w:rsid w:val="008E1BAC"/>
    <w:rsid w:val="008E1C43"/>
    <w:rsid w:val="008E1F29"/>
    <w:rsid w:val="008E206B"/>
    <w:rsid w:val="008E2492"/>
    <w:rsid w:val="008E27AE"/>
    <w:rsid w:val="008E29E8"/>
    <w:rsid w:val="008E2C53"/>
    <w:rsid w:val="008E3324"/>
    <w:rsid w:val="008E34CB"/>
    <w:rsid w:val="008E366B"/>
    <w:rsid w:val="008E3CB2"/>
    <w:rsid w:val="008E3DED"/>
    <w:rsid w:val="008E44CD"/>
    <w:rsid w:val="008E4776"/>
    <w:rsid w:val="008E4A6D"/>
    <w:rsid w:val="008E4B27"/>
    <w:rsid w:val="008E4C05"/>
    <w:rsid w:val="008E4C89"/>
    <w:rsid w:val="008E4EB2"/>
    <w:rsid w:val="008E4F8C"/>
    <w:rsid w:val="008E51AF"/>
    <w:rsid w:val="008E548A"/>
    <w:rsid w:val="008E551F"/>
    <w:rsid w:val="008E5641"/>
    <w:rsid w:val="008E5737"/>
    <w:rsid w:val="008E5931"/>
    <w:rsid w:val="008E5F5D"/>
    <w:rsid w:val="008E69CE"/>
    <w:rsid w:val="008E6A30"/>
    <w:rsid w:val="008E718C"/>
    <w:rsid w:val="008E74A2"/>
    <w:rsid w:val="008E74EE"/>
    <w:rsid w:val="008E7A2B"/>
    <w:rsid w:val="008E7AD3"/>
    <w:rsid w:val="008E7D4D"/>
    <w:rsid w:val="008F008E"/>
    <w:rsid w:val="008F069A"/>
    <w:rsid w:val="008F082F"/>
    <w:rsid w:val="008F0856"/>
    <w:rsid w:val="008F08CF"/>
    <w:rsid w:val="008F0F6A"/>
    <w:rsid w:val="008F11C6"/>
    <w:rsid w:val="008F122C"/>
    <w:rsid w:val="008F138B"/>
    <w:rsid w:val="008F1AA4"/>
    <w:rsid w:val="008F2086"/>
    <w:rsid w:val="008F2565"/>
    <w:rsid w:val="008F26BD"/>
    <w:rsid w:val="008F28E9"/>
    <w:rsid w:val="008F29D2"/>
    <w:rsid w:val="008F2AA0"/>
    <w:rsid w:val="008F2D17"/>
    <w:rsid w:val="008F2D62"/>
    <w:rsid w:val="008F2E37"/>
    <w:rsid w:val="008F317A"/>
    <w:rsid w:val="008F32ED"/>
    <w:rsid w:val="008F3619"/>
    <w:rsid w:val="008F394A"/>
    <w:rsid w:val="008F3E69"/>
    <w:rsid w:val="008F3F6B"/>
    <w:rsid w:val="008F43DE"/>
    <w:rsid w:val="008F4610"/>
    <w:rsid w:val="008F46BA"/>
    <w:rsid w:val="008F47C5"/>
    <w:rsid w:val="008F4832"/>
    <w:rsid w:val="008F4AD1"/>
    <w:rsid w:val="008F4B82"/>
    <w:rsid w:val="008F4D15"/>
    <w:rsid w:val="008F519A"/>
    <w:rsid w:val="008F54DC"/>
    <w:rsid w:val="008F54F1"/>
    <w:rsid w:val="008F5791"/>
    <w:rsid w:val="008F57F6"/>
    <w:rsid w:val="008F60A2"/>
    <w:rsid w:val="008F63A8"/>
    <w:rsid w:val="008F6488"/>
    <w:rsid w:val="008F67F1"/>
    <w:rsid w:val="008F6E6E"/>
    <w:rsid w:val="008F6EC8"/>
    <w:rsid w:val="008F71EF"/>
    <w:rsid w:val="008F72A6"/>
    <w:rsid w:val="008F7484"/>
    <w:rsid w:val="008F78F6"/>
    <w:rsid w:val="008F7B4F"/>
    <w:rsid w:val="008F7BDF"/>
    <w:rsid w:val="0090033E"/>
    <w:rsid w:val="009006A6"/>
    <w:rsid w:val="00900F17"/>
    <w:rsid w:val="009010EF"/>
    <w:rsid w:val="00901336"/>
    <w:rsid w:val="009013A9"/>
    <w:rsid w:val="009016D7"/>
    <w:rsid w:val="00901AC2"/>
    <w:rsid w:val="00901C8D"/>
    <w:rsid w:val="00901CA4"/>
    <w:rsid w:val="00901CF5"/>
    <w:rsid w:val="00901DF4"/>
    <w:rsid w:val="00901ED5"/>
    <w:rsid w:val="0090200E"/>
    <w:rsid w:val="00902498"/>
    <w:rsid w:val="009027EA"/>
    <w:rsid w:val="00902DCC"/>
    <w:rsid w:val="00902DDE"/>
    <w:rsid w:val="009036C9"/>
    <w:rsid w:val="00903AC3"/>
    <w:rsid w:val="00903C74"/>
    <w:rsid w:val="00903E30"/>
    <w:rsid w:val="0090412E"/>
    <w:rsid w:val="0090417D"/>
    <w:rsid w:val="009043ED"/>
    <w:rsid w:val="00904536"/>
    <w:rsid w:val="00904673"/>
    <w:rsid w:val="0090478A"/>
    <w:rsid w:val="00904E51"/>
    <w:rsid w:val="00904F5B"/>
    <w:rsid w:val="0090522C"/>
    <w:rsid w:val="0090527C"/>
    <w:rsid w:val="009052DC"/>
    <w:rsid w:val="0090535B"/>
    <w:rsid w:val="00905533"/>
    <w:rsid w:val="0090570D"/>
    <w:rsid w:val="009057CA"/>
    <w:rsid w:val="0090580A"/>
    <w:rsid w:val="00905D92"/>
    <w:rsid w:val="00906167"/>
    <w:rsid w:val="00906B84"/>
    <w:rsid w:val="00906C1E"/>
    <w:rsid w:val="00906DEC"/>
    <w:rsid w:val="00907390"/>
    <w:rsid w:val="0090769C"/>
    <w:rsid w:val="00907CD0"/>
    <w:rsid w:val="00907F08"/>
    <w:rsid w:val="00907FD7"/>
    <w:rsid w:val="009100C7"/>
    <w:rsid w:val="009102A7"/>
    <w:rsid w:val="00910316"/>
    <w:rsid w:val="00910723"/>
    <w:rsid w:val="009107C7"/>
    <w:rsid w:val="00910C58"/>
    <w:rsid w:val="00910DC1"/>
    <w:rsid w:val="00910F7A"/>
    <w:rsid w:val="00911533"/>
    <w:rsid w:val="00911A6A"/>
    <w:rsid w:val="00911BCD"/>
    <w:rsid w:val="00911D86"/>
    <w:rsid w:val="00911E16"/>
    <w:rsid w:val="00911F19"/>
    <w:rsid w:val="00912481"/>
    <w:rsid w:val="009125FD"/>
    <w:rsid w:val="009126D4"/>
    <w:rsid w:val="00912707"/>
    <w:rsid w:val="00912AC5"/>
    <w:rsid w:val="00912BB2"/>
    <w:rsid w:val="00912D44"/>
    <w:rsid w:val="00912D72"/>
    <w:rsid w:val="0091339A"/>
    <w:rsid w:val="0091355A"/>
    <w:rsid w:val="00913633"/>
    <w:rsid w:val="00913962"/>
    <w:rsid w:val="009139E6"/>
    <w:rsid w:val="00913B39"/>
    <w:rsid w:val="00914365"/>
    <w:rsid w:val="009144B5"/>
    <w:rsid w:val="0091460E"/>
    <w:rsid w:val="009146F6"/>
    <w:rsid w:val="00915049"/>
    <w:rsid w:val="00915815"/>
    <w:rsid w:val="00915863"/>
    <w:rsid w:val="00915871"/>
    <w:rsid w:val="00915A04"/>
    <w:rsid w:val="00915C9A"/>
    <w:rsid w:val="00915DEE"/>
    <w:rsid w:val="009162B7"/>
    <w:rsid w:val="0091631C"/>
    <w:rsid w:val="0091634C"/>
    <w:rsid w:val="009163BF"/>
    <w:rsid w:val="0091660E"/>
    <w:rsid w:val="009168D1"/>
    <w:rsid w:val="00916C3F"/>
    <w:rsid w:val="00916ED7"/>
    <w:rsid w:val="00916FD0"/>
    <w:rsid w:val="009176BF"/>
    <w:rsid w:val="0091784F"/>
    <w:rsid w:val="00917A25"/>
    <w:rsid w:val="00917BD6"/>
    <w:rsid w:val="00917DD0"/>
    <w:rsid w:val="00920056"/>
    <w:rsid w:val="0092018F"/>
    <w:rsid w:val="0092058E"/>
    <w:rsid w:val="00920923"/>
    <w:rsid w:val="00920FA6"/>
    <w:rsid w:val="009210A2"/>
    <w:rsid w:val="009211D2"/>
    <w:rsid w:val="009216F0"/>
    <w:rsid w:val="00921978"/>
    <w:rsid w:val="0092206A"/>
    <w:rsid w:val="009225F6"/>
    <w:rsid w:val="00922799"/>
    <w:rsid w:val="0092283A"/>
    <w:rsid w:val="00922980"/>
    <w:rsid w:val="00922E70"/>
    <w:rsid w:val="00922F0F"/>
    <w:rsid w:val="009233FF"/>
    <w:rsid w:val="00923C81"/>
    <w:rsid w:val="00923D8E"/>
    <w:rsid w:val="00923EF0"/>
    <w:rsid w:val="00923F94"/>
    <w:rsid w:val="0092439E"/>
    <w:rsid w:val="00924F69"/>
    <w:rsid w:val="00924FE4"/>
    <w:rsid w:val="00925053"/>
    <w:rsid w:val="009258BB"/>
    <w:rsid w:val="00925AAC"/>
    <w:rsid w:val="00925D34"/>
    <w:rsid w:val="00925D80"/>
    <w:rsid w:val="00925EF8"/>
    <w:rsid w:val="00925FAD"/>
    <w:rsid w:val="00926091"/>
    <w:rsid w:val="009260DE"/>
    <w:rsid w:val="0092647F"/>
    <w:rsid w:val="009264B5"/>
    <w:rsid w:val="009265F7"/>
    <w:rsid w:val="00926924"/>
    <w:rsid w:val="0092698D"/>
    <w:rsid w:val="00926B02"/>
    <w:rsid w:val="00926B43"/>
    <w:rsid w:val="00926B8B"/>
    <w:rsid w:val="00926E69"/>
    <w:rsid w:val="0092760E"/>
    <w:rsid w:val="0092799A"/>
    <w:rsid w:val="009279BE"/>
    <w:rsid w:val="00927A95"/>
    <w:rsid w:val="00927F28"/>
    <w:rsid w:val="00930378"/>
    <w:rsid w:val="00930496"/>
    <w:rsid w:val="00930656"/>
    <w:rsid w:val="00930AA0"/>
    <w:rsid w:val="00930B73"/>
    <w:rsid w:val="00930C13"/>
    <w:rsid w:val="00930E00"/>
    <w:rsid w:val="00930EF7"/>
    <w:rsid w:val="0093125C"/>
    <w:rsid w:val="009317B8"/>
    <w:rsid w:val="009320CF"/>
    <w:rsid w:val="0093222B"/>
    <w:rsid w:val="00932841"/>
    <w:rsid w:val="0093311B"/>
    <w:rsid w:val="0093325E"/>
    <w:rsid w:val="00933382"/>
    <w:rsid w:val="00933551"/>
    <w:rsid w:val="00933662"/>
    <w:rsid w:val="009336DC"/>
    <w:rsid w:val="0093379C"/>
    <w:rsid w:val="00933807"/>
    <w:rsid w:val="009339C5"/>
    <w:rsid w:val="00933A0F"/>
    <w:rsid w:val="00933DA6"/>
    <w:rsid w:val="00934126"/>
    <w:rsid w:val="009341B9"/>
    <w:rsid w:val="00934638"/>
    <w:rsid w:val="00934896"/>
    <w:rsid w:val="00934D47"/>
    <w:rsid w:val="00934FFE"/>
    <w:rsid w:val="0093502C"/>
    <w:rsid w:val="00935599"/>
    <w:rsid w:val="00935A47"/>
    <w:rsid w:val="00935E50"/>
    <w:rsid w:val="009360D6"/>
    <w:rsid w:val="009361DB"/>
    <w:rsid w:val="00936282"/>
    <w:rsid w:val="00936510"/>
    <w:rsid w:val="009365E2"/>
    <w:rsid w:val="0093662E"/>
    <w:rsid w:val="00936C54"/>
    <w:rsid w:val="00936E3C"/>
    <w:rsid w:val="00937455"/>
    <w:rsid w:val="009375C7"/>
    <w:rsid w:val="0093779E"/>
    <w:rsid w:val="00937A62"/>
    <w:rsid w:val="00937C20"/>
    <w:rsid w:val="009401CA"/>
    <w:rsid w:val="009401FB"/>
    <w:rsid w:val="0094034D"/>
    <w:rsid w:val="0094065D"/>
    <w:rsid w:val="00940789"/>
    <w:rsid w:val="00940BFB"/>
    <w:rsid w:val="00940CBC"/>
    <w:rsid w:val="00941336"/>
    <w:rsid w:val="00941956"/>
    <w:rsid w:val="00941A41"/>
    <w:rsid w:val="00941CF6"/>
    <w:rsid w:val="00941E13"/>
    <w:rsid w:val="00941ED5"/>
    <w:rsid w:val="00942092"/>
    <w:rsid w:val="00942223"/>
    <w:rsid w:val="00942489"/>
    <w:rsid w:val="009427B0"/>
    <w:rsid w:val="00942F3D"/>
    <w:rsid w:val="00943234"/>
    <w:rsid w:val="0094356D"/>
    <w:rsid w:val="0094385F"/>
    <w:rsid w:val="00943888"/>
    <w:rsid w:val="0094398B"/>
    <w:rsid w:val="00943AA7"/>
    <w:rsid w:val="009443EF"/>
    <w:rsid w:val="00944619"/>
    <w:rsid w:val="00944B88"/>
    <w:rsid w:val="009451C7"/>
    <w:rsid w:val="0094537F"/>
    <w:rsid w:val="00945427"/>
    <w:rsid w:val="009454EA"/>
    <w:rsid w:val="0094599B"/>
    <w:rsid w:val="00945E92"/>
    <w:rsid w:val="00946470"/>
    <w:rsid w:val="009466EE"/>
    <w:rsid w:val="00946894"/>
    <w:rsid w:val="0094698E"/>
    <w:rsid w:val="00946EBB"/>
    <w:rsid w:val="009470D0"/>
    <w:rsid w:val="009479BE"/>
    <w:rsid w:val="00947D29"/>
    <w:rsid w:val="0095064B"/>
    <w:rsid w:val="0095083A"/>
    <w:rsid w:val="0095097A"/>
    <w:rsid w:val="00950B31"/>
    <w:rsid w:val="00950BE4"/>
    <w:rsid w:val="00950E7B"/>
    <w:rsid w:val="00951386"/>
    <w:rsid w:val="009516D1"/>
    <w:rsid w:val="00951777"/>
    <w:rsid w:val="00951930"/>
    <w:rsid w:val="00951C6A"/>
    <w:rsid w:val="00951CA3"/>
    <w:rsid w:val="00951D43"/>
    <w:rsid w:val="00951EEB"/>
    <w:rsid w:val="009522B8"/>
    <w:rsid w:val="0095235E"/>
    <w:rsid w:val="009523F7"/>
    <w:rsid w:val="00952717"/>
    <w:rsid w:val="00952942"/>
    <w:rsid w:val="00952D1E"/>
    <w:rsid w:val="00953278"/>
    <w:rsid w:val="00953291"/>
    <w:rsid w:val="00953401"/>
    <w:rsid w:val="00953482"/>
    <w:rsid w:val="00953990"/>
    <w:rsid w:val="00953DC0"/>
    <w:rsid w:val="009543FD"/>
    <w:rsid w:val="0095470A"/>
    <w:rsid w:val="00954774"/>
    <w:rsid w:val="009549F5"/>
    <w:rsid w:val="00954A24"/>
    <w:rsid w:val="00954CC8"/>
    <w:rsid w:val="00954DA5"/>
    <w:rsid w:val="00954EF7"/>
    <w:rsid w:val="0095521F"/>
    <w:rsid w:val="009556AF"/>
    <w:rsid w:val="00955C54"/>
    <w:rsid w:val="00955D92"/>
    <w:rsid w:val="00955EC8"/>
    <w:rsid w:val="009569AE"/>
    <w:rsid w:val="00956BE3"/>
    <w:rsid w:val="00956F31"/>
    <w:rsid w:val="009571F3"/>
    <w:rsid w:val="00957299"/>
    <w:rsid w:val="009575E1"/>
    <w:rsid w:val="00957643"/>
    <w:rsid w:val="009576CD"/>
    <w:rsid w:val="00957AE7"/>
    <w:rsid w:val="00957C96"/>
    <w:rsid w:val="00957D45"/>
    <w:rsid w:val="00957EC5"/>
    <w:rsid w:val="00957EC8"/>
    <w:rsid w:val="0096015C"/>
    <w:rsid w:val="00960299"/>
    <w:rsid w:val="00960BC7"/>
    <w:rsid w:val="00960E0A"/>
    <w:rsid w:val="0096127F"/>
    <w:rsid w:val="00961651"/>
    <w:rsid w:val="00961B46"/>
    <w:rsid w:val="00961C78"/>
    <w:rsid w:val="00961CF6"/>
    <w:rsid w:val="00961D5D"/>
    <w:rsid w:val="00961F90"/>
    <w:rsid w:val="0096203D"/>
    <w:rsid w:val="009620CA"/>
    <w:rsid w:val="00962129"/>
    <w:rsid w:val="009625F9"/>
    <w:rsid w:val="00962B78"/>
    <w:rsid w:val="00962EEF"/>
    <w:rsid w:val="009632C9"/>
    <w:rsid w:val="009632F9"/>
    <w:rsid w:val="009633B4"/>
    <w:rsid w:val="00963A36"/>
    <w:rsid w:val="00963D22"/>
    <w:rsid w:val="00963E85"/>
    <w:rsid w:val="00963F3D"/>
    <w:rsid w:val="00964317"/>
    <w:rsid w:val="00964625"/>
    <w:rsid w:val="00964D0A"/>
    <w:rsid w:val="00965663"/>
    <w:rsid w:val="0096571A"/>
    <w:rsid w:val="009659FC"/>
    <w:rsid w:val="00965CE0"/>
    <w:rsid w:val="00965D0E"/>
    <w:rsid w:val="00966014"/>
    <w:rsid w:val="0096603A"/>
    <w:rsid w:val="009660D1"/>
    <w:rsid w:val="009667EE"/>
    <w:rsid w:val="00966A59"/>
    <w:rsid w:val="00967544"/>
    <w:rsid w:val="00967640"/>
    <w:rsid w:val="009676B0"/>
    <w:rsid w:val="00967BF2"/>
    <w:rsid w:val="00970069"/>
    <w:rsid w:val="00970090"/>
    <w:rsid w:val="00970137"/>
    <w:rsid w:val="009709FB"/>
    <w:rsid w:val="00970A58"/>
    <w:rsid w:val="00970B1C"/>
    <w:rsid w:val="0097115C"/>
    <w:rsid w:val="00971327"/>
    <w:rsid w:val="0097163E"/>
    <w:rsid w:val="009716DB"/>
    <w:rsid w:val="00971821"/>
    <w:rsid w:val="00971863"/>
    <w:rsid w:val="00971A93"/>
    <w:rsid w:val="00971DBB"/>
    <w:rsid w:val="009720B6"/>
    <w:rsid w:val="009721F3"/>
    <w:rsid w:val="009726B4"/>
    <w:rsid w:val="0097274C"/>
    <w:rsid w:val="009728BA"/>
    <w:rsid w:val="00972D2C"/>
    <w:rsid w:val="00973122"/>
    <w:rsid w:val="0097316B"/>
    <w:rsid w:val="009733C9"/>
    <w:rsid w:val="009734F5"/>
    <w:rsid w:val="0097354A"/>
    <w:rsid w:val="00973653"/>
    <w:rsid w:val="00973A4E"/>
    <w:rsid w:val="00973A92"/>
    <w:rsid w:val="00974008"/>
    <w:rsid w:val="009747F0"/>
    <w:rsid w:val="0097489F"/>
    <w:rsid w:val="00974FAA"/>
    <w:rsid w:val="00975097"/>
    <w:rsid w:val="00975522"/>
    <w:rsid w:val="00975E7F"/>
    <w:rsid w:val="00976D03"/>
    <w:rsid w:val="00976DFE"/>
    <w:rsid w:val="00977061"/>
    <w:rsid w:val="00977184"/>
    <w:rsid w:val="0097718F"/>
    <w:rsid w:val="009776E0"/>
    <w:rsid w:val="009777E1"/>
    <w:rsid w:val="00977925"/>
    <w:rsid w:val="00977B06"/>
    <w:rsid w:val="00977E86"/>
    <w:rsid w:val="0098020E"/>
    <w:rsid w:val="009802C9"/>
    <w:rsid w:val="009803BB"/>
    <w:rsid w:val="009807B0"/>
    <w:rsid w:val="00980855"/>
    <w:rsid w:val="00980D41"/>
    <w:rsid w:val="00981030"/>
    <w:rsid w:val="00981820"/>
    <w:rsid w:val="00981CA5"/>
    <w:rsid w:val="00981D6A"/>
    <w:rsid w:val="00981F4D"/>
    <w:rsid w:val="00981FDF"/>
    <w:rsid w:val="00982159"/>
    <w:rsid w:val="0098224D"/>
    <w:rsid w:val="00982ACB"/>
    <w:rsid w:val="009834A1"/>
    <w:rsid w:val="00983805"/>
    <w:rsid w:val="00983CE2"/>
    <w:rsid w:val="009840B8"/>
    <w:rsid w:val="009840BE"/>
    <w:rsid w:val="009846E4"/>
    <w:rsid w:val="00984875"/>
    <w:rsid w:val="00984B99"/>
    <w:rsid w:val="00984F42"/>
    <w:rsid w:val="009850F8"/>
    <w:rsid w:val="00985ABF"/>
    <w:rsid w:val="00985CFE"/>
    <w:rsid w:val="00985F3A"/>
    <w:rsid w:val="0098640A"/>
    <w:rsid w:val="00986671"/>
    <w:rsid w:val="00986F81"/>
    <w:rsid w:val="00987065"/>
    <w:rsid w:val="00987126"/>
    <w:rsid w:val="00987330"/>
    <w:rsid w:val="009876DF"/>
    <w:rsid w:val="0098785A"/>
    <w:rsid w:val="00990050"/>
    <w:rsid w:val="0099012E"/>
    <w:rsid w:val="009904EF"/>
    <w:rsid w:val="009905A1"/>
    <w:rsid w:val="009906B3"/>
    <w:rsid w:val="009908DD"/>
    <w:rsid w:val="00990C4A"/>
    <w:rsid w:val="00990F83"/>
    <w:rsid w:val="009910D2"/>
    <w:rsid w:val="00991685"/>
    <w:rsid w:val="0099263F"/>
    <w:rsid w:val="0099273A"/>
    <w:rsid w:val="009927E8"/>
    <w:rsid w:val="009927FA"/>
    <w:rsid w:val="00992D1B"/>
    <w:rsid w:val="00992E57"/>
    <w:rsid w:val="009932FA"/>
    <w:rsid w:val="00994319"/>
    <w:rsid w:val="009943B4"/>
    <w:rsid w:val="00994507"/>
    <w:rsid w:val="00994DAD"/>
    <w:rsid w:val="00994E5C"/>
    <w:rsid w:val="00995057"/>
    <w:rsid w:val="00995122"/>
    <w:rsid w:val="00995242"/>
    <w:rsid w:val="0099524A"/>
    <w:rsid w:val="009952BF"/>
    <w:rsid w:val="009955E0"/>
    <w:rsid w:val="00995BAA"/>
    <w:rsid w:val="0099627E"/>
    <w:rsid w:val="00996688"/>
    <w:rsid w:val="0099676A"/>
    <w:rsid w:val="009967F2"/>
    <w:rsid w:val="00996D90"/>
    <w:rsid w:val="0099700E"/>
    <w:rsid w:val="00997071"/>
    <w:rsid w:val="009972EB"/>
    <w:rsid w:val="009973D0"/>
    <w:rsid w:val="0099755D"/>
    <w:rsid w:val="00997790"/>
    <w:rsid w:val="00997918"/>
    <w:rsid w:val="0099792A"/>
    <w:rsid w:val="00997C77"/>
    <w:rsid w:val="00997E79"/>
    <w:rsid w:val="00997F29"/>
    <w:rsid w:val="00997FC0"/>
    <w:rsid w:val="009A0568"/>
    <w:rsid w:val="009A062B"/>
    <w:rsid w:val="009A07F2"/>
    <w:rsid w:val="009A087A"/>
    <w:rsid w:val="009A0C54"/>
    <w:rsid w:val="009A10B2"/>
    <w:rsid w:val="009A1175"/>
    <w:rsid w:val="009A1600"/>
    <w:rsid w:val="009A169B"/>
    <w:rsid w:val="009A1703"/>
    <w:rsid w:val="009A2148"/>
    <w:rsid w:val="009A2169"/>
    <w:rsid w:val="009A2176"/>
    <w:rsid w:val="009A237D"/>
    <w:rsid w:val="009A24D0"/>
    <w:rsid w:val="009A2535"/>
    <w:rsid w:val="009A2B79"/>
    <w:rsid w:val="009A3147"/>
    <w:rsid w:val="009A3155"/>
    <w:rsid w:val="009A322E"/>
    <w:rsid w:val="009A3327"/>
    <w:rsid w:val="009A3823"/>
    <w:rsid w:val="009A3A95"/>
    <w:rsid w:val="009A3ACC"/>
    <w:rsid w:val="009A3C7D"/>
    <w:rsid w:val="009A3C9A"/>
    <w:rsid w:val="009A41BD"/>
    <w:rsid w:val="009A4476"/>
    <w:rsid w:val="009A4695"/>
    <w:rsid w:val="009A4965"/>
    <w:rsid w:val="009A4F5A"/>
    <w:rsid w:val="009A52FC"/>
    <w:rsid w:val="009A5595"/>
    <w:rsid w:val="009A59EC"/>
    <w:rsid w:val="009A5CE7"/>
    <w:rsid w:val="009A5F27"/>
    <w:rsid w:val="009A600A"/>
    <w:rsid w:val="009A631E"/>
    <w:rsid w:val="009A66D0"/>
    <w:rsid w:val="009A6874"/>
    <w:rsid w:val="009A6B55"/>
    <w:rsid w:val="009A6C38"/>
    <w:rsid w:val="009A6E57"/>
    <w:rsid w:val="009A7095"/>
    <w:rsid w:val="009A7374"/>
    <w:rsid w:val="009A7750"/>
    <w:rsid w:val="009A7947"/>
    <w:rsid w:val="009A7CBB"/>
    <w:rsid w:val="009A7D2E"/>
    <w:rsid w:val="009A7DD7"/>
    <w:rsid w:val="009A7E88"/>
    <w:rsid w:val="009B01FC"/>
    <w:rsid w:val="009B03A4"/>
    <w:rsid w:val="009B04EC"/>
    <w:rsid w:val="009B053F"/>
    <w:rsid w:val="009B05A1"/>
    <w:rsid w:val="009B05A7"/>
    <w:rsid w:val="009B0658"/>
    <w:rsid w:val="009B0C0C"/>
    <w:rsid w:val="009B0C4E"/>
    <w:rsid w:val="009B0F0F"/>
    <w:rsid w:val="009B1905"/>
    <w:rsid w:val="009B1A4E"/>
    <w:rsid w:val="009B1BFE"/>
    <w:rsid w:val="009B1F48"/>
    <w:rsid w:val="009B1FB9"/>
    <w:rsid w:val="009B2334"/>
    <w:rsid w:val="009B2452"/>
    <w:rsid w:val="009B2F52"/>
    <w:rsid w:val="009B329E"/>
    <w:rsid w:val="009B380D"/>
    <w:rsid w:val="009B3968"/>
    <w:rsid w:val="009B39A7"/>
    <w:rsid w:val="009B39E6"/>
    <w:rsid w:val="009B3C83"/>
    <w:rsid w:val="009B3D08"/>
    <w:rsid w:val="009B404A"/>
    <w:rsid w:val="009B4125"/>
    <w:rsid w:val="009B4194"/>
    <w:rsid w:val="009B42B5"/>
    <w:rsid w:val="009B4611"/>
    <w:rsid w:val="009B49C3"/>
    <w:rsid w:val="009B4A5C"/>
    <w:rsid w:val="009B52AA"/>
    <w:rsid w:val="009B5543"/>
    <w:rsid w:val="009B55CC"/>
    <w:rsid w:val="009B55E9"/>
    <w:rsid w:val="009B56B0"/>
    <w:rsid w:val="009B59A7"/>
    <w:rsid w:val="009B5BBC"/>
    <w:rsid w:val="009B6682"/>
    <w:rsid w:val="009B66DA"/>
    <w:rsid w:val="009B672F"/>
    <w:rsid w:val="009B6778"/>
    <w:rsid w:val="009B67E9"/>
    <w:rsid w:val="009B6875"/>
    <w:rsid w:val="009B6A9B"/>
    <w:rsid w:val="009B6BAB"/>
    <w:rsid w:val="009B7148"/>
    <w:rsid w:val="009B7367"/>
    <w:rsid w:val="009B7400"/>
    <w:rsid w:val="009B74E4"/>
    <w:rsid w:val="009B759D"/>
    <w:rsid w:val="009B761A"/>
    <w:rsid w:val="009B7674"/>
    <w:rsid w:val="009B791A"/>
    <w:rsid w:val="009B7AEF"/>
    <w:rsid w:val="009B7C9B"/>
    <w:rsid w:val="009C02E1"/>
    <w:rsid w:val="009C02E3"/>
    <w:rsid w:val="009C0525"/>
    <w:rsid w:val="009C0533"/>
    <w:rsid w:val="009C0CD0"/>
    <w:rsid w:val="009C1386"/>
    <w:rsid w:val="009C1A37"/>
    <w:rsid w:val="009C1AAA"/>
    <w:rsid w:val="009C1B73"/>
    <w:rsid w:val="009C1D34"/>
    <w:rsid w:val="009C1E0B"/>
    <w:rsid w:val="009C1F65"/>
    <w:rsid w:val="009C23CC"/>
    <w:rsid w:val="009C24ED"/>
    <w:rsid w:val="009C266A"/>
    <w:rsid w:val="009C2715"/>
    <w:rsid w:val="009C2A51"/>
    <w:rsid w:val="009C2F0E"/>
    <w:rsid w:val="009C2F7E"/>
    <w:rsid w:val="009C31C7"/>
    <w:rsid w:val="009C323A"/>
    <w:rsid w:val="009C3280"/>
    <w:rsid w:val="009C3521"/>
    <w:rsid w:val="009C367A"/>
    <w:rsid w:val="009C38E0"/>
    <w:rsid w:val="009C3A50"/>
    <w:rsid w:val="009C3BE1"/>
    <w:rsid w:val="009C3CBD"/>
    <w:rsid w:val="009C3DBF"/>
    <w:rsid w:val="009C3E02"/>
    <w:rsid w:val="009C408E"/>
    <w:rsid w:val="009C437C"/>
    <w:rsid w:val="009C437E"/>
    <w:rsid w:val="009C43B5"/>
    <w:rsid w:val="009C4506"/>
    <w:rsid w:val="009C4748"/>
    <w:rsid w:val="009C4B65"/>
    <w:rsid w:val="009C4C1F"/>
    <w:rsid w:val="009C4D80"/>
    <w:rsid w:val="009C4EC5"/>
    <w:rsid w:val="009C5162"/>
    <w:rsid w:val="009C5A65"/>
    <w:rsid w:val="009C5D99"/>
    <w:rsid w:val="009C62B5"/>
    <w:rsid w:val="009C659B"/>
    <w:rsid w:val="009C65F2"/>
    <w:rsid w:val="009C672E"/>
    <w:rsid w:val="009C687F"/>
    <w:rsid w:val="009C6A1C"/>
    <w:rsid w:val="009C6AC9"/>
    <w:rsid w:val="009C6BBD"/>
    <w:rsid w:val="009C6BCB"/>
    <w:rsid w:val="009C6CBB"/>
    <w:rsid w:val="009C6EF0"/>
    <w:rsid w:val="009C6FB6"/>
    <w:rsid w:val="009C750B"/>
    <w:rsid w:val="009C764F"/>
    <w:rsid w:val="009C7688"/>
    <w:rsid w:val="009C76E0"/>
    <w:rsid w:val="009C7D62"/>
    <w:rsid w:val="009C7DAF"/>
    <w:rsid w:val="009C7E6A"/>
    <w:rsid w:val="009D056F"/>
    <w:rsid w:val="009D0B7B"/>
    <w:rsid w:val="009D1423"/>
    <w:rsid w:val="009D146B"/>
    <w:rsid w:val="009D1717"/>
    <w:rsid w:val="009D1F7E"/>
    <w:rsid w:val="009D1FDF"/>
    <w:rsid w:val="009D201D"/>
    <w:rsid w:val="009D212D"/>
    <w:rsid w:val="009D2670"/>
    <w:rsid w:val="009D2ADE"/>
    <w:rsid w:val="009D2C7E"/>
    <w:rsid w:val="009D2ED9"/>
    <w:rsid w:val="009D2EDA"/>
    <w:rsid w:val="009D332C"/>
    <w:rsid w:val="009D3696"/>
    <w:rsid w:val="009D3704"/>
    <w:rsid w:val="009D37DD"/>
    <w:rsid w:val="009D3855"/>
    <w:rsid w:val="009D38A8"/>
    <w:rsid w:val="009D3942"/>
    <w:rsid w:val="009D3AA1"/>
    <w:rsid w:val="009D3D4D"/>
    <w:rsid w:val="009D3F76"/>
    <w:rsid w:val="009D4274"/>
    <w:rsid w:val="009D4743"/>
    <w:rsid w:val="009D4833"/>
    <w:rsid w:val="009D53A6"/>
    <w:rsid w:val="009D53D0"/>
    <w:rsid w:val="009D5CA6"/>
    <w:rsid w:val="009D5D37"/>
    <w:rsid w:val="009D5FB8"/>
    <w:rsid w:val="009D61DD"/>
    <w:rsid w:val="009D62C7"/>
    <w:rsid w:val="009D62E3"/>
    <w:rsid w:val="009D66D6"/>
    <w:rsid w:val="009D66FE"/>
    <w:rsid w:val="009D6791"/>
    <w:rsid w:val="009D6AC1"/>
    <w:rsid w:val="009D6CBE"/>
    <w:rsid w:val="009D6D8F"/>
    <w:rsid w:val="009D6FDF"/>
    <w:rsid w:val="009D7182"/>
    <w:rsid w:val="009D7798"/>
    <w:rsid w:val="009D7A91"/>
    <w:rsid w:val="009D7AE2"/>
    <w:rsid w:val="009D7BEF"/>
    <w:rsid w:val="009D7F5C"/>
    <w:rsid w:val="009DCF8D"/>
    <w:rsid w:val="009E052A"/>
    <w:rsid w:val="009E0937"/>
    <w:rsid w:val="009E0EA2"/>
    <w:rsid w:val="009E0FE2"/>
    <w:rsid w:val="009E102E"/>
    <w:rsid w:val="009E163A"/>
    <w:rsid w:val="009E1AC4"/>
    <w:rsid w:val="009E1BC6"/>
    <w:rsid w:val="009E1ED7"/>
    <w:rsid w:val="009E1F0C"/>
    <w:rsid w:val="009E214D"/>
    <w:rsid w:val="009E218E"/>
    <w:rsid w:val="009E21B2"/>
    <w:rsid w:val="009E2460"/>
    <w:rsid w:val="009E2771"/>
    <w:rsid w:val="009E2855"/>
    <w:rsid w:val="009E28EC"/>
    <w:rsid w:val="009E2963"/>
    <w:rsid w:val="009E29F3"/>
    <w:rsid w:val="009E2B37"/>
    <w:rsid w:val="009E2BCB"/>
    <w:rsid w:val="009E2F55"/>
    <w:rsid w:val="009E3144"/>
    <w:rsid w:val="009E315A"/>
    <w:rsid w:val="009E363C"/>
    <w:rsid w:val="009E3A6E"/>
    <w:rsid w:val="009E42D4"/>
    <w:rsid w:val="009E4841"/>
    <w:rsid w:val="009E496B"/>
    <w:rsid w:val="009E4A7A"/>
    <w:rsid w:val="009E4DC3"/>
    <w:rsid w:val="009E4E07"/>
    <w:rsid w:val="009E56F9"/>
    <w:rsid w:val="009E573E"/>
    <w:rsid w:val="009E5CF1"/>
    <w:rsid w:val="009E5D99"/>
    <w:rsid w:val="009E60FB"/>
    <w:rsid w:val="009E6573"/>
    <w:rsid w:val="009E68F6"/>
    <w:rsid w:val="009E69F6"/>
    <w:rsid w:val="009E6A14"/>
    <w:rsid w:val="009E6B21"/>
    <w:rsid w:val="009E6EEC"/>
    <w:rsid w:val="009E7108"/>
    <w:rsid w:val="009E72AC"/>
    <w:rsid w:val="009E760E"/>
    <w:rsid w:val="009E779A"/>
    <w:rsid w:val="009E78E7"/>
    <w:rsid w:val="009E7983"/>
    <w:rsid w:val="009EF76D"/>
    <w:rsid w:val="009F00D3"/>
    <w:rsid w:val="009F03EE"/>
    <w:rsid w:val="009F0AFA"/>
    <w:rsid w:val="009F0C70"/>
    <w:rsid w:val="009F116C"/>
    <w:rsid w:val="009F11FC"/>
    <w:rsid w:val="009F1477"/>
    <w:rsid w:val="009F1BE0"/>
    <w:rsid w:val="009F2233"/>
    <w:rsid w:val="009F2364"/>
    <w:rsid w:val="009F248D"/>
    <w:rsid w:val="009F275C"/>
    <w:rsid w:val="009F2776"/>
    <w:rsid w:val="009F2B28"/>
    <w:rsid w:val="009F2B40"/>
    <w:rsid w:val="009F2BE8"/>
    <w:rsid w:val="009F2D5A"/>
    <w:rsid w:val="009F2E31"/>
    <w:rsid w:val="009F2FE0"/>
    <w:rsid w:val="009F36A7"/>
    <w:rsid w:val="009F38AB"/>
    <w:rsid w:val="009F3C13"/>
    <w:rsid w:val="009F3D58"/>
    <w:rsid w:val="009F3D69"/>
    <w:rsid w:val="009F3E6F"/>
    <w:rsid w:val="009F3E8C"/>
    <w:rsid w:val="009F3E91"/>
    <w:rsid w:val="009F3EE6"/>
    <w:rsid w:val="009F3F1F"/>
    <w:rsid w:val="009F3FC1"/>
    <w:rsid w:val="009F451A"/>
    <w:rsid w:val="009F4779"/>
    <w:rsid w:val="009F4AFA"/>
    <w:rsid w:val="009F4B1F"/>
    <w:rsid w:val="009F4BEA"/>
    <w:rsid w:val="009F4E7C"/>
    <w:rsid w:val="009F4FB3"/>
    <w:rsid w:val="009F52ED"/>
    <w:rsid w:val="009F5328"/>
    <w:rsid w:val="009F59F4"/>
    <w:rsid w:val="009F5BA6"/>
    <w:rsid w:val="009F5DC0"/>
    <w:rsid w:val="009F5E68"/>
    <w:rsid w:val="009F5FD1"/>
    <w:rsid w:val="009F6084"/>
    <w:rsid w:val="009F6416"/>
    <w:rsid w:val="009F6B30"/>
    <w:rsid w:val="009F7070"/>
    <w:rsid w:val="009F71D1"/>
    <w:rsid w:val="009F7956"/>
    <w:rsid w:val="009F7C96"/>
    <w:rsid w:val="009F7EB5"/>
    <w:rsid w:val="00A004AA"/>
    <w:rsid w:val="00A00DD6"/>
    <w:rsid w:val="00A011A2"/>
    <w:rsid w:val="00A011BF"/>
    <w:rsid w:val="00A01397"/>
    <w:rsid w:val="00A013D4"/>
    <w:rsid w:val="00A01448"/>
    <w:rsid w:val="00A017BA"/>
    <w:rsid w:val="00A017F4"/>
    <w:rsid w:val="00A01AAD"/>
    <w:rsid w:val="00A01B85"/>
    <w:rsid w:val="00A01E69"/>
    <w:rsid w:val="00A01EFD"/>
    <w:rsid w:val="00A02043"/>
    <w:rsid w:val="00A02159"/>
    <w:rsid w:val="00A02319"/>
    <w:rsid w:val="00A026DF"/>
    <w:rsid w:val="00A028E1"/>
    <w:rsid w:val="00A02907"/>
    <w:rsid w:val="00A02BFB"/>
    <w:rsid w:val="00A02CFE"/>
    <w:rsid w:val="00A02FD9"/>
    <w:rsid w:val="00A03001"/>
    <w:rsid w:val="00A03110"/>
    <w:rsid w:val="00A031A7"/>
    <w:rsid w:val="00A0321F"/>
    <w:rsid w:val="00A03648"/>
    <w:rsid w:val="00A03826"/>
    <w:rsid w:val="00A03838"/>
    <w:rsid w:val="00A03A5F"/>
    <w:rsid w:val="00A03B39"/>
    <w:rsid w:val="00A03B7D"/>
    <w:rsid w:val="00A03CEC"/>
    <w:rsid w:val="00A04100"/>
    <w:rsid w:val="00A0464F"/>
    <w:rsid w:val="00A0474F"/>
    <w:rsid w:val="00A04A1C"/>
    <w:rsid w:val="00A04ADD"/>
    <w:rsid w:val="00A04B68"/>
    <w:rsid w:val="00A04C20"/>
    <w:rsid w:val="00A04D86"/>
    <w:rsid w:val="00A04E5C"/>
    <w:rsid w:val="00A04E60"/>
    <w:rsid w:val="00A05376"/>
    <w:rsid w:val="00A05737"/>
    <w:rsid w:val="00A058D1"/>
    <w:rsid w:val="00A05902"/>
    <w:rsid w:val="00A05B85"/>
    <w:rsid w:val="00A05E20"/>
    <w:rsid w:val="00A061E6"/>
    <w:rsid w:val="00A066DE"/>
    <w:rsid w:val="00A06808"/>
    <w:rsid w:val="00A069E8"/>
    <w:rsid w:val="00A06E90"/>
    <w:rsid w:val="00A07571"/>
    <w:rsid w:val="00A075C8"/>
    <w:rsid w:val="00A079BF"/>
    <w:rsid w:val="00A07AB8"/>
    <w:rsid w:val="00A10066"/>
    <w:rsid w:val="00A104CB"/>
    <w:rsid w:val="00A10A5A"/>
    <w:rsid w:val="00A10B65"/>
    <w:rsid w:val="00A10FD8"/>
    <w:rsid w:val="00A110DE"/>
    <w:rsid w:val="00A11374"/>
    <w:rsid w:val="00A1149E"/>
    <w:rsid w:val="00A11D18"/>
    <w:rsid w:val="00A125B1"/>
    <w:rsid w:val="00A125D4"/>
    <w:rsid w:val="00A126F2"/>
    <w:rsid w:val="00A12960"/>
    <w:rsid w:val="00A12D06"/>
    <w:rsid w:val="00A12E9D"/>
    <w:rsid w:val="00A13047"/>
    <w:rsid w:val="00A1319C"/>
    <w:rsid w:val="00A13600"/>
    <w:rsid w:val="00A13D15"/>
    <w:rsid w:val="00A141E5"/>
    <w:rsid w:val="00A143C3"/>
    <w:rsid w:val="00A14484"/>
    <w:rsid w:val="00A14485"/>
    <w:rsid w:val="00A146C9"/>
    <w:rsid w:val="00A148AE"/>
    <w:rsid w:val="00A149A2"/>
    <w:rsid w:val="00A14A33"/>
    <w:rsid w:val="00A14AD5"/>
    <w:rsid w:val="00A14BF6"/>
    <w:rsid w:val="00A14C2E"/>
    <w:rsid w:val="00A15100"/>
    <w:rsid w:val="00A1514B"/>
    <w:rsid w:val="00A15581"/>
    <w:rsid w:val="00A15838"/>
    <w:rsid w:val="00A1593F"/>
    <w:rsid w:val="00A15B57"/>
    <w:rsid w:val="00A15D75"/>
    <w:rsid w:val="00A15EEF"/>
    <w:rsid w:val="00A1615D"/>
    <w:rsid w:val="00A16AB7"/>
    <w:rsid w:val="00A16B00"/>
    <w:rsid w:val="00A16CC8"/>
    <w:rsid w:val="00A17A14"/>
    <w:rsid w:val="00A17F33"/>
    <w:rsid w:val="00A2035A"/>
    <w:rsid w:val="00A20764"/>
    <w:rsid w:val="00A20917"/>
    <w:rsid w:val="00A20A70"/>
    <w:rsid w:val="00A2148D"/>
    <w:rsid w:val="00A21DBA"/>
    <w:rsid w:val="00A21E92"/>
    <w:rsid w:val="00A21F86"/>
    <w:rsid w:val="00A21F92"/>
    <w:rsid w:val="00A2220F"/>
    <w:rsid w:val="00A223FF"/>
    <w:rsid w:val="00A22BDA"/>
    <w:rsid w:val="00A22D39"/>
    <w:rsid w:val="00A2301C"/>
    <w:rsid w:val="00A23207"/>
    <w:rsid w:val="00A2325F"/>
    <w:rsid w:val="00A23339"/>
    <w:rsid w:val="00A23613"/>
    <w:rsid w:val="00A23CC2"/>
    <w:rsid w:val="00A23DC9"/>
    <w:rsid w:val="00A2415C"/>
    <w:rsid w:val="00A24A71"/>
    <w:rsid w:val="00A24AEB"/>
    <w:rsid w:val="00A24DA3"/>
    <w:rsid w:val="00A25045"/>
    <w:rsid w:val="00A2521F"/>
    <w:rsid w:val="00A2536F"/>
    <w:rsid w:val="00A25657"/>
    <w:rsid w:val="00A25722"/>
    <w:rsid w:val="00A258A2"/>
    <w:rsid w:val="00A25ECC"/>
    <w:rsid w:val="00A263F4"/>
    <w:rsid w:val="00A26AF6"/>
    <w:rsid w:val="00A26FD0"/>
    <w:rsid w:val="00A27124"/>
    <w:rsid w:val="00A274FA"/>
    <w:rsid w:val="00A277DE"/>
    <w:rsid w:val="00A27AE4"/>
    <w:rsid w:val="00A27BE6"/>
    <w:rsid w:val="00A27DC6"/>
    <w:rsid w:val="00A30155"/>
    <w:rsid w:val="00A30299"/>
    <w:rsid w:val="00A3055A"/>
    <w:rsid w:val="00A3058F"/>
    <w:rsid w:val="00A30708"/>
    <w:rsid w:val="00A30A69"/>
    <w:rsid w:val="00A30AF9"/>
    <w:rsid w:val="00A30DAC"/>
    <w:rsid w:val="00A30DB3"/>
    <w:rsid w:val="00A31079"/>
    <w:rsid w:val="00A31155"/>
    <w:rsid w:val="00A31207"/>
    <w:rsid w:val="00A31220"/>
    <w:rsid w:val="00A3131C"/>
    <w:rsid w:val="00A31641"/>
    <w:rsid w:val="00A31B74"/>
    <w:rsid w:val="00A31E04"/>
    <w:rsid w:val="00A31F36"/>
    <w:rsid w:val="00A3217C"/>
    <w:rsid w:val="00A323DB"/>
    <w:rsid w:val="00A3275E"/>
    <w:rsid w:val="00A3281F"/>
    <w:rsid w:val="00A329F7"/>
    <w:rsid w:val="00A32AF1"/>
    <w:rsid w:val="00A32B23"/>
    <w:rsid w:val="00A32CB1"/>
    <w:rsid w:val="00A32CD4"/>
    <w:rsid w:val="00A331FF"/>
    <w:rsid w:val="00A338E2"/>
    <w:rsid w:val="00A33A15"/>
    <w:rsid w:val="00A33CDC"/>
    <w:rsid w:val="00A33F10"/>
    <w:rsid w:val="00A343DE"/>
    <w:rsid w:val="00A34425"/>
    <w:rsid w:val="00A344A6"/>
    <w:rsid w:val="00A34799"/>
    <w:rsid w:val="00A34E1A"/>
    <w:rsid w:val="00A3539F"/>
    <w:rsid w:val="00A35432"/>
    <w:rsid w:val="00A35888"/>
    <w:rsid w:val="00A35FCE"/>
    <w:rsid w:val="00A362F2"/>
    <w:rsid w:val="00A36351"/>
    <w:rsid w:val="00A3670D"/>
    <w:rsid w:val="00A36741"/>
    <w:rsid w:val="00A36AA7"/>
    <w:rsid w:val="00A36C53"/>
    <w:rsid w:val="00A36DFE"/>
    <w:rsid w:val="00A36F12"/>
    <w:rsid w:val="00A37341"/>
    <w:rsid w:val="00A37698"/>
    <w:rsid w:val="00A37907"/>
    <w:rsid w:val="00A403C5"/>
    <w:rsid w:val="00A403E9"/>
    <w:rsid w:val="00A40571"/>
    <w:rsid w:val="00A406DC"/>
    <w:rsid w:val="00A40778"/>
    <w:rsid w:val="00A409E5"/>
    <w:rsid w:val="00A40BC5"/>
    <w:rsid w:val="00A40C36"/>
    <w:rsid w:val="00A41119"/>
    <w:rsid w:val="00A411F4"/>
    <w:rsid w:val="00A41273"/>
    <w:rsid w:val="00A41F37"/>
    <w:rsid w:val="00A41F38"/>
    <w:rsid w:val="00A42150"/>
    <w:rsid w:val="00A42250"/>
    <w:rsid w:val="00A422DA"/>
    <w:rsid w:val="00A4234F"/>
    <w:rsid w:val="00A423DB"/>
    <w:rsid w:val="00A42CFF"/>
    <w:rsid w:val="00A42E3B"/>
    <w:rsid w:val="00A42E96"/>
    <w:rsid w:val="00A42FDE"/>
    <w:rsid w:val="00A4347E"/>
    <w:rsid w:val="00A43542"/>
    <w:rsid w:val="00A4381E"/>
    <w:rsid w:val="00A439B7"/>
    <w:rsid w:val="00A43B16"/>
    <w:rsid w:val="00A44476"/>
    <w:rsid w:val="00A444B6"/>
    <w:rsid w:val="00A44A13"/>
    <w:rsid w:val="00A4630E"/>
    <w:rsid w:val="00A46DA4"/>
    <w:rsid w:val="00A473AE"/>
    <w:rsid w:val="00A473B6"/>
    <w:rsid w:val="00A477B6"/>
    <w:rsid w:val="00A47BC6"/>
    <w:rsid w:val="00A47BE9"/>
    <w:rsid w:val="00A47CC9"/>
    <w:rsid w:val="00A47DE3"/>
    <w:rsid w:val="00A50310"/>
    <w:rsid w:val="00A5088B"/>
    <w:rsid w:val="00A50A66"/>
    <w:rsid w:val="00A50ABE"/>
    <w:rsid w:val="00A50CB1"/>
    <w:rsid w:val="00A51480"/>
    <w:rsid w:val="00A51536"/>
    <w:rsid w:val="00A5159D"/>
    <w:rsid w:val="00A51A22"/>
    <w:rsid w:val="00A51E77"/>
    <w:rsid w:val="00A52096"/>
    <w:rsid w:val="00A520FE"/>
    <w:rsid w:val="00A5227A"/>
    <w:rsid w:val="00A52D97"/>
    <w:rsid w:val="00A52DEC"/>
    <w:rsid w:val="00A53413"/>
    <w:rsid w:val="00A5366D"/>
    <w:rsid w:val="00A53750"/>
    <w:rsid w:val="00A53B7D"/>
    <w:rsid w:val="00A53C0E"/>
    <w:rsid w:val="00A53DF9"/>
    <w:rsid w:val="00A53F05"/>
    <w:rsid w:val="00A54175"/>
    <w:rsid w:val="00A54504"/>
    <w:rsid w:val="00A54564"/>
    <w:rsid w:val="00A54572"/>
    <w:rsid w:val="00A54648"/>
    <w:rsid w:val="00A54741"/>
    <w:rsid w:val="00A54BEA"/>
    <w:rsid w:val="00A54F50"/>
    <w:rsid w:val="00A553A0"/>
    <w:rsid w:val="00A55459"/>
    <w:rsid w:val="00A55518"/>
    <w:rsid w:val="00A5562B"/>
    <w:rsid w:val="00A55A52"/>
    <w:rsid w:val="00A55B8B"/>
    <w:rsid w:val="00A55DE0"/>
    <w:rsid w:val="00A5664A"/>
    <w:rsid w:val="00A56940"/>
    <w:rsid w:val="00A57089"/>
    <w:rsid w:val="00A5724A"/>
    <w:rsid w:val="00A57754"/>
    <w:rsid w:val="00A57B3A"/>
    <w:rsid w:val="00A57D42"/>
    <w:rsid w:val="00A57EFC"/>
    <w:rsid w:val="00A57F92"/>
    <w:rsid w:val="00A60A70"/>
    <w:rsid w:val="00A60BBB"/>
    <w:rsid w:val="00A60C77"/>
    <w:rsid w:val="00A60C83"/>
    <w:rsid w:val="00A610EB"/>
    <w:rsid w:val="00A6123E"/>
    <w:rsid w:val="00A61340"/>
    <w:rsid w:val="00A6136F"/>
    <w:rsid w:val="00A613C3"/>
    <w:rsid w:val="00A615FC"/>
    <w:rsid w:val="00A6163B"/>
    <w:rsid w:val="00A61BA9"/>
    <w:rsid w:val="00A61D11"/>
    <w:rsid w:val="00A61E51"/>
    <w:rsid w:val="00A62264"/>
    <w:rsid w:val="00A62532"/>
    <w:rsid w:val="00A62E27"/>
    <w:rsid w:val="00A62E79"/>
    <w:rsid w:val="00A63728"/>
    <w:rsid w:val="00A637AB"/>
    <w:rsid w:val="00A63A99"/>
    <w:rsid w:val="00A63D92"/>
    <w:rsid w:val="00A63EB7"/>
    <w:rsid w:val="00A63F10"/>
    <w:rsid w:val="00A64045"/>
    <w:rsid w:val="00A64197"/>
    <w:rsid w:val="00A64207"/>
    <w:rsid w:val="00A6438F"/>
    <w:rsid w:val="00A649C5"/>
    <w:rsid w:val="00A64DC5"/>
    <w:rsid w:val="00A64E37"/>
    <w:rsid w:val="00A65270"/>
    <w:rsid w:val="00A658F5"/>
    <w:rsid w:val="00A65E89"/>
    <w:rsid w:val="00A65F1E"/>
    <w:rsid w:val="00A65F1F"/>
    <w:rsid w:val="00A66328"/>
    <w:rsid w:val="00A66AAB"/>
    <w:rsid w:val="00A66B06"/>
    <w:rsid w:val="00A66E1B"/>
    <w:rsid w:val="00A66E7D"/>
    <w:rsid w:val="00A6718F"/>
    <w:rsid w:val="00A67454"/>
    <w:rsid w:val="00A6748D"/>
    <w:rsid w:val="00A67D61"/>
    <w:rsid w:val="00A701E2"/>
    <w:rsid w:val="00A70582"/>
    <w:rsid w:val="00A70828"/>
    <w:rsid w:val="00A708C0"/>
    <w:rsid w:val="00A70BE9"/>
    <w:rsid w:val="00A70FE0"/>
    <w:rsid w:val="00A7156E"/>
    <w:rsid w:val="00A71B7A"/>
    <w:rsid w:val="00A71DE4"/>
    <w:rsid w:val="00A72090"/>
    <w:rsid w:val="00A72303"/>
    <w:rsid w:val="00A72480"/>
    <w:rsid w:val="00A72553"/>
    <w:rsid w:val="00A72AC4"/>
    <w:rsid w:val="00A72AF3"/>
    <w:rsid w:val="00A72BA3"/>
    <w:rsid w:val="00A73654"/>
    <w:rsid w:val="00A739AD"/>
    <w:rsid w:val="00A73CC6"/>
    <w:rsid w:val="00A73CC7"/>
    <w:rsid w:val="00A73DD9"/>
    <w:rsid w:val="00A74196"/>
    <w:rsid w:val="00A74467"/>
    <w:rsid w:val="00A74B33"/>
    <w:rsid w:val="00A74B4B"/>
    <w:rsid w:val="00A74F1E"/>
    <w:rsid w:val="00A7521F"/>
    <w:rsid w:val="00A75CA9"/>
    <w:rsid w:val="00A75CDF"/>
    <w:rsid w:val="00A75EED"/>
    <w:rsid w:val="00A76590"/>
    <w:rsid w:val="00A767E3"/>
    <w:rsid w:val="00A76B49"/>
    <w:rsid w:val="00A7712F"/>
    <w:rsid w:val="00A771A7"/>
    <w:rsid w:val="00A772E5"/>
    <w:rsid w:val="00A77B3D"/>
    <w:rsid w:val="00A77CCC"/>
    <w:rsid w:val="00A77FC9"/>
    <w:rsid w:val="00A7A94D"/>
    <w:rsid w:val="00A80043"/>
    <w:rsid w:val="00A80494"/>
    <w:rsid w:val="00A80642"/>
    <w:rsid w:val="00A806F2"/>
    <w:rsid w:val="00A80964"/>
    <w:rsid w:val="00A80D11"/>
    <w:rsid w:val="00A80FB5"/>
    <w:rsid w:val="00A813EB"/>
    <w:rsid w:val="00A81A13"/>
    <w:rsid w:val="00A81C4D"/>
    <w:rsid w:val="00A81DDF"/>
    <w:rsid w:val="00A81E62"/>
    <w:rsid w:val="00A81F2B"/>
    <w:rsid w:val="00A81FCC"/>
    <w:rsid w:val="00A82B23"/>
    <w:rsid w:val="00A82E1E"/>
    <w:rsid w:val="00A83111"/>
    <w:rsid w:val="00A83393"/>
    <w:rsid w:val="00A838D3"/>
    <w:rsid w:val="00A839F1"/>
    <w:rsid w:val="00A83E48"/>
    <w:rsid w:val="00A83FC0"/>
    <w:rsid w:val="00A84033"/>
    <w:rsid w:val="00A84047"/>
    <w:rsid w:val="00A842EF"/>
    <w:rsid w:val="00A84784"/>
    <w:rsid w:val="00A84908"/>
    <w:rsid w:val="00A8490E"/>
    <w:rsid w:val="00A84F2B"/>
    <w:rsid w:val="00A85345"/>
    <w:rsid w:val="00A855AA"/>
    <w:rsid w:val="00A85982"/>
    <w:rsid w:val="00A86356"/>
    <w:rsid w:val="00A8651B"/>
    <w:rsid w:val="00A8699E"/>
    <w:rsid w:val="00A869B4"/>
    <w:rsid w:val="00A86A2C"/>
    <w:rsid w:val="00A86AD8"/>
    <w:rsid w:val="00A86DDD"/>
    <w:rsid w:val="00A86E85"/>
    <w:rsid w:val="00A86F49"/>
    <w:rsid w:val="00A86F73"/>
    <w:rsid w:val="00A876A3"/>
    <w:rsid w:val="00A87893"/>
    <w:rsid w:val="00A879A7"/>
    <w:rsid w:val="00A87FA9"/>
    <w:rsid w:val="00A90123"/>
    <w:rsid w:val="00A90379"/>
    <w:rsid w:val="00A9063B"/>
    <w:rsid w:val="00A90725"/>
    <w:rsid w:val="00A90ACD"/>
    <w:rsid w:val="00A90B5C"/>
    <w:rsid w:val="00A913AD"/>
    <w:rsid w:val="00A9142C"/>
    <w:rsid w:val="00A91737"/>
    <w:rsid w:val="00A91CEC"/>
    <w:rsid w:val="00A92610"/>
    <w:rsid w:val="00A92B68"/>
    <w:rsid w:val="00A92BBC"/>
    <w:rsid w:val="00A92DEB"/>
    <w:rsid w:val="00A92F6B"/>
    <w:rsid w:val="00A92F7F"/>
    <w:rsid w:val="00A93157"/>
    <w:rsid w:val="00A934C1"/>
    <w:rsid w:val="00A93587"/>
    <w:rsid w:val="00A936BE"/>
    <w:rsid w:val="00A939D7"/>
    <w:rsid w:val="00A93D4D"/>
    <w:rsid w:val="00A93DA3"/>
    <w:rsid w:val="00A93E88"/>
    <w:rsid w:val="00A94494"/>
    <w:rsid w:val="00A949C8"/>
    <w:rsid w:val="00A94A46"/>
    <w:rsid w:val="00A94C3D"/>
    <w:rsid w:val="00A94F4B"/>
    <w:rsid w:val="00A95037"/>
    <w:rsid w:val="00A9534F"/>
    <w:rsid w:val="00A9539F"/>
    <w:rsid w:val="00A953F7"/>
    <w:rsid w:val="00A9548D"/>
    <w:rsid w:val="00A95547"/>
    <w:rsid w:val="00A95575"/>
    <w:rsid w:val="00A955AC"/>
    <w:rsid w:val="00A955B2"/>
    <w:rsid w:val="00A9572E"/>
    <w:rsid w:val="00A9574B"/>
    <w:rsid w:val="00A9579E"/>
    <w:rsid w:val="00A95B8B"/>
    <w:rsid w:val="00A95D28"/>
    <w:rsid w:val="00A9625E"/>
    <w:rsid w:val="00A9632E"/>
    <w:rsid w:val="00A963AF"/>
    <w:rsid w:val="00A96590"/>
    <w:rsid w:val="00A9659C"/>
    <w:rsid w:val="00A96A2D"/>
    <w:rsid w:val="00A96CF3"/>
    <w:rsid w:val="00A96D35"/>
    <w:rsid w:val="00A96F8F"/>
    <w:rsid w:val="00A972FF"/>
    <w:rsid w:val="00A97443"/>
    <w:rsid w:val="00A978A8"/>
    <w:rsid w:val="00A97AD9"/>
    <w:rsid w:val="00A97C1B"/>
    <w:rsid w:val="00A97F95"/>
    <w:rsid w:val="00AA0049"/>
    <w:rsid w:val="00AA0417"/>
    <w:rsid w:val="00AA078F"/>
    <w:rsid w:val="00AA0853"/>
    <w:rsid w:val="00AA0973"/>
    <w:rsid w:val="00AA1186"/>
    <w:rsid w:val="00AA12BC"/>
    <w:rsid w:val="00AA13A6"/>
    <w:rsid w:val="00AA141A"/>
    <w:rsid w:val="00AA173F"/>
    <w:rsid w:val="00AA1AF3"/>
    <w:rsid w:val="00AA22B5"/>
    <w:rsid w:val="00AA22FC"/>
    <w:rsid w:val="00AA2668"/>
    <w:rsid w:val="00AA27D7"/>
    <w:rsid w:val="00AA27EB"/>
    <w:rsid w:val="00AA282E"/>
    <w:rsid w:val="00AA2924"/>
    <w:rsid w:val="00AA3AED"/>
    <w:rsid w:val="00AA3B5D"/>
    <w:rsid w:val="00AA3EC8"/>
    <w:rsid w:val="00AA459D"/>
    <w:rsid w:val="00AA4A80"/>
    <w:rsid w:val="00AA4EE3"/>
    <w:rsid w:val="00AA54A0"/>
    <w:rsid w:val="00AA5F63"/>
    <w:rsid w:val="00AA6714"/>
    <w:rsid w:val="00AA67AD"/>
    <w:rsid w:val="00AA6E03"/>
    <w:rsid w:val="00AA7320"/>
    <w:rsid w:val="00AA779E"/>
    <w:rsid w:val="00AA79F2"/>
    <w:rsid w:val="00AB00A0"/>
    <w:rsid w:val="00AB0364"/>
    <w:rsid w:val="00AB03FA"/>
    <w:rsid w:val="00AB0683"/>
    <w:rsid w:val="00AB0B3B"/>
    <w:rsid w:val="00AB0CC3"/>
    <w:rsid w:val="00AB0F80"/>
    <w:rsid w:val="00AB12B3"/>
    <w:rsid w:val="00AB13D0"/>
    <w:rsid w:val="00AB179B"/>
    <w:rsid w:val="00AB181B"/>
    <w:rsid w:val="00AB1903"/>
    <w:rsid w:val="00AB1930"/>
    <w:rsid w:val="00AB197C"/>
    <w:rsid w:val="00AB199E"/>
    <w:rsid w:val="00AB1AFC"/>
    <w:rsid w:val="00AB1CE4"/>
    <w:rsid w:val="00AB1F04"/>
    <w:rsid w:val="00AB21B9"/>
    <w:rsid w:val="00AB21C6"/>
    <w:rsid w:val="00AB224D"/>
    <w:rsid w:val="00AB237E"/>
    <w:rsid w:val="00AB2499"/>
    <w:rsid w:val="00AB266D"/>
    <w:rsid w:val="00AB2683"/>
    <w:rsid w:val="00AB2DA9"/>
    <w:rsid w:val="00AB2DF0"/>
    <w:rsid w:val="00AB2E10"/>
    <w:rsid w:val="00AB311A"/>
    <w:rsid w:val="00AB323E"/>
    <w:rsid w:val="00AB3384"/>
    <w:rsid w:val="00AB33E6"/>
    <w:rsid w:val="00AB362A"/>
    <w:rsid w:val="00AB3726"/>
    <w:rsid w:val="00AB387A"/>
    <w:rsid w:val="00AB3ABB"/>
    <w:rsid w:val="00AB3C8F"/>
    <w:rsid w:val="00AB3EF5"/>
    <w:rsid w:val="00AB3FF5"/>
    <w:rsid w:val="00AB4067"/>
    <w:rsid w:val="00AB44A6"/>
    <w:rsid w:val="00AB5052"/>
    <w:rsid w:val="00AB5560"/>
    <w:rsid w:val="00AB5723"/>
    <w:rsid w:val="00AB5774"/>
    <w:rsid w:val="00AB593F"/>
    <w:rsid w:val="00AB5C68"/>
    <w:rsid w:val="00AB6295"/>
    <w:rsid w:val="00AB655D"/>
    <w:rsid w:val="00AB65F3"/>
    <w:rsid w:val="00AB67E3"/>
    <w:rsid w:val="00AB6955"/>
    <w:rsid w:val="00AB6A92"/>
    <w:rsid w:val="00AB6B9B"/>
    <w:rsid w:val="00AB6D63"/>
    <w:rsid w:val="00AB6DA3"/>
    <w:rsid w:val="00AB7252"/>
    <w:rsid w:val="00AB75CC"/>
    <w:rsid w:val="00AB78BD"/>
    <w:rsid w:val="00AB78FB"/>
    <w:rsid w:val="00AB7AAA"/>
    <w:rsid w:val="00AB7B16"/>
    <w:rsid w:val="00AB7C4D"/>
    <w:rsid w:val="00ABF8A5"/>
    <w:rsid w:val="00AC0049"/>
    <w:rsid w:val="00AC041D"/>
    <w:rsid w:val="00AC05CF"/>
    <w:rsid w:val="00AC084D"/>
    <w:rsid w:val="00AC0BD9"/>
    <w:rsid w:val="00AC0D61"/>
    <w:rsid w:val="00AC0F34"/>
    <w:rsid w:val="00AC117A"/>
    <w:rsid w:val="00AC134F"/>
    <w:rsid w:val="00AC1672"/>
    <w:rsid w:val="00AC1A08"/>
    <w:rsid w:val="00AC1A15"/>
    <w:rsid w:val="00AC1B21"/>
    <w:rsid w:val="00AC1E02"/>
    <w:rsid w:val="00AC2966"/>
    <w:rsid w:val="00AC29C6"/>
    <w:rsid w:val="00AC2CDE"/>
    <w:rsid w:val="00AC2F1A"/>
    <w:rsid w:val="00AC2F7E"/>
    <w:rsid w:val="00AC3542"/>
    <w:rsid w:val="00AC3764"/>
    <w:rsid w:val="00AC3A84"/>
    <w:rsid w:val="00AC3B96"/>
    <w:rsid w:val="00AC3BA7"/>
    <w:rsid w:val="00AC3F61"/>
    <w:rsid w:val="00AC40DF"/>
    <w:rsid w:val="00AC414F"/>
    <w:rsid w:val="00AC43C3"/>
    <w:rsid w:val="00AC4F5F"/>
    <w:rsid w:val="00AC5029"/>
    <w:rsid w:val="00AC5265"/>
    <w:rsid w:val="00AC5396"/>
    <w:rsid w:val="00AC5646"/>
    <w:rsid w:val="00AC5665"/>
    <w:rsid w:val="00AC58CB"/>
    <w:rsid w:val="00AC58FC"/>
    <w:rsid w:val="00AC5913"/>
    <w:rsid w:val="00AC5D97"/>
    <w:rsid w:val="00AC5EEC"/>
    <w:rsid w:val="00AC6123"/>
    <w:rsid w:val="00AC6525"/>
    <w:rsid w:val="00AC6655"/>
    <w:rsid w:val="00AC67DE"/>
    <w:rsid w:val="00AC6A76"/>
    <w:rsid w:val="00AC6B35"/>
    <w:rsid w:val="00AC7206"/>
    <w:rsid w:val="00AC7568"/>
    <w:rsid w:val="00AC75CF"/>
    <w:rsid w:val="00AC77D7"/>
    <w:rsid w:val="00AC7957"/>
    <w:rsid w:val="00AC7D76"/>
    <w:rsid w:val="00AD018D"/>
    <w:rsid w:val="00AD04DB"/>
    <w:rsid w:val="00AD0783"/>
    <w:rsid w:val="00AD0E6B"/>
    <w:rsid w:val="00AD1206"/>
    <w:rsid w:val="00AD14E5"/>
    <w:rsid w:val="00AD16B2"/>
    <w:rsid w:val="00AD1D95"/>
    <w:rsid w:val="00AD22BC"/>
    <w:rsid w:val="00AD2346"/>
    <w:rsid w:val="00AD2731"/>
    <w:rsid w:val="00AD27FF"/>
    <w:rsid w:val="00AD2A38"/>
    <w:rsid w:val="00AD3596"/>
    <w:rsid w:val="00AD361D"/>
    <w:rsid w:val="00AD36C5"/>
    <w:rsid w:val="00AD3987"/>
    <w:rsid w:val="00AD3A7E"/>
    <w:rsid w:val="00AD3B87"/>
    <w:rsid w:val="00AD44B5"/>
    <w:rsid w:val="00AD46E4"/>
    <w:rsid w:val="00AD48BE"/>
    <w:rsid w:val="00AD4A01"/>
    <w:rsid w:val="00AD53DE"/>
    <w:rsid w:val="00AD5436"/>
    <w:rsid w:val="00AD5496"/>
    <w:rsid w:val="00AD5548"/>
    <w:rsid w:val="00AD565D"/>
    <w:rsid w:val="00AD58EC"/>
    <w:rsid w:val="00AD5A48"/>
    <w:rsid w:val="00AD5D0D"/>
    <w:rsid w:val="00AD5DEF"/>
    <w:rsid w:val="00AD5E69"/>
    <w:rsid w:val="00AD6616"/>
    <w:rsid w:val="00AD673A"/>
    <w:rsid w:val="00AD6B42"/>
    <w:rsid w:val="00AD6E93"/>
    <w:rsid w:val="00AD72FE"/>
    <w:rsid w:val="00AD73B1"/>
    <w:rsid w:val="00AD7457"/>
    <w:rsid w:val="00AD746D"/>
    <w:rsid w:val="00AD75F1"/>
    <w:rsid w:val="00AD796D"/>
    <w:rsid w:val="00AD79AD"/>
    <w:rsid w:val="00AD7AA1"/>
    <w:rsid w:val="00AD7D6F"/>
    <w:rsid w:val="00AD7F2B"/>
    <w:rsid w:val="00AE023E"/>
    <w:rsid w:val="00AE0342"/>
    <w:rsid w:val="00AE0378"/>
    <w:rsid w:val="00AE0457"/>
    <w:rsid w:val="00AE0861"/>
    <w:rsid w:val="00AE093F"/>
    <w:rsid w:val="00AE0A18"/>
    <w:rsid w:val="00AE0A2C"/>
    <w:rsid w:val="00AE0A6F"/>
    <w:rsid w:val="00AE0C95"/>
    <w:rsid w:val="00AE0D20"/>
    <w:rsid w:val="00AE0E37"/>
    <w:rsid w:val="00AE14A0"/>
    <w:rsid w:val="00AE15A9"/>
    <w:rsid w:val="00AE16EC"/>
    <w:rsid w:val="00AE1790"/>
    <w:rsid w:val="00AE17A1"/>
    <w:rsid w:val="00AE1A07"/>
    <w:rsid w:val="00AE20AD"/>
    <w:rsid w:val="00AE22DE"/>
    <w:rsid w:val="00AE25A5"/>
    <w:rsid w:val="00AE27D1"/>
    <w:rsid w:val="00AE28BE"/>
    <w:rsid w:val="00AE2E2E"/>
    <w:rsid w:val="00AE2F31"/>
    <w:rsid w:val="00AE34BB"/>
    <w:rsid w:val="00AE3660"/>
    <w:rsid w:val="00AE383E"/>
    <w:rsid w:val="00AE3C65"/>
    <w:rsid w:val="00AE4311"/>
    <w:rsid w:val="00AE43B0"/>
    <w:rsid w:val="00AE4526"/>
    <w:rsid w:val="00AE472B"/>
    <w:rsid w:val="00AE4937"/>
    <w:rsid w:val="00AE4CF2"/>
    <w:rsid w:val="00AE540F"/>
    <w:rsid w:val="00AE57F6"/>
    <w:rsid w:val="00AE58EA"/>
    <w:rsid w:val="00AE5B22"/>
    <w:rsid w:val="00AE5B60"/>
    <w:rsid w:val="00AE5D03"/>
    <w:rsid w:val="00AE60BB"/>
    <w:rsid w:val="00AE6613"/>
    <w:rsid w:val="00AE662B"/>
    <w:rsid w:val="00AE6BED"/>
    <w:rsid w:val="00AE6F36"/>
    <w:rsid w:val="00AE7204"/>
    <w:rsid w:val="00AE734A"/>
    <w:rsid w:val="00AE75B0"/>
    <w:rsid w:val="00AE75F9"/>
    <w:rsid w:val="00AE7687"/>
    <w:rsid w:val="00AE77D8"/>
    <w:rsid w:val="00AE7B86"/>
    <w:rsid w:val="00AF071E"/>
    <w:rsid w:val="00AF0A51"/>
    <w:rsid w:val="00AF0ACB"/>
    <w:rsid w:val="00AF0BE2"/>
    <w:rsid w:val="00AF0CDE"/>
    <w:rsid w:val="00AF1562"/>
    <w:rsid w:val="00AF1848"/>
    <w:rsid w:val="00AF1FA6"/>
    <w:rsid w:val="00AF212D"/>
    <w:rsid w:val="00AF2305"/>
    <w:rsid w:val="00AF2317"/>
    <w:rsid w:val="00AF237F"/>
    <w:rsid w:val="00AF2508"/>
    <w:rsid w:val="00AF2595"/>
    <w:rsid w:val="00AF2A93"/>
    <w:rsid w:val="00AF2B3A"/>
    <w:rsid w:val="00AF2EFE"/>
    <w:rsid w:val="00AF2F56"/>
    <w:rsid w:val="00AF3154"/>
    <w:rsid w:val="00AF3213"/>
    <w:rsid w:val="00AF3AFA"/>
    <w:rsid w:val="00AF3F44"/>
    <w:rsid w:val="00AF440E"/>
    <w:rsid w:val="00AF458C"/>
    <w:rsid w:val="00AF46AA"/>
    <w:rsid w:val="00AF474A"/>
    <w:rsid w:val="00AF4784"/>
    <w:rsid w:val="00AF52DF"/>
    <w:rsid w:val="00AF5568"/>
    <w:rsid w:val="00AF5A55"/>
    <w:rsid w:val="00AF5CCA"/>
    <w:rsid w:val="00AF5D98"/>
    <w:rsid w:val="00AF5DCE"/>
    <w:rsid w:val="00AF6109"/>
    <w:rsid w:val="00AF6269"/>
    <w:rsid w:val="00AF63BE"/>
    <w:rsid w:val="00AF6646"/>
    <w:rsid w:val="00AF6697"/>
    <w:rsid w:val="00AF6B26"/>
    <w:rsid w:val="00AF6F43"/>
    <w:rsid w:val="00AF70A2"/>
    <w:rsid w:val="00AF72D2"/>
    <w:rsid w:val="00AF7307"/>
    <w:rsid w:val="00AF7433"/>
    <w:rsid w:val="00AF7A8D"/>
    <w:rsid w:val="00AF7CBA"/>
    <w:rsid w:val="00AF7E3D"/>
    <w:rsid w:val="00AF7ED8"/>
    <w:rsid w:val="00AF7F9F"/>
    <w:rsid w:val="00AFC920"/>
    <w:rsid w:val="00B0001C"/>
    <w:rsid w:val="00B00175"/>
    <w:rsid w:val="00B0023F"/>
    <w:rsid w:val="00B0047C"/>
    <w:rsid w:val="00B00A33"/>
    <w:rsid w:val="00B01474"/>
    <w:rsid w:val="00B014C0"/>
    <w:rsid w:val="00B01691"/>
    <w:rsid w:val="00B016D9"/>
    <w:rsid w:val="00B0172F"/>
    <w:rsid w:val="00B01ECA"/>
    <w:rsid w:val="00B021CD"/>
    <w:rsid w:val="00B0241C"/>
    <w:rsid w:val="00B02DDA"/>
    <w:rsid w:val="00B03322"/>
    <w:rsid w:val="00B03773"/>
    <w:rsid w:val="00B0384F"/>
    <w:rsid w:val="00B03A28"/>
    <w:rsid w:val="00B03A57"/>
    <w:rsid w:val="00B04249"/>
    <w:rsid w:val="00B0442F"/>
    <w:rsid w:val="00B044C6"/>
    <w:rsid w:val="00B046F2"/>
    <w:rsid w:val="00B04BCD"/>
    <w:rsid w:val="00B04D6C"/>
    <w:rsid w:val="00B04FE9"/>
    <w:rsid w:val="00B05130"/>
    <w:rsid w:val="00B0535D"/>
    <w:rsid w:val="00B05521"/>
    <w:rsid w:val="00B05898"/>
    <w:rsid w:val="00B05A3F"/>
    <w:rsid w:val="00B06359"/>
    <w:rsid w:val="00B0672D"/>
    <w:rsid w:val="00B06A58"/>
    <w:rsid w:val="00B06A7C"/>
    <w:rsid w:val="00B06C34"/>
    <w:rsid w:val="00B06CE1"/>
    <w:rsid w:val="00B06D8A"/>
    <w:rsid w:val="00B06DDD"/>
    <w:rsid w:val="00B06E17"/>
    <w:rsid w:val="00B06E98"/>
    <w:rsid w:val="00B07007"/>
    <w:rsid w:val="00B070BD"/>
    <w:rsid w:val="00B07982"/>
    <w:rsid w:val="00B07E50"/>
    <w:rsid w:val="00B105EF"/>
    <w:rsid w:val="00B10764"/>
    <w:rsid w:val="00B1098C"/>
    <w:rsid w:val="00B10DE9"/>
    <w:rsid w:val="00B10DF8"/>
    <w:rsid w:val="00B1115A"/>
    <w:rsid w:val="00B1185B"/>
    <w:rsid w:val="00B11D51"/>
    <w:rsid w:val="00B11FF2"/>
    <w:rsid w:val="00B126EA"/>
    <w:rsid w:val="00B12BBA"/>
    <w:rsid w:val="00B12D97"/>
    <w:rsid w:val="00B12F37"/>
    <w:rsid w:val="00B1318C"/>
    <w:rsid w:val="00B132B6"/>
    <w:rsid w:val="00B133D9"/>
    <w:rsid w:val="00B13BB3"/>
    <w:rsid w:val="00B13EEB"/>
    <w:rsid w:val="00B1423A"/>
    <w:rsid w:val="00B14391"/>
    <w:rsid w:val="00B144CF"/>
    <w:rsid w:val="00B145DA"/>
    <w:rsid w:val="00B1473C"/>
    <w:rsid w:val="00B14E77"/>
    <w:rsid w:val="00B154BA"/>
    <w:rsid w:val="00B15667"/>
    <w:rsid w:val="00B1573F"/>
    <w:rsid w:val="00B15759"/>
    <w:rsid w:val="00B15C06"/>
    <w:rsid w:val="00B15C71"/>
    <w:rsid w:val="00B15DBE"/>
    <w:rsid w:val="00B1620A"/>
    <w:rsid w:val="00B164C3"/>
    <w:rsid w:val="00B1665B"/>
    <w:rsid w:val="00B16EA5"/>
    <w:rsid w:val="00B1726E"/>
    <w:rsid w:val="00B17AD5"/>
    <w:rsid w:val="00B2005D"/>
    <w:rsid w:val="00B2046D"/>
    <w:rsid w:val="00B20491"/>
    <w:rsid w:val="00B2057F"/>
    <w:rsid w:val="00B207F8"/>
    <w:rsid w:val="00B208C9"/>
    <w:rsid w:val="00B20965"/>
    <w:rsid w:val="00B209BD"/>
    <w:rsid w:val="00B20A4B"/>
    <w:rsid w:val="00B20B90"/>
    <w:rsid w:val="00B2101B"/>
    <w:rsid w:val="00B2131D"/>
    <w:rsid w:val="00B21391"/>
    <w:rsid w:val="00B2167D"/>
    <w:rsid w:val="00B21B6F"/>
    <w:rsid w:val="00B2222C"/>
    <w:rsid w:val="00B2243C"/>
    <w:rsid w:val="00B22A9E"/>
    <w:rsid w:val="00B22C74"/>
    <w:rsid w:val="00B22CBF"/>
    <w:rsid w:val="00B22E6F"/>
    <w:rsid w:val="00B230F9"/>
    <w:rsid w:val="00B23315"/>
    <w:rsid w:val="00B23414"/>
    <w:rsid w:val="00B2343F"/>
    <w:rsid w:val="00B23827"/>
    <w:rsid w:val="00B23828"/>
    <w:rsid w:val="00B23837"/>
    <w:rsid w:val="00B2397C"/>
    <w:rsid w:val="00B23C1C"/>
    <w:rsid w:val="00B23FCD"/>
    <w:rsid w:val="00B245B3"/>
    <w:rsid w:val="00B245C3"/>
    <w:rsid w:val="00B245DC"/>
    <w:rsid w:val="00B254E6"/>
    <w:rsid w:val="00B25BE1"/>
    <w:rsid w:val="00B261F3"/>
    <w:rsid w:val="00B26221"/>
    <w:rsid w:val="00B2642E"/>
    <w:rsid w:val="00B265A9"/>
    <w:rsid w:val="00B2671F"/>
    <w:rsid w:val="00B26760"/>
    <w:rsid w:val="00B26F8F"/>
    <w:rsid w:val="00B26F9D"/>
    <w:rsid w:val="00B27080"/>
    <w:rsid w:val="00B273BE"/>
    <w:rsid w:val="00B27953"/>
    <w:rsid w:val="00B27A34"/>
    <w:rsid w:val="00B27BA1"/>
    <w:rsid w:val="00B301F5"/>
    <w:rsid w:val="00B302F8"/>
    <w:rsid w:val="00B30841"/>
    <w:rsid w:val="00B3092B"/>
    <w:rsid w:val="00B30BB7"/>
    <w:rsid w:val="00B30C55"/>
    <w:rsid w:val="00B31421"/>
    <w:rsid w:val="00B31445"/>
    <w:rsid w:val="00B314B3"/>
    <w:rsid w:val="00B3153F"/>
    <w:rsid w:val="00B31AC8"/>
    <w:rsid w:val="00B31CE7"/>
    <w:rsid w:val="00B32135"/>
    <w:rsid w:val="00B324A8"/>
    <w:rsid w:val="00B326DC"/>
    <w:rsid w:val="00B32719"/>
    <w:rsid w:val="00B32955"/>
    <w:rsid w:val="00B329A5"/>
    <w:rsid w:val="00B32E3B"/>
    <w:rsid w:val="00B3300B"/>
    <w:rsid w:val="00B335CB"/>
    <w:rsid w:val="00B3381E"/>
    <w:rsid w:val="00B33C1E"/>
    <w:rsid w:val="00B33DEC"/>
    <w:rsid w:val="00B3407C"/>
    <w:rsid w:val="00B3421B"/>
    <w:rsid w:val="00B3473C"/>
    <w:rsid w:val="00B34748"/>
    <w:rsid w:val="00B34F63"/>
    <w:rsid w:val="00B351BD"/>
    <w:rsid w:val="00B35350"/>
    <w:rsid w:val="00B35670"/>
    <w:rsid w:val="00B356C5"/>
    <w:rsid w:val="00B36058"/>
    <w:rsid w:val="00B36246"/>
    <w:rsid w:val="00B36765"/>
    <w:rsid w:val="00B3709F"/>
    <w:rsid w:val="00B3750A"/>
    <w:rsid w:val="00B3777C"/>
    <w:rsid w:val="00B377A5"/>
    <w:rsid w:val="00B37A70"/>
    <w:rsid w:val="00B37EA7"/>
    <w:rsid w:val="00B400F2"/>
    <w:rsid w:val="00B4012B"/>
    <w:rsid w:val="00B40CE7"/>
    <w:rsid w:val="00B40D4D"/>
    <w:rsid w:val="00B40E3E"/>
    <w:rsid w:val="00B40EDB"/>
    <w:rsid w:val="00B413DD"/>
    <w:rsid w:val="00B413E7"/>
    <w:rsid w:val="00B41853"/>
    <w:rsid w:val="00B419C7"/>
    <w:rsid w:val="00B420BE"/>
    <w:rsid w:val="00B42143"/>
    <w:rsid w:val="00B422B5"/>
    <w:rsid w:val="00B42AF3"/>
    <w:rsid w:val="00B42E67"/>
    <w:rsid w:val="00B43058"/>
    <w:rsid w:val="00B43126"/>
    <w:rsid w:val="00B431EF"/>
    <w:rsid w:val="00B4343B"/>
    <w:rsid w:val="00B43532"/>
    <w:rsid w:val="00B4364C"/>
    <w:rsid w:val="00B437C5"/>
    <w:rsid w:val="00B437CD"/>
    <w:rsid w:val="00B43C25"/>
    <w:rsid w:val="00B44174"/>
    <w:rsid w:val="00B447CB"/>
    <w:rsid w:val="00B44869"/>
    <w:rsid w:val="00B44A5D"/>
    <w:rsid w:val="00B44C94"/>
    <w:rsid w:val="00B44DFD"/>
    <w:rsid w:val="00B45AAB"/>
    <w:rsid w:val="00B45E48"/>
    <w:rsid w:val="00B461ED"/>
    <w:rsid w:val="00B46335"/>
    <w:rsid w:val="00B46372"/>
    <w:rsid w:val="00B4637D"/>
    <w:rsid w:val="00B4658E"/>
    <w:rsid w:val="00B46A10"/>
    <w:rsid w:val="00B46D61"/>
    <w:rsid w:val="00B47274"/>
    <w:rsid w:val="00B4742C"/>
    <w:rsid w:val="00B47697"/>
    <w:rsid w:val="00B478AA"/>
    <w:rsid w:val="00B47CCC"/>
    <w:rsid w:val="00B47D8A"/>
    <w:rsid w:val="00B4F703"/>
    <w:rsid w:val="00B501D3"/>
    <w:rsid w:val="00B507ED"/>
    <w:rsid w:val="00B50884"/>
    <w:rsid w:val="00B50A46"/>
    <w:rsid w:val="00B50BB5"/>
    <w:rsid w:val="00B50F7B"/>
    <w:rsid w:val="00B51090"/>
    <w:rsid w:val="00B5110E"/>
    <w:rsid w:val="00B51354"/>
    <w:rsid w:val="00B5159D"/>
    <w:rsid w:val="00B51747"/>
    <w:rsid w:val="00B51B28"/>
    <w:rsid w:val="00B51F60"/>
    <w:rsid w:val="00B522BA"/>
    <w:rsid w:val="00B523E0"/>
    <w:rsid w:val="00B5275C"/>
    <w:rsid w:val="00B52F7E"/>
    <w:rsid w:val="00B52FC9"/>
    <w:rsid w:val="00B53065"/>
    <w:rsid w:val="00B53203"/>
    <w:rsid w:val="00B53339"/>
    <w:rsid w:val="00B53502"/>
    <w:rsid w:val="00B5367C"/>
    <w:rsid w:val="00B53A21"/>
    <w:rsid w:val="00B53B49"/>
    <w:rsid w:val="00B544C3"/>
    <w:rsid w:val="00B548FA"/>
    <w:rsid w:val="00B54A0A"/>
    <w:rsid w:val="00B54BBB"/>
    <w:rsid w:val="00B5536B"/>
    <w:rsid w:val="00B55535"/>
    <w:rsid w:val="00B55A07"/>
    <w:rsid w:val="00B5604E"/>
    <w:rsid w:val="00B56375"/>
    <w:rsid w:val="00B56643"/>
    <w:rsid w:val="00B56940"/>
    <w:rsid w:val="00B56FF3"/>
    <w:rsid w:val="00B570B0"/>
    <w:rsid w:val="00B5772A"/>
    <w:rsid w:val="00B57AFD"/>
    <w:rsid w:val="00B57EA9"/>
    <w:rsid w:val="00B57F7D"/>
    <w:rsid w:val="00B60669"/>
    <w:rsid w:val="00B61020"/>
    <w:rsid w:val="00B61132"/>
    <w:rsid w:val="00B613C4"/>
    <w:rsid w:val="00B62629"/>
    <w:rsid w:val="00B636B8"/>
    <w:rsid w:val="00B637EC"/>
    <w:rsid w:val="00B63C77"/>
    <w:rsid w:val="00B63CE4"/>
    <w:rsid w:val="00B641F8"/>
    <w:rsid w:val="00B64399"/>
    <w:rsid w:val="00B6461B"/>
    <w:rsid w:val="00B64639"/>
    <w:rsid w:val="00B65443"/>
    <w:rsid w:val="00B65460"/>
    <w:rsid w:val="00B655A9"/>
    <w:rsid w:val="00B656C1"/>
    <w:rsid w:val="00B656F1"/>
    <w:rsid w:val="00B658F3"/>
    <w:rsid w:val="00B65BBA"/>
    <w:rsid w:val="00B66224"/>
    <w:rsid w:val="00B667D3"/>
    <w:rsid w:val="00B66A73"/>
    <w:rsid w:val="00B67260"/>
    <w:rsid w:val="00B674B9"/>
    <w:rsid w:val="00B6759F"/>
    <w:rsid w:val="00B67A3A"/>
    <w:rsid w:val="00B67AAF"/>
    <w:rsid w:val="00B702EC"/>
    <w:rsid w:val="00B703CC"/>
    <w:rsid w:val="00B70469"/>
    <w:rsid w:val="00B706EF"/>
    <w:rsid w:val="00B707F4"/>
    <w:rsid w:val="00B70920"/>
    <w:rsid w:val="00B70B18"/>
    <w:rsid w:val="00B70B4D"/>
    <w:rsid w:val="00B70C74"/>
    <w:rsid w:val="00B71031"/>
    <w:rsid w:val="00B7108B"/>
    <w:rsid w:val="00B718B1"/>
    <w:rsid w:val="00B71F51"/>
    <w:rsid w:val="00B72157"/>
    <w:rsid w:val="00B721D4"/>
    <w:rsid w:val="00B7228A"/>
    <w:rsid w:val="00B724B5"/>
    <w:rsid w:val="00B725DC"/>
    <w:rsid w:val="00B73468"/>
    <w:rsid w:val="00B73579"/>
    <w:rsid w:val="00B7361F"/>
    <w:rsid w:val="00B738EB"/>
    <w:rsid w:val="00B73B94"/>
    <w:rsid w:val="00B73D7F"/>
    <w:rsid w:val="00B73E06"/>
    <w:rsid w:val="00B740E8"/>
    <w:rsid w:val="00B749A5"/>
    <w:rsid w:val="00B75246"/>
    <w:rsid w:val="00B753FA"/>
    <w:rsid w:val="00B756A5"/>
    <w:rsid w:val="00B758F9"/>
    <w:rsid w:val="00B759CE"/>
    <w:rsid w:val="00B75B0E"/>
    <w:rsid w:val="00B75B7B"/>
    <w:rsid w:val="00B75CDF"/>
    <w:rsid w:val="00B76370"/>
    <w:rsid w:val="00B76587"/>
    <w:rsid w:val="00B765D5"/>
    <w:rsid w:val="00B7662E"/>
    <w:rsid w:val="00B76A29"/>
    <w:rsid w:val="00B76D5F"/>
    <w:rsid w:val="00B76D61"/>
    <w:rsid w:val="00B77129"/>
    <w:rsid w:val="00B777D4"/>
    <w:rsid w:val="00B77858"/>
    <w:rsid w:val="00B7786E"/>
    <w:rsid w:val="00B778B0"/>
    <w:rsid w:val="00B77D7B"/>
    <w:rsid w:val="00B77EF9"/>
    <w:rsid w:val="00B77F15"/>
    <w:rsid w:val="00B800D2"/>
    <w:rsid w:val="00B8054B"/>
    <w:rsid w:val="00B80905"/>
    <w:rsid w:val="00B8097F"/>
    <w:rsid w:val="00B809EA"/>
    <w:rsid w:val="00B80A29"/>
    <w:rsid w:val="00B80F2A"/>
    <w:rsid w:val="00B81434"/>
    <w:rsid w:val="00B816BA"/>
    <w:rsid w:val="00B816BF"/>
    <w:rsid w:val="00B81DC2"/>
    <w:rsid w:val="00B81EB3"/>
    <w:rsid w:val="00B82086"/>
    <w:rsid w:val="00B822C1"/>
    <w:rsid w:val="00B82857"/>
    <w:rsid w:val="00B82914"/>
    <w:rsid w:val="00B829C0"/>
    <w:rsid w:val="00B82A64"/>
    <w:rsid w:val="00B82DEE"/>
    <w:rsid w:val="00B82F12"/>
    <w:rsid w:val="00B82FEF"/>
    <w:rsid w:val="00B83177"/>
    <w:rsid w:val="00B832E5"/>
    <w:rsid w:val="00B83371"/>
    <w:rsid w:val="00B833AB"/>
    <w:rsid w:val="00B83DD9"/>
    <w:rsid w:val="00B842EC"/>
    <w:rsid w:val="00B843D0"/>
    <w:rsid w:val="00B847B1"/>
    <w:rsid w:val="00B848EF"/>
    <w:rsid w:val="00B8493F"/>
    <w:rsid w:val="00B84983"/>
    <w:rsid w:val="00B849C1"/>
    <w:rsid w:val="00B84A9E"/>
    <w:rsid w:val="00B85340"/>
    <w:rsid w:val="00B8537A"/>
    <w:rsid w:val="00B85386"/>
    <w:rsid w:val="00B8595E"/>
    <w:rsid w:val="00B85F70"/>
    <w:rsid w:val="00B85F72"/>
    <w:rsid w:val="00B86077"/>
    <w:rsid w:val="00B8608E"/>
    <w:rsid w:val="00B86161"/>
    <w:rsid w:val="00B86342"/>
    <w:rsid w:val="00B866AB"/>
    <w:rsid w:val="00B86B2D"/>
    <w:rsid w:val="00B8728D"/>
    <w:rsid w:val="00B8736E"/>
    <w:rsid w:val="00B87869"/>
    <w:rsid w:val="00B87991"/>
    <w:rsid w:val="00B87EBE"/>
    <w:rsid w:val="00B87EF5"/>
    <w:rsid w:val="00B90933"/>
    <w:rsid w:val="00B90A53"/>
    <w:rsid w:val="00B91245"/>
    <w:rsid w:val="00B91263"/>
    <w:rsid w:val="00B913FF"/>
    <w:rsid w:val="00B91450"/>
    <w:rsid w:val="00B9164F"/>
    <w:rsid w:val="00B91899"/>
    <w:rsid w:val="00B91AE0"/>
    <w:rsid w:val="00B91CDA"/>
    <w:rsid w:val="00B91DD8"/>
    <w:rsid w:val="00B91EC8"/>
    <w:rsid w:val="00B91F1B"/>
    <w:rsid w:val="00B92122"/>
    <w:rsid w:val="00B927E5"/>
    <w:rsid w:val="00B92ADA"/>
    <w:rsid w:val="00B92C18"/>
    <w:rsid w:val="00B93563"/>
    <w:rsid w:val="00B936CC"/>
    <w:rsid w:val="00B9370C"/>
    <w:rsid w:val="00B93ACE"/>
    <w:rsid w:val="00B93D54"/>
    <w:rsid w:val="00B942CC"/>
    <w:rsid w:val="00B947E7"/>
    <w:rsid w:val="00B9492A"/>
    <w:rsid w:val="00B9499A"/>
    <w:rsid w:val="00B949AD"/>
    <w:rsid w:val="00B94BF2"/>
    <w:rsid w:val="00B94DB5"/>
    <w:rsid w:val="00B94E80"/>
    <w:rsid w:val="00B95094"/>
    <w:rsid w:val="00B950C9"/>
    <w:rsid w:val="00B95697"/>
    <w:rsid w:val="00B957AE"/>
    <w:rsid w:val="00B95A7D"/>
    <w:rsid w:val="00B95B14"/>
    <w:rsid w:val="00B9615F"/>
    <w:rsid w:val="00B96350"/>
    <w:rsid w:val="00B96470"/>
    <w:rsid w:val="00B96577"/>
    <w:rsid w:val="00B965E7"/>
    <w:rsid w:val="00B968CA"/>
    <w:rsid w:val="00B96975"/>
    <w:rsid w:val="00B96BC6"/>
    <w:rsid w:val="00B96BED"/>
    <w:rsid w:val="00B96C64"/>
    <w:rsid w:val="00B97409"/>
    <w:rsid w:val="00B974F1"/>
    <w:rsid w:val="00B975F3"/>
    <w:rsid w:val="00B97802"/>
    <w:rsid w:val="00B97C44"/>
    <w:rsid w:val="00B97C5C"/>
    <w:rsid w:val="00B97D52"/>
    <w:rsid w:val="00BA0571"/>
    <w:rsid w:val="00BA0ABB"/>
    <w:rsid w:val="00BA0C9F"/>
    <w:rsid w:val="00BA0E40"/>
    <w:rsid w:val="00BA1141"/>
    <w:rsid w:val="00BA1411"/>
    <w:rsid w:val="00BA18DB"/>
    <w:rsid w:val="00BA1C01"/>
    <w:rsid w:val="00BA1E11"/>
    <w:rsid w:val="00BA1EAC"/>
    <w:rsid w:val="00BA2072"/>
    <w:rsid w:val="00BA2B56"/>
    <w:rsid w:val="00BA2CAD"/>
    <w:rsid w:val="00BA336C"/>
    <w:rsid w:val="00BA352B"/>
    <w:rsid w:val="00BA3544"/>
    <w:rsid w:val="00BA3889"/>
    <w:rsid w:val="00BA3A1F"/>
    <w:rsid w:val="00BA3D24"/>
    <w:rsid w:val="00BA3DC6"/>
    <w:rsid w:val="00BA41FB"/>
    <w:rsid w:val="00BA4492"/>
    <w:rsid w:val="00BA477D"/>
    <w:rsid w:val="00BA482D"/>
    <w:rsid w:val="00BA4B8A"/>
    <w:rsid w:val="00BA4E27"/>
    <w:rsid w:val="00BA524B"/>
    <w:rsid w:val="00BA5404"/>
    <w:rsid w:val="00BA5632"/>
    <w:rsid w:val="00BA5796"/>
    <w:rsid w:val="00BA5C1B"/>
    <w:rsid w:val="00BA607E"/>
    <w:rsid w:val="00BA60BB"/>
    <w:rsid w:val="00BA6389"/>
    <w:rsid w:val="00BA667D"/>
    <w:rsid w:val="00BA66D8"/>
    <w:rsid w:val="00BA67A9"/>
    <w:rsid w:val="00BA6B6E"/>
    <w:rsid w:val="00BA6BA6"/>
    <w:rsid w:val="00BA6BFD"/>
    <w:rsid w:val="00BA6CE5"/>
    <w:rsid w:val="00BA77F4"/>
    <w:rsid w:val="00BA7D0C"/>
    <w:rsid w:val="00BA7D1C"/>
    <w:rsid w:val="00BB0041"/>
    <w:rsid w:val="00BB0173"/>
    <w:rsid w:val="00BB028D"/>
    <w:rsid w:val="00BB0379"/>
    <w:rsid w:val="00BB0439"/>
    <w:rsid w:val="00BB09DC"/>
    <w:rsid w:val="00BB09DF"/>
    <w:rsid w:val="00BB0AAD"/>
    <w:rsid w:val="00BB0BFE"/>
    <w:rsid w:val="00BB121F"/>
    <w:rsid w:val="00BB15A9"/>
    <w:rsid w:val="00BB1A60"/>
    <w:rsid w:val="00BB1FDC"/>
    <w:rsid w:val="00BB2087"/>
    <w:rsid w:val="00BB22FC"/>
    <w:rsid w:val="00BB24CD"/>
    <w:rsid w:val="00BB26DE"/>
    <w:rsid w:val="00BB2794"/>
    <w:rsid w:val="00BB27E2"/>
    <w:rsid w:val="00BB2884"/>
    <w:rsid w:val="00BB2D49"/>
    <w:rsid w:val="00BB2EE3"/>
    <w:rsid w:val="00BB3387"/>
    <w:rsid w:val="00BB353A"/>
    <w:rsid w:val="00BB3644"/>
    <w:rsid w:val="00BB365B"/>
    <w:rsid w:val="00BB3733"/>
    <w:rsid w:val="00BB39D9"/>
    <w:rsid w:val="00BB3A61"/>
    <w:rsid w:val="00BB3B42"/>
    <w:rsid w:val="00BB3B99"/>
    <w:rsid w:val="00BB3E05"/>
    <w:rsid w:val="00BB4022"/>
    <w:rsid w:val="00BB4212"/>
    <w:rsid w:val="00BB4295"/>
    <w:rsid w:val="00BB4BCA"/>
    <w:rsid w:val="00BB4FFF"/>
    <w:rsid w:val="00BB547C"/>
    <w:rsid w:val="00BB552C"/>
    <w:rsid w:val="00BB5A08"/>
    <w:rsid w:val="00BB5C41"/>
    <w:rsid w:val="00BB5D76"/>
    <w:rsid w:val="00BB606C"/>
    <w:rsid w:val="00BB619A"/>
    <w:rsid w:val="00BB62F0"/>
    <w:rsid w:val="00BB63A8"/>
    <w:rsid w:val="00BB6452"/>
    <w:rsid w:val="00BB68E2"/>
    <w:rsid w:val="00BB69A5"/>
    <w:rsid w:val="00BB6C6C"/>
    <w:rsid w:val="00BB702E"/>
    <w:rsid w:val="00BB75D5"/>
    <w:rsid w:val="00BB76E9"/>
    <w:rsid w:val="00BB7785"/>
    <w:rsid w:val="00BB7946"/>
    <w:rsid w:val="00BB7EFF"/>
    <w:rsid w:val="00BC0006"/>
    <w:rsid w:val="00BC0434"/>
    <w:rsid w:val="00BC0516"/>
    <w:rsid w:val="00BC066B"/>
    <w:rsid w:val="00BC0853"/>
    <w:rsid w:val="00BC0CE8"/>
    <w:rsid w:val="00BC0EFB"/>
    <w:rsid w:val="00BC11C9"/>
    <w:rsid w:val="00BC11F9"/>
    <w:rsid w:val="00BC1222"/>
    <w:rsid w:val="00BC1455"/>
    <w:rsid w:val="00BC1690"/>
    <w:rsid w:val="00BC18C1"/>
    <w:rsid w:val="00BC1918"/>
    <w:rsid w:val="00BC1BF1"/>
    <w:rsid w:val="00BC21EE"/>
    <w:rsid w:val="00BC2709"/>
    <w:rsid w:val="00BC2EF3"/>
    <w:rsid w:val="00BC30AA"/>
    <w:rsid w:val="00BC3B06"/>
    <w:rsid w:val="00BC3E1C"/>
    <w:rsid w:val="00BC3F65"/>
    <w:rsid w:val="00BC4175"/>
    <w:rsid w:val="00BC428F"/>
    <w:rsid w:val="00BC4A72"/>
    <w:rsid w:val="00BC4C79"/>
    <w:rsid w:val="00BC4E8D"/>
    <w:rsid w:val="00BC503C"/>
    <w:rsid w:val="00BC5450"/>
    <w:rsid w:val="00BC5485"/>
    <w:rsid w:val="00BC5DDE"/>
    <w:rsid w:val="00BC5E16"/>
    <w:rsid w:val="00BC5FCF"/>
    <w:rsid w:val="00BC6023"/>
    <w:rsid w:val="00BC608B"/>
    <w:rsid w:val="00BC63EF"/>
    <w:rsid w:val="00BC65D8"/>
    <w:rsid w:val="00BC676D"/>
    <w:rsid w:val="00BC6871"/>
    <w:rsid w:val="00BC6AEC"/>
    <w:rsid w:val="00BC6C61"/>
    <w:rsid w:val="00BC743B"/>
    <w:rsid w:val="00BC743C"/>
    <w:rsid w:val="00BC7859"/>
    <w:rsid w:val="00BC7DC4"/>
    <w:rsid w:val="00BC7DD0"/>
    <w:rsid w:val="00BCA861"/>
    <w:rsid w:val="00BD017D"/>
    <w:rsid w:val="00BD024C"/>
    <w:rsid w:val="00BD0437"/>
    <w:rsid w:val="00BD0B6F"/>
    <w:rsid w:val="00BD0BF2"/>
    <w:rsid w:val="00BD0FE3"/>
    <w:rsid w:val="00BD1415"/>
    <w:rsid w:val="00BD1981"/>
    <w:rsid w:val="00BD1D7F"/>
    <w:rsid w:val="00BD201E"/>
    <w:rsid w:val="00BD2329"/>
    <w:rsid w:val="00BD268D"/>
    <w:rsid w:val="00BD2767"/>
    <w:rsid w:val="00BD29DD"/>
    <w:rsid w:val="00BD2B15"/>
    <w:rsid w:val="00BD316B"/>
    <w:rsid w:val="00BD333F"/>
    <w:rsid w:val="00BD33A6"/>
    <w:rsid w:val="00BD354A"/>
    <w:rsid w:val="00BD3664"/>
    <w:rsid w:val="00BD3815"/>
    <w:rsid w:val="00BD3AA3"/>
    <w:rsid w:val="00BD3BFB"/>
    <w:rsid w:val="00BD3ECB"/>
    <w:rsid w:val="00BD426C"/>
    <w:rsid w:val="00BD4476"/>
    <w:rsid w:val="00BD4653"/>
    <w:rsid w:val="00BD469B"/>
    <w:rsid w:val="00BD507D"/>
    <w:rsid w:val="00BD53F5"/>
    <w:rsid w:val="00BD560B"/>
    <w:rsid w:val="00BD570E"/>
    <w:rsid w:val="00BD58B6"/>
    <w:rsid w:val="00BD5994"/>
    <w:rsid w:val="00BD6475"/>
    <w:rsid w:val="00BD6888"/>
    <w:rsid w:val="00BD6BB0"/>
    <w:rsid w:val="00BD6EE5"/>
    <w:rsid w:val="00BD748D"/>
    <w:rsid w:val="00BD77FD"/>
    <w:rsid w:val="00BD7BCC"/>
    <w:rsid w:val="00BD7BF6"/>
    <w:rsid w:val="00BD7D3D"/>
    <w:rsid w:val="00BD7E7D"/>
    <w:rsid w:val="00BD7F9B"/>
    <w:rsid w:val="00BE0291"/>
    <w:rsid w:val="00BE02FE"/>
    <w:rsid w:val="00BE08AF"/>
    <w:rsid w:val="00BE0DD1"/>
    <w:rsid w:val="00BE1063"/>
    <w:rsid w:val="00BE11CA"/>
    <w:rsid w:val="00BE1A82"/>
    <w:rsid w:val="00BE1BC5"/>
    <w:rsid w:val="00BE1D15"/>
    <w:rsid w:val="00BE2043"/>
    <w:rsid w:val="00BE2092"/>
    <w:rsid w:val="00BE20E7"/>
    <w:rsid w:val="00BE20FE"/>
    <w:rsid w:val="00BE2499"/>
    <w:rsid w:val="00BE2771"/>
    <w:rsid w:val="00BE28FC"/>
    <w:rsid w:val="00BE2D93"/>
    <w:rsid w:val="00BE3651"/>
    <w:rsid w:val="00BE365D"/>
    <w:rsid w:val="00BE3683"/>
    <w:rsid w:val="00BE3AA2"/>
    <w:rsid w:val="00BE3CFA"/>
    <w:rsid w:val="00BE429E"/>
    <w:rsid w:val="00BE4385"/>
    <w:rsid w:val="00BE4808"/>
    <w:rsid w:val="00BE49B8"/>
    <w:rsid w:val="00BE4E51"/>
    <w:rsid w:val="00BE51C2"/>
    <w:rsid w:val="00BE5499"/>
    <w:rsid w:val="00BE5C95"/>
    <w:rsid w:val="00BE5EA6"/>
    <w:rsid w:val="00BE5F00"/>
    <w:rsid w:val="00BE5F46"/>
    <w:rsid w:val="00BE6635"/>
    <w:rsid w:val="00BE6721"/>
    <w:rsid w:val="00BE67D7"/>
    <w:rsid w:val="00BE68F6"/>
    <w:rsid w:val="00BE6B62"/>
    <w:rsid w:val="00BE6E85"/>
    <w:rsid w:val="00BE747B"/>
    <w:rsid w:val="00BE75AE"/>
    <w:rsid w:val="00BE7612"/>
    <w:rsid w:val="00BE76A3"/>
    <w:rsid w:val="00BE7E3B"/>
    <w:rsid w:val="00BE7FC5"/>
    <w:rsid w:val="00BEC374"/>
    <w:rsid w:val="00BF0163"/>
    <w:rsid w:val="00BF0271"/>
    <w:rsid w:val="00BF03E7"/>
    <w:rsid w:val="00BF06DD"/>
    <w:rsid w:val="00BF0718"/>
    <w:rsid w:val="00BF0A05"/>
    <w:rsid w:val="00BF1070"/>
    <w:rsid w:val="00BF12C4"/>
    <w:rsid w:val="00BF1351"/>
    <w:rsid w:val="00BF13D5"/>
    <w:rsid w:val="00BF26CD"/>
    <w:rsid w:val="00BF2BA7"/>
    <w:rsid w:val="00BF2C0E"/>
    <w:rsid w:val="00BF3216"/>
    <w:rsid w:val="00BF3439"/>
    <w:rsid w:val="00BF34A1"/>
    <w:rsid w:val="00BF366E"/>
    <w:rsid w:val="00BF39F7"/>
    <w:rsid w:val="00BF3C10"/>
    <w:rsid w:val="00BF4458"/>
    <w:rsid w:val="00BF4739"/>
    <w:rsid w:val="00BF4BDC"/>
    <w:rsid w:val="00BF4C18"/>
    <w:rsid w:val="00BF4F8C"/>
    <w:rsid w:val="00BF4FEE"/>
    <w:rsid w:val="00BF539D"/>
    <w:rsid w:val="00BF5958"/>
    <w:rsid w:val="00BF5A15"/>
    <w:rsid w:val="00BF5D3B"/>
    <w:rsid w:val="00BF5E81"/>
    <w:rsid w:val="00BF606D"/>
    <w:rsid w:val="00BF6153"/>
    <w:rsid w:val="00BF61D6"/>
    <w:rsid w:val="00BF6349"/>
    <w:rsid w:val="00BF65CA"/>
    <w:rsid w:val="00BF6717"/>
    <w:rsid w:val="00BF6968"/>
    <w:rsid w:val="00BF6AF9"/>
    <w:rsid w:val="00BF6E97"/>
    <w:rsid w:val="00BF743B"/>
    <w:rsid w:val="00BF78BB"/>
    <w:rsid w:val="00BF7975"/>
    <w:rsid w:val="00BF7A70"/>
    <w:rsid w:val="00BF7B2D"/>
    <w:rsid w:val="00BF7D00"/>
    <w:rsid w:val="00C0018D"/>
    <w:rsid w:val="00C006E3"/>
    <w:rsid w:val="00C007E5"/>
    <w:rsid w:val="00C00BE2"/>
    <w:rsid w:val="00C00C46"/>
    <w:rsid w:val="00C00FBA"/>
    <w:rsid w:val="00C00FF1"/>
    <w:rsid w:val="00C01123"/>
    <w:rsid w:val="00C012A7"/>
    <w:rsid w:val="00C01612"/>
    <w:rsid w:val="00C01838"/>
    <w:rsid w:val="00C01E2C"/>
    <w:rsid w:val="00C0219D"/>
    <w:rsid w:val="00C022A3"/>
    <w:rsid w:val="00C023FB"/>
    <w:rsid w:val="00C02598"/>
    <w:rsid w:val="00C0274D"/>
    <w:rsid w:val="00C02932"/>
    <w:rsid w:val="00C029F6"/>
    <w:rsid w:val="00C02A3E"/>
    <w:rsid w:val="00C0353A"/>
    <w:rsid w:val="00C03A44"/>
    <w:rsid w:val="00C03A81"/>
    <w:rsid w:val="00C03B34"/>
    <w:rsid w:val="00C03FC4"/>
    <w:rsid w:val="00C044CF"/>
    <w:rsid w:val="00C04815"/>
    <w:rsid w:val="00C04999"/>
    <w:rsid w:val="00C04BE5"/>
    <w:rsid w:val="00C05324"/>
    <w:rsid w:val="00C056ED"/>
    <w:rsid w:val="00C0595E"/>
    <w:rsid w:val="00C05ABE"/>
    <w:rsid w:val="00C05ED0"/>
    <w:rsid w:val="00C05EE4"/>
    <w:rsid w:val="00C06404"/>
    <w:rsid w:val="00C064CC"/>
    <w:rsid w:val="00C065EC"/>
    <w:rsid w:val="00C0661D"/>
    <w:rsid w:val="00C06652"/>
    <w:rsid w:val="00C06994"/>
    <w:rsid w:val="00C06A7B"/>
    <w:rsid w:val="00C0784D"/>
    <w:rsid w:val="00C0788B"/>
    <w:rsid w:val="00C078F6"/>
    <w:rsid w:val="00C07B0E"/>
    <w:rsid w:val="00C07C62"/>
    <w:rsid w:val="00C10155"/>
    <w:rsid w:val="00C104EB"/>
    <w:rsid w:val="00C10536"/>
    <w:rsid w:val="00C10B70"/>
    <w:rsid w:val="00C1110D"/>
    <w:rsid w:val="00C11465"/>
    <w:rsid w:val="00C11555"/>
    <w:rsid w:val="00C11653"/>
    <w:rsid w:val="00C117E4"/>
    <w:rsid w:val="00C119D4"/>
    <w:rsid w:val="00C11A50"/>
    <w:rsid w:val="00C11A9B"/>
    <w:rsid w:val="00C11F64"/>
    <w:rsid w:val="00C1221E"/>
    <w:rsid w:val="00C127B1"/>
    <w:rsid w:val="00C12B99"/>
    <w:rsid w:val="00C12BDF"/>
    <w:rsid w:val="00C12CAF"/>
    <w:rsid w:val="00C12CFF"/>
    <w:rsid w:val="00C130A4"/>
    <w:rsid w:val="00C13139"/>
    <w:rsid w:val="00C132C3"/>
    <w:rsid w:val="00C132DA"/>
    <w:rsid w:val="00C134B7"/>
    <w:rsid w:val="00C13995"/>
    <w:rsid w:val="00C13AB1"/>
    <w:rsid w:val="00C13B76"/>
    <w:rsid w:val="00C13C13"/>
    <w:rsid w:val="00C14943"/>
    <w:rsid w:val="00C14954"/>
    <w:rsid w:val="00C149D1"/>
    <w:rsid w:val="00C14BAF"/>
    <w:rsid w:val="00C150CF"/>
    <w:rsid w:val="00C151B6"/>
    <w:rsid w:val="00C152A6"/>
    <w:rsid w:val="00C1546A"/>
    <w:rsid w:val="00C15644"/>
    <w:rsid w:val="00C156EA"/>
    <w:rsid w:val="00C157AE"/>
    <w:rsid w:val="00C15846"/>
    <w:rsid w:val="00C15E87"/>
    <w:rsid w:val="00C160A7"/>
    <w:rsid w:val="00C16C48"/>
    <w:rsid w:val="00C16D26"/>
    <w:rsid w:val="00C16E5D"/>
    <w:rsid w:val="00C16FD2"/>
    <w:rsid w:val="00C171E8"/>
    <w:rsid w:val="00C1732D"/>
    <w:rsid w:val="00C1733D"/>
    <w:rsid w:val="00C175D0"/>
    <w:rsid w:val="00C176D4"/>
    <w:rsid w:val="00C177E3"/>
    <w:rsid w:val="00C17830"/>
    <w:rsid w:val="00C17CFE"/>
    <w:rsid w:val="00C17D9F"/>
    <w:rsid w:val="00C20282"/>
    <w:rsid w:val="00C20411"/>
    <w:rsid w:val="00C20698"/>
    <w:rsid w:val="00C208C5"/>
    <w:rsid w:val="00C2096B"/>
    <w:rsid w:val="00C20A4E"/>
    <w:rsid w:val="00C20B8B"/>
    <w:rsid w:val="00C20C0F"/>
    <w:rsid w:val="00C20CE2"/>
    <w:rsid w:val="00C20DA5"/>
    <w:rsid w:val="00C20E15"/>
    <w:rsid w:val="00C21601"/>
    <w:rsid w:val="00C2171E"/>
    <w:rsid w:val="00C2183D"/>
    <w:rsid w:val="00C2186D"/>
    <w:rsid w:val="00C21A8D"/>
    <w:rsid w:val="00C21D22"/>
    <w:rsid w:val="00C21E2C"/>
    <w:rsid w:val="00C21F22"/>
    <w:rsid w:val="00C221A8"/>
    <w:rsid w:val="00C224DB"/>
    <w:rsid w:val="00C225D0"/>
    <w:rsid w:val="00C226F6"/>
    <w:rsid w:val="00C22742"/>
    <w:rsid w:val="00C22B57"/>
    <w:rsid w:val="00C22BF6"/>
    <w:rsid w:val="00C22CBB"/>
    <w:rsid w:val="00C22D8B"/>
    <w:rsid w:val="00C231A0"/>
    <w:rsid w:val="00C234A0"/>
    <w:rsid w:val="00C23D31"/>
    <w:rsid w:val="00C243B0"/>
    <w:rsid w:val="00C245D4"/>
    <w:rsid w:val="00C24C1A"/>
    <w:rsid w:val="00C24DB0"/>
    <w:rsid w:val="00C24EDE"/>
    <w:rsid w:val="00C24FBA"/>
    <w:rsid w:val="00C2502A"/>
    <w:rsid w:val="00C250B7"/>
    <w:rsid w:val="00C259FF"/>
    <w:rsid w:val="00C25A97"/>
    <w:rsid w:val="00C25C71"/>
    <w:rsid w:val="00C25CED"/>
    <w:rsid w:val="00C25E3A"/>
    <w:rsid w:val="00C25EC9"/>
    <w:rsid w:val="00C261F5"/>
    <w:rsid w:val="00C261F6"/>
    <w:rsid w:val="00C2625A"/>
    <w:rsid w:val="00C26431"/>
    <w:rsid w:val="00C2654A"/>
    <w:rsid w:val="00C269FB"/>
    <w:rsid w:val="00C26B1C"/>
    <w:rsid w:val="00C26BCB"/>
    <w:rsid w:val="00C26D57"/>
    <w:rsid w:val="00C26F69"/>
    <w:rsid w:val="00C27009"/>
    <w:rsid w:val="00C272A2"/>
    <w:rsid w:val="00C27429"/>
    <w:rsid w:val="00C274AA"/>
    <w:rsid w:val="00C276D9"/>
    <w:rsid w:val="00C27AD4"/>
    <w:rsid w:val="00C27C0E"/>
    <w:rsid w:val="00C27C56"/>
    <w:rsid w:val="00C3074B"/>
    <w:rsid w:val="00C30D23"/>
    <w:rsid w:val="00C30EC2"/>
    <w:rsid w:val="00C31841"/>
    <w:rsid w:val="00C323DA"/>
    <w:rsid w:val="00C3252D"/>
    <w:rsid w:val="00C3255F"/>
    <w:rsid w:val="00C32735"/>
    <w:rsid w:val="00C32949"/>
    <w:rsid w:val="00C32965"/>
    <w:rsid w:val="00C32E4E"/>
    <w:rsid w:val="00C32FD9"/>
    <w:rsid w:val="00C33109"/>
    <w:rsid w:val="00C3321C"/>
    <w:rsid w:val="00C338F2"/>
    <w:rsid w:val="00C33B59"/>
    <w:rsid w:val="00C33E48"/>
    <w:rsid w:val="00C3426D"/>
    <w:rsid w:val="00C343EC"/>
    <w:rsid w:val="00C3468F"/>
    <w:rsid w:val="00C3482D"/>
    <w:rsid w:val="00C34E40"/>
    <w:rsid w:val="00C34E8A"/>
    <w:rsid w:val="00C34FE9"/>
    <w:rsid w:val="00C35251"/>
    <w:rsid w:val="00C3525F"/>
    <w:rsid w:val="00C3560F"/>
    <w:rsid w:val="00C356AE"/>
    <w:rsid w:val="00C35775"/>
    <w:rsid w:val="00C3594D"/>
    <w:rsid w:val="00C35AF9"/>
    <w:rsid w:val="00C35E0E"/>
    <w:rsid w:val="00C35ED1"/>
    <w:rsid w:val="00C35F5B"/>
    <w:rsid w:val="00C36084"/>
    <w:rsid w:val="00C363A3"/>
    <w:rsid w:val="00C364F2"/>
    <w:rsid w:val="00C36B3E"/>
    <w:rsid w:val="00C36B4E"/>
    <w:rsid w:val="00C36E44"/>
    <w:rsid w:val="00C36EAF"/>
    <w:rsid w:val="00C36FFB"/>
    <w:rsid w:val="00C37041"/>
    <w:rsid w:val="00C370F7"/>
    <w:rsid w:val="00C372B3"/>
    <w:rsid w:val="00C3751F"/>
    <w:rsid w:val="00C37733"/>
    <w:rsid w:val="00C3D749"/>
    <w:rsid w:val="00C40159"/>
    <w:rsid w:val="00C4082A"/>
    <w:rsid w:val="00C40849"/>
    <w:rsid w:val="00C40D00"/>
    <w:rsid w:val="00C41373"/>
    <w:rsid w:val="00C415F3"/>
    <w:rsid w:val="00C41646"/>
    <w:rsid w:val="00C416B0"/>
    <w:rsid w:val="00C419F6"/>
    <w:rsid w:val="00C41EEB"/>
    <w:rsid w:val="00C42580"/>
    <w:rsid w:val="00C426BE"/>
    <w:rsid w:val="00C42737"/>
    <w:rsid w:val="00C42A55"/>
    <w:rsid w:val="00C42AB8"/>
    <w:rsid w:val="00C42C9F"/>
    <w:rsid w:val="00C42D73"/>
    <w:rsid w:val="00C43414"/>
    <w:rsid w:val="00C43BC6"/>
    <w:rsid w:val="00C4444F"/>
    <w:rsid w:val="00C44458"/>
    <w:rsid w:val="00C446B2"/>
    <w:rsid w:val="00C44ADA"/>
    <w:rsid w:val="00C44BB5"/>
    <w:rsid w:val="00C44D8A"/>
    <w:rsid w:val="00C44D90"/>
    <w:rsid w:val="00C44DEE"/>
    <w:rsid w:val="00C450E5"/>
    <w:rsid w:val="00C45151"/>
    <w:rsid w:val="00C457CA"/>
    <w:rsid w:val="00C45EA7"/>
    <w:rsid w:val="00C46060"/>
    <w:rsid w:val="00C46194"/>
    <w:rsid w:val="00C4625A"/>
    <w:rsid w:val="00C46474"/>
    <w:rsid w:val="00C46AAA"/>
    <w:rsid w:val="00C46D5B"/>
    <w:rsid w:val="00C46D67"/>
    <w:rsid w:val="00C46F11"/>
    <w:rsid w:val="00C4700C"/>
    <w:rsid w:val="00C47301"/>
    <w:rsid w:val="00C473EC"/>
    <w:rsid w:val="00C474FB"/>
    <w:rsid w:val="00C477FD"/>
    <w:rsid w:val="00C47A26"/>
    <w:rsid w:val="00C47B9A"/>
    <w:rsid w:val="00C47C4C"/>
    <w:rsid w:val="00C47E53"/>
    <w:rsid w:val="00C500E6"/>
    <w:rsid w:val="00C502DA"/>
    <w:rsid w:val="00C50503"/>
    <w:rsid w:val="00C50547"/>
    <w:rsid w:val="00C50711"/>
    <w:rsid w:val="00C50B0D"/>
    <w:rsid w:val="00C50C6B"/>
    <w:rsid w:val="00C511BA"/>
    <w:rsid w:val="00C5126D"/>
    <w:rsid w:val="00C51331"/>
    <w:rsid w:val="00C513CE"/>
    <w:rsid w:val="00C5176F"/>
    <w:rsid w:val="00C51CAA"/>
    <w:rsid w:val="00C51E76"/>
    <w:rsid w:val="00C520B6"/>
    <w:rsid w:val="00C52381"/>
    <w:rsid w:val="00C523C6"/>
    <w:rsid w:val="00C525BA"/>
    <w:rsid w:val="00C525DC"/>
    <w:rsid w:val="00C52678"/>
    <w:rsid w:val="00C52ACF"/>
    <w:rsid w:val="00C53065"/>
    <w:rsid w:val="00C530A1"/>
    <w:rsid w:val="00C5371E"/>
    <w:rsid w:val="00C53768"/>
    <w:rsid w:val="00C53821"/>
    <w:rsid w:val="00C538ED"/>
    <w:rsid w:val="00C54204"/>
    <w:rsid w:val="00C5436E"/>
    <w:rsid w:val="00C544A7"/>
    <w:rsid w:val="00C548AA"/>
    <w:rsid w:val="00C54BF4"/>
    <w:rsid w:val="00C54D1A"/>
    <w:rsid w:val="00C54FC8"/>
    <w:rsid w:val="00C552A2"/>
    <w:rsid w:val="00C55360"/>
    <w:rsid w:val="00C555F7"/>
    <w:rsid w:val="00C55AB3"/>
    <w:rsid w:val="00C55BFF"/>
    <w:rsid w:val="00C55D81"/>
    <w:rsid w:val="00C55EF8"/>
    <w:rsid w:val="00C56023"/>
    <w:rsid w:val="00C56232"/>
    <w:rsid w:val="00C56446"/>
    <w:rsid w:val="00C56AC8"/>
    <w:rsid w:val="00C5747A"/>
    <w:rsid w:val="00C57552"/>
    <w:rsid w:val="00C5795B"/>
    <w:rsid w:val="00C57BF4"/>
    <w:rsid w:val="00C57C0A"/>
    <w:rsid w:val="00C5A815"/>
    <w:rsid w:val="00C60101"/>
    <w:rsid w:val="00C60287"/>
    <w:rsid w:val="00C60863"/>
    <w:rsid w:val="00C609D3"/>
    <w:rsid w:val="00C60BC8"/>
    <w:rsid w:val="00C61990"/>
    <w:rsid w:val="00C62600"/>
    <w:rsid w:val="00C626B9"/>
    <w:rsid w:val="00C62705"/>
    <w:rsid w:val="00C6285D"/>
    <w:rsid w:val="00C62959"/>
    <w:rsid w:val="00C62F21"/>
    <w:rsid w:val="00C631BF"/>
    <w:rsid w:val="00C635E9"/>
    <w:rsid w:val="00C636A2"/>
    <w:rsid w:val="00C639E3"/>
    <w:rsid w:val="00C63C0B"/>
    <w:rsid w:val="00C63C45"/>
    <w:rsid w:val="00C63CFD"/>
    <w:rsid w:val="00C64090"/>
    <w:rsid w:val="00C640E3"/>
    <w:rsid w:val="00C6416C"/>
    <w:rsid w:val="00C6458C"/>
    <w:rsid w:val="00C648EC"/>
    <w:rsid w:val="00C64D32"/>
    <w:rsid w:val="00C64D44"/>
    <w:rsid w:val="00C6535E"/>
    <w:rsid w:val="00C65387"/>
    <w:rsid w:val="00C65597"/>
    <w:rsid w:val="00C65696"/>
    <w:rsid w:val="00C65792"/>
    <w:rsid w:val="00C66032"/>
    <w:rsid w:val="00C66199"/>
    <w:rsid w:val="00C662EC"/>
    <w:rsid w:val="00C66C22"/>
    <w:rsid w:val="00C66C3E"/>
    <w:rsid w:val="00C66D17"/>
    <w:rsid w:val="00C66DF6"/>
    <w:rsid w:val="00C674A3"/>
    <w:rsid w:val="00C67803"/>
    <w:rsid w:val="00C67B9C"/>
    <w:rsid w:val="00C7040C"/>
    <w:rsid w:val="00C70563"/>
    <w:rsid w:val="00C705BB"/>
    <w:rsid w:val="00C708C0"/>
    <w:rsid w:val="00C709AD"/>
    <w:rsid w:val="00C70C3A"/>
    <w:rsid w:val="00C70FB1"/>
    <w:rsid w:val="00C71292"/>
    <w:rsid w:val="00C71447"/>
    <w:rsid w:val="00C71467"/>
    <w:rsid w:val="00C71484"/>
    <w:rsid w:val="00C716CA"/>
    <w:rsid w:val="00C71E8F"/>
    <w:rsid w:val="00C7207B"/>
    <w:rsid w:val="00C72084"/>
    <w:rsid w:val="00C72150"/>
    <w:rsid w:val="00C72203"/>
    <w:rsid w:val="00C72305"/>
    <w:rsid w:val="00C725CC"/>
    <w:rsid w:val="00C7288D"/>
    <w:rsid w:val="00C72ADD"/>
    <w:rsid w:val="00C72D49"/>
    <w:rsid w:val="00C72E74"/>
    <w:rsid w:val="00C72F58"/>
    <w:rsid w:val="00C7328B"/>
    <w:rsid w:val="00C733AE"/>
    <w:rsid w:val="00C73511"/>
    <w:rsid w:val="00C735A7"/>
    <w:rsid w:val="00C7366C"/>
    <w:rsid w:val="00C73759"/>
    <w:rsid w:val="00C73B41"/>
    <w:rsid w:val="00C73BAC"/>
    <w:rsid w:val="00C73DED"/>
    <w:rsid w:val="00C73E67"/>
    <w:rsid w:val="00C73EB0"/>
    <w:rsid w:val="00C73F15"/>
    <w:rsid w:val="00C73FA2"/>
    <w:rsid w:val="00C74238"/>
    <w:rsid w:val="00C742B9"/>
    <w:rsid w:val="00C749D9"/>
    <w:rsid w:val="00C74A9C"/>
    <w:rsid w:val="00C75398"/>
    <w:rsid w:val="00C75581"/>
    <w:rsid w:val="00C75743"/>
    <w:rsid w:val="00C76128"/>
    <w:rsid w:val="00C762C5"/>
    <w:rsid w:val="00C766B8"/>
    <w:rsid w:val="00C76B1B"/>
    <w:rsid w:val="00C76C8B"/>
    <w:rsid w:val="00C76FAC"/>
    <w:rsid w:val="00C76FAE"/>
    <w:rsid w:val="00C77A15"/>
    <w:rsid w:val="00C77EA4"/>
    <w:rsid w:val="00C77FB7"/>
    <w:rsid w:val="00C8002D"/>
    <w:rsid w:val="00C80048"/>
    <w:rsid w:val="00C800C0"/>
    <w:rsid w:val="00C801AB"/>
    <w:rsid w:val="00C80274"/>
    <w:rsid w:val="00C8062A"/>
    <w:rsid w:val="00C80B23"/>
    <w:rsid w:val="00C80EC4"/>
    <w:rsid w:val="00C81832"/>
    <w:rsid w:val="00C8186A"/>
    <w:rsid w:val="00C81887"/>
    <w:rsid w:val="00C81E65"/>
    <w:rsid w:val="00C820A4"/>
    <w:rsid w:val="00C8243E"/>
    <w:rsid w:val="00C82674"/>
    <w:rsid w:val="00C8297A"/>
    <w:rsid w:val="00C82B60"/>
    <w:rsid w:val="00C82CD4"/>
    <w:rsid w:val="00C82D31"/>
    <w:rsid w:val="00C83027"/>
    <w:rsid w:val="00C832D2"/>
    <w:rsid w:val="00C83384"/>
    <w:rsid w:val="00C833DA"/>
    <w:rsid w:val="00C83644"/>
    <w:rsid w:val="00C837B0"/>
    <w:rsid w:val="00C837EA"/>
    <w:rsid w:val="00C83B06"/>
    <w:rsid w:val="00C83C37"/>
    <w:rsid w:val="00C83DA7"/>
    <w:rsid w:val="00C83E07"/>
    <w:rsid w:val="00C84113"/>
    <w:rsid w:val="00C84306"/>
    <w:rsid w:val="00C8451C"/>
    <w:rsid w:val="00C848DD"/>
    <w:rsid w:val="00C84A46"/>
    <w:rsid w:val="00C84DF5"/>
    <w:rsid w:val="00C84EAE"/>
    <w:rsid w:val="00C8517A"/>
    <w:rsid w:val="00C851AB"/>
    <w:rsid w:val="00C85305"/>
    <w:rsid w:val="00C85333"/>
    <w:rsid w:val="00C8566F"/>
    <w:rsid w:val="00C859AE"/>
    <w:rsid w:val="00C860E1"/>
    <w:rsid w:val="00C8624E"/>
    <w:rsid w:val="00C862DE"/>
    <w:rsid w:val="00C8647C"/>
    <w:rsid w:val="00C86693"/>
    <w:rsid w:val="00C86A74"/>
    <w:rsid w:val="00C86B77"/>
    <w:rsid w:val="00C86C75"/>
    <w:rsid w:val="00C86DF7"/>
    <w:rsid w:val="00C871A8"/>
    <w:rsid w:val="00C87329"/>
    <w:rsid w:val="00C87381"/>
    <w:rsid w:val="00C874BE"/>
    <w:rsid w:val="00C875C3"/>
    <w:rsid w:val="00C879E4"/>
    <w:rsid w:val="00C87C43"/>
    <w:rsid w:val="00C87D78"/>
    <w:rsid w:val="00C87FEB"/>
    <w:rsid w:val="00C904A7"/>
    <w:rsid w:val="00C9059E"/>
    <w:rsid w:val="00C907CB"/>
    <w:rsid w:val="00C90B38"/>
    <w:rsid w:val="00C90B7C"/>
    <w:rsid w:val="00C90C19"/>
    <w:rsid w:val="00C90CB7"/>
    <w:rsid w:val="00C90D35"/>
    <w:rsid w:val="00C90EB9"/>
    <w:rsid w:val="00C91097"/>
    <w:rsid w:val="00C91285"/>
    <w:rsid w:val="00C91367"/>
    <w:rsid w:val="00C914A7"/>
    <w:rsid w:val="00C9183F"/>
    <w:rsid w:val="00C91B3C"/>
    <w:rsid w:val="00C91E74"/>
    <w:rsid w:val="00C91F95"/>
    <w:rsid w:val="00C9205C"/>
    <w:rsid w:val="00C92419"/>
    <w:rsid w:val="00C92A07"/>
    <w:rsid w:val="00C92D09"/>
    <w:rsid w:val="00C936E3"/>
    <w:rsid w:val="00C9374D"/>
    <w:rsid w:val="00C938A8"/>
    <w:rsid w:val="00C93984"/>
    <w:rsid w:val="00C93B0E"/>
    <w:rsid w:val="00C93B19"/>
    <w:rsid w:val="00C940DF"/>
    <w:rsid w:val="00C94680"/>
    <w:rsid w:val="00C94735"/>
    <w:rsid w:val="00C9520F"/>
    <w:rsid w:val="00C952A7"/>
    <w:rsid w:val="00C9546B"/>
    <w:rsid w:val="00C955FA"/>
    <w:rsid w:val="00C95A6E"/>
    <w:rsid w:val="00C95DAC"/>
    <w:rsid w:val="00C961B2"/>
    <w:rsid w:val="00C961E0"/>
    <w:rsid w:val="00C9653C"/>
    <w:rsid w:val="00C9673B"/>
    <w:rsid w:val="00C967B8"/>
    <w:rsid w:val="00C967F3"/>
    <w:rsid w:val="00C96BF4"/>
    <w:rsid w:val="00C97082"/>
    <w:rsid w:val="00C9725F"/>
    <w:rsid w:val="00C972BE"/>
    <w:rsid w:val="00C9746C"/>
    <w:rsid w:val="00C9749D"/>
    <w:rsid w:val="00C974AC"/>
    <w:rsid w:val="00C975B6"/>
    <w:rsid w:val="00C97658"/>
    <w:rsid w:val="00C97958"/>
    <w:rsid w:val="00C979D0"/>
    <w:rsid w:val="00C97EB0"/>
    <w:rsid w:val="00CA0690"/>
    <w:rsid w:val="00CA06CF"/>
    <w:rsid w:val="00CA099A"/>
    <w:rsid w:val="00CA0AFA"/>
    <w:rsid w:val="00CA0BD1"/>
    <w:rsid w:val="00CA117C"/>
    <w:rsid w:val="00CA11BB"/>
    <w:rsid w:val="00CA157E"/>
    <w:rsid w:val="00CA165D"/>
    <w:rsid w:val="00CA16E3"/>
    <w:rsid w:val="00CA19BC"/>
    <w:rsid w:val="00CA1E35"/>
    <w:rsid w:val="00CA1FB9"/>
    <w:rsid w:val="00CA2239"/>
    <w:rsid w:val="00CA28C3"/>
    <w:rsid w:val="00CA28EB"/>
    <w:rsid w:val="00CA2A3A"/>
    <w:rsid w:val="00CA2A89"/>
    <w:rsid w:val="00CA31EB"/>
    <w:rsid w:val="00CA355F"/>
    <w:rsid w:val="00CA38DE"/>
    <w:rsid w:val="00CA3965"/>
    <w:rsid w:val="00CA3A3B"/>
    <w:rsid w:val="00CA3FBF"/>
    <w:rsid w:val="00CA40C6"/>
    <w:rsid w:val="00CA410E"/>
    <w:rsid w:val="00CA43C7"/>
    <w:rsid w:val="00CA4468"/>
    <w:rsid w:val="00CA447E"/>
    <w:rsid w:val="00CA44A4"/>
    <w:rsid w:val="00CA47E6"/>
    <w:rsid w:val="00CA4982"/>
    <w:rsid w:val="00CA4ADC"/>
    <w:rsid w:val="00CA527C"/>
    <w:rsid w:val="00CA57D1"/>
    <w:rsid w:val="00CA5A2C"/>
    <w:rsid w:val="00CA5B14"/>
    <w:rsid w:val="00CA5C11"/>
    <w:rsid w:val="00CA5D3D"/>
    <w:rsid w:val="00CA65EE"/>
    <w:rsid w:val="00CA67E1"/>
    <w:rsid w:val="00CA69F4"/>
    <w:rsid w:val="00CA6A1E"/>
    <w:rsid w:val="00CA6B90"/>
    <w:rsid w:val="00CA6C8B"/>
    <w:rsid w:val="00CA6D40"/>
    <w:rsid w:val="00CA6D83"/>
    <w:rsid w:val="00CA6FA8"/>
    <w:rsid w:val="00CA7420"/>
    <w:rsid w:val="00CA74E3"/>
    <w:rsid w:val="00CA7608"/>
    <w:rsid w:val="00CA7974"/>
    <w:rsid w:val="00CA7A6B"/>
    <w:rsid w:val="00CA7BA5"/>
    <w:rsid w:val="00CA7CD0"/>
    <w:rsid w:val="00CA7D06"/>
    <w:rsid w:val="00CA7F54"/>
    <w:rsid w:val="00CB004B"/>
    <w:rsid w:val="00CB06AA"/>
    <w:rsid w:val="00CB0A91"/>
    <w:rsid w:val="00CB0BE6"/>
    <w:rsid w:val="00CB0CDF"/>
    <w:rsid w:val="00CB0FE7"/>
    <w:rsid w:val="00CB11F3"/>
    <w:rsid w:val="00CB1957"/>
    <w:rsid w:val="00CB1DDE"/>
    <w:rsid w:val="00CB1FB8"/>
    <w:rsid w:val="00CB2140"/>
    <w:rsid w:val="00CB21EB"/>
    <w:rsid w:val="00CB2221"/>
    <w:rsid w:val="00CB27FD"/>
    <w:rsid w:val="00CB2B6A"/>
    <w:rsid w:val="00CB2BC8"/>
    <w:rsid w:val="00CB2C51"/>
    <w:rsid w:val="00CB2D30"/>
    <w:rsid w:val="00CB2E86"/>
    <w:rsid w:val="00CB334F"/>
    <w:rsid w:val="00CB3389"/>
    <w:rsid w:val="00CB39BF"/>
    <w:rsid w:val="00CB3C65"/>
    <w:rsid w:val="00CB3EC2"/>
    <w:rsid w:val="00CB41A1"/>
    <w:rsid w:val="00CB42A7"/>
    <w:rsid w:val="00CB42D8"/>
    <w:rsid w:val="00CB447E"/>
    <w:rsid w:val="00CB47EB"/>
    <w:rsid w:val="00CB49FF"/>
    <w:rsid w:val="00CB4D13"/>
    <w:rsid w:val="00CB517C"/>
    <w:rsid w:val="00CB528D"/>
    <w:rsid w:val="00CB5307"/>
    <w:rsid w:val="00CB5545"/>
    <w:rsid w:val="00CB635C"/>
    <w:rsid w:val="00CB64B0"/>
    <w:rsid w:val="00CB65DF"/>
    <w:rsid w:val="00CB672E"/>
    <w:rsid w:val="00CB6CB3"/>
    <w:rsid w:val="00CB6E59"/>
    <w:rsid w:val="00CB7321"/>
    <w:rsid w:val="00CB7744"/>
    <w:rsid w:val="00CB7D52"/>
    <w:rsid w:val="00CB7E0A"/>
    <w:rsid w:val="00CC0035"/>
    <w:rsid w:val="00CC0164"/>
    <w:rsid w:val="00CC0847"/>
    <w:rsid w:val="00CC09C6"/>
    <w:rsid w:val="00CC0B07"/>
    <w:rsid w:val="00CC0B62"/>
    <w:rsid w:val="00CC0BA3"/>
    <w:rsid w:val="00CC0C12"/>
    <w:rsid w:val="00CC0E91"/>
    <w:rsid w:val="00CC1527"/>
    <w:rsid w:val="00CC16C3"/>
    <w:rsid w:val="00CC1941"/>
    <w:rsid w:val="00CC1AAC"/>
    <w:rsid w:val="00CC1AB2"/>
    <w:rsid w:val="00CC1BDA"/>
    <w:rsid w:val="00CC1BF8"/>
    <w:rsid w:val="00CC1E0F"/>
    <w:rsid w:val="00CC224E"/>
    <w:rsid w:val="00CC2368"/>
    <w:rsid w:val="00CC3027"/>
    <w:rsid w:val="00CC3300"/>
    <w:rsid w:val="00CC3985"/>
    <w:rsid w:val="00CC3B79"/>
    <w:rsid w:val="00CC400D"/>
    <w:rsid w:val="00CC413A"/>
    <w:rsid w:val="00CC421B"/>
    <w:rsid w:val="00CC428D"/>
    <w:rsid w:val="00CC4460"/>
    <w:rsid w:val="00CC4677"/>
    <w:rsid w:val="00CC54FA"/>
    <w:rsid w:val="00CC56D5"/>
    <w:rsid w:val="00CC58AE"/>
    <w:rsid w:val="00CC5DB5"/>
    <w:rsid w:val="00CC65A3"/>
    <w:rsid w:val="00CC69A0"/>
    <w:rsid w:val="00CC6A2A"/>
    <w:rsid w:val="00CC6B9D"/>
    <w:rsid w:val="00CC6CD6"/>
    <w:rsid w:val="00CC7784"/>
    <w:rsid w:val="00CC7BE0"/>
    <w:rsid w:val="00CC7C44"/>
    <w:rsid w:val="00CC7C9E"/>
    <w:rsid w:val="00CC7CAD"/>
    <w:rsid w:val="00CD03DF"/>
    <w:rsid w:val="00CD051B"/>
    <w:rsid w:val="00CD0977"/>
    <w:rsid w:val="00CD0C55"/>
    <w:rsid w:val="00CD116D"/>
    <w:rsid w:val="00CD15B3"/>
    <w:rsid w:val="00CD197F"/>
    <w:rsid w:val="00CD1A02"/>
    <w:rsid w:val="00CD1BC6"/>
    <w:rsid w:val="00CD1CBC"/>
    <w:rsid w:val="00CD1D40"/>
    <w:rsid w:val="00CD1EC7"/>
    <w:rsid w:val="00CD242C"/>
    <w:rsid w:val="00CD269E"/>
    <w:rsid w:val="00CD2742"/>
    <w:rsid w:val="00CD27EE"/>
    <w:rsid w:val="00CD28B8"/>
    <w:rsid w:val="00CD2971"/>
    <w:rsid w:val="00CD2BE7"/>
    <w:rsid w:val="00CD2C8E"/>
    <w:rsid w:val="00CD3198"/>
    <w:rsid w:val="00CD3331"/>
    <w:rsid w:val="00CD3454"/>
    <w:rsid w:val="00CD36BD"/>
    <w:rsid w:val="00CD3901"/>
    <w:rsid w:val="00CD3C72"/>
    <w:rsid w:val="00CD471B"/>
    <w:rsid w:val="00CD4F4F"/>
    <w:rsid w:val="00CD53DC"/>
    <w:rsid w:val="00CD599B"/>
    <w:rsid w:val="00CD5D15"/>
    <w:rsid w:val="00CD60DE"/>
    <w:rsid w:val="00CD6273"/>
    <w:rsid w:val="00CD62D7"/>
    <w:rsid w:val="00CD64AC"/>
    <w:rsid w:val="00CD6528"/>
    <w:rsid w:val="00CD654E"/>
    <w:rsid w:val="00CD66BE"/>
    <w:rsid w:val="00CD67B4"/>
    <w:rsid w:val="00CD6C67"/>
    <w:rsid w:val="00CD74EC"/>
    <w:rsid w:val="00CD7933"/>
    <w:rsid w:val="00CD79FA"/>
    <w:rsid w:val="00CD7CBA"/>
    <w:rsid w:val="00CE00B7"/>
    <w:rsid w:val="00CE015E"/>
    <w:rsid w:val="00CE0554"/>
    <w:rsid w:val="00CE0760"/>
    <w:rsid w:val="00CE079E"/>
    <w:rsid w:val="00CE086A"/>
    <w:rsid w:val="00CE096D"/>
    <w:rsid w:val="00CE0C1E"/>
    <w:rsid w:val="00CE10BD"/>
    <w:rsid w:val="00CE1AB9"/>
    <w:rsid w:val="00CE1C70"/>
    <w:rsid w:val="00CE1C88"/>
    <w:rsid w:val="00CE1CA3"/>
    <w:rsid w:val="00CE1D5E"/>
    <w:rsid w:val="00CE1DA7"/>
    <w:rsid w:val="00CE1F17"/>
    <w:rsid w:val="00CE1FF9"/>
    <w:rsid w:val="00CE21AC"/>
    <w:rsid w:val="00CE2216"/>
    <w:rsid w:val="00CE23BC"/>
    <w:rsid w:val="00CE2B29"/>
    <w:rsid w:val="00CE2BDB"/>
    <w:rsid w:val="00CE34B7"/>
    <w:rsid w:val="00CE376F"/>
    <w:rsid w:val="00CE377D"/>
    <w:rsid w:val="00CE38F7"/>
    <w:rsid w:val="00CE3E76"/>
    <w:rsid w:val="00CE3EDC"/>
    <w:rsid w:val="00CE41BE"/>
    <w:rsid w:val="00CE45B4"/>
    <w:rsid w:val="00CE45E7"/>
    <w:rsid w:val="00CE4620"/>
    <w:rsid w:val="00CE46A0"/>
    <w:rsid w:val="00CE4791"/>
    <w:rsid w:val="00CE4C5E"/>
    <w:rsid w:val="00CE4D23"/>
    <w:rsid w:val="00CE54A3"/>
    <w:rsid w:val="00CE54C0"/>
    <w:rsid w:val="00CE5D22"/>
    <w:rsid w:val="00CE5FD1"/>
    <w:rsid w:val="00CE6069"/>
    <w:rsid w:val="00CE6086"/>
    <w:rsid w:val="00CE6389"/>
    <w:rsid w:val="00CE6517"/>
    <w:rsid w:val="00CE65CE"/>
    <w:rsid w:val="00CE66FB"/>
    <w:rsid w:val="00CE67A1"/>
    <w:rsid w:val="00CE68DB"/>
    <w:rsid w:val="00CE697A"/>
    <w:rsid w:val="00CE6A47"/>
    <w:rsid w:val="00CE6F7C"/>
    <w:rsid w:val="00CE774A"/>
    <w:rsid w:val="00CE7A1A"/>
    <w:rsid w:val="00CE7CC7"/>
    <w:rsid w:val="00CE7D38"/>
    <w:rsid w:val="00CE7D6C"/>
    <w:rsid w:val="00CE7DAB"/>
    <w:rsid w:val="00CE7F13"/>
    <w:rsid w:val="00CEE09F"/>
    <w:rsid w:val="00CF0652"/>
    <w:rsid w:val="00CF06B3"/>
    <w:rsid w:val="00CF0A3C"/>
    <w:rsid w:val="00CF148C"/>
    <w:rsid w:val="00CF157F"/>
    <w:rsid w:val="00CF1645"/>
    <w:rsid w:val="00CF1A18"/>
    <w:rsid w:val="00CF1DBF"/>
    <w:rsid w:val="00CF1FB2"/>
    <w:rsid w:val="00CF2465"/>
    <w:rsid w:val="00CF2471"/>
    <w:rsid w:val="00CF25D1"/>
    <w:rsid w:val="00CF26BF"/>
    <w:rsid w:val="00CF2941"/>
    <w:rsid w:val="00CF2962"/>
    <w:rsid w:val="00CF2A97"/>
    <w:rsid w:val="00CF2C27"/>
    <w:rsid w:val="00CF2C8C"/>
    <w:rsid w:val="00CF2DA0"/>
    <w:rsid w:val="00CF2DB3"/>
    <w:rsid w:val="00CF2E7E"/>
    <w:rsid w:val="00CF32E9"/>
    <w:rsid w:val="00CF36A3"/>
    <w:rsid w:val="00CF38B0"/>
    <w:rsid w:val="00CF3D4B"/>
    <w:rsid w:val="00CF3E50"/>
    <w:rsid w:val="00CF3F58"/>
    <w:rsid w:val="00CF3FB1"/>
    <w:rsid w:val="00CF3FB2"/>
    <w:rsid w:val="00CF3FE8"/>
    <w:rsid w:val="00CF4022"/>
    <w:rsid w:val="00CF40E0"/>
    <w:rsid w:val="00CF411D"/>
    <w:rsid w:val="00CF418C"/>
    <w:rsid w:val="00CF44E2"/>
    <w:rsid w:val="00CF4A31"/>
    <w:rsid w:val="00CF4B6F"/>
    <w:rsid w:val="00CF4E96"/>
    <w:rsid w:val="00CF5173"/>
    <w:rsid w:val="00CF5309"/>
    <w:rsid w:val="00CF5664"/>
    <w:rsid w:val="00CF5817"/>
    <w:rsid w:val="00CF60A7"/>
    <w:rsid w:val="00CF62AA"/>
    <w:rsid w:val="00CF645C"/>
    <w:rsid w:val="00CF66A7"/>
    <w:rsid w:val="00CF6C6F"/>
    <w:rsid w:val="00CF6FCD"/>
    <w:rsid w:val="00CF7270"/>
    <w:rsid w:val="00CF74D5"/>
    <w:rsid w:val="00CF75C8"/>
    <w:rsid w:val="00CF7A8F"/>
    <w:rsid w:val="00CF7D74"/>
    <w:rsid w:val="00D003E8"/>
    <w:rsid w:val="00D004BE"/>
    <w:rsid w:val="00D00DBC"/>
    <w:rsid w:val="00D01123"/>
    <w:rsid w:val="00D01272"/>
    <w:rsid w:val="00D012DF"/>
    <w:rsid w:val="00D01632"/>
    <w:rsid w:val="00D01C1E"/>
    <w:rsid w:val="00D023B3"/>
    <w:rsid w:val="00D025F9"/>
    <w:rsid w:val="00D02AF3"/>
    <w:rsid w:val="00D02F55"/>
    <w:rsid w:val="00D0339F"/>
    <w:rsid w:val="00D03494"/>
    <w:rsid w:val="00D03586"/>
    <w:rsid w:val="00D03591"/>
    <w:rsid w:val="00D035D7"/>
    <w:rsid w:val="00D03A11"/>
    <w:rsid w:val="00D03A73"/>
    <w:rsid w:val="00D03B28"/>
    <w:rsid w:val="00D03BFA"/>
    <w:rsid w:val="00D03CC8"/>
    <w:rsid w:val="00D03E49"/>
    <w:rsid w:val="00D03FEB"/>
    <w:rsid w:val="00D0401C"/>
    <w:rsid w:val="00D04142"/>
    <w:rsid w:val="00D046EA"/>
    <w:rsid w:val="00D04F5C"/>
    <w:rsid w:val="00D04FFA"/>
    <w:rsid w:val="00D052DF"/>
    <w:rsid w:val="00D05726"/>
    <w:rsid w:val="00D05AAF"/>
    <w:rsid w:val="00D05B37"/>
    <w:rsid w:val="00D060BC"/>
    <w:rsid w:val="00D06225"/>
    <w:rsid w:val="00D0636E"/>
    <w:rsid w:val="00D063BC"/>
    <w:rsid w:val="00D06790"/>
    <w:rsid w:val="00D06A1D"/>
    <w:rsid w:val="00D06A62"/>
    <w:rsid w:val="00D06CE3"/>
    <w:rsid w:val="00D06E0A"/>
    <w:rsid w:val="00D070DC"/>
    <w:rsid w:val="00D0745A"/>
    <w:rsid w:val="00D075C6"/>
    <w:rsid w:val="00D07A02"/>
    <w:rsid w:val="00D07AD1"/>
    <w:rsid w:val="00D0B4C3"/>
    <w:rsid w:val="00D10785"/>
    <w:rsid w:val="00D108BC"/>
    <w:rsid w:val="00D108EF"/>
    <w:rsid w:val="00D10D74"/>
    <w:rsid w:val="00D11417"/>
    <w:rsid w:val="00D11440"/>
    <w:rsid w:val="00D11B2F"/>
    <w:rsid w:val="00D11CD5"/>
    <w:rsid w:val="00D1248C"/>
    <w:rsid w:val="00D1248F"/>
    <w:rsid w:val="00D12C1D"/>
    <w:rsid w:val="00D12EC3"/>
    <w:rsid w:val="00D13C7A"/>
    <w:rsid w:val="00D13DB6"/>
    <w:rsid w:val="00D13EEB"/>
    <w:rsid w:val="00D14122"/>
    <w:rsid w:val="00D147CF"/>
    <w:rsid w:val="00D14C68"/>
    <w:rsid w:val="00D14CDD"/>
    <w:rsid w:val="00D14EDA"/>
    <w:rsid w:val="00D14FB9"/>
    <w:rsid w:val="00D1501E"/>
    <w:rsid w:val="00D1509E"/>
    <w:rsid w:val="00D1537A"/>
    <w:rsid w:val="00D1546A"/>
    <w:rsid w:val="00D156AF"/>
    <w:rsid w:val="00D15804"/>
    <w:rsid w:val="00D15BE2"/>
    <w:rsid w:val="00D15D31"/>
    <w:rsid w:val="00D15EB7"/>
    <w:rsid w:val="00D15EE9"/>
    <w:rsid w:val="00D16290"/>
    <w:rsid w:val="00D1643F"/>
    <w:rsid w:val="00D166AC"/>
    <w:rsid w:val="00D16A63"/>
    <w:rsid w:val="00D16B39"/>
    <w:rsid w:val="00D16BE9"/>
    <w:rsid w:val="00D16D08"/>
    <w:rsid w:val="00D16D88"/>
    <w:rsid w:val="00D170DD"/>
    <w:rsid w:val="00D1713B"/>
    <w:rsid w:val="00D1765B"/>
    <w:rsid w:val="00D17A82"/>
    <w:rsid w:val="00D17B34"/>
    <w:rsid w:val="00D2086E"/>
    <w:rsid w:val="00D208D8"/>
    <w:rsid w:val="00D20E69"/>
    <w:rsid w:val="00D20F2A"/>
    <w:rsid w:val="00D211ED"/>
    <w:rsid w:val="00D213E9"/>
    <w:rsid w:val="00D2189C"/>
    <w:rsid w:val="00D21BDC"/>
    <w:rsid w:val="00D21D86"/>
    <w:rsid w:val="00D21F15"/>
    <w:rsid w:val="00D2240F"/>
    <w:rsid w:val="00D226C9"/>
    <w:rsid w:val="00D22A83"/>
    <w:rsid w:val="00D23C82"/>
    <w:rsid w:val="00D240A6"/>
    <w:rsid w:val="00D244C6"/>
    <w:rsid w:val="00D2469F"/>
    <w:rsid w:val="00D252F2"/>
    <w:rsid w:val="00D258AE"/>
    <w:rsid w:val="00D25AEA"/>
    <w:rsid w:val="00D25C58"/>
    <w:rsid w:val="00D25D18"/>
    <w:rsid w:val="00D26373"/>
    <w:rsid w:val="00D26D14"/>
    <w:rsid w:val="00D26F71"/>
    <w:rsid w:val="00D26FF0"/>
    <w:rsid w:val="00D273BF"/>
    <w:rsid w:val="00D27751"/>
    <w:rsid w:val="00D278B2"/>
    <w:rsid w:val="00D27A57"/>
    <w:rsid w:val="00D27B3A"/>
    <w:rsid w:val="00D27B95"/>
    <w:rsid w:val="00D27C26"/>
    <w:rsid w:val="00D27DED"/>
    <w:rsid w:val="00D27EB3"/>
    <w:rsid w:val="00D3090D"/>
    <w:rsid w:val="00D30995"/>
    <w:rsid w:val="00D30A2C"/>
    <w:rsid w:val="00D30AEB"/>
    <w:rsid w:val="00D30D11"/>
    <w:rsid w:val="00D30D6F"/>
    <w:rsid w:val="00D30D71"/>
    <w:rsid w:val="00D30E61"/>
    <w:rsid w:val="00D30E72"/>
    <w:rsid w:val="00D30F78"/>
    <w:rsid w:val="00D31322"/>
    <w:rsid w:val="00D313CF"/>
    <w:rsid w:val="00D313F2"/>
    <w:rsid w:val="00D314A7"/>
    <w:rsid w:val="00D3163A"/>
    <w:rsid w:val="00D31876"/>
    <w:rsid w:val="00D323D3"/>
    <w:rsid w:val="00D32D85"/>
    <w:rsid w:val="00D32F41"/>
    <w:rsid w:val="00D32F93"/>
    <w:rsid w:val="00D330A8"/>
    <w:rsid w:val="00D33324"/>
    <w:rsid w:val="00D3348C"/>
    <w:rsid w:val="00D3351A"/>
    <w:rsid w:val="00D336BC"/>
    <w:rsid w:val="00D336E6"/>
    <w:rsid w:val="00D33784"/>
    <w:rsid w:val="00D3379C"/>
    <w:rsid w:val="00D33B6C"/>
    <w:rsid w:val="00D34299"/>
    <w:rsid w:val="00D342A2"/>
    <w:rsid w:val="00D3454C"/>
    <w:rsid w:val="00D34B3B"/>
    <w:rsid w:val="00D35008"/>
    <w:rsid w:val="00D350B1"/>
    <w:rsid w:val="00D3513B"/>
    <w:rsid w:val="00D3520C"/>
    <w:rsid w:val="00D3524F"/>
    <w:rsid w:val="00D3547D"/>
    <w:rsid w:val="00D35694"/>
    <w:rsid w:val="00D35781"/>
    <w:rsid w:val="00D35D68"/>
    <w:rsid w:val="00D35FA3"/>
    <w:rsid w:val="00D36662"/>
    <w:rsid w:val="00D369F6"/>
    <w:rsid w:val="00D36BC6"/>
    <w:rsid w:val="00D36DFD"/>
    <w:rsid w:val="00D375A5"/>
    <w:rsid w:val="00D375CA"/>
    <w:rsid w:val="00D3770F"/>
    <w:rsid w:val="00D37733"/>
    <w:rsid w:val="00D37F45"/>
    <w:rsid w:val="00D40006"/>
    <w:rsid w:val="00D402E6"/>
    <w:rsid w:val="00D4096F"/>
    <w:rsid w:val="00D4105E"/>
    <w:rsid w:val="00D41333"/>
    <w:rsid w:val="00D41499"/>
    <w:rsid w:val="00D416AC"/>
    <w:rsid w:val="00D425C8"/>
    <w:rsid w:val="00D429D5"/>
    <w:rsid w:val="00D42AA9"/>
    <w:rsid w:val="00D42E24"/>
    <w:rsid w:val="00D43223"/>
    <w:rsid w:val="00D432E9"/>
    <w:rsid w:val="00D434C4"/>
    <w:rsid w:val="00D4364F"/>
    <w:rsid w:val="00D438D0"/>
    <w:rsid w:val="00D43E90"/>
    <w:rsid w:val="00D43FFD"/>
    <w:rsid w:val="00D443D7"/>
    <w:rsid w:val="00D4476D"/>
    <w:rsid w:val="00D45060"/>
    <w:rsid w:val="00D45176"/>
    <w:rsid w:val="00D45397"/>
    <w:rsid w:val="00D45AE1"/>
    <w:rsid w:val="00D45B27"/>
    <w:rsid w:val="00D45B41"/>
    <w:rsid w:val="00D45CE5"/>
    <w:rsid w:val="00D45DD9"/>
    <w:rsid w:val="00D46107"/>
    <w:rsid w:val="00D465E0"/>
    <w:rsid w:val="00D4676F"/>
    <w:rsid w:val="00D467F1"/>
    <w:rsid w:val="00D46C96"/>
    <w:rsid w:val="00D47017"/>
    <w:rsid w:val="00D470FB"/>
    <w:rsid w:val="00D47692"/>
    <w:rsid w:val="00D4C53F"/>
    <w:rsid w:val="00D505E1"/>
    <w:rsid w:val="00D50783"/>
    <w:rsid w:val="00D50854"/>
    <w:rsid w:val="00D50899"/>
    <w:rsid w:val="00D50C07"/>
    <w:rsid w:val="00D50D87"/>
    <w:rsid w:val="00D513A5"/>
    <w:rsid w:val="00D51488"/>
    <w:rsid w:val="00D51759"/>
    <w:rsid w:val="00D5184C"/>
    <w:rsid w:val="00D51D8F"/>
    <w:rsid w:val="00D51F14"/>
    <w:rsid w:val="00D520E7"/>
    <w:rsid w:val="00D525FB"/>
    <w:rsid w:val="00D526DD"/>
    <w:rsid w:val="00D5296E"/>
    <w:rsid w:val="00D529AD"/>
    <w:rsid w:val="00D52A5A"/>
    <w:rsid w:val="00D52ECB"/>
    <w:rsid w:val="00D52FBE"/>
    <w:rsid w:val="00D52FFE"/>
    <w:rsid w:val="00D53442"/>
    <w:rsid w:val="00D53EA8"/>
    <w:rsid w:val="00D54158"/>
    <w:rsid w:val="00D54369"/>
    <w:rsid w:val="00D54408"/>
    <w:rsid w:val="00D548A9"/>
    <w:rsid w:val="00D54A81"/>
    <w:rsid w:val="00D54CEE"/>
    <w:rsid w:val="00D54FF5"/>
    <w:rsid w:val="00D556E1"/>
    <w:rsid w:val="00D55C5B"/>
    <w:rsid w:val="00D55FE4"/>
    <w:rsid w:val="00D560C5"/>
    <w:rsid w:val="00D562AC"/>
    <w:rsid w:val="00D5688B"/>
    <w:rsid w:val="00D570C1"/>
    <w:rsid w:val="00D576C1"/>
    <w:rsid w:val="00D57742"/>
    <w:rsid w:val="00D57A27"/>
    <w:rsid w:val="00D59610"/>
    <w:rsid w:val="00D6004C"/>
    <w:rsid w:val="00D606F2"/>
    <w:rsid w:val="00D60DAA"/>
    <w:rsid w:val="00D60E1F"/>
    <w:rsid w:val="00D611F7"/>
    <w:rsid w:val="00D61241"/>
    <w:rsid w:val="00D612A7"/>
    <w:rsid w:val="00D61557"/>
    <w:rsid w:val="00D61607"/>
    <w:rsid w:val="00D62665"/>
    <w:rsid w:val="00D626FD"/>
    <w:rsid w:val="00D6279E"/>
    <w:rsid w:val="00D628A6"/>
    <w:rsid w:val="00D629E3"/>
    <w:rsid w:val="00D62EE5"/>
    <w:rsid w:val="00D630BE"/>
    <w:rsid w:val="00D63349"/>
    <w:rsid w:val="00D63439"/>
    <w:rsid w:val="00D634B1"/>
    <w:rsid w:val="00D63674"/>
    <w:rsid w:val="00D63D53"/>
    <w:rsid w:val="00D63F16"/>
    <w:rsid w:val="00D64151"/>
    <w:rsid w:val="00D642D1"/>
    <w:rsid w:val="00D643E5"/>
    <w:rsid w:val="00D645F5"/>
    <w:rsid w:val="00D64690"/>
    <w:rsid w:val="00D64814"/>
    <w:rsid w:val="00D64855"/>
    <w:rsid w:val="00D648F9"/>
    <w:rsid w:val="00D64B10"/>
    <w:rsid w:val="00D64BFF"/>
    <w:rsid w:val="00D64C3F"/>
    <w:rsid w:val="00D64E11"/>
    <w:rsid w:val="00D65177"/>
    <w:rsid w:val="00D65183"/>
    <w:rsid w:val="00D6524F"/>
    <w:rsid w:val="00D652A3"/>
    <w:rsid w:val="00D652C1"/>
    <w:rsid w:val="00D658AA"/>
    <w:rsid w:val="00D65914"/>
    <w:rsid w:val="00D6598D"/>
    <w:rsid w:val="00D65B09"/>
    <w:rsid w:val="00D663A9"/>
    <w:rsid w:val="00D666D5"/>
    <w:rsid w:val="00D6699E"/>
    <w:rsid w:val="00D6701F"/>
    <w:rsid w:val="00D6710D"/>
    <w:rsid w:val="00D67A2C"/>
    <w:rsid w:val="00D67AF8"/>
    <w:rsid w:val="00D67C14"/>
    <w:rsid w:val="00D67F7E"/>
    <w:rsid w:val="00D67F9D"/>
    <w:rsid w:val="00D67FDC"/>
    <w:rsid w:val="00D7050C"/>
    <w:rsid w:val="00D70E84"/>
    <w:rsid w:val="00D71311"/>
    <w:rsid w:val="00D71380"/>
    <w:rsid w:val="00D715CE"/>
    <w:rsid w:val="00D71798"/>
    <w:rsid w:val="00D71ACB"/>
    <w:rsid w:val="00D71B55"/>
    <w:rsid w:val="00D71C9A"/>
    <w:rsid w:val="00D71CEA"/>
    <w:rsid w:val="00D71F4C"/>
    <w:rsid w:val="00D720C3"/>
    <w:rsid w:val="00D72181"/>
    <w:rsid w:val="00D724E4"/>
    <w:rsid w:val="00D725AB"/>
    <w:rsid w:val="00D729A7"/>
    <w:rsid w:val="00D73096"/>
    <w:rsid w:val="00D7319E"/>
    <w:rsid w:val="00D7330B"/>
    <w:rsid w:val="00D7350A"/>
    <w:rsid w:val="00D73588"/>
    <w:rsid w:val="00D73947"/>
    <w:rsid w:val="00D7396F"/>
    <w:rsid w:val="00D73FA1"/>
    <w:rsid w:val="00D740D8"/>
    <w:rsid w:val="00D7439C"/>
    <w:rsid w:val="00D743FC"/>
    <w:rsid w:val="00D7440A"/>
    <w:rsid w:val="00D745C8"/>
    <w:rsid w:val="00D7490B"/>
    <w:rsid w:val="00D74927"/>
    <w:rsid w:val="00D74967"/>
    <w:rsid w:val="00D74C8F"/>
    <w:rsid w:val="00D750F7"/>
    <w:rsid w:val="00D7523E"/>
    <w:rsid w:val="00D752DC"/>
    <w:rsid w:val="00D752FD"/>
    <w:rsid w:val="00D75360"/>
    <w:rsid w:val="00D75759"/>
    <w:rsid w:val="00D759A3"/>
    <w:rsid w:val="00D759FF"/>
    <w:rsid w:val="00D764EC"/>
    <w:rsid w:val="00D76A33"/>
    <w:rsid w:val="00D76E5D"/>
    <w:rsid w:val="00D76EB4"/>
    <w:rsid w:val="00D77691"/>
    <w:rsid w:val="00D77A3B"/>
    <w:rsid w:val="00D77A87"/>
    <w:rsid w:val="00D77D3B"/>
    <w:rsid w:val="00D77DA5"/>
    <w:rsid w:val="00D7B8B2"/>
    <w:rsid w:val="00D801E5"/>
    <w:rsid w:val="00D802D8"/>
    <w:rsid w:val="00D803AC"/>
    <w:rsid w:val="00D804D2"/>
    <w:rsid w:val="00D806C8"/>
    <w:rsid w:val="00D806CF"/>
    <w:rsid w:val="00D80C33"/>
    <w:rsid w:val="00D80D0A"/>
    <w:rsid w:val="00D80D5E"/>
    <w:rsid w:val="00D80F91"/>
    <w:rsid w:val="00D81050"/>
    <w:rsid w:val="00D81937"/>
    <w:rsid w:val="00D81A9F"/>
    <w:rsid w:val="00D81AC6"/>
    <w:rsid w:val="00D81AF1"/>
    <w:rsid w:val="00D828FC"/>
    <w:rsid w:val="00D82D88"/>
    <w:rsid w:val="00D832E7"/>
    <w:rsid w:val="00D83606"/>
    <w:rsid w:val="00D83CFB"/>
    <w:rsid w:val="00D83E0E"/>
    <w:rsid w:val="00D84084"/>
    <w:rsid w:val="00D8412F"/>
    <w:rsid w:val="00D842EA"/>
    <w:rsid w:val="00D843D7"/>
    <w:rsid w:val="00D8465D"/>
    <w:rsid w:val="00D848E8"/>
    <w:rsid w:val="00D848EB"/>
    <w:rsid w:val="00D84BEA"/>
    <w:rsid w:val="00D84E4B"/>
    <w:rsid w:val="00D84EC0"/>
    <w:rsid w:val="00D85D24"/>
    <w:rsid w:val="00D862BD"/>
    <w:rsid w:val="00D86BA5"/>
    <w:rsid w:val="00D86D1E"/>
    <w:rsid w:val="00D86DF6"/>
    <w:rsid w:val="00D86F1B"/>
    <w:rsid w:val="00D87210"/>
    <w:rsid w:val="00D87305"/>
    <w:rsid w:val="00D87686"/>
    <w:rsid w:val="00D877B2"/>
    <w:rsid w:val="00D87B15"/>
    <w:rsid w:val="00D87E74"/>
    <w:rsid w:val="00D90018"/>
    <w:rsid w:val="00D901FB"/>
    <w:rsid w:val="00D902BA"/>
    <w:rsid w:val="00D9030B"/>
    <w:rsid w:val="00D90345"/>
    <w:rsid w:val="00D906AD"/>
    <w:rsid w:val="00D90814"/>
    <w:rsid w:val="00D90914"/>
    <w:rsid w:val="00D90AA4"/>
    <w:rsid w:val="00D90D28"/>
    <w:rsid w:val="00D9132C"/>
    <w:rsid w:val="00D91451"/>
    <w:rsid w:val="00D919BC"/>
    <w:rsid w:val="00D91C44"/>
    <w:rsid w:val="00D92171"/>
    <w:rsid w:val="00D92A4E"/>
    <w:rsid w:val="00D92C2C"/>
    <w:rsid w:val="00D92C94"/>
    <w:rsid w:val="00D9309E"/>
    <w:rsid w:val="00D93426"/>
    <w:rsid w:val="00D93441"/>
    <w:rsid w:val="00D935E7"/>
    <w:rsid w:val="00D936D8"/>
    <w:rsid w:val="00D93807"/>
    <w:rsid w:val="00D93847"/>
    <w:rsid w:val="00D938B2"/>
    <w:rsid w:val="00D94117"/>
    <w:rsid w:val="00D94212"/>
    <w:rsid w:val="00D94305"/>
    <w:rsid w:val="00D943F1"/>
    <w:rsid w:val="00D94981"/>
    <w:rsid w:val="00D949C8"/>
    <w:rsid w:val="00D94B9C"/>
    <w:rsid w:val="00D94F70"/>
    <w:rsid w:val="00D94F7C"/>
    <w:rsid w:val="00D95374"/>
    <w:rsid w:val="00D954F5"/>
    <w:rsid w:val="00D95A4A"/>
    <w:rsid w:val="00D95BB2"/>
    <w:rsid w:val="00D95F41"/>
    <w:rsid w:val="00D96060"/>
    <w:rsid w:val="00D9645E"/>
    <w:rsid w:val="00D964FC"/>
    <w:rsid w:val="00D96631"/>
    <w:rsid w:val="00D96B7D"/>
    <w:rsid w:val="00D96CF2"/>
    <w:rsid w:val="00D96E25"/>
    <w:rsid w:val="00D9749B"/>
    <w:rsid w:val="00D97678"/>
    <w:rsid w:val="00D97B79"/>
    <w:rsid w:val="00D97D5E"/>
    <w:rsid w:val="00D97F24"/>
    <w:rsid w:val="00D97FF7"/>
    <w:rsid w:val="00DA031D"/>
    <w:rsid w:val="00DA0598"/>
    <w:rsid w:val="00DA084E"/>
    <w:rsid w:val="00DA0AF0"/>
    <w:rsid w:val="00DA0B0F"/>
    <w:rsid w:val="00DA0FD5"/>
    <w:rsid w:val="00DA198F"/>
    <w:rsid w:val="00DA1FA2"/>
    <w:rsid w:val="00DA219C"/>
    <w:rsid w:val="00DA2490"/>
    <w:rsid w:val="00DA2498"/>
    <w:rsid w:val="00DA2560"/>
    <w:rsid w:val="00DA2950"/>
    <w:rsid w:val="00DA2CEC"/>
    <w:rsid w:val="00DA3E13"/>
    <w:rsid w:val="00DA3E8F"/>
    <w:rsid w:val="00DA4017"/>
    <w:rsid w:val="00DA4716"/>
    <w:rsid w:val="00DA4DBD"/>
    <w:rsid w:val="00DA527F"/>
    <w:rsid w:val="00DA5B94"/>
    <w:rsid w:val="00DA5CF6"/>
    <w:rsid w:val="00DA5E82"/>
    <w:rsid w:val="00DA612F"/>
    <w:rsid w:val="00DA624D"/>
    <w:rsid w:val="00DA62AF"/>
    <w:rsid w:val="00DA6426"/>
    <w:rsid w:val="00DA64F0"/>
    <w:rsid w:val="00DA66A3"/>
    <w:rsid w:val="00DA66A8"/>
    <w:rsid w:val="00DA6772"/>
    <w:rsid w:val="00DA6B51"/>
    <w:rsid w:val="00DA6C6D"/>
    <w:rsid w:val="00DA6C82"/>
    <w:rsid w:val="00DA72DC"/>
    <w:rsid w:val="00DA73CA"/>
    <w:rsid w:val="00DA7C26"/>
    <w:rsid w:val="00DA7D41"/>
    <w:rsid w:val="00DB0053"/>
    <w:rsid w:val="00DB03C4"/>
    <w:rsid w:val="00DB0895"/>
    <w:rsid w:val="00DB0D28"/>
    <w:rsid w:val="00DB0DC2"/>
    <w:rsid w:val="00DB11E7"/>
    <w:rsid w:val="00DB159B"/>
    <w:rsid w:val="00DB16ED"/>
    <w:rsid w:val="00DB1863"/>
    <w:rsid w:val="00DB1918"/>
    <w:rsid w:val="00DB1CC9"/>
    <w:rsid w:val="00DB2565"/>
    <w:rsid w:val="00DB2779"/>
    <w:rsid w:val="00DB28E9"/>
    <w:rsid w:val="00DB2A38"/>
    <w:rsid w:val="00DB2B65"/>
    <w:rsid w:val="00DB2E7A"/>
    <w:rsid w:val="00DB30B3"/>
    <w:rsid w:val="00DB339B"/>
    <w:rsid w:val="00DB33B0"/>
    <w:rsid w:val="00DB3907"/>
    <w:rsid w:val="00DB39BA"/>
    <w:rsid w:val="00DB3D8D"/>
    <w:rsid w:val="00DB43DA"/>
    <w:rsid w:val="00DB445E"/>
    <w:rsid w:val="00DB47BD"/>
    <w:rsid w:val="00DB47C8"/>
    <w:rsid w:val="00DB5088"/>
    <w:rsid w:val="00DB50A4"/>
    <w:rsid w:val="00DB539E"/>
    <w:rsid w:val="00DB5461"/>
    <w:rsid w:val="00DB5727"/>
    <w:rsid w:val="00DB57C7"/>
    <w:rsid w:val="00DB5C76"/>
    <w:rsid w:val="00DB5FE5"/>
    <w:rsid w:val="00DB654D"/>
    <w:rsid w:val="00DB66E7"/>
    <w:rsid w:val="00DB6734"/>
    <w:rsid w:val="00DB6F8D"/>
    <w:rsid w:val="00DB70FF"/>
    <w:rsid w:val="00DB7AEB"/>
    <w:rsid w:val="00DB7B6D"/>
    <w:rsid w:val="00DB7C50"/>
    <w:rsid w:val="00DB7CA1"/>
    <w:rsid w:val="00DC0159"/>
    <w:rsid w:val="00DC0500"/>
    <w:rsid w:val="00DC05F9"/>
    <w:rsid w:val="00DC0A21"/>
    <w:rsid w:val="00DC0ACB"/>
    <w:rsid w:val="00DC0BDE"/>
    <w:rsid w:val="00DC0E07"/>
    <w:rsid w:val="00DC1792"/>
    <w:rsid w:val="00DC1BFF"/>
    <w:rsid w:val="00DC1CF5"/>
    <w:rsid w:val="00DC1EB6"/>
    <w:rsid w:val="00DC2005"/>
    <w:rsid w:val="00DC20DC"/>
    <w:rsid w:val="00DC21F7"/>
    <w:rsid w:val="00DC285B"/>
    <w:rsid w:val="00DC296D"/>
    <w:rsid w:val="00DC2C06"/>
    <w:rsid w:val="00DC3009"/>
    <w:rsid w:val="00DC32B9"/>
    <w:rsid w:val="00DC365E"/>
    <w:rsid w:val="00DC3BEA"/>
    <w:rsid w:val="00DC3C11"/>
    <w:rsid w:val="00DC3CDC"/>
    <w:rsid w:val="00DC407A"/>
    <w:rsid w:val="00DC4171"/>
    <w:rsid w:val="00DC42CF"/>
    <w:rsid w:val="00DC44AB"/>
    <w:rsid w:val="00DC4798"/>
    <w:rsid w:val="00DC4927"/>
    <w:rsid w:val="00DC4AFE"/>
    <w:rsid w:val="00DC4B21"/>
    <w:rsid w:val="00DC4B2A"/>
    <w:rsid w:val="00DC4C2C"/>
    <w:rsid w:val="00DC4F33"/>
    <w:rsid w:val="00DC5090"/>
    <w:rsid w:val="00DC5308"/>
    <w:rsid w:val="00DC5586"/>
    <w:rsid w:val="00DC5653"/>
    <w:rsid w:val="00DC5C58"/>
    <w:rsid w:val="00DC5CC5"/>
    <w:rsid w:val="00DC5D51"/>
    <w:rsid w:val="00DC5E6E"/>
    <w:rsid w:val="00DC5F49"/>
    <w:rsid w:val="00DC63C6"/>
    <w:rsid w:val="00DC6620"/>
    <w:rsid w:val="00DC6636"/>
    <w:rsid w:val="00DC6666"/>
    <w:rsid w:val="00DC69F9"/>
    <w:rsid w:val="00DC6E6B"/>
    <w:rsid w:val="00DC7175"/>
    <w:rsid w:val="00DC719B"/>
    <w:rsid w:val="00DC72FB"/>
    <w:rsid w:val="00DC770B"/>
    <w:rsid w:val="00DC7C8B"/>
    <w:rsid w:val="00DC7F1F"/>
    <w:rsid w:val="00DC7FE5"/>
    <w:rsid w:val="00DCB059"/>
    <w:rsid w:val="00DD05FE"/>
    <w:rsid w:val="00DD08E7"/>
    <w:rsid w:val="00DD0E8D"/>
    <w:rsid w:val="00DD0FFA"/>
    <w:rsid w:val="00DD13AD"/>
    <w:rsid w:val="00DD1675"/>
    <w:rsid w:val="00DD1852"/>
    <w:rsid w:val="00DD1854"/>
    <w:rsid w:val="00DD1E71"/>
    <w:rsid w:val="00DD1ECF"/>
    <w:rsid w:val="00DD216C"/>
    <w:rsid w:val="00DD25A0"/>
    <w:rsid w:val="00DD2666"/>
    <w:rsid w:val="00DD26B3"/>
    <w:rsid w:val="00DD29CE"/>
    <w:rsid w:val="00DD2B27"/>
    <w:rsid w:val="00DD2E1C"/>
    <w:rsid w:val="00DD2F32"/>
    <w:rsid w:val="00DD31FE"/>
    <w:rsid w:val="00DD3276"/>
    <w:rsid w:val="00DD32EE"/>
    <w:rsid w:val="00DD34F6"/>
    <w:rsid w:val="00DD36B8"/>
    <w:rsid w:val="00DD391E"/>
    <w:rsid w:val="00DD3B27"/>
    <w:rsid w:val="00DD3C07"/>
    <w:rsid w:val="00DD3D6E"/>
    <w:rsid w:val="00DD3D92"/>
    <w:rsid w:val="00DD3E5B"/>
    <w:rsid w:val="00DD4149"/>
    <w:rsid w:val="00DD4169"/>
    <w:rsid w:val="00DD4437"/>
    <w:rsid w:val="00DD44BF"/>
    <w:rsid w:val="00DD46EB"/>
    <w:rsid w:val="00DD4721"/>
    <w:rsid w:val="00DD4DB6"/>
    <w:rsid w:val="00DD4EBE"/>
    <w:rsid w:val="00DD4F59"/>
    <w:rsid w:val="00DD53CA"/>
    <w:rsid w:val="00DD58DE"/>
    <w:rsid w:val="00DD5AE0"/>
    <w:rsid w:val="00DD5F26"/>
    <w:rsid w:val="00DD6184"/>
    <w:rsid w:val="00DD649A"/>
    <w:rsid w:val="00DD6616"/>
    <w:rsid w:val="00DD67BE"/>
    <w:rsid w:val="00DD6983"/>
    <w:rsid w:val="00DD69DD"/>
    <w:rsid w:val="00DD6D90"/>
    <w:rsid w:val="00DD6E0F"/>
    <w:rsid w:val="00DD7663"/>
    <w:rsid w:val="00DD76B7"/>
    <w:rsid w:val="00DD776A"/>
    <w:rsid w:val="00DD780A"/>
    <w:rsid w:val="00DD786F"/>
    <w:rsid w:val="00DD792B"/>
    <w:rsid w:val="00DD7B5A"/>
    <w:rsid w:val="00DD7C08"/>
    <w:rsid w:val="00DD7C50"/>
    <w:rsid w:val="00DD7C63"/>
    <w:rsid w:val="00DD7E74"/>
    <w:rsid w:val="00DD7E75"/>
    <w:rsid w:val="00DD7FD8"/>
    <w:rsid w:val="00DE04AD"/>
    <w:rsid w:val="00DE05FF"/>
    <w:rsid w:val="00DE1207"/>
    <w:rsid w:val="00DE15A0"/>
    <w:rsid w:val="00DE168B"/>
    <w:rsid w:val="00DE16EB"/>
    <w:rsid w:val="00DE1746"/>
    <w:rsid w:val="00DE1DB9"/>
    <w:rsid w:val="00DE2323"/>
    <w:rsid w:val="00DE261E"/>
    <w:rsid w:val="00DE2949"/>
    <w:rsid w:val="00DE2B95"/>
    <w:rsid w:val="00DE2BC9"/>
    <w:rsid w:val="00DE2D26"/>
    <w:rsid w:val="00DE2E37"/>
    <w:rsid w:val="00DE35DB"/>
    <w:rsid w:val="00DE368C"/>
    <w:rsid w:val="00DE384C"/>
    <w:rsid w:val="00DE3D32"/>
    <w:rsid w:val="00DE3E8C"/>
    <w:rsid w:val="00DE3EA1"/>
    <w:rsid w:val="00DE3FDB"/>
    <w:rsid w:val="00DE41AA"/>
    <w:rsid w:val="00DE422A"/>
    <w:rsid w:val="00DE4300"/>
    <w:rsid w:val="00DE493F"/>
    <w:rsid w:val="00DE5044"/>
    <w:rsid w:val="00DE5360"/>
    <w:rsid w:val="00DE548C"/>
    <w:rsid w:val="00DE54D1"/>
    <w:rsid w:val="00DE5C37"/>
    <w:rsid w:val="00DE5D2B"/>
    <w:rsid w:val="00DE5D9F"/>
    <w:rsid w:val="00DE5E1E"/>
    <w:rsid w:val="00DE636E"/>
    <w:rsid w:val="00DE6514"/>
    <w:rsid w:val="00DE671F"/>
    <w:rsid w:val="00DE677A"/>
    <w:rsid w:val="00DE68B8"/>
    <w:rsid w:val="00DE6978"/>
    <w:rsid w:val="00DE6F65"/>
    <w:rsid w:val="00DE7144"/>
    <w:rsid w:val="00DE7274"/>
    <w:rsid w:val="00DE7608"/>
    <w:rsid w:val="00DE7753"/>
    <w:rsid w:val="00DE79A1"/>
    <w:rsid w:val="00DE7DE0"/>
    <w:rsid w:val="00DE7DF2"/>
    <w:rsid w:val="00DE7E7B"/>
    <w:rsid w:val="00DE7E97"/>
    <w:rsid w:val="00DE7F33"/>
    <w:rsid w:val="00DE8F7B"/>
    <w:rsid w:val="00DF0751"/>
    <w:rsid w:val="00DF0764"/>
    <w:rsid w:val="00DF0781"/>
    <w:rsid w:val="00DF084A"/>
    <w:rsid w:val="00DF0AA2"/>
    <w:rsid w:val="00DF0AED"/>
    <w:rsid w:val="00DF1263"/>
    <w:rsid w:val="00DF19A5"/>
    <w:rsid w:val="00DF209B"/>
    <w:rsid w:val="00DF226F"/>
    <w:rsid w:val="00DF2278"/>
    <w:rsid w:val="00DF2830"/>
    <w:rsid w:val="00DF2960"/>
    <w:rsid w:val="00DF2A09"/>
    <w:rsid w:val="00DF3068"/>
    <w:rsid w:val="00DF30BA"/>
    <w:rsid w:val="00DF334B"/>
    <w:rsid w:val="00DF3569"/>
    <w:rsid w:val="00DF3644"/>
    <w:rsid w:val="00DF3A6B"/>
    <w:rsid w:val="00DF3F0D"/>
    <w:rsid w:val="00DF4167"/>
    <w:rsid w:val="00DF471A"/>
    <w:rsid w:val="00DF4816"/>
    <w:rsid w:val="00DF4D19"/>
    <w:rsid w:val="00DF55E2"/>
    <w:rsid w:val="00DF659D"/>
    <w:rsid w:val="00DF67A4"/>
    <w:rsid w:val="00DF6CC4"/>
    <w:rsid w:val="00DF6D62"/>
    <w:rsid w:val="00DF6DD5"/>
    <w:rsid w:val="00DF70B9"/>
    <w:rsid w:val="00DF7319"/>
    <w:rsid w:val="00DF7799"/>
    <w:rsid w:val="00DF79CB"/>
    <w:rsid w:val="00DF7CA6"/>
    <w:rsid w:val="00DF7E66"/>
    <w:rsid w:val="00DF7EB3"/>
    <w:rsid w:val="00DF7F02"/>
    <w:rsid w:val="00E00895"/>
    <w:rsid w:val="00E00A33"/>
    <w:rsid w:val="00E00AE7"/>
    <w:rsid w:val="00E00B2D"/>
    <w:rsid w:val="00E00C13"/>
    <w:rsid w:val="00E00C81"/>
    <w:rsid w:val="00E01083"/>
    <w:rsid w:val="00E011F2"/>
    <w:rsid w:val="00E0174F"/>
    <w:rsid w:val="00E0187A"/>
    <w:rsid w:val="00E01C64"/>
    <w:rsid w:val="00E0237D"/>
    <w:rsid w:val="00E023F2"/>
    <w:rsid w:val="00E02550"/>
    <w:rsid w:val="00E0268B"/>
    <w:rsid w:val="00E02A89"/>
    <w:rsid w:val="00E02AC1"/>
    <w:rsid w:val="00E02DD5"/>
    <w:rsid w:val="00E02E52"/>
    <w:rsid w:val="00E02FA0"/>
    <w:rsid w:val="00E02FD0"/>
    <w:rsid w:val="00E0300E"/>
    <w:rsid w:val="00E0346D"/>
    <w:rsid w:val="00E03D82"/>
    <w:rsid w:val="00E03DA1"/>
    <w:rsid w:val="00E04269"/>
    <w:rsid w:val="00E04434"/>
    <w:rsid w:val="00E045EB"/>
    <w:rsid w:val="00E0507A"/>
    <w:rsid w:val="00E052A0"/>
    <w:rsid w:val="00E055B1"/>
    <w:rsid w:val="00E05DE9"/>
    <w:rsid w:val="00E05E6A"/>
    <w:rsid w:val="00E06030"/>
    <w:rsid w:val="00E060AF"/>
    <w:rsid w:val="00E063D9"/>
    <w:rsid w:val="00E06F33"/>
    <w:rsid w:val="00E06FCD"/>
    <w:rsid w:val="00E0715C"/>
    <w:rsid w:val="00E0736B"/>
    <w:rsid w:val="00E073BA"/>
    <w:rsid w:val="00E07471"/>
    <w:rsid w:val="00E0770B"/>
    <w:rsid w:val="00E0786B"/>
    <w:rsid w:val="00E07959"/>
    <w:rsid w:val="00E07A55"/>
    <w:rsid w:val="00E07B64"/>
    <w:rsid w:val="00E07EDB"/>
    <w:rsid w:val="00E101A4"/>
    <w:rsid w:val="00E105D9"/>
    <w:rsid w:val="00E10645"/>
    <w:rsid w:val="00E10812"/>
    <w:rsid w:val="00E1087F"/>
    <w:rsid w:val="00E109EA"/>
    <w:rsid w:val="00E1102F"/>
    <w:rsid w:val="00E1129C"/>
    <w:rsid w:val="00E11384"/>
    <w:rsid w:val="00E11462"/>
    <w:rsid w:val="00E1157D"/>
    <w:rsid w:val="00E1176B"/>
    <w:rsid w:val="00E11809"/>
    <w:rsid w:val="00E119F4"/>
    <w:rsid w:val="00E11D05"/>
    <w:rsid w:val="00E11EFA"/>
    <w:rsid w:val="00E11FC1"/>
    <w:rsid w:val="00E11FFD"/>
    <w:rsid w:val="00E1246A"/>
    <w:rsid w:val="00E12A36"/>
    <w:rsid w:val="00E12BB0"/>
    <w:rsid w:val="00E12DAA"/>
    <w:rsid w:val="00E131AE"/>
    <w:rsid w:val="00E13295"/>
    <w:rsid w:val="00E134AE"/>
    <w:rsid w:val="00E1380E"/>
    <w:rsid w:val="00E13846"/>
    <w:rsid w:val="00E138E5"/>
    <w:rsid w:val="00E13CC1"/>
    <w:rsid w:val="00E14001"/>
    <w:rsid w:val="00E1436F"/>
    <w:rsid w:val="00E143CD"/>
    <w:rsid w:val="00E149EE"/>
    <w:rsid w:val="00E14BCF"/>
    <w:rsid w:val="00E151B1"/>
    <w:rsid w:val="00E152CE"/>
    <w:rsid w:val="00E15A85"/>
    <w:rsid w:val="00E15B88"/>
    <w:rsid w:val="00E16494"/>
    <w:rsid w:val="00E1655A"/>
    <w:rsid w:val="00E168A1"/>
    <w:rsid w:val="00E169BB"/>
    <w:rsid w:val="00E169DE"/>
    <w:rsid w:val="00E16BC1"/>
    <w:rsid w:val="00E16E4E"/>
    <w:rsid w:val="00E17592"/>
    <w:rsid w:val="00E17779"/>
    <w:rsid w:val="00E200E5"/>
    <w:rsid w:val="00E2026A"/>
    <w:rsid w:val="00E20624"/>
    <w:rsid w:val="00E20A73"/>
    <w:rsid w:val="00E20C4E"/>
    <w:rsid w:val="00E20E34"/>
    <w:rsid w:val="00E216A6"/>
    <w:rsid w:val="00E21E85"/>
    <w:rsid w:val="00E22096"/>
    <w:rsid w:val="00E22103"/>
    <w:rsid w:val="00E225D7"/>
    <w:rsid w:val="00E22B4A"/>
    <w:rsid w:val="00E22D24"/>
    <w:rsid w:val="00E22F7C"/>
    <w:rsid w:val="00E2334D"/>
    <w:rsid w:val="00E23651"/>
    <w:rsid w:val="00E2384D"/>
    <w:rsid w:val="00E2388A"/>
    <w:rsid w:val="00E23C67"/>
    <w:rsid w:val="00E241D3"/>
    <w:rsid w:val="00E243A3"/>
    <w:rsid w:val="00E24869"/>
    <w:rsid w:val="00E24CB5"/>
    <w:rsid w:val="00E24DBA"/>
    <w:rsid w:val="00E25019"/>
    <w:rsid w:val="00E25390"/>
    <w:rsid w:val="00E253B3"/>
    <w:rsid w:val="00E25B23"/>
    <w:rsid w:val="00E25BD9"/>
    <w:rsid w:val="00E25CF6"/>
    <w:rsid w:val="00E25E3C"/>
    <w:rsid w:val="00E26CFA"/>
    <w:rsid w:val="00E26E48"/>
    <w:rsid w:val="00E271F2"/>
    <w:rsid w:val="00E2729F"/>
    <w:rsid w:val="00E27371"/>
    <w:rsid w:val="00E2749E"/>
    <w:rsid w:val="00E27621"/>
    <w:rsid w:val="00E27D02"/>
    <w:rsid w:val="00E27F01"/>
    <w:rsid w:val="00E28DC4"/>
    <w:rsid w:val="00E3046F"/>
    <w:rsid w:val="00E30663"/>
    <w:rsid w:val="00E30836"/>
    <w:rsid w:val="00E30859"/>
    <w:rsid w:val="00E3092E"/>
    <w:rsid w:val="00E30B9A"/>
    <w:rsid w:val="00E313D3"/>
    <w:rsid w:val="00E314A0"/>
    <w:rsid w:val="00E314C4"/>
    <w:rsid w:val="00E31778"/>
    <w:rsid w:val="00E317EA"/>
    <w:rsid w:val="00E31B14"/>
    <w:rsid w:val="00E31D48"/>
    <w:rsid w:val="00E31D6C"/>
    <w:rsid w:val="00E31F6A"/>
    <w:rsid w:val="00E31FB5"/>
    <w:rsid w:val="00E325F6"/>
    <w:rsid w:val="00E32698"/>
    <w:rsid w:val="00E327BB"/>
    <w:rsid w:val="00E327E6"/>
    <w:rsid w:val="00E331F9"/>
    <w:rsid w:val="00E332F2"/>
    <w:rsid w:val="00E332F7"/>
    <w:rsid w:val="00E3362D"/>
    <w:rsid w:val="00E336F0"/>
    <w:rsid w:val="00E33B4B"/>
    <w:rsid w:val="00E33DB0"/>
    <w:rsid w:val="00E33E9A"/>
    <w:rsid w:val="00E3442F"/>
    <w:rsid w:val="00E34FC4"/>
    <w:rsid w:val="00E3524A"/>
    <w:rsid w:val="00E354C3"/>
    <w:rsid w:val="00E35AAB"/>
    <w:rsid w:val="00E35B18"/>
    <w:rsid w:val="00E36781"/>
    <w:rsid w:val="00E368A6"/>
    <w:rsid w:val="00E368EE"/>
    <w:rsid w:val="00E36A39"/>
    <w:rsid w:val="00E36ACA"/>
    <w:rsid w:val="00E36F79"/>
    <w:rsid w:val="00E36FD5"/>
    <w:rsid w:val="00E3714F"/>
    <w:rsid w:val="00E373A0"/>
    <w:rsid w:val="00E374E0"/>
    <w:rsid w:val="00E3759B"/>
    <w:rsid w:val="00E3773B"/>
    <w:rsid w:val="00E37CA8"/>
    <w:rsid w:val="00E40E90"/>
    <w:rsid w:val="00E41107"/>
    <w:rsid w:val="00E413EC"/>
    <w:rsid w:val="00E41506"/>
    <w:rsid w:val="00E41529"/>
    <w:rsid w:val="00E41573"/>
    <w:rsid w:val="00E41695"/>
    <w:rsid w:val="00E41A1D"/>
    <w:rsid w:val="00E42017"/>
    <w:rsid w:val="00E423CA"/>
    <w:rsid w:val="00E4285B"/>
    <w:rsid w:val="00E43265"/>
    <w:rsid w:val="00E43277"/>
    <w:rsid w:val="00E43962"/>
    <w:rsid w:val="00E43985"/>
    <w:rsid w:val="00E43DF4"/>
    <w:rsid w:val="00E43FCA"/>
    <w:rsid w:val="00E440F7"/>
    <w:rsid w:val="00E4414C"/>
    <w:rsid w:val="00E44172"/>
    <w:rsid w:val="00E44223"/>
    <w:rsid w:val="00E442FA"/>
    <w:rsid w:val="00E4459F"/>
    <w:rsid w:val="00E44E6B"/>
    <w:rsid w:val="00E45159"/>
    <w:rsid w:val="00E45640"/>
    <w:rsid w:val="00E4577D"/>
    <w:rsid w:val="00E46426"/>
    <w:rsid w:val="00E4666B"/>
    <w:rsid w:val="00E466A5"/>
    <w:rsid w:val="00E4691B"/>
    <w:rsid w:val="00E46AA8"/>
    <w:rsid w:val="00E46AC1"/>
    <w:rsid w:val="00E46F7E"/>
    <w:rsid w:val="00E471E2"/>
    <w:rsid w:val="00E47286"/>
    <w:rsid w:val="00E47430"/>
    <w:rsid w:val="00E474E8"/>
    <w:rsid w:val="00E4775F"/>
    <w:rsid w:val="00E477C1"/>
    <w:rsid w:val="00E47873"/>
    <w:rsid w:val="00E479CC"/>
    <w:rsid w:val="00E47A89"/>
    <w:rsid w:val="00E47D8E"/>
    <w:rsid w:val="00E5020E"/>
    <w:rsid w:val="00E50484"/>
    <w:rsid w:val="00E504F3"/>
    <w:rsid w:val="00E51251"/>
    <w:rsid w:val="00E512F6"/>
    <w:rsid w:val="00E5135E"/>
    <w:rsid w:val="00E51A4B"/>
    <w:rsid w:val="00E51D6D"/>
    <w:rsid w:val="00E51EC4"/>
    <w:rsid w:val="00E51F8B"/>
    <w:rsid w:val="00E52338"/>
    <w:rsid w:val="00E52344"/>
    <w:rsid w:val="00E523F8"/>
    <w:rsid w:val="00E528CC"/>
    <w:rsid w:val="00E52A37"/>
    <w:rsid w:val="00E52D01"/>
    <w:rsid w:val="00E537CA"/>
    <w:rsid w:val="00E53CF1"/>
    <w:rsid w:val="00E545A0"/>
    <w:rsid w:val="00E54724"/>
    <w:rsid w:val="00E54F54"/>
    <w:rsid w:val="00E55256"/>
    <w:rsid w:val="00E5549A"/>
    <w:rsid w:val="00E5561B"/>
    <w:rsid w:val="00E5581B"/>
    <w:rsid w:val="00E558CC"/>
    <w:rsid w:val="00E55A0C"/>
    <w:rsid w:val="00E55DB4"/>
    <w:rsid w:val="00E560E7"/>
    <w:rsid w:val="00E566A0"/>
    <w:rsid w:val="00E5687A"/>
    <w:rsid w:val="00E569F4"/>
    <w:rsid w:val="00E56A45"/>
    <w:rsid w:val="00E56B19"/>
    <w:rsid w:val="00E573FD"/>
    <w:rsid w:val="00E5771A"/>
    <w:rsid w:val="00E57A67"/>
    <w:rsid w:val="00E600AD"/>
    <w:rsid w:val="00E60477"/>
    <w:rsid w:val="00E605A4"/>
    <w:rsid w:val="00E60870"/>
    <w:rsid w:val="00E60ACF"/>
    <w:rsid w:val="00E60D02"/>
    <w:rsid w:val="00E61051"/>
    <w:rsid w:val="00E611A8"/>
    <w:rsid w:val="00E61407"/>
    <w:rsid w:val="00E61C87"/>
    <w:rsid w:val="00E61CA1"/>
    <w:rsid w:val="00E6213F"/>
    <w:rsid w:val="00E621B2"/>
    <w:rsid w:val="00E6233B"/>
    <w:rsid w:val="00E6246F"/>
    <w:rsid w:val="00E62881"/>
    <w:rsid w:val="00E628B5"/>
    <w:rsid w:val="00E62A7A"/>
    <w:rsid w:val="00E62AE7"/>
    <w:rsid w:val="00E62B62"/>
    <w:rsid w:val="00E62BE4"/>
    <w:rsid w:val="00E62C8F"/>
    <w:rsid w:val="00E63032"/>
    <w:rsid w:val="00E630BA"/>
    <w:rsid w:val="00E63B50"/>
    <w:rsid w:val="00E63F3E"/>
    <w:rsid w:val="00E63FB3"/>
    <w:rsid w:val="00E64351"/>
    <w:rsid w:val="00E6473E"/>
    <w:rsid w:val="00E64759"/>
    <w:rsid w:val="00E64A7B"/>
    <w:rsid w:val="00E64B6D"/>
    <w:rsid w:val="00E651F2"/>
    <w:rsid w:val="00E6527E"/>
    <w:rsid w:val="00E6529D"/>
    <w:rsid w:val="00E656EB"/>
    <w:rsid w:val="00E66CD1"/>
    <w:rsid w:val="00E671CC"/>
    <w:rsid w:val="00E675C8"/>
    <w:rsid w:val="00E6775C"/>
    <w:rsid w:val="00E700A8"/>
    <w:rsid w:val="00E70188"/>
    <w:rsid w:val="00E703FD"/>
    <w:rsid w:val="00E704C5"/>
    <w:rsid w:val="00E704FF"/>
    <w:rsid w:val="00E70A40"/>
    <w:rsid w:val="00E70BCB"/>
    <w:rsid w:val="00E70BEB"/>
    <w:rsid w:val="00E71147"/>
    <w:rsid w:val="00E712AF"/>
    <w:rsid w:val="00E71699"/>
    <w:rsid w:val="00E71976"/>
    <w:rsid w:val="00E72105"/>
    <w:rsid w:val="00E7220B"/>
    <w:rsid w:val="00E72424"/>
    <w:rsid w:val="00E7278F"/>
    <w:rsid w:val="00E727DF"/>
    <w:rsid w:val="00E72AE9"/>
    <w:rsid w:val="00E72BDA"/>
    <w:rsid w:val="00E73923"/>
    <w:rsid w:val="00E73FBF"/>
    <w:rsid w:val="00E74277"/>
    <w:rsid w:val="00E74544"/>
    <w:rsid w:val="00E748C7"/>
    <w:rsid w:val="00E74B65"/>
    <w:rsid w:val="00E74E89"/>
    <w:rsid w:val="00E74F6E"/>
    <w:rsid w:val="00E74FAD"/>
    <w:rsid w:val="00E7506C"/>
    <w:rsid w:val="00E7546F"/>
    <w:rsid w:val="00E75568"/>
    <w:rsid w:val="00E756DA"/>
    <w:rsid w:val="00E75942"/>
    <w:rsid w:val="00E7594F"/>
    <w:rsid w:val="00E75B9F"/>
    <w:rsid w:val="00E7615A"/>
    <w:rsid w:val="00E7616C"/>
    <w:rsid w:val="00E761D5"/>
    <w:rsid w:val="00E762E5"/>
    <w:rsid w:val="00E76675"/>
    <w:rsid w:val="00E76682"/>
    <w:rsid w:val="00E76B87"/>
    <w:rsid w:val="00E76C57"/>
    <w:rsid w:val="00E770FA"/>
    <w:rsid w:val="00E77745"/>
    <w:rsid w:val="00E80004"/>
    <w:rsid w:val="00E8003D"/>
    <w:rsid w:val="00E8021B"/>
    <w:rsid w:val="00E804A1"/>
    <w:rsid w:val="00E80951"/>
    <w:rsid w:val="00E80AE1"/>
    <w:rsid w:val="00E80B66"/>
    <w:rsid w:val="00E80E4D"/>
    <w:rsid w:val="00E80F1F"/>
    <w:rsid w:val="00E81080"/>
    <w:rsid w:val="00E8118B"/>
    <w:rsid w:val="00E814AC"/>
    <w:rsid w:val="00E81AE3"/>
    <w:rsid w:val="00E81B1D"/>
    <w:rsid w:val="00E81C52"/>
    <w:rsid w:val="00E81FFA"/>
    <w:rsid w:val="00E820D2"/>
    <w:rsid w:val="00E821F4"/>
    <w:rsid w:val="00E82231"/>
    <w:rsid w:val="00E8262B"/>
    <w:rsid w:val="00E82952"/>
    <w:rsid w:val="00E82A7A"/>
    <w:rsid w:val="00E82E82"/>
    <w:rsid w:val="00E82F24"/>
    <w:rsid w:val="00E830D6"/>
    <w:rsid w:val="00E834E3"/>
    <w:rsid w:val="00E83514"/>
    <w:rsid w:val="00E8362F"/>
    <w:rsid w:val="00E83D8D"/>
    <w:rsid w:val="00E83E63"/>
    <w:rsid w:val="00E841BE"/>
    <w:rsid w:val="00E84395"/>
    <w:rsid w:val="00E84409"/>
    <w:rsid w:val="00E8460A"/>
    <w:rsid w:val="00E846D7"/>
    <w:rsid w:val="00E84A76"/>
    <w:rsid w:val="00E84B7D"/>
    <w:rsid w:val="00E84BB1"/>
    <w:rsid w:val="00E85338"/>
    <w:rsid w:val="00E85976"/>
    <w:rsid w:val="00E86383"/>
    <w:rsid w:val="00E865BF"/>
    <w:rsid w:val="00E86627"/>
    <w:rsid w:val="00E8674D"/>
    <w:rsid w:val="00E867B4"/>
    <w:rsid w:val="00E869D7"/>
    <w:rsid w:val="00E869DC"/>
    <w:rsid w:val="00E86A31"/>
    <w:rsid w:val="00E86BBD"/>
    <w:rsid w:val="00E86C58"/>
    <w:rsid w:val="00E87224"/>
    <w:rsid w:val="00E872ED"/>
    <w:rsid w:val="00E875F5"/>
    <w:rsid w:val="00E877F3"/>
    <w:rsid w:val="00E87BEB"/>
    <w:rsid w:val="00E87DF6"/>
    <w:rsid w:val="00E87F29"/>
    <w:rsid w:val="00E901A8"/>
    <w:rsid w:val="00E90559"/>
    <w:rsid w:val="00E90605"/>
    <w:rsid w:val="00E9061C"/>
    <w:rsid w:val="00E90787"/>
    <w:rsid w:val="00E908E4"/>
    <w:rsid w:val="00E909D9"/>
    <w:rsid w:val="00E914F9"/>
    <w:rsid w:val="00E917E1"/>
    <w:rsid w:val="00E917E7"/>
    <w:rsid w:val="00E91875"/>
    <w:rsid w:val="00E91D8B"/>
    <w:rsid w:val="00E91F0F"/>
    <w:rsid w:val="00E92395"/>
    <w:rsid w:val="00E92508"/>
    <w:rsid w:val="00E9253B"/>
    <w:rsid w:val="00E927B5"/>
    <w:rsid w:val="00E92C22"/>
    <w:rsid w:val="00E92D03"/>
    <w:rsid w:val="00E92D56"/>
    <w:rsid w:val="00E92E32"/>
    <w:rsid w:val="00E92F00"/>
    <w:rsid w:val="00E932EB"/>
    <w:rsid w:val="00E932FD"/>
    <w:rsid w:val="00E933D0"/>
    <w:rsid w:val="00E93939"/>
    <w:rsid w:val="00E93A6E"/>
    <w:rsid w:val="00E93B92"/>
    <w:rsid w:val="00E94074"/>
    <w:rsid w:val="00E9416D"/>
    <w:rsid w:val="00E94599"/>
    <w:rsid w:val="00E946D6"/>
    <w:rsid w:val="00E947CB"/>
    <w:rsid w:val="00E94873"/>
    <w:rsid w:val="00E948DA"/>
    <w:rsid w:val="00E94C01"/>
    <w:rsid w:val="00E94FB2"/>
    <w:rsid w:val="00E950E7"/>
    <w:rsid w:val="00E951CD"/>
    <w:rsid w:val="00E95430"/>
    <w:rsid w:val="00E955B9"/>
    <w:rsid w:val="00E957B1"/>
    <w:rsid w:val="00E95C5B"/>
    <w:rsid w:val="00E95D51"/>
    <w:rsid w:val="00E96247"/>
    <w:rsid w:val="00E96264"/>
    <w:rsid w:val="00E963B5"/>
    <w:rsid w:val="00E9659B"/>
    <w:rsid w:val="00E96632"/>
    <w:rsid w:val="00E96743"/>
    <w:rsid w:val="00E96AE6"/>
    <w:rsid w:val="00E96E47"/>
    <w:rsid w:val="00E97259"/>
    <w:rsid w:val="00E97467"/>
    <w:rsid w:val="00E97567"/>
    <w:rsid w:val="00E9758C"/>
    <w:rsid w:val="00E97592"/>
    <w:rsid w:val="00E97879"/>
    <w:rsid w:val="00E97D18"/>
    <w:rsid w:val="00E97D3B"/>
    <w:rsid w:val="00E97DD2"/>
    <w:rsid w:val="00E97F4A"/>
    <w:rsid w:val="00EA0512"/>
    <w:rsid w:val="00EA051A"/>
    <w:rsid w:val="00EA08E6"/>
    <w:rsid w:val="00EA0F6B"/>
    <w:rsid w:val="00EA144F"/>
    <w:rsid w:val="00EA14C9"/>
    <w:rsid w:val="00EA18F5"/>
    <w:rsid w:val="00EA2444"/>
    <w:rsid w:val="00EA252C"/>
    <w:rsid w:val="00EA25AE"/>
    <w:rsid w:val="00EA26A7"/>
    <w:rsid w:val="00EA2A1C"/>
    <w:rsid w:val="00EA2A81"/>
    <w:rsid w:val="00EA2AAE"/>
    <w:rsid w:val="00EA2CBD"/>
    <w:rsid w:val="00EA2ED6"/>
    <w:rsid w:val="00EA317F"/>
    <w:rsid w:val="00EA324C"/>
    <w:rsid w:val="00EA339F"/>
    <w:rsid w:val="00EA35D6"/>
    <w:rsid w:val="00EA3904"/>
    <w:rsid w:val="00EA3A01"/>
    <w:rsid w:val="00EA3A65"/>
    <w:rsid w:val="00EA3C0A"/>
    <w:rsid w:val="00EA3CA5"/>
    <w:rsid w:val="00EA3D82"/>
    <w:rsid w:val="00EA3E70"/>
    <w:rsid w:val="00EA40FF"/>
    <w:rsid w:val="00EA414C"/>
    <w:rsid w:val="00EA4371"/>
    <w:rsid w:val="00EA43B3"/>
    <w:rsid w:val="00EA4463"/>
    <w:rsid w:val="00EA493B"/>
    <w:rsid w:val="00EA4E94"/>
    <w:rsid w:val="00EA4EB4"/>
    <w:rsid w:val="00EA51AE"/>
    <w:rsid w:val="00EA52B4"/>
    <w:rsid w:val="00EA5526"/>
    <w:rsid w:val="00EA5692"/>
    <w:rsid w:val="00EA57E8"/>
    <w:rsid w:val="00EA58C4"/>
    <w:rsid w:val="00EA5B04"/>
    <w:rsid w:val="00EA5B2F"/>
    <w:rsid w:val="00EA5E90"/>
    <w:rsid w:val="00EA5F7B"/>
    <w:rsid w:val="00EA6036"/>
    <w:rsid w:val="00EA659F"/>
    <w:rsid w:val="00EA6770"/>
    <w:rsid w:val="00EA67B0"/>
    <w:rsid w:val="00EA6826"/>
    <w:rsid w:val="00EA694A"/>
    <w:rsid w:val="00EA6D3C"/>
    <w:rsid w:val="00EA6E15"/>
    <w:rsid w:val="00EA7477"/>
    <w:rsid w:val="00EA77F3"/>
    <w:rsid w:val="00EB01EE"/>
    <w:rsid w:val="00EB0500"/>
    <w:rsid w:val="00EB0979"/>
    <w:rsid w:val="00EB0C7F"/>
    <w:rsid w:val="00EB0E7C"/>
    <w:rsid w:val="00EB0E9C"/>
    <w:rsid w:val="00EB0F27"/>
    <w:rsid w:val="00EB0FB0"/>
    <w:rsid w:val="00EB12B2"/>
    <w:rsid w:val="00EB1394"/>
    <w:rsid w:val="00EB1A13"/>
    <w:rsid w:val="00EB1AEC"/>
    <w:rsid w:val="00EB1FFC"/>
    <w:rsid w:val="00EB2134"/>
    <w:rsid w:val="00EB25E5"/>
    <w:rsid w:val="00EB27C8"/>
    <w:rsid w:val="00EB3388"/>
    <w:rsid w:val="00EB358F"/>
    <w:rsid w:val="00EB3A00"/>
    <w:rsid w:val="00EB3CB8"/>
    <w:rsid w:val="00EB3F0A"/>
    <w:rsid w:val="00EB4708"/>
    <w:rsid w:val="00EB4A53"/>
    <w:rsid w:val="00EB4AC1"/>
    <w:rsid w:val="00EB51E3"/>
    <w:rsid w:val="00EB5406"/>
    <w:rsid w:val="00EB5772"/>
    <w:rsid w:val="00EB579C"/>
    <w:rsid w:val="00EB57C2"/>
    <w:rsid w:val="00EB58CB"/>
    <w:rsid w:val="00EB5D6A"/>
    <w:rsid w:val="00EB5FB8"/>
    <w:rsid w:val="00EB6165"/>
    <w:rsid w:val="00EB6474"/>
    <w:rsid w:val="00EB687B"/>
    <w:rsid w:val="00EB6D63"/>
    <w:rsid w:val="00EB6FF2"/>
    <w:rsid w:val="00EB740B"/>
    <w:rsid w:val="00EB751F"/>
    <w:rsid w:val="00EB75C6"/>
    <w:rsid w:val="00EB786A"/>
    <w:rsid w:val="00EB78E8"/>
    <w:rsid w:val="00EB79C8"/>
    <w:rsid w:val="00EB7B6F"/>
    <w:rsid w:val="00EB7EB3"/>
    <w:rsid w:val="00EB7EE4"/>
    <w:rsid w:val="00EC0483"/>
    <w:rsid w:val="00EC0581"/>
    <w:rsid w:val="00EC08DB"/>
    <w:rsid w:val="00EC0915"/>
    <w:rsid w:val="00EC09E9"/>
    <w:rsid w:val="00EC0D31"/>
    <w:rsid w:val="00EC1242"/>
    <w:rsid w:val="00EC131F"/>
    <w:rsid w:val="00EC1743"/>
    <w:rsid w:val="00EC1830"/>
    <w:rsid w:val="00EC1919"/>
    <w:rsid w:val="00EC222B"/>
    <w:rsid w:val="00EC2632"/>
    <w:rsid w:val="00EC27D8"/>
    <w:rsid w:val="00EC27DC"/>
    <w:rsid w:val="00EC2B62"/>
    <w:rsid w:val="00EC33A5"/>
    <w:rsid w:val="00EC355D"/>
    <w:rsid w:val="00EC3A38"/>
    <w:rsid w:val="00EC3EE7"/>
    <w:rsid w:val="00EC3F55"/>
    <w:rsid w:val="00EC3F8D"/>
    <w:rsid w:val="00EC44CA"/>
    <w:rsid w:val="00EC4F2D"/>
    <w:rsid w:val="00EC510A"/>
    <w:rsid w:val="00EC5269"/>
    <w:rsid w:val="00EC578D"/>
    <w:rsid w:val="00EC5A8E"/>
    <w:rsid w:val="00EC5D8C"/>
    <w:rsid w:val="00EC629F"/>
    <w:rsid w:val="00EC6C23"/>
    <w:rsid w:val="00EC6C4E"/>
    <w:rsid w:val="00EC6E26"/>
    <w:rsid w:val="00EC6EA4"/>
    <w:rsid w:val="00EC6FA4"/>
    <w:rsid w:val="00EC710E"/>
    <w:rsid w:val="00EC7887"/>
    <w:rsid w:val="00EC789E"/>
    <w:rsid w:val="00EC79D1"/>
    <w:rsid w:val="00EC7B59"/>
    <w:rsid w:val="00EC7C1F"/>
    <w:rsid w:val="00EC7CC2"/>
    <w:rsid w:val="00EC7E15"/>
    <w:rsid w:val="00ED0125"/>
    <w:rsid w:val="00ED01F8"/>
    <w:rsid w:val="00ED0A13"/>
    <w:rsid w:val="00ED0A46"/>
    <w:rsid w:val="00ED0B54"/>
    <w:rsid w:val="00ED0B77"/>
    <w:rsid w:val="00ED0CDD"/>
    <w:rsid w:val="00ED0D44"/>
    <w:rsid w:val="00ED0E8A"/>
    <w:rsid w:val="00ED0EB9"/>
    <w:rsid w:val="00ED0EE3"/>
    <w:rsid w:val="00ED102C"/>
    <w:rsid w:val="00ED13C2"/>
    <w:rsid w:val="00ED15CD"/>
    <w:rsid w:val="00ED163A"/>
    <w:rsid w:val="00ED176D"/>
    <w:rsid w:val="00ED18BE"/>
    <w:rsid w:val="00ED196F"/>
    <w:rsid w:val="00ED1DEF"/>
    <w:rsid w:val="00ED220E"/>
    <w:rsid w:val="00ED2269"/>
    <w:rsid w:val="00ED23F0"/>
    <w:rsid w:val="00ED2E59"/>
    <w:rsid w:val="00ED31AB"/>
    <w:rsid w:val="00ED3235"/>
    <w:rsid w:val="00ED3539"/>
    <w:rsid w:val="00ED430A"/>
    <w:rsid w:val="00ED488F"/>
    <w:rsid w:val="00ED49AF"/>
    <w:rsid w:val="00ED5039"/>
    <w:rsid w:val="00ED503C"/>
    <w:rsid w:val="00ED50E0"/>
    <w:rsid w:val="00ED57FB"/>
    <w:rsid w:val="00ED592C"/>
    <w:rsid w:val="00ED5D6B"/>
    <w:rsid w:val="00ED5F06"/>
    <w:rsid w:val="00ED633B"/>
    <w:rsid w:val="00ED646A"/>
    <w:rsid w:val="00ED6CE5"/>
    <w:rsid w:val="00ED74C7"/>
    <w:rsid w:val="00ED77EE"/>
    <w:rsid w:val="00ED7EF0"/>
    <w:rsid w:val="00EE008E"/>
    <w:rsid w:val="00EE00AB"/>
    <w:rsid w:val="00EE03E3"/>
    <w:rsid w:val="00EE063D"/>
    <w:rsid w:val="00EE0826"/>
    <w:rsid w:val="00EE0918"/>
    <w:rsid w:val="00EE0C8D"/>
    <w:rsid w:val="00EE0CD5"/>
    <w:rsid w:val="00EE0D61"/>
    <w:rsid w:val="00EE0FA3"/>
    <w:rsid w:val="00EE115A"/>
    <w:rsid w:val="00EE11E6"/>
    <w:rsid w:val="00EE19CD"/>
    <w:rsid w:val="00EE1A60"/>
    <w:rsid w:val="00EE1B65"/>
    <w:rsid w:val="00EE1D10"/>
    <w:rsid w:val="00EE23CD"/>
    <w:rsid w:val="00EE249A"/>
    <w:rsid w:val="00EE2745"/>
    <w:rsid w:val="00EE28B9"/>
    <w:rsid w:val="00EE2D1E"/>
    <w:rsid w:val="00EE30F1"/>
    <w:rsid w:val="00EE33B8"/>
    <w:rsid w:val="00EE3865"/>
    <w:rsid w:val="00EE3C5F"/>
    <w:rsid w:val="00EE3E15"/>
    <w:rsid w:val="00EE3F49"/>
    <w:rsid w:val="00EE3F7C"/>
    <w:rsid w:val="00EE42DA"/>
    <w:rsid w:val="00EE42F7"/>
    <w:rsid w:val="00EE4834"/>
    <w:rsid w:val="00EE4884"/>
    <w:rsid w:val="00EE49F7"/>
    <w:rsid w:val="00EE4BAC"/>
    <w:rsid w:val="00EE4CAD"/>
    <w:rsid w:val="00EE4E72"/>
    <w:rsid w:val="00EE50A8"/>
    <w:rsid w:val="00EE52FE"/>
    <w:rsid w:val="00EE5432"/>
    <w:rsid w:val="00EE557E"/>
    <w:rsid w:val="00EE5E7D"/>
    <w:rsid w:val="00EE611E"/>
    <w:rsid w:val="00EE61BD"/>
    <w:rsid w:val="00EE6542"/>
    <w:rsid w:val="00EE68C6"/>
    <w:rsid w:val="00EE69EB"/>
    <w:rsid w:val="00EE6AB1"/>
    <w:rsid w:val="00EE7291"/>
    <w:rsid w:val="00EE742F"/>
    <w:rsid w:val="00EE79C9"/>
    <w:rsid w:val="00EE7C2F"/>
    <w:rsid w:val="00EE7CEA"/>
    <w:rsid w:val="00EF0897"/>
    <w:rsid w:val="00EF0E12"/>
    <w:rsid w:val="00EF0FAA"/>
    <w:rsid w:val="00EF1577"/>
    <w:rsid w:val="00EF18CC"/>
    <w:rsid w:val="00EF1BB0"/>
    <w:rsid w:val="00EF206E"/>
    <w:rsid w:val="00EF214B"/>
    <w:rsid w:val="00EF2168"/>
    <w:rsid w:val="00EF2199"/>
    <w:rsid w:val="00EF22AD"/>
    <w:rsid w:val="00EF2750"/>
    <w:rsid w:val="00EF284F"/>
    <w:rsid w:val="00EF29B7"/>
    <w:rsid w:val="00EF2CAD"/>
    <w:rsid w:val="00EF2DEA"/>
    <w:rsid w:val="00EF30A7"/>
    <w:rsid w:val="00EF334D"/>
    <w:rsid w:val="00EF3529"/>
    <w:rsid w:val="00EF357A"/>
    <w:rsid w:val="00EF39DA"/>
    <w:rsid w:val="00EF3C55"/>
    <w:rsid w:val="00EF3FB2"/>
    <w:rsid w:val="00EF4259"/>
    <w:rsid w:val="00EF4525"/>
    <w:rsid w:val="00EF46C9"/>
    <w:rsid w:val="00EF4FF1"/>
    <w:rsid w:val="00EF5714"/>
    <w:rsid w:val="00EF58BA"/>
    <w:rsid w:val="00EF5C82"/>
    <w:rsid w:val="00EF5D17"/>
    <w:rsid w:val="00EF5DD7"/>
    <w:rsid w:val="00EF5F86"/>
    <w:rsid w:val="00EF5F8D"/>
    <w:rsid w:val="00EF635E"/>
    <w:rsid w:val="00EF6432"/>
    <w:rsid w:val="00EF67DA"/>
    <w:rsid w:val="00EF6AD2"/>
    <w:rsid w:val="00EF6B48"/>
    <w:rsid w:val="00EF6B49"/>
    <w:rsid w:val="00EF6C54"/>
    <w:rsid w:val="00EF6E86"/>
    <w:rsid w:val="00EF72F7"/>
    <w:rsid w:val="00EF79EE"/>
    <w:rsid w:val="00EF7C10"/>
    <w:rsid w:val="00EF7FFD"/>
    <w:rsid w:val="00F0000F"/>
    <w:rsid w:val="00F0005D"/>
    <w:rsid w:val="00F00063"/>
    <w:rsid w:val="00F00A59"/>
    <w:rsid w:val="00F00AF7"/>
    <w:rsid w:val="00F00D1C"/>
    <w:rsid w:val="00F01051"/>
    <w:rsid w:val="00F01058"/>
    <w:rsid w:val="00F01066"/>
    <w:rsid w:val="00F011D4"/>
    <w:rsid w:val="00F012D9"/>
    <w:rsid w:val="00F01390"/>
    <w:rsid w:val="00F017BB"/>
    <w:rsid w:val="00F018D5"/>
    <w:rsid w:val="00F01A9F"/>
    <w:rsid w:val="00F01C65"/>
    <w:rsid w:val="00F01E54"/>
    <w:rsid w:val="00F02084"/>
    <w:rsid w:val="00F0221A"/>
    <w:rsid w:val="00F02548"/>
    <w:rsid w:val="00F026E7"/>
    <w:rsid w:val="00F028D5"/>
    <w:rsid w:val="00F02DB7"/>
    <w:rsid w:val="00F0322B"/>
    <w:rsid w:val="00F033E6"/>
    <w:rsid w:val="00F03433"/>
    <w:rsid w:val="00F0353B"/>
    <w:rsid w:val="00F03559"/>
    <w:rsid w:val="00F03E84"/>
    <w:rsid w:val="00F041AD"/>
    <w:rsid w:val="00F0426D"/>
    <w:rsid w:val="00F0488A"/>
    <w:rsid w:val="00F04A1E"/>
    <w:rsid w:val="00F04B01"/>
    <w:rsid w:val="00F04F4F"/>
    <w:rsid w:val="00F0506E"/>
    <w:rsid w:val="00F05B57"/>
    <w:rsid w:val="00F05E5A"/>
    <w:rsid w:val="00F05F9A"/>
    <w:rsid w:val="00F06243"/>
    <w:rsid w:val="00F06394"/>
    <w:rsid w:val="00F06416"/>
    <w:rsid w:val="00F06902"/>
    <w:rsid w:val="00F06EB6"/>
    <w:rsid w:val="00F06F83"/>
    <w:rsid w:val="00F0711E"/>
    <w:rsid w:val="00F0716F"/>
    <w:rsid w:val="00F073C6"/>
    <w:rsid w:val="00F07576"/>
    <w:rsid w:val="00F07584"/>
    <w:rsid w:val="00F07648"/>
    <w:rsid w:val="00F07694"/>
    <w:rsid w:val="00F0769E"/>
    <w:rsid w:val="00F07726"/>
    <w:rsid w:val="00F077D9"/>
    <w:rsid w:val="00F0787E"/>
    <w:rsid w:val="00F07967"/>
    <w:rsid w:val="00F07A1C"/>
    <w:rsid w:val="00F07BDD"/>
    <w:rsid w:val="00F102F6"/>
    <w:rsid w:val="00F1052F"/>
    <w:rsid w:val="00F10658"/>
    <w:rsid w:val="00F1072A"/>
    <w:rsid w:val="00F1076C"/>
    <w:rsid w:val="00F107A0"/>
    <w:rsid w:val="00F10C82"/>
    <w:rsid w:val="00F11031"/>
    <w:rsid w:val="00F11769"/>
    <w:rsid w:val="00F11894"/>
    <w:rsid w:val="00F120A9"/>
    <w:rsid w:val="00F12126"/>
    <w:rsid w:val="00F122A5"/>
    <w:rsid w:val="00F12D19"/>
    <w:rsid w:val="00F12EA1"/>
    <w:rsid w:val="00F13726"/>
    <w:rsid w:val="00F1376C"/>
    <w:rsid w:val="00F137CB"/>
    <w:rsid w:val="00F13827"/>
    <w:rsid w:val="00F13AE5"/>
    <w:rsid w:val="00F13AF5"/>
    <w:rsid w:val="00F13AF9"/>
    <w:rsid w:val="00F13FAB"/>
    <w:rsid w:val="00F1412A"/>
    <w:rsid w:val="00F14240"/>
    <w:rsid w:val="00F1479A"/>
    <w:rsid w:val="00F14A71"/>
    <w:rsid w:val="00F14BAE"/>
    <w:rsid w:val="00F14CD0"/>
    <w:rsid w:val="00F1507A"/>
    <w:rsid w:val="00F15458"/>
    <w:rsid w:val="00F1546C"/>
    <w:rsid w:val="00F15596"/>
    <w:rsid w:val="00F15649"/>
    <w:rsid w:val="00F1585D"/>
    <w:rsid w:val="00F1588F"/>
    <w:rsid w:val="00F15B8E"/>
    <w:rsid w:val="00F15BB8"/>
    <w:rsid w:val="00F15CF5"/>
    <w:rsid w:val="00F15FD8"/>
    <w:rsid w:val="00F160F1"/>
    <w:rsid w:val="00F16AF4"/>
    <w:rsid w:val="00F16DDB"/>
    <w:rsid w:val="00F16E24"/>
    <w:rsid w:val="00F171EE"/>
    <w:rsid w:val="00F173B8"/>
    <w:rsid w:val="00F1787D"/>
    <w:rsid w:val="00F1796E"/>
    <w:rsid w:val="00F17986"/>
    <w:rsid w:val="00F179AD"/>
    <w:rsid w:val="00F17F1A"/>
    <w:rsid w:val="00F17FD7"/>
    <w:rsid w:val="00F17FF1"/>
    <w:rsid w:val="00F204C6"/>
    <w:rsid w:val="00F205F5"/>
    <w:rsid w:val="00F208C8"/>
    <w:rsid w:val="00F21682"/>
    <w:rsid w:val="00F21C93"/>
    <w:rsid w:val="00F21D2F"/>
    <w:rsid w:val="00F223CC"/>
    <w:rsid w:val="00F224E3"/>
    <w:rsid w:val="00F226B6"/>
    <w:rsid w:val="00F226C9"/>
    <w:rsid w:val="00F227B7"/>
    <w:rsid w:val="00F22AE8"/>
    <w:rsid w:val="00F22DB7"/>
    <w:rsid w:val="00F22F7B"/>
    <w:rsid w:val="00F231B8"/>
    <w:rsid w:val="00F23382"/>
    <w:rsid w:val="00F234A7"/>
    <w:rsid w:val="00F23762"/>
    <w:rsid w:val="00F238D0"/>
    <w:rsid w:val="00F23F6A"/>
    <w:rsid w:val="00F240E2"/>
    <w:rsid w:val="00F240EF"/>
    <w:rsid w:val="00F2410F"/>
    <w:rsid w:val="00F24876"/>
    <w:rsid w:val="00F24A29"/>
    <w:rsid w:val="00F24D5F"/>
    <w:rsid w:val="00F2505B"/>
    <w:rsid w:val="00F252A4"/>
    <w:rsid w:val="00F25983"/>
    <w:rsid w:val="00F25A0A"/>
    <w:rsid w:val="00F25DDC"/>
    <w:rsid w:val="00F2600A"/>
    <w:rsid w:val="00F26115"/>
    <w:rsid w:val="00F2611E"/>
    <w:rsid w:val="00F26165"/>
    <w:rsid w:val="00F26439"/>
    <w:rsid w:val="00F268F1"/>
    <w:rsid w:val="00F26EF6"/>
    <w:rsid w:val="00F26F21"/>
    <w:rsid w:val="00F27307"/>
    <w:rsid w:val="00F273FD"/>
    <w:rsid w:val="00F27992"/>
    <w:rsid w:val="00F27BC1"/>
    <w:rsid w:val="00F30126"/>
    <w:rsid w:val="00F30343"/>
    <w:rsid w:val="00F308E7"/>
    <w:rsid w:val="00F30A6E"/>
    <w:rsid w:val="00F30B86"/>
    <w:rsid w:val="00F30EC3"/>
    <w:rsid w:val="00F3134D"/>
    <w:rsid w:val="00F3157E"/>
    <w:rsid w:val="00F317C2"/>
    <w:rsid w:val="00F31853"/>
    <w:rsid w:val="00F319CE"/>
    <w:rsid w:val="00F31DE4"/>
    <w:rsid w:val="00F31E91"/>
    <w:rsid w:val="00F32048"/>
    <w:rsid w:val="00F321FF"/>
    <w:rsid w:val="00F32287"/>
    <w:rsid w:val="00F32329"/>
    <w:rsid w:val="00F32404"/>
    <w:rsid w:val="00F3270E"/>
    <w:rsid w:val="00F32C64"/>
    <w:rsid w:val="00F3325F"/>
    <w:rsid w:val="00F334C1"/>
    <w:rsid w:val="00F33559"/>
    <w:rsid w:val="00F33830"/>
    <w:rsid w:val="00F3385A"/>
    <w:rsid w:val="00F33B68"/>
    <w:rsid w:val="00F33C1D"/>
    <w:rsid w:val="00F33FB2"/>
    <w:rsid w:val="00F3402E"/>
    <w:rsid w:val="00F343CC"/>
    <w:rsid w:val="00F3442B"/>
    <w:rsid w:val="00F34A20"/>
    <w:rsid w:val="00F34D91"/>
    <w:rsid w:val="00F34E60"/>
    <w:rsid w:val="00F35039"/>
    <w:rsid w:val="00F35A36"/>
    <w:rsid w:val="00F36054"/>
    <w:rsid w:val="00F36A09"/>
    <w:rsid w:val="00F36B25"/>
    <w:rsid w:val="00F36C60"/>
    <w:rsid w:val="00F36CF1"/>
    <w:rsid w:val="00F36E4A"/>
    <w:rsid w:val="00F37050"/>
    <w:rsid w:val="00F370F5"/>
    <w:rsid w:val="00F371B4"/>
    <w:rsid w:val="00F37378"/>
    <w:rsid w:val="00F375E4"/>
    <w:rsid w:val="00F3760F"/>
    <w:rsid w:val="00F378C8"/>
    <w:rsid w:val="00F37E18"/>
    <w:rsid w:val="00F40002"/>
    <w:rsid w:val="00F40462"/>
    <w:rsid w:val="00F4068D"/>
    <w:rsid w:val="00F407DF"/>
    <w:rsid w:val="00F40948"/>
    <w:rsid w:val="00F40B79"/>
    <w:rsid w:val="00F40F57"/>
    <w:rsid w:val="00F40FC2"/>
    <w:rsid w:val="00F41104"/>
    <w:rsid w:val="00F4137D"/>
    <w:rsid w:val="00F415B1"/>
    <w:rsid w:val="00F41D85"/>
    <w:rsid w:val="00F41E73"/>
    <w:rsid w:val="00F42073"/>
    <w:rsid w:val="00F42328"/>
    <w:rsid w:val="00F42588"/>
    <w:rsid w:val="00F42671"/>
    <w:rsid w:val="00F428F4"/>
    <w:rsid w:val="00F42936"/>
    <w:rsid w:val="00F42B40"/>
    <w:rsid w:val="00F42C78"/>
    <w:rsid w:val="00F42D62"/>
    <w:rsid w:val="00F42E35"/>
    <w:rsid w:val="00F438E2"/>
    <w:rsid w:val="00F43AF0"/>
    <w:rsid w:val="00F44573"/>
    <w:rsid w:val="00F449E7"/>
    <w:rsid w:val="00F44B1D"/>
    <w:rsid w:val="00F44BF6"/>
    <w:rsid w:val="00F44F1F"/>
    <w:rsid w:val="00F44FE2"/>
    <w:rsid w:val="00F453BB"/>
    <w:rsid w:val="00F45887"/>
    <w:rsid w:val="00F45C06"/>
    <w:rsid w:val="00F45CB7"/>
    <w:rsid w:val="00F45FFB"/>
    <w:rsid w:val="00F46301"/>
    <w:rsid w:val="00F463CC"/>
    <w:rsid w:val="00F46468"/>
    <w:rsid w:val="00F46985"/>
    <w:rsid w:val="00F46BE8"/>
    <w:rsid w:val="00F46E90"/>
    <w:rsid w:val="00F471D6"/>
    <w:rsid w:val="00F47D54"/>
    <w:rsid w:val="00F47F93"/>
    <w:rsid w:val="00F50302"/>
    <w:rsid w:val="00F50C39"/>
    <w:rsid w:val="00F50CB0"/>
    <w:rsid w:val="00F50D25"/>
    <w:rsid w:val="00F5131D"/>
    <w:rsid w:val="00F51771"/>
    <w:rsid w:val="00F51C3E"/>
    <w:rsid w:val="00F51FBD"/>
    <w:rsid w:val="00F51FE9"/>
    <w:rsid w:val="00F521DD"/>
    <w:rsid w:val="00F5227B"/>
    <w:rsid w:val="00F52663"/>
    <w:rsid w:val="00F526B6"/>
    <w:rsid w:val="00F52BB1"/>
    <w:rsid w:val="00F52FCD"/>
    <w:rsid w:val="00F531D6"/>
    <w:rsid w:val="00F5326F"/>
    <w:rsid w:val="00F5343B"/>
    <w:rsid w:val="00F53A6C"/>
    <w:rsid w:val="00F53D16"/>
    <w:rsid w:val="00F53E01"/>
    <w:rsid w:val="00F53E56"/>
    <w:rsid w:val="00F541AD"/>
    <w:rsid w:val="00F543AD"/>
    <w:rsid w:val="00F5440A"/>
    <w:rsid w:val="00F54416"/>
    <w:rsid w:val="00F54657"/>
    <w:rsid w:val="00F5526A"/>
    <w:rsid w:val="00F553B6"/>
    <w:rsid w:val="00F553D8"/>
    <w:rsid w:val="00F55662"/>
    <w:rsid w:val="00F556D8"/>
    <w:rsid w:val="00F55C1D"/>
    <w:rsid w:val="00F55C54"/>
    <w:rsid w:val="00F56092"/>
    <w:rsid w:val="00F5655B"/>
    <w:rsid w:val="00F5663B"/>
    <w:rsid w:val="00F56653"/>
    <w:rsid w:val="00F566FC"/>
    <w:rsid w:val="00F569ED"/>
    <w:rsid w:val="00F56A1D"/>
    <w:rsid w:val="00F56DC0"/>
    <w:rsid w:val="00F570C7"/>
    <w:rsid w:val="00F578F1"/>
    <w:rsid w:val="00F57A2D"/>
    <w:rsid w:val="00F6024C"/>
    <w:rsid w:val="00F602BD"/>
    <w:rsid w:val="00F6033E"/>
    <w:rsid w:val="00F60452"/>
    <w:rsid w:val="00F60530"/>
    <w:rsid w:val="00F60864"/>
    <w:rsid w:val="00F608F9"/>
    <w:rsid w:val="00F60A80"/>
    <w:rsid w:val="00F60ADA"/>
    <w:rsid w:val="00F60AF9"/>
    <w:rsid w:val="00F60CD2"/>
    <w:rsid w:val="00F60CF6"/>
    <w:rsid w:val="00F612C8"/>
    <w:rsid w:val="00F6187D"/>
    <w:rsid w:val="00F61B16"/>
    <w:rsid w:val="00F61B37"/>
    <w:rsid w:val="00F61DE6"/>
    <w:rsid w:val="00F61FA7"/>
    <w:rsid w:val="00F6210C"/>
    <w:rsid w:val="00F625F5"/>
    <w:rsid w:val="00F62A85"/>
    <w:rsid w:val="00F62CAF"/>
    <w:rsid w:val="00F62D1A"/>
    <w:rsid w:val="00F62E1B"/>
    <w:rsid w:val="00F6302E"/>
    <w:rsid w:val="00F630FA"/>
    <w:rsid w:val="00F634DC"/>
    <w:rsid w:val="00F635D2"/>
    <w:rsid w:val="00F63960"/>
    <w:rsid w:val="00F63F7A"/>
    <w:rsid w:val="00F6400B"/>
    <w:rsid w:val="00F643FC"/>
    <w:rsid w:val="00F644D6"/>
    <w:rsid w:val="00F6484F"/>
    <w:rsid w:val="00F64B6C"/>
    <w:rsid w:val="00F64BB2"/>
    <w:rsid w:val="00F64E5E"/>
    <w:rsid w:val="00F64ECE"/>
    <w:rsid w:val="00F64F19"/>
    <w:rsid w:val="00F64F93"/>
    <w:rsid w:val="00F650C3"/>
    <w:rsid w:val="00F654F6"/>
    <w:rsid w:val="00F657D1"/>
    <w:rsid w:val="00F65805"/>
    <w:rsid w:val="00F65ABE"/>
    <w:rsid w:val="00F65D36"/>
    <w:rsid w:val="00F665B4"/>
    <w:rsid w:val="00F665DE"/>
    <w:rsid w:val="00F66FE7"/>
    <w:rsid w:val="00F670D3"/>
    <w:rsid w:val="00F6711B"/>
    <w:rsid w:val="00F67662"/>
    <w:rsid w:val="00F6769C"/>
    <w:rsid w:val="00F67A7D"/>
    <w:rsid w:val="00F67BF5"/>
    <w:rsid w:val="00F69C0D"/>
    <w:rsid w:val="00F7000C"/>
    <w:rsid w:val="00F70462"/>
    <w:rsid w:val="00F7050A"/>
    <w:rsid w:val="00F7062C"/>
    <w:rsid w:val="00F70682"/>
    <w:rsid w:val="00F70943"/>
    <w:rsid w:val="00F70A97"/>
    <w:rsid w:val="00F70AB8"/>
    <w:rsid w:val="00F70AE9"/>
    <w:rsid w:val="00F70C4C"/>
    <w:rsid w:val="00F71008"/>
    <w:rsid w:val="00F71087"/>
    <w:rsid w:val="00F7111F"/>
    <w:rsid w:val="00F712E5"/>
    <w:rsid w:val="00F715F3"/>
    <w:rsid w:val="00F71B2B"/>
    <w:rsid w:val="00F7224A"/>
    <w:rsid w:val="00F72487"/>
    <w:rsid w:val="00F7277E"/>
    <w:rsid w:val="00F72796"/>
    <w:rsid w:val="00F72C61"/>
    <w:rsid w:val="00F72C98"/>
    <w:rsid w:val="00F731C0"/>
    <w:rsid w:val="00F73200"/>
    <w:rsid w:val="00F733B5"/>
    <w:rsid w:val="00F735A4"/>
    <w:rsid w:val="00F737AF"/>
    <w:rsid w:val="00F73916"/>
    <w:rsid w:val="00F742CA"/>
    <w:rsid w:val="00F7490F"/>
    <w:rsid w:val="00F74919"/>
    <w:rsid w:val="00F753A3"/>
    <w:rsid w:val="00F755A2"/>
    <w:rsid w:val="00F75823"/>
    <w:rsid w:val="00F75CB4"/>
    <w:rsid w:val="00F761CD"/>
    <w:rsid w:val="00F76725"/>
    <w:rsid w:val="00F767AF"/>
    <w:rsid w:val="00F76939"/>
    <w:rsid w:val="00F76B36"/>
    <w:rsid w:val="00F76C57"/>
    <w:rsid w:val="00F76D10"/>
    <w:rsid w:val="00F77689"/>
    <w:rsid w:val="00F77769"/>
    <w:rsid w:val="00F77850"/>
    <w:rsid w:val="00F778FB"/>
    <w:rsid w:val="00F77DC4"/>
    <w:rsid w:val="00F77F30"/>
    <w:rsid w:val="00F8015A"/>
    <w:rsid w:val="00F80192"/>
    <w:rsid w:val="00F8030A"/>
    <w:rsid w:val="00F8069E"/>
    <w:rsid w:val="00F807B5"/>
    <w:rsid w:val="00F8081C"/>
    <w:rsid w:val="00F809A1"/>
    <w:rsid w:val="00F80D92"/>
    <w:rsid w:val="00F81330"/>
    <w:rsid w:val="00F818A9"/>
    <w:rsid w:val="00F81978"/>
    <w:rsid w:val="00F819D4"/>
    <w:rsid w:val="00F81BE2"/>
    <w:rsid w:val="00F81F1A"/>
    <w:rsid w:val="00F82278"/>
    <w:rsid w:val="00F82322"/>
    <w:rsid w:val="00F82475"/>
    <w:rsid w:val="00F82B62"/>
    <w:rsid w:val="00F8313D"/>
    <w:rsid w:val="00F8349D"/>
    <w:rsid w:val="00F835E2"/>
    <w:rsid w:val="00F835F4"/>
    <w:rsid w:val="00F83A01"/>
    <w:rsid w:val="00F83BCD"/>
    <w:rsid w:val="00F83BF5"/>
    <w:rsid w:val="00F83E8A"/>
    <w:rsid w:val="00F842B9"/>
    <w:rsid w:val="00F842F3"/>
    <w:rsid w:val="00F845CB"/>
    <w:rsid w:val="00F84774"/>
    <w:rsid w:val="00F84A29"/>
    <w:rsid w:val="00F84B8E"/>
    <w:rsid w:val="00F84F26"/>
    <w:rsid w:val="00F84F89"/>
    <w:rsid w:val="00F85160"/>
    <w:rsid w:val="00F852CB"/>
    <w:rsid w:val="00F853A8"/>
    <w:rsid w:val="00F85632"/>
    <w:rsid w:val="00F859A0"/>
    <w:rsid w:val="00F85BFD"/>
    <w:rsid w:val="00F85C53"/>
    <w:rsid w:val="00F85D9F"/>
    <w:rsid w:val="00F86052"/>
    <w:rsid w:val="00F8607B"/>
    <w:rsid w:val="00F865EB"/>
    <w:rsid w:val="00F86729"/>
    <w:rsid w:val="00F86A2A"/>
    <w:rsid w:val="00F86ADA"/>
    <w:rsid w:val="00F86AE2"/>
    <w:rsid w:val="00F86CFE"/>
    <w:rsid w:val="00F87352"/>
    <w:rsid w:val="00F87394"/>
    <w:rsid w:val="00F875E4"/>
    <w:rsid w:val="00F87805"/>
    <w:rsid w:val="00F87A85"/>
    <w:rsid w:val="00F87D68"/>
    <w:rsid w:val="00F87EBB"/>
    <w:rsid w:val="00F87F2F"/>
    <w:rsid w:val="00F9031C"/>
    <w:rsid w:val="00F904A5"/>
    <w:rsid w:val="00F9073E"/>
    <w:rsid w:val="00F90933"/>
    <w:rsid w:val="00F90E1E"/>
    <w:rsid w:val="00F90F35"/>
    <w:rsid w:val="00F91207"/>
    <w:rsid w:val="00F913C1"/>
    <w:rsid w:val="00F91475"/>
    <w:rsid w:val="00F91A3C"/>
    <w:rsid w:val="00F91C4E"/>
    <w:rsid w:val="00F91D17"/>
    <w:rsid w:val="00F92034"/>
    <w:rsid w:val="00F922BD"/>
    <w:rsid w:val="00F922E8"/>
    <w:rsid w:val="00F9246D"/>
    <w:rsid w:val="00F92661"/>
    <w:rsid w:val="00F92DE1"/>
    <w:rsid w:val="00F9393E"/>
    <w:rsid w:val="00F93B20"/>
    <w:rsid w:val="00F93F84"/>
    <w:rsid w:val="00F93FC5"/>
    <w:rsid w:val="00F94299"/>
    <w:rsid w:val="00F94461"/>
    <w:rsid w:val="00F944D7"/>
    <w:rsid w:val="00F947F5"/>
    <w:rsid w:val="00F9483F"/>
    <w:rsid w:val="00F9488D"/>
    <w:rsid w:val="00F94E7A"/>
    <w:rsid w:val="00F952FF"/>
    <w:rsid w:val="00F954F7"/>
    <w:rsid w:val="00F957ED"/>
    <w:rsid w:val="00F95FCD"/>
    <w:rsid w:val="00F960C8"/>
    <w:rsid w:val="00F96766"/>
    <w:rsid w:val="00F96B05"/>
    <w:rsid w:val="00F96D90"/>
    <w:rsid w:val="00F96FBC"/>
    <w:rsid w:val="00F9721A"/>
    <w:rsid w:val="00F97C37"/>
    <w:rsid w:val="00FA027F"/>
    <w:rsid w:val="00FA03EC"/>
    <w:rsid w:val="00FA0432"/>
    <w:rsid w:val="00FA0437"/>
    <w:rsid w:val="00FA0494"/>
    <w:rsid w:val="00FA088B"/>
    <w:rsid w:val="00FA08F7"/>
    <w:rsid w:val="00FA0ADC"/>
    <w:rsid w:val="00FA1186"/>
    <w:rsid w:val="00FA16CB"/>
    <w:rsid w:val="00FA1B8A"/>
    <w:rsid w:val="00FA1C4E"/>
    <w:rsid w:val="00FA1CFE"/>
    <w:rsid w:val="00FA2605"/>
    <w:rsid w:val="00FA2907"/>
    <w:rsid w:val="00FA3072"/>
    <w:rsid w:val="00FA342A"/>
    <w:rsid w:val="00FA365B"/>
    <w:rsid w:val="00FA392F"/>
    <w:rsid w:val="00FA3990"/>
    <w:rsid w:val="00FA3A1F"/>
    <w:rsid w:val="00FA3A47"/>
    <w:rsid w:val="00FA3EE5"/>
    <w:rsid w:val="00FA3F57"/>
    <w:rsid w:val="00FA4348"/>
    <w:rsid w:val="00FA4441"/>
    <w:rsid w:val="00FA4727"/>
    <w:rsid w:val="00FA4A94"/>
    <w:rsid w:val="00FA4AC8"/>
    <w:rsid w:val="00FA4B81"/>
    <w:rsid w:val="00FA4C30"/>
    <w:rsid w:val="00FA4DD5"/>
    <w:rsid w:val="00FA5090"/>
    <w:rsid w:val="00FA5171"/>
    <w:rsid w:val="00FA5215"/>
    <w:rsid w:val="00FA528A"/>
    <w:rsid w:val="00FA54B6"/>
    <w:rsid w:val="00FA561C"/>
    <w:rsid w:val="00FA5A84"/>
    <w:rsid w:val="00FA5B02"/>
    <w:rsid w:val="00FA5E6B"/>
    <w:rsid w:val="00FA6084"/>
    <w:rsid w:val="00FA61BE"/>
    <w:rsid w:val="00FA61D3"/>
    <w:rsid w:val="00FA62F2"/>
    <w:rsid w:val="00FA65F4"/>
    <w:rsid w:val="00FA6919"/>
    <w:rsid w:val="00FA6988"/>
    <w:rsid w:val="00FA6A93"/>
    <w:rsid w:val="00FA6BB5"/>
    <w:rsid w:val="00FA7060"/>
    <w:rsid w:val="00FA71F6"/>
    <w:rsid w:val="00FA72A2"/>
    <w:rsid w:val="00FA77CC"/>
    <w:rsid w:val="00FA7A63"/>
    <w:rsid w:val="00FA7CD6"/>
    <w:rsid w:val="00FA7EE5"/>
    <w:rsid w:val="00FB01C2"/>
    <w:rsid w:val="00FB041F"/>
    <w:rsid w:val="00FB06A3"/>
    <w:rsid w:val="00FB0835"/>
    <w:rsid w:val="00FB0A61"/>
    <w:rsid w:val="00FB0A8F"/>
    <w:rsid w:val="00FB0CF1"/>
    <w:rsid w:val="00FB0DF5"/>
    <w:rsid w:val="00FB0FB5"/>
    <w:rsid w:val="00FB100A"/>
    <w:rsid w:val="00FB11D7"/>
    <w:rsid w:val="00FB1454"/>
    <w:rsid w:val="00FB1704"/>
    <w:rsid w:val="00FB17B3"/>
    <w:rsid w:val="00FB18EA"/>
    <w:rsid w:val="00FB27B3"/>
    <w:rsid w:val="00FB2826"/>
    <w:rsid w:val="00FB2962"/>
    <w:rsid w:val="00FB29B8"/>
    <w:rsid w:val="00FB2DC7"/>
    <w:rsid w:val="00FB3040"/>
    <w:rsid w:val="00FB321E"/>
    <w:rsid w:val="00FB32C3"/>
    <w:rsid w:val="00FB339E"/>
    <w:rsid w:val="00FB3845"/>
    <w:rsid w:val="00FB3A00"/>
    <w:rsid w:val="00FB3E65"/>
    <w:rsid w:val="00FB43AB"/>
    <w:rsid w:val="00FB43CA"/>
    <w:rsid w:val="00FB47D6"/>
    <w:rsid w:val="00FB48D4"/>
    <w:rsid w:val="00FB4ADD"/>
    <w:rsid w:val="00FB5317"/>
    <w:rsid w:val="00FB57C9"/>
    <w:rsid w:val="00FB5AE5"/>
    <w:rsid w:val="00FB5C3E"/>
    <w:rsid w:val="00FB5D94"/>
    <w:rsid w:val="00FB6063"/>
    <w:rsid w:val="00FB6299"/>
    <w:rsid w:val="00FB65C9"/>
    <w:rsid w:val="00FB6785"/>
    <w:rsid w:val="00FB6931"/>
    <w:rsid w:val="00FB6990"/>
    <w:rsid w:val="00FB6A96"/>
    <w:rsid w:val="00FB6DF9"/>
    <w:rsid w:val="00FB74E7"/>
    <w:rsid w:val="00FB7520"/>
    <w:rsid w:val="00FB764A"/>
    <w:rsid w:val="00FB77AF"/>
    <w:rsid w:val="00FB7B7A"/>
    <w:rsid w:val="00FC0070"/>
    <w:rsid w:val="00FC03E7"/>
    <w:rsid w:val="00FC0871"/>
    <w:rsid w:val="00FC08B2"/>
    <w:rsid w:val="00FC0C49"/>
    <w:rsid w:val="00FC0EAE"/>
    <w:rsid w:val="00FC13CF"/>
    <w:rsid w:val="00FC17CB"/>
    <w:rsid w:val="00FC182D"/>
    <w:rsid w:val="00FC1A49"/>
    <w:rsid w:val="00FC1AED"/>
    <w:rsid w:val="00FC1BBC"/>
    <w:rsid w:val="00FC2012"/>
    <w:rsid w:val="00FC204F"/>
    <w:rsid w:val="00FC207C"/>
    <w:rsid w:val="00FC215C"/>
    <w:rsid w:val="00FC22FD"/>
    <w:rsid w:val="00FC27B2"/>
    <w:rsid w:val="00FC293E"/>
    <w:rsid w:val="00FC2D6A"/>
    <w:rsid w:val="00FC2D89"/>
    <w:rsid w:val="00FC32EA"/>
    <w:rsid w:val="00FC351C"/>
    <w:rsid w:val="00FC35A0"/>
    <w:rsid w:val="00FC3819"/>
    <w:rsid w:val="00FC3A48"/>
    <w:rsid w:val="00FC3AC3"/>
    <w:rsid w:val="00FC3C43"/>
    <w:rsid w:val="00FC3CEC"/>
    <w:rsid w:val="00FC3D78"/>
    <w:rsid w:val="00FC3E66"/>
    <w:rsid w:val="00FC40E7"/>
    <w:rsid w:val="00FC446F"/>
    <w:rsid w:val="00FC4682"/>
    <w:rsid w:val="00FC4AA9"/>
    <w:rsid w:val="00FC4C29"/>
    <w:rsid w:val="00FC4CC3"/>
    <w:rsid w:val="00FC4D4D"/>
    <w:rsid w:val="00FC4E9E"/>
    <w:rsid w:val="00FC52D1"/>
    <w:rsid w:val="00FC5373"/>
    <w:rsid w:val="00FC560A"/>
    <w:rsid w:val="00FC56F2"/>
    <w:rsid w:val="00FC588A"/>
    <w:rsid w:val="00FC59E2"/>
    <w:rsid w:val="00FC5DF9"/>
    <w:rsid w:val="00FC63FB"/>
    <w:rsid w:val="00FC6726"/>
    <w:rsid w:val="00FC6C35"/>
    <w:rsid w:val="00FC6D89"/>
    <w:rsid w:val="00FC6FB7"/>
    <w:rsid w:val="00FC7501"/>
    <w:rsid w:val="00FC76C0"/>
    <w:rsid w:val="00FC76D2"/>
    <w:rsid w:val="00FC79C5"/>
    <w:rsid w:val="00FC7A8F"/>
    <w:rsid w:val="00FD005A"/>
    <w:rsid w:val="00FD0154"/>
    <w:rsid w:val="00FD0314"/>
    <w:rsid w:val="00FD0486"/>
    <w:rsid w:val="00FD06F3"/>
    <w:rsid w:val="00FD0AC2"/>
    <w:rsid w:val="00FD0BAD"/>
    <w:rsid w:val="00FD17C2"/>
    <w:rsid w:val="00FD1EDA"/>
    <w:rsid w:val="00FD1F5D"/>
    <w:rsid w:val="00FD21ED"/>
    <w:rsid w:val="00FD2214"/>
    <w:rsid w:val="00FD22FD"/>
    <w:rsid w:val="00FD2950"/>
    <w:rsid w:val="00FD29C5"/>
    <w:rsid w:val="00FD2C8F"/>
    <w:rsid w:val="00FD3072"/>
    <w:rsid w:val="00FD31A2"/>
    <w:rsid w:val="00FD386A"/>
    <w:rsid w:val="00FD3CB1"/>
    <w:rsid w:val="00FD3D3B"/>
    <w:rsid w:val="00FD3F86"/>
    <w:rsid w:val="00FD4046"/>
    <w:rsid w:val="00FD420F"/>
    <w:rsid w:val="00FD44C9"/>
    <w:rsid w:val="00FD45FA"/>
    <w:rsid w:val="00FD47F8"/>
    <w:rsid w:val="00FD4921"/>
    <w:rsid w:val="00FD4A36"/>
    <w:rsid w:val="00FD4A77"/>
    <w:rsid w:val="00FD52C1"/>
    <w:rsid w:val="00FD52D9"/>
    <w:rsid w:val="00FD5C2C"/>
    <w:rsid w:val="00FD6011"/>
    <w:rsid w:val="00FD6431"/>
    <w:rsid w:val="00FD6525"/>
    <w:rsid w:val="00FD71DB"/>
    <w:rsid w:val="00FD72ED"/>
    <w:rsid w:val="00FD731E"/>
    <w:rsid w:val="00FD75A2"/>
    <w:rsid w:val="00FD7637"/>
    <w:rsid w:val="00FE00BB"/>
    <w:rsid w:val="00FE0151"/>
    <w:rsid w:val="00FE044A"/>
    <w:rsid w:val="00FE04C3"/>
    <w:rsid w:val="00FE064A"/>
    <w:rsid w:val="00FE07DE"/>
    <w:rsid w:val="00FE0E3E"/>
    <w:rsid w:val="00FE1091"/>
    <w:rsid w:val="00FE13C8"/>
    <w:rsid w:val="00FE1489"/>
    <w:rsid w:val="00FE1918"/>
    <w:rsid w:val="00FE19E3"/>
    <w:rsid w:val="00FE1C1D"/>
    <w:rsid w:val="00FE1E77"/>
    <w:rsid w:val="00FE1ED9"/>
    <w:rsid w:val="00FE1F77"/>
    <w:rsid w:val="00FE27DB"/>
    <w:rsid w:val="00FE2C03"/>
    <w:rsid w:val="00FE2C2E"/>
    <w:rsid w:val="00FE344F"/>
    <w:rsid w:val="00FE3556"/>
    <w:rsid w:val="00FE3794"/>
    <w:rsid w:val="00FE43F6"/>
    <w:rsid w:val="00FE45B7"/>
    <w:rsid w:val="00FE462F"/>
    <w:rsid w:val="00FE48FF"/>
    <w:rsid w:val="00FE499E"/>
    <w:rsid w:val="00FE4A4C"/>
    <w:rsid w:val="00FE5171"/>
    <w:rsid w:val="00FE519C"/>
    <w:rsid w:val="00FE57C2"/>
    <w:rsid w:val="00FE5AFE"/>
    <w:rsid w:val="00FE5C27"/>
    <w:rsid w:val="00FE5D95"/>
    <w:rsid w:val="00FE6328"/>
    <w:rsid w:val="00FE64F2"/>
    <w:rsid w:val="00FE6600"/>
    <w:rsid w:val="00FE6726"/>
    <w:rsid w:val="00FE6A6D"/>
    <w:rsid w:val="00FE6DAE"/>
    <w:rsid w:val="00FE6EB7"/>
    <w:rsid w:val="00FE6EBC"/>
    <w:rsid w:val="00FE6F5F"/>
    <w:rsid w:val="00FE7086"/>
    <w:rsid w:val="00FE7430"/>
    <w:rsid w:val="00FE7435"/>
    <w:rsid w:val="00FE76B0"/>
    <w:rsid w:val="00FE7944"/>
    <w:rsid w:val="00FE7B81"/>
    <w:rsid w:val="00FE7C1D"/>
    <w:rsid w:val="00FE7E6C"/>
    <w:rsid w:val="00FF00B0"/>
    <w:rsid w:val="00FF00BE"/>
    <w:rsid w:val="00FF00C8"/>
    <w:rsid w:val="00FF03BB"/>
    <w:rsid w:val="00FF0998"/>
    <w:rsid w:val="00FF0B4F"/>
    <w:rsid w:val="00FF0BAD"/>
    <w:rsid w:val="00FF14EE"/>
    <w:rsid w:val="00FF2027"/>
    <w:rsid w:val="00FF2059"/>
    <w:rsid w:val="00FF219F"/>
    <w:rsid w:val="00FF22DD"/>
    <w:rsid w:val="00FF26E5"/>
    <w:rsid w:val="00FF26F1"/>
    <w:rsid w:val="00FF26FF"/>
    <w:rsid w:val="00FF2986"/>
    <w:rsid w:val="00FF2E4E"/>
    <w:rsid w:val="00FF32A1"/>
    <w:rsid w:val="00FF33C6"/>
    <w:rsid w:val="00FF37CE"/>
    <w:rsid w:val="00FF3BCE"/>
    <w:rsid w:val="00FF3D5C"/>
    <w:rsid w:val="00FF3FFB"/>
    <w:rsid w:val="00FF41BA"/>
    <w:rsid w:val="00FF45AF"/>
    <w:rsid w:val="00FF4602"/>
    <w:rsid w:val="00FF46FE"/>
    <w:rsid w:val="00FF47E6"/>
    <w:rsid w:val="00FF4BCA"/>
    <w:rsid w:val="00FF4E89"/>
    <w:rsid w:val="00FF4EB4"/>
    <w:rsid w:val="00FF4FB9"/>
    <w:rsid w:val="00FF4FF9"/>
    <w:rsid w:val="00FF508A"/>
    <w:rsid w:val="00FF51CA"/>
    <w:rsid w:val="00FF527B"/>
    <w:rsid w:val="00FF53FC"/>
    <w:rsid w:val="00FF54AC"/>
    <w:rsid w:val="00FF5535"/>
    <w:rsid w:val="00FF55E0"/>
    <w:rsid w:val="00FF5F96"/>
    <w:rsid w:val="00FF60E9"/>
    <w:rsid w:val="00FF60EE"/>
    <w:rsid w:val="00FF6224"/>
    <w:rsid w:val="00FF65C3"/>
    <w:rsid w:val="00FF675F"/>
    <w:rsid w:val="00FF6A04"/>
    <w:rsid w:val="00FF6AD3"/>
    <w:rsid w:val="00FF6E21"/>
    <w:rsid w:val="00FF7FDF"/>
    <w:rsid w:val="01047EEA"/>
    <w:rsid w:val="0107EAA8"/>
    <w:rsid w:val="01161F82"/>
    <w:rsid w:val="0116DA20"/>
    <w:rsid w:val="0119D2A0"/>
    <w:rsid w:val="011A8A3E"/>
    <w:rsid w:val="011B874B"/>
    <w:rsid w:val="011DEC26"/>
    <w:rsid w:val="011F0F44"/>
    <w:rsid w:val="011F3325"/>
    <w:rsid w:val="0124AF61"/>
    <w:rsid w:val="012BB7AD"/>
    <w:rsid w:val="012C4B4C"/>
    <w:rsid w:val="012D82C9"/>
    <w:rsid w:val="012F458E"/>
    <w:rsid w:val="01312697"/>
    <w:rsid w:val="01329A49"/>
    <w:rsid w:val="0132B7CA"/>
    <w:rsid w:val="013985FC"/>
    <w:rsid w:val="013AFFFF"/>
    <w:rsid w:val="0147A519"/>
    <w:rsid w:val="014C44E9"/>
    <w:rsid w:val="014C4759"/>
    <w:rsid w:val="014C6084"/>
    <w:rsid w:val="014CFB89"/>
    <w:rsid w:val="01555B0F"/>
    <w:rsid w:val="0158DBCF"/>
    <w:rsid w:val="016695A5"/>
    <w:rsid w:val="0168118C"/>
    <w:rsid w:val="01689922"/>
    <w:rsid w:val="016AAC09"/>
    <w:rsid w:val="016AC62A"/>
    <w:rsid w:val="016D5382"/>
    <w:rsid w:val="017C9068"/>
    <w:rsid w:val="017CCDDB"/>
    <w:rsid w:val="017E780B"/>
    <w:rsid w:val="0180A621"/>
    <w:rsid w:val="018A6F62"/>
    <w:rsid w:val="018A7DE6"/>
    <w:rsid w:val="018C3AF2"/>
    <w:rsid w:val="018FD30A"/>
    <w:rsid w:val="019254AD"/>
    <w:rsid w:val="0195C3AB"/>
    <w:rsid w:val="0196C50E"/>
    <w:rsid w:val="0199095F"/>
    <w:rsid w:val="0199CAED"/>
    <w:rsid w:val="01A018B3"/>
    <w:rsid w:val="01A2361F"/>
    <w:rsid w:val="01A45BA5"/>
    <w:rsid w:val="01A6061F"/>
    <w:rsid w:val="01A7684A"/>
    <w:rsid w:val="01AE6AEE"/>
    <w:rsid w:val="01BAA024"/>
    <w:rsid w:val="01BE4996"/>
    <w:rsid w:val="01CC810D"/>
    <w:rsid w:val="01D5570D"/>
    <w:rsid w:val="01D753E4"/>
    <w:rsid w:val="01D80CAE"/>
    <w:rsid w:val="01D94D7F"/>
    <w:rsid w:val="01DB2E13"/>
    <w:rsid w:val="01E95274"/>
    <w:rsid w:val="01E9B921"/>
    <w:rsid w:val="01F79C1A"/>
    <w:rsid w:val="01FCD6BE"/>
    <w:rsid w:val="0201FFA8"/>
    <w:rsid w:val="020509FB"/>
    <w:rsid w:val="02090A56"/>
    <w:rsid w:val="020B1C28"/>
    <w:rsid w:val="020EA114"/>
    <w:rsid w:val="020F32BF"/>
    <w:rsid w:val="0210561F"/>
    <w:rsid w:val="02115D62"/>
    <w:rsid w:val="021AC317"/>
    <w:rsid w:val="021B4CC4"/>
    <w:rsid w:val="021CED52"/>
    <w:rsid w:val="0228DFEE"/>
    <w:rsid w:val="022962E4"/>
    <w:rsid w:val="022DC969"/>
    <w:rsid w:val="023283CB"/>
    <w:rsid w:val="02334AC5"/>
    <w:rsid w:val="0236E797"/>
    <w:rsid w:val="023A0CEB"/>
    <w:rsid w:val="023B3D86"/>
    <w:rsid w:val="023F578D"/>
    <w:rsid w:val="0244DD12"/>
    <w:rsid w:val="024E7B5F"/>
    <w:rsid w:val="0250077E"/>
    <w:rsid w:val="025532D7"/>
    <w:rsid w:val="02558A1C"/>
    <w:rsid w:val="025C959A"/>
    <w:rsid w:val="025D369B"/>
    <w:rsid w:val="025DEF45"/>
    <w:rsid w:val="025FF3BA"/>
    <w:rsid w:val="02618B3D"/>
    <w:rsid w:val="0261B871"/>
    <w:rsid w:val="0262EA02"/>
    <w:rsid w:val="0267C679"/>
    <w:rsid w:val="0267CA64"/>
    <w:rsid w:val="0269769D"/>
    <w:rsid w:val="0272A921"/>
    <w:rsid w:val="027432BE"/>
    <w:rsid w:val="0274BD68"/>
    <w:rsid w:val="02772381"/>
    <w:rsid w:val="02772611"/>
    <w:rsid w:val="0278F604"/>
    <w:rsid w:val="027BCEA7"/>
    <w:rsid w:val="027DA403"/>
    <w:rsid w:val="027F26EC"/>
    <w:rsid w:val="02825011"/>
    <w:rsid w:val="0288B35F"/>
    <w:rsid w:val="0289B21B"/>
    <w:rsid w:val="028BC241"/>
    <w:rsid w:val="028F3C27"/>
    <w:rsid w:val="029202CF"/>
    <w:rsid w:val="02968107"/>
    <w:rsid w:val="0296A2C6"/>
    <w:rsid w:val="02A586FD"/>
    <w:rsid w:val="02A59E2D"/>
    <w:rsid w:val="02A7075D"/>
    <w:rsid w:val="02A790D9"/>
    <w:rsid w:val="02A8F2E3"/>
    <w:rsid w:val="02A92AE7"/>
    <w:rsid w:val="02BED7D2"/>
    <w:rsid w:val="02C844E5"/>
    <w:rsid w:val="02CB3611"/>
    <w:rsid w:val="02D0379F"/>
    <w:rsid w:val="02D1C9C2"/>
    <w:rsid w:val="02D39091"/>
    <w:rsid w:val="02D9D940"/>
    <w:rsid w:val="02DD73A0"/>
    <w:rsid w:val="02E18E1A"/>
    <w:rsid w:val="02E43B36"/>
    <w:rsid w:val="02EC3FEC"/>
    <w:rsid w:val="02EDE729"/>
    <w:rsid w:val="02EF2E01"/>
    <w:rsid w:val="02F6298C"/>
    <w:rsid w:val="02FB72E9"/>
    <w:rsid w:val="0300410F"/>
    <w:rsid w:val="0300E746"/>
    <w:rsid w:val="03041E22"/>
    <w:rsid w:val="030467A6"/>
    <w:rsid w:val="0304E8F6"/>
    <w:rsid w:val="03067AB8"/>
    <w:rsid w:val="030EEB87"/>
    <w:rsid w:val="031A1F97"/>
    <w:rsid w:val="031E32C8"/>
    <w:rsid w:val="03200115"/>
    <w:rsid w:val="0322D4ED"/>
    <w:rsid w:val="0322E80C"/>
    <w:rsid w:val="0324B104"/>
    <w:rsid w:val="033100A5"/>
    <w:rsid w:val="0332E70A"/>
    <w:rsid w:val="03349B11"/>
    <w:rsid w:val="03360540"/>
    <w:rsid w:val="033AFCC7"/>
    <w:rsid w:val="033FAF24"/>
    <w:rsid w:val="03453815"/>
    <w:rsid w:val="03469389"/>
    <w:rsid w:val="034C223F"/>
    <w:rsid w:val="035058C3"/>
    <w:rsid w:val="03532A89"/>
    <w:rsid w:val="035DD7F0"/>
    <w:rsid w:val="035E42CB"/>
    <w:rsid w:val="0363B79F"/>
    <w:rsid w:val="0364462A"/>
    <w:rsid w:val="036471F8"/>
    <w:rsid w:val="0366AD99"/>
    <w:rsid w:val="03689A0D"/>
    <w:rsid w:val="036BAF86"/>
    <w:rsid w:val="037B665F"/>
    <w:rsid w:val="038031A0"/>
    <w:rsid w:val="038038FA"/>
    <w:rsid w:val="0380F831"/>
    <w:rsid w:val="03832001"/>
    <w:rsid w:val="03834C20"/>
    <w:rsid w:val="038367F5"/>
    <w:rsid w:val="0383D017"/>
    <w:rsid w:val="0386BC34"/>
    <w:rsid w:val="038844D7"/>
    <w:rsid w:val="0389A019"/>
    <w:rsid w:val="039D0A6E"/>
    <w:rsid w:val="039F7321"/>
    <w:rsid w:val="03A0F2D0"/>
    <w:rsid w:val="03A1486C"/>
    <w:rsid w:val="03A773CD"/>
    <w:rsid w:val="03AA9015"/>
    <w:rsid w:val="03AADA81"/>
    <w:rsid w:val="03AAFC0D"/>
    <w:rsid w:val="03B03216"/>
    <w:rsid w:val="03B2B05A"/>
    <w:rsid w:val="03B89F89"/>
    <w:rsid w:val="03BA40A8"/>
    <w:rsid w:val="03BB6B5E"/>
    <w:rsid w:val="03C488A7"/>
    <w:rsid w:val="03C6FC34"/>
    <w:rsid w:val="03D4A984"/>
    <w:rsid w:val="03DBBC3F"/>
    <w:rsid w:val="03DE1F53"/>
    <w:rsid w:val="03DE80E4"/>
    <w:rsid w:val="03E32999"/>
    <w:rsid w:val="03E3A1D9"/>
    <w:rsid w:val="03E81501"/>
    <w:rsid w:val="03EA5EB0"/>
    <w:rsid w:val="03EC4753"/>
    <w:rsid w:val="03ED6448"/>
    <w:rsid w:val="03F4ADA3"/>
    <w:rsid w:val="03F7E0D8"/>
    <w:rsid w:val="03FC99BF"/>
    <w:rsid w:val="0400285D"/>
    <w:rsid w:val="04042A10"/>
    <w:rsid w:val="0404BF5B"/>
    <w:rsid w:val="040808D1"/>
    <w:rsid w:val="040D0CF3"/>
    <w:rsid w:val="04145CC2"/>
    <w:rsid w:val="04161296"/>
    <w:rsid w:val="04225DC7"/>
    <w:rsid w:val="042829B8"/>
    <w:rsid w:val="042DD647"/>
    <w:rsid w:val="042E9C83"/>
    <w:rsid w:val="043C5057"/>
    <w:rsid w:val="0448CBB4"/>
    <w:rsid w:val="044B6FB0"/>
    <w:rsid w:val="044F496A"/>
    <w:rsid w:val="0453DC00"/>
    <w:rsid w:val="045A3E5C"/>
    <w:rsid w:val="045B47F6"/>
    <w:rsid w:val="045FC1FB"/>
    <w:rsid w:val="0461194E"/>
    <w:rsid w:val="04634D5A"/>
    <w:rsid w:val="0465C838"/>
    <w:rsid w:val="0465F7F1"/>
    <w:rsid w:val="0466D924"/>
    <w:rsid w:val="04683009"/>
    <w:rsid w:val="04692690"/>
    <w:rsid w:val="04700A03"/>
    <w:rsid w:val="04701F88"/>
    <w:rsid w:val="047257C5"/>
    <w:rsid w:val="047266EE"/>
    <w:rsid w:val="0474A087"/>
    <w:rsid w:val="0474A8EE"/>
    <w:rsid w:val="04770849"/>
    <w:rsid w:val="047EE336"/>
    <w:rsid w:val="048000A7"/>
    <w:rsid w:val="0481EB85"/>
    <w:rsid w:val="048428C5"/>
    <w:rsid w:val="04880DB7"/>
    <w:rsid w:val="049D95B7"/>
    <w:rsid w:val="049E897E"/>
    <w:rsid w:val="049EEBF1"/>
    <w:rsid w:val="04A60E40"/>
    <w:rsid w:val="04A6F5D7"/>
    <w:rsid w:val="04A9B721"/>
    <w:rsid w:val="04AAF52C"/>
    <w:rsid w:val="04AE1A20"/>
    <w:rsid w:val="04B006C5"/>
    <w:rsid w:val="04B196B0"/>
    <w:rsid w:val="04B55316"/>
    <w:rsid w:val="04BF7278"/>
    <w:rsid w:val="04C274FF"/>
    <w:rsid w:val="04C81132"/>
    <w:rsid w:val="04C965F2"/>
    <w:rsid w:val="04CC4DE4"/>
    <w:rsid w:val="04CE904C"/>
    <w:rsid w:val="04D3C08A"/>
    <w:rsid w:val="04D45CC7"/>
    <w:rsid w:val="04D5AB4C"/>
    <w:rsid w:val="04D5E08B"/>
    <w:rsid w:val="04D6D43E"/>
    <w:rsid w:val="04DA48EF"/>
    <w:rsid w:val="04DBD92F"/>
    <w:rsid w:val="04DCC7B3"/>
    <w:rsid w:val="04DF15AF"/>
    <w:rsid w:val="04DF7390"/>
    <w:rsid w:val="04E0C46C"/>
    <w:rsid w:val="04E69BD6"/>
    <w:rsid w:val="04E70341"/>
    <w:rsid w:val="04E7CBB6"/>
    <w:rsid w:val="04EB177C"/>
    <w:rsid w:val="050BBC0A"/>
    <w:rsid w:val="051F5BE6"/>
    <w:rsid w:val="0520D1B3"/>
    <w:rsid w:val="052F5CA9"/>
    <w:rsid w:val="0532EF91"/>
    <w:rsid w:val="05356C20"/>
    <w:rsid w:val="0535FCED"/>
    <w:rsid w:val="05378A3F"/>
    <w:rsid w:val="0537AFF0"/>
    <w:rsid w:val="053A7B81"/>
    <w:rsid w:val="053B9312"/>
    <w:rsid w:val="0544764B"/>
    <w:rsid w:val="0544E705"/>
    <w:rsid w:val="0546EE78"/>
    <w:rsid w:val="05486D2D"/>
    <w:rsid w:val="054C2F6C"/>
    <w:rsid w:val="054C627C"/>
    <w:rsid w:val="054EBA24"/>
    <w:rsid w:val="054FCF4F"/>
    <w:rsid w:val="0556C478"/>
    <w:rsid w:val="05574F37"/>
    <w:rsid w:val="055D66E6"/>
    <w:rsid w:val="055E7B7F"/>
    <w:rsid w:val="055EA25A"/>
    <w:rsid w:val="055FEC8A"/>
    <w:rsid w:val="0562959F"/>
    <w:rsid w:val="056583E2"/>
    <w:rsid w:val="056D32FF"/>
    <w:rsid w:val="0570C414"/>
    <w:rsid w:val="057313F7"/>
    <w:rsid w:val="0573F30A"/>
    <w:rsid w:val="05742CF4"/>
    <w:rsid w:val="057781BA"/>
    <w:rsid w:val="05825CA2"/>
    <w:rsid w:val="058279FA"/>
    <w:rsid w:val="0582F8B4"/>
    <w:rsid w:val="05846B2C"/>
    <w:rsid w:val="05858924"/>
    <w:rsid w:val="0585DA69"/>
    <w:rsid w:val="058D190D"/>
    <w:rsid w:val="0590E466"/>
    <w:rsid w:val="059179DA"/>
    <w:rsid w:val="0591EF50"/>
    <w:rsid w:val="05960539"/>
    <w:rsid w:val="059647B5"/>
    <w:rsid w:val="05A0573F"/>
    <w:rsid w:val="05A0E97C"/>
    <w:rsid w:val="05A6AF66"/>
    <w:rsid w:val="05AEE07F"/>
    <w:rsid w:val="05B83C04"/>
    <w:rsid w:val="05BA4E80"/>
    <w:rsid w:val="05C0F5D9"/>
    <w:rsid w:val="05C13E21"/>
    <w:rsid w:val="05C27531"/>
    <w:rsid w:val="05C552B6"/>
    <w:rsid w:val="05CA285A"/>
    <w:rsid w:val="05CA8E8C"/>
    <w:rsid w:val="05CB00D8"/>
    <w:rsid w:val="05D1EA62"/>
    <w:rsid w:val="05D95127"/>
    <w:rsid w:val="05DDC258"/>
    <w:rsid w:val="05DFCCFA"/>
    <w:rsid w:val="05E44D6B"/>
    <w:rsid w:val="05E6135A"/>
    <w:rsid w:val="05E73FE2"/>
    <w:rsid w:val="05EA0E28"/>
    <w:rsid w:val="05F8B6B2"/>
    <w:rsid w:val="05FC5A2F"/>
    <w:rsid w:val="05FE0685"/>
    <w:rsid w:val="05FF0B6A"/>
    <w:rsid w:val="060287FF"/>
    <w:rsid w:val="060561D4"/>
    <w:rsid w:val="060B6C9F"/>
    <w:rsid w:val="0622283D"/>
    <w:rsid w:val="0624CC5C"/>
    <w:rsid w:val="06256DF1"/>
    <w:rsid w:val="0628A824"/>
    <w:rsid w:val="062965ED"/>
    <w:rsid w:val="062F8206"/>
    <w:rsid w:val="063CB484"/>
    <w:rsid w:val="063D73E0"/>
    <w:rsid w:val="0641B7DF"/>
    <w:rsid w:val="0644B89A"/>
    <w:rsid w:val="06452990"/>
    <w:rsid w:val="06452BAA"/>
    <w:rsid w:val="06458E09"/>
    <w:rsid w:val="064BC359"/>
    <w:rsid w:val="064E8CEA"/>
    <w:rsid w:val="06509D4B"/>
    <w:rsid w:val="06510786"/>
    <w:rsid w:val="06521F71"/>
    <w:rsid w:val="0654FCB2"/>
    <w:rsid w:val="0659A2A3"/>
    <w:rsid w:val="0659F070"/>
    <w:rsid w:val="065BEC91"/>
    <w:rsid w:val="0660B15C"/>
    <w:rsid w:val="0661CEE4"/>
    <w:rsid w:val="066324BD"/>
    <w:rsid w:val="0666213F"/>
    <w:rsid w:val="06666D10"/>
    <w:rsid w:val="066BB6E2"/>
    <w:rsid w:val="066C0C52"/>
    <w:rsid w:val="0671A169"/>
    <w:rsid w:val="0672F63C"/>
    <w:rsid w:val="06776DD9"/>
    <w:rsid w:val="0679EF63"/>
    <w:rsid w:val="067B43F1"/>
    <w:rsid w:val="067C3AC2"/>
    <w:rsid w:val="067D6141"/>
    <w:rsid w:val="0682B500"/>
    <w:rsid w:val="0684A0F7"/>
    <w:rsid w:val="0689877D"/>
    <w:rsid w:val="068B0A90"/>
    <w:rsid w:val="068C884A"/>
    <w:rsid w:val="068E67C6"/>
    <w:rsid w:val="069270A7"/>
    <w:rsid w:val="0697579E"/>
    <w:rsid w:val="069886D5"/>
    <w:rsid w:val="069BD44C"/>
    <w:rsid w:val="06AB02B4"/>
    <w:rsid w:val="06B6D692"/>
    <w:rsid w:val="06BA8AE2"/>
    <w:rsid w:val="06BAEA39"/>
    <w:rsid w:val="06BBA6FB"/>
    <w:rsid w:val="06BE637C"/>
    <w:rsid w:val="06C28745"/>
    <w:rsid w:val="06C33B60"/>
    <w:rsid w:val="06CC8513"/>
    <w:rsid w:val="06CE64FB"/>
    <w:rsid w:val="06D16203"/>
    <w:rsid w:val="06D5F78B"/>
    <w:rsid w:val="06D6D0FD"/>
    <w:rsid w:val="06D9BCFD"/>
    <w:rsid w:val="06D9E419"/>
    <w:rsid w:val="06E1C4D4"/>
    <w:rsid w:val="06E583B4"/>
    <w:rsid w:val="06E7C2BD"/>
    <w:rsid w:val="06ECB5E7"/>
    <w:rsid w:val="06EE395E"/>
    <w:rsid w:val="06EFE52B"/>
    <w:rsid w:val="06F8763E"/>
    <w:rsid w:val="0702471D"/>
    <w:rsid w:val="0708EE63"/>
    <w:rsid w:val="071214B1"/>
    <w:rsid w:val="0714353D"/>
    <w:rsid w:val="0716154F"/>
    <w:rsid w:val="071911F2"/>
    <w:rsid w:val="07194018"/>
    <w:rsid w:val="071ADD10"/>
    <w:rsid w:val="072062EB"/>
    <w:rsid w:val="07217EE0"/>
    <w:rsid w:val="0722AC37"/>
    <w:rsid w:val="0729EBA6"/>
    <w:rsid w:val="072E3E48"/>
    <w:rsid w:val="072E9E0D"/>
    <w:rsid w:val="0730B579"/>
    <w:rsid w:val="0732A532"/>
    <w:rsid w:val="073AA0F5"/>
    <w:rsid w:val="073EDE76"/>
    <w:rsid w:val="0742C84D"/>
    <w:rsid w:val="0745732F"/>
    <w:rsid w:val="074774B2"/>
    <w:rsid w:val="074848CE"/>
    <w:rsid w:val="0749E403"/>
    <w:rsid w:val="074E1604"/>
    <w:rsid w:val="07501FD5"/>
    <w:rsid w:val="0751259E"/>
    <w:rsid w:val="07533203"/>
    <w:rsid w:val="075958A4"/>
    <w:rsid w:val="07598B2E"/>
    <w:rsid w:val="075A494D"/>
    <w:rsid w:val="075AD177"/>
    <w:rsid w:val="075BD852"/>
    <w:rsid w:val="075BEA4B"/>
    <w:rsid w:val="075EE566"/>
    <w:rsid w:val="076650C6"/>
    <w:rsid w:val="076757E0"/>
    <w:rsid w:val="076A920E"/>
    <w:rsid w:val="076B43DC"/>
    <w:rsid w:val="07774DA8"/>
    <w:rsid w:val="077D5E64"/>
    <w:rsid w:val="077D8900"/>
    <w:rsid w:val="07822B32"/>
    <w:rsid w:val="078A55E3"/>
    <w:rsid w:val="078B7555"/>
    <w:rsid w:val="07939400"/>
    <w:rsid w:val="07957631"/>
    <w:rsid w:val="0796191F"/>
    <w:rsid w:val="07A1D25A"/>
    <w:rsid w:val="07A20991"/>
    <w:rsid w:val="07A78B11"/>
    <w:rsid w:val="07B0C612"/>
    <w:rsid w:val="07B2F45D"/>
    <w:rsid w:val="07B70982"/>
    <w:rsid w:val="07BA3EA0"/>
    <w:rsid w:val="07C3B3AA"/>
    <w:rsid w:val="07C5375A"/>
    <w:rsid w:val="07C9C05E"/>
    <w:rsid w:val="07CC0A8D"/>
    <w:rsid w:val="07D11EB5"/>
    <w:rsid w:val="07D5F991"/>
    <w:rsid w:val="07D778E9"/>
    <w:rsid w:val="07D77DEB"/>
    <w:rsid w:val="07D8069F"/>
    <w:rsid w:val="07DCB459"/>
    <w:rsid w:val="07DECCD1"/>
    <w:rsid w:val="07E25C1B"/>
    <w:rsid w:val="07E2B2F0"/>
    <w:rsid w:val="07E30D2D"/>
    <w:rsid w:val="07EC225F"/>
    <w:rsid w:val="07ED317B"/>
    <w:rsid w:val="07F1F8F0"/>
    <w:rsid w:val="07F26F7F"/>
    <w:rsid w:val="07F34A03"/>
    <w:rsid w:val="07F3D11C"/>
    <w:rsid w:val="07F766C6"/>
    <w:rsid w:val="0803689F"/>
    <w:rsid w:val="08057D1A"/>
    <w:rsid w:val="080624AF"/>
    <w:rsid w:val="080CD97E"/>
    <w:rsid w:val="080D0E55"/>
    <w:rsid w:val="081083DF"/>
    <w:rsid w:val="0815CD02"/>
    <w:rsid w:val="081A9F53"/>
    <w:rsid w:val="081B9497"/>
    <w:rsid w:val="081C2520"/>
    <w:rsid w:val="081FC692"/>
    <w:rsid w:val="0828834A"/>
    <w:rsid w:val="08295955"/>
    <w:rsid w:val="082A1AA1"/>
    <w:rsid w:val="082B9BB8"/>
    <w:rsid w:val="082C06DB"/>
    <w:rsid w:val="083E4EEB"/>
    <w:rsid w:val="08405DC9"/>
    <w:rsid w:val="08424B6C"/>
    <w:rsid w:val="08436E9C"/>
    <w:rsid w:val="0843EB1C"/>
    <w:rsid w:val="0849535C"/>
    <w:rsid w:val="084A0D16"/>
    <w:rsid w:val="084E449E"/>
    <w:rsid w:val="08517382"/>
    <w:rsid w:val="0851AA28"/>
    <w:rsid w:val="0854CDD6"/>
    <w:rsid w:val="0857382C"/>
    <w:rsid w:val="0857B5D2"/>
    <w:rsid w:val="085EA31E"/>
    <w:rsid w:val="08691561"/>
    <w:rsid w:val="086A880F"/>
    <w:rsid w:val="086F414F"/>
    <w:rsid w:val="08757D37"/>
    <w:rsid w:val="0877ECC4"/>
    <w:rsid w:val="0878E299"/>
    <w:rsid w:val="087B8417"/>
    <w:rsid w:val="087E5BB9"/>
    <w:rsid w:val="088033A1"/>
    <w:rsid w:val="088126DE"/>
    <w:rsid w:val="08825E27"/>
    <w:rsid w:val="08845071"/>
    <w:rsid w:val="0885E0B9"/>
    <w:rsid w:val="088899D5"/>
    <w:rsid w:val="0888D49B"/>
    <w:rsid w:val="0894067C"/>
    <w:rsid w:val="08945B2C"/>
    <w:rsid w:val="08961866"/>
    <w:rsid w:val="0897970B"/>
    <w:rsid w:val="0897C929"/>
    <w:rsid w:val="089BB748"/>
    <w:rsid w:val="089E1CB3"/>
    <w:rsid w:val="089F0079"/>
    <w:rsid w:val="08A15909"/>
    <w:rsid w:val="08A6F730"/>
    <w:rsid w:val="08AADD89"/>
    <w:rsid w:val="08B69741"/>
    <w:rsid w:val="08B9793F"/>
    <w:rsid w:val="08BC0A37"/>
    <w:rsid w:val="08BF310F"/>
    <w:rsid w:val="08C52107"/>
    <w:rsid w:val="08C5AFCB"/>
    <w:rsid w:val="08C95AF7"/>
    <w:rsid w:val="08CC76F1"/>
    <w:rsid w:val="08D1A4FE"/>
    <w:rsid w:val="08D1D891"/>
    <w:rsid w:val="08D4C8E1"/>
    <w:rsid w:val="08E2903C"/>
    <w:rsid w:val="08E75D66"/>
    <w:rsid w:val="08E9265B"/>
    <w:rsid w:val="08EBF254"/>
    <w:rsid w:val="08F54C01"/>
    <w:rsid w:val="08F8323B"/>
    <w:rsid w:val="09026EC8"/>
    <w:rsid w:val="0904790F"/>
    <w:rsid w:val="0908009B"/>
    <w:rsid w:val="09089ABC"/>
    <w:rsid w:val="090A9EBC"/>
    <w:rsid w:val="090C17CA"/>
    <w:rsid w:val="090C6042"/>
    <w:rsid w:val="09170A85"/>
    <w:rsid w:val="091D50D7"/>
    <w:rsid w:val="091EC99F"/>
    <w:rsid w:val="091F2DB0"/>
    <w:rsid w:val="0924C919"/>
    <w:rsid w:val="092D9449"/>
    <w:rsid w:val="0932910A"/>
    <w:rsid w:val="09344A80"/>
    <w:rsid w:val="09373940"/>
    <w:rsid w:val="0941D6C9"/>
    <w:rsid w:val="094211A7"/>
    <w:rsid w:val="094B01F4"/>
    <w:rsid w:val="0953742E"/>
    <w:rsid w:val="0954C764"/>
    <w:rsid w:val="09572705"/>
    <w:rsid w:val="09580AFA"/>
    <w:rsid w:val="09587EA8"/>
    <w:rsid w:val="095AE861"/>
    <w:rsid w:val="0969193B"/>
    <w:rsid w:val="0979E883"/>
    <w:rsid w:val="0979E9DA"/>
    <w:rsid w:val="09804C22"/>
    <w:rsid w:val="0980607B"/>
    <w:rsid w:val="0982F0F7"/>
    <w:rsid w:val="09847DF2"/>
    <w:rsid w:val="09863F95"/>
    <w:rsid w:val="098DDBF0"/>
    <w:rsid w:val="098DFD89"/>
    <w:rsid w:val="098F79B8"/>
    <w:rsid w:val="09969992"/>
    <w:rsid w:val="0998FBF0"/>
    <w:rsid w:val="09A35227"/>
    <w:rsid w:val="09A5B438"/>
    <w:rsid w:val="09A65430"/>
    <w:rsid w:val="09A9A1CD"/>
    <w:rsid w:val="09AB0EC2"/>
    <w:rsid w:val="09ABEB3A"/>
    <w:rsid w:val="09AD9901"/>
    <w:rsid w:val="09B028FC"/>
    <w:rsid w:val="09B44CBE"/>
    <w:rsid w:val="09B6B7DC"/>
    <w:rsid w:val="09B7E982"/>
    <w:rsid w:val="09BC87B6"/>
    <w:rsid w:val="09BCCAC9"/>
    <w:rsid w:val="09BE2360"/>
    <w:rsid w:val="09C66815"/>
    <w:rsid w:val="09CDA958"/>
    <w:rsid w:val="09D0F4B3"/>
    <w:rsid w:val="09D1BB65"/>
    <w:rsid w:val="09D8AE0A"/>
    <w:rsid w:val="09DEDCCF"/>
    <w:rsid w:val="09DF244F"/>
    <w:rsid w:val="09DFACAD"/>
    <w:rsid w:val="09E18D90"/>
    <w:rsid w:val="09E1D499"/>
    <w:rsid w:val="09E47159"/>
    <w:rsid w:val="09E8265E"/>
    <w:rsid w:val="09E8BECD"/>
    <w:rsid w:val="09EF30AA"/>
    <w:rsid w:val="0A00E730"/>
    <w:rsid w:val="0A064D3A"/>
    <w:rsid w:val="0A0CA0E9"/>
    <w:rsid w:val="0A1796FB"/>
    <w:rsid w:val="0A1AF869"/>
    <w:rsid w:val="0A1BA05E"/>
    <w:rsid w:val="0A2301C2"/>
    <w:rsid w:val="0A236A98"/>
    <w:rsid w:val="0A248A16"/>
    <w:rsid w:val="0A286313"/>
    <w:rsid w:val="0A347652"/>
    <w:rsid w:val="0A359FCC"/>
    <w:rsid w:val="0A38EF09"/>
    <w:rsid w:val="0A3A88FD"/>
    <w:rsid w:val="0A3AA838"/>
    <w:rsid w:val="0A3BFEF9"/>
    <w:rsid w:val="0A3D55A0"/>
    <w:rsid w:val="0A3DA9D5"/>
    <w:rsid w:val="0A429684"/>
    <w:rsid w:val="0A459602"/>
    <w:rsid w:val="0A481A76"/>
    <w:rsid w:val="0A48735C"/>
    <w:rsid w:val="0A48D2FB"/>
    <w:rsid w:val="0A498C0B"/>
    <w:rsid w:val="0A4F9B86"/>
    <w:rsid w:val="0A594D8C"/>
    <w:rsid w:val="0A5A4E07"/>
    <w:rsid w:val="0A65372E"/>
    <w:rsid w:val="0A680A05"/>
    <w:rsid w:val="0A6AF417"/>
    <w:rsid w:val="0A6D42F9"/>
    <w:rsid w:val="0A705A89"/>
    <w:rsid w:val="0A735463"/>
    <w:rsid w:val="0A761782"/>
    <w:rsid w:val="0A7C7855"/>
    <w:rsid w:val="0A7C8597"/>
    <w:rsid w:val="0A80C81C"/>
    <w:rsid w:val="0A80FB84"/>
    <w:rsid w:val="0A858CE2"/>
    <w:rsid w:val="0A8AEDCB"/>
    <w:rsid w:val="0A8BB6F9"/>
    <w:rsid w:val="0A914EB5"/>
    <w:rsid w:val="0A959716"/>
    <w:rsid w:val="0AA49CC8"/>
    <w:rsid w:val="0AA70F6A"/>
    <w:rsid w:val="0AA748E8"/>
    <w:rsid w:val="0AABF6CB"/>
    <w:rsid w:val="0AADF8A1"/>
    <w:rsid w:val="0AAE72DD"/>
    <w:rsid w:val="0AAF50B9"/>
    <w:rsid w:val="0AB60754"/>
    <w:rsid w:val="0AB705D2"/>
    <w:rsid w:val="0AB7E0AA"/>
    <w:rsid w:val="0AB9DC04"/>
    <w:rsid w:val="0ABD98DE"/>
    <w:rsid w:val="0AD573C9"/>
    <w:rsid w:val="0AD95BC5"/>
    <w:rsid w:val="0AD9E381"/>
    <w:rsid w:val="0AE1858C"/>
    <w:rsid w:val="0AE1FABA"/>
    <w:rsid w:val="0AE23352"/>
    <w:rsid w:val="0AE663B9"/>
    <w:rsid w:val="0AE7E9BE"/>
    <w:rsid w:val="0AEFE31D"/>
    <w:rsid w:val="0AF1A204"/>
    <w:rsid w:val="0AF1CDDB"/>
    <w:rsid w:val="0AF268AC"/>
    <w:rsid w:val="0AF9C462"/>
    <w:rsid w:val="0B00CD8C"/>
    <w:rsid w:val="0B0127BA"/>
    <w:rsid w:val="0B0532D4"/>
    <w:rsid w:val="0B073C78"/>
    <w:rsid w:val="0B077DC8"/>
    <w:rsid w:val="0B0CE1F4"/>
    <w:rsid w:val="0B0FDAB4"/>
    <w:rsid w:val="0B131B5F"/>
    <w:rsid w:val="0B16B30E"/>
    <w:rsid w:val="0B17084F"/>
    <w:rsid w:val="0B1E0AFE"/>
    <w:rsid w:val="0B203921"/>
    <w:rsid w:val="0B27E92F"/>
    <w:rsid w:val="0B2D6789"/>
    <w:rsid w:val="0B334142"/>
    <w:rsid w:val="0B354691"/>
    <w:rsid w:val="0B37DB66"/>
    <w:rsid w:val="0B399F62"/>
    <w:rsid w:val="0B3AFFF7"/>
    <w:rsid w:val="0B429B7C"/>
    <w:rsid w:val="0B490E76"/>
    <w:rsid w:val="0B4D8CBF"/>
    <w:rsid w:val="0B52E3AF"/>
    <w:rsid w:val="0B5445ED"/>
    <w:rsid w:val="0B54983D"/>
    <w:rsid w:val="0B557389"/>
    <w:rsid w:val="0B575D88"/>
    <w:rsid w:val="0B5B3278"/>
    <w:rsid w:val="0B649A9A"/>
    <w:rsid w:val="0B67CF71"/>
    <w:rsid w:val="0B720FDA"/>
    <w:rsid w:val="0B7A130A"/>
    <w:rsid w:val="0B7DFFD3"/>
    <w:rsid w:val="0B7F0554"/>
    <w:rsid w:val="0B80F894"/>
    <w:rsid w:val="0B8411C0"/>
    <w:rsid w:val="0B86344A"/>
    <w:rsid w:val="0B864ED9"/>
    <w:rsid w:val="0B892182"/>
    <w:rsid w:val="0B8A3DC4"/>
    <w:rsid w:val="0B92ECA1"/>
    <w:rsid w:val="0B94EB6C"/>
    <w:rsid w:val="0BA3084A"/>
    <w:rsid w:val="0BA34632"/>
    <w:rsid w:val="0BA35CD7"/>
    <w:rsid w:val="0BB0077C"/>
    <w:rsid w:val="0BB24EE6"/>
    <w:rsid w:val="0BB70C25"/>
    <w:rsid w:val="0BBE6786"/>
    <w:rsid w:val="0BBF423E"/>
    <w:rsid w:val="0BC7E26E"/>
    <w:rsid w:val="0BC8C588"/>
    <w:rsid w:val="0BCCFF1F"/>
    <w:rsid w:val="0BDC5417"/>
    <w:rsid w:val="0BDC90D8"/>
    <w:rsid w:val="0BDD1019"/>
    <w:rsid w:val="0BE20246"/>
    <w:rsid w:val="0BE2E3EB"/>
    <w:rsid w:val="0BE63F3A"/>
    <w:rsid w:val="0BED420A"/>
    <w:rsid w:val="0BFCBDC3"/>
    <w:rsid w:val="0BFF6ED4"/>
    <w:rsid w:val="0C00E4B4"/>
    <w:rsid w:val="0C0370E8"/>
    <w:rsid w:val="0C0E6682"/>
    <w:rsid w:val="0C0F07D6"/>
    <w:rsid w:val="0C106F13"/>
    <w:rsid w:val="0C19794C"/>
    <w:rsid w:val="0C1B0BEB"/>
    <w:rsid w:val="0C1B67CA"/>
    <w:rsid w:val="0C205DF3"/>
    <w:rsid w:val="0C2081E2"/>
    <w:rsid w:val="0C21546E"/>
    <w:rsid w:val="0C2B5490"/>
    <w:rsid w:val="0C302B7F"/>
    <w:rsid w:val="0C33AE98"/>
    <w:rsid w:val="0C37999F"/>
    <w:rsid w:val="0C3D7EA5"/>
    <w:rsid w:val="0C3E8BD3"/>
    <w:rsid w:val="0C3EEFDE"/>
    <w:rsid w:val="0C420C25"/>
    <w:rsid w:val="0C427913"/>
    <w:rsid w:val="0C48536C"/>
    <w:rsid w:val="0C4A11FD"/>
    <w:rsid w:val="0C4C3645"/>
    <w:rsid w:val="0C5925C2"/>
    <w:rsid w:val="0C59D87B"/>
    <w:rsid w:val="0C63F073"/>
    <w:rsid w:val="0C646FE7"/>
    <w:rsid w:val="0C6493AF"/>
    <w:rsid w:val="0C69BF79"/>
    <w:rsid w:val="0C6E5FBC"/>
    <w:rsid w:val="0C6EA6E5"/>
    <w:rsid w:val="0C70BDA7"/>
    <w:rsid w:val="0C7383BD"/>
    <w:rsid w:val="0C743D0D"/>
    <w:rsid w:val="0C76284C"/>
    <w:rsid w:val="0C79A41C"/>
    <w:rsid w:val="0C7CC20B"/>
    <w:rsid w:val="0C7CDC13"/>
    <w:rsid w:val="0C87273C"/>
    <w:rsid w:val="0C8D95AC"/>
    <w:rsid w:val="0C938DEA"/>
    <w:rsid w:val="0C940F05"/>
    <w:rsid w:val="0C946719"/>
    <w:rsid w:val="0C96FBAB"/>
    <w:rsid w:val="0C9FDD0D"/>
    <w:rsid w:val="0CA5F357"/>
    <w:rsid w:val="0CA6D0A3"/>
    <w:rsid w:val="0CAA4517"/>
    <w:rsid w:val="0CAA4823"/>
    <w:rsid w:val="0CABD5D9"/>
    <w:rsid w:val="0CAC2387"/>
    <w:rsid w:val="0CAFE787"/>
    <w:rsid w:val="0CB01D7D"/>
    <w:rsid w:val="0CB346C0"/>
    <w:rsid w:val="0CB64EDD"/>
    <w:rsid w:val="0CB8013D"/>
    <w:rsid w:val="0CBD2303"/>
    <w:rsid w:val="0CC087F5"/>
    <w:rsid w:val="0CC11EEE"/>
    <w:rsid w:val="0CCFC818"/>
    <w:rsid w:val="0CD86002"/>
    <w:rsid w:val="0CD9855C"/>
    <w:rsid w:val="0CDF38B4"/>
    <w:rsid w:val="0CED2833"/>
    <w:rsid w:val="0CF05E11"/>
    <w:rsid w:val="0CF31DFB"/>
    <w:rsid w:val="0CF3C44C"/>
    <w:rsid w:val="0CFBC03F"/>
    <w:rsid w:val="0CFD622E"/>
    <w:rsid w:val="0D000071"/>
    <w:rsid w:val="0D01C000"/>
    <w:rsid w:val="0D026E44"/>
    <w:rsid w:val="0D02F758"/>
    <w:rsid w:val="0D036C3E"/>
    <w:rsid w:val="0D04BBFA"/>
    <w:rsid w:val="0D055E28"/>
    <w:rsid w:val="0D0CEBCC"/>
    <w:rsid w:val="0D10C876"/>
    <w:rsid w:val="0D17C13E"/>
    <w:rsid w:val="0D213731"/>
    <w:rsid w:val="0D2390C9"/>
    <w:rsid w:val="0D246955"/>
    <w:rsid w:val="0D2C25C7"/>
    <w:rsid w:val="0D337381"/>
    <w:rsid w:val="0D337C70"/>
    <w:rsid w:val="0D3E6A2E"/>
    <w:rsid w:val="0D464410"/>
    <w:rsid w:val="0D489B62"/>
    <w:rsid w:val="0D49533E"/>
    <w:rsid w:val="0D4AF577"/>
    <w:rsid w:val="0D55FF1F"/>
    <w:rsid w:val="0D571202"/>
    <w:rsid w:val="0D5963E2"/>
    <w:rsid w:val="0D59A74C"/>
    <w:rsid w:val="0D61CF73"/>
    <w:rsid w:val="0D7C624B"/>
    <w:rsid w:val="0D7CC489"/>
    <w:rsid w:val="0D8A8801"/>
    <w:rsid w:val="0D8C109D"/>
    <w:rsid w:val="0D91AD81"/>
    <w:rsid w:val="0D938F19"/>
    <w:rsid w:val="0D96EAB7"/>
    <w:rsid w:val="0D978F9B"/>
    <w:rsid w:val="0DA3BC38"/>
    <w:rsid w:val="0DA75DF9"/>
    <w:rsid w:val="0DA844BA"/>
    <w:rsid w:val="0DAAD3F4"/>
    <w:rsid w:val="0DABC430"/>
    <w:rsid w:val="0DB2A810"/>
    <w:rsid w:val="0DB56316"/>
    <w:rsid w:val="0DB77B06"/>
    <w:rsid w:val="0DBCC39E"/>
    <w:rsid w:val="0DBD3285"/>
    <w:rsid w:val="0DBF5A40"/>
    <w:rsid w:val="0DC566CC"/>
    <w:rsid w:val="0DC88579"/>
    <w:rsid w:val="0DCBD176"/>
    <w:rsid w:val="0DD1101E"/>
    <w:rsid w:val="0DDAE296"/>
    <w:rsid w:val="0DDB11D0"/>
    <w:rsid w:val="0DE7F198"/>
    <w:rsid w:val="0DE99E26"/>
    <w:rsid w:val="0DEE7029"/>
    <w:rsid w:val="0DF317FC"/>
    <w:rsid w:val="0DFEDC96"/>
    <w:rsid w:val="0E00BF73"/>
    <w:rsid w:val="0E01B8AC"/>
    <w:rsid w:val="0E0953B2"/>
    <w:rsid w:val="0E0987E9"/>
    <w:rsid w:val="0E0B66D1"/>
    <w:rsid w:val="0E0E91E8"/>
    <w:rsid w:val="0E149C17"/>
    <w:rsid w:val="0E14BBEE"/>
    <w:rsid w:val="0E15EF96"/>
    <w:rsid w:val="0E21A5FA"/>
    <w:rsid w:val="0E280FCF"/>
    <w:rsid w:val="0E295A53"/>
    <w:rsid w:val="0E2E6D38"/>
    <w:rsid w:val="0E330CB8"/>
    <w:rsid w:val="0E350410"/>
    <w:rsid w:val="0E38AD39"/>
    <w:rsid w:val="0E39DFDB"/>
    <w:rsid w:val="0E45B9D6"/>
    <w:rsid w:val="0E46D15E"/>
    <w:rsid w:val="0E4E61E4"/>
    <w:rsid w:val="0E4EA6BF"/>
    <w:rsid w:val="0E4EF306"/>
    <w:rsid w:val="0E578529"/>
    <w:rsid w:val="0E611739"/>
    <w:rsid w:val="0E6AEA4A"/>
    <w:rsid w:val="0E6C07CA"/>
    <w:rsid w:val="0E770FA7"/>
    <w:rsid w:val="0E788FBB"/>
    <w:rsid w:val="0E7A48B6"/>
    <w:rsid w:val="0E7DC314"/>
    <w:rsid w:val="0E8BF08F"/>
    <w:rsid w:val="0E8F8418"/>
    <w:rsid w:val="0E92C0E2"/>
    <w:rsid w:val="0E94A3EA"/>
    <w:rsid w:val="0E95DA6B"/>
    <w:rsid w:val="0EA01003"/>
    <w:rsid w:val="0EA05D0D"/>
    <w:rsid w:val="0EA41510"/>
    <w:rsid w:val="0EA6E631"/>
    <w:rsid w:val="0EA6F44E"/>
    <w:rsid w:val="0EA7FA05"/>
    <w:rsid w:val="0EA9C034"/>
    <w:rsid w:val="0EB087C3"/>
    <w:rsid w:val="0EB1ACD9"/>
    <w:rsid w:val="0EC2F21C"/>
    <w:rsid w:val="0EC3E090"/>
    <w:rsid w:val="0ED05876"/>
    <w:rsid w:val="0ED4FBC4"/>
    <w:rsid w:val="0EDC1F8E"/>
    <w:rsid w:val="0EE83C2D"/>
    <w:rsid w:val="0EF06018"/>
    <w:rsid w:val="0EF386EB"/>
    <w:rsid w:val="0EFBD8BB"/>
    <w:rsid w:val="0EFD5A53"/>
    <w:rsid w:val="0EFF6402"/>
    <w:rsid w:val="0EFFC4EC"/>
    <w:rsid w:val="0F0957EE"/>
    <w:rsid w:val="0F098464"/>
    <w:rsid w:val="0F0D9D9E"/>
    <w:rsid w:val="0F1026D6"/>
    <w:rsid w:val="0F1059D1"/>
    <w:rsid w:val="0F12062C"/>
    <w:rsid w:val="0F13CFE4"/>
    <w:rsid w:val="0F1408A8"/>
    <w:rsid w:val="0F193AA9"/>
    <w:rsid w:val="0F199F14"/>
    <w:rsid w:val="0F1D73CE"/>
    <w:rsid w:val="0F1FEAE2"/>
    <w:rsid w:val="0F28150D"/>
    <w:rsid w:val="0F2A30CD"/>
    <w:rsid w:val="0F2AD7A2"/>
    <w:rsid w:val="0F2DDC6F"/>
    <w:rsid w:val="0F2F4833"/>
    <w:rsid w:val="0F339BB4"/>
    <w:rsid w:val="0F36846D"/>
    <w:rsid w:val="0F385870"/>
    <w:rsid w:val="0F420D09"/>
    <w:rsid w:val="0F496396"/>
    <w:rsid w:val="0F4AF049"/>
    <w:rsid w:val="0F4B69F2"/>
    <w:rsid w:val="0F50812C"/>
    <w:rsid w:val="0F564613"/>
    <w:rsid w:val="0F56B963"/>
    <w:rsid w:val="0F579DD1"/>
    <w:rsid w:val="0F58D1C6"/>
    <w:rsid w:val="0F5B260F"/>
    <w:rsid w:val="0F5E07C1"/>
    <w:rsid w:val="0F6568C3"/>
    <w:rsid w:val="0F6A64CD"/>
    <w:rsid w:val="0F6CA6D9"/>
    <w:rsid w:val="0F7402C3"/>
    <w:rsid w:val="0F760C59"/>
    <w:rsid w:val="0F7DB98B"/>
    <w:rsid w:val="0F7FCAAF"/>
    <w:rsid w:val="0F813E28"/>
    <w:rsid w:val="0F81D24B"/>
    <w:rsid w:val="0F85725A"/>
    <w:rsid w:val="0F977270"/>
    <w:rsid w:val="0F97CD22"/>
    <w:rsid w:val="0F98F22A"/>
    <w:rsid w:val="0F9D1927"/>
    <w:rsid w:val="0F9E7F41"/>
    <w:rsid w:val="0FA07012"/>
    <w:rsid w:val="0FA497AC"/>
    <w:rsid w:val="0FA6E592"/>
    <w:rsid w:val="0FA78BC5"/>
    <w:rsid w:val="0FAAE1E0"/>
    <w:rsid w:val="0FB39AF2"/>
    <w:rsid w:val="0FB78988"/>
    <w:rsid w:val="0FB7EE0C"/>
    <w:rsid w:val="0FBE21A3"/>
    <w:rsid w:val="0FBED8AE"/>
    <w:rsid w:val="0FC38CB7"/>
    <w:rsid w:val="0FC5152C"/>
    <w:rsid w:val="0FCEB6A1"/>
    <w:rsid w:val="0FCF1B5C"/>
    <w:rsid w:val="0FD4D583"/>
    <w:rsid w:val="0FD65CDE"/>
    <w:rsid w:val="0FD6AA93"/>
    <w:rsid w:val="0FD78783"/>
    <w:rsid w:val="0FDCA1A8"/>
    <w:rsid w:val="0FDF84FF"/>
    <w:rsid w:val="0FE467C8"/>
    <w:rsid w:val="0FE77BFE"/>
    <w:rsid w:val="0FE912FA"/>
    <w:rsid w:val="0FEC3615"/>
    <w:rsid w:val="0FEC6E73"/>
    <w:rsid w:val="0FEE8D4C"/>
    <w:rsid w:val="0FEF8655"/>
    <w:rsid w:val="0FEFF71E"/>
    <w:rsid w:val="0FF12613"/>
    <w:rsid w:val="0FF4215D"/>
    <w:rsid w:val="0FF6627E"/>
    <w:rsid w:val="0FF714F8"/>
    <w:rsid w:val="0FFB2ABC"/>
    <w:rsid w:val="0FFC7401"/>
    <w:rsid w:val="100B810D"/>
    <w:rsid w:val="100D6FC8"/>
    <w:rsid w:val="100F2D46"/>
    <w:rsid w:val="100F67CE"/>
    <w:rsid w:val="10134E06"/>
    <w:rsid w:val="1013D923"/>
    <w:rsid w:val="1015506B"/>
    <w:rsid w:val="101A40B8"/>
    <w:rsid w:val="10234AE5"/>
    <w:rsid w:val="1030CF9F"/>
    <w:rsid w:val="1035A709"/>
    <w:rsid w:val="1038F1AF"/>
    <w:rsid w:val="103A5B1E"/>
    <w:rsid w:val="10462982"/>
    <w:rsid w:val="104A723C"/>
    <w:rsid w:val="104B07BD"/>
    <w:rsid w:val="105456FF"/>
    <w:rsid w:val="105DEDC5"/>
    <w:rsid w:val="106DCE88"/>
    <w:rsid w:val="1072EF63"/>
    <w:rsid w:val="107B17FB"/>
    <w:rsid w:val="107EC795"/>
    <w:rsid w:val="10805D3F"/>
    <w:rsid w:val="108167C5"/>
    <w:rsid w:val="108D2C67"/>
    <w:rsid w:val="10916571"/>
    <w:rsid w:val="109A99DD"/>
    <w:rsid w:val="109B3309"/>
    <w:rsid w:val="109B3B39"/>
    <w:rsid w:val="109BF91C"/>
    <w:rsid w:val="10AD608A"/>
    <w:rsid w:val="10B446CB"/>
    <w:rsid w:val="10B6B5D5"/>
    <w:rsid w:val="10B784EA"/>
    <w:rsid w:val="10BD8BC9"/>
    <w:rsid w:val="10BFEF74"/>
    <w:rsid w:val="10C188DA"/>
    <w:rsid w:val="10C610FE"/>
    <w:rsid w:val="10C8AD5C"/>
    <w:rsid w:val="10CB1D75"/>
    <w:rsid w:val="10D37FBE"/>
    <w:rsid w:val="10D382C1"/>
    <w:rsid w:val="10D4DA51"/>
    <w:rsid w:val="10DA3C65"/>
    <w:rsid w:val="10DE3FED"/>
    <w:rsid w:val="10E17D9F"/>
    <w:rsid w:val="10E49585"/>
    <w:rsid w:val="10E81867"/>
    <w:rsid w:val="10E8F4AE"/>
    <w:rsid w:val="10E8FF54"/>
    <w:rsid w:val="10EBD53B"/>
    <w:rsid w:val="10EC670F"/>
    <w:rsid w:val="10EC86B8"/>
    <w:rsid w:val="10F085AD"/>
    <w:rsid w:val="10F9B35F"/>
    <w:rsid w:val="10FCB11A"/>
    <w:rsid w:val="10FDA2CF"/>
    <w:rsid w:val="110105D2"/>
    <w:rsid w:val="1109BF37"/>
    <w:rsid w:val="111144BF"/>
    <w:rsid w:val="1112B292"/>
    <w:rsid w:val="1113A7F1"/>
    <w:rsid w:val="11163820"/>
    <w:rsid w:val="111D2FC5"/>
    <w:rsid w:val="1123EA6C"/>
    <w:rsid w:val="11260B48"/>
    <w:rsid w:val="1136403C"/>
    <w:rsid w:val="113804F0"/>
    <w:rsid w:val="113C2315"/>
    <w:rsid w:val="113D298F"/>
    <w:rsid w:val="114151CE"/>
    <w:rsid w:val="11416FEF"/>
    <w:rsid w:val="11442489"/>
    <w:rsid w:val="1144BCED"/>
    <w:rsid w:val="1147AD91"/>
    <w:rsid w:val="1149A1BF"/>
    <w:rsid w:val="114EBDA8"/>
    <w:rsid w:val="114F6D89"/>
    <w:rsid w:val="114FA1C5"/>
    <w:rsid w:val="11507760"/>
    <w:rsid w:val="1153762B"/>
    <w:rsid w:val="11573D4A"/>
    <w:rsid w:val="115A7807"/>
    <w:rsid w:val="115AAE18"/>
    <w:rsid w:val="1165B82F"/>
    <w:rsid w:val="116B5BD6"/>
    <w:rsid w:val="117B3821"/>
    <w:rsid w:val="117C8FFB"/>
    <w:rsid w:val="117EDC01"/>
    <w:rsid w:val="11809A70"/>
    <w:rsid w:val="1180D7BC"/>
    <w:rsid w:val="118136FA"/>
    <w:rsid w:val="1181568E"/>
    <w:rsid w:val="1181D3BF"/>
    <w:rsid w:val="1182C21C"/>
    <w:rsid w:val="11837094"/>
    <w:rsid w:val="11851382"/>
    <w:rsid w:val="118CF698"/>
    <w:rsid w:val="118D0323"/>
    <w:rsid w:val="118E5DE4"/>
    <w:rsid w:val="118FDE85"/>
    <w:rsid w:val="1190DD27"/>
    <w:rsid w:val="11931EA6"/>
    <w:rsid w:val="119B998A"/>
    <w:rsid w:val="11A1A680"/>
    <w:rsid w:val="11A38994"/>
    <w:rsid w:val="11A423F1"/>
    <w:rsid w:val="11A4EBA8"/>
    <w:rsid w:val="11A4FC17"/>
    <w:rsid w:val="11A5C8C5"/>
    <w:rsid w:val="11AD2B3A"/>
    <w:rsid w:val="11B0D98D"/>
    <w:rsid w:val="11B0E2C9"/>
    <w:rsid w:val="11B7FA21"/>
    <w:rsid w:val="11B859E9"/>
    <w:rsid w:val="11B86967"/>
    <w:rsid w:val="11B8D9E4"/>
    <w:rsid w:val="11BC2545"/>
    <w:rsid w:val="11C01F19"/>
    <w:rsid w:val="11C3B734"/>
    <w:rsid w:val="11C6998C"/>
    <w:rsid w:val="11C788D5"/>
    <w:rsid w:val="11CABB31"/>
    <w:rsid w:val="11CB10BB"/>
    <w:rsid w:val="11E0091C"/>
    <w:rsid w:val="11E79DEB"/>
    <w:rsid w:val="11E81571"/>
    <w:rsid w:val="11E89337"/>
    <w:rsid w:val="11EEE2CD"/>
    <w:rsid w:val="11EFD7E1"/>
    <w:rsid w:val="11F39A87"/>
    <w:rsid w:val="11F3E308"/>
    <w:rsid w:val="11F4C264"/>
    <w:rsid w:val="11F55E06"/>
    <w:rsid w:val="11F9D5DE"/>
    <w:rsid w:val="11FAAD5F"/>
    <w:rsid w:val="11FB1419"/>
    <w:rsid w:val="11FD0DB9"/>
    <w:rsid w:val="11FE98C5"/>
    <w:rsid w:val="12031431"/>
    <w:rsid w:val="1203E239"/>
    <w:rsid w:val="1207ABD1"/>
    <w:rsid w:val="120C63DC"/>
    <w:rsid w:val="121122AE"/>
    <w:rsid w:val="12151673"/>
    <w:rsid w:val="1215A735"/>
    <w:rsid w:val="12173C9C"/>
    <w:rsid w:val="121EDA04"/>
    <w:rsid w:val="1221184F"/>
    <w:rsid w:val="12213A49"/>
    <w:rsid w:val="12282783"/>
    <w:rsid w:val="122A9E5A"/>
    <w:rsid w:val="122CA3B7"/>
    <w:rsid w:val="122EFE42"/>
    <w:rsid w:val="123133F7"/>
    <w:rsid w:val="1238D4F4"/>
    <w:rsid w:val="123C7146"/>
    <w:rsid w:val="123EA484"/>
    <w:rsid w:val="12433AB8"/>
    <w:rsid w:val="1244697F"/>
    <w:rsid w:val="1251FA67"/>
    <w:rsid w:val="125376D7"/>
    <w:rsid w:val="125628CC"/>
    <w:rsid w:val="12617CF9"/>
    <w:rsid w:val="1262EE04"/>
    <w:rsid w:val="1265550F"/>
    <w:rsid w:val="12683865"/>
    <w:rsid w:val="12824283"/>
    <w:rsid w:val="12826D50"/>
    <w:rsid w:val="128B2042"/>
    <w:rsid w:val="128DF835"/>
    <w:rsid w:val="128E7178"/>
    <w:rsid w:val="128E78C1"/>
    <w:rsid w:val="1293357F"/>
    <w:rsid w:val="1298D4D2"/>
    <w:rsid w:val="129C8AE5"/>
    <w:rsid w:val="12A00E27"/>
    <w:rsid w:val="12A5B59F"/>
    <w:rsid w:val="12A6DF7C"/>
    <w:rsid w:val="12AA711A"/>
    <w:rsid w:val="12AF2DBF"/>
    <w:rsid w:val="12B4BC33"/>
    <w:rsid w:val="12B4FA43"/>
    <w:rsid w:val="12B63919"/>
    <w:rsid w:val="12B95B64"/>
    <w:rsid w:val="12C752A8"/>
    <w:rsid w:val="12C76F74"/>
    <w:rsid w:val="12CCC24D"/>
    <w:rsid w:val="12CE5BA9"/>
    <w:rsid w:val="12D09CA3"/>
    <w:rsid w:val="12D5AF7D"/>
    <w:rsid w:val="12D97849"/>
    <w:rsid w:val="12DB5C48"/>
    <w:rsid w:val="12DBA0A7"/>
    <w:rsid w:val="12DC17EA"/>
    <w:rsid w:val="12DD6098"/>
    <w:rsid w:val="12DFBEA2"/>
    <w:rsid w:val="12E0AB86"/>
    <w:rsid w:val="12E303CA"/>
    <w:rsid w:val="12EBC638"/>
    <w:rsid w:val="12ED8499"/>
    <w:rsid w:val="12F29970"/>
    <w:rsid w:val="12F30440"/>
    <w:rsid w:val="12F4C134"/>
    <w:rsid w:val="12F4FF7C"/>
    <w:rsid w:val="12F857A8"/>
    <w:rsid w:val="12F9451C"/>
    <w:rsid w:val="12F9F6FD"/>
    <w:rsid w:val="130186CA"/>
    <w:rsid w:val="13041842"/>
    <w:rsid w:val="13090921"/>
    <w:rsid w:val="130EC6E1"/>
    <w:rsid w:val="13126334"/>
    <w:rsid w:val="13143ACF"/>
    <w:rsid w:val="13172918"/>
    <w:rsid w:val="132230B6"/>
    <w:rsid w:val="13237FDD"/>
    <w:rsid w:val="1323CADF"/>
    <w:rsid w:val="132412F4"/>
    <w:rsid w:val="132742C1"/>
    <w:rsid w:val="133254B6"/>
    <w:rsid w:val="1335B36C"/>
    <w:rsid w:val="1335E2D8"/>
    <w:rsid w:val="1344F4C6"/>
    <w:rsid w:val="1345ED02"/>
    <w:rsid w:val="1346194F"/>
    <w:rsid w:val="1347787C"/>
    <w:rsid w:val="1348E484"/>
    <w:rsid w:val="134BC368"/>
    <w:rsid w:val="134C732F"/>
    <w:rsid w:val="134CF7CD"/>
    <w:rsid w:val="134ECC82"/>
    <w:rsid w:val="135040BA"/>
    <w:rsid w:val="135098CA"/>
    <w:rsid w:val="1352D260"/>
    <w:rsid w:val="135DA43D"/>
    <w:rsid w:val="135E4119"/>
    <w:rsid w:val="135F4EC8"/>
    <w:rsid w:val="13620E33"/>
    <w:rsid w:val="136563EE"/>
    <w:rsid w:val="1369D0ED"/>
    <w:rsid w:val="136A9BBC"/>
    <w:rsid w:val="136B541C"/>
    <w:rsid w:val="136C474B"/>
    <w:rsid w:val="136C8B22"/>
    <w:rsid w:val="13713ECD"/>
    <w:rsid w:val="137A9A72"/>
    <w:rsid w:val="137CE036"/>
    <w:rsid w:val="13803557"/>
    <w:rsid w:val="138699A1"/>
    <w:rsid w:val="1387EF63"/>
    <w:rsid w:val="138B1D4C"/>
    <w:rsid w:val="138E3554"/>
    <w:rsid w:val="138F277B"/>
    <w:rsid w:val="138F79CD"/>
    <w:rsid w:val="139D9949"/>
    <w:rsid w:val="139E64B9"/>
    <w:rsid w:val="13A2550B"/>
    <w:rsid w:val="13A25E89"/>
    <w:rsid w:val="13A2B6C8"/>
    <w:rsid w:val="13A3517F"/>
    <w:rsid w:val="13A7B4DD"/>
    <w:rsid w:val="13A7C87C"/>
    <w:rsid w:val="13A89FD9"/>
    <w:rsid w:val="13AF6951"/>
    <w:rsid w:val="13B038E0"/>
    <w:rsid w:val="13B4B274"/>
    <w:rsid w:val="13BD06D2"/>
    <w:rsid w:val="13BF3419"/>
    <w:rsid w:val="13C8F513"/>
    <w:rsid w:val="13C9C417"/>
    <w:rsid w:val="13CC8048"/>
    <w:rsid w:val="13CC9329"/>
    <w:rsid w:val="13CE7A18"/>
    <w:rsid w:val="13CEA87D"/>
    <w:rsid w:val="13D26A22"/>
    <w:rsid w:val="13D7AABD"/>
    <w:rsid w:val="13D8CE94"/>
    <w:rsid w:val="13DA3246"/>
    <w:rsid w:val="13DAF2F4"/>
    <w:rsid w:val="13E0793E"/>
    <w:rsid w:val="13E36EB6"/>
    <w:rsid w:val="13E3AE98"/>
    <w:rsid w:val="13EF2CF7"/>
    <w:rsid w:val="13F1ABDC"/>
    <w:rsid w:val="13F7945D"/>
    <w:rsid w:val="13F9ADA2"/>
    <w:rsid w:val="13FA5E07"/>
    <w:rsid w:val="13FD16BF"/>
    <w:rsid w:val="1401F23E"/>
    <w:rsid w:val="140264B1"/>
    <w:rsid w:val="14033D51"/>
    <w:rsid w:val="1408927B"/>
    <w:rsid w:val="1409C61F"/>
    <w:rsid w:val="14125A5B"/>
    <w:rsid w:val="141A54AE"/>
    <w:rsid w:val="141B2B0E"/>
    <w:rsid w:val="141DF89F"/>
    <w:rsid w:val="1426D2EC"/>
    <w:rsid w:val="142743D1"/>
    <w:rsid w:val="1432F5D9"/>
    <w:rsid w:val="143352B5"/>
    <w:rsid w:val="14347FAD"/>
    <w:rsid w:val="1438EBD1"/>
    <w:rsid w:val="143C292E"/>
    <w:rsid w:val="143D9883"/>
    <w:rsid w:val="1441FB3B"/>
    <w:rsid w:val="1442E06A"/>
    <w:rsid w:val="14493EE0"/>
    <w:rsid w:val="144F8E9F"/>
    <w:rsid w:val="14512444"/>
    <w:rsid w:val="14519B11"/>
    <w:rsid w:val="145579F6"/>
    <w:rsid w:val="145B2D1B"/>
    <w:rsid w:val="145D984E"/>
    <w:rsid w:val="14610A02"/>
    <w:rsid w:val="1461242C"/>
    <w:rsid w:val="146364F5"/>
    <w:rsid w:val="1469455E"/>
    <w:rsid w:val="146A6420"/>
    <w:rsid w:val="146C3F4B"/>
    <w:rsid w:val="14779C02"/>
    <w:rsid w:val="147AEA32"/>
    <w:rsid w:val="1482BC75"/>
    <w:rsid w:val="1484AAE7"/>
    <w:rsid w:val="1489C616"/>
    <w:rsid w:val="148CAFE0"/>
    <w:rsid w:val="1490E24F"/>
    <w:rsid w:val="1494175D"/>
    <w:rsid w:val="14992860"/>
    <w:rsid w:val="149E35AF"/>
    <w:rsid w:val="14A02921"/>
    <w:rsid w:val="14A2E946"/>
    <w:rsid w:val="14A425FE"/>
    <w:rsid w:val="14A449A8"/>
    <w:rsid w:val="14A4D451"/>
    <w:rsid w:val="14A6DBF2"/>
    <w:rsid w:val="14A79E86"/>
    <w:rsid w:val="14ACDDFA"/>
    <w:rsid w:val="14B1F7C3"/>
    <w:rsid w:val="14B2C1C5"/>
    <w:rsid w:val="14B6DF87"/>
    <w:rsid w:val="14BC14E2"/>
    <w:rsid w:val="14BD23C6"/>
    <w:rsid w:val="14BE4351"/>
    <w:rsid w:val="14C1A4F1"/>
    <w:rsid w:val="14CAA06F"/>
    <w:rsid w:val="14D74973"/>
    <w:rsid w:val="14D8A700"/>
    <w:rsid w:val="14DA298C"/>
    <w:rsid w:val="14DEFE06"/>
    <w:rsid w:val="14DFF8EA"/>
    <w:rsid w:val="14E052F3"/>
    <w:rsid w:val="14E410D8"/>
    <w:rsid w:val="14E9AC55"/>
    <w:rsid w:val="14EAD15F"/>
    <w:rsid w:val="14F2A13A"/>
    <w:rsid w:val="14FD36AA"/>
    <w:rsid w:val="14FE6E40"/>
    <w:rsid w:val="1502A7A3"/>
    <w:rsid w:val="1505FFC5"/>
    <w:rsid w:val="15062856"/>
    <w:rsid w:val="1507DC03"/>
    <w:rsid w:val="150B12B0"/>
    <w:rsid w:val="1512A526"/>
    <w:rsid w:val="15146BDC"/>
    <w:rsid w:val="1514D16B"/>
    <w:rsid w:val="1516324D"/>
    <w:rsid w:val="15199F29"/>
    <w:rsid w:val="151A9F00"/>
    <w:rsid w:val="151BFF49"/>
    <w:rsid w:val="151FD608"/>
    <w:rsid w:val="152081BD"/>
    <w:rsid w:val="1523A2FE"/>
    <w:rsid w:val="15342935"/>
    <w:rsid w:val="15409B9D"/>
    <w:rsid w:val="1540E55B"/>
    <w:rsid w:val="1542564E"/>
    <w:rsid w:val="1543849D"/>
    <w:rsid w:val="1544C28E"/>
    <w:rsid w:val="1545FFED"/>
    <w:rsid w:val="154991D5"/>
    <w:rsid w:val="1549B871"/>
    <w:rsid w:val="154AADB6"/>
    <w:rsid w:val="154C53FE"/>
    <w:rsid w:val="154CD1E9"/>
    <w:rsid w:val="154D8111"/>
    <w:rsid w:val="15509393"/>
    <w:rsid w:val="1555B752"/>
    <w:rsid w:val="1558FCD1"/>
    <w:rsid w:val="155C5C61"/>
    <w:rsid w:val="155D8023"/>
    <w:rsid w:val="155E8463"/>
    <w:rsid w:val="156140EB"/>
    <w:rsid w:val="1564E020"/>
    <w:rsid w:val="15673C8F"/>
    <w:rsid w:val="156C0D22"/>
    <w:rsid w:val="156D3FBD"/>
    <w:rsid w:val="156E271F"/>
    <w:rsid w:val="156EB52B"/>
    <w:rsid w:val="15747BD4"/>
    <w:rsid w:val="1579CF38"/>
    <w:rsid w:val="157C0333"/>
    <w:rsid w:val="157D583F"/>
    <w:rsid w:val="157EB1B6"/>
    <w:rsid w:val="15840CEC"/>
    <w:rsid w:val="1586BCF7"/>
    <w:rsid w:val="1589C7D0"/>
    <w:rsid w:val="158AFD5B"/>
    <w:rsid w:val="158C36CB"/>
    <w:rsid w:val="158CFA52"/>
    <w:rsid w:val="1590F72A"/>
    <w:rsid w:val="1593FAD3"/>
    <w:rsid w:val="1596029D"/>
    <w:rsid w:val="159CFF9F"/>
    <w:rsid w:val="159E0741"/>
    <w:rsid w:val="159E4B53"/>
    <w:rsid w:val="15AB4C86"/>
    <w:rsid w:val="15AD37CE"/>
    <w:rsid w:val="15AEC544"/>
    <w:rsid w:val="15B1C141"/>
    <w:rsid w:val="15BCCEE2"/>
    <w:rsid w:val="15C2CCA0"/>
    <w:rsid w:val="15CBE813"/>
    <w:rsid w:val="15CBF521"/>
    <w:rsid w:val="15CEE5BC"/>
    <w:rsid w:val="15D28686"/>
    <w:rsid w:val="15DB21B2"/>
    <w:rsid w:val="15DCC204"/>
    <w:rsid w:val="15E46E3D"/>
    <w:rsid w:val="15E9A7A3"/>
    <w:rsid w:val="15EBC57D"/>
    <w:rsid w:val="15ED72DF"/>
    <w:rsid w:val="15F22F24"/>
    <w:rsid w:val="15F31A90"/>
    <w:rsid w:val="15F564E0"/>
    <w:rsid w:val="15F7ACE2"/>
    <w:rsid w:val="15FC71E6"/>
    <w:rsid w:val="15FCA006"/>
    <w:rsid w:val="15FFF4AB"/>
    <w:rsid w:val="160411F9"/>
    <w:rsid w:val="1604161A"/>
    <w:rsid w:val="1604506B"/>
    <w:rsid w:val="160BBDA6"/>
    <w:rsid w:val="16124B61"/>
    <w:rsid w:val="16136EAF"/>
    <w:rsid w:val="16143DC8"/>
    <w:rsid w:val="16177AAD"/>
    <w:rsid w:val="1617A9B2"/>
    <w:rsid w:val="1619C546"/>
    <w:rsid w:val="161AB823"/>
    <w:rsid w:val="1621B629"/>
    <w:rsid w:val="1623E883"/>
    <w:rsid w:val="162A5EF5"/>
    <w:rsid w:val="162F89C9"/>
    <w:rsid w:val="16386BDB"/>
    <w:rsid w:val="163DCD64"/>
    <w:rsid w:val="16452009"/>
    <w:rsid w:val="1645C142"/>
    <w:rsid w:val="164F6A8F"/>
    <w:rsid w:val="1652CB42"/>
    <w:rsid w:val="1656B137"/>
    <w:rsid w:val="165A0D08"/>
    <w:rsid w:val="165A17DC"/>
    <w:rsid w:val="165B74AB"/>
    <w:rsid w:val="165E7505"/>
    <w:rsid w:val="16629EF6"/>
    <w:rsid w:val="16643423"/>
    <w:rsid w:val="1665D895"/>
    <w:rsid w:val="166BEF38"/>
    <w:rsid w:val="166CC9DC"/>
    <w:rsid w:val="16700847"/>
    <w:rsid w:val="16728BE0"/>
    <w:rsid w:val="167776D4"/>
    <w:rsid w:val="167D8987"/>
    <w:rsid w:val="1685FE6D"/>
    <w:rsid w:val="16875902"/>
    <w:rsid w:val="168EB98E"/>
    <w:rsid w:val="16903A31"/>
    <w:rsid w:val="16931877"/>
    <w:rsid w:val="1694AB67"/>
    <w:rsid w:val="16965D1C"/>
    <w:rsid w:val="169743F3"/>
    <w:rsid w:val="1698C03E"/>
    <w:rsid w:val="16A38A62"/>
    <w:rsid w:val="16AA9AF2"/>
    <w:rsid w:val="16AC71E9"/>
    <w:rsid w:val="16B286E7"/>
    <w:rsid w:val="16B51A4A"/>
    <w:rsid w:val="16B77BD0"/>
    <w:rsid w:val="16B9328D"/>
    <w:rsid w:val="16BAE37C"/>
    <w:rsid w:val="16C0FCC0"/>
    <w:rsid w:val="16C82ABE"/>
    <w:rsid w:val="16CBFC7F"/>
    <w:rsid w:val="16CE4AB0"/>
    <w:rsid w:val="16CFCF96"/>
    <w:rsid w:val="16D25895"/>
    <w:rsid w:val="16D47CE7"/>
    <w:rsid w:val="16E1A90E"/>
    <w:rsid w:val="16E35547"/>
    <w:rsid w:val="16E4C1C9"/>
    <w:rsid w:val="16E4F5B8"/>
    <w:rsid w:val="16E67E24"/>
    <w:rsid w:val="16EBF062"/>
    <w:rsid w:val="16ED9BB1"/>
    <w:rsid w:val="16EE1B6E"/>
    <w:rsid w:val="16EEE048"/>
    <w:rsid w:val="16F12B62"/>
    <w:rsid w:val="16F1E71A"/>
    <w:rsid w:val="16F1E924"/>
    <w:rsid w:val="16F47F99"/>
    <w:rsid w:val="16F700DB"/>
    <w:rsid w:val="1700D6E8"/>
    <w:rsid w:val="17016CD5"/>
    <w:rsid w:val="1704B184"/>
    <w:rsid w:val="17057CF6"/>
    <w:rsid w:val="1708A603"/>
    <w:rsid w:val="170949E3"/>
    <w:rsid w:val="171600DE"/>
    <w:rsid w:val="171994C0"/>
    <w:rsid w:val="171DE6CB"/>
    <w:rsid w:val="17207726"/>
    <w:rsid w:val="17209959"/>
    <w:rsid w:val="1723648F"/>
    <w:rsid w:val="17278A94"/>
    <w:rsid w:val="172DF56E"/>
    <w:rsid w:val="172E59BD"/>
    <w:rsid w:val="1735E006"/>
    <w:rsid w:val="173A2C76"/>
    <w:rsid w:val="17461F37"/>
    <w:rsid w:val="17477F27"/>
    <w:rsid w:val="174875F3"/>
    <w:rsid w:val="174E7ED8"/>
    <w:rsid w:val="17521281"/>
    <w:rsid w:val="175602D3"/>
    <w:rsid w:val="17575D21"/>
    <w:rsid w:val="1759F8FB"/>
    <w:rsid w:val="175B9E11"/>
    <w:rsid w:val="17620023"/>
    <w:rsid w:val="1763B274"/>
    <w:rsid w:val="1767B2FC"/>
    <w:rsid w:val="1767F833"/>
    <w:rsid w:val="176A3949"/>
    <w:rsid w:val="1774B1CF"/>
    <w:rsid w:val="1776378E"/>
    <w:rsid w:val="17784638"/>
    <w:rsid w:val="177AD8C9"/>
    <w:rsid w:val="177C6E97"/>
    <w:rsid w:val="177C9E6C"/>
    <w:rsid w:val="177D7E5C"/>
    <w:rsid w:val="177FEA24"/>
    <w:rsid w:val="178A3BB9"/>
    <w:rsid w:val="1791E3F8"/>
    <w:rsid w:val="179505F4"/>
    <w:rsid w:val="17998D13"/>
    <w:rsid w:val="179A1CF5"/>
    <w:rsid w:val="179AE097"/>
    <w:rsid w:val="179D77DD"/>
    <w:rsid w:val="179F284B"/>
    <w:rsid w:val="17A4E918"/>
    <w:rsid w:val="17AA496F"/>
    <w:rsid w:val="17ABD096"/>
    <w:rsid w:val="17B57F15"/>
    <w:rsid w:val="17C4CB07"/>
    <w:rsid w:val="17CA7123"/>
    <w:rsid w:val="17CBB8B0"/>
    <w:rsid w:val="17CFA639"/>
    <w:rsid w:val="17D649F3"/>
    <w:rsid w:val="17D74FA5"/>
    <w:rsid w:val="17D8AC9D"/>
    <w:rsid w:val="17DBCF8C"/>
    <w:rsid w:val="17DF8DFE"/>
    <w:rsid w:val="17E030DD"/>
    <w:rsid w:val="17E06E0A"/>
    <w:rsid w:val="17E2B645"/>
    <w:rsid w:val="17E956B2"/>
    <w:rsid w:val="17F43A3F"/>
    <w:rsid w:val="17FAA252"/>
    <w:rsid w:val="17FAC4F2"/>
    <w:rsid w:val="1801B736"/>
    <w:rsid w:val="18060191"/>
    <w:rsid w:val="1809237F"/>
    <w:rsid w:val="180D3B13"/>
    <w:rsid w:val="180DBFF7"/>
    <w:rsid w:val="180F095D"/>
    <w:rsid w:val="18112CAC"/>
    <w:rsid w:val="1819BA72"/>
    <w:rsid w:val="1826410F"/>
    <w:rsid w:val="182E530A"/>
    <w:rsid w:val="1839DCD1"/>
    <w:rsid w:val="18454284"/>
    <w:rsid w:val="1845E3D0"/>
    <w:rsid w:val="1847D9C8"/>
    <w:rsid w:val="18482E26"/>
    <w:rsid w:val="18493111"/>
    <w:rsid w:val="184B8E30"/>
    <w:rsid w:val="184E7953"/>
    <w:rsid w:val="1852ECBE"/>
    <w:rsid w:val="1856D68E"/>
    <w:rsid w:val="185700CD"/>
    <w:rsid w:val="185DC2D1"/>
    <w:rsid w:val="185F7C7D"/>
    <w:rsid w:val="185FBC81"/>
    <w:rsid w:val="186A505D"/>
    <w:rsid w:val="186A8AE0"/>
    <w:rsid w:val="186BBD93"/>
    <w:rsid w:val="186D7878"/>
    <w:rsid w:val="1870517D"/>
    <w:rsid w:val="1870A904"/>
    <w:rsid w:val="1874C6CE"/>
    <w:rsid w:val="1878AE6D"/>
    <w:rsid w:val="187BB1E9"/>
    <w:rsid w:val="187ECE17"/>
    <w:rsid w:val="1882DF86"/>
    <w:rsid w:val="188D8624"/>
    <w:rsid w:val="188D893C"/>
    <w:rsid w:val="188E3A9D"/>
    <w:rsid w:val="188FC221"/>
    <w:rsid w:val="1891F68E"/>
    <w:rsid w:val="1898ADCC"/>
    <w:rsid w:val="18993F98"/>
    <w:rsid w:val="1899AFD2"/>
    <w:rsid w:val="189A9AA3"/>
    <w:rsid w:val="189F003B"/>
    <w:rsid w:val="18A0924C"/>
    <w:rsid w:val="18A2C3BA"/>
    <w:rsid w:val="18A5A3FD"/>
    <w:rsid w:val="18A8DFF6"/>
    <w:rsid w:val="18AEDBDD"/>
    <w:rsid w:val="18BA52D0"/>
    <w:rsid w:val="18BCFCF9"/>
    <w:rsid w:val="18C16A8A"/>
    <w:rsid w:val="18C35099"/>
    <w:rsid w:val="18C50336"/>
    <w:rsid w:val="18C64FE0"/>
    <w:rsid w:val="18CB46AE"/>
    <w:rsid w:val="18CC25D9"/>
    <w:rsid w:val="18CFB705"/>
    <w:rsid w:val="18D2BABB"/>
    <w:rsid w:val="18D4F81E"/>
    <w:rsid w:val="18D7278B"/>
    <w:rsid w:val="18DBC3FD"/>
    <w:rsid w:val="18DD7245"/>
    <w:rsid w:val="18DE089D"/>
    <w:rsid w:val="18DE62C2"/>
    <w:rsid w:val="18DF2D96"/>
    <w:rsid w:val="18E0167B"/>
    <w:rsid w:val="18E2EDB8"/>
    <w:rsid w:val="18E45B18"/>
    <w:rsid w:val="18E55B33"/>
    <w:rsid w:val="18E5F171"/>
    <w:rsid w:val="18E85CA2"/>
    <w:rsid w:val="18EB695F"/>
    <w:rsid w:val="18ED02BE"/>
    <w:rsid w:val="18F1F505"/>
    <w:rsid w:val="18F3667A"/>
    <w:rsid w:val="18F39C57"/>
    <w:rsid w:val="18F745FF"/>
    <w:rsid w:val="1901C589"/>
    <w:rsid w:val="19042AD6"/>
    <w:rsid w:val="19086996"/>
    <w:rsid w:val="19099D1B"/>
    <w:rsid w:val="190A3BEA"/>
    <w:rsid w:val="190C246A"/>
    <w:rsid w:val="190E81E9"/>
    <w:rsid w:val="19100229"/>
    <w:rsid w:val="1915D632"/>
    <w:rsid w:val="1918D517"/>
    <w:rsid w:val="191959F9"/>
    <w:rsid w:val="19195CBF"/>
    <w:rsid w:val="191D6571"/>
    <w:rsid w:val="191EAAC7"/>
    <w:rsid w:val="192072AE"/>
    <w:rsid w:val="1922832C"/>
    <w:rsid w:val="192769AB"/>
    <w:rsid w:val="1929C95B"/>
    <w:rsid w:val="192B3590"/>
    <w:rsid w:val="192CA8D7"/>
    <w:rsid w:val="193132F3"/>
    <w:rsid w:val="193309CC"/>
    <w:rsid w:val="1933DA6A"/>
    <w:rsid w:val="193C8CBA"/>
    <w:rsid w:val="1946891A"/>
    <w:rsid w:val="19486419"/>
    <w:rsid w:val="194AD8C3"/>
    <w:rsid w:val="194C1BF6"/>
    <w:rsid w:val="19501AC0"/>
    <w:rsid w:val="1951492F"/>
    <w:rsid w:val="195231A8"/>
    <w:rsid w:val="1953EB5F"/>
    <w:rsid w:val="195570FE"/>
    <w:rsid w:val="1956961A"/>
    <w:rsid w:val="195F0469"/>
    <w:rsid w:val="195F7543"/>
    <w:rsid w:val="195FAE05"/>
    <w:rsid w:val="1969E6DD"/>
    <w:rsid w:val="1970553B"/>
    <w:rsid w:val="197155E1"/>
    <w:rsid w:val="197164DC"/>
    <w:rsid w:val="1971E6AB"/>
    <w:rsid w:val="1975FA66"/>
    <w:rsid w:val="197FADDA"/>
    <w:rsid w:val="19827EC9"/>
    <w:rsid w:val="198DC3E4"/>
    <w:rsid w:val="19978084"/>
    <w:rsid w:val="1999AFC8"/>
    <w:rsid w:val="199B6546"/>
    <w:rsid w:val="199BD4AB"/>
    <w:rsid w:val="19A5E908"/>
    <w:rsid w:val="19A9098A"/>
    <w:rsid w:val="19ABD0D2"/>
    <w:rsid w:val="19B1E9A6"/>
    <w:rsid w:val="19B3413B"/>
    <w:rsid w:val="19B60B01"/>
    <w:rsid w:val="19B65DA2"/>
    <w:rsid w:val="19B66704"/>
    <w:rsid w:val="19BF0983"/>
    <w:rsid w:val="19C0335B"/>
    <w:rsid w:val="19C07CAB"/>
    <w:rsid w:val="19C4AD2F"/>
    <w:rsid w:val="19CD0F95"/>
    <w:rsid w:val="19D065C3"/>
    <w:rsid w:val="19D2B73A"/>
    <w:rsid w:val="19D2FABF"/>
    <w:rsid w:val="19D3043C"/>
    <w:rsid w:val="19D7DFBB"/>
    <w:rsid w:val="19D995CE"/>
    <w:rsid w:val="19E25A50"/>
    <w:rsid w:val="19E507AD"/>
    <w:rsid w:val="19F279D7"/>
    <w:rsid w:val="19F2896B"/>
    <w:rsid w:val="19F36E00"/>
    <w:rsid w:val="19F6AA90"/>
    <w:rsid w:val="19F6C2E2"/>
    <w:rsid w:val="19F95A1B"/>
    <w:rsid w:val="19FB3DF8"/>
    <w:rsid w:val="19FF2736"/>
    <w:rsid w:val="1A004211"/>
    <w:rsid w:val="1A014DAE"/>
    <w:rsid w:val="1A01B56A"/>
    <w:rsid w:val="1A0756B8"/>
    <w:rsid w:val="1A07FBEE"/>
    <w:rsid w:val="1A099A5A"/>
    <w:rsid w:val="1A0B1982"/>
    <w:rsid w:val="1A140D98"/>
    <w:rsid w:val="1A143432"/>
    <w:rsid w:val="1A186875"/>
    <w:rsid w:val="1A194E1F"/>
    <w:rsid w:val="1A19EA0E"/>
    <w:rsid w:val="1A1B96CC"/>
    <w:rsid w:val="1A1F3004"/>
    <w:rsid w:val="1A239A91"/>
    <w:rsid w:val="1A2439DA"/>
    <w:rsid w:val="1A254D22"/>
    <w:rsid w:val="1A2A67C4"/>
    <w:rsid w:val="1A2AC237"/>
    <w:rsid w:val="1A2DD730"/>
    <w:rsid w:val="1A2EBB45"/>
    <w:rsid w:val="1A349E0C"/>
    <w:rsid w:val="1A35C5A8"/>
    <w:rsid w:val="1A401B2B"/>
    <w:rsid w:val="1A42809B"/>
    <w:rsid w:val="1A4BD6E0"/>
    <w:rsid w:val="1A5CEB03"/>
    <w:rsid w:val="1A64807D"/>
    <w:rsid w:val="1A680773"/>
    <w:rsid w:val="1A68CDBF"/>
    <w:rsid w:val="1A6A86A3"/>
    <w:rsid w:val="1A6C0CE2"/>
    <w:rsid w:val="1A7178B9"/>
    <w:rsid w:val="1A744CFD"/>
    <w:rsid w:val="1A7563F8"/>
    <w:rsid w:val="1A759E35"/>
    <w:rsid w:val="1A7B47A9"/>
    <w:rsid w:val="1A809CF8"/>
    <w:rsid w:val="1A82C6F4"/>
    <w:rsid w:val="1A8325A3"/>
    <w:rsid w:val="1A855A51"/>
    <w:rsid w:val="1A8A5EF2"/>
    <w:rsid w:val="1A8AB618"/>
    <w:rsid w:val="1A8E4CFF"/>
    <w:rsid w:val="1A8F8A65"/>
    <w:rsid w:val="1A8FF339"/>
    <w:rsid w:val="1A9605A1"/>
    <w:rsid w:val="1A985A18"/>
    <w:rsid w:val="1AA0BD40"/>
    <w:rsid w:val="1AA33599"/>
    <w:rsid w:val="1AAE2CFF"/>
    <w:rsid w:val="1AB298D5"/>
    <w:rsid w:val="1AB37425"/>
    <w:rsid w:val="1AB81DAD"/>
    <w:rsid w:val="1ABB5563"/>
    <w:rsid w:val="1ABF7B53"/>
    <w:rsid w:val="1AC2137A"/>
    <w:rsid w:val="1AC295F2"/>
    <w:rsid w:val="1AC7BE50"/>
    <w:rsid w:val="1AC82DC8"/>
    <w:rsid w:val="1ACB93AE"/>
    <w:rsid w:val="1ACDCBE1"/>
    <w:rsid w:val="1AD5C7EC"/>
    <w:rsid w:val="1AD8B308"/>
    <w:rsid w:val="1AD91F59"/>
    <w:rsid w:val="1ADD48B0"/>
    <w:rsid w:val="1ADDBB91"/>
    <w:rsid w:val="1AE45F1A"/>
    <w:rsid w:val="1AE72F39"/>
    <w:rsid w:val="1AE8DFB9"/>
    <w:rsid w:val="1AE95F59"/>
    <w:rsid w:val="1AF66850"/>
    <w:rsid w:val="1AF70610"/>
    <w:rsid w:val="1AF759A6"/>
    <w:rsid w:val="1AF9B209"/>
    <w:rsid w:val="1AFAE332"/>
    <w:rsid w:val="1AFC9541"/>
    <w:rsid w:val="1B042D8F"/>
    <w:rsid w:val="1B057E68"/>
    <w:rsid w:val="1B07467D"/>
    <w:rsid w:val="1B115669"/>
    <w:rsid w:val="1B13AA4F"/>
    <w:rsid w:val="1B1E6D2D"/>
    <w:rsid w:val="1B1E744C"/>
    <w:rsid w:val="1B1F7536"/>
    <w:rsid w:val="1B2CEF7B"/>
    <w:rsid w:val="1B2D41C8"/>
    <w:rsid w:val="1B30A95B"/>
    <w:rsid w:val="1B33FF64"/>
    <w:rsid w:val="1B3ED64D"/>
    <w:rsid w:val="1B423A89"/>
    <w:rsid w:val="1B518CF9"/>
    <w:rsid w:val="1B522B12"/>
    <w:rsid w:val="1B55C315"/>
    <w:rsid w:val="1B5BD88F"/>
    <w:rsid w:val="1B5D10E4"/>
    <w:rsid w:val="1B5F412C"/>
    <w:rsid w:val="1B652824"/>
    <w:rsid w:val="1B65760E"/>
    <w:rsid w:val="1B65C7B4"/>
    <w:rsid w:val="1B692046"/>
    <w:rsid w:val="1B6A9FD6"/>
    <w:rsid w:val="1B6C2B22"/>
    <w:rsid w:val="1B75C856"/>
    <w:rsid w:val="1B77D226"/>
    <w:rsid w:val="1B7AE37E"/>
    <w:rsid w:val="1B7D7713"/>
    <w:rsid w:val="1B7DB018"/>
    <w:rsid w:val="1B7E2375"/>
    <w:rsid w:val="1B7FB32E"/>
    <w:rsid w:val="1B89F71B"/>
    <w:rsid w:val="1B8A49A5"/>
    <w:rsid w:val="1B8CA2FA"/>
    <w:rsid w:val="1B8E8D96"/>
    <w:rsid w:val="1B8F9853"/>
    <w:rsid w:val="1B979854"/>
    <w:rsid w:val="1B9B8740"/>
    <w:rsid w:val="1BA16892"/>
    <w:rsid w:val="1BA8E62E"/>
    <w:rsid w:val="1BA8EC7B"/>
    <w:rsid w:val="1BB36C93"/>
    <w:rsid w:val="1BB4D1F0"/>
    <w:rsid w:val="1BB5205C"/>
    <w:rsid w:val="1BB601D9"/>
    <w:rsid w:val="1BBD6B36"/>
    <w:rsid w:val="1BBDCFA0"/>
    <w:rsid w:val="1BC0F585"/>
    <w:rsid w:val="1BC63463"/>
    <w:rsid w:val="1BCE590D"/>
    <w:rsid w:val="1BD2760E"/>
    <w:rsid w:val="1BD5E086"/>
    <w:rsid w:val="1BD9E02D"/>
    <w:rsid w:val="1BDF833C"/>
    <w:rsid w:val="1BDFCD4B"/>
    <w:rsid w:val="1BE06523"/>
    <w:rsid w:val="1BE0E2A9"/>
    <w:rsid w:val="1BE1239B"/>
    <w:rsid w:val="1BEE7595"/>
    <w:rsid w:val="1BF210EA"/>
    <w:rsid w:val="1BF3C6EA"/>
    <w:rsid w:val="1BF54AB6"/>
    <w:rsid w:val="1BF615D9"/>
    <w:rsid w:val="1BF82E45"/>
    <w:rsid w:val="1BFA5E9B"/>
    <w:rsid w:val="1BFB8BF1"/>
    <w:rsid w:val="1BFBD673"/>
    <w:rsid w:val="1C0378D9"/>
    <w:rsid w:val="1C03F6F8"/>
    <w:rsid w:val="1C0B65AB"/>
    <w:rsid w:val="1C10124A"/>
    <w:rsid w:val="1C159F91"/>
    <w:rsid w:val="1C16335E"/>
    <w:rsid w:val="1C18BA4E"/>
    <w:rsid w:val="1C1C6906"/>
    <w:rsid w:val="1C250E9A"/>
    <w:rsid w:val="1C2926DA"/>
    <w:rsid w:val="1C385C60"/>
    <w:rsid w:val="1C388723"/>
    <w:rsid w:val="1C3892E6"/>
    <w:rsid w:val="1C3E9DD6"/>
    <w:rsid w:val="1C42E669"/>
    <w:rsid w:val="1C43E2BA"/>
    <w:rsid w:val="1C46B954"/>
    <w:rsid w:val="1C46C6C6"/>
    <w:rsid w:val="1C4832E5"/>
    <w:rsid w:val="1C4A60A6"/>
    <w:rsid w:val="1C4E566C"/>
    <w:rsid w:val="1C4EE994"/>
    <w:rsid w:val="1C507D71"/>
    <w:rsid w:val="1C5298C5"/>
    <w:rsid w:val="1C55B09B"/>
    <w:rsid w:val="1C5C2389"/>
    <w:rsid w:val="1C5DA676"/>
    <w:rsid w:val="1C7005CA"/>
    <w:rsid w:val="1C73377F"/>
    <w:rsid w:val="1C743980"/>
    <w:rsid w:val="1C75B086"/>
    <w:rsid w:val="1C76187A"/>
    <w:rsid w:val="1C775D37"/>
    <w:rsid w:val="1C7DE0C1"/>
    <w:rsid w:val="1C822145"/>
    <w:rsid w:val="1C8509D7"/>
    <w:rsid w:val="1C8EA7F4"/>
    <w:rsid w:val="1C8EFE7B"/>
    <w:rsid w:val="1C8F239D"/>
    <w:rsid w:val="1C8F802A"/>
    <w:rsid w:val="1C8FFCC6"/>
    <w:rsid w:val="1C9029A7"/>
    <w:rsid w:val="1C921B38"/>
    <w:rsid w:val="1C9845A9"/>
    <w:rsid w:val="1C987C17"/>
    <w:rsid w:val="1C9A755D"/>
    <w:rsid w:val="1C9AFB95"/>
    <w:rsid w:val="1C9E10A0"/>
    <w:rsid w:val="1CA2B1AE"/>
    <w:rsid w:val="1CA4E301"/>
    <w:rsid w:val="1CA9612D"/>
    <w:rsid w:val="1CAABE50"/>
    <w:rsid w:val="1CB70E8B"/>
    <w:rsid w:val="1CB90096"/>
    <w:rsid w:val="1CBA5904"/>
    <w:rsid w:val="1CBCD8B3"/>
    <w:rsid w:val="1CBF5259"/>
    <w:rsid w:val="1CC05C3E"/>
    <w:rsid w:val="1CC21C3E"/>
    <w:rsid w:val="1CCEE087"/>
    <w:rsid w:val="1CCFE310"/>
    <w:rsid w:val="1CDC8025"/>
    <w:rsid w:val="1CDF4C50"/>
    <w:rsid w:val="1CE30792"/>
    <w:rsid w:val="1CE77996"/>
    <w:rsid w:val="1CE818DD"/>
    <w:rsid w:val="1CE87F01"/>
    <w:rsid w:val="1CEAE276"/>
    <w:rsid w:val="1CEB4D20"/>
    <w:rsid w:val="1CEED73B"/>
    <w:rsid w:val="1CF45966"/>
    <w:rsid w:val="1CF476F3"/>
    <w:rsid w:val="1CF542EC"/>
    <w:rsid w:val="1D07350A"/>
    <w:rsid w:val="1D153BD5"/>
    <w:rsid w:val="1D1C2F86"/>
    <w:rsid w:val="1D24D714"/>
    <w:rsid w:val="1D266E15"/>
    <w:rsid w:val="1D271385"/>
    <w:rsid w:val="1D27A4B4"/>
    <w:rsid w:val="1D2BD7CE"/>
    <w:rsid w:val="1D3BE907"/>
    <w:rsid w:val="1D3C983B"/>
    <w:rsid w:val="1D494D93"/>
    <w:rsid w:val="1D4CA361"/>
    <w:rsid w:val="1D4F5DE9"/>
    <w:rsid w:val="1D57941A"/>
    <w:rsid w:val="1D57EDC3"/>
    <w:rsid w:val="1D5B2419"/>
    <w:rsid w:val="1D5F2C7A"/>
    <w:rsid w:val="1D60A079"/>
    <w:rsid w:val="1D638A8D"/>
    <w:rsid w:val="1D640095"/>
    <w:rsid w:val="1D65CDDB"/>
    <w:rsid w:val="1D6B92FD"/>
    <w:rsid w:val="1D6C520C"/>
    <w:rsid w:val="1D6DB1E6"/>
    <w:rsid w:val="1D6F1F07"/>
    <w:rsid w:val="1D723EF5"/>
    <w:rsid w:val="1D768C7F"/>
    <w:rsid w:val="1D76FBF5"/>
    <w:rsid w:val="1D77CC1B"/>
    <w:rsid w:val="1D7A44C8"/>
    <w:rsid w:val="1D82D561"/>
    <w:rsid w:val="1D88BE3B"/>
    <w:rsid w:val="1D89CACF"/>
    <w:rsid w:val="1D8A2861"/>
    <w:rsid w:val="1D8DF6D2"/>
    <w:rsid w:val="1D950F8E"/>
    <w:rsid w:val="1D9705CC"/>
    <w:rsid w:val="1D97F487"/>
    <w:rsid w:val="1D9A7850"/>
    <w:rsid w:val="1DA44044"/>
    <w:rsid w:val="1DAA1F90"/>
    <w:rsid w:val="1DAD23AA"/>
    <w:rsid w:val="1DAE34FC"/>
    <w:rsid w:val="1DAE76A5"/>
    <w:rsid w:val="1DAE9B99"/>
    <w:rsid w:val="1DB17ACB"/>
    <w:rsid w:val="1DB53031"/>
    <w:rsid w:val="1DB6719B"/>
    <w:rsid w:val="1DBB2E21"/>
    <w:rsid w:val="1DC11500"/>
    <w:rsid w:val="1DC710DB"/>
    <w:rsid w:val="1DD0E198"/>
    <w:rsid w:val="1DDB9633"/>
    <w:rsid w:val="1DE1F696"/>
    <w:rsid w:val="1DE2B285"/>
    <w:rsid w:val="1DE552CF"/>
    <w:rsid w:val="1DEA30D3"/>
    <w:rsid w:val="1DEE8208"/>
    <w:rsid w:val="1DF0004E"/>
    <w:rsid w:val="1DF5D72F"/>
    <w:rsid w:val="1DF90A94"/>
    <w:rsid w:val="1DFCCD02"/>
    <w:rsid w:val="1E067F99"/>
    <w:rsid w:val="1E0A221B"/>
    <w:rsid w:val="1E0B6E35"/>
    <w:rsid w:val="1E0F2B58"/>
    <w:rsid w:val="1E12FD04"/>
    <w:rsid w:val="1E138D3D"/>
    <w:rsid w:val="1E16AEEB"/>
    <w:rsid w:val="1E1BD53C"/>
    <w:rsid w:val="1E22EEC8"/>
    <w:rsid w:val="1E27545C"/>
    <w:rsid w:val="1E29C986"/>
    <w:rsid w:val="1E3D8426"/>
    <w:rsid w:val="1E40F855"/>
    <w:rsid w:val="1E42DA38"/>
    <w:rsid w:val="1E434BAF"/>
    <w:rsid w:val="1E465003"/>
    <w:rsid w:val="1E477D55"/>
    <w:rsid w:val="1E53E5E9"/>
    <w:rsid w:val="1E5F96ED"/>
    <w:rsid w:val="1E66EF82"/>
    <w:rsid w:val="1E6C05E8"/>
    <w:rsid w:val="1E6EA88C"/>
    <w:rsid w:val="1E6FD7F8"/>
    <w:rsid w:val="1E748A2D"/>
    <w:rsid w:val="1E75878D"/>
    <w:rsid w:val="1E783CA6"/>
    <w:rsid w:val="1E7A317D"/>
    <w:rsid w:val="1E82A16A"/>
    <w:rsid w:val="1E842360"/>
    <w:rsid w:val="1E84353B"/>
    <w:rsid w:val="1E846BB9"/>
    <w:rsid w:val="1E88AD8E"/>
    <w:rsid w:val="1E8ED3F3"/>
    <w:rsid w:val="1E945D96"/>
    <w:rsid w:val="1E97589F"/>
    <w:rsid w:val="1E998560"/>
    <w:rsid w:val="1E9AA600"/>
    <w:rsid w:val="1E9CA89A"/>
    <w:rsid w:val="1E9EEE60"/>
    <w:rsid w:val="1EA098DC"/>
    <w:rsid w:val="1EAC6D17"/>
    <w:rsid w:val="1EB0176A"/>
    <w:rsid w:val="1EB12099"/>
    <w:rsid w:val="1EB46D18"/>
    <w:rsid w:val="1EB4DFDB"/>
    <w:rsid w:val="1EBDF1F0"/>
    <w:rsid w:val="1EC192ED"/>
    <w:rsid w:val="1EC1D03B"/>
    <w:rsid w:val="1EC56653"/>
    <w:rsid w:val="1EC5D306"/>
    <w:rsid w:val="1ECB5BD2"/>
    <w:rsid w:val="1ECCAC9B"/>
    <w:rsid w:val="1ED15812"/>
    <w:rsid w:val="1ED54C1E"/>
    <w:rsid w:val="1ED9921C"/>
    <w:rsid w:val="1EDACF0A"/>
    <w:rsid w:val="1EDE6EB0"/>
    <w:rsid w:val="1EE479C1"/>
    <w:rsid w:val="1EE692FB"/>
    <w:rsid w:val="1EE72037"/>
    <w:rsid w:val="1EEEB0D2"/>
    <w:rsid w:val="1EF0759D"/>
    <w:rsid w:val="1EF4451A"/>
    <w:rsid w:val="1EF775D6"/>
    <w:rsid w:val="1F020347"/>
    <w:rsid w:val="1F02DC23"/>
    <w:rsid w:val="1F046817"/>
    <w:rsid w:val="1F046CDB"/>
    <w:rsid w:val="1F084B7A"/>
    <w:rsid w:val="1F09EC05"/>
    <w:rsid w:val="1F0AB0BD"/>
    <w:rsid w:val="1F0FF8A1"/>
    <w:rsid w:val="1F11C0DB"/>
    <w:rsid w:val="1F15A221"/>
    <w:rsid w:val="1F1AE366"/>
    <w:rsid w:val="1F1BA44C"/>
    <w:rsid w:val="1F20DEC4"/>
    <w:rsid w:val="1F210209"/>
    <w:rsid w:val="1F2313BD"/>
    <w:rsid w:val="1F27090A"/>
    <w:rsid w:val="1F2BDAA4"/>
    <w:rsid w:val="1F322199"/>
    <w:rsid w:val="1F324C5D"/>
    <w:rsid w:val="1F3324CC"/>
    <w:rsid w:val="1F3605B3"/>
    <w:rsid w:val="1F376C30"/>
    <w:rsid w:val="1F3AFF23"/>
    <w:rsid w:val="1F3B7E3B"/>
    <w:rsid w:val="1F3C9005"/>
    <w:rsid w:val="1F46E763"/>
    <w:rsid w:val="1F4C9D74"/>
    <w:rsid w:val="1F4D8EED"/>
    <w:rsid w:val="1F551887"/>
    <w:rsid w:val="1F5643F3"/>
    <w:rsid w:val="1F5696C6"/>
    <w:rsid w:val="1F58F55C"/>
    <w:rsid w:val="1F5AD3D1"/>
    <w:rsid w:val="1F5CAC22"/>
    <w:rsid w:val="1F62E13C"/>
    <w:rsid w:val="1F651394"/>
    <w:rsid w:val="1F66D32B"/>
    <w:rsid w:val="1F68C015"/>
    <w:rsid w:val="1F77DC0E"/>
    <w:rsid w:val="1F801A48"/>
    <w:rsid w:val="1F827825"/>
    <w:rsid w:val="1F861447"/>
    <w:rsid w:val="1F872844"/>
    <w:rsid w:val="1F8767A0"/>
    <w:rsid w:val="1F88D199"/>
    <w:rsid w:val="1F8D599B"/>
    <w:rsid w:val="1F929DE9"/>
    <w:rsid w:val="1F968174"/>
    <w:rsid w:val="1F989435"/>
    <w:rsid w:val="1F98E579"/>
    <w:rsid w:val="1F9C5C57"/>
    <w:rsid w:val="1F9D28CE"/>
    <w:rsid w:val="1FA448CF"/>
    <w:rsid w:val="1FA881E6"/>
    <w:rsid w:val="1FAD4E25"/>
    <w:rsid w:val="1FAED3AD"/>
    <w:rsid w:val="1FB00C20"/>
    <w:rsid w:val="1FB1A26C"/>
    <w:rsid w:val="1FB7C894"/>
    <w:rsid w:val="1FBCD309"/>
    <w:rsid w:val="1FC0C320"/>
    <w:rsid w:val="1FC11139"/>
    <w:rsid w:val="1FCAC4FC"/>
    <w:rsid w:val="1FD0454D"/>
    <w:rsid w:val="1FDA9FE1"/>
    <w:rsid w:val="1FE3FD4F"/>
    <w:rsid w:val="1FE61A36"/>
    <w:rsid w:val="1FEB6A3B"/>
    <w:rsid w:val="1FEDA504"/>
    <w:rsid w:val="1FF08774"/>
    <w:rsid w:val="1FF22D04"/>
    <w:rsid w:val="1FFA3A67"/>
    <w:rsid w:val="1FFBB8E7"/>
    <w:rsid w:val="1FFBF58B"/>
    <w:rsid w:val="2000F6FF"/>
    <w:rsid w:val="2009D3CD"/>
    <w:rsid w:val="200B3AA5"/>
    <w:rsid w:val="200D0990"/>
    <w:rsid w:val="200DB34F"/>
    <w:rsid w:val="20108F41"/>
    <w:rsid w:val="20146765"/>
    <w:rsid w:val="20150A9E"/>
    <w:rsid w:val="20165673"/>
    <w:rsid w:val="201918E2"/>
    <w:rsid w:val="201CDAFD"/>
    <w:rsid w:val="20233E27"/>
    <w:rsid w:val="20240F46"/>
    <w:rsid w:val="202660AA"/>
    <w:rsid w:val="20279CE2"/>
    <w:rsid w:val="20288388"/>
    <w:rsid w:val="202A9D23"/>
    <w:rsid w:val="202B5769"/>
    <w:rsid w:val="202CC17F"/>
    <w:rsid w:val="20305BDE"/>
    <w:rsid w:val="203296B5"/>
    <w:rsid w:val="2034D375"/>
    <w:rsid w:val="20353832"/>
    <w:rsid w:val="2037D6A1"/>
    <w:rsid w:val="2038B39C"/>
    <w:rsid w:val="2042393C"/>
    <w:rsid w:val="204797EC"/>
    <w:rsid w:val="20487AD2"/>
    <w:rsid w:val="2049EF4D"/>
    <w:rsid w:val="204A0CFD"/>
    <w:rsid w:val="204ADC43"/>
    <w:rsid w:val="204C57D6"/>
    <w:rsid w:val="204CAC83"/>
    <w:rsid w:val="204F3088"/>
    <w:rsid w:val="2050DDC0"/>
    <w:rsid w:val="20539EA4"/>
    <w:rsid w:val="205664A5"/>
    <w:rsid w:val="205969EA"/>
    <w:rsid w:val="205EF135"/>
    <w:rsid w:val="206340D3"/>
    <w:rsid w:val="206D2B25"/>
    <w:rsid w:val="206ECDA6"/>
    <w:rsid w:val="20722814"/>
    <w:rsid w:val="2075A882"/>
    <w:rsid w:val="207690A5"/>
    <w:rsid w:val="2078C579"/>
    <w:rsid w:val="207E32D3"/>
    <w:rsid w:val="207F7943"/>
    <w:rsid w:val="207FC285"/>
    <w:rsid w:val="20822F0F"/>
    <w:rsid w:val="20851917"/>
    <w:rsid w:val="2086C312"/>
    <w:rsid w:val="20A00EA7"/>
    <w:rsid w:val="20A193BD"/>
    <w:rsid w:val="20A1D508"/>
    <w:rsid w:val="20A6C037"/>
    <w:rsid w:val="20A82478"/>
    <w:rsid w:val="20B1F8F5"/>
    <w:rsid w:val="20B388E8"/>
    <w:rsid w:val="20B4993F"/>
    <w:rsid w:val="20B4FADE"/>
    <w:rsid w:val="20B61848"/>
    <w:rsid w:val="20BA2FC4"/>
    <w:rsid w:val="20C164EE"/>
    <w:rsid w:val="20C2D6B6"/>
    <w:rsid w:val="20C98F67"/>
    <w:rsid w:val="20D150DD"/>
    <w:rsid w:val="20D4BE84"/>
    <w:rsid w:val="20E34C6F"/>
    <w:rsid w:val="20E64894"/>
    <w:rsid w:val="20EA0523"/>
    <w:rsid w:val="20F00B4F"/>
    <w:rsid w:val="20F1781E"/>
    <w:rsid w:val="20F87A6D"/>
    <w:rsid w:val="20F8AD60"/>
    <w:rsid w:val="20F8E081"/>
    <w:rsid w:val="20FB5A4B"/>
    <w:rsid w:val="20FF601C"/>
    <w:rsid w:val="21028347"/>
    <w:rsid w:val="210719A4"/>
    <w:rsid w:val="2109388B"/>
    <w:rsid w:val="2109F908"/>
    <w:rsid w:val="21107B08"/>
    <w:rsid w:val="2112E497"/>
    <w:rsid w:val="2113A02F"/>
    <w:rsid w:val="2117440B"/>
    <w:rsid w:val="211C0972"/>
    <w:rsid w:val="211CBA30"/>
    <w:rsid w:val="212549B1"/>
    <w:rsid w:val="2129FC56"/>
    <w:rsid w:val="212D7F87"/>
    <w:rsid w:val="212EAED5"/>
    <w:rsid w:val="21353C0D"/>
    <w:rsid w:val="21368836"/>
    <w:rsid w:val="21378514"/>
    <w:rsid w:val="2138A408"/>
    <w:rsid w:val="213F43B6"/>
    <w:rsid w:val="21436D81"/>
    <w:rsid w:val="21471ED0"/>
    <w:rsid w:val="2147F910"/>
    <w:rsid w:val="21488510"/>
    <w:rsid w:val="214A7CE3"/>
    <w:rsid w:val="214AC62E"/>
    <w:rsid w:val="214C4A2B"/>
    <w:rsid w:val="214F1F0D"/>
    <w:rsid w:val="21597999"/>
    <w:rsid w:val="2160D752"/>
    <w:rsid w:val="21622360"/>
    <w:rsid w:val="2163729B"/>
    <w:rsid w:val="216787EF"/>
    <w:rsid w:val="216CB979"/>
    <w:rsid w:val="216EA4B7"/>
    <w:rsid w:val="21721B2A"/>
    <w:rsid w:val="2172ECF8"/>
    <w:rsid w:val="21761ABC"/>
    <w:rsid w:val="2176ED7E"/>
    <w:rsid w:val="21792CAD"/>
    <w:rsid w:val="217C67D1"/>
    <w:rsid w:val="218AAB44"/>
    <w:rsid w:val="219CD678"/>
    <w:rsid w:val="219F1CC6"/>
    <w:rsid w:val="21A55BD3"/>
    <w:rsid w:val="21AE1F79"/>
    <w:rsid w:val="21B06D4D"/>
    <w:rsid w:val="21B0BFB4"/>
    <w:rsid w:val="21B111EA"/>
    <w:rsid w:val="21B222D6"/>
    <w:rsid w:val="21B3B2EF"/>
    <w:rsid w:val="21B3C55A"/>
    <w:rsid w:val="21B63A53"/>
    <w:rsid w:val="21B78CBE"/>
    <w:rsid w:val="21B8FFD7"/>
    <w:rsid w:val="21B95F72"/>
    <w:rsid w:val="21BAEACD"/>
    <w:rsid w:val="21BED635"/>
    <w:rsid w:val="21CEF0B9"/>
    <w:rsid w:val="21D3C30B"/>
    <w:rsid w:val="21D6BC06"/>
    <w:rsid w:val="21DAD6DB"/>
    <w:rsid w:val="21DC2F95"/>
    <w:rsid w:val="21DE8579"/>
    <w:rsid w:val="21E4DBEC"/>
    <w:rsid w:val="21E9EE8F"/>
    <w:rsid w:val="21F1BDD1"/>
    <w:rsid w:val="21F5C3A9"/>
    <w:rsid w:val="21F8361E"/>
    <w:rsid w:val="21FB04AA"/>
    <w:rsid w:val="21FBC088"/>
    <w:rsid w:val="21FC2939"/>
    <w:rsid w:val="2200B80A"/>
    <w:rsid w:val="22022076"/>
    <w:rsid w:val="22056F39"/>
    <w:rsid w:val="2209E8A5"/>
    <w:rsid w:val="220B479C"/>
    <w:rsid w:val="220E0A32"/>
    <w:rsid w:val="2210A8B9"/>
    <w:rsid w:val="22160FBE"/>
    <w:rsid w:val="22172D6E"/>
    <w:rsid w:val="221C5891"/>
    <w:rsid w:val="2226BFDB"/>
    <w:rsid w:val="2226DBEA"/>
    <w:rsid w:val="2226EEDE"/>
    <w:rsid w:val="2228704A"/>
    <w:rsid w:val="222E68C0"/>
    <w:rsid w:val="2235D8CF"/>
    <w:rsid w:val="223ACCF6"/>
    <w:rsid w:val="223DE2C4"/>
    <w:rsid w:val="22401133"/>
    <w:rsid w:val="2240EB1F"/>
    <w:rsid w:val="2243A9E5"/>
    <w:rsid w:val="224D42E3"/>
    <w:rsid w:val="225557A4"/>
    <w:rsid w:val="2255E643"/>
    <w:rsid w:val="225677B7"/>
    <w:rsid w:val="2259607E"/>
    <w:rsid w:val="2259BCD0"/>
    <w:rsid w:val="225E069D"/>
    <w:rsid w:val="226BC048"/>
    <w:rsid w:val="22750F2B"/>
    <w:rsid w:val="2288D164"/>
    <w:rsid w:val="228AE322"/>
    <w:rsid w:val="228B10A3"/>
    <w:rsid w:val="228FC850"/>
    <w:rsid w:val="22932A17"/>
    <w:rsid w:val="2294417D"/>
    <w:rsid w:val="22946B5F"/>
    <w:rsid w:val="22956EE9"/>
    <w:rsid w:val="229B0355"/>
    <w:rsid w:val="22A4B852"/>
    <w:rsid w:val="22A5B3D2"/>
    <w:rsid w:val="22A815F3"/>
    <w:rsid w:val="22A868D0"/>
    <w:rsid w:val="22A89706"/>
    <w:rsid w:val="22AB81D8"/>
    <w:rsid w:val="22AC18A4"/>
    <w:rsid w:val="22BC5258"/>
    <w:rsid w:val="22BED02B"/>
    <w:rsid w:val="22C5B937"/>
    <w:rsid w:val="22C6CCBD"/>
    <w:rsid w:val="22D9E09A"/>
    <w:rsid w:val="22DAFF34"/>
    <w:rsid w:val="22EAC50F"/>
    <w:rsid w:val="22EEEEE4"/>
    <w:rsid w:val="22EF5358"/>
    <w:rsid w:val="22F01625"/>
    <w:rsid w:val="23008A46"/>
    <w:rsid w:val="23058D47"/>
    <w:rsid w:val="230A3EBC"/>
    <w:rsid w:val="230BF178"/>
    <w:rsid w:val="23134FED"/>
    <w:rsid w:val="23138524"/>
    <w:rsid w:val="2313BE57"/>
    <w:rsid w:val="23140B61"/>
    <w:rsid w:val="231D5656"/>
    <w:rsid w:val="231F7C12"/>
    <w:rsid w:val="23252C6B"/>
    <w:rsid w:val="2329090C"/>
    <w:rsid w:val="23359A80"/>
    <w:rsid w:val="23385392"/>
    <w:rsid w:val="233CA72F"/>
    <w:rsid w:val="23411FEE"/>
    <w:rsid w:val="23457258"/>
    <w:rsid w:val="234764FF"/>
    <w:rsid w:val="2350195C"/>
    <w:rsid w:val="23514B73"/>
    <w:rsid w:val="235394EE"/>
    <w:rsid w:val="2356431C"/>
    <w:rsid w:val="2356FEF3"/>
    <w:rsid w:val="235CA19F"/>
    <w:rsid w:val="23601066"/>
    <w:rsid w:val="2361AAC5"/>
    <w:rsid w:val="23644C12"/>
    <w:rsid w:val="2365DB03"/>
    <w:rsid w:val="2368A3E5"/>
    <w:rsid w:val="236AE612"/>
    <w:rsid w:val="236E75CC"/>
    <w:rsid w:val="2372ECCF"/>
    <w:rsid w:val="2378EE43"/>
    <w:rsid w:val="237E7910"/>
    <w:rsid w:val="23809C6D"/>
    <w:rsid w:val="23831E7B"/>
    <w:rsid w:val="2383ED1D"/>
    <w:rsid w:val="23844824"/>
    <w:rsid w:val="238EF6C0"/>
    <w:rsid w:val="2394412B"/>
    <w:rsid w:val="23999848"/>
    <w:rsid w:val="23A5CD2C"/>
    <w:rsid w:val="23AE9E27"/>
    <w:rsid w:val="23B4E149"/>
    <w:rsid w:val="23B75255"/>
    <w:rsid w:val="23BDEA59"/>
    <w:rsid w:val="23BDF81B"/>
    <w:rsid w:val="23C0C738"/>
    <w:rsid w:val="23C4C741"/>
    <w:rsid w:val="23CAB99D"/>
    <w:rsid w:val="23CACA4F"/>
    <w:rsid w:val="23CCD52E"/>
    <w:rsid w:val="23CCE9A7"/>
    <w:rsid w:val="23CDAF29"/>
    <w:rsid w:val="23D349E5"/>
    <w:rsid w:val="23D7680F"/>
    <w:rsid w:val="23DDD20B"/>
    <w:rsid w:val="23E21F55"/>
    <w:rsid w:val="23E2EC3C"/>
    <w:rsid w:val="23E5B4A0"/>
    <w:rsid w:val="23E70D23"/>
    <w:rsid w:val="23EACBEE"/>
    <w:rsid w:val="23F515A4"/>
    <w:rsid w:val="24055D4A"/>
    <w:rsid w:val="240A9083"/>
    <w:rsid w:val="240AA040"/>
    <w:rsid w:val="240CE52E"/>
    <w:rsid w:val="240DFBFA"/>
    <w:rsid w:val="240FB5EC"/>
    <w:rsid w:val="241A61D2"/>
    <w:rsid w:val="241DEFEB"/>
    <w:rsid w:val="241EDEC7"/>
    <w:rsid w:val="2426FD48"/>
    <w:rsid w:val="24289C50"/>
    <w:rsid w:val="242CF034"/>
    <w:rsid w:val="24385928"/>
    <w:rsid w:val="2439FE22"/>
    <w:rsid w:val="243BDE12"/>
    <w:rsid w:val="24415D75"/>
    <w:rsid w:val="24476259"/>
    <w:rsid w:val="244919D5"/>
    <w:rsid w:val="24556F74"/>
    <w:rsid w:val="24585F70"/>
    <w:rsid w:val="24596401"/>
    <w:rsid w:val="245D7F57"/>
    <w:rsid w:val="245FCA6B"/>
    <w:rsid w:val="246DC689"/>
    <w:rsid w:val="2471D2EC"/>
    <w:rsid w:val="2472BB83"/>
    <w:rsid w:val="2476B384"/>
    <w:rsid w:val="247ED6C5"/>
    <w:rsid w:val="248D9874"/>
    <w:rsid w:val="24905FDC"/>
    <w:rsid w:val="2496E168"/>
    <w:rsid w:val="2498D7E4"/>
    <w:rsid w:val="24A292DE"/>
    <w:rsid w:val="24ADA952"/>
    <w:rsid w:val="24B165FC"/>
    <w:rsid w:val="24B3BE69"/>
    <w:rsid w:val="24B4F0C8"/>
    <w:rsid w:val="24B4F714"/>
    <w:rsid w:val="24B4F728"/>
    <w:rsid w:val="24B70D80"/>
    <w:rsid w:val="24BB0D31"/>
    <w:rsid w:val="24BCC884"/>
    <w:rsid w:val="24BDF22D"/>
    <w:rsid w:val="24C2D43C"/>
    <w:rsid w:val="24C7FC15"/>
    <w:rsid w:val="24CDFF28"/>
    <w:rsid w:val="24D28826"/>
    <w:rsid w:val="24D57E14"/>
    <w:rsid w:val="24D96563"/>
    <w:rsid w:val="24DACFF3"/>
    <w:rsid w:val="24DBBFFB"/>
    <w:rsid w:val="24DC1439"/>
    <w:rsid w:val="24DF86DE"/>
    <w:rsid w:val="24E029B6"/>
    <w:rsid w:val="24E29CF9"/>
    <w:rsid w:val="24F45375"/>
    <w:rsid w:val="24F6353D"/>
    <w:rsid w:val="24FEDD37"/>
    <w:rsid w:val="2500DD82"/>
    <w:rsid w:val="25096DCF"/>
    <w:rsid w:val="2512B852"/>
    <w:rsid w:val="251ED082"/>
    <w:rsid w:val="252EFA31"/>
    <w:rsid w:val="252F3546"/>
    <w:rsid w:val="25302101"/>
    <w:rsid w:val="25313EC1"/>
    <w:rsid w:val="25324AE2"/>
    <w:rsid w:val="2539D6A7"/>
    <w:rsid w:val="253B6597"/>
    <w:rsid w:val="253CBD91"/>
    <w:rsid w:val="25407B8D"/>
    <w:rsid w:val="25438B8A"/>
    <w:rsid w:val="25468BC2"/>
    <w:rsid w:val="254754BF"/>
    <w:rsid w:val="254E8A24"/>
    <w:rsid w:val="2550ADD2"/>
    <w:rsid w:val="255CADE9"/>
    <w:rsid w:val="256A41FB"/>
    <w:rsid w:val="2570F93A"/>
    <w:rsid w:val="2571F073"/>
    <w:rsid w:val="25734F29"/>
    <w:rsid w:val="257DF452"/>
    <w:rsid w:val="25843BA2"/>
    <w:rsid w:val="2584E3A5"/>
    <w:rsid w:val="25873A27"/>
    <w:rsid w:val="25880A24"/>
    <w:rsid w:val="258E34FA"/>
    <w:rsid w:val="258EC6EC"/>
    <w:rsid w:val="258F1914"/>
    <w:rsid w:val="2592821F"/>
    <w:rsid w:val="2594E92C"/>
    <w:rsid w:val="2595F899"/>
    <w:rsid w:val="259A9034"/>
    <w:rsid w:val="259E32F7"/>
    <w:rsid w:val="25A7D479"/>
    <w:rsid w:val="25AD3E5E"/>
    <w:rsid w:val="25ADB294"/>
    <w:rsid w:val="25B08ABA"/>
    <w:rsid w:val="25B29D63"/>
    <w:rsid w:val="25B2A615"/>
    <w:rsid w:val="25B59A3A"/>
    <w:rsid w:val="25B59E64"/>
    <w:rsid w:val="25B95969"/>
    <w:rsid w:val="25C1215F"/>
    <w:rsid w:val="25C2A79B"/>
    <w:rsid w:val="25C5799F"/>
    <w:rsid w:val="25C69657"/>
    <w:rsid w:val="25C806FD"/>
    <w:rsid w:val="25C8E02C"/>
    <w:rsid w:val="25C8FA1E"/>
    <w:rsid w:val="25C9A3BE"/>
    <w:rsid w:val="25CF611B"/>
    <w:rsid w:val="25D222C0"/>
    <w:rsid w:val="25D66A2C"/>
    <w:rsid w:val="25DB10F0"/>
    <w:rsid w:val="25DB45FF"/>
    <w:rsid w:val="25E13F44"/>
    <w:rsid w:val="25E28752"/>
    <w:rsid w:val="25E5134B"/>
    <w:rsid w:val="25E53A15"/>
    <w:rsid w:val="25E6700E"/>
    <w:rsid w:val="25E86293"/>
    <w:rsid w:val="25EAF162"/>
    <w:rsid w:val="25EE7908"/>
    <w:rsid w:val="25F08CB2"/>
    <w:rsid w:val="26019988"/>
    <w:rsid w:val="260DC155"/>
    <w:rsid w:val="260E3B91"/>
    <w:rsid w:val="260EE099"/>
    <w:rsid w:val="260F7080"/>
    <w:rsid w:val="26112EE4"/>
    <w:rsid w:val="2612C488"/>
    <w:rsid w:val="26236B48"/>
    <w:rsid w:val="26242F5A"/>
    <w:rsid w:val="2627614C"/>
    <w:rsid w:val="262AAF1F"/>
    <w:rsid w:val="262D7BB5"/>
    <w:rsid w:val="262DB451"/>
    <w:rsid w:val="263260C4"/>
    <w:rsid w:val="2635728E"/>
    <w:rsid w:val="263631FB"/>
    <w:rsid w:val="2638BC7D"/>
    <w:rsid w:val="26392E8F"/>
    <w:rsid w:val="2639C2FE"/>
    <w:rsid w:val="263A92B9"/>
    <w:rsid w:val="263D4C8D"/>
    <w:rsid w:val="263DDC2C"/>
    <w:rsid w:val="263E4D0E"/>
    <w:rsid w:val="263F646A"/>
    <w:rsid w:val="2641DA7D"/>
    <w:rsid w:val="26448C3C"/>
    <w:rsid w:val="26461DD5"/>
    <w:rsid w:val="264A53EB"/>
    <w:rsid w:val="264D0F30"/>
    <w:rsid w:val="26542AE0"/>
    <w:rsid w:val="26551B84"/>
    <w:rsid w:val="265617DD"/>
    <w:rsid w:val="265A12F4"/>
    <w:rsid w:val="265E0A31"/>
    <w:rsid w:val="265F81D3"/>
    <w:rsid w:val="26604B2D"/>
    <w:rsid w:val="26678815"/>
    <w:rsid w:val="2667C63C"/>
    <w:rsid w:val="266E85EC"/>
    <w:rsid w:val="26742F9B"/>
    <w:rsid w:val="2677806B"/>
    <w:rsid w:val="26795193"/>
    <w:rsid w:val="267A5640"/>
    <w:rsid w:val="267A697D"/>
    <w:rsid w:val="267DEBBE"/>
    <w:rsid w:val="267F3CC4"/>
    <w:rsid w:val="2688E654"/>
    <w:rsid w:val="268BAD10"/>
    <w:rsid w:val="26917D79"/>
    <w:rsid w:val="26980543"/>
    <w:rsid w:val="26A46759"/>
    <w:rsid w:val="26A4D5FC"/>
    <w:rsid w:val="26A5815B"/>
    <w:rsid w:val="26AB48E1"/>
    <w:rsid w:val="26B456F9"/>
    <w:rsid w:val="26B4606D"/>
    <w:rsid w:val="26B81E31"/>
    <w:rsid w:val="26BE32AF"/>
    <w:rsid w:val="26C0C47E"/>
    <w:rsid w:val="26CAD389"/>
    <w:rsid w:val="26CED5E7"/>
    <w:rsid w:val="26D19F55"/>
    <w:rsid w:val="26D22AA5"/>
    <w:rsid w:val="26DE5750"/>
    <w:rsid w:val="26E097D0"/>
    <w:rsid w:val="26E162FA"/>
    <w:rsid w:val="26E29784"/>
    <w:rsid w:val="26E298E7"/>
    <w:rsid w:val="26E6AEF0"/>
    <w:rsid w:val="26FA4871"/>
    <w:rsid w:val="26FE198C"/>
    <w:rsid w:val="27026EB5"/>
    <w:rsid w:val="27034156"/>
    <w:rsid w:val="270930AA"/>
    <w:rsid w:val="270A8333"/>
    <w:rsid w:val="270C2B9B"/>
    <w:rsid w:val="270D614B"/>
    <w:rsid w:val="2713144D"/>
    <w:rsid w:val="27179AAA"/>
    <w:rsid w:val="271D4F56"/>
    <w:rsid w:val="27208F8A"/>
    <w:rsid w:val="2722282B"/>
    <w:rsid w:val="27224B55"/>
    <w:rsid w:val="2724CE17"/>
    <w:rsid w:val="2725F342"/>
    <w:rsid w:val="272EEA41"/>
    <w:rsid w:val="27320D81"/>
    <w:rsid w:val="2734F1DD"/>
    <w:rsid w:val="273543F2"/>
    <w:rsid w:val="2738D0EB"/>
    <w:rsid w:val="273D1DD5"/>
    <w:rsid w:val="274246FB"/>
    <w:rsid w:val="2748A74C"/>
    <w:rsid w:val="274AB59C"/>
    <w:rsid w:val="274D2269"/>
    <w:rsid w:val="27570E51"/>
    <w:rsid w:val="275F9C74"/>
    <w:rsid w:val="2765BB67"/>
    <w:rsid w:val="2765D177"/>
    <w:rsid w:val="276BB435"/>
    <w:rsid w:val="276C61E1"/>
    <w:rsid w:val="276DF321"/>
    <w:rsid w:val="27756274"/>
    <w:rsid w:val="277D6E0E"/>
    <w:rsid w:val="277DA0DF"/>
    <w:rsid w:val="27802850"/>
    <w:rsid w:val="27815D3B"/>
    <w:rsid w:val="27875626"/>
    <w:rsid w:val="278A3F6B"/>
    <w:rsid w:val="278A5674"/>
    <w:rsid w:val="27960B15"/>
    <w:rsid w:val="279699EB"/>
    <w:rsid w:val="279DD766"/>
    <w:rsid w:val="27A3F1BF"/>
    <w:rsid w:val="27A47CEC"/>
    <w:rsid w:val="27A68A27"/>
    <w:rsid w:val="27A77955"/>
    <w:rsid w:val="27AE4A65"/>
    <w:rsid w:val="27AE764B"/>
    <w:rsid w:val="27B769A5"/>
    <w:rsid w:val="27B8DD32"/>
    <w:rsid w:val="27BD45AE"/>
    <w:rsid w:val="27BEBD0C"/>
    <w:rsid w:val="27C1474E"/>
    <w:rsid w:val="27C254BD"/>
    <w:rsid w:val="27C273AF"/>
    <w:rsid w:val="27CD4288"/>
    <w:rsid w:val="27D47AA2"/>
    <w:rsid w:val="27D55C5E"/>
    <w:rsid w:val="27D9FF23"/>
    <w:rsid w:val="27DA47B2"/>
    <w:rsid w:val="27DE4E59"/>
    <w:rsid w:val="27E21091"/>
    <w:rsid w:val="27E8F3D2"/>
    <w:rsid w:val="27EF627F"/>
    <w:rsid w:val="27F4453A"/>
    <w:rsid w:val="27F514CD"/>
    <w:rsid w:val="27FA3847"/>
    <w:rsid w:val="280008D2"/>
    <w:rsid w:val="28068982"/>
    <w:rsid w:val="28078EBD"/>
    <w:rsid w:val="2810DEFB"/>
    <w:rsid w:val="2819C1C7"/>
    <w:rsid w:val="281DA5C3"/>
    <w:rsid w:val="2821590F"/>
    <w:rsid w:val="282203FF"/>
    <w:rsid w:val="2822172A"/>
    <w:rsid w:val="282232C7"/>
    <w:rsid w:val="2825AC25"/>
    <w:rsid w:val="282706FD"/>
    <w:rsid w:val="28292B6D"/>
    <w:rsid w:val="2830488F"/>
    <w:rsid w:val="2833347D"/>
    <w:rsid w:val="2839D14C"/>
    <w:rsid w:val="28441624"/>
    <w:rsid w:val="2845BC3B"/>
    <w:rsid w:val="284D8372"/>
    <w:rsid w:val="284E64FA"/>
    <w:rsid w:val="284ED4AA"/>
    <w:rsid w:val="28561D77"/>
    <w:rsid w:val="285AFFE8"/>
    <w:rsid w:val="285CAE9C"/>
    <w:rsid w:val="28623635"/>
    <w:rsid w:val="28634DEA"/>
    <w:rsid w:val="28655625"/>
    <w:rsid w:val="286BB109"/>
    <w:rsid w:val="287240A8"/>
    <w:rsid w:val="28728205"/>
    <w:rsid w:val="28784B63"/>
    <w:rsid w:val="2878F7B5"/>
    <w:rsid w:val="28811286"/>
    <w:rsid w:val="28881A0B"/>
    <w:rsid w:val="288CB9DE"/>
    <w:rsid w:val="288F3865"/>
    <w:rsid w:val="28996F3E"/>
    <w:rsid w:val="28A5C1B6"/>
    <w:rsid w:val="28A72A7C"/>
    <w:rsid w:val="28A8E0DB"/>
    <w:rsid w:val="28ACA1AA"/>
    <w:rsid w:val="28AD76E4"/>
    <w:rsid w:val="28B5F80C"/>
    <w:rsid w:val="28B6030C"/>
    <w:rsid w:val="28BC2BF8"/>
    <w:rsid w:val="28BDC6F4"/>
    <w:rsid w:val="28CCB081"/>
    <w:rsid w:val="28CD42FC"/>
    <w:rsid w:val="28D23746"/>
    <w:rsid w:val="28D28FF2"/>
    <w:rsid w:val="28D60CAC"/>
    <w:rsid w:val="28D60F15"/>
    <w:rsid w:val="28D7F070"/>
    <w:rsid w:val="28D8583D"/>
    <w:rsid w:val="28E13E2E"/>
    <w:rsid w:val="28E512C2"/>
    <w:rsid w:val="28E56F2A"/>
    <w:rsid w:val="28E5A54F"/>
    <w:rsid w:val="28EC1409"/>
    <w:rsid w:val="28EF38D6"/>
    <w:rsid w:val="28F0A760"/>
    <w:rsid w:val="28F10461"/>
    <w:rsid w:val="28F1DB1B"/>
    <w:rsid w:val="28F206DC"/>
    <w:rsid w:val="28F38262"/>
    <w:rsid w:val="28FCF146"/>
    <w:rsid w:val="29004A3E"/>
    <w:rsid w:val="2903541D"/>
    <w:rsid w:val="290371DB"/>
    <w:rsid w:val="2903CA4D"/>
    <w:rsid w:val="29091A26"/>
    <w:rsid w:val="290B1291"/>
    <w:rsid w:val="290B6339"/>
    <w:rsid w:val="29121A54"/>
    <w:rsid w:val="2913F4EC"/>
    <w:rsid w:val="292C9E5B"/>
    <w:rsid w:val="292E4D3E"/>
    <w:rsid w:val="29383BD0"/>
    <w:rsid w:val="29388F88"/>
    <w:rsid w:val="2944D624"/>
    <w:rsid w:val="2945429A"/>
    <w:rsid w:val="294B6AF3"/>
    <w:rsid w:val="295131A7"/>
    <w:rsid w:val="2954C248"/>
    <w:rsid w:val="29563709"/>
    <w:rsid w:val="2956BDAD"/>
    <w:rsid w:val="295884B2"/>
    <w:rsid w:val="295A0995"/>
    <w:rsid w:val="295B2584"/>
    <w:rsid w:val="295BE905"/>
    <w:rsid w:val="295C9D93"/>
    <w:rsid w:val="2960BA0F"/>
    <w:rsid w:val="29690BDE"/>
    <w:rsid w:val="296BB347"/>
    <w:rsid w:val="296CBE28"/>
    <w:rsid w:val="29751C3C"/>
    <w:rsid w:val="29790B3A"/>
    <w:rsid w:val="297B93E6"/>
    <w:rsid w:val="297BF668"/>
    <w:rsid w:val="2986C591"/>
    <w:rsid w:val="29877154"/>
    <w:rsid w:val="298B5CAA"/>
    <w:rsid w:val="298F3C7C"/>
    <w:rsid w:val="298FBB9D"/>
    <w:rsid w:val="299320FE"/>
    <w:rsid w:val="299741B1"/>
    <w:rsid w:val="2998B444"/>
    <w:rsid w:val="29993939"/>
    <w:rsid w:val="29996506"/>
    <w:rsid w:val="2999FB83"/>
    <w:rsid w:val="299C6EB2"/>
    <w:rsid w:val="29A2E06B"/>
    <w:rsid w:val="29A3424F"/>
    <w:rsid w:val="29AA99C2"/>
    <w:rsid w:val="29ABDB7D"/>
    <w:rsid w:val="29B01BB7"/>
    <w:rsid w:val="29B2E72D"/>
    <w:rsid w:val="29B81FA5"/>
    <w:rsid w:val="29BA3CA7"/>
    <w:rsid w:val="29BD2C80"/>
    <w:rsid w:val="29BE966B"/>
    <w:rsid w:val="29D4A77A"/>
    <w:rsid w:val="29D5E84E"/>
    <w:rsid w:val="29DB0003"/>
    <w:rsid w:val="29E01031"/>
    <w:rsid w:val="29E05ADD"/>
    <w:rsid w:val="29E4C77D"/>
    <w:rsid w:val="29EA4A23"/>
    <w:rsid w:val="29FAC664"/>
    <w:rsid w:val="29FB828A"/>
    <w:rsid w:val="29FF156D"/>
    <w:rsid w:val="2A01D46B"/>
    <w:rsid w:val="2A03356F"/>
    <w:rsid w:val="2A2350CA"/>
    <w:rsid w:val="2A26D098"/>
    <w:rsid w:val="2A273681"/>
    <w:rsid w:val="2A33B29C"/>
    <w:rsid w:val="2A3817FD"/>
    <w:rsid w:val="2A3B8AF0"/>
    <w:rsid w:val="2A43423F"/>
    <w:rsid w:val="2A45C1E7"/>
    <w:rsid w:val="2A47D062"/>
    <w:rsid w:val="2A6186AE"/>
    <w:rsid w:val="2A61A260"/>
    <w:rsid w:val="2A61ACE4"/>
    <w:rsid w:val="2A63D7A6"/>
    <w:rsid w:val="2A68BC88"/>
    <w:rsid w:val="2A6D122B"/>
    <w:rsid w:val="2A6E12F6"/>
    <w:rsid w:val="2A71811E"/>
    <w:rsid w:val="2A74B50F"/>
    <w:rsid w:val="2A78F965"/>
    <w:rsid w:val="2A7BD4DF"/>
    <w:rsid w:val="2A7D51AC"/>
    <w:rsid w:val="2A84A123"/>
    <w:rsid w:val="2A885544"/>
    <w:rsid w:val="2A889E60"/>
    <w:rsid w:val="2A8A60A3"/>
    <w:rsid w:val="2A8B4E25"/>
    <w:rsid w:val="2A8EF138"/>
    <w:rsid w:val="2A903E5F"/>
    <w:rsid w:val="2A915884"/>
    <w:rsid w:val="2A91FEC0"/>
    <w:rsid w:val="2A9B0422"/>
    <w:rsid w:val="2A9C8070"/>
    <w:rsid w:val="2AA08387"/>
    <w:rsid w:val="2AA0C0C7"/>
    <w:rsid w:val="2AB3EF9C"/>
    <w:rsid w:val="2AB61092"/>
    <w:rsid w:val="2AB6D8F3"/>
    <w:rsid w:val="2AB824BA"/>
    <w:rsid w:val="2ABEAFDC"/>
    <w:rsid w:val="2AC54EB5"/>
    <w:rsid w:val="2AC91CCE"/>
    <w:rsid w:val="2ACB4EF4"/>
    <w:rsid w:val="2AD20F3E"/>
    <w:rsid w:val="2AD4BBA7"/>
    <w:rsid w:val="2AD91625"/>
    <w:rsid w:val="2ADA1EE4"/>
    <w:rsid w:val="2ADD9AB4"/>
    <w:rsid w:val="2ADEA111"/>
    <w:rsid w:val="2AE07F54"/>
    <w:rsid w:val="2AE3EA4E"/>
    <w:rsid w:val="2AE9EE03"/>
    <w:rsid w:val="2AEAFC04"/>
    <w:rsid w:val="2AED1C16"/>
    <w:rsid w:val="2AF261C9"/>
    <w:rsid w:val="2AF3ADCA"/>
    <w:rsid w:val="2AF5DFAC"/>
    <w:rsid w:val="2AF95A42"/>
    <w:rsid w:val="2B08354F"/>
    <w:rsid w:val="2B09740C"/>
    <w:rsid w:val="2B0DF382"/>
    <w:rsid w:val="2B0EF9A3"/>
    <w:rsid w:val="2B148082"/>
    <w:rsid w:val="2B1EBE2A"/>
    <w:rsid w:val="2B2095BB"/>
    <w:rsid w:val="2B280767"/>
    <w:rsid w:val="2B2B39FD"/>
    <w:rsid w:val="2B2BE5FC"/>
    <w:rsid w:val="2B30527A"/>
    <w:rsid w:val="2B33D9CA"/>
    <w:rsid w:val="2B3707B2"/>
    <w:rsid w:val="2B381A17"/>
    <w:rsid w:val="2B396B6A"/>
    <w:rsid w:val="2B3C84C8"/>
    <w:rsid w:val="2B4000DE"/>
    <w:rsid w:val="2B423977"/>
    <w:rsid w:val="2B48C5CC"/>
    <w:rsid w:val="2B4C1438"/>
    <w:rsid w:val="2B4D0704"/>
    <w:rsid w:val="2B60AF37"/>
    <w:rsid w:val="2B62F80F"/>
    <w:rsid w:val="2B63B5A3"/>
    <w:rsid w:val="2B6428D1"/>
    <w:rsid w:val="2B6711C8"/>
    <w:rsid w:val="2B7513C3"/>
    <w:rsid w:val="2B76900E"/>
    <w:rsid w:val="2B78C0B3"/>
    <w:rsid w:val="2B84E783"/>
    <w:rsid w:val="2B853626"/>
    <w:rsid w:val="2B88B198"/>
    <w:rsid w:val="2B89B043"/>
    <w:rsid w:val="2B8A8BD5"/>
    <w:rsid w:val="2B8BBB90"/>
    <w:rsid w:val="2B8C9FBF"/>
    <w:rsid w:val="2B8F4BC1"/>
    <w:rsid w:val="2B9011FC"/>
    <w:rsid w:val="2B993D1B"/>
    <w:rsid w:val="2B9C7570"/>
    <w:rsid w:val="2B9D5408"/>
    <w:rsid w:val="2B9DDB36"/>
    <w:rsid w:val="2BA2D7DC"/>
    <w:rsid w:val="2BA4B170"/>
    <w:rsid w:val="2BABB2A4"/>
    <w:rsid w:val="2BAE1F4F"/>
    <w:rsid w:val="2BB60FA3"/>
    <w:rsid w:val="2BB613B3"/>
    <w:rsid w:val="2BB70DCA"/>
    <w:rsid w:val="2BBF212B"/>
    <w:rsid w:val="2BBFF567"/>
    <w:rsid w:val="2BC06C19"/>
    <w:rsid w:val="2BC0F23C"/>
    <w:rsid w:val="2BC776EA"/>
    <w:rsid w:val="2BD32ED3"/>
    <w:rsid w:val="2BD5FA07"/>
    <w:rsid w:val="2BD649C1"/>
    <w:rsid w:val="2BD98257"/>
    <w:rsid w:val="2BDA3727"/>
    <w:rsid w:val="2BE45985"/>
    <w:rsid w:val="2BE65A61"/>
    <w:rsid w:val="2BE75795"/>
    <w:rsid w:val="2BED2E33"/>
    <w:rsid w:val="2BEE4D66"/>
    <w:rsid w:val="2BF44642"/>
    <w:rsid w:val="2BF64011"/>
    <w:rsid w:val="2BFBC453"/>
    <w:rsid w:val="2BFD9760"/>
    <w:rsid w:val="2C062426"/>
    <w:rsid w:val="2C071AAF"/>
    <w:rsid w:val="2C081D7B"/>
    <w:rsid w:val="2C12A868"/>
    <w:rsid w:val="2C15C3B5"/>
    <w:rsid w:val="2C17011B"/>
    <w:rsid w:val="2C1A60BB"/>
    <w:rsid w:val="2C1C1EB9"/>
    <w:rsid w:val="2C1CAA38"/>
    <w:rsid w:val="2C206B96"/>
    <w:rsid w:val="2C20AC10"/>
    <w:rsid w:val="2C224E18"/>
    <w:rsid w:val="2C240D3F"/>
    <w:rsid w:val="2C246FF9"/>
    <w:rsid w:val="2C2A08CD"/>
    <w:rsid w:val="2C2C289C"/>
    <w:rsid w:val="2C304FDA"/>
    <w:rsid w:val="2C321E51"/>
    <w:rsid w:val="2C35E99B"/>
    <w:rsid w:val="2C3A95FE"/>
    <w:rsid w:val="2C3C75E1"/>
    <w:rsid w:val="2C3E5F80"/>
    <w:rsid w:val="2C4B1888"/>
    <w:rsid w:val="2C4CB6C6"/>
    <w:rsid w:val="2C4E83A8"/>
    <w:rsid w:val="2C517E43"/>
    <w:rsid w:val="2C524817"/>
    <w:rsid w:val="2C529797"/>
    <w:rsid w:val="2C56537D"/>
    <w:rsid w:val="2C5AB883"/>
    <w:rsid w:val="2C5D2121"/>
    <w:rsid w:val="2C5D6B46"/>
    <w:rsid w:val="2C5DC258"/>
    <w:rsid w:val="2C63005B"/>
    <w:rsid w:val="2C649EBD"/>
    <w:rsid w:val="2C64BC73"/>
    <w:rsid w:val="2C65AADB"/>
    <w:rsid w:val="2C66DB7E"/>
    <w:rsid w:val="2C6D3815"/>
    <w:rsid w:val="2C74DBF2"/>
    <w:rsid w:val="2C7DB002"/>
    <w:rsid w:val="2C7EC334"/>
    <w:rsid w:val="2C7EFD24"/>
    <w:rsid w:val="2C84F8B2"/>
    <w:rsid w:val="2C864A93"/>
    <w:rsid w:val="2C898375"/>
    <w:rsid w:val="2C8A3B45"/>
    <w:rsid w:val="2C8A98A2"/>
    <w:rsid w:val="2C8AECD8"/>
    <w:rsid w:val="2C8D4F51"/>
    <w:rsid w:val="2C95A3B1"/>
    <w:rsid w:val="2C96B184"/>
    <w:rsid w:val="2C9D5D27"/>
    <w:rsid w:val="2C9F6013"/>
    <w:rsid w:val="2CA71068"/>
    <w:rsid w:val="2CAD47DB"/>
    <w:rsid w:val="2CB0FF5A"/>
    <w:rsid w:val="2CB1A791"/>
    <w:rsid w:val="2CC03BD3"/>
    <w:rsid w:val="2CC3D711"/>
    <w:rsid w:val="2CC5E207"/>
    <w:rsid w:val="2CCE54C7"/>
    <w:rsid w:val="2CCEA09F"/>
    <w:rsid w:val="2CD08E22"/>
    <w:rsid w:val="2CD0D9FB"/>
    <w:rsid w:val="2CD243E3"/>
    <w:rsid w:val="2CD76E1F"/>
    <w:rsid w:val="2CDABE99"/>
    <w:rsid w:val="2CDF2135"/>
    <w:rsid w:val="2CE34FAA"/>
    <w:rsid w:val="2CF37D85"/>
    <w:rsid w:val="2CF61BEB"/>
    <w:rsid w:val="2CFC35B1"/>
    <w:rsid w:val="2D022BB1"/>
    <w:rsid w:val="2D0642D8"/>
    <w:rsid w:val="2D13C496"/>
    <w:rsid w:val="2D157993"/>
    <w:rsid w:val="2D1582DE"/>
    <w:rsid w:val="2D15E56D"/>
    <w:rsid w:val="2D1C13BE"/>
    <w:rsid w:val="2D21007E"/>
    <w:rsid w:val="2D246616"/>
    <w:rsid w:val="2D2566A6"/>
    <w:rsid w:val="2D2A6297"/>
    <w:rsid w:val="2D31D8CE"/>
    <w:rsid w:val="2D3A172F"/>
    <w:rsid w:val="2D3C495E"/>
    <w:rsid w:val="2D3F4167"/>
    <w:rsid w:val="2D3F45B4"/>
    <w:rsid w:val="2D408941"/>
    <w:rsid w:val="2D439442"/>
    <w:rsid w:val="2D444A3F"/>
    <w:rsid w:val="2D449D21"/>
    <w:rsid w:val="2D485BDF"/>
    <w:rsid w:val="2D4A55F4"/>
    <w:rsid w:val="2D4D850D"/>
    <w:rsid w:val="2D58362E"/>
    <w:rsid w:val="2D5BD06B"/>
    <w:rsid w:val="2D6E8994"/>
    <w:rsid w:val="2D70A1AF"/>
    <w:rsid w:val="2D73BD42"/>
    <w:rsid w:val="2D7DB29A"/>
    <w:rsid w:val="2D7FA12F"/>
    <w:rsid w:val="2D836C5E"/>
    <w:rsid w:val="2D85AFF5"/>
    <w:rsid w:val="2D85C270"/>
    <w:rsid w:val="2D8B3B00"/>
    <w:rsid w:val="2D9267E6"/>
    <w:rsid w:val="2D9D008C"/>
    <w:rsid w:val="2D9E9C2B"/>
    <w:rsid w:val="2DA05FC2"/>
    <w:rsid w:val="2DA3BCA4"/>
    <w:rsid w:val="2DAAAC50"/>
    <w:rsid w:val="2DAE75E4"/>
    <w:rsid w:val="2DB054DF"/>
    <w:rsid w:val="2DB132F9"/>
    <w:rsid w:val="2DB38F17"/>
    <w:rsid w:val="2DB5AE67"/>
    <w:rsid w:val="2DB86EAB"/>
    <w:rsid w:val="2DBE5A7D"/>
    <w:rsid w:val="2DC15E4A"/>
    <w:rsid w:val="2DC530DB"/>
    <w:rsid w:val="2DC688B9"/>
    <w:rsid w:val="2DCD33E6"/>
    <w:rsid w:val="2DD3F1F9"/>
    <w:rsid w:val="2DD45B7B"/>
    <w:rsid w:val="2DDD22C2"/>
    <w:rsid w:val="2DDEE34F"/>
    <w:rsid w:val="2DE2E551"/>
    <w:rsid w:val="2DE72697"/>
    <w:rsid w:val="2DE9C828"/>
    <w:rsid w:val="2DED0DC7"/>
    <w:rsid w:val="2DED2EA3"/>
    <w:rsid w:val="2DF6F6B2"/>
    <w:rsid w:val="2DF8C18D"/>
    <w:rsid w:val="2DFA5427"/>
    <w:rsid w:val="2DFB31A2"/>
    <w:rsid w:val="2E027157"/>
    <w:rsid w:val="2E0493ED"/>
    <w:rsid w:val="2E0C3AC7"/>
    <w:rsid w:val="2E0E990E"/>
    <w:rsid w:val="2E1CEB4E"/>
    <w:rsid w:val="2E1D4076"/>
    <w:rsid w:val="2E1E0711"/>
    <w:rsid w:val="2E1FC3AC"/>
    <w:rsid w:val="2E245296"/>
    <w:rsid w:val="2E24D31D"/>
    <w:rsid w:val="2E28FA09"/>
    <w:rsid w:val="2E2B845F"/>
    <w:rsid w:val="2E2BB36C"/>
    <w:rsid w:val="2E2C94D5"/>
    <w:rsid w:val="2E342DB9"/>
    <w:rsid w:val="2E3919C3"/>
    <w:rsid w:val="2E394BE1"/>
    <w:rsid w:val="2E3CCF34"/>
    <w:rsid w:val="2E4345F2"/>
    <w:rsid w:val="2E443333"/>
    <w:rsid w:val="2E472EDE"/>
    <w:rsid w:val="2E4949F7"/>
    <w:rsid w:val="2E4DB294"/>
    <w:rsid w:val="2E4F0D23"/>
    <w:rsid w:val="2E5404C2"/>
    <w:rsid w:val="2E56B33D"/>
    <w:rsid w:val="2E5A1D3D"/>
    <w:rsid w:val="2E5EC4B2"/>
    <w:rsid w:val="2E615F5C"/>
    <w:rsid w:val="2E62FBA5"/>
    <w:rsid w:val="2E64C612"/>
    <w:rsid w:val="2E6D053D"/>
    <w:rsid w:val="2E6FDB82"/>
    <w:rsid w:val="2E7536C7"/>
    <w:rsid w:val="2E762E4D"/>
    <w:rsid w:val="2E879463"/>
    <w:rsid w:val="2E88E710"/>
    <w:rsid w:val="2E892584"/>
    <w:rsid w:val="2E9073B3"/>
    <w:rsid w:val="2E934E2C"/>
    <w:rsid w:val="2E94CC35"/>
    <w:rsid w:val="2E9C4C9C"/>
    <w:rsid w:val="2E9D9580"/>
    <w:rsid w:val="2EA7673A"/>
    <w:rsid w:val="2EAA0DCE"/>
    <w:rsid w:val="2EAB2768"/>
    <w:rsid w:val="2EB1C7B5"/>
    <w:rsid w:val="2EB436EE"/>
    <w:rsid w:val="2EB4D0A0"/>
    <w:rsid w:val="2EB8D2B9"/>
    <w:rsid w:val="2EBABDE3"/>
    <w:rsid w:val="2EC17377"/>
    <w:rsid w:val="2EC34820"/>
    <w:rsid w:val="2EC9335C"/>
    <w:rsid w:val="2ECB673F"/>
    <w:rsid w:val="2ECC7573"/>
    <w:rsid w:val="2EE3D24C"/>
    <w:rsid w:val="2EE60B33"/>
    <w:rsid w:val="2EE6817C"/>
    <w:rsid w:val="2EED9FF0"/>
    <w:rsid w:val="2EEF1DA6"/>
    <w:rsid w:val="2EF297F6"/>
    <w:rsid w:val="2EF8AD58"/>
    <w:rsid w:val="2EFB39F5"/>
    <w:rsid w:val="2EFE39C6"/>
    <w:rsid w:val="2F0E8C55"/>
    <w:rsid w:val="2F17E8CC"/>
    <w:rsid w:val="2F1A96CB"/>
    <w:rsid w:val="2F1B4192"/>
    <w:rsid w:val="2F1BE639"/>
    <w:rsid w:val="2F224F1D"/>
    <w:rsid w:val="2F25A93F"/>
    <w:rsid w:val="2F276458"/>
    <w:rsid w:val="2F2AEA6A"/>
    <w:rsid w:val="2F2E65AE"/>
    <w:rsid w:val="2F2EC4CB"/>
    <w:rsid w:val="2F344EC9"/>
    <w:rsid w:val="2F37A738"/>
    <w:rsid w:val="2F39B3F2"/>
    <w:rsid w:val="2F3BBA25"/>
    <w:rsid w:val="2F3CEC7D"/>
    <w:rsid w:val="2F42CF2A"/>
    <w:rsid w:val="2F47B851"/>
    <w:rsid w:val="2F4DE0ED"/>
    <w:rsid w:val="2F4EC9B3"/>
    <w:rsid w:val="2F4FAF06"/>
    <w:rsid w:val="2F6080C7"/>
    <w:rsid w:val="2F60DC3C"/>
    <w:rsid w:val="2F65CC7C"/>
    <w:rsid w:val="2F6C37AB"/>
    <w:rsid w:val="2F6E577A"/>
    <w:rsid w:val="2F740FA3"/>
    <w:rsid w:val="2F74CAD6"/>
    <w:rsid w:val="2F791D34"/>
    <w:rsid w:val="2F862A9A"/>
    <w:rsid w:val="2F87EE03"/>
    <w:rsid w:val="2F89316C"/>
    <w:rsid w:val="2F909DF7"/>
    <w:rsid w:val="2F9212DD"/>
    <w:rsid w:val="2F976E17"/>
    <w:rsid w:val="2F9A6911"/>
    <w:rsid w:val="2F9EDFF2"/>
    <w:rsid w:val="2F9FC07A"/>
    <w:rsid w:val="2FA28244"/>
    <w:rsid w:val="2FA3BB4F"/>
    <w:rsid w:val="2FA804E3"/>
    <w:rsid w:val="2FA85169"/>
    <w:rsid w:val="2FABD9D5"/>
    <w:rsid w:val="2FAE5E9E"/>
    <w:rsid w:val="2FB2DBF6"/>
    <w:rsid w:val="2FB5EA23"/>
    <w:rsid w:val="2FBBE492"/>
    <w:rsid w:val="2FBBF551"/>
    <w:rsid w:val="2FBF238F"/>
    <w:rsid w:val="2FC14CEF"/>
    <w:rsid w:val="2FC2B283"/>
    <w:rsid w:val="2FC79F31"/>
    <w:rsid w:val="2FCC5133"/>
    <w:rsid w:val="2FCC77B8"/>
    <w:rsid w:val="2FCF4167"/>
    <w:rsid w:val="2FCF5893"/>
    <w:rsid w:val="2FCFD6C9"/>
    <w:rsid w:val="2FD58608"/>
    <w:rsid w:val="2FD5A4BD"/>
    <w:rsid w:val="2FD923B6"/>
    <w:rsid w:val="2FD97586"/>
    <w:rsid w:val="2FDD1D89"/>
    <w:rsid w:val="2FE2A490"/>
    <w:rsid w:val="2FE8C62A"/>
    <w:rsid w:val="2FEAF753"/>
    <w:rsid w:val="2FECF1AF"/>
    <w:rsid w:val="2FEFF473"/>
    <w:rsid w:val="2FF19FB7"/>
    <w:rsid w:val="2FF1B9A8"/>
    <w:rsid w:val="2FF736FC"/>
    <w:rsid w:val="2FF83B2F"/>
    <w:rsid w:val="2FFA9513"/>
    <w:rsid w:val="2FFEC33E"/>
    <w:rsid w:val="2FFFB5FA"/>
    <w:rsid w:val="3000C995"/>
    <w:rsid w:val="3003F2E1"/>
    <w:rsid w:val="3005811E"/>
    <w:rsid w:val="300DE743"/>
    <w:rsid w:val="300E3B56"/>
    <w:rsid w:val="300F9901"/>
    <w:rsid w:val="3010C3D8"/>
    <w:rsid w:val="30133EE4"/>
    <w:rsid w:val="3014545B"/>
    <w:rsid w:val="3016CB28"/>
    <w:rsid w:val="3017F234"/>
    <w:rsid w:val="301FD6C3"/>
    <w:rsid w:val="301FDE30"/>
    <w:rsid w:val="302CAEB0"/>
    <w:rsid w:val="302F5181"/>
    <w:rsid w:val="3030170D"/>
    <w:rsid w:val="30311F20"/>
    <w:rsid w:val="3034549C"/>
    <w:rsid w:val="3038AB56"/>
    <w:rsid w:val="3041C239"/>
    <w:rsid w:val="30448F75"/>
    <w:rsid w:val="304D46A8"/>
    <w:rsid w:val="305208BB"/>
    <w:rsid w:val="30581497"/>
    <w:rsid w:val="305CF95E"/>
    <w:rsid w:val="306412D4"/>
    <w:rsid w:val="306CC7F9"/>
    <w:rsid w:val="30702738"/>
    <w:rsid w:val="307C91F6"/>
    <w:rsid w:val="307CD81F"/>
    <w:rsid w:val="308568FC"/>
    <w:rsid w:val="308FFAC3"/>
    <w:rsid w:val="308FFB71"/>
    <w:rsid w:val="3092C160"/>
    <w:rsid w:val="30939D92"/>
    <w:rsid w:val="30966CEA"/>
    <w:rsid w:val="3096ABC9"/>
    <w:rsid w:val="30976A03"/>
    <w:rsid w:val="3097C889"/>
    <w:rsid w:val="3099CAE9"/>
    <w:rsid w:val="309B6A49"/>
    <w:rsid w:val="30A132EC"/>
    <w:rsid w:val="30A70014"/>
    <w:rsid w:val="30A73C3E"/>
    <w:rsid w:val="30A94383"/>
    <w:rsid w:val="30AE5D76"/>
    <w:rsid w:val="30B0E40F"/>
    <w:rsid w:val="30B5A5C4"/>
    <w:rsid w:val="30B5BD8E"/>
    <w:rsid w:val="30B6DCE2"/>
    <w:rsid w:val="30BB3F98"/>
    <w:rsid w:val="30BC3F51"/>
    <w:rsid w:val="30BF528B"/>
    <w:rsid w:val="30C3C3C9"/>
    <w:rsid w:val="30C81EF9"/>
    <w:rsid w:val="30D1583B"/>
    <w:rsid w:val="30D1DEE5"/>
    <w:rsid w:val="30D4E390"/>
    <w:rsid w:val="30D80F7C"/>
    <w:rsid w:val="30DFE597"/>
    <w:rsid w:val="30E29980"/>
    <w:rsid w:val="30E63549"/>
    <w:rsid w:val="30E95EF7"/>
    <w:rsid w:val="30EBC13B"/>
    <w:rsid w:val="31042055"/>
    <w:rsid w:val="3104E29D"/>
    <w:rsid w:val="31055BF2"/>
    <w:rsid w:val="31062496"/>
    <w:rsid w:val="31126E9E"/>
    <w:rsid w:val="31146F67"/>
    <w:rsid w:val="3119FEF9"/>
    <w:rsid w:val="311E09C2"/>
    <w:rsid w:val="3120552A"/>
    <w:rsid w:val="3121C4A2"/>
    <w:rsid w:val="312258B9"/>
    <w:rsid w:val="312335E7"/>
    <w:rsid w:val="312503DE"/>
    <w:rsid w:val="31270E5D"/>
    <w:rsid w:val="312A6913"/>
    <w:rsid w:val="312D99FB"/>
    <w:rsid w:val="312E703D"/>
    <w:rsid w:val="312E7091"/>
    <w:rsid w:val="313060E4"/>
    <w:rsid w:val="31350F21"/>
    <w:rsid w:val="3139A094"/>
    <w:rsid w:val="313AA0BE"/>
    <w:rsid w:val="3144F967"/>
    <w:rsid w:val="31469936"/>
    <w:rsid w:val="31478E71"/>
    <w:rsid w:val="3147DE70"/>
    <w:rsid w:val="314998BC"/>
    <w:rsid w:val="314AE5B7"/>
    <w:rsid w:val="314EF0F0"/>
    <w:rsid w:val="3152D3AB"/>
    <w:rsid w:val="31553D4B"/>
    <w:rsid w:val="3157B1EF"/>
    <w:rsid w:val="31583D4A"/>
    <w:rsid w:val="315B8A1E"/>
    <w:rsid w:val="315FEC92"/>
    <w:rsid w:val="3167ED76"/>
    <w:rsid w:val="3169ABE8"/>
    <w:rsid w:val="316C1568"/>
    <w:rsid w:val="316DC927"/>
    <w:rsid w:val="3175CB89"/>
    <w:rsid w:val="317906DD"/>
    <w:rsid w:val="317FFF82"/>
    <w:rsid w:val="3181B48D"/>
    <w:rsid w:val="3189EC80"/>
    <w:rsid w:val="31979EFC"/>
    <w:rsid w:val="3198A551"/>
    <w:rsid w:val="31A5B308"/>
    <w:rsid w:val="31A6059D"/>
    <w:rsid w:val="31A9E488"/>
    <w:rsid w:val="31ACCA7A"/>
    <w:rsid w:val="31B0105E"/>
    <w:rsid w:val="31B6474E"/>
    <w:rsid w:val="31B87AC1"/>
    <w:rsid w:val="31B8CF24"/>
    <w:rsid w:val="31BF574A"/>
    <w:rsid w:val="31C2EE36"/>
    <w:rsid w:val="31C3AE21"/>
    <w:rsid w:val="31C95F2F"/>
    <w:rsid w:val="31C96B82"/>
    <w:rsid w:val="31C9C87C"/>
    <w:rsid w:val="31CC8B6A"/>
    <w:rsid w:val="31CDA006"/>
    <w:rsid w:val="31CFBE0F"/>
    <w:rsid w:val="31D0F7D0"/>
    <w:rsid w:val="31D25983"/>
    <w:rsid w:val="31D422A2"/>
    <w:rsid w:val="31D519C4"/>
    <w:rsid w:val="31D7D24E"/>
    <w:rsid w:val="31DB5BDB"/>
    <w:rsid w:val="31E15ABA"/>
    <w:rsid w:val="31E423ED"/>
    <w:rsid w:val="31E94718"/>
    <w:rsid w:val="31ECA80C"/>
    <w:rsid w:val="31ED626F"/>
    <w:rsid w:val="31EF8C35"/>
    <w:rsid w:val="31F66B1D"/>
    <w:rsid w:val="3208985A"/>
    <w:rsid w:val="320B141C"/>
    <w:rsid w:val="320C94CE"/>
    <w:rsid w:val="32118259"/>
    <w:rsid w:val="3221E266"/>
    <w:rsid w:val="32292388"/>
    <w:rsid w:val="32335143"/>
    <w:rsid w:val="3234BBB4"/>
    <w:rsid w:val="323799D1"/>
    <w:rsid w:val="3239A30F"/>
    <w:rsid w:val="3241CB3C"/>
    <w:rsid w:val="3244AC7A"/>
    <w:rsid w:val="324585A3"/>
    <w:rsid w:val="32476B06"/>
    <w:rsid w:val="324C044B"/>
    <w:rsid w:val="324C7588"/>
    <w:rsid w:val="324CB387"/>
    <w:rsid w:val="324E22EA"/>
    <w:rsid w:val="324FEF48"/>
    <w:rsid w:val="32531806"/>
    <w:rsid w:val="3254592A"/>
    <w:rsid w:val="3258A77E"/>
    <w:rsid w:val="325AB3D2"/>
    <w:rsid w:val="325E63F7"/>
    <w:rsid w:val="326148F5"/>
    <w:rsid w:val="3262D1F0"/>
    <w:rsid w:val="326A33B6"/>
    <w:rsid w:val="326B15F8"/>
    <w:rsid w:val="3271096B"/>
    <w:rsid w:val="32771282"/>
    <w:rsid w:val="327987E0"/>
    <w:rsid w:val="327AFCA4"/>
    <w:rsid w:val="328303FC"/>
    <w:rsid w:val="3284EDAE"/>
    <w:rsid w:val="32876159"/>
    <w:rsid w:val="32880AB4"/>
    <w:rsid w:val="3289F22A"/>
    <w:rsid w:val="328AA3E6"/>
    <w:rsid w:val="328B98E6"/>
    <w:rsid w:val="3290B7D5"/>
    <w:rsid w:val="32918457"/>
    <w:rsid w:val="32947EEB"/>
    <w:rsid w:val="3295B9DE"/>
    <w:rsid w:val="32999D94"/>
    <w:rsid w:val="329C55B3"/>
    <w:rsid w:val="32A9A17F"/>
    <w:rsid w:val="32AA5352"/>
    <w:rsid w:val="32B387F0"/>
    <w:rsid w:val="32B438D1"/>
    <w:rsid w:val="32B4F4EB"/>
    <w:rsid w:val="32BCAC90"/>
    <w:rsid w:val="32C39FDA"/>
    <w:rsid w:val="32C62E7B"/>
    <w:rsid w:val="32CF64FA"/>
    <w:rsid w:val="32D518A0"/>
    <w:rsid w:val="32D59024"/>
    <w:rsid w:val="32D75834"/>
    <w:rsid w:val="32DC2585"/>
    <w:rsid w:val="32E80B98"/>
    <w:rsid w:val="32E99806"/>
    <w:rsid w:val="32F2A70D"/>
    <w:rsid w:val="32F9CEB4"/>
    <w:rsid w:val="32FDDAF0"/>
    <w:rsid w:val="33013BAE"/>
    <w:rsid w:val="3301433B"/>
    <w:rsid w:val="3305B985"/>
    <w:rsid w:val="330686AD"/>
    <w:rsid w:val="3307077E"/>
    <w:rsid w:val="33070E58"/>
    <w:rsid w:val="330C7868"/>
    <w:rsid w:val="3315CF30"/>
    <w:rsid w:val="331D202E"/>
    <w:rsid w:val="331D3F20"/>
    <w:rsid w:val="331D795D"/>
    <w:rsid w:val="331F9506"/>
    <w:rsid w:val="33258293"/>
    <w:rsid w:val="3329C2D8"/>
    <w:rsid w:val="332C80C9"/>
    <w:rsid w:val="332E0F89"/>
    <w:rsid w:val="3331EB50"/>
    <w:rsid w:val="333BF976"/>
    <w:rsid w:val="333C67CD"/>
    <w:rsid w:val="333CB956"/>
    <w:rsid w:val="333F4FE2"/>
    <w:rsid w:val="3341BB48"/>
    <w:rsid w:val="334217A4"/>
    <w:rsid w:val="33424456"/>
    <w:rsid w:val="3349D344"/>
    <w:rsid w:val="334A9B5E"/>
    <w:rsid w:val="33577AAF"/>
    <w:rsid w:val="335809FD"/>
    <w:rsid w:val="33596329"/>
    <w:rsid w:val="33609882"/>
    <w:rsid w:val="3363E4CA"/>
    <w:rsid w:val="336A9D51"/>
    <w:rsid w:val="336AE258"/>
    <w:rsid w:val="336D3F6E"/>
    <w:rsid w:val="336FCB3E"/>
    <w:rsid w:val="337016C1"/>
    <w:rsid w:val="33738BA2"/>
    <w:rsid w:val="33775064"/>
    <w:rsid w:val="337C75B9"/>
    <w:rsid w:val="3380B881"/>
    <w:rsid w:val="33831226"/>
    <w:rsid w:val="33851D7B"/>
    <w:rsid w:val="3385EC93"/>
    <w:rsid w:val="3388DC62"/>
    <w:rsid w:val="3393911B"/>
    <w:rsid w:val="33967902"/>
    <w:rsid w:val="33969539"/>
    <w:rsid w:val="3399A587"/>
    <w:rsid w:val="339D4EB6"/>
    <w:rsid w:val="33A029E5"/>
    <w:rsid w:val="33A16D49"/>
    <w:rsid w:val="33A3E8B0"/>
    <w:rsid w:val="33A5855E"/>
    <w:rsid w:val="33A66D06"/>
    <w:rsid w:val="33B97A5D"/>
    <w:rsid w:val="33C7AC20"/>
    <w:rsid w:val="33C8EC00"/>
    <w:rsid w:val="33C95040"/>
    <w:rsid w:val="33CC3459"/>
    <w:rsid w:val="33D20DAB"/>
    <w:rsid w:val="33D28C35"/>
    <w:rsid w:val="33D3208A"/>
    <w:rsid w:val="33D673B1"/>
    <w:rsid w:val="33DA228F"/>
    <w:rsid w:val="33DD0D6C"/>
    <w:rsid w:val="33E16779"/>
    <w:rsid w:val="33E3AF06"/>
    <w:rsid w:val="33E44426"/>
    <w:rsid w:val="33E864A6"/>
    <w:rsid w:val="33EF6F66"/>
    <w:rsid w:val="33F1B665"/>
    <w:rsid w:val="33F27EFD"/>
    <w:rsid w:val="33F4DD73"/>
    <w:rsid w:val="33F867B1"/>
    <w:rsid w:val="33FB9EA8"/>
    <w:rsid w:val="33FE05E4"/>
    <w:rsid w:val="34015B1A"/>
    <w:rsid w:val="340351ED"/>
    <w:rsid w:val="340F75D3"/>
    <w:rsid w:val="34101AA0"/>
    <w:rsid w:val="34131AD9"/>
    <w:rsid w:val="3417B958"/>
    <w:rsid w:val="341ADC89"/>
    <w:rsid w:val="341B35BB"/>
    <w:rsid w:val="341E3BE8"/>
    <w:rsid w:val="342810A2"/>
    <w:rsid w:val="3428CBA9"/>
    <w:rsid w:val="3429C768"/>
    <w:rsid w:val="34300FE6"/>
    <w:rsid w:val="3439972A"/>
    <w:rsid w:val="344454E4"/>
    <w:rsid w:val="344AA071"/>
    <w:rsid w:val="344DFEE3"/>
    <w:rsid w:val="34541315"/>
    <w:rsid w:val="3457C0D4"/>
    <w:rsid w:val="3457C613"/>
    <w:rsid w:val="34590B56"/>
    <w:rsid w:val="34597899"/>
    <w:rsid w:val="345BD297"/>
    <w:rsid w:val="345DAF1E"/>
    <w:rsid w:val="346463F8"/>
    <w:rsid w:val="346803C8"/>
    <w:rsid w:val="346BE258"/>
    <w:rsid w:val="3478F28A"/>
    <w:rsid w:val="347AE336"/>
    <w:rsid w:val="347F40E0"/>
    <w:rsid w:val="3482087F"/>
    <w:rsid w:val="3485B99F"/>
    <w:rsid w:val="34885643"/>
    <w:rsid w:val="348D749D"/>
    <w:rsid w:val="34903638"/>
    <w:rsid w:val="349576CA"/>
    <w:rsid w:val="3497AA37"/>
    <w:rsid w:val="3498ABD8"/>
    <w:rsid w:val="349C4A58"/>
    <w:rsid w:val="349EF33D"/>
    <w:rsid w:val="34A52E5B"/>
    <w:rsid w:val="34A894C9"/>
    <w:rsid w:val="34AB0500"/>
    <w:rsid w:val="34AEC625"/>
    <w:rsid w:val="34AED490"/>
    <w:rsid w:val="34BA596C"/>
    <w:rsid w:val="34BA958A"/>
    <w:rsid w:val="34BB6D95"/>
    <w:rsid w:val="34C192F0"/>
    <w:rsid w:val="34C3BB83"/>
    <w:rsid w:val="34C95C81"/>
    <w:rsid w:val="34CF13B3"/>
    <w:rsid w:val="34CFCF32"/>
    <w:rsid w:val="34D4C44E"/>
    <w:rsid w:val="34DD7EBD"/>
    <w:rsid w:val="34E16923"/>
    <w:rsid w:val="34E25E9A"/>
    <w:rsid w:val="34ED5F19"/>
    <w:rsid w:val="34F215D7"/>
    <w:rsid w:val="34F27B51"/>
    <w:rsid w:val="34F802C3"/>
    <w:rsid w:val="34FA9EF1"/>
    <w:rsid w:val="34FDA154"/>
    <w:rsid w:val="350D2EAA"/>
    <w:rsid w:val="35100B9C"/>
    <w:rsid w:val="35150833"/>
    <w:rsid w:val="3518BF30"/>
    <w:rsid w:val="35199AEB"/>
    <w:rsid w:val="351F2E55"/>
    <w:rsid w:val="352157EA"/>
    <w:rsid w:val="35237527"/>
    <w:rsid w:val="3527CBB6"/>
    <w:rsid w:val="352EC25C"/>
    <w:rsid w:val="35316531"/>
    <w:rsid w:val="35316BAE"/>
    <w:rsid w:val="35319070"/>
    <w:rsid w:val="3538645B"/>
    <w:rsid w:val="353AA423"/>
    <w:rsid w:val="353BA8D1"/>
    <w:rsid w:val="353C1E0D"/>
    <w:rsid w:val="353E879D"/>
    <w:rsid w:val="35423D18"/>
    <w:rsid w:val="354C2ED9"/>
    <w:rsid w:val="354D80B8"/>
    <w:rsid w:val="354EEA52"/>
    <w:rsid w:val="355C9140"/>
    <w:rsid w:val="35620572"/>
    <w:rsid w:val="3566A685"/>
    <w:rsid w:val="3568FC8F"/>
    <w:rsid w:val="35690374"/>
    <w:rsid w:val="356A907D"/>
    <w:rsid w:val="356BB7FC"/>
    <w:rsid w:val="356DF159"/>
    <w:rsid w:val="3570A66C"/>
    <w:rsid w:val="35714DAD"/>
    <w:rsid w:val="3578C306"/>
    <w:rsid w:val="357C1FC3"/>
    <w:rsid w:val="358C594F"/>
    <w:rsid w:val="358D3D77"/>
    <w:rsid w:val="359139B8"/>
    <w:rsid w:val="3594B04B"/>
    <w:rsid w:val="35952FE4"/>
    <w:rsid w:val="3596E5B4"/>
    <w:rsid w:val="359D7315"/>
    <w:rsid w:val="359D7E54"/>
    <w:rsid w:val="359F2B97"/>
    <w:rsid w:val="35A2D61E"/>
    <w:rsid w:val="35A655EB"/>
    <w:rsid w:val="35A9AF0D"/>
    <w:rsid w:val="35B283E6"/>
    <w:rsid w:val="35B6FE01"/>
    <w:rsid w:val="35B70FEE"/>
    <w:rsid w:val="35BDD126"/>
    <w:rsid w:val="35C1DB4B"/>
    <w:rsid w:val="35C30EC9"/>
    <w:rsid w:val="35CACDFC"/>
    <w:rsid w:val="35D2405B"/>
    <w:rsid w:val="35D8A02C"/>
    <w:rsid w:val="35E01E7A"/>
    <w:rsid w:val="35E2BA63"/>
    <w:rsid w:val="35E7C38C"/>
    <w:rsid w:val="35E93FF0"/>
    <w:rsid w:val="35F6C558"/>
    <w:rsid w:val="35FB0BAC"/>
    <w:rsid w:val="35FB90B2"/>
    <w:rsid w:val="36018715"/>
    <w:rsid w:val="3609F450"/>
    <w:rsid w:val="360CEFF5"/>
    <w:rsid w:val="36190E58"/>
    <w:rsid w:val="361B9DE6"/>
    <w:rsid w:val="361C9D90"/>
    <w:rsid w:val="361D90AC"/>
    <w:rsid w:val="361F3D65"/>
    <w:rsid w:val="361FEB11"/>
    <w:rsid w:val="3620C297"/>
    <w:rsid w:val="362223CF"/>
    <w:rsid w:val="362496FF"/>
    <w:rsid w:val="3628E847"/>
    <w:rsid w:val="362C06D9"/>
    <w:rsid w:val="3635C7BC"/>
    <w:rsid w:val="36360992"/>
    <w:rsid w:val="363E8612"/>
    <w:rsid w:val="3640BBBE"/>
    <w:rsid w:val="36436424"/>
    <w:rsid w:val="3644E96D"/>
    <w:rsid w:val="36476A74"/>
    <w:rsid w:val="364790E2"/>
    <w:rsid w:val="364FAA6C"/>
    <w:rsid w:val="3655FD26"/>
    <w:rsid w:val="36587AC6"/>
    <w:rsid w:val="365B06EC"/>
    <w:rsid w:val="36600046"/>
    <w:rsid w:val="366AA710"/>
    <w:rsid w:val="367064C4"/>
    <w:rsid w:val="36735623"/>
    <w:rsid w:val="3676425A"/>
    <w:rsid w:val="36767291"/>
    <w:rsid w:val="3679080D"/>
    <w:rsid w:val="367A10C0"/>
    <w:rsid w:val="367A4F9C"/>
    <w:rsid w:val="367DF840"/>
    <w:rsid w:val="3684C2A1"/>
    <w:rsid w:val="36890563"/>
    <w:rsid w:val="36896AA8"/>
    <w:rsid w:val="36951550"/>
    <w:rsid w:val="369ADBD3"/>
    <w:rsid w:val="36ACD09D"/>
    <w:rsid w:val="36B0E097"/>
    <w:rsid w:val="36B37A15"/>
    <w:rsid w:val="36B4062E"/>
    <w:rsid w:val="36B424CC"/>
    <w:rsid w:val="36B4D3F5"/>
    <w:rsid w:val="36B66D54"/>
    <w:rsid w:val="36BA7D0D"/>
    <w:rsid w:val="36BE3646"/>
    <w:rsid w:val="36C99085"/>
    <w:rsid w:val="36CA3B75"/>
    <w:rsid w:val="36CAA13C"/>
    <w:rsid w:val="36CFDED0"/>
    <w:rsid w:val="36D202FF"/>
    <w:rsid w:val="36D301EE"/>
    <w:rsid w:val="36D59AF0"/>
    <w:rsid w:val="36DA2FDB"/>
    <w:rsid w:val="36DEF3AF"/>
    <w:rsid w:val="36DF6D40"/>
    <w:rsid w:val="36E12EAA"/>
    <w:rsid w:val="36E31728"/>
    <w:rsid w:val="36E561FF"/>
    <w:rsid w:val="36EAA7EA"/>
    <w:rsid w:val="36F40FA0"/>
    <w:rsid w:val="36F66176"/>
    <w:rsid w:val="36F6EE09"/>
    <w:rsid w:val="36F835B4"/>
    <w:rsid w:val="36F904EF"/>
    <w:rsid w:val="3700F074"/>
    <w:rsid w:val="37028710"/>
    <w:rsid w:val="37039603"/>
    <w:rsid w:val="370835F7"/>
    <w:rsid w:val="370B2C23"/>
    <w:rsid w:val="370B8F47"/>
    <w:rsid w:val="370CDE63"/>
    <w:rsid w:val="370D06DF"/>
    <w:rsid w:val="371056D5"/>
    <w:rsid w:val="3710DA6D"/>
    <w:rsid w:val="371DAF73"/>
    <w:rsid w:val="3733F734"/>
    <w:rsid w:val="373567AD"/>
    <w:rsid w:val="3736FDDC"/>
    <w:rsid w:val="37375BE4"/>
    <w:rsid w:val="373F450B"/>
    <w:rsid w:val="374368A0"/>
    <w:rsid w:val="37466216"/>
    <w:rsid w:val="374768A3"/>
    <w:rsid w:val="37481011"/>
    <w:rsid w:val="374D1815"/>
    <w:rsid w:val="374DAD50"/>
    <w:rsid w:val="3750E4D0"/>
    <w:rsid w:val="37569CB8"/>
    <w:rsid w:val="3757A541"/>
    <w:rsid w:val="375A7BED"/>
    <w:rsid w:val="375A8A05"/>
    <w:rsid w:val="37614579"/>
    <w:rsid w:val="37624FE7"/>
    <w:rsid w:val="376435C6"/>
    <w:rsid w:val="37646B82"/>
    <w:rsid w:val="3764ACC6"/>
    <w:rsid w:val="37659E28"/>
    <w:rsid w:val="376E3B73"/>
    <w:rsid w:val="376F2571"/>
    <w:rsid w:val="3773D88C"/>
    <w:rsid w:val="37762A20"/>
    <w:rsid w:val="37799EFE"/>
    <w:rsid w:val="377A0E41"/>
    <w:rsid w:val="377C02A8"/>
    <w:rsid w:val="3782BA3F"/>
    <w:rsid w:val="378D5558"/>
    <w:rsid w:val="37954D1E"/>
    <w:rsid w:val="3797FB01"/>
    <w:rsid w:val="37A01EBF"/>
    <w:rsid w:val="37A65EFB"/>
    <w:rsid w:val="37A73F30"/>
    <w:rsid w:val="37A982F2"/>
    <w:rsid w:val="37AC665E"/>
    <w:rsid w:val="37AD359F"/>
    <w:rsid w:val="37AE2823"/>
    <w:rsid w:val="37B38403"/>
    <w:rsid w:val="37B59C9E"/>
    <w:rsid w:val="37B6B89B"/>
    <w:rsid w:val="37B6E679"/>
    <w:rsid w:val="37B79B6F"/>
    <w:rsid w:val="37B80F8E"/>
    <w:rsid w:val="37B8E1AB"/>
    <w:rsid w:val="37C167D6"/>
    <w:rsid w:val="37C53CB0"/>
    <w:rsid w:val="37C8DB6B"/>
    <w:rsid w:val="37CAE4EC"/>
    <w:rsid w:val="37CE22FB"/>
    <w:rsid w:val="37CF57BD"/>
    <w:rsid w:val="37D0BF15"/>
    <w:rsid w:val="37D71678"/>
    <w:rsid w:val="37D848F4"/>
    <w:rsid w:val="37E54723"/>
    <w:rsid w:val="37EC59E9"/>
    <w:rsid w:val="37EDCFA0"/>
    <w:rsid w:val="37F57E92"/>
    <w:rsid w:val="37FEB394"/>
    <w:rsid w:val="37FECB55"/>
    <w:rsid w:val="3804C8F0"/>
    <w:rsid w:val="38055841"/>
    <w:rsid w:val="3809368E"/>
    <w:rsid w:val="380A5B13"/>
    <w:rsid w:val="380E3248"/>
    <w:rsid w:val="381A7012"/>
    <w:rsid w:val="381C30BE"/>
    <w:rsid w:val="381EB727"/>
    <w:rsid w:val="381F2693"/>
    <w:rsid w:val="382111DE"/>
    <w:rsid w:val="382199E0"/>
    <w:rsid w:val="38227355"/>
    <w:rsid w:val="38230ABA"/>
    <w:rsid w:val="38246ADF"/>
    <w:rsid w:val="3824F74C"/>
    <w:rsid w:val="3829BA2F"/>
    <w:rsid w:val="382A0CE1"/>
    <w:rsid w:val="383135E4"/>
    <w:rsid w:val="3831DDF8"/>
    <w:rsid w:val="383B8B59"/>
    <w:rsid w:val="3840C51C"/>
    <w:rsid w:val="38466F54"/>
    <w:rsid w:val="384A6D78"/>
    <w:rsid w:val="384AFAEB"/>
    <w:rsid w:val="384D6B4D"/>
    <w:rsid w:val="38504ACA"/>
    <w:rsid w:val="385763B4"/>
    <w:rsid w:val="385B4B8E"/>
    <w:rsid w:val="385BFA93"/>
    <w:rsid w:val="385CCB29"/>
    <w:rsid w:val="38603F8F"/>
    <w:rsid w:val="38627C94"/>
    <w:rsid w:val="3864AC86"/>
    <w:rsid w:val="3865B5CB"/>
    <w:rsid w:val="3866346B"/>
    <w:rsid w:val="386D2DDB"/>
    <w:rsid w:val="386E7505"/>
    <w:rsid w:val="38728A03"/>
    <w:rsid w:val="3873A779"/>
    <w:rsid w:val="38798BAB"/>
    <w:rsid w:val="38799A2D"/>
    <w:rsid w:val="387B92CB"/>
    <w:rsid w:val="387C5445"/>
    <w:rsid w:val="387D7A04"/>
    <w:rsid w:val="387E1605"/>
    <w:rsid w:val="3881D1BB"/>
    <w:rsid w:val="38886AD9"/>
    <w:rsid w:val="388A1B11"/>
    <w:rsid w:val="388E0CAC"/>
    <w:rsid w:val="388E586E"/>
    <w:rsid w:val="3893E129"/>
    <w:rsid w:val="3893E827"/>
    <w:rsid w:val="389629FF"/>
    <w:rsid w:val="389A4088"/>
    <w:rsid w:val="38A3F4A7"/>
    <w:rsid w:val="38A84029"/>
    <w:rsid w:val="38AAD348"/>
    <w:rsid w:val="38B02BF8"/>
    <w:rsid w:val="38B0C21F"/>
    <w:rsid w:val="38B37FE3"/>
    <w:rsid w:val="38B8A723"/>
    <w:rsid w:val="38BD5528"/>
    <w:rsid w:val="38BE4CD3"/>
    <w:rsid w:val="38C420FA"/>
    <w:rsid w:val="38CA51A4"/>
    <w:rsid w:val="38CB1749"/>
    <w:rsid w:val="38CC4D11"/>
    <w:rsid w:val="38D343B4"/>
    <w:rsid w:val="38DC51F4"/>
    <w:rsid w:val="38DDD582"/>
    <w:rsid w:val="38DE9EB8"/>
    <w:rsid w:val="38E11DDF"/>
    <w:rsid w:val="38E23807"/>
    <w:rsid w:val="38E9C821"/>
    <w:rsid w:val="38EA111B"/>
    <w:rsid w:val="38F2A77F"/>
    <w:rsid w:val="38F420AE"/>
    <w:rsid w:val="38F9A17E"/>
    <w:rsid w:val="38FF8470"/>
    <w:rsid w:val="390FFE78"/>
    <w:rsid w:val="39107144"/>
    <w:rsid w:val="3914BA17"/>
    <w:rsid w:val="39164516"/>
    <w:rsid w:val="391958CE"/>
    <w:rsid w:val="391EC51F"/>
    <w:rsid w:val="392159C4"/>
    <w:rsid w:val="39222552"/>
    <w:rsid w:val="39300CED"/>
    <w:rsid w:val="39302F29"/>
    <w:rsid w:val="39346A89"/>
    <w:rsid w:val="3938FB26"/>
    <w:rsid w:val="393D1E5D"/>
    <w:rsid w:val="393DBBEA"/>
    <w:rsid w:val="3940DCE3"/>
    <w:rsid w:val="3943F3F7"/>
    <w:rsid w:val="39462A80"/>
    <w:rsid w:val="394B99BE"/>
    <w:rsid w:val="394B9C8D"/>
    <w:rsid w:val="394FA463"/>
    <w:rsid w:val="3951BDB5"/>
    <w:rsid w:val="39587E79"/>
    <w:rsid w:val="395AAEC0"/>
    <w:rsid w:val="395B34D8"/>
    <w:rsid w:val="395F913B"/>
    <w:rsid w:val="39610DF8"/>
    <w:rsid w:val="39615AC4"/>
    <w:rsid w:val="39659894"/>
    <w:rsid w:val="3965EEC7"/>
    <w:rsid w:val="39662890"/>
    <w:rsid w:val="396A5174"/>
    <w:rsid w:val="397149AC"/>
    <w:rsid w:val="397777F2"/>
    <w:rsid w:val="398118AD"/>
    <w:rsid w:val="3983C83D"/>
    <w:rsid w:val="3986FD5B"/>
    <w:rsid w:val="398F26C9"/>
    <w:rsid w:val="39908FAA"/>
    <w:rsid w:val="399278EF"/>
    <w:rsid w:val="39939651"/>
    <w:rsid w:val="3996937C"/>
    <w:rsid w:val="39979CF9"/>
    <w:rsid w:val="399835AC"/>
    <w:rsid w:val="39A02296"/>
    <w:rsid w:val="39A375B8"/>
    <w:rsid w:val="39A70C09"/>
    <w:rsid w:val="39AA3382"/>
    <w:rsid w:val="39AA81DA"/>
    <w:rsid w:val="39AA8A9A"/>
    <w:rsid w:val="39AB1EE9"/>
    <w:rsid w:val="39AB3193"/>
    <w:rsid w:val="39ADBBBB"/>
    <w:rsid w:val="39B0631B"/>
    <w:rsid w:val="39B2C91F"/>
    <w:rsid w:val="39B31FAF"/>
    <w:rsid w:val="39B39297"/>
    <w:rsid w:val="39B5F699"/>
    <w:rsid w:val="39BC234E"/>
    <w:rsid w:val="39BEEBC8"/>
    <w:rsid w:val="39C08E7E"/>
    <w:rsid w:val="39C6E552"/>
    <w:rsid w:val="39CB6F7B"/>
    <w:rsid w:val="39DCC5AB"/>
    <w:rsid w:val="39DEA7C5"/>
    <w:rsid w:val="39E623DE"/>
    <w:rsid w:val="39EDDFFF"/>
    <w:rsid w:val="39EEF9F9"/>
    <w:rsid w:val="39F3E5DC"/>
    <w:rsid w:val="39F4F1E5"/>
    <w:rsid w:val="39F5F8DD"/>
    <w:rsid w:val="39FC0291"/>
    <w:rsid w:val="39FD4687"/>
    <w:rsid w:val="3A01E336"/>
    <w:rsid w:val="3A033190"/>
    <w:rsid w:val="3A0882C6"/>
    <w:rsid w:val="3A08F6BC"/>
    <w:rsid w:val="3A0E8095"/>
    <w:rsid w:val="3A120C7D"/>
    <w:rsid w:val="3A158C8D"/>
    <w:rsid w:val="3A1E8D2D"/>
    <w:rsid w:val="3A1F1410"/>
    <w:rsid w:val="3A1FD615"/>
    <w:rsid w:val="3A21905B"/>
    <w:rsid w:val="3A228D48"/>
    <w:rsid w:val="3A26C990"/>
    <w:rsid w:val="3A290A48"/>
    <w:rsid w:val="3A296FD8"/>
    <w:rsid w:val="3A32AC11"/>
    <w:rsid w:val="3A3371BD"/>
    <w:rsid w:val="3A34113A"/>
    <w:rsid w:val="3A36103E"/>
    <w:rsid w:val="3A37BE1C"/>
    <w:rsid w:val="3A3A6B7E"/>
    <w:rsid w:val="3A3C67C1"/>
    <w:rsid w:val="3A41621A"/>
    <w:rsid w:val="3A4511FF"/>
    <w:rsid w:val="3A47B67D"/>
    <w:rsid w:val="3A47E939"/>
    <w:rsid w:val="3A497C9E"/>
    <w:rsid w:val="3A4FA230"/>
    <w:rsid w:val="3A5C2B31"/>
    <w:rsid w:val="3A5E9948"/>
    <w:rsid w:val="3A605D1F"/>
    <w:rsid w:val="3A65BD3B"/>
    <w:rsid w:val="3A6E3C17"/>
    <w:rsid w:val="3A6F2A2A"/>
    <w:rsid w:val="3A704672"/>
    <w:rsid w:val="3A7B384C"/>
    <w:rsid w:val="3A7D318F"/>
    <w:rsid w:val="3A82A5BD"/>
    <w:rsid w:val="3A83C843"/>
    <w:rsid w:val="3A85B750"/>
    <w:rsid w:val="3A87D382"/>
    <w:rsid w:val="3A931F02"/>
    <w:rsid w:val="3A97FC8C"/>
    <w:rsid w:val="3A9B0AFD"/>
    <w:rsid w:val="3A9B5951"/>
    <w:rsid w:val="3A9BD688"/>
    <w:rsid w:val="3AA02C7A"/>
    <w:rsid w:val="3AB0AB88"/>
    <w:rsid w:val="3AB4525B"/>
    <w:rsid w:val="3AB96045"/>
    <w:rsid w:val="3ABB1681"/>
    <w:rsid w:val="3ABDA327"/>
    <w:rsid w:val="3AD1A741"/>
    <w:rsid w:val="3AD36AB5"/>
    <w:rsid w:val="3AD5A5F7"/>
    <w:rsid w:val="3AE0FECA"/>
    <w:rsid w:val="3AE273DA"/>
    <w:rsid w:val="3AE2D98C"/>
    <w:rsid w:val="3AE3129E"/>
    <w:rsid w:val="3AE4FF9F"/>
    <w:rsid w:val="3AE65EE5"/>
    <w:rsid w:val="3AE8AD07"/>
    <w:rsid w:val="3AE9C10D"/>
    <w:rsid w:val="3AEA6F6F"/>
    <w:rsid w:val="3AEDE671"/>
    <w:rsid w:val="3AF1B9A1"/>
    <w:rsid w:val="3AF3B66A"/>
    <w:rsid w:val="3AF5BD7A"/>
    <w:rsid w:val="3B0108D3"/>
    <w:rsid w:val="3B0345A1"/>
    <w:rsid w:val="3B04221B"/>
    <w:rsid w:val="3B0DF89D"/>
    <w:rsid w:val="3B0E45DF"/>
    <w:rsid w:val="3B0E8459"/>
    <w:rsid w:val="3B19B16F"/>
    <w:rsid w:val="3B27CC59"/>
    <w:rsid w:val="3B288E9E"/>
    <w:rsid w:val="3B291F55"/>
    <w:rsid w:val="3B2A9F30"/>
    <w:rsid w:val="3B30E9E0"/>
    <w:rsid w:val="3B319ABD"/>
    <w:rsid w:val="3B3476EB"/>
    <w:rsid w:val="3B3B8807"/>
    <w:rsid w:val="3B3BDE2C"/>
    <w:rsid w:val="3B422093"/>
    <w:rsid w:val="3B42272A"/>
    <w:rsid w:val="3B4FE29D"/>
    <w:rsid w:val="3B57EC87"/>
    <w:rsid w:val="3B5ABF77"/>
    <w:rsid w:val="3B5ACA9B"/>
    <w:rsid w:val="3B5B89A5"/>
    <w:rsid w:val="3B616334"/>
    <w:rsid w:val="3B61AE36"/>
    <w:rsid w:val="3B631C74"/>
    <w:rsid w:val="3B6DF24B"/>
    <w:rsid w:val="3B7F3CCB"/>
    <w:rsid w:val="3B833E5F"/>
    <w:rsid w:val="3B8613C7"/>
    <w:rsid w:val="3B88250A"/>
    <w:rsid w:val="3B8B9BBD"/>
    <w:rsid w:val="3B912EBD"/>
    <w:rsid w:val="3B94ED4A"/>
    <w:rsid w:val="3B9ABBB7"/>
    <w:rsid w:val="3B9C7E7F"/>
    <w:rsid w:val="3B9F0469"/>
    <w:rsid w:val="3B9F9823"/>
    <w:rsid w:val="3BA087E3"/>
    <w:rsid w:val="3BA18799"/>
    <w:rsid w:val="3BA240AC"/>
    <w:rsid w:val="3BA576A4"/>
    <w:rsid w:val="3BB9E362"/>
    <w:rsid w:val="3BBB1243"/>
    <w:rsid w:val="3BBFD2C5"/>
    <w:rsid w:val="3BBFDC1A"/>
    <w:rsid w:val="3BC69DD1"/>
    <w:rsid w:val="3BCBD2CE"/>
    <w:rsid w:val="3BCE6544"/>
    <w:rsid w:val="3BE33EE8"/>
    <w:rsid w:val="3BE4711C"/>
    <w:rsid w:val="3BE5D1BC"/>
    <w:rsid w:val="3BE61B25"/>
    <w:rsid w:val="3BE6D36B"/>
    <w:rsid w:val="3BE934E6"/>
    <w:rsid w:val="3BEA0805"/>
    <w:rsid w:val="3BEDFED3"/>
    <w:rsid w:val="3BF0ED10"/>
    <w:rsid w:val="3BF12096"/>
    <w:rsid w:val="3BF29ECC"/>
    <w:rsid w:val="3BF943FE"/>
    <w:rsid w:val="3BFDC7AD"/>
    <w:rsid w:val="3BFE9CC9"/>
    <w:rsid w:val="3C06DF99"/>
    <w:rsid w:val="3C075888"/>
    <w:rsid w:val="3C0AAB12"/>
    <w:rsid w:val="3C1BFB1B"/>
    <w:rsid w:val="3C1C3C63"/>
    <w:rsid w:val="3C1EE499"/>
    <w:rsid w:val="3C211118"/>
    <w:rsid w:val="3C218F45"/>
    <w:rsid w:val="3C3015FF"/>
    <w:rsid w:val="3C35DE5B"/>
    <w:rsid w:val="3C36436C"/>
    <w:rsid w:val="3C38C944"/>
    <w:rsid w:val="3C398E91"/>
    <w:rsid w:val="3C3E3EE8"/>
    <w:rsid w:val="3C3FA76F"/>
    <w:rsid w:val="3C3FE52A"/>
    <w:rsid w:val="3C418402"/>
    <w:rsid w:val="3C4526D7"/>
    <w:rsid w:val="3C4D4EAD"/>
    <w:rsid w:val="3C501C73"/>
    <w:rsid w:val="3C55BA65"/>
    <w:rsid w:val="3C5AD44C"/>
    <w:rsid w:val="3C601215"/>
    <w:rsid w:val="3C6515B0"/>
    <w:rsid w:val="3C66E5C6"/>
    <w:rsid w:val="3C6948E0"/>
    <w:rsid w:val="3C6D2770"/>
    <w:rsid w:val="3C74C300"/>
    <w:rsid w:val="3C761921"/>
    <w:rsid w:val="3C80F725"/>
    <w:rsid w:val="3C84D2F9"/>
    <w:rsid w:val="3C895E77"/>
    <w:rsid w:val="3C8B1691"/>
    <w:rsid w:val="3C8B1D7C"/>
    <w:rsid w:val="3C8B50DE"/>
    <w:rsid w:val="3C8B78EC"/>
    <w:rsid w:val="3C92045D"/>
    <w:rsid w:val="3C9ED345"/>
    <w:rsid w:val="3CA97C81"/>
    <w:rsid w:val="3CAAD336"/>
    <w:rsid w:val="3CAE2AB7"/>
    <w:rsid w:val="3CAE5E33"/>
    <w:rsid w:val="3CB76DC5"/>
    <w:rsid w:val="3CBB3E3C"/>
    <w:rsid w:val="3CBB5BAD"/>
    <w:rsid w:val="3CBC18F7"/>
    <w:rsid w:val="3CBD9D77"/>
    <w:rsid w:val="3CC05DA0"/>
    <w:rsid w:val="3CC3BE84"/>
    <w:rsid w:val="3CCB01A6"/>
    <w:rsid w:val="3CCB7758"/>
    <w:rsid w:val="3CCBBCE6"/>
    <w:rsid w:val="3CCC5B2B"/>
    <w:rsid w:val="3CD059B5"/>
    <w:rsid w:val="3CDB2A8F"/>
    <w:rsid w:val="3CE044A8"/>
    <w:rsid w:val="3CE2B045"/>
    <w:rsid w:val="3CE3A66F"/>
    <w:rsid w:val="3CE5ED9D"/>
    <w:rsid w:val="3CE88640"/>
    <w:rsid w:val="3CEB8ED4"/>
    <w:rsid w:val="3CED42EB"/>
    <w:rsid w:val="3CEE3368"/>
    <w:rsid w:val="3CFE062F"/>
    <w:rsid w:val="3CFF5461"/>
    <w:rsid w:val="3D008BCA"/>
    <w:rsid w:val="3D033519"/>
    <w:rsid w:val="3D096CDA"/>
    <w:rsid w:val="3D0BE1A8"/>
    <w:rsid w:val="3D0DC069"/>
    <w:rsid w:val="3D11FB6D"/>
    <w:rsid w:val="3D1C4B59"/>
    <w:rsid w:val="3D1C4B74"/>
    <w:rsid w:val="3D2BA973"/>
    <w:rsid w:val="3D2BCFCD"/>
    <w:rsid w:val="3D3317E4"/>
    <w:rsid w:val="3D366F27"/>
    <w:rsid w:val="3D38750D"/>
    <w:rsid w:val="3D392A94"/>
    <w:rsid w:val="3D3D28D2"/>
    <w:rsid w:val="3D3F770C"/>
    <w:rsid w:val="3D404FC2"/>
    <w:rsid w:val="3D54895D"/>
    <w:rsid w:val="3D557D2C"/>
    <w:rsid w:val="3D56A444"/>
    <w:rsid w:val="3D56B321"/>
    <w:rsid w:val="3D59C05A"/>
    <w:rsid w:val="3D63BF74"/>
    <w:rsid w:val="3D66B25B"/>
    <w:rsid w:val="3D695A5E"/>
    <w:rsid w:val="3D6B206D"/>
    <w:rsid w:val="3D6E0473"/>
    <w:rsid w:val="3D70E221"/>
    <w:rsid w:val="3D730A97"/>
    <w:rsid w:val="3D7954B6"/>
    <w:rsid w:val="3D7B6E10"/>
    <w:rsid w:val="3D8061FC"/>
    <w:rsid w:val="3D853934"/>
    <w:rsid w:val="3D85DA70"/>
    <w:rsid w:val="3D93B644"/>
    <w:rsid w:val="3D988895"/>
    <w:rsid w:val="3DA32554"/>
    <w:rsid w:val="3DA56C70"/>
    <w:rsid w:val="3DB2C43D"/>
    <w:rsid w:val="3DB61E79"/>
    <w:rsid w:val="3DB850AD"/>
    <w:rsid w:val="3DBB57F2"/>
    <w:rsid w:val="3DBF8E6A"/>
    <w:rsid w:val="3DBFA980"/>
    <w:rsid w:val="3DC07BCC"/>
    <w:rsid w:val="3DC42D40"/>
    <w:rsid w:val="3DC623BF"/>
    <w:rsid w:val="3DCA104F"/>
    <w:rsid w:val="3DD48C3F"/>
    <w:rsid w:val="3DD5951A"/>
    <w:rsid w:val="3DDB5D58"/>
    <w:rsid w:val="3DDCF212"/>
    <w:rsid w:val="3DE2A93E"/>
    <w:rsid w:val="3DE8926B"/>
    <w:rsid w:val="3DE89964"/>
    <w:rsid w:val="3DE9C766"/>
    <w:rsid w:val="3DEFC5F1"/>
    <w:rsid w:val="3DF488F9"/>
    <w:rsid w:val="3DF8D85C"/>
    <w:rsid w:val="3DF9AACC"/>
    <w:rsid w:val="3DFE8EA3"/>
    <w:rsid w:val="3E00407D"/>
    <w:rsid w:val="3E00D228"/>
    <w:rsid w:val="3E0197C9"/>
    <w:rsid w:val="3E032357"/>
    <w:rsid w:val="3E173854"/>
    <w:rsid w:val="3E1790AC"/>
    <w:rsid w:val="3E1D4A8E"/>
    <w:rsid w:val="3E1FC07B"/>
    <w:rsid w:val="3E20C205"/>
    <w:rsid w:val="3E216AAC"/>
    <w:rsid w:val="3E219259"/>
    <w:rsid w:val="3E243B8F"/>
    <w:rsid w:val="3E248BF3"/>
    <w:rsid w:val="3E25ED22"/>
    <w:rsid w:val="3E2AB625"/>
    <w:rsid w:val="3E2C41E8"/>
    <w:rsid w:val="3E2D1C5E"/>
    <w:rsid w:val="3E39AAC9"/>
    <w:rsid w:val="3E3DC97C"/>
    <w:rsid w:val="3E49E263"/>
    <w:rsid w:val="3E506805"/>
    <w:rsid w:val="3E52BECD"/>
    <w:rsid w:val="3E53BE53"/>
    <w:rsid w:val="3E5E32EC"/>
    <w:rsid w:val="3E61956C"/>
    <w:rsid w:val="3E6281D5"/>
    <w:rsid w:val="3E629E2B"/>
    <w:rsid w:val="3E6495D0"/>
    <w:rsid w:val="3E6B5385"/>
    <w:rsid w:val="3E6C03DC"/>
    <w:rsid w:val="3E701FA5"/>
    <w:rsid w:val="3E71A25B"/>
    <w:rsid w:val="3E7E1F58"/>
    <w:rsid w:val="3E818F4A"/>
    <w:rsid w:val="3E877644"/>
    <w:rsid w:val="3E87BC45"/>
    <w:rsid w:val="3E90F10A"/>
    <w:rsid w:val="3E94C129"/>
    <w:rsid w:val="3E94D382"/>
    <w:rsid w:val="3E961B92"/>
    <w:rsid w:val="3E979937"/>
    <w:rsid w:val="3E9DA856"/>
    <w:rsid w:val="3EA19653"/>
    <w:rsid w:val="3EA69053"/>
    <w:rsid w:val="3EA99749"/>
    <w:rsid w:val="3EA9B8B9"/>
    <w:rsid w:val="3EAB2C49"/>
    <w:rsid w:val="3EB11F67"/>
    <w:rsid w:val="3EBAA743"/>
    <w:rsid w:val="3EC61D5E"/>
    <w:rsid w:val="3ECAA860"/>
    <w:rsid w:val="3ECB5C4D"/>
    <w:rsid w:val="3ECCFC64"/>
    <w:rsid w:val="3ED3D649"/>
    <w:rsid w:val="3ED89CA5"/>
    <w:rsid w:val="3ED9965E"/>
    <w:rsid w:val="3EDA1F7A"/>
    <w:rsid w:val="3EE1AF5B"/>
    <w:rsid w:val="3EE29614"/>
    <w:rsid w:val="3EE50A19"/>
    <w:rsid w:val="3EE56AE7"/>
    <w:rsid w:val="3EE5EF36"/>
    <w:rsid w:val="3EE820E4"/>
    <w:rsid w:val="3EEAF37D"/>
    <w:rsid w:val="3EEDEF1D"/>
    <w:rsid w:val="3EEF7767"/>
    <w:rsid w:val="3EF26827"/>
    <w:rsid w:val="3EF3C21E"/>
    <w:rsid w:val="3EF46CCE"/>
    <w:rsid w:val="3EFA131F"/>
    <w:rsid w:val="3EFA9972"/>
    <w:rsid w:val="3EFA9BF9"/>
    <w:rsid w:val="3EFDB9CA"/>
    <w:rsid w:val="3F0182BA"/>
    <w:rsid w:val="3F04932B"/>
    <w:rsid w:val="3F15E478"/>
    <w:rsid w:val="3F16EBF3"/>
    <w:rsid w:val="3F196FAE"/>
    <w:rsid w:val="3F1A54EA"/>
    <w:rsid w:val="3F1E97F0"/>
    <w:rsid w:val="3F2033A1"/>
    <w:rsid w:val="3F205412"/>
    <w:rsid w:val="3F20FE80"/>
    <w:rsid w:val="3F227D9A"/>
    <w:rsid w:val="3F277F0D"/>
    <w:rsid w:val="3F323E46"/>
    <w:rsid w:val="3F333C8B"/>
    <w:rsid w:val="3F372EC9"/>
    <w:rsid w:val="3F3820D8"/>
    <w:rsid w:val="3F3878BA"/>
    <w:rsid w:val="3F40034A"/>
    <w:rsid w:val="3F40619F"/>
    <w:rsid w:val="3F44E52C"/>
    <w:rsid w:val="3F463E0C"/>
    <w:rsid w:val="3F4683B6"/>
    <w:rsid w:val="3F49C6BD"/>
    <w:rsid w:val="3F4B3F60"/>
    <w:rsid w:val="3F4E3219"/>
    <w:rsid w:val="3F4FB4CD"/>
    <w:rsid w:val="3F50C97F"/>
    <w:rsid w:val="3F52368A"/>
    <w:rsid w:val="3F52EA47"/>
    <w:rsid w:val="3F54EA77"/>
    <w:rsid w:val="3F5AF095"/>
    <w:rsid w:val="3F5C76F9"/>
    <w:rsid w:val="3F60B9A2"/>
    <w:rsid w:val="3F679EAD"/>
    <w:rsid w:val="3F68CB0A"/>
    <w:rsid w:val="3F6E7F0D"/>
    <w:rsid w:val="3F6F47AB"/>
    <w:rsid w:val="3F708D32"/>
    <w:rsid w:val="3F70A6DA"/>
    <w:rsid w:val="3F70D9F0"/>
    <w:rsid w:val="3F757BA2"/>
    <w:rsid w:val="3F75BB3D"/>
    <w:rsid w:val="3F77B63A"/>
    <w:rsid w:val="3F78C518"/>
    <w:rsid w:val="3F78DF22"/>
    <w:rsid w:val="3F8174C8"/>
    <w:rsid w:val="3F81B829"/>
    <w:rsid w:val="3F911B83"/>
    <w:rsid w:val="3F922D0B"/>
    <w:rsid w:val="3F964693"/>
    <w:rsid w:val="3F9D7338"/>
    <w:rsid w:val="3FA0FF9B"/>
    <w:rsid w:val="3FA2D314"/>
    <w:rsid w:val="3FA4971B"/>
    <w:rsid w:val="3FA502DB"/>
    <w:rsid w:val="3FB276CB"/>
    <w:rsid w:val="3FB4AA15"/>
    <w:rsid w:val="3FB4BB11"/>
    <w:rsid w:val="3FBB30B1"/>
    <w:rsid w:val="3FC19284"/>
    <w:rsid w:val="3FC6B78F"/>
    <w:rsid w:val="3FC6CC78"/>
    <w:rsid w:val="3FC74A20"/>
    <w:rsid w:val="3FCD2745"/>
    <w:rsid w:val="3FD39B00"/>
    <w:rsid w:val="3FD69A3E"/>
    <w:rsid w:val="3FD7C6BF"/>
    <w:rsid w:val="3FD8D9BE"/>
    <w:rsid w:val="3FDAB7F4"/>
    <w:rsid w:val="3FDFCAFC"/>
    <w:rsid w:val="3FE32C1C"/>
    <w:rsid w:val="3FE80534"/>
    <w:rsid w:val="3FED6AF1"/>
    <w:rsid w:val="3FF29B10"/>
    <w:rsid w:val="3FFA8A07"/>
    <w:rsid w:val="3FFD88A2"/>
    <w:rsid w:val="4001C472"/>
    <w:rsid w:val="40032527"/>
    <w:rsid w:val="40059A52"/>
    <w:rsid w:val="401198C1"/>
    <w:rsid w:val="4011B6D9"/>
    <w:rsid w:val="4014A9F5"/>
    <w:rsid w:val="40185A6D"/>
    <w:rsid w:val="401EB627"/>
    <w:rsid w:val="402903ED"/>
    <w:rsid w:val="402C763E"/>
    <w:rsid w:val="402D2522"/>
    <w:rsid w:val="4032657B"/>
    <w:rsid w:val="40332D8C"/>
    <w:rsid w:val="40347A35"/>
    <w:rsid w:val="404AEBF8"/>
    <w:rsid w:val="404D5733"/>
    <w:rsid w:val="404E544B"/>
    <w:rsid w:val="404F80F6"/>
    <w:rsid w:val="405025FB"/>
    <w:rsid w:val="40558198"/>
    <w:rsid w:val="405B0C8D"/>
    <w:rsid w:val="4061D1A5"/>
    <w:rsid w:val="40658B96"/>
    <w:rsid w:val="40659516"/>
    <w:rsid w:val="40671882"/>
    <w:rsid w:val="406AE5EB"/>
    <w:rsid w:val="406F1D45"/>
    <w:rsid w:val="4070C5A8"/>
    <w:rsid w:val="407257E3"/>
    <w:rsid w:val="4076F65D"/>
    <w:rsid w:val="4077AF9A"/>
    <w:rsid w:val="407950B2"/>
    <w:rsid w:val="407E444D"/>
    <w:rsid w:val="407F8E4B"/>
    <w:rsid w:val="40841224"/>
    <w:rsid w:val="40846E15"/>
    <w:rsid w:val="4085EFCE"/>
    <w:rsid w:val="4086BCAC"/>
    <w:rsid w:val="4088E4D0"/>
    <w:rsid w:val="408AFAE7"/>
    <w:rsid w:val="408B635F"/>
    <w:rsid w:val="409E06D4"/>
    <w:rsid w:val="40A1F3A3"/>
    <w:rsid w:val="40A93798"/>
    <w:rsid w:val="40B00EBF"/>
    <w:rsid w:val="40B66F47"/>
    <w:rsid w:val="40C72BB3"/>
    <w:rsid w:val="40CF45F6"/>
    <w:rsid w:val="40D837C0"/>
    <w:rsid w:val="40D8C05F"/>
    <w:rsid w:val="40DCD523"/>
    <w:rsid w:val="40DD2668"/>
    <w:rsid w:val="40DD4775"/>
    <w:rsid w:val="40E2571F"/>
    <w:rsid w:val="40E3F23C"/>
    <w:rsid w:val="40E504FB"/>
    <w:rsid w:val="40E970D3"/>
    <w:rsid w:val="40F007AF"/>
    <w:rsid w:val="40F40590"/>
    <w:rsid w:val="40F4E40F"/>
    <w:rsid w:val="40F64F3A"/>
    <w:rsid w:val="40F797AA"/>
    <w:rsid w:val="40F94723"/>
    <w:rsid w:val="40FFED4D"/>
    <w:rsid w:val="410339F5"/>
    <w:rsid w:val="410459E0"/>
    <w:rsid w:val="4104CADD"/>
    <w:rsid w:val="410C70B4"/>
    <w:rsid w:val="410D8CC7"/>
    <w:rsid w:val="41105272"/>
    <w:rsid w:val="41157C98"/>
    <w:rsid w:val="4116091F"/>
    <w:rsid w:val="411AFB4D"/>
    <w:rsid w:val="411DC852"/>
    <w:rsid w:val="41228CEF"/>
    <w:rsid w:val="412E016F"/>
    <w:rsid w:val="413893C8"/>
    <w:rsid w:val="4138C7DE"/>
    <w:rsid w:val="413F71FC"/>
    <w:rsid w:val="4140C44B"/>
    <w:rsid w:val="4142EA2E"/>
    <w:rsid w:val="41440E18"/>
    <w:rsid w:val="414669C5"/>
    <w:rsid w:val="414A36A8"/>
    <w:rsid w:val="414E7FE6"/>
    <w:rsid w:val="414FA81D"/>
    <w:rsid w:val="4150289A"/>
    <w:rsid w:val="4152474B"/>
    <w:rsid w:val="41564FB1"/>
    <w:rsid w:val="415DBB88"/>
    <w:rsid w:val="4160E571"/>
    <w:rsid w:val="41654B69"/>
    <w:rsid w:val="416591F4"/>
    <w:rsid w:val="4168DD12"/>
    <w:rsid w:val="416F3DDD"/>
    <w:rsid w:val="41705A5A"/>
    <w:rsid w:val="4176F02E"/>
    <w:rsid w:val="417E1D4B"/>
    <w:rsid w:val="417E3AE5"/>
    <w:rsid w:val="4183E2B4"/>
    <w:rsid w:val="418E8463"/>
    <w:rsid w:val="418EFE16"/>
    <w:rsid w:val="418F602D"/>
    <w:rsid w:val="4195FE1D"/>
    <w:rsid w:val="419788C0"/>
    <w:rsid w:val="4198092E"/>
    <w:rsid w:val="419FA561"/>
    <w:rsid w:val="41A1D762"/>
    <w:rsid w:val="41A2E678"/>
    <w:rsid w:val="41A39092"/>
    <w:rsid w:val="41A42857"/>
    <w:rsid w:val="41AE5A21"/>
    <w:rsid w:val="41B069A2"/>
    <w:rsid w:val="41C0F048"/>
    <w:rsid w:val="41C3BE4B"/>
    <w:rsid w:val="41CA739D"/>
    <w:rsid w:val="41CF7A38"/>
    <w:rsid w:val="41D03E91"/>
    <w:rsid w:val="41D35813"/>
    <w:rsid w:val="41D9CBB3"/>
    <w:rsid w:val="41DD13A0"/>
    <w:rsid w:val="41E76D8C"/>
    <w:rsid w:val="41EF58DC"/>
    <w:rsid w:val="41F4C62F"/>
    <w:rsid w:val="41F6E625"/>
    <w:rsid w:val="41FF1A96"/>
    <w:rsid w:val="42000ECD"/>
    <w:rsid w:val="42009D48"/>
    <w:rsid w:val="42051A31"/>
    <w:rsid w:val="420C2087"/>
    <w:rsid w:val="421168A4"/>
    <w:rsid w:val="4217AF98"/>
    <w:rsid w:val="42185A28"/>
    <w:rsid w:val="4222D70A"/>
    <w:rsid w:val="4223552E"/>
    <w:rsid w:val="4226EFA5"/>
    <w:rsid w:val="42275A33"/>
    <w:rsid w:val="422D9E41"/>
    <w:rsid w:val="42312687"/>
    <w:rsid w:val="42340EA8"/>
    <w:rsid w:val="42406E32"/>
    <w:rsid w:val="4248C336"/>
    <w:rsid w:val="424A1633"/>
    <w:rsid w:val="424C73FF"/>
    <w:rsid w:val="4250E2C0"/>
    <w:rsid w:val="4254F990"/>
    <w:rsid w:val="425686DA"/>
    <w:rsid w:val="4258429B"/>
    <w:rsid w:val="425861BD"/>
    <w:rsid w:val="42589FCC"/>
    <w:rsid w:val="425962C7"/>
    <w:rsid w:val="425B5F1C"/>
    <w:rsid w:val="425C367B"/>
    <w:rsid w:val="42600A2B"/>
    <w:rsid w:val="42618598"/>
    <w:rsid w:val="42664D1E"/>
    <w:rsid w:val="426841EA"/>
    <w:rsid w:val="426CF6C1"/>
    <w:rsid w:val="4271AD91"/>
    <w:rsid w:val="42732D89"/>
    <w:rsid w:val="427A297F"/>
    <w:rsid w:val="427EAC06"/>
    <w:rsid w:val="4284E8E0"/>
    <w:rsid w:val="428783E8"/>
    <w:rsid w:val="4287E3E7"/>
    <w:rsid w:val="428CD90C"/>
    <w:rsid w:val="429224F8"/>
    <w:rsid w:val="429784E4"/>
    <w:rsid w:val="429A42F7"/>
    <w:rsid w:val="429C21D6"/>
    <w:rsid w:val="42AE340A"/>
    <w:rsid w:val="42B065DA"/>
    <w:rsid w:val="42B66C27"/>
    <w:rsid w:val="42B7D769"/>
    <w:rsid w:val="42BDD464"/>
    <w:rsid w:val="42BE74B8"/>
    <w:rsid w:val="42BE8AD7"/>
    <w:rsid w:val="42BF840E"/>
    <w:rsid w:val="42C15946"/>
    <w:rsid w:val="42C25C1C"/>
    <w:rsid w:val="42CC40C3"/>
    <w:rsid w:val="42CF5748"/>
    <w:rsid w:val="42D1329C"/>
    <w:rsid w:val="42D21EE2"/>
    <w:rsid w:val="42D3047F"/>
    <w:rsid w:val="42DF42C4"/>
    <w:rsid w:val="42E089E2"/>
    <w:rsid w:val="42E106BB"/>
    <w:rsid w:val="42E1565E"/>
    <w:rsid w:val="42E608AD"/>
    <w:rsid w:val="42ECD5B5"/>
    <w:rsid w:val="42ECDA29"/>
    <w:rsid w:val="42F1E3C6"/>
    <w:rsid w:val="42F1F056"/>
    <w:rsid w:val="42F37349"/>
    <w:rsid w:val="42F7417B"/>
    <w:rsid w:val="43008D81"/>
    <w:rsid w:val="4300A1BB"/>
    <w:rsid w:val="4301AD8B"/>
    <w:rsid w:val="43041FC2"/>
    <w:rsid w:val="43089A9A"/>
    <w:rsid w:val="4319A590"/>
    <w:rsid w:val="431FBF4E"/>
    <w:rsid w:val="4324CFB8"/>
    <w:rsid w:val="4325FA20"/>
    <w:rsid w:val="432A1E6D"/>
    <w:rsid w:val="432A1E71"/>
    <w:rsid w:val="432A4C8C"/>
    <w:rsid w:val="43379BFE"/>
    <w:rsid w:val="433A9AAF"/>
    <w:rsid w:val="433CE52C"/>
    <w:rsid w:val="43433D2A"/>
    <w:rsid w:val="434B7F27"/>
    <w:rsid w:val="434E74F0"/>
    <w:rsid w:val="4351477F"/>
    <w:rsid w:val="4354250D"/>
    <w:rsid w:val="4354F6EC"/>
    <w:rsid w:val="4356E361"/>
    <w:rsid w:val="435715B4"/>
    <w:rsid w:val="4358C6C0"/>
    <w:rsid w:val="435A9D38"/>
    <w:rsid w:val="435B1C97"/>
    <w:rsid w:val="435CED07"/>
    <w:rsid w:val="43631257"/>
    <w:rsid w:val="43635CF1"/>
    <w:rsid w:val="4363CCC4"/>
    <w:rsid w:val="436A2D5C"/>
    <w:rsid w:val="436C5432"/>
    <w:rsid w:val="436E0997"/>
    <w:rsid w:val="4375E803"/>
    <w:rsid w:val="43762A33"/>
    <w:rsid w:val="4379FACE"/>
    <w:rsid w:val="437A72F0"/>
    <w:rsid w:val="438A65F0"/>
    <w:rsid w:val="4398C0C7"/>
    <w:rsid w:val="439AFF6D"/>
    <w:rsid w:val="439B21DF"/>
    <w:rsid w:val="43A428CD"/>
    <w:rsid w:val="43A6B8E0"/>
    <w:rsid w:val="43A7634A"/>
    <w:rsid w:val="43AE73A0"/>
    <w:rsid w:val="43B12ABF"/>
    <w:rsid w:val="43B2A2ED"/>
    <w:rsid w:val="43B8E14C"/>
    <w:rsid w:val="43B9AB39"/>
    <w:rsid w:val="43BCFD05"/>
    <w:rsid w:val="43BE00A4"/>
    <w:rsid w:val="43C992B5"/>
    <w:rsid w:val="43D0CA6C"/>
    <w:rsid w:val="43D4DC6A"/>
    <w:rsid w:val="43E7320B"/>
    <w:rsid w:val="43E762A7"/>
    <w:rsid w:val="43EF2DF2"/>
    <w:rsid w:val="43F481F7"/>
    <w:rsid w:val="43F5715D"/>
    <w:rsid w:val="43FA93A2"/>
    <w:rsid w:val="43FE5D83"/>
    <w:rsid w:val="43FE9E58"/>
    <w:rsid w:val="43FEA54F"/>
    <w:rsid w:val="43FF1B04"/>
    <w:rsid w:val="4404B1C2"/>
    <w:rsid w:val="440D0D88"/>
    <w:rsid w:val="440F1A81"/>
    <w:rsid w:val="44205905"/>
    <w:rsid w:val="44256437"/>
    <w:rsid w:val="44257323"/>
    <w:rsid w:val="44368132"/>
    <w:rsid w:val="4436B24F"/>
    <w:rsid w:val="443A9B32"/>
    <w:rsid w:val="443E9DCA"/>
    <w:rsid w:val="443FE17B"/>
    <w:rsid w:val="444437A2"/>
    <w:rsid w:val="444528ED"/>
    <w:rsid w:val="44463148"/>
    <w:rsid w:val="444B2F44"/>
    <w:rsid w:val="444B5E66"/>
    <w:rsid w:val="444B72D8"/>
    <w:rsid w:val="444F031A"/>
    <w:rsid w:val="4453A152"/>
    <w:rsid w:val="44584873"/>
    <w:rsid w:val="445B6C53"/>
    <w:rsid w:val="445B9EEB"/>
    <w:rsid w:val="445D9714"/>
    <w:rsid w:val="445F74D1"/>
    <w:rsid w:val="446311F9"/>
    <w:rsid w:val="446765CE"/>
    <w:rsid w:val="4469F319"/>
    <w:rsid w:val="446CC20A"/>
    <w:rsid w:val="4475CE2D"/>
    <w:rsid w:val="44815BD3"/>
    <w:rsid w:val="448399FE"/>
    <w:rsid w:val="44898D00"/>
    <w:rsid w:val="448C0117"/>
    <w:rsid w:val="448C50DE"/>
    <w:rsid w:val="448D532C"/>
    <w:rsid w:val="448EA9E1"/>
    <w:rsid w:val="44920D41"/>
    <w:rsid w:val="4494E9D6"/>
    <w:rsid w:val="4495FAF8"/>
    <w:rsid w:val="449C5DE2"/>
    <w:rsid w:val="449C959F"/>
    <w:rsid w:val="449D8F87"/>
    <w:rsid w:val="44A11905"/>
    <w:rsid w:val="44A27C64"/>
    <w:rsid w:val="44A2BE53"/>
    <w:rsid w:val="44A7A5C6"/>
    <w:rsid w:val="44AEB7A0"/>
    <w:rsid w:val="44B10375"/>
    <w:rsid w:val="44BAD03B"/>
    <w:rsid w:val="44C19600"/>
    <w:rsid w:val="44C74AB9"/>
    <w:rsid w:val="44C854FF"/>
    <w:rsid w:val="44CA7EC6"/>
    <w:rsid w:val="44CB9D2C"/>
    <w:rsid w:val="44CCDA69"/>
    <w:rsid w:val="44CD1C57"/>
    <w:rsid w:val="44CE83EF"/>
    <w:rsid w:val="44D6B28B"/>
    <w:rsid w:val="44DCF260"/>
    <w:rsid w:val="44DE2B72"/>
    <w:rsid w:val="44E0F58D"/>
    <w:rsid w:val="44E32B8D"/>
    <w:rsid w:val="44E474AD"/>
    <w:rsid w:val="44EA0FEA"/>
    <w:rsid w:val="44EC759C"/>
    <w:rsid w:val="44F71BEA"/>
    <w:rsid w:val="44FAA4B9"/>
    <w:rsid w:val="44FAD8B8"/>
    <w:rsid w:val="44FB6923"/>
    <w:rsid w:val="450403A4"/>
    <w:rsid w:val="45055F28"/>
    <w:rsid w:val="450593A1"/>
    <w:rsid w:val="45061C5D"/>
    <w:rsid w:val="450802D5"/>
    <w:rsid w:val="450AAA16"/>
    <w:rsid w:val="450CB7B0"/>
    <w:rsid w:val="45105E99"/>
    <w:rsid w:val="45135F26"/>
    <w:rsid w:val="451CFA23"/>
    <w:rsid w:val="451EE181"/>
    <w:rsid w:val="4522F512"/>
    <w:rsid w:val="4527020F"/>
    <w:rsid w:val="452D2A10"/>
    <w:rsid w:val="452FC77D"/>
    <w:rsid w:val="4531BC73"/>
    <w:rsid w:val="45366075"/>
    <w:rsid w:val="45368F66"/>
    <w:rsid w:val="4538A57E"/>
    <w:rsid w:val="45392227"/>
    <w:rsid w:val="453A20D8"/>
    <w:rsid w:val="453BE30F"/>
    <w:rsid w:val="453FA7D1"/>
    <w:rsid w:val="4545D55D"/>
    <w:rsid w:val="4552CA05"/>
    <w:rsid w:val="4557EA17"/>
    <w:rsid w:val="455CA10F"/>
    <w:rsid w:val="455CB864"/>
    <w:rsid w:val="4562F383"/>
    <w:rsid w:val="45676D18"/>
    <w:rsid w:val="4569DFE1"/>
    <w:rsid w:val="456C4CE7"/>
    <w:rsid w:val="456CE939"/>
    <w:rsid w:val="4570F1A8"/>
    <w:rsid w:val="45718B31"/>
    <w:rsid w:val="4574141E"/>
    <w:rsid w:val="4576CA9E"/>
    <w:rsid w:val="457E2169"/>
    <w:rsid w:val="458264F5"/>
    <w:rsid w:val="4590FF4E"/>
    <w:rsid w:val="45928393"/>
    <w:rsid w:val="4594F91C"/>
    <w:rsid w:val="459C1BF8"/>
    <w:rsid w:val="459FD18B"/>
    <w:rsid w:val="45A5CF56"/>
    <w:rsid w:val="45AFAD2F"/>
    <w:rsid w:val="45B040E3"/>
    <w:rsid w:val="45B280BE"/>
    <w:rsid w:val="45BFEE6B"/>
    <w:rsid w:val="45C5C967"/>
    <w:rsid w:val="45C6BE68"/>
    <w:rsid w:val="45CBE2F1"/>
    <w:rsid w:val="45CE415C"/>
    <w:rsid w:val="45D448A1"/>
    <w:rsid w:val="45D60899"/>
    <w:rsid w:val="45DD1E80"/>
    <w:rsid w:val="45DEDDAE"/>
    <w:rsid w:val="45DFC9E8"/>
    <w:rsid w:val="45E00803"/>
    <w:rsid w:val="45E1DC93"/>
    <w:rsid w:val="45E4DBFC"/>
    <w:rsid w:val="45EBAA94"/>
    <w:rsid w:val="45F6F4C9"/>
    <w:rsid w:val="45F90ABD"/>
    <w:rsid w:val="45FA9076"/>
    <w:rsid w:val="45FAF8D0"/>
    <w:rsid w:val="45FBFBC4"/>
    <w:rsid w:val="45FDC634"/>
    <w:rsid w:val="460668B4"/>
    <w:rsid w:val="46093462"/>
    <w:rsid w:val="460AA187"/>
    <w:rsid w:val="460B6A74"/>
    <w:rsid w:val="460C615E"/>
    <w:rsid w:val="460D9800"/>
    <w:rsid w:val="46100558"/>
    <w:rsid w:val="4622106D"/>
    <w:rsid w:val="462A9FC4"/>
    <w:rsid w:val="462D6AA2"/>
    <w:rsid w:val="463778D0"/>
    <w:rsid w:val="463B1365"/>
    <w:rsid w:val="463BF269"/>
    <w:rsid w:val="463DC88A"/>
    <w:rsid w:val="463F10B8"/>
    <w:rsid w:val="463F235A"/>
    <w:rsid w:val="46531D91"/>
    <w:rsid w:val="4654B650"/>
    <w:rsid w:val="4659B68C"/>
    <w:rsid w:val="465C254C"/>
    <w:rsid w:val="4666A141"/>
    <w:rsid w:val="4669057F"/>
    <w:rsid w:val="466A23A0"/>
    <w:rsid w:val="466D1AC9"/>
    <w:rsid w:val="46708E59"/>
    <w:rsid w:val="46713114"/>
    <w:rsid w:val="4672F57D"/>
    <w:rsid w:val="4675AABE"/>
    <w:rsid w:val="4677A3E4"/>
    <w:rsid w:val="467CB84C"/>
    <w:rsid w:val="467E12D2"/>
    <w:rsid w:val="467FF034"/>
    <w:rsid w:val="4681BCF3"/>
    <w:rsid w:val="468320BB"/>
    <w:rsid w:val="4683CF77"/>
    <w:rsid w:val="46888E84"/>
    <w:rsid w:val="468B88C3"/>
    <w:rsid w:val="468D9304"/>
    <w:rsid w:val="46924213"/>
    <w:rsid w:val="469C9273"/>
    <w:rsid w:val="469EA785"/>
    <w:rsid w:val="46A0052F"/>
    <w:rsid w:val="46A496F3"/>
    <w:rsid w:val="46A64A85"/>
    <w:rsid w:val="46A68E2E"/>
    <w:rsid w:val="46A77940"/>
    <w:rsid w:val="46B779DE"/>
    <w:rsid w:val="46B877A9"/>
    <w:rsid w:val="46BAFE95"/>
    <w:rsid w:val="46C113BE"/>
    <w:rsid w:val="46C16FB8"/>
    <w:rsid w:val="46C6C0E0"/>
    <w:rsid w:val="46C965A5"/>
    <w:rsid w:val="46D89CA4"/>
    <w:rsid w:val="46DB9A82"/>
    <w:rsid w:val="46E03BB1"/>
    <w:rsid w:val="46EFA3F6"/>
    <w:rsid w:val="46F2D9D8"/>
    <w:rsid w:val="46F53F64"/>
    <w:rsid w:val="46F59634"/>
    <w:rsid w:val="470082BF"/>
    <w:rsid w:val="470590A5"/>
    <w:rsid w:val="47096FD7"/>
    <w:rsid w:val="47103B90"/>
    <w:rsid w:val="47123574"/>
    <w:rsid w:val="471C53ED"/>
    <w:rsid w:val="47203B9F"/>
    <w:rsid w:val="4722955A"/>
    <w:rsid w:val="47285429"/>
    <w:rsid w:val="4736B687"/>
    <w:rsid w:val="47407011"/>
    <w:rsid w:val="47438F81"/>
    <w:rsid w:val="47440BF7"/>
    <w:rsid w:val="4748AFC9"/>
    <w:rsid w:val="47498929"/>
    <w:rsid w:val="474B4AD5"/>
    <w:rsid w:val="474BBF03"/>
    <w:rsid w:val="474CAABF"/>
    <w:rsid w:val="474FB636"/>
    <w:rsid w:val="475DA2D1"/>
    <w:rsid w:val="476811DD"/>
    <w:rsid w:val="476B4A89"/>
    <w:rsid w:val="476BAF5D"/>
    <w:rsid w:val="476D68C9"/>
    <w:rsid w:val="476DAB4D"/>
    <w:rsid w:val="47756B14"/>
    <w:rsid w:val="47774779"/>
    <w:rsid w:val="4778CE0B"/>
    <w:rsid w:val="4779C209"/>
    <w:rsid w:val="477AED2B"/>
    <w:rsid w:val="477D5B29"/>
    <w:rsid w:val="477F8205"/>
    <w:rsid w:val="4784371D"/>
    <w:rsid w:val="47877C16"/>
    <w:rsid w:val="478A14DF"/>
    <w:rsid w:val="479BABEE"/>
    <w:rsid w:val="479E944B"/>
    <w:rsid w:val="47A301E8"/>
    <w:rsid w:val="47A472AF"/>
    <w:rsid w:val="47ADB1B1"/>
    <w:rsid w:val="47BCFA1F"/>
    <w:rsid w:val="47BE233A"/>
    <w:rsid w:val="47BE3CAD"/>
    <w:rsid w:val="47C61E72"/>
    <w:rsid w:val="47C70344"/>
    <w:rsid w:val="47C714B2"/>
    <w:rsid w:val="47CF93EB"/>
    <w:rsid w:val="47D05FC0"/>
    <w:rsid w:val="47D135AC"/>
    <w:rsid w:val="47D1A1B5"/>
    <w:rsid w:val="47D24E0A"/>
    <w:rsid w:val="47D2A95D"/>
    <w:rsid w:val="47D5AFE5"/>
    <w:rsid w:val="47D9F2F1"/>
    <w:rsid w:val="47E774C8"/>
    <w:rsid w:val="47EC980A"/>
    <w:rsid w:val="47EE7F0C"/>
    <w:rsid w:val="47F1D251"/>
    <w:rsid w:val="47F1E62F"/>
    <w:rsid w:val="47F2A8A0"/>
    <w:rsid w:val="47F9F7B6"/>
    <w:rsid w:val="48006524"/>
    <w:rsid w:val="4800E2D7"/>
    <w:rsid w:val="4801C098"/>
    <w:rsid w:val="4808019B"/>
    <w:rsid w:val="4808C0D2"/>
    <w:rsid w:val="48094991"/>
    <w:rsid w:val="480CBAB0"/>
    <w:rsid w:val="480D5D90"/>
    <w:rsid w:val="480E7E46"/>
    <w:rsid w:val="4811AF1D"/>
    <w:rsid w:val="48141B6C"/>
    <w:rsid w:val="481826C1"/>
    <w:rsid w:val="481888AD"/>
    <w:rsid w:val="4819DA39"/>
    <w:rsid w:val="481CFD19"/>
    <w:rsid w:val="481E5FF6"/>
    <w:rsid w:val="4824A4C0"/>
    <w:rsid w:val="4827BF05"/>
    <w:rsid w:val="48297894"/>
    <w:rsid w:val="482AE53C"/>
    <w:rsid w:val="4830C716"/>
    <w:rsid w:val="4831C8D7"/>
    <w:rsid w:val="483A928C"/>
    <w:rsid w:val="483A9AEC"/>
    <w:rsid w:val="4844B41B"/>
    <w:rsid w:val="48457520"/>
    <w:rsid w:val="484E2810"/>
    <w:rsid w:val="4852E3F8"/>
    <w:rsid w:val="48550C26"/>
    <w:rsid w:val="48626568"/>
    <w:rsid w:val="486F9190"/>
    <w:rsid w:val="48750E9A"/>
    <w:rsid w:val="48759F4C"/>
    <w:rsid w:val="48771D1A"/>
    <w:rsid w:val="487845D8"/>
    <w:rsid w:val="4878B9AB"/>
    <w:rsid w:val="487D8C9B"/>
    <w:rsid w:val="487F51F8"/>
    <w:rsid w:val="48806557"/>
    <w:rsid w:val="4881DD33"/>
    <w:rsid w:val="48854C5E"/>
    <w:rsid w:val="4887E0DE"/>
    <w:rsid w:val="48882C60"/>
    <w:rsid w:val="48891D66"/>
    <w:rsid w:val="488CCDA0"/>
    <w:rsid w:val="488ED389"/>
    <w:rsid w:val="489145B2"/>
    <w:rsid w:val="4894E924"/>
    <w:rsid w:val="489567F9"/>
    <w:rsid w:val="4896B885"/>
    <w:rsid w:val="489902F2"/>
    <w:rsid w:val="489A5813"/>
    <w:rsid w:val="48A090A9"/>
    <w:rsid w:val="48A867EA"/>
    <w:rsid w:val="48AFD6A3"/>
    <w:rsid w:val="48B93C99"/>
    <w:rsid w:val="48BB2973"/>
    <w:rsid w:val="48BC31E7"/>
    <w:rsid w:val="48BC88E7"/>
    <w:rsid w:val="48CAF0AD"/>
    <w:rsid w:val="48D2E320"/>
    <w:rsid w:val="48D34266"/>
    <w:rsid w:val="48D3B9F8"/>
    <w:rsid w:val="48D85A48"/>
    <w:rsid w:val="48DF84DF"/>
    <w:rsid w:val="48EB9771"/>
    <w:rsid w:val="48F9CE37"/>
    <w:rsid w:val="48FA4D4A"/>
    <w:rsid w:val="48FCA34A"/>
    <w:rsid w:val="48FE3319"/>
    <w:rsid w:val="49001147"/>
    <w:rsid w:val="490595FD"/>
    <w:rsid w:val="49067F01"/>
    <w:rsid w:val="4907A27B"/>
    <w:rsid w:val="49083C94"/>
    <w:rsid w:val="4908AC6E"/>
    <w:rsid w:val="490D4165"/>
    <w:rsid w:val="49110ECF"/>
    <w:rsid w:val="4916813D"/>
    <w:rsid w:val="4917A918"/>
    <w:rsid w:val="491A5059"/>
    <w:rsid w:val="491AB3CD"/>
    <w:rsid w:val="491B55A0"/>
    <w:rsid w:val="491F0E7E"/>
    <w:rsid w:val="492266AA"/>
    <w:rsid w:val="4923555A"/>
    <w:rsid w:val="49277CF9"/>
    <w:rsid w:val="492DE2F6"/>
    <w:rsid w:val="4938EC74"/>
    <w:rsid w:val="493AB2D4"/>
    <w:rsid w:val="493D8DAE"/>
    <w:rsid w:val="4942F1B8"/>
    <w:rsid w:val="494589D2"/>
    <w:rsid w:val="4948E45D"/>
    <w:rsid w:val="495026F0"/>
    <w:rsid w:val="4950A8D2"/>
    <w:rsid w:val="49515531"/>
    <w:rsid w:val="49559FAA"/>
    <w:rsid w:val="4955AB5C"/>
    <w:rsid w:val="4967C861"/>
    <w:rsid w:val="496C7699"/>
    <w:rsid w:val="496D1BD8"/>
    <w:rsid w:val="49714D67"/>
    <w:rsid w:val="49726365"/>
    <w:rsid w:val="497414D5"/>
    <w:rsid w:val="497557BD"/>
    <w:rsid w:val="4977089D"/>
    <w:rsid w:val="49817D1F"/>
    <w:rsid w:val="4981942B"/>
    <w:rsid w:val="4982A56C"/>
    <w:rsid w:val="49849811"/>
    <w:rsid w:val="4986B9B7"/>
    <w:rsid w:val="4988C8D5"/>
    <w:rsid w:val="498FCB00"/>
    <w:rsid w:val="49913ED3"/>
    <w:rsid w:val="4997639D"/>
    <w:rsid w:val="499AA9E6"/>
    <w:rsid w:val="499B0985"/>
    <w:rsid w:val="499BF041"/>
    <w:rsid w:val="49A0AD73"/>
    <w:rsid w:val="49A355F5"/>
    <w:rsid w:val="49AB24E8"/>
    <w:rsid w:val="49AF07E4"/>
    <w:rsid w:val="49B1C580"/>
    <w:rsid w:val="49C07034"/>
    <w:rsid w:val="49C1847E"/>
    <w:rsid w:val="49C491FE"/>
    <w:rsid w:val="49C6CD8C"/>
    <w:rsid w:val="49C962B5"/>
    <w:rsid w:val="49CA2C65"/>
    <w:rsid w:val="49CAC6B3"/>
    <w:rsid w:val="49CC7F84"/>
    <w:rsid w:val="49D0B051"/>
    <w:rsid w:val="49D1F106"/>
    <w:rsid w:val="49D7762E"/>
    <w:rsid w:val="49D82C85"/>
    <w:rsid w:val="49D8D274"/>
    <w:rsid w:val="49D96E77"/>
    <w:rsid w:val="49DA8314"/>
    <w:rsid w:val="49DBBB43"/>
    <w:rsid w:val="49DD2FE2"/>
    <w:rsid w:val="49DF06DD"/>
    <w:rsid w:val="49E2A315"/>
    <w:rsid w:val="49E56D43"/>
    <w:rsid w:val="49EE1193"/>
    <w:rsid w:val="49F1F448"/>
    <w:rsid w:val="49F34F86"/>
    <w:rsid w:val="49F61D8B"/>
    <w:rsid w:val="4A0142B2"/>
    <w:rsid w:val="4A019C36"/>
    <w:rsid w:val="4A02C23F"/>
    <w:rsid w:val="4A08D16C"/>
    <w:rsid w:val="4A0C2653"/>
    <w:rsid w:val="4A144002"/>
    <w:rsid w:val="4A15B7CC"/>
    <w:rsid w:val="4A169A62"/>
    <w:rsid w:val="4A16D1A6"/>
    <w:rsid w:val="4A1DD99C"/>
    <w:rsid w:val="4A1E492A"/>
    <w:rsid w:val="4A1EBD79"/>
    <w:rsid w:val="4A1EC02F"/>
    <w:rsid w:val="4A2209F4"/>
    <w:rsid w:val="4A26F904"/>
    <w:rsid w:val="4A27C422"/>
    <w:rsid w:val="4A28884F"/>
    <w:rsid w:val="4A2B3A0D"/>
    <w:rsid w:val="4A2EBF3E"/>
    <w:rsid w:val="4A30AE42"/>
    <w:rsid w:val="4A31E6BD"/>
    <w:rsid w:val="4A3377C1"/>
    <w:rsid w:val="4A339598"/>
    <w:rsid w:val="4A36B940"/>
    <w:rsid w:val="4A476272"/>
    <w:rsid w:val="4A490D40"/>
    <w:rsid w:val="4A4E76BD"/>
    <w:rsid w:val="4A4EEA4B"/>
    <w:rsid w:val="4A530119"/>
    <w:rsid w:val="4A538E9C"/>
    <w:rsid w:val="4A554F97"/>
    <w:rsid w:val="4A555FD4"/>
    <w:rsid w:val="4A565DA3"/>
    <w:rsid w:val="4A6192DA"/>
    <w:rsid w:val="4A64276F"/>
    <w:rsid w:val="4A65C537"/>
    <w:rsid w:val="4A675601"/>
    <w:rsid w:val="4A707D0C"/>
    <w:rsid w:val="4A780357"/>
    <w:rsid w:val="4A7FDCEC"/>
    <w:rsid w:val="4A80EEF2"/>
    <w:rsid w:val="4A83C517"/>
    <w:rsid w:val="4A845AC2"/>
    <w:rsid w:val="4A84D375"/>
    <w:rsid w:val="4A87C704"/>
    <w:rsid w:val="4A88095D"/>
    <w:rsid w:val="4A8B8B80"/>
    <w:rsid w:val="4A8D3839"/>
    <w:rsid w:val="4A8E8B32"/>
    <w:rsid w:val="4A920652"/>
    <w:rsid w:val="4A9505D0"/>
    <w:rsid w:val="4A97CDDB"/>
    <w:rsid w:val="4AA0D410"/>
    <w:rsid w:val="4AA46AF7"/>
    <w:rsid w:val="4AA4CA7D"/>
    <w:rsid w:val="4AA52D80"/>
    <w:rsid w:val="4AA560BE"/>
    <w:rsid w:val="4AA7BAEE"/>
    <w:rsid w:val="4AA90E6B"/>
    <w:rsid w:val="4AADE194"/>
    <w:rsid w:val="4AB043E5"/>
    <w:rsid w:val="4AB1FADF"/>
    <w:rsid w:val="4AB245E8"/>
    <w:rsid w:val="4AB79A24"/>
    <w:rsid w:val="4ABB403A"/>
    <w:rsid w:val="4AC231D6"/>
    <w:rsid w:val="4AC29BCF"/>
    <w:rsid w:val="4AC42873"/>
    <w:rsid w:val="4AC4CBAE"/>
    <w:rsid w:val="4AC6B242"/>
    <w:rsid w:val="4AC8DFFD"/>
    <w:rsid w:val="4AC8EC9C"/>
    <w:rsid w:val="4AD01382"/>
    <w:rsid w:val="4AD03995"/>
    <w:rsid w:val="4AD08583"/>
    <w:rsid w:val="4AD5779B"/>
    <w:rsid w:val="4AD8C468"/>
    <w:rsid w:val="4ADECC76"/>
    <w:rsid w:val="4AE374DE"/>
    <w:rsid w:val="4AE486CB"/>
    <w:rsid w:val="4AF381AC"/>
    <w:rsid w:val="4AFB35CA"/>
    <w:rsid w:val="4AFB58D0"/>
    <w:rsid w:val="4AFB60D6"/>
    <w:rsid w:val="4AFEF2BC"/>
    <w:rsid w:val="4B036D30"/>
    <w:rsid w:val="4B0E2FFB"/>
    <w:rsid w:val="4B13B22A"/>
    <w:rsid w:val="4B14E6A8"/>
    <w:rsid w:val="4B162E2C"/>
    <w:rsid w:val="4B185BF8"/>
    <w:rsid w:val="4B1B9D99"/>
    <w:rsid w:val="4B1D1E4C"/>
    <w:rsid w:val="4B1FA8F7"/>
    <w:rsid w:val="4B208A6E"/>
    <w:rsid w:val="4B29A421"/>
    <w:rsid w:val="4B2A93C1"/>
    <w:rsid w:val="4B2C3315"/>
    <w:rsid w:val="4B2ECD78"/>
    <w:rsid w:val="4B361268"/>
    <w:rsid w:val="4B388035"/>
    <w:rsid w:val="4B39A5DB"/>
    <w:rsid w:val="4B4B1C64"/>
    <w:rsid w:val="4B4E4B8E"/>
    <w:rsid w:val="4B50E871"/>
    <w:rsid w:val="4B52D19C"/>
    <w:rsid w:val="4B59072A"/>
    <w:rsid w:val="4B5D45B9"/>
    <w:rsid w:val="4B60885B"/>
    <w:rsid w:val="4B60F780"/>
    <w:rsid w:val="4B64191E"/>
    <w:rsid w:val="4B64EBB8"/>
    <w:rsid w:val="4B672FA5"/>
    <w:rsid w:val="4B67AFE1"/>
    <w:rsid w:val="4B695121"/>
    <w:rsid w:val="4B6FCA79"/>
    <w:rsid w:val="4B72B6A5"/>
    <w:rsid w:val="4B73D44C"/>
    <w:rsid w:val="4B77636C"/>
    <w:rsid w:val="4B7A75DC"/>
    <w:rsid w:val="4B7B30A5"/>
    <w:rsid w:val="4B7F0BBA"/>
    <w:rsid w:val="4B85D0EE"/>
    <w:rsid w:val="4B936D24"/>
    <w:rsid w:val="4B98FCDD"/>
    <w:rsid w:val="4BA9FE40"/>
    <w:rsid w:val="4BAE7A35"/>
    <w:rsid w:val="4BB1A77F"/>
    <w:rsid w:val="4BB45579"/>
    <w:rsid w:val="4BB7C2D2"/>
    <w:rsid w:val="4BBCC711"/>
    <w:rsid w:val="4BC0FE00"/>
    <w:rsid w:val="4BC66B13"/>
    <w:rsid w:val="4BC7B164"/>
    <w:rsid w:val="4BC83BAB"/>
    <w:rsid w:val="4BC8C242"/>
    <w:rsid w:val="4BCAA7DA"/>
    <w:rsid w:val="4BCC3738"/>
    <w:rsid w:val="4BCCC798"/>
    <w:rsid w:val="4BD240ED"/>
    <w:rsid w:val="4BD2B70C"/>
    <w:rsid w:val="4BD2EE4D"/>
    <w:rsid w:val="4BD5F1E0"/>
    <w:rsid w:val="4BD89CA7"/>
    <w:rsid w:val="4BE46151"/>
    <w:rsid w:val="4BE6B5F8"/>
    <w:rsid w:val="4BE79E8D"/>
    <w:rsid w:val="4BEBFD87"/>
    <w:rsid w:val="4BEDEDDD"/>
    <w:rsid w:val="4BF501F6"/>
    <w:rsid w:val="4BF77DA3"/>
    <w:rsid w:val="4BF9C9FC"/>
    <w:rsid w:val="4C042694"/>
    <w:rsid w:val="4C09513E"/>
    <w:rsid w:val="4C0A8526"/>
    <w:rsid w:val="4C117C9C"/>
    <w:rsid w:val="4C153F17"/>
    <w:rsid w:val="4C170409"/>
    <w:rsid w:val="4C1890BD"/>
    <w:rsid w:val="4C215E85"/>
    <w:rsid w:val="4C222A1F"/>
    <w:rsid w:val="4C22C727"/>
    <w:rsid w:val="4C2983CA"/>
    <w:rsid w:val="4C2DE2FC"/>
    <w:rsid w:val="4C2F1384"/>
    <w:rsid w:val="4C30A5E9"/>
    <w:rsid w:val="4C3299DA"/>
    <w:rsid w:val="4C32B04D"/>
    <w:rsid w:val="4C3565D3"/>
    <w:rsid w:val="4C3B7DB0"/>
    <w:rsid w:val="4C43356A"/>
    <w:rsid w:val="4C46F975"/>
    <w:rsid w:val="4C4F2F3D"/>
    <w:rsid w:val="4C50464B"/>
    <w:rsid w:val="4C507400"/>
    <w:rsid w:val="4C543A71"/>
    <w:rsid w:val="4C54C112"/>
    <w:rsid w:val="4C562CCF"/>
    <w:rsid w:val="4C6D1603"/>
    <w:rsid w:val="4C7F01FD"/>
    <w:rsid w:val="4C7FE9E7"/>
    <w:rsid w:val="4C98078D"/>
    <w:rsid w:val="4C9D7B6E"/>
    <w:rsid w:val="4C9DAC2E"/>
    <w:rsid w:val="4C9DE3B9"/>
    <w:rsid w:val="4CA456F6"/>
    <w:rsid w:val="4CA55EC0"/>
    <w:rsid w:val="4CAA1F8A"/>
    <w:rsid w:val="4CAC46E5"/>
    <w:rsid w:val="4CAEBF9A"/>
    <w:rsid w:val="4CB062F6"/>
    <w:rsid w:val="4CB21184"/>
    <w:rsid w:val="4CB27485"/>
    <w:rsid w:val="4CB402C5"/>
    <w:rsid w:val="4CB6D72A"/>
    <w:rsid w:val="4CC067D1"/>
    <w:rsid w:val="4CC7A346"/>
    <w:rsid w:val="4CD75ED9"/>
    <w:rsid w:val="4CDCBD85"/>
    <w:rsid w:val="4CDF034F"/>
    <w:rsid w:val="4CE05D3B"/>
    <w:rsid w:val="4CE8014B"/>
    <w:rsid w:val="4CE957B8"/>
    <w:rsid w:val="4CEE3EF1"/>
    <w:rsid w:val="4CF4F337"/>
    <w:rsid w:val="4CF561D7"/>
    <w:rsid w:val="4CF61146"/>
    <w:rsid w:val="4CF84C5F"/>
    <w:rsid w:val="4CFA38AA"/>
    <w:rsid w:val="4CFBB68C"/>
    <w:rsid w:val="4CFBE114"/>
    <w:rsid w:val="4CFC83D4"/>
    <w:rsid w:val="4D01895D"/>
    <w:rsid w:val="4D024F0E"/>
    <w:rsid w:val="4D0292AC"/>
    <w:rsid w:val="4D04EE96"/>
    <w:rsid w:val="4D056EB5"/>
    <w:rsid w:val="4D06959A"/>
    <w:rsid w:val="4D0E099C"/>
    <w:rsid w:val="4D0E3434"/>
    <w:rsid w:val="4D0E42EA"/>
    <w:rsid w:val="4D1B0D31"/>
    <w:rsid w:val="4D20D43B"/>
    <w:rsid w:val="4D24B0B4"/>
    <w:rsid w:val="4D2F0353"/>
    <w:rsid w:val="4D3231B0"/>
    <w:rsid w:val="4D3658D1"/>
    <w:rsid w:val="4D40F3AC"/>
    <w:rsid w:val="4D419A6B"/>
    <w:rsid w:val="4D454D17"/>
    <w:rsid w:val="4D49FCCF"/>
    <w:rsid w:val="4D4CFC46"/>
    <w:rsid w:val="4D558970"/>
    <w:rsid w:val="4D584068"/>
    <w:rsid w:val="4D58ED2B"/>
    <w:rsid w:val="4D5A2837"/>
    <w:rsid w:val="4D61D553"/>
    <w:rsid w:val="4D678133"/>
    <w:rsid w:val="4D6CB5BF"/>
    <w:rsid w:val="4D6E85CC"/>
    <w:rsid w:val="4D727C24"/>
    <w:rsid w:val="4D74DD2D"/>
    <w:rsid w:val="4D757024"/>
    <w:rsid w:val="4D7765AC"/>
    <w:rsid w:val="4D7CABCF"/>
    <w:rsid w:val="4D814337"/>
    <w:rsid w:val="4D852949"/>
    <w:rsid w:val="4D85EEC8"/>
    <w:rsid w:val="4D8B11B3"/>
    <w:rsid w:val="4D8F6F2C"/>
    <w:rsid w:val="4D8FE067"/>
    <w:rsid w:val="4D92E65F"/>
    <w:rsid w:val="4D984280"/>
    <w:rsid w:val="4D99F23C"/>
    <w:rsid w:val="4D9AF37A"/>
    <w:rsid w:val="4D9CF0EF"/>
    <w:rsid w:val="4DA19E1C"/>
    <w:rsid w:val="4DA2E60E"/>
    <w:rsid w:val="4DA46975"/>
    <w:rsid w:val="4DA92699"/>
    <w:rsid w:val="4DAA1291"/>
    <w:rsid w:val="4DABF405"/>
    <w:rsid w:val="4DB27839"/>
    <w:rsid w:val="4DB89BF3"/>
    <w:rsid w:val="4DBECDB8"/>
    <w:rsid w:val="4DC14299"/>
    <w:rsid w:val="4DC4620C"/>
    <w:rsid w:val="4DC4F409"/>
    <w:rsid w:val="4DC6BEF1"/>
    <w:rsid w:val="4DC8050E"/>
    <w:rsid w:val="4DC97AB2"/>
    <w:rsid w:val="4DCA6739"/>
    <w:rsid w:val="4DD09953"/>
    <w:rsid w:val="4DD236FD"/>
    <w:rsid w:val="4DD23ACA"/>
    <w:rsid w:val="4DD4D5F4"/>
    <w:rsid w:val="4DD663FC"/>
    <w:rsid w:val="4DD7FBDA"/>
    <w:rsid w:val="4DD9502D"/>
    <w:rsid w:val="4DDAB56C"/>
    <w:rsid w:val="4DEA6FA6"/>
    <w:rsid w:val="4DEC7EF9"/>
    <w:rsid w:val="4DEDAEEC"/>
    <w:rsid w:val="4DF0D704"/>
    <w:rsid w:val="4DF132FC"/>
    <w:rsid w:val="4DF1BBDF"/>
    <w:rsid w:val="4DF5296B"/>
    <w:rsid w:val="4DF8C85D"/>
    <w:rsid w:val="4DFA0B4B"/>
    <w:rsid w:val="4DFB3B90"/>
    <w:rsid w:val="4DFB7DAB"/>
    <w:rsid w:val="4E00803A"/>
    <w:rsid w:val="4E01932F"/>
    <w:rsid w:val="4E01E871"/>
    <w:rsid w:val="4E0DD418"/>
    <w:rsid w:val="4E2628A3"/>
    <w:rsid w:val="4E262B23"/>
    <w:rsid w:val="4E37CD9A"/>
    <w:rsid w:val="4E3848B6"/>
    <w:rsid w:val="4E3A4AAF"/>
    <w:rsid w:val="4E414FBC"/>
    <w:rsid w:val="4E4A5CA3"/>
    <w:rsid w:val="4E4D2CFE"/>
    <w:rsid w:val="4E50DF11"/>
    <w:rsid w:val="4E58748B"/>
    <w:rsid w:val="4E58F608"/>
    <w:rsid w:val="4E5DA58E"/>
    <w:rsid w:val="4E5DAD6F"/>
    <w:rsid w:val="4E5FA289"/>
    <w:rsid w:val="4E692030"/>
    <w:rsid w:val="4E6964DE"/>
    <w:rsid w:val="4E6F10C9"/>
    <w:rsid w:val="4E6F4517"/>
    <w:rsid w:val="4E7B83C6"/>
    <w:rsid w:val="4E7D0809"/>
    <w:rsid w:val="4E7DACDD"/>
    <w:rsid w:val="4E826965"/>
    <w:rsid w:val="4E85C680"/>
    <w:rsid w:val="4E89327D"/>
    <w:rsid w:val="4E89F9CB"/>
    <w:rsid w:val="4E8A6042"/>
    <w:rsid w:val="4E8B810D"/>
    <w:rsid w:val="4E8CFCE4"/>
    <w:rsid w:val="4E935591"/>
    <w:rsid w:val="4E9832C8"/>
    <w:rsid w:val="4EA5843C"/>
    <w:rsid w:val="4EA77B32"/>
    <w:rsid w:val="4EAC049A"/>
    <w:rsid w:val="4EAD021E"/>
    <w:rsid w:val="4EADE381"/>
    <w:rsid w:val="4EAE68F7"/>
    <w:rsid w:val="4EAF1753"/>
    <w:rsid w:val="4EB42CEE"/>
    <w:rsid w:val="4EBA5804"/>
    <w:rsid w:val="4EC09402"/>
    <w:rsid w:val="4EC717FC"/>
    <w:rsid w:val="4EC72951"/>
    <w:rsid w:val="4ED6ABA9"/>
    <w:rsid w:val="4ED7D72F"/>
    <w:rsid w:val="4EE1F6D8"/>
    <w:rsid w:val="4EE5D664"/>
    <w:rsid w:val="4EF09568"/>
    <w:rsid w:val="4EF1A66D"/>
    <w:rsid w:val="4EF35696"/>
    <w:rsid w:val="4EF6EAF3"/>
    <w:rsid w:val="4EF95ACE"/>
    <w:rsid w:val="4EFA9FCC"/>
    <w:rsid w:val="4F01C078"/>
    <w:rsid w:val="4F02816F"/>
    <w:rsid w:val="4F05F817"/>
    <w:rsid w:val="4F06936E"/>
    <w:rsid w:val="4F0C2FAC"/>
    <w:rsid w:val="4F207132"/>
    <w:rsid w:val="4F215385"/>
    <w:rsid w:val="4F242E0F"/>
    <w:rsid w:val="4F2D653E"/>
    <w:rsid w:val="4F364D1B"/>
    <w:rsid w:val="4F37F6ED"/>
    <w:rsid w:val="4F39B6A1"/>
    <w:rsid w:val="4F404622"/>
    <w:rsid w:val="4F43E93D"/>
    <w:rsid w:val="4F454C43"/>
    <w:rsid w:val="4F45DDA5"/>
    <w:rsid w:val="4F462334"/>
    <w:rsid w:val="4F4D7D8B"/>
    <w:rsid w:val="4F50373B"/>
    <w:rsid w:val="4F5FA2E9"/>
    <w:rsid w:val="4F5FD4F6"/>
    <w:rsid w:val="4F61F614"/>
    <w:rsid w:val="4F657E7D"/>
    <w:rsid w:val="4F6593BC"/>
    <w:rsid w:val="4F66DA19"/>
    <w:rsid w:val="4F6F6116"/>
    <w:rsid w:val="4F704A7B"/>
    <w:rsid w:val="4F70B475"/>
    <w:rsid w:val="4F71F117"/>
    <w:rsid w:val="4F766E28"/>
    <w:rsid w:val="4F7B1E9E"/>
    <w:rsid w:val="4F7B990A"/>
    <w:rsid w:val="4F7D3883"/>
    <w:rsid w:val="4F944F8E"/>
    <w:rsid w:val="4F97D819"/>
    <w:rsid w:val="4F9DFAE8"/>
    <w:rsid w:val="4F9F45DC"/>
    <w:rsid w:val="4FA188BC"/>
    <w:rsid w:val="4FA1BA19"/>
    <w:rsid w:val="4FA21C6B"/>
    <w:rsid w:val="4FA7264A"/>
    <w:rsid w:val="4FA7C484"/>
    <w:rsid w:val="4FA90F8C"/>
    <w:rsid w:val="4FAA26CB"/>
    <w:rsid w:val="4FB239F8"/>
    <w:rsid w:val="4FB6E47B"/>
    <w:rsid w:val="4FB724FC"/>
    <w:rsid w:val="4FBA488E"/>
    <w:rsid w:val="4FBA87E1"/>
    <w:rsid w:val="4FBD71C5"/>
    <w:rsid w:val="4FC1B6A3"/>
    <w:rsid w:val="4FC972AB"/>
    <w:rsid w:val="4FCA118F"/>
    <w:rsid w:val="4FD47854"/>
    <w:rsid w:val="4FD9A399"/>
    <w:rsid w:val="4FDB6A13"/>
    <w:rsid w:val="4FDF54F5"/>
    <w:rsid w:val="4FE1919D"/>
    <w:rsid w:val="4FE920F9"/>
    <w:rsid w:val="4FEC2258"/>
    <w:rsid w:val="4FEFB093"/>
    <w:rsid w:val="4FF2DE6A"/>
    <w:rsid w:val="4FF460F0"/>
    <w:rsid w:val="4FF59AA4"/>
    <w:rsid w:val="4FFA4019"/>
    <w:rsid w:val="4FFEC07A"/>
    <w:rsid w:val="5000F290"/>
    <w:rsid w:val="500114A1"/>
    <w:rsid w:val="500189D3"/>
    <w:rsid w:val="5003A952"/>
    <w:rsid w:val="5005CDE5"/>
    <w:rsid w:val="5008AFB3"/>
    <w:rsid w:val="50094AB4"/>
    <w:rsid w:val="500BB52D"/>
    <w:rsid w:val="500BDDDD"/>
    <w:rsid w:val="500D27CB"/>
    <w:rsid w:val="50171BFA"/>
    <w:rsid w:val="501832F7"/>
    <w:rsid w:val="501AD4B7"/>
    <w:rsid w:val="501BD472"/>
    <w:rsid w:val="5020811B"/>
    <w:rsid w:val="50252FBB"/>
    <w:rsid w:val="502A5AF3"/>
    <w:rsid w:val="502A7F0B"/>
    <w:rsid w:val="502ABD5F"/>
    <w:rsid w:val="502C8CB1"/>
    <w:rsid w:val="50333FBB"/>
    <w:rsid w:val="503AB861"/>
    <w:rsid w:val="503B690C"/>
    <w:rsid w:val="503BFF68"/>
    <w:rsid w:val="50435C15"/>
    <w:rsid w:val="504377CE"/>
    <w:rsid w:val="50484952"/>
    <w:rsid w:val="504B4174"/>
    <w:rsid w:val="504CEB07"/>
    <w:rsid w:val="504FBD64"/>
    <w:rsid w:val="50515794"/>
    <w:rsid w:val="5057FEE8"/>
    <w:rsid w:val="505D09F7"/>
    <w:rsid w:val="5064DF58"/>
    <w:rsid w:val="506A5859"/>
    <w:rsid w:val="506D18E1"/>
    <w:rsid w:val="5071A5A9"/>
    <w:rsid w:val="5072BC5D"/>
    <w:rsid w:val="50752447"/>
    <w:rsid w:val="50766CBA"/>
    <w:rsid w:val="50797E09"/>
    <w:rsid w:val="507E0521"/>
    <w:rsid w:val="507FB4AE"/>
    <w:rsid w:val="5083D4AD"/>
    <w:rsid w:val="508A3C53"/>
    <w:rsid w:val="508CEDF5"/>
    <w:rsid w:val="508D443D"/>
    <w:rsid w:val="508D7A6D"/>
    <w:rsid w:val="50909AF1"/>
    <w:rsid w:val="509A6103"/>
    <w:rsid w:val="509B45FE"/>
    <w:rsid w:val="509FE9EE"/>
    <w:rsid w:val="50A19423"/>
    <w:rsid w:val="50A2A2F6"/>
    <w:rsid w:val="50A2D342"/>
    <w:rsid w:val="50A5DF39"/>
    <w:rsid w:val="50A6FBFC"/>
    <w:rsid w:val="50AC6653"/>
    <w:rsid w:val="50B081ED"/>
    <w:rsid w:val="50B271E6"/>
    <w:rsid w:val="50B45989"/>
    <w:rsid w:val="50C1A96E"/>
    <w:rsid w:val="50C324F2"/>
    <w:rsid w:val="50C5DE84"/>
    <w:rsid w:val="50C835E8"/>
    <w:rsid w:val="50CC79E4"/>
    <w:rsid w:val="50CF43D6"/>
    <w:rsid w:val="50D03518"/>
    <w:rsid w:val="50DCD626"/>
    <w:rsid w:val="50E311EE"/>
    <w:rsid w:val="50EA9B49"/>
    <w:rsid w:val="50F8D28B"/>
    <w:rsid w:val="50FD7303"/>
    <w:rsid w:val="5103F779"/>
    <w:rsid w:val="510D8851"/>
    <w:rsid w:val="5113DA70"/>
    <w:rsid w:val="5114DEED"/>
    <w:rsid w:val="5117656E"/>
    <w:rsid w:val="5118C001"/>
    <w:rsid w:val="511EF6C0"/>
    <w:rsid w:val="5120BBF1"/>
    <w:rsid w:val="5123DEE6"/>
    <w:rsid w:val="51285895"/>
    <w:rsid w:val="51286440"/>
    <w:rsid w:val="5128C565"/>
    <w:rsid w:val="512AF999"/>
    <w:rsid w:val="512EDAE0"/>
    <w:rsid w:val="513144D7"/>
    <w:rsid w:val="5131B316"/>
    <w:rsid w:val="5136C2DC"/>
    <w:rsid w:val="513A45D6"/>
    <w:rsid w:val="513E1CE2"/>
    <w:rsid w:val="51407D76"/>
    <w:rsid w:val="514406F9"/>
    <w:rsid w:val="5147B1E8"/>
    <w:rsid w:val="514E0DFA"/>
    <w:rsid w:val="515171F7"/>
    <w:rsid w:val="51553615"/>
    <w:rsid w:val="5156C480"/>
    <w:rsid w:val="515808F2"/>
    <w:rsid w:val="5159CF1C"/>
    <w:rsid w:val="515CF2B8"/>
    <w:rsid w:val="515E729E"/>
    <w:rsid w:val="5163236F"/>
    <w:rsid w:val="51648F65"/>
    <w:rsid w:val="516E4FE0"/>
    <w:rsid w:val="51703CB4"/>
    <w:rsid w:val="51749979"/>
    <w:rsid w:val="51786D8D"/>
    <w:rsid w:val="517962F8"/>
    <w:rsid w:val="5179FE24"/>
    <w:rsid w:val="517CCE6F"/>
    <w:rsid w:val="517DA75E"/>
    <w:rsid w:val="5182FD89"/>
    <w:rsid w:val="51831414"/>
    <w:rsid w:val="5184D4C5"/>
    <w:rsid w:val="518A98B9"/>
    <w:rsid w:val="518A9A9B"/>
    <w:rsid w:val="518FF461"/>
    <w:rsid w:val="51908B36"/>
    <w:rsid w:val="5190AD88"/>
    <w:rsid w:val="519A58CC"/>
    <w:rsid w:val="519B0657"/>
    <w:rsid w:val="519B238C"/>
    <w:rsid w:val="51A7C4CE"/>
    <w:rsid w:val="51AB1AEF"/>
    <w:rsid w:val="51AD5039"/>
    <w:rsid w:val="51AD9F5B"/>
    <w:rsid w:val="51AEA96C"/>
    <w:rsid w:val="51B1F693"/>
    <w:rsid w:val="51B55D6C"/>
    <w:rsid w:val="51B7E773"/>
    <w:rsid w:val="51BC6892"/>
    <w:rsid w:val="51BD4369"/>
    <w:rsid w:val="51C142A3"/>
    <w:rsid w:val="51C1B23A"/>
    <w:rsid w:val="51C2394B"/>
    <w:rsid w:val="51C8070A"/>
    <w:rsid w:val="51CD83F6"/>
    <w:rsid w:val="51CF771B"/>
    <w:rsid w:val="51D80C19"/>
    <w:rsid w:val="51DB1BDF"/>
    <w:rsid w:val="51DBADC9"/>
    <w:rsid w:val="51DF0E72"/>
    <w:rsid w:val="51E504F8"/>
    <w:rsid w:val="51E82660"/>
    <w:rsid w:val="51E85A4E"/>
    <w:rsid w:val="51F5C3DD"/>
    <w:rsid w:val="51F671B5"/>
    <w:rsid w:val="51F70FBD"/>
    <w:rsid w:val="51FB0B8A"/>
    <w:rsid w:val="52031F97"/>
    <w:rsid w:val="5204BA75"/>
    <w:rsid w:val="520AD97B"/>
    <w:rsid w:val="520B5016"/>
    <w:rsid w:val="520FE645"/>
    <w:rsid w:val="521E5E11"/>
    <w:rsid w:val="5221BA6F"/>
    <w:rsid w:val="52260DDF"/>
    <w:rsid w:val="5233EE37"/>
    <w:rsid w:val="5234680E"/>
    <w:rsid w:val="5238F613"/>
    <w:rsid w:val="523BB28C"/>
    <w:rsid w:val="523BB701"/>
    <w:rsid w:val="523D5899"/>
    <w:rsid w:val="52421A0D"/>
    <w:rsid w:val="5242F4D6"/>
    <w:rsid w:val="5250748A"/>
    <w:rsid w:val="52511E8E"/>
    <w:rsid w:val="5255E93F"/>
    <w:rsid w:val="525677EF"/>
    <w:rsid w:val="525BE73C"/>
    <w:rsid w:val="525E0D65"/>
    <w:rsid w:val="52633171"/>
    <w:rsid w:val="52657480"/>
    <w:rsid w:val="52668B85"/>
    <w:rsid w:val="5272B312"/>
    <w:rsid w:val="52753713"/>
    <w:rsid w:val="52756458"/>
    <w:rsid w:val="5279B522"/>
    <w:rsid w:val="527DB305"/>
    <w:rsid w:val="528092F9"/>
    <w:rsid w:val="52862140"/>
    <w:rsid w:val="52884873"/>
    <w:rsid w:val="52904ABC"/>
    <w:rsid w:val="529783F4"/>
    <w:rsid w:val="529C03A5"/>
    <w:rsid w:val="529C0C10"/>
    <w:rsid w:val="529D7D67"/>
    <w:rsid w:val="529F83D6"/>
    <w:rsid w:val="52A2872D"/>
    <w:rsid w:val="52A3A175"/>
    <w:rsid w:val="52A70412"/>
    <w:rsid w:val="52A85DB6"/>
    <w:rsid w:val="52B40911"/>
    <w:rsid w:val="52BD6559"/>
    <w:rsid w:val="52BF6750"/>
    <w:rsid w:val="52C1B174"/>
    <w:rsid w:val="52C454C5"/>
    <w:rsid w:val="52C559EB"/>
    <w:rsid w:val="52C681B4"/>
    <w:rsid w:val="52CD3830"/>
    <w:rsid w:val="52D9757D"/>
    <w:rsid w:val="52DBE5DF"/>
    <w:rsid w:val="52E1C8E3"/>
    <w:rsid w:val="52ED3F1B"/>
    <w:rsid w:val="52F1D6E9"/>
    <w:rsid w:val="5300A99D"/>
    <w:rsid w:val="5308FD17"/>
    <w:rsid w:val="530BD620"/>
    <w:rsid w:val="530C85E4"/>
    <w:rsid w:val="53119560"/>
    <w:rsid w:val="531366A3"/>
    <w:rsid w:val="531442F5"/>
    <w:rsid w:val="53169A61"/>
    <w:rsid w:val="53184864"/>
    <w:rsid w:val="5319513F"/>
    <w:rsid w:val="531B762B"/>
    <w:rsid w:val="531EA28B"/>
    <w:rsid w:val="531F9799"/>
    <w:rsid w:val="5321B522"/>
    <w:rsid w:val="53229467"/>
    <w:rsid w:val="5324FFC6"/>
    <w:rsid w:val="533310CE"/>
    <w:rsid w:val="533329EA"/>
    <w:rsid w:val="53335FF6"/>
    <w:rsid w:val="53463A7A"/>
    <w:rsid w:val="5347FAA3"/>
    <w:rsid w:val="53509386"/>
    <w:rsid w:val="53511159"/>
    <w:rsid w:val="5351AE3A"/>
    <w:rsid w:val="53539736"/>
    <w:rsid w:val="535790E9"/>
    <w:rsid w:val="5357AC70"/>
    <w:rsid w:val="535CD077"/>
    <w:rsid w:val="535DDB25"/>
    <w:rsid w:val="5361787B"/>
    <w:rsid w:val="536691AD"/>
    <w:rsid w:val="53697A07"/>
    <w:rsid w:val="536C44DE"/>
    <w:rsid w:val="5373304E"/>
    <w:rsid w:val="5378B9C1"/>
    <w:rsid w:val="537918D0"/>
    <w:rsid w:val="538131EE"/>
    <w:rsid w:val="5390E9E2"/>
    <w:rsid w:val="53936873"/>
    <w:rsid w:val="53957E96"/>
    <w:rsid w:val="5399B405"/>
    <w:rsid w:val="539A9927"/>
    <w:rsid w:val="53A0CF8A"/>
    <w:rsid w:val="53A50574"/>
    <w:rsid w:val="53A5A94B"/>
    <w:rsid w:val="53A82A0D"/>
    <w:rsid w:val="53AA9C05"/>
    <w:rsid w:val="53AB0C5C"/>
    <w:rsid w:val="53D1ADF7"/>
    <w:rsid w:val="53DA1A82"/>
    <w:rsid w:val="53DB5B9A"/>
    <w:rsid w:val="53E07CCC"/>
    <w:rsid w:val="53E086BE"/>
    <w:rsid w:val="53E51FAE"/>
    <w:rsid w:val="53E52CC3"/>
    <w:rsid w:val="53E5B72F"/>
    <w:rsid w:val="53E8D67C"/>
    <w:rsid w:val="53F473BB"/>
    <w:rsid w:val="53FAFB7A"/>
    <w:rsid w:val="53FBD79F"/>
    <w:rsid w:val="54014298"/>
    <w:rsid w:val="54045852"/>
    <w:rsid w:val="5404AA4E"/>
    <w:rsid w:val="54079F4B"/>
    <w:rsid w:val="54087AF9"/>
    <w:rsid w:val="540A3A99"/>
    <w:rsid w:val="540B92E5"/>
    <w:rsid w:val="540C89B1"/>
    <w:rsid w:val="540D45D6"/>
    <w:rsid w:val="540E9CE9"/>
    <w:rsid w:val="541006C1"/>
    <w:rsid w:val="54211E41"/>
    <w:rsid w:val="5421688C"/>
    <w:rsid w:val="54258C4A"/>
    <w:rsid w:val="542C46AB"/>
    <w:rsid w:val="542DE7F2"/>
    <w:rsid w:val="5434F3A1"/>
    <w:rsid w:val="5436C449"/>
    <w:rsid w:val="543BBCDF"/>
    <w:rsid w:val="543F1F3D"/>
    <w:rsid w:val="5442E16D"/>
    <w:rsid w:val="5448D520"/>
    <w:rsid w:val="54490226"/>
    <w:rsid w:val="544A0566"/>
    <w:rsid w:val="5452835A"/>
    <w:rsid w:val="54541F2C"/>
    <w:rsid w:val="545A4491"/>
    <w:rsid w:val="545A7954"/>
    <w:rsid w:val="545AAA6D"/>
    <w:rsid w:val="5463E91B"/>
    <w:rsid w:val="54665E95"/>
    <w:rsid w:val="546AADED"/>
    <w:rsid w:val="546B6461"/>
    <w:rsid w:val="5476D8CE"/>
    <w:rsid w:val="547CFCEF"/>
    <w:rsid w:val="547DE580"/>
    <w:rsid w:val="547E036B"/>
    <w:rsid w:val="548481F2"/>
    <w:rsid w:val="54858C5A"/>
    <w:rsid w:val="548CA0F1"/>
    <w:rsid w:val="549AEA7D"/>
    <w:rsid w:val="549CD1B6"/>
    <w:rsid w:val="54A66FB3"/>
    <w:rsid w:val="54A6B98F"/>
    <w:rsid w:val="54AB6987"/>
    <w:rsid w:val="54AD59D4"/>
    <w:rsid w:val="54AD994C"/>
    <w:rsid w:val="54AE8C07"/>
    <w:rsid w:val="54B6130E"/>
    <w:rsid w:val="54BF24DB"/>
    <w:rsid w:val="54C446E7"/>
    <w:rsid w:val="54C49054"/>
    <w:rsid w:val="54C4AF85"/>
    <w:rsid w:val="54C4EB7B"/>
    <w:rsid w:val="54C74FE7"/>
    <w:rsid w:val="54CD9E1B"/>
    <w:rsid w:val="54D1F5F1"/>
    <w:rsid w:val="54D3B60E"/>
    <w:rsid w:val="54D4A9D4"/>
    <w:rsid w:val="54D5DA9A"/>
    <w:rsid w:val="54D7EEB2"/>
    <w:rsid w:val="54DA393D"/>
    <w:rsid w:val="54E38E41"/>
    <w:rsid w:val="54EC0A05"/>
    <w:rsid w:val="54EFBBAB"/>
    <w:rsid w:val="54F0516F"/>
    <w:rsid w:val="54F1ABF2"/>
    <w:rsid w:val="54F3C38B"/>
    <w:rsid w:val="54F4692C"/>
    <w:rsid w:val="5509FA1E"/>
    <w:rsid w:val="550A3D03"/>
    <w:rsid w:val="5511F88B"/>
    <w:rsid w:val="5514D05C"/>
    <w:rsid w:val="5515AED0"/>
    <w:rsid w:val="5516569E"/>
    <w:rsid w:val="55166AD1"/>
    <w:rsid w:val="5516791B"/>
    <w:rsid w:val="55171A1E"/>
    <w:rsid w:val="551884E8"/>
    <w:rsid w:val="55189AE0"/>
    <w:rsid w:val="551C841C"/>
    <w:rsid w:val="551DCFFD"/>
    <w:rsid w:val="551E7271"/>
    <w:rsid w:val="5521A9C8"/>
    <w:rsid w:val="5522093E"/>
    <w:rsid w:val="5524F102"/>
    <w:rsid w:val="5525A864"/>
    <w:rsid w:val="552611DC"/>
    <w:rsid w:val="55261F4D"/>
    <w:rsid w:val="552AAADE"/>
    <w:rsid w:val="552F9C81"/>
    <w:rsid w:val="55340247"/>
    <w:rsid w:val="5535D306"/>
    <w:rsid w:val="5536CB20"/>
    <w:rsid w:val="5537118E"/>
    <w:rsid w:val="5538C914"/>
    <w:rsid w:val="554A0B5C"/>
    <w:rsid w:val="554E1142"/>
    <w:rsid w:val="554E1870"/>
    <w:rsid w:val="554EAF69"/>
    <w:rsid w:val="5551CA50"/>
    <w:rsid w:val="55571C40"/>
    <w:rsid w:val="5557308B"/>
    <w:rsid w:val="55631DE6"/>
    <w:rsid w:val="5571F55A"/>
    <w:rsid w:val="5579F85E"/>
    <w:rsid w:val="557E6126"/>
    <w:rsid w:val="557EEE38"/>
    <w:rsid w:val="5584354C"/>
    <w:rsid w:val="55846F62"/>
    <w:rsid w:val="558CD133"/>
    <w:rsid w:val="55987455"/>
    <w:rsid w:val="559DE792"/>
    <w:rsid w:val="559E3EA4"/>
    <w:rsid w:val="55A03BA7"/>
    <w:rsid w:val="55A26D17"/>
    <w:rsid w:val="55A3B7F3"/>
    <w:rsid w:val="55AC1627"/>
    <w:rsid w:val="55AC7C18"/>
    <w:rsid w:val="55AC7E65"/>
    <w:rsid w:val="55AD61C4"/>
    <w:rsid w:val="55B722D5"/>
    <w:rsid w:val="55B97B0B"/>
    <w:rsid w:val="55BAC39D"/>
    <w:rsid w:val="55BBA8C7"/>
    <w:rsid w:val="55C2DBE2"/>
    <w:rsid w:val="55C4082F"/>
    <w:rsid w:val="55C4DEE6"/>
    <w:rsid w:val="55C5C8F5"/>
    <w:rsid w:val="55D3CABB"/>
    <w:rsid w:val="55D3D3A0"/>
    <w:rsid w:val="55D53702"/>
    <w:rsid w:val="55D86154"/>
    <w:rsid w:val="55DB686C"/>
    <w:rsid w:val="55E04040"/>
    <w:rsid w:val="55E09AC4"/>
    <w:rsid w:val="55E2987B"/>
    <w:rsid w:val="55E65DEA"/>
    <w:rsid w:val="55E8D321"/>
    <w:rsid w:val="55EBA6A7"/>
    <w:rsid w:val="55F50E22"/>
    <w:rsid w:val="55FBA1EB"/>
    <w:rsid w:val="55FBBE92"/>
    <w:rsid w:val="560189C8"/>
    <w:rsid w:val="560944AF"/>
    <w:rsid w:val="560ABF5D"/>
    <w:rsid w:val="560E5280"/>
    <w:rsid w:val="56115EFD"/>
    <w:rsid w:val="5611F25C"/>
    <w:rsid w:val="56128807"/>
    <w:rsid w:val="5613A7B2"/>
    <w:rsid w:val="5618C6D1"/>
    <w:rsid w:val="561DA2F0"/>
    <w:rsid w:val="5627496B"/>
    <w:rsid w:val="56298740"/>
    <w:rsid w:val="562BA96F"/>
    <w:rsid w:val="563222EF"/>
    <w:rsid w:val="56331C76"/>
    <w:rsid w:val="56350976"/>
    <w:rsid w:val="5637DF7E"/>
    <w:rsid w:val="5640CA22"/>
    <w:rsid w:val="56421510"/>
    <w:rsid w:val="564E5EA6"/>
    <w:rsid w:val="564FFFD0"/>
    <w:rsid w:val="565A6C52"/>
    <w:rsid w:val="565C95BA"/>
    <w:rsid w:val="56672167"/>
    <w:rsid w:val="566FA40B"/>
    <w:rsid w:val="56702BD2"/>
    <w:rsid w:val="5674D321"/>
    <w:rsid w:val="5679ED2C"/>
    <w:rsid w:val="567FEEBD"/>
    <w:rsid w:val="5684C8C9"/>
    <w:rsid w:val="5686DA3C"/>
    <w:rsid w:val="568CBEF2"/>
    <w:rsid w:val="568DA3C8"/>
    <w:rsid w:val="5696A099"/>
    <w:rsid w:val="569C8647"/>
    <w:rsid w:val="569FBFBC"/>
    <w:rsid w:val="56A11DEF"/>
    <w:rsid w:val="56A1A0DE"/>
    <w:rsid w:val="56AC0A10"/>
    <w:rsid w:val="56AD46F4"/>
    <w:rsid w:val="56AD8AEE"/>
    <w:rsid w:val="56B077F0"/>
    <w:rsid w:val="56B297A4"/>
    <w:rsid w:val="56B47DE0"/>
    <w:rsid w:val="56B716D2"/>
    <w:rsid w:val="56B94CC4"/>
    <w:rsid w:val="56BAA8FD"/>
    <w:rsid w:val="56BE6768"/>
    <w:rsid w:val="56C0CAC6"/>
    <w:rsid w:val="56C2534E"/>
    <w:rsid w:val="56C9EEA3"/>
    <w:rsid w:val="56CA1286"/>
    <w:rsid w:val="56D1A367"/>
    <w:rsid w:val="56D1B8AC"/>
    <w:rsid w:val="56D2ADEC"/>
    <w:rsid w:val="56E6CFE2"/>
    <w:rsid w:val="56E7D953"/>
    <w:rsid w:val="56EB4A86"/>
    <w:rsid w:val="56EC7588"/>
    <w:rsid w:val="56ED5A5C"/>
    <w:rsid w:val="56F0067C"/>
    <w:rsid w:val="56F44395"/>
    <w:rsid w:val="56F73D5F"/>
    <w:rsid w:val="57018E5C"/>
    <w:rsid w:val="5704FA1B"/>
    <w:rsid w:val="57050BAB"/>
    <w:rsid w:val="5706DB13"/>
    <w:rsid w:val="570821DC"/>
    <w:rsid w:val="5708A913"/>
    <w:rsid w:val="5708FAEF"/>
    <w:rsid w:val="571026DE"/>
    <w:rsid w:val="57157000"/>
    <w:rsid w:val="571A1D42"/>
    <w:rsid w:val="571AF5F9"/>
    <w:rsid w:val="571B3918"/>
    <w:rsid w:val="571D57F1"/>
    <w:rsid w:val="572DD884"/>
    <w:rsid w:val="57325FB9"/>
    <w:rsid w:val="5735EAF6"/>
    <w:rsid w:val="573D89FD"/>
    <w:rsid w:val="57404131"/>
    <w:rsid w:val="57412A9F"/>
    <w:rsid w:val="574ABBC0"/>
    <w:rsid w:val="575213DB"/>
    <w:rsid w:val="57522348"/>
    <w:rsid w:val="5754942A"/>
    <w:rsid w:val="576251F6"/>
    <w:rsid w:val="5767FB73"/>
    <w:rsid w:val="576A25AC"/>
    <w:rsid w:val="576AA372"/>
    <w:rsid w:val="5770DB67"/>
    <w:rsid w:val="5771833D"/>
    <w:rsid w:val="5772AD0E"/>
    <w:rsid w:val="577B77C5"/>
    <w:rsid w:val="577D3C6E"/>
    <w:rsid w:val="577D6596"/>
    <w:rsid w:val="578334A6"/>
    <w:rsid w:val="578C2EE3"/>
    <w:rsid w:val="578EE0D3"/>
    <w:rsid w:val="578F771D"/>
    <w:rsid w:val="57943E51"/>
    <w:rsid w:val="579DC82D"/>
    <w:rsid w:val="57A7AF0D"/>
    <w:rsid w:val="57AA1A76"/>
    <w:rsid w:val="57AA3A42"/>
    <w:rsid w:val="57AD519B"/>
    <w:rsid w:val="57B3B0B1"/>
    <w:rsid w:val="57B408AB"/>
    <w:rsid w:val="57B69BB6"/>
    <w:rsid w:val="57B69CA2"/>
    <w:rsid w:val="57C18866"/>
    <w:rsid w:val="57CC87EF"/>
    <w:rsid w:val="57CECB3A"/>
    <w:rsid w:val="57D1BFA3"/>
    <w:rsid w:val="57DCE18E"/>
    <w:rsid w:val="57DCFBD0"/>
    <w:rsid w:val="57DE39B5"/>
    <w:rsid w:val="57DE3DA2"/>
    <w:rsid w:val="57E67B42"/>
    <w:rsid w:val="57E8F460"/>
    <w:rsid w:val="57EC4BBA"/>
    <w:rsid w:val="57ECAAC2"/>
    <w:rsid w:val="57ED1E4B"/>
    <w:rsid w:val="57ED4D19"/>
    <w:rsid w:val="57ED84D0"/>
    <w:rsid w:val="57F657A5"/>
    <w:rsid w:val="57FD04FC"/>
    <w:rsid w:val="5804D517"/>
    <w:rsid w:val="5806E432"/>
    <w:rsid w:val="580A9B92"/>
    <w:rsid w:val="580BABED"/>
    <w:rsid w:val="5818B24A"/>
    <w:rsid w:val="581ED6C0"/>
    <w:rsid w:val="581EDF77"/>
    <w:rsid w:val="58218856"/>
    <w:rsid w:val="58233D9D"/>
    <w:rsid w:val="5824E396"/>
    <w:rsid w:val="58281BDA"/>
    <w:rsid w:val="5829A532"/>
    <w:rsid w:val="582EB4BA"/>
    <w:rsid w:val="583699FD"/>
    <w:rsid w:val="5837C5E9"/>
    <w:rsid w:val="5838C6D4"/>
    <w:rsid w:val="5839979B"/>
    <w:rsid w:val="583C1DB7"/>
    <w:rsid w:val="58414794"/>
    <w:rsid w:val="584261CF"/>
    <w:rsid w:val="5843AB6A"/>
    <w:rsid w:val="584E570F"/>
    <w:rsid w:val="5856A8EF"/>
    <w:rsid w:val="5857C1FD"/>
    <w:rsid w:val="585B0716"/>
    <w:rsid w:val="58606310"/>
    <w:rsid w:val="5860DDCE"/>
    <w:rsid w:val="5861B394"/>
    <w:rsid w:val="5864EFAC"/>
    <w:rsid w:val="5865493B"/>
    <w:rsid w:val="586A0AA3"/>
    <w:rsid w:val="586BD2AE"/>
    <w:rsid w:val="58706174"/>
    <w:rsid w:val="5871D20D"/>
    <w:rsid w:val="58748B32"/>
    <w:rsid w:val="58769054"/>
    <w:rsid w:val="5876AFB9"/>
    <w:rsid w:val="588A5285"/>
    <w:rsid w:val="588DA421"/>
    <w:rsid w:val="58968BEB"/>
    <w:rsid w:val="5896DCE7"/>
    <w:rsid w:val="589809BD"/>
    <w:rsid w:val="589A895A"/>
    <w:rsid w:val="58A0A901"/>
    <w:rsid w:val="58A41455"/>
    <w:rsid w:val="58A7A26F"/>
    <w:rsid w:val="58A806C0"/>
    <w:rsid w:val="58A9CE14"/>
    <w:rsid w:val="58AD7C4F"/>
    <w:rsid w:val="58B0E69E"/>
    <w:rsid w:val="58B34888"/>
    <w:rsid w:val="58B7BACA"/>
    <w:rsid w:val="58B92852"/>
    <w:rsid w:val="58BC703F"/>
    <w:rsid w:val="58BEEBD0"/>
    <w:rsid w:val="58BF8194"/>
    <w:rsid w:val="58C2FF33"/>
    <w:rsid w:val="58C54FCA"/>
    <w:rsid w:val="58D096CD"/>
    <w:rsid w:val="58D276F2"/>
    <w:rsid w:val="58D53428"/>
    <w:rsid w:val="58D64991"/>
    <w:rsid w:val="58D98694"/>
    <w:rsid w:val="58E00355"/>
    <w:rsid w:val="58E1ADFB"/>
    <w:rsid w:val="58E1C6CF"/>
    <w:rsid w:val="58E22BFD"/>
    <w:rsid w:val="58ECE75F"/>
    <w:rsid w:val="58F2A7C1"/>
    <w:rsid w:val="58F3B17A"/>
    <w:rsid w:val="58F5C24A"/>
    <w:rsid w:val="58F9703F"/>
    <w:rsid w:val="590170BE"/>
    <w:rsid w:val="5903BD34"/>
    <w:rsid w:val="5904AFEC"/>
    <w:rsid w:val="5905889D"/>
    <w:rsid w:val="5906354A"/>
    <w:rsid w:val="5907B40A"/>
    <w:rsid w:val="590A38DF"/>
    <w:rsid w:val="590BB502"/>
    <w:rsid w:val="590D05B3"/>
    <w:rsid w:val="590D3EDA"/>
    <w:rsid w:val="5912C464"/>
    <w:rsid w:val="591EE633"/>
    <w:rsid w:val="5924FAF5"/>
    <w:rsid w:val="592710E6"/>
    <w:rsid w:val="59295628"/>
    <w:rsid w:val="5931314B"/>
    <w:rsid w:val="5934410F"/>
    <w:rsid w:val="59353407"/>
    <w:rsid w:val="59370534"/>
    <w:rsid w:val="59379EB0"/>
    <w:rsid w:val="593DB355"/>
    <w:rsid w:val="5943C0CF"/>
    <w:rsid w:val="59473FB9"/>
    <w:rsid w:val="5948A58A"/>
    <w:rsid w:val="594D2785"/>
    <w:rsid w:val="5953E9D1"/>
    <w:rsid w:val="5954D1D4"/>
    <w:rsid w:val="59587414"/>
    <w:rsid w:val="595AF64E"/>
    <w:rsid w:val="5963437C"/>
    <w:rsid w:val="5969B1D0"/>
    <w:rsid w:val="596A2E13"/>
    <w:rsid w:val="5971AE50"/>
    <w:rsid w:val="59737C9E"/>
    <w:rsid w:val="597959E5"/>
    <w:rsid w:val="597D2FA3"/>
    <w:rsid w:val="597E1AAA"/>
    <w:rsid w:val="59805840"/>
    <w:rsid w:val="59824F6D"/>
    <w:rsid w:val="5985565E"/>
    <w:rsid w:val="5987E745"/>
    <w:rsid w:val="598A14D7"/>
    <w:rsid w:val="598E5EB7"/>
    <w:rsid w:val="5992BB6A"/>
    <w:rsid w:val="599A4785"/>
    <w:rsid w:val="599E85FC"/>
    <w:rsid w:val="599F6198"/>
    <w:rsid w:val="599F9782"/>
    <w:rsid w:val="59A306E3"/>
    <w:rsid w:val="59A4B88D"/>
    <w:rsid w:val="59A9CBD7"/>
    <w:rsid w:val="59AB880E"/>
    <w:rsid w:val="59B23516"/>
    <w:rsid w:val="59B46026"/>
    <w:rsid w:val="59C33637"/>
    <w:rsid w:val="59C57CE0"/>
    <w:rsid w:val="59CB7EA4"/>
    <w:rsid w:val="59CE3CCF"/>
    <w:rsid w:val="59D237EB"/>
    <w:rsid w:val="59D3E4AA"/>
    <w:rsid w:val="59DD4F78"/>
    <w:rsid w:val="59E2AEE9"/>
    <w:rsid w:val="59E7D4F1"/>
    <w:rsid w:val="59E9E2F9"/>
    <w:rsid w:val="59ED816A"/>
    <w:rsid w:val="59F648D6"/>
    <w:rsid w:val="59F7EAB5"/>
    <w:rsid w:val="59FC58FF"/>
    <w:rsid w:val="5A04201A"/>
    <w:rsid w:val="5A04C510"/>
    <w:rsid w:val="5A0C601C"/>
    <w:rsid w:val="5A1168CB"/>
    <w:rsid w:val="5A1409ED"/>
    <w:rsid w:val="5A1BA12A"/>
    <w:rsid w:val="5A1C05F8"/>
    <w:rsid w:val="5A1CF634"/>
    <w:rsid w:val="5A1ED137"/>
    <w:rsid w:val="5A29DA3F"/>
    <w:rsid w:val="5A2A9B07"/>
    <w:rsid w:val="5A2CC886"/>
    <w:rsid w:val="5A36158B"/>
    <w:rsid w:val="5A3F3B68"/>
    <w:rsid w:val="5A4354B0"/>
    <w:rsid w:val="5A4435A3"/>
    <w:rsid w:val="5A49DB15"/>
    <w:rsid w:val="5A4CA2E5"/>
    <w:rsid w:val="5A4CAF00"/>
    <w:rsid w:val="5A4E4063"/>
    <w:rsid w:val="5A5179BB"/>
    <w:rsid w:val="5A534048"/>
    <w:rsid w:val="5A535261"/>
    <w:rsid w:val="5A53808F"/>
    <w:rsid w:val="5A564776"/>
    <w:rsid w:val="5A6317E6"/>
    <w:rsid w:val="5A675F3E"/>
    <w:rsid w:val="5A695C3E"/>
    <w:rsid w:val="5A6D7D3E"/>
    <w:rsid w:val="5A6E8441"/>
    <w:rsid w:val="5A709A5B"/>
    <w:rsid w:val="5A73FDC3"/>
    <w:rsid w:val="5A768F08"/>
    <w:rsid w:val="5A7B380D"/>
    <w:rsid w:val="5A817D65"/>
    <w:rsid w:val="5A84C1A7"/>
    <w:rsid w:val="5A860ECC"/>
    <w:rsid w:val="5A8FA111"/>
    <w:rsid w:val="5A90A509"/>
    <w:rsid w:val="5A922BC9"/>
    <w:rsid w:val="5A967A3F"/>
    <w:rsid w:val="5A971CD3"/>
    <w:rsid w:val="5A9F3F5B"/>
    <w:rsid w:val="5AA5F0E7"/>
    <w:rsid w:val="5AA68592"/>
    <w:rsid w:val="5AA756BD"/>
    <w:rsid w:val="5AB1C774"/>
    <w:rsid w:val="5AB5DA7C"/>
    <w:rsid w:val="5AB696FE"/>
    <w:rsid w:val="5AB8C84B"/>
    <w:rsid w:val="5AB9D6B1"/>
    <w:rsid w:val="5AC7682E"/>
    <w:rsid w:val="5ACB8612"/>
    <w:rsid w:val="5AD405AB"/>
    <w:rsid w:val="5AD451B5"/>
    <w:rsid w:val="5AD6FC2E"/>
    <w:rsid w:val="5AD79F01"/>
    <w:rsid w:val="5ADF1601"/>
    <w:rsid w:val="5AE2DE43"/>
    <w:rsid w:val="5AE658E6"/>
    <w:rsid w:val="5AEDC7ED"/>
    <w:rsid w:val="5AF05BB9"/>
    <w:rsid w:val="5AF8D900"/>
    <w:rsid w:val="5AFCAC00"/>
    <w:rsid w:val="5AFFC6B7"/>
    <w:rsid w:val="5B055EBB"/>
    <w:rsid w:val="5B0F3BC1"/>
    <w:rsid w:val="5B139C3A"/>
    <w:rsid w:val="5B14D330"/>
    <w:rsid w:val="5B1C2909"/>
    <w:rsid w:val="5B1F42E4"/>
    <w:rsid w:val="5B1F8A8B"/>
    <w:rsid w:val="5B23BD30"/>
    <w:rsid w:val="5B25A228"/>
    <w:rsid w:val="5B283AC9"/>
    <w:rsid w:val="5B2F37DC"/>
    <w:rsid w:val="5B2F5FE9"/>
    <w:rsid w:val="5B335076"/>
    <w:rsid w:val="5B39C2AF"/>
    <w:rsid w:val="5B3BCF3F"/>
    <w:rsid w:val="5B3E844F"/>
    <w:rsid w:val="5B3FB6AA"/>
    <w:rsid w:val="5B426368"/>
    <w:rsid w:val="5B4F184D"/>
    <w:rsid w:val="5B52175A"/>
    <w:rsid w:val="5B59EC32"/>
    <w:rsid w:val="5B5F128E"/>
    <w:rsid w:val="5B605022"/>
    <w:rsid w:val="5B64CE03"/>
    <w:rsid w:val="5B6660E3"/>
    <w:rsid w:val="5B66FC0F"/>
    <w:rsid w:val="5B680929"/>
    <w:rsid w:val="5B74416D"/>
    <w:rsid w:val="5B7E4B70"/>
    <w:rsid w:val="5B81C4CA"/>
    <w:rsid w:val="5B83B1EA"/>
    <w:rsid w:val="5B854A50"/>
    <w:rsid w:val="5B8A2293"/>
    <w:rsid w:val="5B8A3663"/>
    <w:rsid w:val="5B93D5C6"/>
    <w:rsid w:val="5B94F443"/>
    <w:rsid w:val="5B992CD6"/>
    <w:rsid w:val="5BA27557"/>
    <w:rsid w:val="5BA27655"/>
    <w:rsid w:val="5BA454F0"/>
    <w:rsid w:val="5BA69E03"/>
    <w:rsid w:val="5BA7E7E4"/>
    <w:rsid w:val="5BA81A65"/>
    <w:rsid w:val="5BA9AE64"/>
    <w:rsid w:val="5BAB5AC3"/>
    <w:rsid w:val="5BAB73EF"/>
    <w:rsid w:val="5BB0006F"/>
    <w:rsid w:val="5BB30424"/>
    <w:rsid w:val="5BB5F393"/>
    <w:rsid w:val="5BBCB65C"/>
    <w:rsid w:val="5BC43073"/>
    <w:rsid w:val="5BCC2785"/>
    <w:rsid w:val="5BD0B140"/>
    <w:rsid w:val="5BD0E830"/>
    <w:rsid w:val="5BD1CBF7"/>
    <w:rsid w:val="5BD2E4CD"/>
    <w:rsid w:val="5BD39A24"/>
    <w:rsid w:val="5BDB610E"/>
    <w:rsid w:val="5BE3A117"/>
    <w:rsid w:val="5BE6C7BF"/>
    <w:rsid w:val="5BE7D6AF"/>
    <w:rsid w:val="5BEF8E9C"/>
    <w:rsid w:val="5BF109D4"/>
    <w:rsid w:val="5BF58E33"/>
    <w:rsid w:val="5BFAF342"/>
    <w:rsid w:val="5BFC3F37"/>
    <w:rsid w:val="5BFD663D"/>
    <w:rsid w:val="5C036E9C"/>
    <w:rsid w:val="5C04172E"/>
    <w:rsid w:val="5C042754"/>
    <w:rsid w:val="5C04B706"/>
    <w:rsid w:val="5C057F59"/>
    <w:rsid w:val="5C091244"/>
    <w:rsid w:val="5C0CCE0E"/>
    <w:rsid w:val="5C13F5F3"/>
    <w:rsid w:val="5C17C728"/>
    <w:rsid w:val="5C1A70E8"/>
    <w:rsid w:val="5C1C67AB"/>
    <w:rsid w:val="5C22C6B2"/>
    <w:rsid w:val="5C23BA96"/>
    <w:rsid w:val="5C25251B"/>
    <w:rsid w:val="5C2E1445"/>
    <w:rsid w:val="5C3486FF"/>
    <w:rsid w:val="5C37DCDD"/>
    <w:rsid w:val="5C39B553"/>
    <w:rsid w:val="5C3E2B42"/>
    <w:rsid w:val="5C3EDFF6"/>
    <w:rsid w:val="5C3FF151"/>
    <w:rsid w:val="5C455F7B"/>
    <w:rsid w:val="5C48EEA6"/>
    <w:rsid w:val="5C4B58BA"/>
    <w:rsid w:val="5C4BEAE8"/>
    <w:rsid w:val="5C4C21E4"/>
    <w:rsid w:val="5C4ED318"/>
    <w:rsid w:val="5C517A41"/>
    <w:rsid w:val="5C583700"/>
    <w:rsid w:val="5C5883B2"/>
    <w:rsid w:val="5C5B417E"/>
    <w:rsid w:val="5C5D30A8"/>
    <w:rsid w:val="5C626191"/>
    <w:rsid w:val="5C6AE6E2"/>
    <w:rsid w:val="5C702F0A"/>
    <w:rsid w:val="5C70761C"/>
    <w:rsid w:val="5C72260E"/>
    <w:rsid w:val="5C735C5A"/>
    <w:rsid w:val="5C76554C"/>
    <w:rsid w:val="5C7878F9"/>
    <w:rsid w:val="5C78D178"/>
    <w:rsid w:val="5C78F7D7"/>
    <w:rsid w:val="5C79262A"/>
    <w:rsid w:val="5C7DF654"/>
    <w:rsid w:val="5C87230B"/>
    <w:rsid w:val="5C872D7B"/>
    <w:rsid w:val="5C889DF6"/>
    <w:rsid w:val="5C8A3ECF"/>
    <w:rsid w:val="5C8B4E12"/>
    <w:rsid w:val="5C8C6CCE"/>
    <w:rsid w:val="5C8F9025"/>
    <w:rsid w:val="5C901E38"/>
    <w:rsid w:val="5CA1B096"/>
    <w:rsid w:val="5CA7AADA"/>
    <w:rsid w:val="5CA82F1D"/>
    <w:rsid w:val="5CAFC96B"/>
    <w:rsid w:val="5CB07D0B"/>
    <w:rsid w:val="5CB54E7B"/>
    <w:rsid w:val="5CB7B081"/>
    <w:rsid w:val="5CB98F07"/>
    <w:rsid w:val="5CBA91DA"/>
    <w:rsid w:val="5CC23CFD"/>
    <w:rsid w:val="5CC2D324"/>
    <w:rsid w:val="5CC3C99B"/>
    <w:rsid w:val="5CC40F9D"/>
    <w:rsid w:val="5CC42310"/>
    <w:rsid w:val="5CC4566C"/>
    <w:rsid w:val="5CCE22CA"/>
    <w:rsid w:val="5CD09037"/>
    <w:rsid w:val="5CD0BA30"/>
    <w:rsid w:val="5CD486AB"/>
    <w:rsid w:val="5CDA196E"/>
    <w:rsid w:val="5CDA2D52"/>
    <w:rsid w:val="5CEB3C9F"/>
    <w:rsid w:val="5CECFC3A"/>
    <w:rsid w:val="5CFB353E"/>
    <w:rsid w:val="5D0142E8"/>
    <w:rsid w:val="5D068069"/>
    <w:rsid w:val="5D06BB63"/>
    <w:rsid w:val="5D0C138F"/>
    <w:rsid w:val="5D0FD34A"/>
    <w:rsid w:val="5D117E9E"/>
    <w:rsid w:val="5D129AD0"/>
    <w:rsid w:val="5D13CD99"/>
    <w:rsid w:val="5D1FE0EC"/>
    <w:rsid w:val="5D23FBA3"/>
    <w:rsid w:val="5D2427ED"/>
    <w:rsid w:val="5D254DBB"/>
    <w:rsid w:val="5D2B35F8"/>
    <w:rsid w:val="5D2B5350"/>
    <w:rsid w:val="5D2CA93F"/>
    <w:rsid w:val="5D352BA7"/>
    <w:rsid w:val="5D36BB50"/>
    <w:rsid w:val="5D399AF4"/>
    <w:rsid w:val="5D40A8D8"/>
    <w:rsid w:val="5D4229D9"/>
    <w:rsid w:val="5D444942"/>
    <w:rsid w:val="5D47EA9E"/>
    <w:rsid w:val="5D4C0FCC"/>
    <w:rsid w:val="5D4D1540"/>
    <w:rsid w:val="5D4E55E1"/>
    <w:rsid w:val="5D524B23"/>
    <w:rsid w:val="5D58A263"/>
    <w:rsid w:val="5D5D3A6F"/>
    <w:rsid w:val="5D5E07CE"/>
    <w:rsid w:val="5D5FDE74"/>
    <w:rsid w:val="5D6206C5"/>
    <w:rsid w:val="5D6ADB97"/>
    <w:rsid w:val="5D7D1B49"/>
    <w:rsid w:val="5D86C953"/>
    <w:rsid w:val="5D8851C5"/>
    <w:rsid w:val="5D8C9975"/>
    <w:rsid w:val="5D910318"/>
    <w:rsid w:val="5D92DBCA"/>
    <w:rsid w:val="5D935226"/>
    <w:rsid w:val="5D9381A4"/>
    <w:rsid w:val="5D95AE9B"/>
    <w:rsid w:val="5D986ABA"/>
    <w:rsid w:val="5D9D8E3F"/>
    <w:rsid w:val="5DA141E7"/>
    <w:rsid w:val="5DA15A5D"/>
    <w:rsid w:val="5DA203E7"/>
    <w:rsid w:val="5DA99EF7"/>
    <w:rsid w:val="5DADF826"/>
    <w:rsid w:val="5DB309BC"/>
    <w:rsid w:val="5DB79644"/>
    <w:rsid w:val="5DB805F1"/>
    <w:rsid w:val="5DB8C751"/>
    <w:rsid w:val="5DBC8FF2"/>
    <w:rsid w:val="5DBF3DE4"/>
    <w:rsid w:val="5DC43BA7"/>
    <w:rsid w:val="5DC95E0A"/>
    <w:rsid w:val="5DCF247A"/>
    <w:rsid w:val="5DCF43B7"/>
    <w:rsid w:val="5DD3D97B"/>
    <w:rsid w:val="5DD7F62F"/>
    <w:rsid w:val="5DE08426"/>
    <w:rsid w:val="5DE7DCEE"/>
    <w:rsid w:val="5DE84027"/>
    <w:rsid w:val="5DEC4E99"/>
    <w:rsid w:val="5DEE8407"/>
    <w:rsid w:val="5DEFB850"/>
    <w:rsid w:val="5DEFBAD6"/>
    <w:rsid w:val="5DF1D40C"/>
    <w:rsid w:val="5DF63E8F"/>
    <w:rsid w:val="5DF8BE4D"/>
    <w:rsid w:val="5DF9CE7E"/>
    <w:rsid w:val="5DFA9CBE"/>
    <w:rsid w:val="5E02E0B7"/>
    <w:rsid w:val="5E059289"/>
    <w:rsid w:val="5E0940F2"/>
    <w:rsid w:val="5E0FF7CB"/>
    <w:rsid w:val="5E107CEF"/>
    <w:rsid w:val="5E110B24"/>
    <w:rsid w:val="5E16E122"/>
    <w:rsid w:val="5E18E536"/>
    <w:rsid w:val="5E1FC20D"/>
    <w:rsid w:val="5E235D51"/>
    <w:rsid w:val="5E24F87B"/>
    <w:rsid w:val="5E2864EE"/>
    <w:rsid w:val="5E29D0DF"/>
    <w:rsid w:val="5E2DBB27"/>
    <w:rsid w:val="5E2E84DE"/>
    <w:rsid w:val="5E3060BF"/>
    <w:rsid w:val="5E309F25"/>
    <w:rsid w:val="5E340C23"/>
    <w:rsid w:val="5E35F220"/>
    <w:rsid w:val="5E3FCA5E"/>
    <w:rsid w:val="5E412AA8"/>
    <w:rsid w:val="5E460902"/>
    <w:rsid w:val="5E4C7322"/>
    <w:rsid w:val="5E4C7689"/>
    <w:rsid w:val="5E4CB387"/>
    <w:rsid w:val="5E4D21D7"/>
    <w:rsid w:val="5E4F4723"/>
    <w:rsid w:val="5E4FFBF0"/>
    <w:rsid w:val="5E57BDDD"/>
    <w:rsid w:val="5E65C2EB"/>
    <w:rsid w:val="5E6A9F03"/>
    <w:rsid w:val="5E711833"/>
    <w:rsid w:val="5E7ADF2C"/>
    <w:rsid w:val="5E7C244C"/>
    <w:rsid w:val="5E851452"/>
    <w:rsid w:val="5E921E99"/>
    <w:rsid w:val="5E93CC78"/>
    <w:rsid w:val="5E93E518"/>
    <w:rsid w:val="5E99B864"/>
    <w:rsid w:val="5E9CA009"/>
    <w:rsid w:val="5E9CED45"/>
    <w:rsid w:val="5EA422A9"/>
    <w:rsid w:val="5EA44D33"/>
    <w:rsid w:val="5EA8DBE1"/>
    <w:rsid w:val="5EABD973"/>
    <w:rsid w:val="5EAD1C0F"/>
    <w:rsid w:val="5EAD2A57"/>
    <w:rsid w:val="5EB6F571"/>
    <w:rsid w:val="5EB7178D"/>
    <w:rsid w:val="5EB8C3BE"/>
    <w:rsid w:val="5EBE0668"/>
    <w:rsid w:val="5EBF29A1"/>
    <w:rsid w:val="5EC7A101"/>
    <w:rsid w:val="5ECDC3F5"/>
    <w:rsid w:val="5ECE8989"/>
    <w:rsid w:val="5ECF5627"/>
    <w:rsid w:val="5ED11026"/>
    <w:rsid w:val="5ED1B403"/>
    <w:rsid w:val="5ED6C06A"/>
    <w:rsid w:val="5ED8F455"/>
    <w:rsid w:val="5EDA48CD"/>
    <w:rsid w:val="5EE4AE81"/>
    <w:rsid w:val="5EEA736E"/>
    <w:rsid w:val="5EEDED7D"/>
    <w:rsid w:val="5EEF8E14"/>
    <w:rsid w:val="5EF21252"/>
    <w:rsid w:val="5EF29D97"/>
    <w:rsid w:val="5EF441AC"/>
    <w:rsid w:val="5EF62169"/>
    <w:rsid w:val="5EF893BD"/>
    <w:rsid w:val="5EF8E941"/>
    <w:rsid w:val="5EFE7121"/>
    <w:rsid w:val="5EFF3CB8"/>
    <w:rsid w:val="5F00D657"/>
    <w:rsid w:val="5F013BA5"/>
    <w:rsid w:val="5F0172C5"/>
    <w:rsid w:val="5F028BA9"/>
    <w:rsid w:val="5F04B558"/>
    <w:rsid w:val="5F099C79"/>
    <w:rsid w:val="5F0D9198"/>
    <w:rsid w:val="5F0E7A06"/>
    <w:rsid w:val="5F0E8216"/>
    <w:rsid w:val="5F11D6B7"/>
    <w:rsid w:val="5F131794"/>
    <w:rsid w:val="5F14405A"/>
    <w:rsid w:val="5F159D78"/>
    <w:rsid w:val="5F169305"/>
    <w:rsid w:val="5F1F1D1B"/>
    <w:rsid w:val="5F21CB4B"/>
    <w:rsid w:val="5F2442D4"/>
    <w:rsid w:val="5F287417"/>
    <w:rsid w:val="5F2E94EA"/>
    <w:rsid w:val="5F2F21C6"/>
    <w:rsid w:val="5F35027C"/>
    <w:rsid w:val="5F36EF72"/>
    <w:rsid w:val="5F370E5E"/>
    <w:rsid w:val="5F39306A"/>
    <w:rsid w:val="5F3A7D4D"/>
    <w:rsid w:val="5F3B29D3"/>
    <w:rsid w:val="5F3F86B8"/>
    <w:rsid w:val="5F42BF4B"/>
    <w:rsid w:val="5F463831"/>
    <w:rsid w:val="5F474C75"/>
    <w:rsid w:val="5F47DE00"/>
    <w:rsid w:val="5F4FB317"/>
    <w:rsid w:val="5F51244C"/>
    <w:rsid w:val="5F5B92AA"/>
    <w:rsid w:val="5F617BC1"/>
    <w:rsid w:val="5F6867B9"/>
    <w:rsid w:val="5F68F62D"/>
    <w:rsid w:val="5F6D1EAE"/>
    <w:rsid w:val="5F7759AA"/>
    <w:rsid w:val="5F7FD125"/>
    <w:rsid w:val="5F8BBD08"/>
    <w:rsid w:val="5F90856D"/>
    <w:rsid w:val="5F9760B3"/>
    <w:rsid w:val="5F9A1387"/>
    <w:rsid w:val="5F9A5F98"/>
    <w:rsid w:val="5F9CAAE9"/>
    <w:rsid w:val="5FA45A5B"/>
    <w:rsid w:val="5FA7AA01"/>
    <w:rsid w:val="5FAB781A"/>
    <w:rsid w:val="5FB1CF3D"/>
    <w:rsid w:val="5FB9D717"/>
    <w:rsid w:val="5FBA5321"/>
    <w:rsid w:val="5FBC8A57"/>
    <w:rsid w:val="5FBDCF32"/>
    <w:rsid w:val="5FC0E229"/>
    <w:rsid w:val="5FCF42B7"/>
    <w:rsid w:val="5FD7C038"/>
    <w:rsid w:val="5FD94850"/>
    <w:rsid w:val="5FDBBA15"/>
    <w:rsid w:val="5FE0B2F0"/>
    <w:rsid w:val="5FE23AF7"/>
    <w:rsid w:val="5FE5C213"/>
    <w:rsid w:val="5FE73378"/>
    <w:rsid w:val="5FEB0A18"/>
    <w:rsid w:val="5FF86752"/>
    <w:rsid w:val="5FF9C9A9"/>
    <w:rsid w:val="5FFAAA4D"/>
    <w:rsid w:val="5FFC9A92"/>
    <w:rsid w:val="5FFE8E3D"/>
    <w:rsid w:val="5FFEC3CC"/>
    <w:rsid w:val="600252B7"/>
    <w:rsid w:val="6007699B"/>
    <w:rsid w:val="6009F7C8"/>
    <w:rsid w:val="600DB490"/>
    <w:rsid w:val="6010D46A"/>
    <w:rsid w:val="6012C9AA"/>
    <w:rsid w:val="60137E8F"/>
    <w:rsid w:val="601414E1"/>
    <w:rsid w:val="6015D48B"/>
    <w:rsid w:val="601B6D66"/>
    <w:rsid w:val="601DA6E3"/>
    <w:rsid w:val="6023EB31"/>
    <w:rsid w:val="6031FC83"/>
    <w:rsid w:val="603331E4"/>
    <w:rsid w:val="60379108"/>
    <w:rsid w:val="60444D8E"/>
    <w:rsid w:val="60452F57"/>
    <w:rsid w:val="6048A373"/>
    <w:rsid w:val="604A1105"/>
    <w:rsid w:val="604FEBCF"/>
    <w:rsid w:val="6050CE2E"/>
    <w:rsid w:val="6053C3F7"/>
    <w:rsid w:val="60549764"/>
    <w:rsid w:val="6054F2BC"/>
    <w:rsid w:val="6059E9A3"/>
    <w:rsid w:val="605BC5D4"/>
    <w:rsid w:val="60676079"/>
    <w:rsid w:val="606BA873"/>
    <w:rsid w:val="606FD1A2"/>
    <w:rsid w:val="60716DBE"/>
    <w:rsid w:val="607AC631"/>
    <w:rsid w:val="607CEA46"/>
    <w:rsid w:val="607D3D62"/>
    <w:rsid w:val="6083925E"/>
    <w:rsid w:val="6085D42B"/>
    <w:rsid w:val="60860E5C"/>
    <w:rsid w:val="6088FD6A"/>
    <w:rsid w:val="608B6B48"/>
    <w:rsid w:val="608C5483"/>
    <w:rsid w:val="6090A8BB"/>
    <w:rsid w:val="6091D890"/>
    <w:rsid w:val="609AE589"/>
    <w:rsid w:val="609B4A6A"/>
    <w:rsid w:val="60A30477"/>
    <w:rsid w:val="60A35A28"/>
    <w:rsid w:val="60AAF228"/>
    <w:rsid w:val="60B464E5"/>
    <w:rsid w:val="60B59D29"/>
    <w:rsid w:val="60B7E641"/>
    <w:rsid w:val="60B99C05"/>
    <w:rsid w:val="60B9DA45"/>
    <w:rsid w:val="60C0F1BF"/>
    <w:rsid w:val="60C3681B"/>
    <w:rsid w:val="60C618B1"/>
    <w:rsid w:val="60C80920"/>
    <w:rsid w:val="60CA6280"/>
    <w:rsid w:val="60D05D8F"/>
    <w:rsid w:val="60D18C52"/>
    <w:rsid w:val="60D327B7"/>
    <w:rsid w:val="60D581A4"/>
    <w:rsid w:val="60D8FCC2"/>
    <w:rsid w:val="60DC3D1F"/>
    <w:rsid w:val="60DF0910"/>
    <w:rsid w:val="60E10F4B"/>
    <w:rsid w:val="60E140C4"/>
    <w:rsid w:val="60E8170E"/>
    <w:rsid w:val="60EF1CAF"/>
    <w:rsid w:val="60F3197B"/>
    <w:rsid w:val="60F39C23"/>
    <w:rsid w:val="60F64C0D"/>
    <w:rsid w:val="60FBA6DC"/>
    <w:rsid w:val="60FE68BC"/>
    <w:rsid w:val="61086CF5"/>
    <w:rsid w:val="610E3AB6"/>
    <w:rsid w:val="611257AC"/>
    <w:rsid w:val="611796A8"/>
    <w:rsid w:val="61193175"/>
    <w:rsid w:val="6123CD8C"/>
    <w:rsid w:val="61387D1A"/>
    <w:rsid w:val="613F21F7"/>
    <w:rsid w:val="6141B6D0"/>
    <w:rsid w:val="614AAB10"/>
    <w:rsid w:val="614CD13A"/>
    <w:rsid w:val="614CD554"/>
    <w:rsid w:val="614D90EA"/>
    <w:rsid w:val="61516CC2"/>
    <w:rsid w:val="61522EEC"/>
    <w:rsid w:val="61526C07"/>
    <w:rsid w:val="61566AC6"/>
    <w:rsid w:val="61568E50"/>
    <w:rsid w:val="61589036"/>
    <w:rsid w:val="615A41D8"/>
    <w:rsid w:val="615EE1DB"/>
    <w:rsid w:val="61605E39"/>
    <w:rsid w:val="6163DF72"/>
    <w:rsid w:val="6167A269"/>
    <w:rsid w:val="616BBF19"/>
    <w:rsid w:val="616BF5D1"/>
    <w:rsid w:val="616CB2DA"/>
    <w:rsid w:val="616E5561"/>
    <w:rsid w:val="616F4D6E"/>
    <w:rsid w:val="6178A8E8"/>
    <w:rsid w:val="617FE727"/>
    <w:rsid w:val="618411F7"/>
    <w:rsid w:val="618663E3"/>
    <w:rsid w:val="61898F78"/>
    <w:rsid w:val="6189A37A"/>
    <w:rsid w:val="618AE7B4"/>
    <w:rsid w:val="61927F40"/>
    <w:rsid w:val="619F9642"/>
    <w:rsid w:val="61A5E26C"/>
    <w:rsid w:val="61ABEEC1"/>
    <w:rsid w:val="61B12F18"/>
    <w:rsid w:val="61B4EBF9"/>
    <w:rsid w:val="61BB0007"/>
    <w:rsid w:val="61BC88A8"/>
    <w:rsid w:val="61C1EEF7"/>
    <w:rsid w:val="61C41668"/>
    <w:rsid w:val="61C4B8DA"/>
    <w:rsid w:val="61C59A85"/>
    <w:rsid w:val="61C5EF2C"/>
    <w:rsid w:val="61C6609D"/>
    <w:rsid w:val="61C766C1"/>
    <w:rsid w:val="61C80CA4"/>
    <w:rsid w:val="61CCB73B"/>
    <w:rsid w:val="61CF59C7"/>
    <w:rsid w:val="61CFAE2A"/>
    <w:rsid w:val="61D2A81C"/>
    <w:rsid w:val="61D36169"/>
    <w:rsid w:val="61D531C9"/>
    <w:rsid w:val="61D56870"/>
    <w:rsid w:val="61D5D068"/>
    <w:rsid w:val="61D6C4E9"/>
    <w:rsid w:val="61D71851"/>
    <w:rsid w:val="61D78CFF"/>
    <w:rsid w:val="61DC76F5"/>
    <w:rsid w:val="61DD7C43"/>
    <w:rsid w:val="61EC25C1"/>
    <w:rsid w:val="61F1DA4D"/>
    <w:rsid w:val="61F3E359"/>
    <w:rsid w:val="61F3F9BD"/>
    <w:rsid w:val="61FA361E"/>
    <w:rsid w:val="62038656"/>
    <w:rsid w:val="6213EB50"/>
    <w:rsid w:val="6213F9DC"/>
    <w:rsid w:val="62157284"/>
    <w:rsid w:val="621B2050"/>
    <w:rsid w:val="6221EBAC"/>
    <w:rsid w:val="622212F9"/>
    <w:rsid w:val="622940D2"/>
    <w:rsid w:val="622ED64C"/>
    <w:rsid w:val="6233704E"/>
    <w:rsid w:val="62357A58"/>
    <w:rsid w:val="624515A6"/>
    <w:rsid w:val="624526B9"/>
    <w:rsid w:val="62515B6B"/>
    <w:rsid w:val="62516095"/>
    <w:rsid w:val="625A9C1F"/>
    <w:rsid w:val="625C9BAB"/>
    <w:rsid w:val="6261AC48"/>
    <w:rsid w:val="6268AA4A"/>
    <w:rsid w:val="6268CC01"/>
    <w:rsid w:val="6268D557"/>
    <w:rsid w:val="626A9062"/>
    <w:rsid w:val="62714090"/>
    <w:rsid w:val="627AEF94"/>
    <w:rsid w:val="627F1AAC"/>
    <w:rsid w:val="629360BB"/>
    <w:rsid w:val="629C652D"/>
    <w:rsid w:val="62A07706"/>
    <w:rsid w:val="62A5AFDD"/>
    <w:rsid w:val="62A6DD5A"/>
    <w:rsid w:val="62B34E04"/>
    <w:rsid w:val="62BEE195"/>
    <w:rsid w:val="62C08D9A"/>
    <w:rsid w:val="62C719D2"/>
    <w:rsid w:val="62CBC147"/>
    <w:rsid w:val="62D0533E"/>
    <w:rsid w:val="62D8F796"/>
    <w:rsid w:val="62DBA992"/>
    <w:rsid w:val="62E43A48"/>
    <w:rsid w:val="62E47331"/>
    <w:rsid w:val="62E94DA9"/>
    <w:rsid w:val="62F05096"/>
    <w:rsid w:val="62F19931"/>
    <w:rsid w:val="62F98848"/>
    <w:rsid w:val="63041973"/>
    <w:rsid w:val="63050D5D"/>
    <w:rsid w:val="630F2477"/>
    <w:rsid w:val="630FCD6F"/>
    <w:rsid w:val="63114876"/>
    <w:rsid w:val="631FD91F"/>
    <w:rsid w:val="63211369"/>
    <w:rsid w:val="6321E2AF"/>
    <w:rsid w:val="63269BC2"/>
    <w:rsid w:val="632EAA78"/>
    <w:rsid w:val="632FD078"/>
    <w:rsid w:val="6336648E"/>
    <w:rsid w:val="63377C03"/>
    <w:rsid w:val="63402714"/>
    <w:rsid w:val="634364BA"/>
    <w:rsid w:val="6344C9CE"/>
    <w:rsid w:val="63520AD6"/>
    <w:rsid w:val="63535CC8"/>
    <w:rsid w:val="6358AAD7"/>
    <w:rsid w:val="635F8D12"/>
    <w:rsid w:val="636286CD"/>
    <w:rsid w:val="6362B931"/>
    <w:rsid w:val="63650588"/>
    <w:rsid w:val="63671505"/>
    <w:rsid w:val="636927D8"/>
    <w:rsid w:val="636B157E"/>
    <w:rsid w:val="636DCCE0"/>
    <w:rsid w:val="63721D3F"/>
    <w:rsid w:val="6377820A"/>
    <w:rsid w:val="637786AC"/>
    <w:rsid w:val="637E4FF8"/>
    <w:rsid w:val="637FD0EC"/>
    <w:rsid w:val="638090E7"/>
    <w:rsid w:val="6384492C"/>
    <w:rsid w:val="63864E2A"/>
    <w:rsid w:val="63874D9F"/>
    <w:rsid w:val="6387EBA3"/>
    <w:rsid w:val="638ABF5A"/>
    <w:rsid w:val="638B4E36"/>
    <w:rsid w:val="6390941E"/>
    <w:rsid w:val="639632E2"/>
    <w:rsid w:val="639B36C7"/>
    <w:rsid w:val="639F5BBC"/>
    <w:rsid w:val="63A24B7D"/>
    <w:rsid w:val="63A2BA47"/>
    <w:rsid w:val="63A6A92B"/>
    <w:rsid w:val="63A8FF50"/>
    <w:rsid w:val="63AC272F"/>
    <w:rsid w:val="63B33099"/>
    <w:rsid w:val="63B7CC48"/>
    <w:rsid w:val="63BD8317"/>
    <w:rsid w:val="63CF1A00"/>
    <w:rsid w:val="63DE9F77"/>
    <w:rsid w:val="63DFB3A7"/>
    <w:rsid w:val="63E15BED"/>
    <w:rsid w:val="63E6BC8C"/>
    <w:rsid w:val="63E7AD5E"/>
    <w:rsid w:val="63E9E720"/>
    <w:rsid w:val="63F3A67F"/>
    <w:rsid w:val="640B2E41"/>
    <w:rsid w:val="640C5CB6"/>
    <w:rsid w:val="64168904"/>
    <w:rsid w:val="641BD038"/>
    <w:rsid w:val="641C3BD7"/>
    <w:rsid w:val="6429A267"/>
    <w:rsid w:val="642EFD5D"/>
    <w:rsid w:val="6439C363"/>
    <w:rsid w:val="643D7B9C"/>
    <w:rsid w:val="643E6953"/>
    <w:rsid w:val="64409B9C"/>
    <w:rsid w:val="6440D6A2"/>
    <w:rsid w:val="644236D2"/>
    <w:rsid w:val="6442B3FC"/>
    <w:rsid w:val="644658B7"/>
    <w:rsid w:val="6448CC43"/>
    <w:rsid w:val="6450C425"/>
    <w:rsid w:val="64566AEE"/>
    <w:rsid w:val="645B442F"/>
    <w:rsid w:val="645C37FC"/>
    <w:rsid w:val="645DAA2A"/>
    <w:rsid w:val="646AADD9"/>
    <w:rsid w:val="646E7AF3"/>
    <w:rsid w:val="64748220"/>
    <w:rsid w:val="64776007"/>
    <w:rsid w:val="64791EAE"/>
    <w:rsid w:val="647EB848"/>
    <w:rsid w:val="64816267"/>
    <w:rsid w:val="6482C772"/>
    <w:rsid w:val="6484A5D7"/>
    <w:rsid w:val="6484EA15"/>
    <w:rsid w:val="6490CA37"/>
    <w:rsid w:val="649140C2"/>
    <w:rsid w:val="64927C61"/>
    <w:rsid w:val="649B0A3E"/>
    <w:rsid w:val="649C1799"/>
    <w:rsid w:val="64A0D131"/>
    <w:rsid w:val="64A5E1A0"/>
    <w:rsid w:val="64A68AC4"/>
    <w:rsid w:val="64ADD333"/>
    <w:rsid w:val="64AE4253"/>
    <w:rsid w:val="64B8D230"/>
    <w:rsid w:val="64B8F6EC"/>
    <w:rsid w:val="64BA8EEC"/>
    <w:rsid w:val="64BAA85E"/>
    <w:rsid w:val="64BE5D36"/>
    <w:rsid w:val="64C650C4"/>
    <w:rsid w:val="64C6F169"/>
    <w:rsid w:val="64C9B629"/>
    <w:rsid w:val="64CDC38B"/>
    <w:rsid w:val="64D1CBA1"/>
    <w:rsid w:val="64D732D1"/>
    <w:rsid w:val="64D98283"/>
    <w:rsid w:val="64E27ED3"/>
    <w:rsid w:val="64E3BFCB"/>
    <w:rsid w:val="64E40DD8"/>
    <w:rsid w:val="64E59B9A"/>
    <w:rsid w:val="64E7D7DF"/>
    <w:rsid w:val="64EAA242"/>
    <w:rsid w:val="64EEC375"/>
    <w:rsid w:val="64F69516"/>
    <w:rsid w:val="64FA0762"/>
    <w:rsid w:val="64FDF88D"/>
    <w:rsid w:val="64FEF508"/>
    <w:rsid w:val="64FF077A"/>
    <w:rsid w:val="64FF835A"/>
    <w:rsid w:val="64FFD18A"/>
    <w:rsid w:val="650382AB"/>
    <w:rsid w:val="6504A930"/>
    <w:rsid w:val="6505E36E"/>
    <w:rsid w:val="6508E902"/>
    <w:rsid w:val="650BB1C2"/>
    <w:rsid w:val="6515FCEE"/>
    <w:rsid w:val="651875D2"/>
    <w:rsid w:val="65189D5F"/>
    <w:rsid w:val="651A3D43"/>
    <w:rsid w:val="652A2D26"/>
    <w:rsid w:val="652BF86A"/>
    <w:rsid w:val="6532A230"/>
    <w:rsid w:val="65336FA3"/>
    <w:rsid w:val="653AE949"/>
    <w:rsid w:val="653C11E7"/>
    <w:rsid w:val="6540AE5A"/>
    <w:rsid w:val="6542ED01"/>
    <w:rsid w:val="655F09C0"/>
    <w:rsid w:val="65633903"/>
    <w:rsid w:val="65645F27"/>
    <w:rsid w:val="6564B4F1"/>
    <w:rsid w:val="656CA157"/>
    <w:rsid w:val="65756B35"/>
    <w:rsid w:val="657722A1"/>
    <w:rsid w:val="657FE26F"/>
    <w:rsid w:val="658036F7"/>
    <w:rsid w:val="65809761"/>
    <w:rsid w:val="658189A0"/>
    <w:rsid w:val="6584D4B9"/>
    <w:rsid w:val="658C30BC"/>
    <w:rsid w:val="658EF694"/>
    <w:rsid w:val="6596EE5C"/>
    <w:rsid w:val="659AA582"/>
    <w:rsid w:val="65A1E542"/>
    <w:rsid w:val="65A4CB12"/>
    <w:rsid w:val="65A519D2"/>
    <w:rsid w:val="65AA8B60"/>
    <w:rsid w:val="65AB020D"/>
    <w:rsid w:val="65ACB7B5"/>
    <w:rsid w:val="65B2FE00"/>
    <w:rsid w:val="65B4B77E"/>
    <w:rsid w:val="65B6A9DC"/>
    <w:rsid w:val="65BF6BC9"/>
    <w:rsid w:val="65CAD3AD"/>
    <w:rsid w:val="65CD3C1A"/>
    <w:rsid w:val="65CDEC3F"/>
    <w:rsid w:val="65DD057A"/>
    <w:rsid w:val="65E29F8F"/>
    <w:rsid w:val="65E4F694"/>
    <w:rsid w:val="65E8BBDB"/>
    <w:rsid w:val="65E9A4D5"/>
    <w:rsid w:val="65EACB41"/>
    <w:rsid w:val="65EDB794"/>
    <w:rsid w:val="65F34D6E"/>
    <w:rsid w:val="65F4FEA5"/>
    <w:rsid w:val="65F6514A"/>
    <w:rsid w:val="65FA5130"/>
    <w:rsid w:val="65FAE434"/>
    <w:rsid w:val="65FCB57F"/>
    <w:rsid w:val="65FD004E"/>
    <w:rsid w:val="660F631B"/>
    <w:rsid w:val="66102468"/>
    <w:rsid w:val="6611E2FA"/>
    <w:rsid w:val="6616FFA5"/>
    <w:rsid w:val="6617A6EB"/>
    <w:rsid w:val="6619A44B"/>
    <w:rsid w:val="661C719A"/>
    <w:rsid w:val="661C80FC"/>
    <w:rsid w:val="6621D3D8"/>
    <w:rsid w:val="66286FA7"/>
    <w:rsid w:val="6629FDCB"/>
    <w:rsid w:val="662D397E"/>
    <w:rsid w:val="66371161"/>
    <w:rsid w:val="663DB9D9"/>
    <w:rsid w:val="66431E9F"/>
    <w:rsid w:val="6646EE05"/>
    <w:rsid w:val="66480984"/>
    <w:rsid w:val="664D62EB"/>
    <w:rsid w:val="66507BAB"/>
    <w:rsid w:val="6650823C"/>
    <w:rsid w:val="66517D8D"/>
    <w:rsid w:val="665382E0"/>
    <w:rsid w:val="6655C656"/>
    <w:rsid w:val="6656322F"/>
    <w:rsid w:val="66601BBB"/>
    <w:rsid w:val="6662E68C"/>
    <w:rsid w:val="6663CC60"/>
    <w:rsid w:val="6664E4B8"/>
    <w:rsid w:val="66669DC7"/>
    <w:rsid w:val="666990B4"/>
    <w:rsid w:val="666EE572"/>
    <w:rsid w:val="6680AE54"/>
    <w:rsid w:val="66825B52"/>
    <w:rsid w:val="6686EB23"/>
    <w:rsid w:val="6689548A"/>
    <w:rsid w:val="668DBAC9"/>
    <w:rsid w:val="66934AAF"/>
    <w:rsid w:val="66992CC8"/>
    <w:rsid w:val="6699986D"/>
    <w:rsid w:val="669B8F89"/>
    <w:rsid w:val="669BD92D"/>
    <w:rsid w:val="669C5127"/>
    <w:rsid w:val="669E1C22"/>
    <w:rsid w:val="66A0566F"/>
    <w:rsid w:val="66A21DAD"/>
    <w:rsid w:val="66A5BB4A"/>
    <w:rsid w:val="66A913A1"/>
    <w:rsid w:val="66ABD10A"/>
    <w:rsid w:val="66ACA425"/>
    <w:rsid w:val="66B384C8"/>
    <w:rsid w:val="66B99E4B"/>
    <w:rsid w:val="66C99EDA"/>
    <w:rsid w:val="66C9F07D"/>
    <w:rsid w:val="66CC0807"/>
    <w:rsid w:val="66CC7411"/>
    <w:rsid w:val="66CD9F99"/>
    <w:rsid w:val="66D03DC4"/>
    <w:rsid w:val="66D23DAA"/>
    <w:rsid w:val="66D3A394"/>
    <w:rsid w:val="66D726C9"/>
    <w:rsid w:val="66D7F9B0"/>
    <w:rsid w:val="66D8D044"/>
    <w:rsid w:val="66DB343E"/>
    <w:rsid w:val="66DC61DA"/>
    <w:rsid w:val="66DEC842"/>
    <w:rsid w:val="66E21CA5"/>
    <w:rsid w:val="66E39B6E"/>
    <w:rsid w:val="66F28B65"/>
    <w:rsid w:val="66FEB18F"/>
    <w:rsid w:val="66FED678"/>
    <w:rsid w:val="67001A47"/>
    <w:rsid w:val="67013648"/>
    <w:rsid w:val="67013745"/>
    <w:rsid w:val="67110F60"/>
    <w:rsid w:val="67123D7D"/>
    <w:rsid w:val="671ACBF6"/>
    <w:rsid w:val="671EDBD1"/>
    <w:rsid w:val="671FCF96"/>
    <w:rsid w:val="671FD075"/>
    <w:rsid w:val="67209A1B"/>
    <w:rsid w:val="67269279"/>
    <w:rsid w:val="67279F87"/>
    <w:rsid w:val="6728E5FB"/>
    <w:rsid w:val="672C44A8"/>
    <w:rsid w:val="67332ACB"/>
    <w:rsid w:val="6733A813"/>
    <w:rsid w:val="673907CE"/>
    <w:rsid w:val="67405A53"/>
    <w:rsid w:val="6740D643"/>
    <w:rsid w:val="6741FFFB"/>
    <w:rsid w:val="6743A710"/>
    <w:rsid w:val="6744A55D"/>
    <w:rsid w:val="6746D21E"/>
    <w:rsid w:val="6747561D"/>
    <w:rsid w:val="674E409C"/>
    <w:rsid w:val="6751D286"/>
    <w:rsid w:val="675F8053"/>
    <w:rsid w:val="675FC5C8"/>
    <w:rsid w:val="67660A60"/>
    <w:rsid w:val="676A18C0"/>
    <w:rsid w:val="677484E6"/>
    <w:rsid w:val="677830D5"/>
    <w:rsid w:val="677E5A83"/>
    <w:rsid w:val="677EB592"/>
    <w:rsid w:val="6785AF66"/>
    <w:rsid w:val="6785D6A8"/>
    <w:rsid w:val="678E2FDD"/>
    <w:rsid w:val="6795BC48"/>
    <w:rsid w:val="6796AC18"/>
    <w:rsid w:val="679A957F"/>
    <w:rsid w:val="679B569D"/>
    <w:rsid w:val="679B9F8A"/>
    <w:rsid w:val="679F1F35"/>
    <w:rsid w:val="67A07635"/>
    <w:rsid w:val="67A62777"/>
    <w:rsid w:val="67AB7A0F"/>
    <w:rsid w:val="67ADCDA8"/>
    <w:rsid w:val="67AF8310"/>
    <w:rsid w:val="67B051C8"/>
    <w:rsid w:val="67BA1BF1"/>
    <w:rsid w:val="67C1DB8D"/>
    <w:rsid w:val="67C540A3"/>
    <w:rsid w:val="67D82795"/>
    <w:rsid w:val="67DBB122"/>
    <w:rsid w:val="67E0EB12"/>
    <w:rsid w:val="67E17869"/>
    <w:rsid w:val="67E9AF4B"/>
    <w:rsid w:val="67F1D690"/>
    <w:rsid w:val="67F28AB1"/>
    <w:rsid w:val="67F39531"/>
    <w:rsid w:val="67F9367F"/>
    <w:rsid w:val="67FACD56"/>
    <w:rsid w:val="680486FF"/>
    <w:rsid w:val="68051C3E"/>
    <w:rsid w:val="680632AA"/>
    <w:rsid w:val="6807073A"/>
    <w:rsid w:val="68089956"/>
    <w:rsid w:val="680B391E"/>
    <w:rsid w:val="680CBBA7"/>
    <w:rsid w:val="680D3B1D"/>
    <w:rsid w:val="680D9EEF"/>
    <w:rsid w:val="68126725"/>
    <w:rsid w:val="6813847F"/>
    <w:rsid w:val="68146F94"/>
    <w:rsid w:val="6816408B"/>
    <w:rsid w:val="6821214B"/>
    <w:rsid w:val="68212BC9"/>
    <w:rsid w:val="6825A324"/>
    <w:rsid w:val="6826E47D"/>
    <w:rsid w:val="682AE5DA"/>
    <w:rsid w:val="683A75A1"/>
    <w:rsid w:val="683C43C1"/>
    <w:rsid w:val="683F271F"/>
    <w:rsid w:val="6840B26C"/>
    <w:rsid w:val="684D248A"/>
    <w:rsid w:val="684FE884"/>
    <w:rsid w:val="6851D43F"/>
    <w:rsid w:val="6852FE52"/>
    <w:rsid w:val="6853DE5A"/>
    <w:rsid w:val="6855C124"/>
    <w:rsid w:val="68583A5E"/>
    <w:rsid w:val="6861A4B2"/>
    <w:rsid w:val="6862F1C7"/>
    <w:rsid w:val="686438A1"/>
    <w:rsid w:val="6867BFA8"/>
    <w:rsid w:val="686977B9"/>
    <w:rsid w:val="6869B30A"/>
    <w:rsid w:val="686F6D34"/>
    <w:rsid w:val="686FB53F"/>
    <w:rsid w:val="6871E41B"/>
    <w:rsid w:val="68737238"/>
    <w:rsid w:val="6877E098"/>
    <w:rsid w:val="68794D2D"/>
    <w:rsid w:val="687D9C3F"/>
    <w:rsid w:val="688035C8"/>
    <w:rsid w:val="68835792"/>
    <w:rsid w:val="6886F71E"/>
    <w:rsid w:val="6887F429"/>
    <w:rsid w:val="688AF046"/>
    <w:rsid w:val="688C3423"/>
    <w:rsid w:val="688CE90F"/>
    <w:rsid w:val="6890876C"/>
    <w:rsid w:val="6892310E"/>
    <w:rsid w:val="68948D5E"/>
    <w:rsid w:val="6898A551"/>
    <w:rsid w:val="689E7DFA"/>
    <w:rsid w:val="68ACECD4"/>
    <w:rsid w:val="68AF9CA8"/>
    <w:rsid w:val="68B291D5"/>
    <w:rsid w:val="68BC1D3A"/>
    <w:rsid w:val="68BD7120"/>
    <w:rsid w:val="68C5B1F3"/>
    <w:rsid w:val="68C7AE17"/>
    <w:rsid w:val="68C80A25"/>
    <w:rsid w:val="68DC6759"/>
    <w:rsid w:val="68DD8C76"/>
    <w:rsid w:val="68DF312B"/>
    <w:rsid w:val="68E14433"/>
    <w:rsid w:val="68E23068"/>
    <w:rsid w:val="68E4C9D9"/>
    <w:rsid w:val="68E74F04"/>
    <w:rsid w:val="68EB0910"/>
    <w:rsid w:val="68EC93EF"/>
    <w:rsid w:val="68F5088D"/>
    <w:rsid w:val="68F74149"/>
    <w:rsid w:val="68F85F8C"/>
    <w:rsid w:val="69006A1A"/>
    <w:rsid w:val="69017331"/>
    <w:rsid w:val="69061707"/>
    <w:rsid w:val="69063074"/>
    <w:rsid w:val="6906ACE0"/>
    <w:rsid w:val="690FEC56"/>
    <w:rsid w:val="69102A55"/>
    <w:rsid w:val="6910BF68"/>
    <w:rsid w:val="69134823"/>
    <w:rsid w:val="6915C353"/>
    <w:rsid w:val="6916A01A"/>
    <w:rsid w:val="6919DDCA"/>
    <w:rsid w:val="691AFEC6"/>
    <w:rsid w:val="691C5C75"/>
    <w:rsid w:val="691D82B1"/>
    <w:rsid w:val="691F74B7"/>
    <w:rsid w:val="69216DB5"/>
    <w:rsid w:val="692B9A28"/>
    <w:rsid w:val="692EF6FE"/>
    <w:rsid w:val="6930BF8A"/>
    <w:rsid w:val="69320EA2"/>
    <w:rsid w:val="694375B0"/>
    <w:rsid w:val="6945D94A"/>
    <w:rsid w:val="69523CEB"/>
    <w:rsid w:val="6953F68B"/>
    <w:rsid w:val="6957D4BE"/>
    <w:rsid w:val="69622BDA"/>
    <w:rsid w:val="6962F045"/>
    <w:rsid w:val="6963D452"/>
    <w:rsid w:val="696F851B"/>
    <w:rsid w:val="6973A28A"/>
    <w:rsid w:val="697D06EE"/>
    <w:rsid w:val="6980431E"/>
    <w:rsid w:val="698F7957"/>
    <w:rsid w:val="6992F040"/>
    <w:rsid w:val="6993B837"/>
    <w:rsid w:val="69947004"/>
    <w:rsid w:val="699537B0"/>
    <w:rsid w:val="699ED869"/>
    <w:rsid w:val="69A2FF15"/>
    <w:rsid w:val="69B08D86"/>
    <w:rsid w:val="69B15535"/>
    <w:rsid w:val="69B69556"/>
    <w:rsid w:val="69B723FC"/>
    <w:rsid w:val="69B894A5"/>
    <w:rsid w:val="69B9FC14"/>
    <w:rsid w:val="69BE034B"/>
    <w:rsid w:val="69BEA506"/>
    <w:rsid w:val="69C26958"/>
    <w:rsid w:val="69C27E8F"/>
    <w:rsid w:val="69C6B63B"/>
    <w:rsid w:val="69C77B38"/>
    <w:rsid w:val="69CD7D75"/>
    <w:rsid w:val="69CEBA8F"/>
    <w:rsid w:val="69CF4CE6"/>
    <w:rsid w:val="69D39592"/>
    <w:rsid w:val="69D68F1D"/>
    <w:rsid w:val="69D882E8"/>
    <w:rsid w:val="69DEAA1E"/>
    <w:rsid w:val="69DF3F11"/>
    <w:rsid w:val="69DFFC68"/>
    <w:rsid w:val="69E23AE7"/>
    <w:rsid w:val="69E3F97B"/>
    <w:rsid w:val="69EE9807"/>
    <w:rsid w:val="69EF616F"/>
    <w:rsid w:val="69F05D73"/>
    <w:rsid w:val="69F0D261"/>
    <w:rsid w:val="69F24CB2"/>
    <w:rsid w:val="69F2AF13"/>
    <w:rsid w:val="69F4B23D"/>
    <w:rsid w:val="69FA4992"/>
    <w:rsid w:val="69FD6AD6"/>
    <w:rsid w:val="69FD9E21"/>
    <w:rsid w:val="6A0A1466"/>
    <w:rsid w:val="6A0B2B41"/>
    <w:rsid w:val="6A0C3402"/>
    <w:rsid w:val="6A0E3197"/>
    <w:rsid w:val="6A140026"/>
    <w:rsid w:val="6A189972"/>
    <w:rsid w:val="6A19F3AA"/>
    <w:rsid w:val="6A1E3626"/>
    <w:rsid w:val="6A20B577"/>
    <w:rsid w:val="6A25C68A"/>
    <w:rsid w:val="6A27F471"/>
    <w:rsid w:val="6A306FDE"/>
    <w:rsid w:val="6A344D00"/>
    <w:rsid w:val="6A387B79"/>
    <w:rsid w:val="6A3C6A0A"/>
    <w:rsid w:val="6A3D7AFA"/>
    <w:rsid w:val="6A3F9A0A"/>
    <w:rsid w:val="6A3FB514"/>
    <w:rsid w:val="6A4AB281"/>
    <w:rsid w:val="6A528821"/>
    <w:rsid w:val="6A57E585"/>
    <w:rsid w:val="6A5D4BC1"/>
    <w:rsid w:val="6A5E2BB4"/>
    <w:rsid w:val="6A649269"/>
    <w:rsid w:val="6A730A03"/>
    <w:rsid w:val="6A753105"/>
    <w:rsid w:val="6A762A71"/>
    <w:rsid w:val="6A7841BD"/>
    <w:rsid w:val="6A7B0122"/>
    <w:rsid w:val="6A7DA760"/>
    <w:rsid w:val="6A7FFAC7"/>
    <w:rsid w:val="6A8459DB"/>
    <w:rsid w:val="6A8E1F7B"/>
    <w:rsid w:val="6A8E6074"/>
    <w:rsid w:val="6A935E3D"/>
    <w:rsid w:val="6A939281"/>
    <w:rsid w:val="6A9770F5"/>
    <w:rsid w:val="6AA06021"/>
    <w:rsid w:val="6AA1CF5A"/>
    <w:rsid w:val="6AA225E8"/>
    <w:rsid w:val="6AA2BDC2"/>
    <w:rsid w:val="6AA69FBD"/>
    <w:rsid w:val="6AB8C498"/>
    <w:rsid w:val="6ABC0783"/>
    <w:rsid w:val="6AC13182"/>
    <w:rsid w:val="6AC377C3"/>
    <w:rsid w:val="6AC77041"/>
    <w:rsid w:val="6ACF94AE"/>
    <w:rsid w:val="6AD25E08"/>
    <w:rsid w:val="6AD44475"/>
    <w:rsid w:val="6AD62AA2"/>
    <w:rsid w:val="6AD95A28"/>
    <w:rsid w:val="6ADD46EC"/>
    <w:rsid w:val="6ADE5178"/>
    <w:rsid w:val="6AE1395C"/>
    <w:rsid w:val="6AE296BB"/>
    <w:rsid w:val="6AE474EF"/>
    <w:rsid w:val="6AE5115F"/>
    <w:rsid w:val="6AE61C11"/>
    <w:rsid w:val="6AE697A3"/>
    <w:rsid w:val="6AE8A3E1"/>
    <w:rsid w:val="6AEC6637"/>
    <w:rsid w:val="6AEF0C3A"/>
    <w:rsid w:val="6AF217D9"/>
    <w:rsid w:val="6AF6C258"/>
    <w:rsid w:val="6AF6CE04"/>
    <w:rsid w:val="6AF76489"/>
    <w:rsid w:val="6B003392"/>
    <w:rsid w:val="6B0B4C69"/>
    <w:rsid w:val="6B0B8F28"/>
    <w:rsid w:val="6B100958"/>
    <w:rsid w:val="6B152012"/>
    <w:rsid w:val="6B1531C8"/>
    <w:rsid w:val="6B15AC10"/>
    <w:rsid w:val="6B15CB9A"/>
    <w:rsid w:val="6B19EAA5"/>
    <w:rsid w:val="6B20ACB6"/>
    <w:rsid w:val="6B2574CE"/>
    <w:rsid w:val="6B29EB68"/>
    <w:rsid w:val="6B2CFA53"/>
    <w:rsid w:val="6B2D6AFA"/>
    <w:rsid w:val="6B301A44"/>
    <w:rsid w:val="6B36F691"/>
    <w:rsid w:val="6B3D36C3"/>
    <w:rsid w:val="6B3DBD17"/>
    <w:rsid w:val="6B3F4884"/>
    <w:rsid w:val="6B442121"/>
    <w:rsid w:val="6B46DA51"/>
    <w:rsid w:val="6B4A1464"/>
    <w:rsid w:val="6B4C8120"/>
    <w:rsid w:val="6B4C8402"/>
    <w:rsid w:val="6B4CD817"/>
    <w:rsid w:val="6B4D4357"/>
    <w:rsid w:val="6B6AB784"/>
    <w:rsid w:val="6B6E368C"/>
    <w:rsid w:val="6B7375A1"/>
    <w:rsid w:val="6B739C4A"/>
    <w:rsid w:val="6B77FBF2"/>
    <w:rsid w:val="6B7C4372"/>
    <w:rsid w:val="6B81564A"/>
    <w:rsid w:val="6B8455C4"/>
    <w:rsid w:val="6B87046C"/>
    <w:rsid w:val="6B87372B"/>
    <w:rsid w:val="6B88D3E2"/>
    <w:rsid w:val="6B8982C5"/>
    <w:rsid w:val="6B8D729C"/>
    <w:rsid w:val="6B8F6008"/>
    <w:rsid w:val="6B900AF5"/>
    <w:rsid w:val="6B93139E"/>
    <w:rsid w:val="6B939307"/>
    <w:rsid w:val="6B952FD1"/>
    <w:rsid w:val="6B9D1295"/>
    <w:rsid w:val="6B9DFAE5"/>
    <w:rsid w:val="6B9E7745"/>
    <w:rsid w:val="6BA1152C"/>
    <w:rsid w:val="6BA3522F"/>
    <w:rsid w:val="6BA643E7"/>
    <w:rsid w:val="6BA65F0E"/>
    <w:rsid w:val="6BA6A6E1"/>
    <w:rsid w:val="6BA81399"/>
    <w:rsid w:val="6BAC4EF3"/>
    <w:rsid w:val="6BAF4BED"/>
    <w:rsid w:val="6BB19076"/>
    <w:rsid w:val="6BB47B6F"/>
    <w:rsid w:val="6BC44281"/>
    <w:rsid w:val="6BD15CB1"/>
    <w:rsid w:val="6BD76178"/>
    <w:rsid w:val="6BD771DD"/>
    <w:rsid w:val="6BD7F763"/>
    <w:rsid w:val="6BDD9CB8"/>
    <w:rsid w:val="6BE1CB2D"/>
    <w:rsid w:val="6BE302EF"/>
    <w:rsid w:val="6BE38B3D"/>
    <w:rsid w:val="6BE58B93"/>
    <w:rsid w:val="6BE6C7BB"/>
    <w:rsid w:val="6BE9129D"/>
    <w:rsid w:val="6BEDCB61"/>
    <w:rsid w:val="6BEF5729"/>
    <w:rsid w:val="6BF7EC78"/>
    <w:rsid w:val="6BF8DDC2"/>
    <w:rsid w:val="6BFBAEC1"/>
    <w:rsid w:val="6BFC461F"/>
    <w:rsid w:val="6BFC8241"/>
    <w:rsid w:val="6C06C529"/>
    <w:rsid w:val="6C08412B"/>
    <w:rsid w:val="6C14C1E0"/>
    <w:rsid w:val="6C16532B"/>
    <w:rsid w:val="6C1784FB"/>
    <w:rsid w:val="6C1CCA5B"/>
    <w:rsid w:val="6C1CD509"/>
    <w:rsid w:val="6C208306"/>
    <w:rsid w:val="6C24BF2F"/>
    <w:rsid w:val="6C2F3DAD"/>
    <w:rsid w:val="6C34B0F0"/>
    <w:rsid w:val="6C3CB633"/>
    <w:rsid w:val="6C3D8F35"/>
    <w:rsid w:val="6C40C0A0"/>
    <w:rsid w:val="6C431CF2"/>
    <w:rsid w:val="6C45F449"/>
    <w:rsid w:val="6C4A200A"/>
    <w:rsid w:val="6C4AA9F0"/>
    <w:rsid w:val="6C4E4040"/>
    <w:rsid w:val="6C527D83"/>
    <w:rsid w:val="6C533A91"/>
    <w:rsid w:val="6C5484CE"/>
    <w:rsid w:val="6C5BBC48"/>
    <w:rsid w:val="6C6010CE"/>
    <w:rsid w:val="6C647F12"/>
    <w:rsid w:val="6C6C9856"/>
    <w:rsid w:val="6C72695F"/>
    <w:rsid w:val="6C75A9E9"/>
    <w:rsid w:val="6C76AF18"/>
    <w:rsid w:val="6C7B6200"/>
    <w:rsid w:val="6C7C0540"/>
    <w:rsid w:val="6C80F72C"/>
    <w:rsid w:val="6C853D32"/>
    <w:rsid w:val="6C873A4B"/>
    <w:rsid w:val="6C88EEBB"/>
    <w:rsid w:val="6C8C780C"/>
    <w:rsid w:val="6C96228F"/>
    <w:rsid w:val="6C9CF2CE"/>
    <w:rsid w:val="6CA03173"/>
    <w:rsid w:val="6CAB388E"/>
    <w:rsid w:val="6CBAB423"/>
    <w:rsid w:val="6CBDCCC3"/>
    <w:rsid w:val="6CBF68AC"/>
    <w:rsid w:val="6CC13310"/>
    <w:rsid w:val="6CC61B15"/>
    <w:rsid w:val="6CCB043D"/>
    <w:rsid w:val="6CCB649C"/>
    <w:rsid w:val="6CCF9561"/>
    <w:rsid w:val="6CD129D4"/>
    <w:rsid w:val="6CD898C2"/>
    <w:rsid w:val="6CDE1B24"/>
    <w:rsid w:val="6CDE3D59"/>
    <w:rsid w:val="6CE8D535"/>
    <w:rsid w:val="6CE9DB8B"/>
    <w:rsid w:val="6CECCB4C"/>
    <w:rsid w:val="6CEEE231"/>
    <w:rsid w:val="6CF6EDC2"/>
    <w:rsid w:val="6CF9BC19"/>
    <w:rsid w:val="6CFA635E"/>
    <w:rsid w:val="6D00F9AA"/>
    <w:rsid w:val="6D093C07"/>
    <w:rsid w:val="6D097396"/>
    <w:rsid w:val="6D0C4215"/>
    <w:rsid w:val="6D0E0459"/>
    <w:rsid w:val="6D0E4C04"/>
    <w:rsid w:val="6D0EFD44"/>
    <w:rsid w:val="6D0F3118"/>
    <w:rsid w:val="6D10EBB4"/>
    <w:rsid w:val="6D125474"/>
    <w:rsid w:val="6D1B2269"/>
    <w:rsid w:val="6D1BDDD4"/>
    <w:rsid w:val="6D1E887E"/>
    <w:rsid w:val="6D1F7C53"/>
    <w:rsid w:val="6D22B1CB"/>
    <w:rsid w:val="6D275114"/>
    <w:rsid w:val="6D2BEA04"/>
    <w:rsid w:val="6D3158E4"/>
    <w:rsid w:val="6D386A6F"/>
    <w:rsid w:val="6D3E8A8A"/>
    <w:rsid w:val="6D43B88B"/>
    <w:rsid w:val="6D490905"/>
    <w:rsid w:val="6D4A7105"/>
    <w:rsid w:val="6D4AFCFA"/>
    <w:rsid w:val="6D4CEF73"/>
    <w:rsid w:val="6D4D578F"/>
    <w:rsid w:val="6D50FC17"/>
    <w:rsid w:val="6D52278E"/>
    <w:rsid w:val="6D53DF5A"/>
    <w:rsid w:val="6D5B16F1"/>
    <w:rsid w:val="6D5C0E38"/>
    <w:rsid w:val="6D612FB2"/>
    <w:rsid w:val="6D693CC4"/>
    <w:rsid w:val="6D6B2EC7"/>
    <w:rsid w:val="6D6C678B"/>
    <w:rsid w:val="6D6CEF48"/>
    <w:rsid w:val="6D70CFE2"/>
    <w:rsid w:val="6D7B91EF"/>
    <w:rsid w:val="6D7BBEAC"/>
    <w:rsid w:val="6D7C412D"/>
    <w:rsid w:val="6D7D6831"/>
    <w:rsid w:val="6D7E9EDF"/>
    <w:rsid w:val="6D81CE9D"/>
    <w:rsid w:val="6D825155"/>
    <w:rsid w:val="6D854C0A"/>
    <w:rsid w:val="6D892320"/>
    <w:rsid w:val="6D897FC0"/>
    <w:rsid w:val="6D8EAC60"/>
    <w:rsid w:val="6D99B434"/>
    <w:rsid w:val="6D9ED486"/>
    <w:rsid w:val="6DA32397"/>
    <w:rsid w:val="6DA4CB7A"/>
    <w:rsid w:val="6DAAE17F"/>
    <w:rsid w:val="6DAB0494"/>
    <w:rsid w:val="6DB32797"/>
    <w:rsid w:val="6DB7188F"/>
    <w:rsid w:val="6DC1846A"/>
    <w:rsid w:val="6DC55527"/>
    <w:rsid w:val="6DC66E83"/>
    <w:rsid w:val="6DC6A1FD"/>
    <w:rsid w:val="6DC9ABFB"/>
    <w:rsid w:val="6DCCEE1E"/>
    <w:rsid w:val="6DD4A557"/>
    <w:rsid w:val="6DD4B9AB"/>
    <w:rsid w:val="6DD948C0"/>
    <w:rsid w:val="6DDEA5DF"/>
    <w:rsid w:val="6DE5BFA3"/>
    <w:rsid w:val="6DE7070C"/>
    <w:rsid w:val="6DE9845A"/>
    <w:rsid w:val="6DF4539E"/>
    <w:rsid w:val="6DFA8D56"/>
    <w:rsid w:val="6DFFDB27"/>
    <w:rsid w:val="6E016C1C"/>
    <w:rsid w:val="6E01B7BC"/>
    <w:rsid w:val="6E04A355"/>
    <w:rsid w:val="6E067097"/>
    <w:rsid w:val="6E087031"/>
    <w:rsid w:val="6E0F2671"/>
    <w:rsid w:val="6E0F2B98"/>
    <w:rsid w:val="6E10D539"/>
    <w:rsid w:val="6E114EE5"/>
    <w:rsid w:val="6E1466DF"/>
    <w:rsid w:val="6E14AED6"/>
    <w:rsid w:val="6E1A5FA0"/>
    <w:rsid w:val="6E2A6573"/>
    <w:rsid w:val="6E2DB9A9"/>
    <w:rsid w:val="6E30CEBB"/>
    <w:rsid w:val="6E34F25A"/>
    <w:rsid w:val="6E36D102"/>
    <w:rsid w:val="6E39D61F"/>
    <w:rsid w:val="6E3A3E6A"/>
    <w:rsid w:val="6E413D61"/>
    <w:rsid w:val="6E417FEA"/>
    <w:rsid w:val="6E4D1E6B"/>
    <w:rsid w:val="6E5FBC34"/>
    <w:rsid w:val="6E61A9E5"/>
    <w:rsid w:val="6E6964C0"/>
    <w:rsid w:val="6E6997EA"/>
    <w:rsid w:val="6E69F545"/>
    <w:rsid w:val="6E6F4D36"/>
    <w:rsid w:val="6E708018"/>
    <w:rsid w:val="6E723726"/>
    <w:rsid w:val="6E75DE14"/>
    <w:rsid w:val="6E76FEE0"/>
    <w:rsid w:val="6E7736A7"/>
    <w:rsid w:val="6E77EECD"/>
    <w:rsid w:val="6E7AEC86"/>
    <w:rsid w:val="6E7D18B4"/>
    <w:rsid w:val="6E7F6141"/>
    <w:rsid w:val="6E81B83A"/>
    <w:rsid w:val="6E82CD1E"/>
    <w:rsid w:val="6E884832"/>
    <w:rsid w:val="6E896EAE"/>
    <w:rsid w:val="6E984E2F"/>
    <w:rsid w:val="6E9E47BE"/>
    <w:rsid w:val="6EA1B7B4"/>
    <w:rsid w:val="6EA5D74E"/>
    <w:rsid w:val="6EA76BE1"/>
    <w:rsid w:val="6EA7AEDA"/>
    <w:rsid w:val="6EAC022E"/>
    <w:rsid w:val="6EAF6B40"/>
    <w:rsid w:val="6EB83BC7"/>
    <w:rsid w:val="6EB9BF88"/>
    <w:rsid w:val="6EC022E5"/>
    <w:rsid w:val="6EC7F6A8"/>
    <w:rsid w:val="6ECDAD7D"/>
    <w:rsid w:val="6ECECDE7"/>
    <w:rsid w:val="6ECF8258"/>
    <w:rsid w:val="6ECFF960"/>
    <w:rsid w:val="6ED3CC39"/>
    <w:rsid w:val="6ED47250"/>
    <w:rsid w:val="6ED81D58"/>
    <w:rsid w:val="6ED95F60"/>
    <w:rsid w:val="6EE95321"/>
    <w:rsid w:val="6EED67D1"/>
    <w:rsid w:val="6EEDBC62"/>
    <w:rsid w:val="6EF21A34"/>
    <w:rsid w:val="6EF24427"/>
    <w:rsid w:val="6EF2961B"/>
    <w:rsid w:val="6EF2AB28"/>
    <w:rsid w:val="6EF3D62A"/>
    <w:rsid w:val="6EFA88EC"/>
    <w:rsid w:val="6EFA94A3"/>
    <w:rsid w:val="6F00D4F0"/>
    <w:rsid w:val="6F03C033"/>
    <w:rsid w:val="6F04A59A"/>
    <w:rsid w:val="6F073F6C"/>
    <w:rsid w:val="6F0A24CA"/>
    <w:rsid w:val="6F0B54DF"/>
    <w:rsid w:val="6F124692"/>
    <w:rsid w:val="6F131A1B"/>
    <w:rsid w:val="6F165887"/>
    <w:rsid w:val="6F172DAE"/>
    <w:rsid w:val="6F195B42"/>
    <w:rsid w:val="6F19FFAE"/>
    <w:rsid w:val="6F1DADB6"/>
    <w:rsid w:val="6F232C22"/>
    <w:rsid w:val="6F2387C3"/>
    <w:rsid w:val="6F2D73A6"/>
    <w:rsid w:val="6F38C46B"/>
    <w:rsid w:val="6F3A9F9F"/>
    <w:rsid w:val="6F3BAE32"/>
    <w:rsid w:val="6F3CC07E"/>
    <w:rsid w:val="6F3F36DF"/>
    <w:rsid w:val="6F42237D"/>
    <w:rsid w:val="6F458BF1"/>
    <w:rsid w:val="6F47F4FB"/>
    <w:rsid w:val="6F481356"/>
    <w:rsid w:val="6F4A4FA4"/>
    <w:rsid w:val="6F4B3502"/>
    <w:rsid w:val="6F517EF7"/>
    <w:rsid w:val="6F58DB9B"/>
    <w:rsid w:val="6F5CEFA6"/>
    <w:rsid w:val="6F5D5F09"/>
    <w:rsid w:val="6F5E5BDE"/>
    <w:rsid w:val="6F651F73"/>
    <w:rsid w:val="6F655380"/>
    <w:rsid w:val="6F655823"/>
    <w:rsid w:val="6F666E78"/>
    <w:rsid w:val="6F68A053"/>
    <w:rsid w:val="6F6AAC2B"/>
    <w:rsid w:val="6F6AB3E8"/>
    <w:rsid w:val="6F6D17F0"/>
    <w:rsid w:val="6F79FA13"/>
    <w:rsid w:val="6F7C315E"/>
    <w:rsid w:val="6F7EF411"/>
    <w:rsid w:val="6F825012"/>
    <w:rsid w:val="6F89F777"/>
    <w:rsid w:val="6F94B183"/>
    <w:rsid w:val="6F9B9B18"/>
    <w:rsid w:val="6FA0EE05"/>
    <w:rsid w:val="6FA10948"/>
    <w:rsid w:val="6FA3CE4B"/>
    <w:rsid w:val="6FA968D1"/>
    <w:rsid w:val="6FAB2318"/>
    <w:rsid w:val="6FACD016"/>
    <w:rsid w:val="6FADFC46"/>
    <w:rsid w:val="6FAE31D6"/>
    <w:rsid w:val="6FB1CB89"/>
    <w:rsid w:val="6FB29300"/>
    <w:rsid w:val="6FB3F85E"/>
    <w:rsid w:val="6FB6D832"/>
    <w:rsid w:val="6FB8ADD1"/>
    <w:rsid w:val="6FB927E1"/>
    <w:rsid w:val="6FBD1554"/>
    <w:rsid w:val="6FBD9AA5"/>
    <w:rsid w:val="6FC19875"/>
    <w:rsid w:val="6FC6296B"/>
    <w:rsid w:val="6FCB69D7"/>
    <w:rsid w:val="6FD44A09"/>
    <w:rsid w:val="6FD561C1"/>
    <w:rsid w:val="6FD88BC8"/>
    <w:rsid w:val="6FDA78F9"/>
    <w:rsid w:val="6FDDD39F"/>
    <w:rsid w:val="6FED3D70"/>
    <w:rsid w:val="6FF1B860"/>
    <w:rsid w:val="6FF2C431"/>
    <w:rsid w:val="6FF3BC2C"/>
    <w:rsid w:val="6FF63798"/>
    <w:rsid w:val="6FFCCA6E"/>
    <w:rsid w:val="7003E68E"/>
    <w:rsid w:val="7006F62D"/>
    <w:rsid w:val="700775B0"/>
    <w:rsid w:val="700B8A89"/>
    <w:rsid w:val="700C37A0"/>
    <w:rsid w:val="70139BE9"/>
    <w:rsid w:val="7015A66A"/>
    <w:rsid w:val="7017E6D5"/>
    <w:rsid w:val="7018B03D"/>
    <w:rsid w:val="7019822F"/>
    <w:rsid w:val="701AFF2F"/>
    <w:rsid w:val="70235438"/>
    <w:rsid w:val="702601AD"/>
    <w:rsid w:val="70263A2C"/>
    <w:rsid w:val="702BACC9"/>
    <w:rsid w:val="702D38AA"/>
    <w:rsid w:val="703176A0"/>
    <w:rsid w:val="70318E86"/>
    <w:rsid w:val="70319077"/>
    <w:rsid w:val="7032683B"/>
    <w:rsid w:val="70350148"/>
    <w:rsid w:val="703676C5"/>
    <w:rsid w:val="70390577"/>
    <w:rsid w:val="7042C053"/>
    <w:rsid w:val="7046DF7B"/>
    <w:rsid w:val="70494373"/>
    <w:rsid w:val="704AE4A0"/>
    <w:rsid w:val="704C4EB1"/>
    <w:rsid w:val="704C5C78"/>
    <w:rsid w:val="70538341"/>
    <w:rsid w:val="70551A56"/>
    <w:rsid w:val="70567A3B"/>
    <w:rsid w:val="705CEE84"/>
    <w:rsid w:val="705F0C00"/>
    <w:rsid w:val="70617F13"/>
    <w:rsid w:val="70660AA2"/>
    <w:rsid w:val="70677740"/>
    <w:rsid w:val="706AE9C3"/>
    <w:rsid w:val="70738B5B"/>
    <w:rsid w:val="7073E6EF"/>
    <w:rsid w:val="70769B9F"/>
    <w:rsid w:val="707A4DCF"/>
    <w:rsid w:val="707BE4F4"/>
    <w:rsid w:val="70856B8F"/>
    <w:rsid w:val="7089140D"/>
    <w:rsid w:val="70949AD5"/>
    <w:rsid w:val="70959422"/>
    <w:rsid w:val="7097EDD2"/>
    <w:rsid w:val="7099D1B3"/>
    <w:rsid w:val="709C41FC"/>
    <w:rsid w:val="709C8B2E"/>
    <w:rsid w:val="709E0DC4"/>
    <w:rsid w:val="709E6B75"/>
    <w:rsid w:val="70A19BB3"/>
    <w:rsid w:val="70A41C51"/>
    <w:rsid w:val="70AA0893"/>
    <w:rsid w:val="70AE6F0C"/>
    <w:rsid w:val="70B3C4F5"/>
    <w:rsid w:val="70B5DE61"/>
    <w:rsid w:val="70B70C05"/>
    <w:rsid w:val="70B72E6E"/>
    <w:rsid w:val="70BA3DB7"/>
    <w:rsid w:val="70BD7335"/>
    <w:rsid w:val="70BF951A"/>
    <w:rsid w:val="70C466AB"/>
    <w:rsid w:val="70C6EF1D"/>
    <w:rsid w:val="70C7A0DE"/>
    <w:rsid w:val="70C7D39D"/>
    <w:rsid w:val="70CA7C8A"/>
    <w:rsid w:val="70CBB9A5"/>
    <w:rsid w:val="70CC6798"/>
    <w:rsid w:val="70CD51BC"/>
    <w:rsid w:val="70D5440B"/>
    <w:rsid w:val="70D63B7F"/>
    <w:rsid w:val="70D63C8F"/>
    <w:rsid w:val="70DB3EA1"/>
    <w:rsid w:val="70DC6BBD"/>
    <w:rsid w:val="70DC8803"/>
    <w:rsid w:val="70E17AAB"/>
    <w:rsid w:val="70E37E08"/>
    <w:rsid w:val="70E7B3F1"/>
    <w:rsid w:val="70EAE303"/>
    <w:rsid w:val="70ECEC0D"/>
    <w:rsid w:val="70F0E462"/>
    <w:rsid w:val="70F48C8B"/>
    <w:rsid w:val="70F70659"/>
    <w:rsid w:val="70FC5142"/>
    <w:rsid w:val="70FD2CDD"/>
    <w:rsid w:val="70FE8789"/>
    <w:rsid w:val="7105C84D"/>
    <w:rsid w:val="71069AC9"/>
    <w:rsid w:val="710C1F83"/>
    <w:rsid w:val="710C270F"/>
    <w:rsid w:val="710E010D"/>
    <w:rsid w:val="710FF3DC"/>
    <w:rsid w:val="7113BEAC"/>
    <w:rsid w:val="7115DCFC"/>
    <w:rsid w:val="711E0C83"/>
    <w:rsid w:val="711F635D"/>
    <w:rsid w:val="7122BB62"/>
    <w:rsid w:val="7128DC0A"/>
    <w:rsid w:val="712C89CB"/>
    <w:rsid w:val="712E6108"/>
    <w:rsid w:val="71303C29"/>
    <w:rsid w:val="71321DD0"/>
    <w:rsid w:val="7132708F"/>
    <w:rsid w:val="713AF8A8"/>
    <w:rsid w:val="71444F71"/>
    <w:rsid w:val="71453F3F"/>
    <w:rsid w:val="714B3EA4"/>
    <w:rsid w:val="714E1C52"/>
    <w:rsid w:val="714F9608"/>
    <w:rsid w:val="71539B3E"/>
    <w:rsid w:val="715AF477"/>
    <w:rsid w:val="715C14EC"/>
    <w:rsid w:val="715DF0B0"/>
    <w:rsid w:val="715E669A"/>
    <w:rsid w:val="716571B0"/>
    <w:rsid w:val="716AAB9F"/>
    <w:rsid w:val="7173074F"/>
    <w:rsid w:val="71750C2E"/>
    <w:rsid w:val="717A255D"/>
    <w:rsid w:val="717DE768"/>
    <w:rsid w:val="7180BAA6"/>
    <w:rsid w:val="718AEF50"/>
    <w:rsid w:val="718E5FD9"/>
    <w:rsid w:val="718F1E09"/>
    <w:rsid w:val="719123C4"/>
    <w:rsid w:val="71924580"/>
    <w:rsid w:val="7193041C"/>
    <w:rsid w:val="7193A38F"/>
    <w:rsid w:val="7193FDF1"/>
    <w:rsid w:val="719455A8"/>
    <w:rsid w:val="7197C228"/>
    <w:rsid w:val="719C0DF1"/>
    <w:rsid w:val="719E7CE4"/>
    <w:rsid w:val="71A91005"/>
    <w:rsid w:val="71AB89C4"/>
    <w:rsid w:val="71B581BD"/>
    <w:rsid w:val="71B9EA74"/>
    <w:rsid w:val="71BF5CB4"/>
    <w:rsid w:val="71D05CD6"/>
    <w:rsid w:val="71D22B36"/>
    <w:rsid w:val="71D5798A"/>
    <w:rsid w:val="71E5990D"/>
    <w:rsid w:val="71E88455"/>
    <w:rsid w:val="71F42876"/>
    <w:rsid w:val="71F43016"/>
    <w:rsid w:val="71F54260"/>
    <w:rsid w:val="71FAA16C"/>
    <w:rsid w:val="71FB4516"/>
    <w:rsid w:val="71FFC969"/>
    <w:rsid w:val="72071168"/>
    <w:rsid w:val="720BD7EE"/>
    <w:rsid w:val="720F96D7"/>
    <w:rsid w:val="7212BBC2"/>
    <w:rsid w:val="721311BF"/>
    <w:rsid w:val="72161A9F"/>
    <w:rsid w:val="7216AC7E"/>
    <w:rsid w:val="72188BB4"/>
    <w:rsid w:val="72251C63"/>
    <w:rsid w:val="72261064"/>
    <w:rsid w:val="7234F1F0"/>
    <w:rsid w:val="7238F344"/>
    <w:rsid w:val="723B9551"/>
    <w:rsid w:val="723E0CB4"/>
    <w:rsid w:val="724292EA"/>
    <w:rsid w:val="724576D8"/>
    <w:rsid w:val="72465CAD"/>
    <w:rsid w:val="72494C06"/>
    <w:rsid w:val="724AED9F"/>
    <w:rsid w:val="724BC1B9"/>
    <w:rsid w:val="72538FFF"/>
    <w:rsid w:val="725406FF"/>
    <w:rsid w:val="7258B326"/>
    <w:rsid w:val="72600463"/>
    <w:rsid w:val="726205B7"/>
    <w:rsid w:val="726BBB9D"/>
    <w:rsid w:val="726DDFA5"/>
    <w:rsid w:val="72739EEA"/>
    <w:rsid w:val="7278CCF4"/>
    <w:rsid w:val="727967FA"/>
    <w:rsid w:val="727A89DE"/>
    <w:rsid w:val="727BEB7A"/>
    <w:rsid w:val="727D389B"/>
    <w:rsid w:val="7280084A"/>
    <w:rsid w:val="728A9314"/>
    <w:rsid w:val="728B4FFD"/>
    <w:rsid w:val="728C8921"/>
    <w:rsid w:val="728E7CAD"/>
    <w:rsid w:val="72913C6B"/>
    <w:rsid w:val="72916D29"/>
    <w:rsid w:val="7299A3A7"/>
    <w:rsid w:val="7299F4BE"/>
    <w:rsid w:val="729AB65A"/>
    <w:rsid w:val="729AEF6D"/>
    <w:rsid w:val="729C2094"/>
    <w:rsid w:val="72A10488"/>
    <w:rsid w:val="72A1860A"/>
    <w:rsid w:val="72A47AEA"/>
    <w:rsid w:val="72AA37CD"/>
    <w:rsid w:val="72AA68B7"/>
    <w:rsid w:val="72B1ECC4"/>
    <w:rsid w:val="72B8C6D6"/>
    <w:rsid w:val="72B9D409"/>
    <w:rsid w:val="72C36BF5"/>
    <w:rsid w:val="72C6EFCC"/>
    <w:rsid w:val="72C7BFAF"/>
    <w:rsid w:val="72CD68A5"/>
    <w:rsid w:val="72D18D71"/>
    <w:rsid w:val="72D33EE9"/>
    <w:rsid w:val="72D9BB61"/>
    <w:rsid w:val="72DE24A9"/>
    <w:rsid w:val="72E25EC0"/>
    <w:rsid w:val="72E2E1E4"/>
    <w:rsid w:val="72E486E2"/>
    <w:rsid w:val="72E52086"/>
    <w:rsid w:val="72E59D08"/>
    <w:rsid w:val="72EB3406"/>
    <w:rsid w:val="72EC8F25"/>
    <w:rsid w:val="72EFF448"/>
    <w:rsid w:val="72F1DFA0"/>
    <w:rsid w:val="72F62CD9"/>
    <w:rsid w:val="72FB6FBF"/>
    <w:rsid w:val="7301D680"/>
    <w:rsid w:val="7302FAA6"/>
    <w:rsid w:val="730390C4"/>
    <w:rsid w:val="7304EB18"/>
    <w:rsid w:val="73066C67"/>
    <w:rsid w:val="730866CD"/>
    <w:rsid w:val="73088437"/>
    <w:rsid w:val="730BAE5A"/>
    <w:rsid w:val="730F18B3"/>
    <w:rsid w:val="73115EE4"/>
    <w:rsid w:val="73157B4A"/>
    <w:rsid w:val="731803E9"/>
    <w:rsid w:val="731DD0DE"/>
    <w:rsid w:val="7321F57F"/>
    <w:rsid w:val="7324FABE"/>
    <w:rsid w:val="733BC050"/>
    <w:rsid w:val="733C28AD"/>
    <w:rsid w:val="733E3B7D"/>
    <w:rsid w:val="7342F184"/>
    <w:rsid w:val="734598D2"/>
    <w:rsid w:val="7348FC90"/>
    <w:rsid w:val="734AA39C"/>
    <w:rsid w:val="7356A2C5"/>
    <w:rsid w:val="7356D165"/>
    <w:rsid w:val="7358E9CB"/>
    <w:rsid w:val="735B9F16"/>
    <w:rsid w:val="735C5DAA"/>
    <w:rsid w:val="735ED2F1"/>
    <w:rsid w:val="735FEA90"/>
    <w:rsid w:val="7361BDFF"/>
    <w:rsid w:val="7362960E"/>
    <w:rsid w:val="736C2D37"/>
    <w:rsid w:val="736D8BD6"/>
    <w:rsid w:val="736DF1AA"/>
    <w:rsid w:val="736FEF20"/>
    <w:rsid w:val="73770EBD"/>
    <w:rsid w:val="7378D87D"/>
    <w:rsid w:val="737B64F3"/>
    <w:rsid w:val="737C9795"/>
    <w:rsid w:val="737E4F14"/>
    <w:rsid w:val="7384A37C"/>
    <w:rsid w:val="738D1341"/>
    <w:rsid w:val="738E9AF3"/>
    <w:rsid w:val="738F247F"/>
    <w:rsid w:val="739A1841"/>
    <w:rsid w:val="739E5F48"/>
    <w:rsid w:val="73A33EB2"/>
    <w:rsid w:val="73A5272B"/>
    <w:rsid w:val="73A71F19"/>
    <w:rsid w:val="73B5EC5B"/>
    <w:rsid w:val="73BDECF3"/>
    <w:rsid w:val="73BEFA2B"/>
    <w:rsid w:val="73C66BC3"/>
    <w:rsid w:val="73CB9410"/>
    <w:rsid w:val="73CF3885"/>
    <w:rsid w:val="73D4865B"/>
    <w:rsid w:val="73D858E7"/>
    <w:rsid w:val="73DDCEAC"/>
    <w:rsid w:val="73DF6A1F"/>
    <w:rsid w:val="73E8ED5C"/>
    <w:rsid w:val="73EE2E1A"/>
    <w:rsid w:val="73EFFA9F"/>
    <w:rsid w:val="73F1B88F"/>
    <w:rsid w:val="73F2CADB"/>
    <w:rsid w:val="73F68D87"/>
    <w:rsid w:val="73FA214C"/>
    <w:rsid w:val="73FE6C60"/>
    <w:rsid w:val="740172F9"/>
    <w:rsid w:val="7402BE0B"/>
    <w:rsid w:val="740366B8"/>
    <w:rsid w:val="740721EA"/>
    <w:rsid w:val="74079145"/>
    <w:rsid w:val="741784CA"/>
    <w:rsid w:val="741DD2B0"/>
    <w:rsid w:val="7424EE2B"/>
    <w:rsid w:val="7430ACAF"/>
    <w:rsid w:val="743153BF"/>
    <w:rsid w:val="743190F4"/>
    <w:rsid w:val="7432920B"/>
    <w:rsid w:val="74371DF2"/>
    <w:rsid w:val="743B60BA"/>
    <w:rsid w:val="743F0C8C"/>
    <w:rsid w:val="744364D6"/>
    <w:rsid w:val="7445BB91"/>
    <w:rsid w:val="7447CD67"/>
    <w:rsid w:val="7454B320"/>
    <w:rsid w:val="74562A1C"/>
    <w:rsid w:val="74563062"/>
    <w:rsid w:val="7458955F"/>
    <w:rsid w:val="745B8142"/>
    <w:rsid w:val="745FCB23"/>
    <w:rsid w:val="7460D7E4"/>
    <w:rsid w:val="746124A8"/>
    <w:rsid w:val="7462B2C6"/>
    <w:rsid w:val="7465E82D"/>
    <w:rsid w:val="746C2F95"/>
    <w:rsid w:val="746EE467"/>
    <w:rsid w:val="7472889E"/>
    <w:rsid w:val="74793293"/>
    <w:rsid w:val="747ADB6C"/>
    <w:rsid w:val="747BDC69"/>
    <w:rsid w:val="747D88DF"/>
    <w:rsid w:val="74803334"/>
    <w:rsid w:val="74810B20"/>
    <w:rsid w:val="748FEEEE"/>
    <w:rsid w:val="7491435B"/>
    <w:rsid w:val="749610EE"/>
    <w:rsid w:val="749C607F"/>
    <w:rsid w:val="749E2C73"/>
    <w:rsid w:val="74A12B72"/>
    <w:rsid w:val="74A479DF"/>
    <w:rsid w:val="74A7A6A3"/>
    <w:rsid w:val="74AB1FF0"/>
    <w:rsid w:val="74AF0180"/>
    <w:rsid w:val="74B6510B"/>
    <w:rsid w:val="74C2B1FE"/>
    <w:rsid w:val="74C95CE1"/>
    <w:rsid w:val="74CCC32C"/>
    <w:rsid w:val="74CE720A"/>
    <w:rsid w:val="74D5C631"/>
    <w:rsid w:val="74D79FD6"/>
    <w:rsid w:val="74DB8233"/>
    <w:rsid w:val="74E00F7C"/>
    <w:rsid w:val="74E0E418"/>
    <w:rsid w:val="74E2208C"/>
    <w:rsid w:val="74E6CE3D"/>
    <w:rsid w:val="74E72628"/>
    <w:rsid w:val="74EA5BA6"/>
    <w:rsid w:val="74F22508"/>
    <w:rsid w:val="74F53528"/>
    <w:rsid w:val="74F8D4E8"/>
    <w:rsid w:val="74FEBDF4"/>
    <w:rsid w:val="74FEE875"/>
    <w:rsid w:val="7506F041"/>
    <w:rsid w:val="750C32E7"/>
    <w:rsid w:val="750FC483"/>
    <w:rsid w:val="7511D532"/>
    <w:rsid w:val="751574C1"/>
    <w:rsid w:val="75159138"/>
    <w:rsid w:val="7515FA1F"/>
    <w:rsid w:val="75161013"/>
    <w:rsid w:val="751A0EB6"/>
    <w:rsid w:val="75214862"/>
    <w:rsid w:val="7521EDE0"/>
    <w:rsid w:val="7529ECFE"/>
    <w:rsid w:val="752F5496"/>
    <w:rsid w:val="7532B92D"/>
    <w:rsid w:val="75346554"/>
    <w:rsid w:val="7534C52E"/>
    <w:rsid w:val="753E2D0D"/>
    <w:rsid w:val="753F0B87"/>
    <w:rsid w:val="7541991D"/>
    <w:rsid w:val="754751A2"/>
    <w:rsid w:val="7548763D"/>
    <w:rsid w:val="754DAE30"/>
    <w:rsid w:val="754F11E4"/>
    <w:rsid w:val="754F3AC5"/>
    <w:rsid w:val="754F90A2"/>
    <w:rsid w:val="75503945"/>
    <w:rsid w:val="75519614"/>
    <w:rsid w:val="7554D1F0"/>
    <w:rsid w:val="7554DAF7"/>
    <w:rsid w:val="755701CC"/>
    <w:rsid w:val="755DDDF9"/>
    <w:rsid w:val="755F3928"/>
    <w:rsid w:val="756873A1"/>
    <w:rsid w:val="756C00BF"/>
    <w:rsid w:val="756D3953"/>
    <w:rsid w:val="756FE696"/>
    <w:rsid w:val="757134BA"/>
    <w:rsid w:val="757370FC"/>
    <w:rsid w:val="75738741"/>
    <w:rsid w:val="757567BD"/>
    <w:rsid w:val="757893A4"/>
    <w:rsid w:val="757D3C31"/>
    <w:rsid w:val="75814467"/>
    <w:rsid w:val="75914297"/>
    <w:rsid w:val="759162E4"/>
    <w:rsid w:val="75918029"/>
    <w:rsid w:val="759280A5"/>
    <w:rsid w:val="7598A068"/>
    <w:rsid w:val="759EF5E0"/>
    <w:rsid w:val="75A2F7F5"/>
    <w:rsid w:val="75B05209"/>
    <w:rsid w:val="75B0D178"/>
    <w:rsid w:val="75B16D61"/>
    <w:rsid w:val="75C04736"/>
    <w:rsid w:val="75C38CBF"/>
    <w:rsid w:val="75C64D5C"/>
    <w:rsid w:val="75C66D74"/>
    <w:rsid w:val="75C70A00"/>
    <w:rsid w:val="75C891EF"/>
    <w:rsid w:val="75CCF5EB"/>
    <w:rsid w:val="75D63542"/>
    <w:rsid w:val="75D681AF"/>
    <w:rsid w:val="75D82B17"/>
    <w:rsid w:val="75D839DE"/>
    <w:rsid w:val="75DE77E8"/>
    <w:rsid w:val="75E45C66"/>
    <w:rsid w:val="75EFFB52"/>
    <w:rsid w:val="75F07959"/>
    <w:rsid w:val="75F65912"/>
    <w:rsid w:val="75F6BC70"/>
    <w:rsid w:val="75F98AE4"/>
    <w:rsid w:val="75FA0092"/>
    <w:rsid w:val="75FE22A9"/>
    <w:rsid w:val="7600842B"/>
    <w:rsid w:val="7600E6F0"/>
    <w:rsid w:val="76053E25"/>
    <w:rsid w:val="7609DB2A"/>
    <w:rsid w:val="760D607B"/>
    <w:rsid w:val="76108F05"/>
    <w:rsid w:val="7610B9B7"/>
    <w:rsid w:val="76117FDF"/>
    <w:rsid w:val="76155928"/>
    <w:rsid w:val="7617DB97"/>
    <w:rsid w:val="761DC581"/>
    <w:rsid w:val="761E5762"/>
    <w:rsid w:val="761E7E7F"/>
    <w:rsid w:val="7620686F"/>
    <w:rsid w:val="7621A4FA"/>
    <w:rsid w:val="76268A01"/>
    <w:rsid w:val="76268D96"/>
    <w:rsid w:val="7627F412"/>
    <w:rsid w:val="7629EC96"/>
    <w:rsid w:val="762D907F"/>
    <w:rsid w:val="7639C38B"/>
    <w:rsid w:val="763AC859"/>
    <w:rsid w:val="763D4524"/>
    <w:rsid w:val="76400BC5"/>
    <w:rsid w:val="76448FF1"/>
    <w:rsid w:val="764C7322"/>
    <w:rsid w:val="764CD014"/>
    <w:rsid w:val="764E8DA0"/>
    <w:rsid w:val="7661D897"/>
    <w:rsid w:val="76625789"/>
    <w:rsid w:val="7664A472"/>
    <w:rsid w:val="7666C94C"/>
    <w:rsid w:val="76686423"/>
    <w:rsid w:val="7668CFDB"/>
    <w:rsid w:val="7669B665"/>
    <w:rsid w:val="766C6B49"/>
    <w:rsid w:val="76746DC0"/>
    <w:rsid w:val="7675B861"/>
    <w:rsid w:val="7677A372"/>
    <w:rsid w:val="7677DDF2"/>
    <w:rsid w:val="7685520B"/>
    <w:rsid w:val="7688C389"/>
    <w:rsid w:val="768AF6F0"/>
    <w:rsid w:val="769A4991"/>
    <w:rsid w:val="769B11EF"/>
    <w:rsid w:val="769D918A"/>
    <w:rsid w:val="769E5CB4"/>
    <w:rsid w:val="76A3BD36"/>
    <w:rsid w:val="76AB66F3"/>
    <w:rsid w:val="76B10837"/>
    <w:rsid w:val="76B17C61"/>
    <w:rsid w:val="76B39BBB"/>
    <w:rsid w:val="76B5CB59"/>
    <w:rsid w:val="76B95837"/>
    <w:rsid w:val="76BC5C2E"/>
    <w:rsid w:val="76C35458"/>
    <w:rsid w:val="76C5C65A"/>
    <w:rsid w:val="76D27E30"/>
    <w:rsid w:val="76D414D4"/>
    <w:rsid w:val="76D6E7C2"/>
    <w:rsid w:val="76D85712"/>
    <w:rsid w:val="76DFF269"/>
    <w:rsid w:val="76E2E510"/>
    <w:rsid w:val="76EA49E9"/>
    <w:rsid w:val="76ECA598"/>
    <w:rsid w:val="76F298A8"/>
    <w:rsid w:val="76F30F5A"/>
    <w:rsid w:val="76F48C76"/>
    <w:rsid w:val="76F68A8C"/>
    <w:rsid w:val="76FAE978"/>
    <w:rsid w:val="76FB2D25"/>
    <w:rsid w:val="76FDD278"/>
    <w:rsid w:val="7708B35A"/>
    <w:rsid w:val="770C5175"/>
    <w:rsid w:val="770C8969"/>
    <w:rsid w:val="770CB3CE"/>
    <w:rsid w:val="770DEF77"/>
    <w:rsid w:val="770E0840"/>
    <w:rsid w:val="77198228"/>
    <w:rsid w:val="77198DF0"/>
    <w:rsid w:val="771A13CF"/>
    <w:rsid w:val="771A3215"/>
    <w:rsid w:val="771E3AEF"/>
    <w:rsid w:val="77203D88"/>
    <w:rsid w:val="7720CE72"/>
    <w:rsid w:val="77282776"/>
    <w:rsid w:val="772AAE9A"/>
    <w:rsid w:val="772BC991"/>
    <w:rsid w:val="772BDC2C"/>
    <w:rsid w:val="772C7558"/>
    <w:rsid w:val="772F2917"/>
    <w:rsid w:val="772F939A"/>
    <w:rsid w:val="77398608"/>
    <w:rsid w:val="7740EA17"/>
    <w:rsid w:val="77422B6B"/>
    <w:rsid w:val="7742486A"/>
    <w:rsid w:val="77452ED3"/>
    <w:rsid w:val="774BA506"/>
    <w:rsid w:val="774F28D0"/>
    <w:rsid w:val="775862D8"/>
    <w:rsid w:val="775B4106"/>
    <w:rsid w:val="775D8E02"/>
    <w:rsid w:val="775DF3ED"/>
    <w:rsid w:val="775E116A"/>
    <w:rsid w:val="77673988"/>
    <w:rsid w:val="776A1044"/>
    <w:rsid w:val="776A79FA"/>
    <w:rsid w:val="776C5AD8"/>
    <w:rsid w:val="776FFBCB"/>
    <w:rsid w:val="777241B8"/>
    <w:rsid w:val="777E4F29"/>
    <w:rsid w:val="7781BA9E"/>
    <w:rsid w:val="77824E29"/>
    <w:rsid w:val="77826299"/>
    <w:rsid w:val="778BC26D"/>
    <w:rsid w:val="7793056B"/>
    <w:rsid w:val="779586D2"/>
    <w:rsid w:val="779B9B00"/>
    <w:rsid w:val="779BA340"/>
    <w:rsid w:val="779E6C2B"/>
    <w:rsid w:val="77A04DE3"/>
    <w:rsid w:val="77A27900"/>
    <w:rsid w:val="77A38AE2"/>
    <w:rsid w:val="77A8B34A"/>
    <w:rsid w:val="77A9317E"/>
    <w:rsid w:val="77C013BD"/>
    <w:rsid w:val="77C1003E"/>
    <w:rsid w:val="77C32453"/>
    <w:rsid w:val="77C87E1E"/>
    <w:rsid w:val="77D1137D"/>
    <w:rsid w:val="77D3AD21"/>
    <w:rsid w:val="77D3EB2E"/>
    <w:rsid w:val="77DA1051"/>
    <w:rsid w:val="77DDECC4"/>
    <w:rsid w:val="77E138AE"/>
    <w:rsid w:val="77E579C8"/>
    <w:rsid w:val="77E72B4B"/>
    <w:rsid w:val="77E901A5"/>
    <w:rsid w:val="77EAAD82"/>
    <w:rsid w:val="77EC5E69"/>
    <w:rsid w:val="77EEAF8D"/>
    <w:rsid w:val="77F3423B"/>
    <w:rsid w:val="77F96387"/>
    <w:rsid w:val="77FB3A20"/>
    <w:rsid w:val="77FBF46F"/>
    <w:rsid w:val="78050511"/>
    <w:rsid w:val="7805A52A"/>
    <w:rsid w:val="780876CC"/>
    <w:rsid w:val="780B9F93"/>
    <w:rsid w:val="780BB97A"/>
    <w:rsid w:val="780E3A9D"/>
    <w:rsid w:val="780F0251"/>
    <w:rsid w:val="7810643A"/>
    <w:rsid w:val="7812520D"/>
    <w:rsid w:val="7813FA58"/>
    <w:rsid w:val="781A9AE8"/>
    <w:rsid w:val="782261C5"/>
    <w:rsid w:val="7824CF4C"/>
    <w:rsid w:val="7827526A"/>
    <w:rsid w:val="782A1C9B"/>
    <w:rsid w:val="782BC21E"/>
    <w:rsid w:val="782BE58F"/>
    <w:rsid w:val="7837599D"/>
    <w:rsid w:val="78378247"/>
    <w:rsid w:val="7837C6B7"/>
    <w:rsid w:val="7838BEE1"/>
    <w:rsid w:val="783F2AA9"/>
    <w:rsid w:val="784413CF"/>
    <w:rsid w:val="7844ACA7"/>
    <w:rsid w:val="784A9C90"/>
    <w:rsid w:val="784AA539"/>
    <w:rsid w:val="785632D1"/>
    <w:rsid w:val="7857810C"/>
    <w:rsid w:val="7859223E"/>
    <w:rsid w:val="7859A389"/>
    <w:rsid w:val="7862A014"/>
    <w:rsid w:val="7872B32D"/>
    <w:rsid w:val="7873EA1D"/>
    <w:rsid w:val="787445BE"/>
    <w:rsid w:val="7880B643"/>
    <w:rsid w:val="7881175C"/>
    <w:rsid w:val="7887FE1C"/>
    <w:rsid w:val="7889913E"/>
    <w:rsid w:val="788E3374"/>
    <w:rsid w:val="78905034"/>
    <w:rsid w:val="789AB124"/>
    <w:rsid w:val="78A11599"/>
    <w:rsid w:val="78A545BF"/>
    <w:rsid w:val="78A5F6E4"/>
    <w:rsid w:val="78AF60F0"/>
    <w:rsid w:val="78B05AAB"/>
    <w:rsid w:val="78B72CE2"/>
    <w:rsid w:val="78BCD6CD"/>
    <w:rsid w:val="78BF5CDF"/>
    <w:rsid w:val="78BF7662"/>
    <w:rsid w:val="78C66D60"/>
    <w:rsid w:val="78C9C9D2"/>
    <w:rsid w:val="78CA675C"/>
    <w:rsid w:val="78CC4884"/>
    <w:rsid w:val="78DBA14B"/>
    <w:rsid w:val="78DE13C0"/>
    <w:rsid w:val="78DFC9C1"/>
    <w:rsid w:val="78E66A44"/>
    <w:rsid w:val="78F50355"/>
    <w:rsid w:val="78F591E0"/>
    <w:rsid w:val="78FD75B3"/>
    <w:rsid w:val="78FD8BA4"/>
    <w:rsid w:val="7901CDBC"/>
    <w:rsid w:val="7902129D"/>
    <w:rsid w:val="79041B0C"/>
    <w:rsid w:val="790E0697"/>
    <w:rsid w:val="791414FE"/>
    <w:rsid w:val="79156351"/>
    <w:rsid w:val="7918F15A"/>
    <w:rsid w:val="791D4FFF"/>
    <w:rsid w:val="7927C788"/>
    <w:rsid w:val="79347E9D"/>
    <w:rsid w:val="79358198"/>
    <w:rsid w:val="79390F04"/>
    <w:rsid w:val="793E52C5"/>
    <w:rsid w:val="794061CD"/>
    <w:rsid w:val="794E5774"/>
    <w:rsid w:val="794FE862"/>
    <w:rsid w:val="7952062D"/>
    <w:rsid w:val="7959F684"/>
    <w:rsid w:val="795AE72B"/>
    <w:rsid w:val="795DC7B5"/>
    <w:rsid w:val="795E776A"/>
    <w:rsid w:val="79601B2B"/>
    <w:rsid w:val="7964777F"/>
    <w:rsid w:val="7965E548"/>
    <w:rsid w:val="7968B85C"/>
    <w:rsid w:val="79746736"/>
    <w:rsid w:val="7976F642"/>
    <w:rsid w:val="79770FC9"/>
    <w:rsid w:val="7977DA68"/>
    <w:rsid w:val="797BEC52"/>
    <w:rsid w:val="797F87EB"/>
    <w:rsid w:val="798AE751"/>
    <w:rsid w:val="798EE309"/>
    <w:rsid w:val="7997E2D6"/>
    <w:rsid w:val="7999468A"/>
    <w:rsid w:val="79999749"/>
    <w:rsid w:val="799EAAE0"/>
    <w:rsid w:val="799FAB3E"/>
    <w:rsid w:val="79A0BFAF"/>
    <w:rsid w:val="79A2C0FA"/>
    <w:rsid w:val="79A7CB7F"/>
    <w:rsid w:val="79A87CA2"/>
    <w:rsid w:val="79A8B42D"/>
    <w:rsid w:val="79AA4955"/>
    <w:rsid w:val="79AF0295"/>
    <w:rsid w:val="79B2AC9C"/>
    <w:rsid w:val="79B8945E"/>
    <w:rsid w:val="79CAC7EA"/>
    <w:rsid w:val="79CD376A"/>
    <w:rsid w:val="79CD8178"/>
    <w:rsid w:val="79D0E57F"/>
    <w:rsid w:val="79D4DA81"/>
    <w:rsid w:val="79D634B2"/>
    <w:rsid w:val="79D73B43"/>
    <w:rsid w:val="79D75655"/>
    <w:rsid w:val="79D7C62F"/>
    <w:rsid w:val="79DC3620"/>
    <w:rsid w:val="79DE0FB7"/>
    <w:rsid w:val="79DFFFCB"/>
    <w:rsid w:val="79E20F54"/>
    <w:rsid w:val="79E2F2D4"/>
    <w:rsid w:val="79E72B61"/>
    <w:rsid w:val="79EE03EF"/>
    <w:rsid w:val="79F589C2"/>
    <w:rsid w:val="79F842ED"/>
    <w:rsid w:val="79FC5FB7"/>
    <w:rsid w:val="7A046AB4"/>
    <w:rsid w:val="7A08C0B4"/>
    <w:rsid w:val="7A0E6E0C"/>
    <w:rsid w:val="7A0E8812"/>
    <w:rsid w:val="7A138975"/>
    <w:rsid w:val="7A1D7208"/>
    <w:rsid w:val="7A2316E9"/>
    <w:rsid w:val="7A248055"/>
    <w:rsid w:val="7A26C802"/>
    <w:rsid w:val="7A3EB495"/>
    <w:rsid w:val="7A403F87"/>
    <w:rsid w:val="7A41AC53"/>
    <w:rsid w:val="7A469D6F"/>
    <w:rsid w:val="7A47E94D"/>
    <w:rsid w:val="7A4B1A32"/>
    <w:rsid w:val="7A4C971D"/>
    <w:rsid w:val="7A4E2E3E"/>
    <w:rsid w:val="7A54C5D7"/>
    <w:rsid w:val="7A586F2C"/>
    <w:rsid w:val="7A59F42A"/>
    <w:rsid w:val="7A5E834B"/>
    <w:rsid w:val="7A5FAD9C"/>
    <w:rsid w:val="7A60CFE4"/>
    <w:rsid w:val="7A623E5A"/>
    <w:rsid w:val="7A626554"/>
    <w:rsid w:val="7A6960B8"/>
    <w:rsid w:val="7A699A03"/>
    <w:rsid w:val="7A714F02"/>
    <w:rsid w:val="7A732630"/>
    <w:rsid w:val="7A7C9345"/>
    <w:rsid w:val="7A7F47F6"/>
    <w:rsid w:val="7A8140F8"/>
    <w:rsid w:val="7A82EC93"/>
    <w:rsid w:val="7A844961"/>
    <w:rsid w:val="7A890C64"/>
    <w:rsid w:val="7A8A58DD"/>
    <w:rsid w:val="7A8A9F71"/>
    <w:rsid w:val="7A8C3871"/>
    <w:rsid w:val="7A967175"/>
    <w:rsid w:val="7A9A5CFA"/>
    <w:rsid w:val="7A9D7137"/>
    <w:rsid w:val="7A9F346C"/>
    <w:rsid w:val="7AA04F05"/>
    <w:rsid w:val="7AA44112"/>
    <w:rsid w:val="7AA5508E"/>
    <w:rsid w:val="7AB1520A"/>
    <w:rsid w:val="7AB643A6"/>
    <w:rsid w:val="7AB97B9D"/>
    <w:rsid w:val="7ABDBF59"/>
    <w:rsid w:val="7ABE44F0"/>
    <w:rsid w:val="7ABFB8D2"/>
    <w:rsid w:val="7AC3248B"/>
    <w:rsid w:val="7AC52582"/>
    <w:rsid w:val="7AC83316"/>
    <w:rsid w:val="7AC9679B"/>
    <w:rsid w:val="7AC9A611"/>
    <w:rsid w:val="7AD954F0"/>
    <w:rsid w:val="7ADA54B2"/>
    <w:rsid w:val="7ADB6C2D"/>
    <w:rsid w:val="7AE06559"/>
    <w:rsid w:val="7AE40453"/>
    <w:rsid w:val="7AE62EF0"/>
    <w:rsid w:val="7AE6CA1B"/>
    <w:rsid w:val="7AE9A9BD"/>
    <w:rsid w:val="7AEA5DB0"/>
    <w:rsid w:val="7AEBED7A"/>
    <w:rsid w:val="7AF293BA"/>
    <w:rsid w:val="7AF2C277"/>
    <w:rsid w:val="7AF7CA93"/>
    <w:rsid w:val="7AF7F39D"/>
    <w:rsid w:val="7AF9B1C6"/>
    <w:rsid w:val="7AFA97DD"/>
    <w:rsid w:val="7AFFFE62"/>
    <w:rsid w:val="7B018EAD"/>
    <w:rsid w:val="7B0B704F"/>
    <w:rsid w:val="7B0E47EA"/>
    <w:rsid w:val="7B0E795F"/>
    <w:rsid w:val="7B10BF9D"/>
    <w:rsid w:val="7B124AB6"/>
    <w:rsid w:val="7B12F231"/>
    <w:rsid w:val="7B134E18"/>
    <w:rsid w:val="7B137EE3"/>
    <w:rsid w:val="7B147D30"/>
    <w:rsid w:val="7B16077D"/>
    <w:rsid w:val="7B1DC1C9"/>
    <w:rsid w:val="7B1F43DD"/>
    <w:rsid w:val="7B211543"/>
    <w:rsid w:val="7B250731"/>
    <w:rsid w:val="7B2767B3"/>
    <w:rsid w:val="7B331628"/>
    <w:rsid w:val="7B37A2B9"/>
    <w:rsid w:val="7B3A2702"/>
    <w:rsid w:val="7B3C4786"/>
    <w:rsid w:val="7B3C7C9F"/>
    <w:rsid w:val="7B444C94"/>
    <w:rsid w:val="7B481F6D"/>
    <w:rsid w:val="7B4B8019"/>
    <w:rsid w:val="7B4C209F"/>
    <w:rsid w:val="7B53B0CF"/>
    <w:rsid w:val="7B53F14D"/>
    <w:rsid w:val="7B5728F9"/>
    <w:rsid w:val="7B5816CE"/>
    <w:rsid w:val="7B589D18"/>
    <w:rsid w:val="7B5DD6DB"/>
    <w:rsid w:val="7B630234"/>
    <w:rsid w:val="7B64D4F6"/>
    <w:rsid w:val="7B6E6E81"/>
    <w:rsid w:val="7B71D3F6"/>
    <w:rsid w:val="7B72F80F"/>
    <w:rsid w:val="7B742E19"/>
    <w:rsid w:val="7B7A9693"/>
    <w:rsid w:val="7B7EAB22"/>
    <w:rsid w:val="7B7FF34B"/>
    <w:rsid w:val="7B805080"/>
    <w:rsid w:val="7B854EAD"/>
    <w:rsid w:val="7B8A042D"/>
    <w:rsid w:val="7B8ADEED"/>
    <w:rsid w:val="7B8BD940"/>
    <w:rsid w:val="7B94584E"/>
    <w:rsid w:val="7B9A51C0"/>
    <w:rsid w:val="7B9C9F13"/>
    <w:rsid w:val="7B9E6F30"/>
    <w:rsid w:val="7BAA099D"/>
    <w:rsid w:val="7BB3CE91"/>
    <w:rsid w:val="7BB48D1A"/>
    <w:rsid w:val="7BB881C3"/>
    <w:rsid w:val="7BBC24F8"/>
    <w:rsid w:val="7BBC74C6"/>
    <w:rsid w:val="7BBF22D7"/>
    <w:rsid w:val="7BC8911A"/>
    <w:rsid w:val="7BD8BE07"/>
    <w:rsid w:val="7BDB0208"/>
    <w:rsid w:val="7BDDA15B"/>
    <w:rsid w:val="7BE019FA"/>
    <w:rsid w:val="7BE10044"/>
    <w:rsid w:val="7BE1188D"/>
    <w:rsid w:val="7BE21763"/>
    <w:rsid w:val="7BE99979"/>
    <w:rsid w:val="7BEDAACB"/>
    <w:rsid w:val="7BF3E017"/>
    <w:rsid w:val="7BF53E83"/>
    <w:rsid w:val="7BF5779B"/>
    <w:rsid w:val="7BFB220C"/>
    <w:rsid w:val="7C00E192"/>
    <w:rsid w:val="7C014A09"/>
    <w:rsid w:val="7C05996E"/>
    <w:rsid w:val="7C0B0ADB"/>
    <w:rsid w:val="7C0D2B5C"/>
    <w:rsid w:val="7C185540"/>
    <w:rsid w:val="7C25651B"/>
    <w:rsid w:val="7C26ED49"/>
    <w:rsid w:val="7C283F51"/>
    <w:rsid w:val="7C29A9B9"/>
    <w:rsid w:val="7C2E86B3"/>
    <w:rsid w:val="7C372C93"/>
    <w:rsid w:val="7C37814C"/>
    <w:rsid w:val="7C387000"/>
    <w:rsid w:val="7C390696"/>
    <w:rsid w:val="7C3BF9AB"/>
    <w:rsid w:val="7C3E0F0B"/>
    <w:rsid w:val="7C41B6AD"/>
    <w:rsid w:val="7C4259E1"/>
    <w:rsid w:val="7C495574"/>
    <w:rsid w:val="7C550279"/>
    <w:rsid w:val="7C56C7C6"/>
    <w:rsid w:val="7C598C69"/>
    <w:rsid w:val="7C5ACB47"/>
    <w:rsid w:val="7C64FF30"/>
    <w:rsid w:val="7C65C25D"/>
    <w:rsid w:val="7C6BC97A"/>
    <w:rsid w:val="7C6DC452"/>
    <w:rsid w:val="7C6F5DC1"/>
    <w:rsid w:val="7C739A48"/>
    <w:rsid w:val="7C7D3A24"/>
    <w:rsid w:val="7C7D4CDE"/>
    <w:rsid w:val="7C8395DA"/>
    <w:rsid w:val="7C863E63"/>
    <w:rsid w:val="7C8B7CF7"/>
    <w:rsid w:val="7C8D3A7A"/>
    <w:rsid w:val="7C90A60B"/>
    <w:rsid w:val="7C920312"/>
    <w:rsid w:val="7C92EC1D"/>
    <w:rsid w:val="7C9515E5"/>
    <w:rsid w:val="7C973E42"/>
    <w:rsid w:val="7C9CBC11"/>
    <w:rsid w:val="7C9E2EC9"/>
    <w:rsid w:val="7CA0A031"/>
    <w:rsid w:val="7CA1DDBC"/>
    <w:rsid w:val="7CA1FC3F"/>
    <w:rsid w:val="7CB30ED3"/>
    <w:rsid w:val="7CB63309"/>
    <w:rsid w:val="7CB9E4D4"/>
    <w:rsid w:val="7CBDD6A3"/>
    <w:rsid w:val="7CC507DB"/>
    <w:rsid w:val="7CD10EE9"/>
    <w:rsid w:val="7CDCAE76"/>
    <w:rsid w:val="7CE16B48"/>
    <w:rsid w:val="7CE31359"/>
    <w:rsid w:val="7CE773BF"/>
    <w:rsid w:val="7CE9283B"/>
    <w:rsid w:val="7CEE8BFB"/>
    <w:rsid w:val="7CEEBC06"/>
    <w:rsid w:val="7CF021E4"/>
    <w:rsid w:val="7CF1858B"/>
    <w:rsid w:val="7CF2501A"/>
    <w:rsid w:val="7CFC2C26"/>
    <w:rsid w:val="7CFDD573"/>
    <w:rsid w:val="7D01750B"/>
    <w:rsid w:val="7D0528C7"/>
    <w:rsid w:val="7D09CC26"/>
    <w:rsid w:val="7D0FAE26"/>
    <w:rsid w:val="7D17FB9A"/>
    <w:rsid w:val="7D1AFD03"/>
    <w:rsid w:val="7D21BF15"/>
    <w:rsid w:val="7D29FF2C"/>
    <w:rsid w:val="7D2C4F3E"/>
    <w:rsid w:val="7D2C7F97"/>
    <w:rsid w:val="7D32C80C"/>
    <w:rsid w:val="7D3DB9B8"/>
    <w:rsid w:val="7D3DC0B6"/>
    <w:rsid w:val="7D3DFBF4"/>
    <w:rsid w:val="7D4298FD"/>
    <w:rsid w:val="7D43D5BE"/>
    <w:rsid w:val="7D4B683F"/>
    <w:rsid w:val="7D4C2D6E"/>
    <w:rsid w:val="7D4FFE59"/>
    <w:rsid w:val="7D548685"/>
    <w:rsid w:val="7D54E3DF"/>
    <w:rsid w:val="7D5E1346"/>
    <w:rsid w:val="7D612395"/>
    <w:rsid w:val="7D62F24D"/>
    <w:rsid w:val="7D63C4E6"/>
    <w:rsid w:val="7D642F69"/>
    <w:rsid w:val="7D67CDC6"/>
    <w:rsid w:val="7D6A69A0"/>
    <w:rsid w:val="7D6AFC5E"/>
    <w:rsid w:val="7D6EA25F"/>
    <w:rsid w:val="7D726C75"/>
    <w:rsid w:val="7D8104D3"/>
    <w:rsid w:val="7D83534C"/>
    <w:rsid w:val="7D83C5DC"/>
    <w:rsid w:val="7D858874"/>
    <w:rsid w:val="7D86349A"/>
    <w:rsid w:val="7D869912"/>
    <w:rsid w:val="7D9A209A"/>
    <w:rsid w:val="7D9B7CC9"/>
    <w:rsid w:val="7DA17A94"/>
    <w:rsid w:val="7DA3151F"/>
    <w:rsid w:val="7DAA7EEF"/>
    <w:rsid w:val="7DAC4DFC"/>
    <w:rsid w:val="7DAE5107"/>
    <w:rsid w:val="7DB09339"/>
    <w:rsid w:val="7DB59167"/>
    <w:rsid w:val="7DB65506"/>
    <w:rsid w:val="7DC6B3F0"/>
    <w:rsid w:val="7DC6FD72"/>
    <w:rsid w:val="7DC7CF5A"/>
    <w:rsid w:val="7DCB6AA2"/>
    <w:rsid w:val="7DCE2483"/>
    <w:rsid w:val="7DD55B7C"/>
    <w:rsid w:val="7DDB332C"/>
    <w:rsid w:val="7DEBC787"/>
    <w:rsid w:val="7DEF5D17"/>
    <w:rsid w:val="7DF1C81D"/>
    <w:rsid w:val="7DF79107"/>
    <w:rsid w:val="7DF7C4ED"/>
    <w:rsid w:val="7DF80880"/>
    <w:rsid w:val="7DF8F6EE"/>
    <w:rsid w:val="7DFC4B18"/>
    <w:rsid w:val="7DFD2BE4"/>
    <w:rsid w:val="7DFDD2E9"/>
    <w:rsid w:val="7E01BB5F"/>
    <w:rsid w:val="7E07AB56"/>
    <w:rsid w:val="7E0846D9"/>
    <w:rsid w:val="7E0E5877"/>
    <w:rsid w:val="7E10D5A4"/>
    <w:rsid w:val="7E14AF43"/>
    <w:rsid w:val="7E1A81C7"/>
    <w:rsid w:val="7E1C5EB2"/>
    <w:rsid w:val="7E1D686B"/>
    <w:rsid w:val="7E20ABFE"/>
    <w:rsid w:val="7E2A3D14"/>
    <w:rsid w:val="7E2F804F"/>
    <w:rsid w:val="7E351AC9"/>
    <w:rsid w:val="7E35C641"/>
    <w:rsid w:val="7E3C6759"/>
    <w:rsid w:val="7E3D8D19"/>
    <w:rsid w:val="7E41179A"/>
    <w:rsid w:val="7E42B877"/>
    <w:rsid w:val="7E4451FA"/>
    <w:rsid w:val="7E44665C"/>
    <w:rsid w:val="7E49299E"/>
    <w:rsid w:val="7E4A859F"/>
    <w:rsid w:val="7E4E88FA"/>
    <w:rsid w:val="7E55EB92"/>
    <w:rsid w:val="7E5A838A"/>
    <w:rsid w:val="7E5C52C7"/>
    <w:rsid w:val="7E5FDBC7"/>
    <w:rsid w:val="7E62D546"/>
    <w:rsid w:val="7E64C305"/>
    <w:rsid w:val="7E6A1D15"/>
    <w:rsid w:val="7E6E5E72"/>
    <w:rsid w:val="7E7364C7"/>
    <w:rsid w:val="7E7A6301"/>
    <w:rsid w:val="7E7C2312"/>
    <w:rsid w:val="7E83F134"/>
    <w:rsid w:val="7E8765A3"/>
    <w:rsid w:val="7E87CE95"/>
    <w:rsid w:val="7E88FE60"/>
    <w:rsid w:val="7E89F1E1"/>
    <w:rsid w:val="7E8B4347"/>
    <w:rsid w:val="7E9FF930"/>
    <w:rsid w:val="7EA0756C"/>
    <w:rsid w:val="7EA0A40C"/>
    <w:rsid w:val="7EB67F03"/>
    <w:rsid w:val="7EB7557F"/>
    <w:rsid w:val="7EBED9FB"/>
    <w:rsid w:val="7EC672A4"/>
    <w:rsid w:val="7ECCB2AF"/>
    <w:rsid w:val="7ECD309A"/>
    <w:rsid w:val="7ED000A2"/>
    <w:rsid w:val="7ED2C4DF"/>
    <w:rsid w:val="7ED64521"/>
    <w:rsid w:val="7ED8DA98"/>
    <w:rsid w:val="7ED95140"/>
    <w:rsid w:val="7EDA1828"/>
    <w:rsid w:val="7EDE8BD2"/>
    <w:rsid w:val="7EE242FA"/>
    <w:rsid w:val="7EEC7CDB"/>
    <w:rsid w:val="7EECFFC7"/>
    <w:rsid w:val="7EED609C"/>
    <w:rsid w:val="7EF4EA3C"/>
    <w:rsid w:val="7EF5DD6E"/>
    <w:rsid w:val="7EF8842F"/>
    <w:rsid w:val="7EFD07AE"/>
    <w:rsid w:val="7EFDD1A5"/>
    <w:rsid w:val="7F015AB3"/>
    <w:rsid w:val="7F06D0C3"/>
    <w:rsid w:val="7F087217"/>
    <w:rsid w:val="7F0980C3"/>
    <w:rsid w:val="7F0AFE2B"/>
    <w:rsid w:val="7F0D3E10"/>
    <w:rsid w:val="7F0FE036"/>
    <w:rsid w:val="7F12EF22"/>
    <w:rsid w:val="7F1E2BA3"/>
    <w:rsid w:val="7F1F566D"/>
    <w:rsid w:val="7F226535"/>
    <w:rsid w:val="7F232AA2"/>
    <w:rsid w:val="7F29A48C"/>
    <w:rsid w:val="7F2A5ED4"/>
    <w:rsid w:val="7F2A6367"/>
    <w:rsid w:val="7F2BF362"/>
    <w:rsid w:val="7F2DDA7F"/>
    <w:rsid w:val="7F31628E"/>
    <w:rsid w:val="7F332F52"/>
    <w:rsid w:val="7F36FF79"/>
    <w:rsid w:val="7F39CCE7"/>
    <w:rsid w:val="7F3CB806"/>
    <w:rsid w:val="7F3DB59D"/>
    <w:rsid w:val="7F400606"/>
    <w:rsid w:val="7F408E39"/>
    <w:rsid w:val="7F41A57A"/>
    <w:rsid w:val="7F4336FA"/>
    <w:rsid w:val="7F474AAF"/>
    <w:rsid w:val="7F482778"/>
    <w:rsid w:val="7F49F8C7"/>
    <w:rsid w:val="7F4BF4E9"/>
    <w:rsid w:val="7F4F0B45"/>
    <w:rsid w:val="7F52A2B8"/>
    <w:rsid w:val="7F56A282"/>
    <w:rsid w:val="7F56CA1F"/>
    <w:rsid w:val="7F5ABDC6"/>
    <w:rsid w:val="7F5C86D6"/>
    <w:rsid w:val="7F5F231D"/>
    <w:rsid w:val="7F62939A"/>
    <w:rsid w:val="7F641B6C"/>
    <w:rsid w:val="7F64D9C7"/>
    <w:rsid w:val="7F676724"/>
    <w:rsid w:val="7F68EABB"/>
    <w:rsid w:val="7F6C7ADF"/>
    <w:rsid w:val="7F6FFD27"/>
    <w:rsid w:val="7F71A8A5"/>
    <w:rsid w:val="7F72C60B"/>
    <w:rsid w:val="7F72EE45"/>
    <w:rsid w:val="7F7317FB"/>
    <w:rsid w:val="7F7543E9"/>
    <w:rsid w:val="7F7724AD"/>
    <w:rsid w:val="7F786BDB"/>
    <w:rsid w:val="7F7A0A24"/>
    <w:rsid w:val="7F7C92D5"/>
    <w:rsid w:val="7F7F46E1"/>
    <w:rsid w:val="7F855522"/>
    <w:rsid w:val="7F8735A9"/>
    <w:rsid w:val="7F87D68A"/>
    <w:rsid w:val="7F893135"/>
    <w:rsid w:val="7F927009"/>
    <w:rsid w:val="7F93EA54"/>
    <w:rsid w:val="7F980380"/>
    <w:rsid w:val="7F9C6BA2"/>
    <w:rsid w:val="7F9D10A3"/>
    <w:rsid w:val="7F9F2B25"/>
    <w:rsid w:val="7FA68372"/>
    <w:rsid w:val="7FA75012"/>
    <w:rsid w:val="7FAA7180"/>
    <w:rsid w:val="7FAB82D3"/>
    <w:rsid w:val="7FADEA14"/>
    <w:rsid w:val="7FAFF178"/>
    <w:rsid w:val="7FB28CD8"/>
    <w:rsid w:val="7FB4633A"/>
    <w:rsid w:val="7FBAA9A3"/>
    <w:rsid w:val="7FBCC644"/>
    <w:rsid w:val="7FC06050"/>
    <w:rsid w:val="7FC1CDC1"/>
    <w:rsid w:val="7FC3054A"/>
    <w:rsid w:val="7FC97A11"/>
    <w:rsid w:val="7FCB313F"/>
    <w:rsid w:val="7FD6C22D"/>
    <w:rsid w:val="7FD9386B"/>
    <w:rsid w:val="7FDB7B0E"/>
    <w:rsid w:val="7FDD1893"/>
    <w:rsid w:val="7FDD256D"/>
    <w:rsid w:val="7FE5A52E"/>
    <w:rsid w:val="7FE7C756"/>
    <w:rsid w:val="7FEB1312"/>
    <w:rsid w:val="7FEF3C1B"/>
    <w:rsid w:val="7FF1CB35"/>
    <w:rsid w:val="7FF393AD"/>
    <w:rsid w:val="7FF6E6D4"/>
    <w:rsid w:val="7FF74977"/>
    <w:rsid w:val="7FF86387"/>
    <w:rsid w:val="7FF8D8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983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593"/>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C97082"/>
    <w:pPr>
      <w:keepNext/>
      <w:keepLines/>
      <w:widowControl/>
      <w:numPr>
        <w:numId w:val="47"/>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460593"/>
    <w:pPr>
      <w:keepNext/>
      <w:keepLines/>
      <w:widowControl/>
      <w:numPr>
        <w:ilvl w:val="1"/>
        <w:numId w:val="47"/>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460593"/>
    <w:pPr>
      <w:keepNext/>
      <w:keepLines/>
      <w:widowControl/>
      <w:numPr>
        <w:ilvl w:val="2"/>
        <w:numId w:val="47"/>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460593"/>
    <w:pPr>
      <w:keepNext/>
      <w:keepLines/>
      <w:widowControl/>
      <w:numPr>
        <w:ilvl w:val="3"/>
        <w:numId w:val="47"/>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460593"/>
    <w:pPr>
      <w:keepNext/>
      <w:keepLines/>
      <w:widowControl/>
      <w:numPr>
        <w:ilvl w:val="4"/>
        <w:numId w:val="47"/>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460593"/>
    <w:pPr>
      <w:keepNext/>
      <w:keepLines/>
      <w:widowControl/>
      <w:numPr>
        <w:ilvl w:val="5"/>
        <w:numId w:val="47"/>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460593"/>
    <w:pPr>
      <w:keepNext/>
      <w:keepLines/>
      <w:widowControl/>
      <w:numPr>
        <w:ilvl w:val="6"/>
        <w:numId w:val="47"/>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460593"/>
    <w:pPr>
      <w:keepNext/>
      <w:keepLines/>
      <w:widowControl/>
      <w:numPr>
        <w:ilvl w:val="7"/>
        <w:numId w:val="47"/>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460593"/>
    <w:pPr>
      <w:keepNext/>
      <w:keepLines/>
      <w:widowControl/>
      <w:numPr>
        <w:ilvl w:val="8"/>
        <w:numId w:val="47"/>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60593"/>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60593"/>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60593"/>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60593"/>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60593"/>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60593"/>
    <w:pPr>
      <w:tabs>
        <w:tab w:val="right" w:leader="dot" w:pos="9360"/>
      </w:tabs>
      <w:ind w:left="1440"/>
    </w:pPr>
    <w:rPr>
      <w:rFonts w:eastAsia="Times New Roman"/>
      <w:szCs w:val="26"/>
    </w:rPr>
  </w:style>
  <w:style w:type="paragraph" w:customStyle="1" w:styleId="myTOC7">
    <w:name w:val="myTOC 7"/>
    <w:basedOn w:val="Normal"/>
    <w:next w:val="Normal"/>
    <w:rsid w:val="00460593"/>
    <w:pPr>
      <w:tabs>
        <w:tab w:val="right" w:leader="dot" w:pos="9360"/>
      </w:tabs>
      <w:ind w:left="1728"/>
    </w:pPr>
    <w:rPr>
      <w:rFonts w:eastAsia="Times New Roman"/>
      <w:szCs w:val="26"/>
    </w:rPr>
  </w:style>
  <w:style w:type="paragraph" w:customStyle="1" w:styleId="myTOC8">
    <w:name w:val="myTOC 8"/>
    <w:basedOn w:val="Normal"/>
    <w:next w:val="Normal"/>
    <w:rsid w:val="00460593"/>
    <w:pPr>
      <w:tabs>
        <w:tab w:val="right" w:leader="dot" w:pos="9360"/>
      </w:tabs>
      <w:ind w:left="2016"/>
    </w:pPr>
    <w:rPr>
      <w:rFonts w:eastAsia="Times New Roman"/>
      <w:szCs w:val="26"/>
    </w:rPr>
  </w:style>
  <w:style w:type="paragraph" w:customStyle="1" w:styleId="myTOC9">
    <w:name w:val="myTOC 9"/>
    <w:basedOn w:val="Normal"/>
    <w:next w:val="Normal"/>
    <w:rsid w:val="00460593"/>
    <w:pPr>
      <w:tabs>
        <w:tab w:val="right" w:leader="dot" w:pos="9360"/>
      </w:tabs>
      <w:ind w:left="2304"/>
    </w:pPr>
    <w:rPr>
      <w:rFonts w:eastAsia="Times New Roman"/>
      <w:szCs w:val="26"/>
    </w:rPr>
  </w:style>
  <w:style w:type="paragraph" w:customStyle="1" w:styleId="Non-TOCStyle">
    <w:name w:val="Non-TOC Style"/>
    <w:basedOn w:val="Normal"/>
    <w:next w:val="FERCparanumber"/>
    <w:rsid w:val="00C97082"/>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460593"/>
    <w:rPr>
      <w:rFonts w:ascii="Arial" w:hAnsi="Arial" w:cs="Arial"/>
      <w:sz w:val="20"/>
      <w:szCs w:val="18"/>
    </w:rPr>
  </w:style>
  <w:style w:type="character" w:customStyle="1" w:styleId="BalloonTextChar">
    <w:name w:val="Balloon Text Char"/>
    <w:basedOn w:val="DefaultParagraphFont"/>
    <w:link w:val="BalloonText"/>
    <w:uiPriority w:val="99"/>
    <w:semiHidden/>
    <w:rsid w:val="00460593"/>
    <w:rPr>
      <w:rFonts w:ascii="Arial" w:hAnsi="Arial" w:cs="Arial"/>
      <w:sz w:val="20"/>
      <w:szCs w:val="18"/>
    </w:rPr>
  </w:style>
  <w:style w:type="paragraph" w:styleId="Bibliography">
    <w:name w:val="Bibliography"/>
    <w:basedOn w:val="Normal"/>
    <w:next w:val="Normal"/>
    <w:uiPriority w:val="37"/>
    <w:semiHidden/>
    <w:unhideWhenUsed/>
    <w:rsid w:val="00460593"/>
  </w:style>
  <w:style w:type="paragraph" w:styleId="BlockText">
    <w:name w:val="Block Text"/>
    <w:basedOn w:val="Normal"/>
    <w:uiPriority w:val="99"/>
    <w:semiHidden/>
    <w:unhideWhenUsed/>
    <w:rsid w:val="0046059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460593"/>
    <w:pPr>
      <w:spacing w:after="240"/>
      <w:ind w:firstLine="720"/>
    </w:pPr>
  </w:style>
  <w:style w:type="character" w:customStyle="1" w:styleId="BodyTextChar">
    <w:name w:val="Body Text Char"/>
    <w:basedOn w:val="DefaultParagraphFont"/>
    <w:link w:val="BodyText"/>
    <w:uiPriority w:val="99"/>
    <w:rsid w:val="00460593"/>
    <w:rPr>
      <w:rFonts w:ascii="Times New Roman" w:hAnsi="Times New Roman" w:cs="Times New Roman"/>
      <w:sz w:val="26"/>
    </w:rPr>
  </w:style>
  <w:style w:type="paragraph" w:styleId="BodyText2">
    <w:name w:val="Body Text 2"/>
    <w:basedOn w:val="Normal"/>
    <w:link w:val="BodyText2Char"/>
    <w:uiPriority w:val="99"/>
    <w:semiHidden/>
    <w:unhideWhenUsed/>
    <w:rsid w:val="00460593"/>
    <w:pPr>
      <w:spacing w:after="120" w:line="480" w:lineRule="auto"/>
    </w:pPr>
  </w:style>
  <w:style w:type="character" w:customStyle="1" w:styleId="BodyText2Char">
    <w:name w:val="Body Text 2 Char"/>
    <w:basedOn w:val="DefaultParagraphFont"/>
    <w:link w:val="BodyText2"/>
    <w:uiPriority w:val="99"/>
    <w:semiHidden/>
    <w:rsid w:val="00460593"/>
    <w:rPr>
      <w:rFonts w:ascii="Times New Roman" w:hAnsi="Times New Roman" w:cs="Times New Roman"/>
      <w:sz w:val="26"/>
    </w:rPr>
  </w:style>
  <w:style w:type="paragraph" w:styleId="BodyText3">
    <w:name w:val="Body Text 3"/>
    <w:basedOn w:val="Normal"/>
    <w:link w:val="BodyText3Char"/>
    <w:uiPriority w:val="99"/>
    <w:semiHidden/>
    <w:unhideWhenUsed/>
    <w:rsid w:val="00460593"/>
    <w:pPr>
      <w:spacing w:after="120"/>
    </w:pPr>
    <w:rPr>
      <w:sz w:val="16"/>
      <w:szCs w:val="16"/>
    </w:rPr>
  </w:style>
  <w:style w:type="character" w:customStyle="1" w:styleId="BodyText3Char">
    <w:name w:val="Body Text 3 Char"/>
    <w:basedOn w:val="DefaultParagraphFont"/>
    <w:link w:val="BodyText3"/>
    <w:uiPriority w:val="99"/>
    <w:semiHidden/>
    <w:rsid w:val="00460593"/>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60593"/>
    <w:pPr>
      <w:spacing w:after="160"/>
      <w:ind w:firstLine="360"/>
    </w:pPr>
  </w:style>
  <w:style w:type="character" w:customStyle="1" w:styleId="BodyTextFirstIndentChar">
    <w:name w:val="Body Text First Indent Char"/>
    <w:basedOn w:val="BodyTextChar"/>
    <w:link w:val="BodyTextFirstIndent"/>
    <w:uiPriority w:val="99"/>
    <w:semiHidden/>
    <w:rsid w:val="00460593"/>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60593"/>
    <w:pPr>
      <w:spacing w:after="120"/>
      <w:ind w:left="360"/>
    </w:pPr>
  </w:style>
  <w:style w:type="character" w:customStyle="1" w:styleId="BodyTextIndentChar">
    <w:name w:val="Body Text Indent Char"/>
    <w:basedOn w:val="DefaultParagraphFont"/>
    <w:link w:val="BodyTextIndent"/>
    <w:uiPriority w:val="99"/>
    <w:semiHidden/>
    <w:rsid w:val="00460593"/>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60593"/>
    <w:pPr>
      <w:spacing w:after="160"/>
      <w:ind w:firstLine="360"/>
    </w:pPr>
  </w:style>
  <w:style w:type="character" w:customStyle="1" w:styleId="BodyTextFirstIndent2Char">
    <w:name w:val="Body Text First Indent 2 Char"/>
    <w:basedOn w:val="BodyTextIndentChar"/>
    <w:link w:val="BodyTextFirstIndent2"/>
    <w:uiPriority w:val="99"/>
    <w:semiHidden/>
    <w:rsid w:val="00460593"/>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60593"/>
    <w:pPr>
      <w:spacing w:after="120" w:line="480" w:lineRule="auto"/>
      <w:ind w:left="360"/>
    </w:pPr>
  </w:style>
  <w:style w:type="character" w:customStyle="1" w:styleId="BodyTextIndent2Char">
    <w:name w:val="Body Text Indent 2 Char"/>
    <w:basedOn w:val="DefaultParagraphFont"/>
    <w:link w:val="BodyTextIndent2"/>
    <w:uiPriority w:val="99"/>
    <w:semiHidden/>
    <w:rsid w:val="00460593"/>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605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0593"/>
    <w:rPr>
      <w:rFonts w:ascii="Times New Roman" w:hAnsi="Times New Roman" w:cs="Times New Roman"/>
      <w:sz w:val="16"/>
      <w:szCs w:val="16"/>
    </w:rPr>
  </w:style>
  <w:style w:type="paragraph" w:styleId="Caption">
    <w:name w:val="caption"/>
    <w:basedOn w:val="Normal"/>
    <w:next w:val="Normal"/>
    <w:uiPriority w:val="35"/>
    <w:semiHidden/>
    <w:unhideWhenUsed/>
    <w:qFormat/>
    <w:rsid w:val="00460593"/>
    <w:pPr>
      <w:spacing w:after="200"/>
    </w:pPr>
    <w:rPr>
      <w:iCs/>
      <w:szCs w:val="18"/>
    </w:rPr>
  </w:style>
  <w:style w:type="paragraph" w:styleId="Closing">
    <w:name w:val="Closing"/>
    <w:basedOn w:val="Normal"/>
    <w:link w:val="ClosingChar"/>
    <w:uiPriority w:val="99"/>
    <w:semiHidden/>
    <w:unhideWhenUsed/>
    <w:rsid w:val="00460593"/>
    <w:pPr>
      <w:ind w:left="4320"/>
    </w:pPr>
  </w:style>
  <w:style w:type="character" w:customStyle="1" w:styleId="ClosingChar">
    <w:name w:val="Closing Char"/>
    <w:basedOn w:val="DefaultParagraphFont"/>
    <w:link w:val="Closing"/>
    <w:uiPriority w:val="99"/>
    <w:semiHidden/>
    <w:rsid w:val="00460593"/>
    <w:rPr>
      <w:rFonts w:ascii="Times New Roman" w:hAnsi="Times New Roman" w:cs="Times New Roman"/>
      <w:sz w:val="26"/>
    </w:rPr>
  </w:style>
  <w:style w:type="paragraph" w:styleId="CommentText">
    <w:name w:val="annotation text"/>
    <w:basedOn w:val="Normal"/>
    <w:link w:val="CommentTextChar"/>
    <w:unhideWhenUsed/>
    <w:rsid w:val="00460593"/>
    <w:rPr>
      <w:rFonts w:ascii="Arial" w:hAnsi="Arial" w:cs="Arial"/>
      <w:sz w:val="20"/>
      <w:szCs w:val="20"/>
    </w:rPr>
  </w:style>
  <w:style w:type="character" w:customStyle="1" w:styleId="CommentTextChar">
    <w:name w:val="Comment Text Char"/>
    <w:basedOn w:val="DefaultParagraphFont"/>
    <w:link w:val="CommentText"/>
    <w:rsid w:val="004605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60593"/>
    <w:rPr>
      <w:b/>
      <w:bCs/>
    </w:rPr>
  </w:style>
  <w:style w:type="character" w:customStyle="1" w:styleId="CommentSubjectChar">
    <w:name w:val="Comment Subject Char"/>
    <w:basedOn w:val="CommentTextChar"/>
    <w:link w:val="CommentSubject"/>
    <w:uiPriority w:val="99"/>
    <w:semiHidden/>
    <w:rsid w:val="00460593"/>
    <w:rPr>
      <w:rFonts w:ascii="Arial" w:hAnsi="Arial" w:cs="Arial"/>
      <w:b/>
      <w:bCs/>
      <w:sz w:val="20"/>
      <w:szCs w:val="20"/>
    </w:rPr>
  </w:style>
  <w:style w:type="paragraph" w:styleId="Date">
    <w:name w:val="Date"/>
    <w:basedOn w:val="Normal"/>
    <w:next w:val="Normal"/>
    <w:link w:val="DateChar"/>
    <w:uiPriority w:val="99"/>
    <w:semiHidden/>
    <w:unhideWhenUsed/>
    <w:rsid w:val="00460593"/>
  </w:style>
  <w:style w:type="character" w:customStyle="1" w:styleId="DateChar">
    <w:name w:val="Date Char"/>
    <w:basedOn w:val="DefaultParagraphFont"/>
    <w:link w:val="Date"/>
    <w:uiPriority w:val="99"/>
    <w:semiHidden/>
    <w:rsid w:val="00460593"/>
    <w:rPr>
      <w:rFonts w:ascii="Times New Roman" w:hAnsi="Times New Roman" w:cs="Times New Roman"/>
      <w:sz w:val="26"/>
    </w:rPr>
  </w:style>
  <w:style w:type="paragraph" w:styleId="DocumentMap">
    <w:name w:val="Document Map"/>
    <w:basedOn w:val="Normal"/>
    <w:link w:val="DocumentMapChar"/>
    <w:uiPriority w:val="99"/>
    <w:semiHidden/>
    <w:unhideWhenUsed/>
    <w:rsid w:val="0046059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0593"/>
    <w:rPr>
      <w:rFonts w:ascii="Segoe UI" w:hAnsi="Segoe UI" w:cs="Segoe UI"/>
      <w:sz w:val="16"/>
      <w:szCs w:val="16"/>
    </w:rPr>
  </w:style>
  <w:style w:type="paragraph" w:styleId="E-mailSignature">
    <w:name w:val="E-mail Signature"/>
    <w:basedOn w:val="Normal"/>
    <w:link w:val="E-mailSignatureChar"/>
    <w:uiPriority w:val="99"/>
    <w:semiHidden/>
    <w:unhideWhenUsed/>
    <w:rsid w:val="00460593"/>
  </w:style>
  <w:style w:type="character" w:customStyle="1" w:styleId="E-mailSignatureChar">
    <w:name w:val="E-mail Signature Char"/>
    <w:basedOn w:val="DefaultParagraphFont"/>
    <w:link w:val="E-mailSignature"/>
    <w:uiPriority w:val="99"/>
    <w:semiHidden/>
    <w:rsid w:val="00460593"/>
    <w:rPr>
      <w:rFonts w:ascii="Times New Roman" w:hAnsi="Times New Roman" w:cs="Times New Roman"/>
      <w:sz w:val="26"/>
    </w:rPr>
  </w:style>
  <w:style w:type="paragraph" w:styleId="EndnoteText">
    <w:name w:val="endnote text"/>
    <w:basedOn w:val="Normal"/>
    <w:link w:val="EndnoteTextChar"/>
    <w:uiPriority w:val="99"/>
    <w:semiHidden/>
    <w:unhideWhenUsed/>
    <w:rsid w:val="00460593"/>
    <w:rPr>
      <w:sz w:val="20"/>
      <w:szCs w:val="20"/>
    </w:rPr>
  </w:style>
  <w:style w:type="character" w:customStyle="1" w:styleId="EndnoteTextChar">
    <w:name w:val="Endnote Text Char"/>
    <w:basedOn w:val="DefaultParagraphFont"/>
    <w:link w:val="EndnoteText"/>
    <w:uiPriority w:val="99"/>
    <w:semiHidden/>
    <w:rsid w:val="00460593"/>
    <w:rPr>
      <w:rFonts w:ascii="Times New Roman" w:hAnsi="Times New Roman" w:cs="Times New Roman"/>
      <w:sz w:val="20"/>
      <w:szCs w:val="20"/>
    </w:rPr>
  </w:style>
  <w:style w:type="paragraph" w:styleId="EnvelopeAddress">
    <w:name w:val="envelope address"/>
    <w:basedOn w:val="Normal"/>
    <w:uiPriority w:val="99"/>
    <w:semiHidden/>
    <w:unhideWhenUsed/>
    <w:rsid w:val="00C9708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059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60593"/>
    <w:pPr>
      <w:tabs>
        <w:tab w:val="center" w:pos="4680"/>
        <w:tab w:val="right" w:pos="9360"/>
      </w:tabs>
    </w:pPr>
  </w:style>
  <w:style w:type="character" w:customStyle="1" w:styleId="FooterChar">
    <w:name w:val="Footer Char"/>
    <w:basedOn w:val="DefaultParagraphFont"/>
    <w:link w:val="Footer"/>
    <w:uiPriority w:val="99"/>
    <w:rsid w:val="00460593"/>
    <w:rPr>
      <w:rFonts w:ascii="Times New Roman" w:hAnsi="Times New Roman" w:cs="Times New Roman"/>
      <w:sz w:val="26"/>
    </w:rPr>
  </w:style>
  <w:style w:type="paragraph" w:styleId="Header">
    <w:name w:val="header"/>
    <w:basedOn w:val="Normal"/>
    <w:link w:val="HeaderChar"/>
    <w:uiPriority w:val="99"/>
    <w:unhideWhenUsed/>
    <w:rsid w:val="00460593"/>
    <w:pPr>
      <w:tabs>
        <w:tab w:val="center" w:pos="4680"/>
        <w:tab w:val="right" w:pos="9360"/>
      </w:tabs>
    </w:pPr>
  </w:style>
  <w:style w:type="character" w:customStyle="1" w:styleId="HeaderChar">
    <w:name w:val="Header Char"/>
    <w:basedOn w:val="DefaultParagraphFont"/>
    <w:link w:val="Header"/>
    <w:uiPriority w:val="99"/>
    <w:rsid w:val="00460593"/>
    <w:rPr>
      <w:rFonts w:ascii="Times New Roman" w:hAnsi="Times New Roman" w:cs="Times New Roman"/>
      <w:sz w:val="26"/>
    </w:rPr>
  </w:style>
  <w:style w:type="paragraph" w:styleId="HTMLAddress">
    <w:name w:val="HTML Address"/>
    <w:basedOn w:val="Normal"/>
    <w:link w:val="HTMLAddressChar"/>
    <w:uiPriority w:val="99"/>
    <w:semiHidden/>
    <w:unhideWhenUsed/>
    <w:rsid w:val="00460593"/>
    <w:rPr>
      <w:i/>
      <w:iCs/>
    </w:rPr>
  </w:style>
  <w:style w:type="character" w:customStyle="1" w:styleId="HTMLAddressChar">
    <w:name w:val="HTML Address Char"/>
    <w:basedOn w:val="DefaultParagraphFont"/>
    <w:link w:val="HTMLAddress"/>
    <w:uiPriority w:val="99"/>
    <w:semiHidden/>
    <w:rsid w:val="00460593"/>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6059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60593"/>
    <w:rPr>
      <w:rFonts w:ascii="Consolas" w:hAnsi="Consolas" w:cs="Consolas"/>
      <w:sz w:val="20"/>
      <w:szCs w:val="20"/>
    </w:rPr>
  </w:style>
  <w:style w:type="paragraph" w:styleId="Index1">
    <w:name w:val="index 1"/>
    <w:basedOn w:val="Normal"/>
    <w:next w:val="Normal"/>
    <w:uiPriority w:val="99"/>
    <w:semiHidden/>
    <w:unhideWhenUsed/>
    <w:rsid w:val="00460593"/>
    <w:pPr>
      <w:ind w:left="220" w:hanging="220"/>
    </w:pPr>
  </w:style>
  <w:style w:type="paragraph" w:styleId="Index2">
    <w:name w:val="index 2"/>
    <w:basedOn w:val="Normal"/>
    <w:next w:val="Normal"/>
    <w:uiPriority w:val="99"/>
    <w:semiHidden/>
    <w:unhideWhenUsed/>
    <w:rsid w:val="00460593"/>
    <w:pPr>
      <w:ind w:left="440" w:hanging="220"/>
    </w:pPr>
  </w:style>
  <w:style w:type="paragraph" w:styleId="Index3">
    <w:name w:val="index 3"/>
    <w:basedOn w:val="Normal"/>
    <w:next w:val="Normal"/>
    <w:uiPriority w:val="99"/>
    <w:semiHidden/>
    <w:unhideWhenUsed/>
    <w:rsid w:val="00460593"/>
    <w:pPr>
      <w:ind w:left="660" w:hanging="220"/>
    </w:pPr>
  </w:style>
  <w:style w:type="paragraph" w:styleId="Index4">
    <w:name w:val="index 4"/>
    <w:basedOn w:val="Normal"/>
    <w:next w:val="Normal"/>
    <w:uiPriority w:val="99"/>
    <w:semiHidden/>
    <w:unhideWhenUsed/>
    <w:rsid w:val="00460593"/>
    <w:pPr>
      <w:ind w:left="880" w:hanging="220"/>
    </w:pPr>
  </w:style>
  <w:style w:type="paragraph" w:styleId="Index5">
    <w:name w:val="index 5"/>
    <w:basedOn w:val="Normal"/>
    <w:next w:val="Normal"/>
    <w:uiPriority w:val="99"/>
    <w:semiHidden/>
    <w:unhideWhenUsed/>
    <w:rsid w:val="00460593"/>
    <w:pPr>
      <w:ind w:left="1100" w:hanging="220"/>
    </w:pPr>
  </w:style>
  <w:style w:type="paragraph" w:styleId="Index6">
    <w:name w:val="index 6"/>
    <w:basedOn w:val="Normal"/>
    <w:next w:val="Normal"/>
    <w:uiPriority w:val="99"/>
    <w:semiHidden/>
    <w:unhideWhenUsed/>
    <w:rsid w:val="00460593"/>
    <w:pPr>
      <w:ind w:left="1320" w:hanging="220"/>
    </w:pPr>
  </w:style>
  <w:style w:type="paragraph" w:styleId="Index7">
    <w:name w:val="index 7"/>
    <w:basedOn w:val="Normal"/>
    <w:next w:val="Normal"/>
    <w:uiPriority w:val="99"/>
    <w:semiHidden/>
    <w:unhideWhenUsed/>
    <w:rsid w:val="00460593"/>
    <w:pPr>
      <w:ind w:left="1540" w:hanging="220"/>
    </w:pPr>
  </w:style>
  <w:style w:type="paragraph" w:styleId="Index8">
    <w:name w:val="index 8"/>
    <w:basedOn w:val="Normal"/>
    <w:next w:val="Normal"/>
    <w:uiPriority w:val="99"/>
    <w:semiHidden/>
    <w:unhideWhenUsed/>
    <w:rsid w:val="00460593"/>
    <w:pPr>
      <w:ind w:left="1760" w:hanging="220"/>
    </w:pPr>
  </w:style>
  <w:style w:type="paragraph" w:styleId="Index9">
    <w:name w:val="index 9"/>
    <w:basedOn w:val="Normal"/>
    <w:next w:val="Normal"/>
    <w:uiPriority w:val="99"/>
    <w:semiHidden/>
    <w:unhideWhenUsed/>
    <w:rsid w:val="00460593"/>
    <w:pPr>
      <w:ind w:left="1980" w:hanging="220"/>
    </w:pPr>
  </w:style>
  <w:style w:type="paragraph" w:styleId="IndexHeading">
    <w:name w:val="index heading"/>
    <w:basedOn w:val="Normal"/>
    <w:next w:val="Index1"/>
    <w:uiPriority w:val="99"/>
    <w:semiHidden/>
    <w:unhideWhenUsed/>
    <w:rsid w:val="004605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059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60593"/>
    <w:rPr>
      <w:rFonts w:ascii="Times New Roman" w:hAnsi="Times New Roman" w:cs="Times New Roman"/>
      <w:i/>
      <w:iCs/>
      <w:color w:val="5B9BD5" w:themeColor="accent1"/>
      <w:sz w:val="26"/>
    </w:rPr>
  </w:style>
  <w:style w:type="paragraph" w:styleId="List">
    <w:name w:val="List"/>
    <w:basedOn w:val="Normal"/>
    <w:uiPriority w:val="99"/>
    <w:semiHidden/>
    <w:unhideWhenUsed/>
    <w:rsid w:val="00460593"/>
    <w:pPr>
      <w:ind w:left="360" w:hanging="360"/>
      <w:contextualSpacing/>
    </w:pPr>
  </w:style>
  <w:style w:type="paragraph" w:styleId="List2">
    <w:name w:val="List 2"/>
    <w:basedOn w:val="Normal"/>
    <w:uiPriority w:val="99"/>
    <w:semiHidden/>
    <w:unhideWhenUsed/>
    <w:rsid w:val="00460593"/>
    <w:pPr>
      <w:ind w:left="720" w:hanging="360"/>
      <w:contextualSpacing/>
    </w:pPr>
  </w:style>
  <w:style w:type="paragraph" w:styleId="List3">
    <w:name w:val="List 3"/>
    <w:basedOn w:val="Normal"/>
    <w:uiPriority w:val="99"/>
    <w:semiHidden/>
    <w:unhideWhenUsed/>
    <w:rsid w:val="00460593"/>
    <w:pPr>
      <w:ind w:left="1080" w:hanging="360"/>
      <w:contextualSpacing/>
    </w:pPr>
  </w:style>
  <w:style w:type="paragraph" w:styleId="List4">
    <w:name w:val="List 4"/>
    <w:basedOn w:val="Normal"/>
    <w:uiPriority w:val="99"/>
    <w:semiHidden/>
    <w:unhideWhenUsed/>
    <w:rsid w:val="00460593"/>
    <w:pPr>
      <w:ind w:left="1440" w:hanging="360"/>
      <w:contextualSpacing/>
    </w:pPr>
  </w:style>
  <w:style w:type="paragraph" w:styleId="List5">
    <w:name w:val="List 5"/>
    <w:basedOn w:val="Normal"/>
    <w:uiPriority w:val="99"/>
    <w:semiHidden/>
    <w:unhideWhenUsed/>
    <w:rsid w:val="00460593"/>
    <w:pPr>
      <w:ind w:left="1800" w:hanging="360"/>
      <w:contextualSpacing/>
    </w:pPr>
  </w:style>
  <w:style w:type="paragraph" w:styleId="ListBullet">
    <w:name w:val="List Bullet"/>
    <w:basedOn w:val="Normal"/>
    <w:uiPriority w:val="99"/>
    <w:semiHidden/>
    <w:unhideWhenUsed/>
    <w:rsid w:val="00C97082"/>
    <w:pPr>
      <w:numPr>
        <w:numId w:val="1"/>
      </w:numPr>
      <w:contextualSpacing/>
    </w:pPr>
  </w:style>
  <w:style w:type="paragraph" w:styleId="ListBullet2">
    <w:name w:val="List Bullet 2"/>
    <w:basedOn w:val="Normal"/>
    <w:uiPriority w:val="99"/>
    <w:semiHidden/>
    <w:unhideWhenUsed/>
    <w:rsid w:val="00C97082"/>
    <w:pPr>
      <w:numPr>
        <w:numId w:val="2"/>
      </w:numPr>
      <w:contextualSpacing/>
    </w:pPr>
  </w:style>
  <w:style w:type="paragraph" w:styleId="ListBullet3">
    <w:name w:val="List Bullet 3"/>
    <w:basedOn w:val="Normal"/>
    <w:uiPriority w:val="99"/>
    <w:semiHidden/>
    <w:unhideWhenUsed/>
    <w:rsid w:val="00C97082"/>
    <w:pPr>
      <w:numPr>
        <w:numId w:val="3"/>
      </w:numPr>
      <w:contextualSpacing/>
    </w:pPr>
  </w:style>
  <w:style w:type="paragraph" w:styleId="ListBullet4">
    <w:name w:val="List Bullet 4"/>
    <w:basedOn w:val="Normal"/>
    <w:uiPriority w:val="99"/>
    <w:semiHidden/>
    <w:unhideWhenUsed/>
    <w:rsid w:val="00C97082"/>
    <w:pPr>
      <w:numPr>
        <w:numId w:val="4"/>
      </w:numPr>
      <w:contextualSpacing/>
    </w:pPr>
  </w:style>
  <w:style w:type="paragraph" w:styleId="ListBullet5">
    <w:name w:val="List Bullet 5"/>
    <w:basedOn w:val="Normal"/>
    <w:uiPriority w:val="99"/>
    <w:semiHidden/>
    <w:unhideWhenUsed/>
    <w:rsid w:val="00C97082"/>
    <w:pPr>
      <w:numPr>
        <w:numId w:val="5"/>
      </w:numPr>
      <w:contextualSpacing/>
    </w:pPr>
  </w:style>
  <w:style w:type="paragraph" w:styleId="ListContinue">
    <w:name w:val="List Continue"/>
    <w:basedOn w:val="Normal"/>
    <w:uiPriority w:val="99"/>
    <w:semiHidden/>
    <w:unhideWhenUsed/>
    <w:rsid w:val="00460593"/>
    <w:pPr>
      <w:spacing w:after="120"/>
      <w:ind w:left="360"/>
      <w:contextualSpacing/>
    </w:pPr>
  </w:style>
  <w:style w:type="paragraph" w:styleId="ListContinue2">
    <w:name w:val="List Continue 2"/>
    <w:basedOn w:val="Normal"/>
    <w:uiPriority w:val="99"/>
    <w:semiHidden/>
    <w:unhideWhenUsed/>
    <w:rsid w:val="00460593"/>
    <w:pPr>
      <w:spacing w:after="120"/>
      <w:ind w:left="720"/>
      <w:contextualSpacing/>
    </w:pPr>
  </w:style>
  <w:style w:type="paragraph" w:styleId="ListContinue3">
    <w:name w:val="List Continue 3"/>
    <w:basedOn w:val="Normal"/>
    <w:uiPriority w:val="99"/>
    <w:semiHidden/>
    <w:unhideWhenUsed/>
    <w:rsid w:val="00460593"/>
    <w:pPr>
      <w:spacing w:after="120"/>
      <w:ind w:left="1080"/>
      <w:contextualSpacing/>
    </w:pPr>
  </w:style>
  <w:style w:type="paragraph" w:styleId="ListContinue4">
    <w:name w:val="List Continue 4"/>
    <w:basedOn w:val="Normal"/>
    <w:uiPriority w:val="99"/>
    <w:semiHidden/>
    <w:unhideWhenUsed/>
    <w:rsid w:val="00460593"/>
    <w:pPr>
      <w:spacing w:after="120"/>
      <w:ind w:left="1440"/>
      <w:contextualSpacing/>
    </w:pPr>
  </w:style>
  <w:style w:type="paragraph" w:styleId="ListContinue5">
    <w:name w:val="List Continue 5"/>
    <w:basedOn w:val="Normal"/>
    <w:uiPriority w:val="99"/>
    <w:semiHidden/>
    <w:unhideWhenUsed/>
    <w:rsid w:val="00460593"/>
    <w:pPr>
      <w:spacing w:after="120"/>
      <w:ind w:left="1800"/>
      <w:contextualSpacing/>
    </w:pPr>
  </w:style>
  <w:style w:type="paragraph" w:styleId="ListNumber">
    <w:name w:val="List Number"/>
    <w:basedOn w:val="Normal"/>
    <w:uiPriority w:val="99"/>
    <w:semiHidden/>
    <w:unhideWhenUsed/>
    <w:rsid w:val="00C97082"/>
    <w:pPr>
      <w:numPr>
        <w:numId w:val="6"/>
      </w:numPr>
      <w:contextualSpacing/>
    </w:pPr>
  </w:style>
  <w:style w:type="paragraph" w:styleId="ListNumber2">
    <w:name w:val="List Number 2"/>
    <w:basedOn w:val="Normal"/>
    <w:uiPriority w:val="99"/>
    <w:semiHidden/>
    <w:unhideWhenUsed/>
    <w:rsid w:val="00C97082"/>
    <w:pPr>
      <w:numPr>
        <w:numId w:val="7"/>
      </w:numPr>
      <w:contextualSpacing/>
    </w:pPr>
  </w:style>
  <w:style w:type="paragraph" w:styleId="ListNumber3">
    <w:name w:val="List Number 3"/>
    <w:basedOn w:val="Normal"/>
    <w:uiPriority w:val="99"/>
    <w:semiHidden/>
    <w:unhideWhenUsed/>
    <w:rsid w:val="00C97082"/>
    <w:pPr>
      <w:numPr>
        <w:numId w:val="8"/>
      </w:numPr>
      <w:contextualSpacing/>
    </w:pPr>
  </w:style>
  <w:style w:type="paragraph" w:styleId="ListNumber4">
    <w:name w:val="List Number 4"/>
    <w:basedOn w:val="Normal"/>
    <w:uiPriority w:val="99"/>
    <w:semiHidden/>
    <w:unhideWhenUsed/>
    <w:rsid w:val="00C97082"/>
    <w:pPr>
      <w:numPr>
        <w:numId w:val="9"/>
      </w:numPr>
      <w:contextualSpacing/>
    </w:pPr>
  </w:style>
  <w:style w:type="paragraph" w:styleId="ListNumber5">
    <w:name w:val="List Number 5"/>
    <w:basedOn w:val="Normal"/>
    <w:uiPriority w:val="99"/>
    <w:semiHidden/>
    <w:unhideWhenUsed/>
    <w:rsid w:val="00C97082"/>
    <w:pPr>
      <w:numPr>
        <w:numId w:val="10"/>
      </w:numPr>
      <w:contextualSpacing/>
    </w:pPr>
  </w:style>
  <w:style w:type="paragraph" w:styleId="ListParagraph">
    <w:name w:val="List Paragraph"/>
    <w:basedOn w:val="Normal"/>
    <w:uiPriority w:val="34"/>
    <w:qFormat/>
    <w:rsid w:val="00460593"/>
    <w:pPr>
      <w:ind w:left="720"/>
      <w:contextualSpacing/>
    </w:pPr>
  </w:style>
  <w:style w:type="paragraph" w:styleId="Macro">
    <w:name w:val="macro"/>
    <w:link w:val="MacroTextChar"/>
    <w:uiPriority w:val="99"/>
    <w:semiHidden/>
    <w:unhideWhenUsed/>
    <w:rsid w:val="004605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460593"/>
    <w:rPr>
      <w:rFonts w:ascii="Consolas" w:hAnsi="Consolas" w:cs="Consolas"/>
      <w:sz w:val="20"/>
      <w:szCs w:val="20"/>
    </w:rPr>
  </w:style>
  <w:style w:type="paragraph" w:styleId="MessageHeader">
    <w:name w:val="Message Header"/>
    <w:basedOn w:val="Normal"/>
    <w:link w:val="MessageHeaderChar"/>
    <w:uiPriority w:val="99"/>
    <w:semiHidden/>
    <w:unhideWhenUsed/>
    <w:rsid w:val="004605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0593"/>
    <w:rPr>
      <w:rFonts w:asciiTheme="majorHAnsi" w:eastAsiaTheme="majorEastAsia" w:hAnsiTheme="majorHAnsi" w:cstheme="majorBidi"/>
      <w:sz w:val="24"/>
      <w:szCs w:val="24"/>
      <w:shd w:val="pct20" w:color="auto" w:fill="auto"/>
    </w:rPr>
  </w:style>
  <w:style w:type="paragraph" w:styleId="NoSpacing">
    <w:name w:val="No Spacing"/>
    <w:uiPriority w:val="3"/>
    <w:qFormat/>
    <w:rsid w:val="00460593"/>
    <w:pPr>
      <w:spacing w:after="0" w:line="240" w:lineRule="auto"/>
    </w:pPr>
  </w:style>
  <w:style w:type="paragraph" w:styleId="NormalWeb">
    <w:name w:val="Normal (Web)"/>
    <w:basedOn w:val="Normal"/>
    <w:uiPriority w:val="99"/>
    <w:semiHidden/>
    <w:unhideWhenUsed/>
    <w:rsid w:val="00460593"/>
    <w:rPr>
      <w:sz w:val="24"/>
      <w:szCs w:val="24"/>
    </w:rPr>
  </w:style>
  <w:style w:type="paragraph" w:styleId="NormalIndent">
    <w:name w:val="Normal Indent"/>
    <w:basedOn w:val="Normal"/>
    <w:uiPriority w:val="99"/>
    <w:semiHidden/>
    <w:unhideWhenUsed/>
    <w:rsid w:val="00460593"/>
    <w:pPr>
      <w:ind w:left="720"/>
    </w:pPr>
  </w:style>
  <w:style w:type="paragraph" w:styleId="NoteHeading">
    <w:name w:val="Note Heading"/>
    <w:basedOn w:val="Normal"/>
    <w:next w:val="Normal"/>
    <w:link w:val="NoteHeadingChar"/>
    <w:uiPriority w:val="99"/>
    <w:semiHidden/>
    <w:unhideWhenUsed/>
    <w:rsid w:val="00460593"/>
  </w:style>
  <w:style w:type="character" w:customStyle="1" w:styleId="NoteHeadingChar">
    <w:name w:val="Note Heading Char"/>
    <w:basedOn w:val="DefaultParagraphFont"/>
    <w:link w:val="NoteHeading"/>
    <w:uiPriority w:val="99"/>
    <w:semiHidden/>
    <w:rsid w:val="00460593"/>
    <w:rPr>
      <w:rFonts w:ascii="Times New Roman" w:hAnsi="Times New Roman" w:cs="Times New Roman"/>
      <w:sz w:val="26"/>
    </w:rPr>
  </w:style>
  <w:style w:type="paragraph" w:styleId="PlainText">
    <w:name w:val="Plain Text"/>
    <w:basedOn w:val="Normal"/>
    <w:link w:val="PlainTextChar"/>
    <w:uiPriority w:val="99"/>
    <w:semiHidden/>
    <w:unhideWhenUsed/>
    <w:rsid w:val="00460593"/>
    <w:rPr>
      <w:rFonts w:ascii="Consolas" w:hAnsi="Consolas" w:cs="Consolas"/>
      <w:sz w:val="21"/>
      <w:szCs w:val="21"/>
    </w:rPr>
  </w:style>
  <w:style w:type="character" w:customStyle="1" w:styleId="PlainTextChar">
    <w:name w:val="Plain Text Char"/>
    <w:basedOn w:val="DefaultParagraphFont"/>
    <w:link w:val="PlainText"/>
    <w:uiPriority w:val="99"/>
    <w:semiHidden/>
    <w:rsid w:val="00460593"/>
    <w:rPr>
      <w:rFonts w:ascii="Consolas" w:hAnsi="Consolas" w:cs="Consolas"/>
      <w:sz w:val="21"/>
      <w:szCs w:val="21"/>
    </w:rPr>
  </w:style>
  <w:style w:type="paragraph" w:styleId="Quote">
    <w:name w:val="Quote"/>
    <w:basedOn w:val="Normal"/>
    <w:next w:val="Normal"/>
    <w:link w:val="QuoteChar"/>
    <w:uiPriority w:val="29"/>
    <w:qFormat/>
    <w:rsid w:val="0046059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0593"/>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60593"/>
  </w:style>
  <w:style w:type="character" w:customStyle="1" w:styleId="SalutationChar">
    <w:name w:val="Salutation Char"/>
    <w:basedOn w:val="DefaultParagraphFont"/>
    <w:link w:val="Salutation"/>
    <w:uiPriority w:val="99"/>
    <w:semiHidden/>
    <w:rsid w:val="00460593"/>
    <w:rPr>
      <w:rFonts w:ascii="Times New Roman" w:hAnsi="Times New Roman" w:cs="Times New Roman"/>
      <w:sz w:val="26"/>
    </w:rPr>
  </w:style>
  <w:style w:type="paragraph" w:styleId="Signature">
    <w:name w:val="Signature"/>
    <w:basedOn w:val="Normal"/>
    <w:link w:val="SignatureChar"/>
    <w:uiPriority w:val="99"/>
    <w:semiHidden/>
    <w:unhideWhenUsed/>
    <w:rsid w:val="00460593"/>
    <w:pPr>
      <w:ind w:left="4320"/>
    </w:pPr>
  </w:style>
  <w:style w:type="character" w:customStyle="1" w:styleId="SignatureChar">
    <w:name w:val="Signature Char"/>
    <w:basedOn w:val="DefaultParagraphFont"/>
    <w:link w:val="Signature"/>
    <w:uiPriority w:val="99"/>
    <w:semiHidden/>
    <w:rsid w:val="00460593"/>
    <w:rPr>
      <w:rFonts w:ascii="Times New Roman" w:hAnsi="Times New Roman" w:cs="Times New Roman"/>
      <w:sz w:val="26"/>
    </w:rPr>
  </w:style>
  <w:style w:type="paragraph" w:styleId="Subtitle">
    <w:name w:val="Subtitle"/>
    <w:basedOn w:val="Normal"/>
    <w:next w:val="Normal"/>
    <w:link w:val="SubtitleChar"/>
    <w:uiPriority w:val="11"/>
    <w:qFormat/>
    <w:rsid w:val="004605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0593"/>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460593"/>
    <w:pPr>
      <w:ind w:left="220" w:hanging="220"/>
    </w:pPr>
  </w:style>
  <w:style w:type="paragraph" w:styleId="TableofFigures">
    <w:name w:val="table of figures"/>
    <w:basedOn w:val="Normal"/>
    <w:next w:val="Normal"/>
    <w:uiPriority w:val="99"/>
    <w:semiHidden/>
    <w:unhideWhenUsed/>
    <w:rsid w:val="00460593"/>
  </w:style>
  <w:style w:type="paragraph" w:styleId="Title">
    <w:name w:val="Title"/>
    <w:basedOn w:val="Normal"/>
    <w:next w:val="Normal"/>
    <w:link w:val="TitleChar"/>
    <w:uiPriority w:val="10"/>
    <w:qFormat/>
    <w:rsid w:val="004605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5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6059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60593"/>
    <w:pPr>
      <w:spacing w:after="100"/>
    </w:pPr>
  </w:style>
  <w:style w:type="paragraph" w:styleId="TOC2">
    <w:name w:val="toc 2"/>
    <w:basedOn w:val="Normal"/>
    <w:next w:val="Normal"/>
    <w:uiPriority w:val="39"/>
    <w:semiHidden/>
    <w:unhideWhenUsed/>
    <w:rsid w:val="00460593"/>
    <w:pPr>
      <w:spacing w:after="100"/>
      <w:ind w:left="220"/>
    </w:pPr>
  </w:style>
  <w:style w:type="paragraph" w:styleId="TOC3">
    <w:name w:val="toc 3"/>
    <w:basedOn w:val="Normal"/>
    <w:next w:val="Normal"/>
    <w:uiPriority w:val="39"/>
    <w:semiHidden/>
    <w:unhideWhenUsed/>
    <w:rsid w:val="00460593"/>
    <w:pPr>
      <w:spacing w:after="100"/>
      <w:ind w:left="440"/>
    </w:pPr>
  </w:style>
  <w:style w:type="paragraph" w:styleId="TOC4">
    <w:name w:val="toc 4"/>
    <w:basedOn w:val="Normal"/>
    <w:next w:val="Normal"/>
    <w:uiPriority w:val="39"/>
    <w:semiHidden/>
    <w:unhideWhenUsed/>
    <w:rsid w:val="00460593"/>
    <w:pPr>
      <w:spacing w:after="100"/>
      <w:ind w:left="660"/>
    </w:pPr>
  </w:style>
  <w:style w:type="paragraph" w:styleId="TOC5">
    <w:name w:val="toc 5"/>
    <w:basedOn w:val="Normal"/>
    <w:next w:val="Normal"/>
    <w:uiPriority w:val="39"/>
    <w:semiHidden/>
    <w:unhideWhenUsed/>
    <w:rsid w:val="00460593"/>
    <w:pPr>
      <w:spacing w:after="100"/>
      <w:ind w:left="880"/>
    </w:pPr>
  </w:style>
  <w:style w:type="paragraph" w:styleId="TOC6">
    <w:name w:val="toc 6"/>
    <w:basedOn w:val="Normal"/>
    <w:next w:val="Normal"/>
    <w:uiPriority w:val="39"/>
    <w:semiHidden/>
    <w:unhideWhenUsed/>
    <w:rsid w:val="00460593"/>
    <w:pPr>
      <w:spacing w:after="100"/>
      <w:ind w:left="1100"/>
    </w:pPr>
  </w:style>
  <w:style w:type="paragraph" w:styleId="TOC7">
    <w:name w:val="toc 7"/>
    <w:basedOn w:val="Normal"/>
    <w:next w:val="Normal"/>
    <w:uiPriority w:val="39"/>
    <w:semiHidden/>
    <w:unhideWhenUsed/>
    <w:rsid w:val="00460593"/>
    <w:pPr>
      <w:spacing w:after="100"/>
      <w:ind w:left="1320"/>
    </w:pPr>
  </w:style>
  <w:style w:type="paragraph" w:styleId="TOC8">
    <w:name w:val="toc 8"/>
    <w:basedOn w:val="Normal"/>
    <w:next w:val="Normal"/>
    <w:uiPriority w:val="39"/>
    <w:semiHidden/>
    <w:unhideWhenUsed/>
    <w:rsid w:val="00460593"/>
    <w:pPr>
      <w:spacing w:after="100"/>
      <w:ind w:left="1540"/>
    </w:pPr>
  </w:style>
  <w:style w:type="paragraph" w:styleId="TOC9">
    <w:name w:val="toc 9"/>
    <w:basedOn w:val="Normal"/>
    <w:next w:val="Normal"/>
    <w:uiPriority w:val="39"/>
    <w:semiHidden/>
    <w:unhideWhenUsed/>
    <w:rsid w:val="00460593"/>
    <w:pPr>
      <w:spacing w:after="100"/>
      <w:ind w:left="1760"/>
    </w:pPr>
  </w:style>
  <w:style w:type="paragraph" w:styleId="TOCHeading">
    <w:name w:val="TOC Heading"/>
    <w:basedOn w:val="Heading1"/>
    <w:next w:val="Normal"/>
    <w:uiPriority w:val="39"/>
    <w:semiHidden/>
    <w:unhideWhenUsed/>
    <w:qFormat/>
    <w:rsid w:val="00C97082"/>
    <w:pPr>
      <w:numPr>
        <w:numId w:val="0"/>
      </w:numPr>
      <w:outlineLvl w:val="9"/>
    </w:pPr>
  </w:style>
  <w:style w:type="paragraph" w:customStyle="1" w:styleId="FERCparanumber">
    <w:name w:val="FERC paranumber"/>
    <w:basedOn w:val="Normal"/>
    <w:link w:val="FERCparanumberChar"/>
    <w:qFormat/>
    <w:rsid w:val="00C97082"/>
    <w:pPr>
      <w:widowControl/>
      <w:numPr>
        <w:numId w:val="11"/>
      </w:numPr>
      <w:spacing w:after="260"/>
    </w:pPr>
  </w:style>
  <w:style w:type="character" w:customStyle="1" w:styleId="FERCparanumberChar">
    <w:name w:val="FERC paranumber Char"/>
    <w:basedOn w:val="DefaultParagraphFont"/>
    <w:link w:val="FERCparanumber"/>
    <w:rsid w:val="00460593"/>
    <w:rPr>
      <w:rFonts w:ascii="Times New Roman" w:hAnsi="Times New Roman" w:cs="Times New Roman"/>
      <w:sz w:val="26"/>
    </w:rPr>
  </w:style>
  <w:style w:type="character" w:styleId="PageNumber">
    <w:name w:val="page number"/>
    <w:basedOn w:val="DefaultParagraphFont"/>
    <w:rsid w:val="00460593"/>
  </w:style>
  <w:style w:type="table" w:styleId="TableGrid">
    <w:name w:val="Table Grid"/>
    <w:basedOn w:val="TableNormal"/>
    <w:uiPriority w:val="39"/>
    <w:rsid w:val="0046059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0593"/>
    <w:rPr>
      <w:color w:val="0563C1" w:themeColor="hyperlink"/>
      <w:u w:val="single"/>
    </w:rPr>
  </w:style>
  <w:style w:type="character" w:customStyle="1" w:styleId="Heading1Char">
    <w:name w:val="Heading 1 Char"/>
    <w:basedOn w:val="DefaultParagraphFont"/>
    <w:link w:val="Heading1"/>
    <w:uiPriority w:val="9"/>
    <w:rsid w:val="00460593"/>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460593"/>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rsid w:val="00460593"/>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460593"/>
    <w:rPr>
      <w:rFonts w:ascii="Times New Roman" w:hAnsi="Times New Roman" w:cs="Times New Roman"/>
      <w:b/>
      <w:sz w:val="26"/>
      <w:vertAlign w:val="superscript"/>
    </w:rPr>
  </w:style>
  <w:style w:type="paragraph" w:customStyle="1" w:styleId="FERCNopara">
    <w:name w:val="FERC Nopara"/>
    <w:basedOn w:val="Normal"/>
    <w:uiPriority w:val="1"/>
    <w:qFormat/>
    <w:rsid w:val="00460593"/>
    <w:pPr>
      <w:spacing w:after="260"/>
      <w:ind w:firstLine="720"/>
    </w:pPr>
  </w:style>
  <w:style w:type="character" w:styleId="CommentReference">
    <w:name w:val="annotation reference"/>
    <w:basedOn w:val="DefaultParagraphFont"/>
    <w:unhideWhenUsed/>
    <w:rsid w:val="00460593"/>
    <w:rPr>
      <w:sz w:val="16"/>
      <w:szCs w:val="16"/>
    </w:rPr>
  </w:style>
  <w:style w:type="character" w:styleId="UnresolvedMention">
    <w:name w:val="Unresolved Mention"/>
    <w:basedOn w:val="DefaultParagraphFont"/>
    <w:uiPriority w:val="99"/>
    <w:unhideWhenUsed/>
    <w:rsid w:val="00460593"/>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405D15"/>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F17F1A"/>
    <w:rPr>
      <w:color w:val="954F72" w:themeColor="followedHyperlink"/>
      <w:u w:val="single"/>
    </w:rPr>
  </w:style>
  <w:style w:type="character" w:styleId="Mention">
    <w:name w:val="Mention"/>
    <w:basedOn w:val="DefaultParagraphFont"/>
    <w:uiPriority w:val="99"/>
    <w:unhideWhenUsed/>
    <w:rsid w:val="007A190E"/>
    <w:rPr>
      <w:color w:val="2B579A"/>
      <w:shd w:val="clear" w:color="auto" w:fill="E1DFDD"/>
    </w:rPr>
  </w:style>
  <w:style w:type="character" w:styleId="PlaceholderText">
    <w:name w:val="Placeholder Text"/>
    <w:basedOn w:val="DefaultParagraphFont"/>
    <w:uiPriority w:val="99"/>
    <w:semiHidden/>
    <w:rsid w:val="00405D15"/>
    <w:rPr>
      <w:color w:val="808080"/>
    </w:rPr>
  </w:style>
  <w:style w:type="paragraph" w:styleId="Revision">
    <w:name w:val="Revision"/>
    <w:hidden/>
    <w:uiPriority w:val="99"/>
    <w:semiHidden/>
    <w:rsid w:val="00C14954"/>
    <w:pPr>
      <w:spacing w:after="0" w:line="240" w:lineRule="auto"/>
    </w:pPr>
    <w:rPr>
      <w:rFonts w:ascii="Times New Roman" w:hAnsi="Times New Roman" w:cs="Times New Roman"/>
      <w:sz w:val="26"/>
    </w:rPr>
  </w:style>
  <w:style w:type="character" w:customStyle="1" w:styleId="Heading3Char">
    <w:name w:val="Heading 3 Char"/>
    <w:basedOn w:val="DefaultParagraphFont"/>
    <w:link w:val="Heading3"/>
    <w:uiPriority w:val="9"/>
    <w:rsid w:val="00BF7B2D"/>
    <w:rPr>
      <w:rFonts w:ascii="Times New Roman" w:hAnsi="Times New Roman" w:eastAsiaTheme="majorEastAsia" w:cs="Times New Roman"/>
      <w:b/>
      <w:kern w:val="32"/>
      <w:sz w:val="26"/>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E053FB2A-72E5-42FD-AAF4-8D1729F75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7FF34-C7F4-47C4-BEBC-8D85FE565C26}">
  <ds:schemaRefs>
    <ds:schemaRef ds:uri="http://schemas.openxmlformats.org/officeDocument/2006/bibliography"/>
  </ds:schemaRefs>
</ds:datastoreItem>
</file>

<file path=customXml/itemProps3.xml><?xml version="1.0" encoding="utf-8"?>
<ds:datastoreItem xmlns:ds="http://schemas.openxmlformats.org/officeDocument/2006/customXml" ds:itemID="{C4A6E649-DE95-4A86-BE6F-B66DD5595F06}">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9E88FD-4542-4186-B99E-10718068698A}">
  <ds:schemaRefs>
    <ds:schemaRef ds:uri="http://schemas.microsoft.com/sharepoint/v3/contenttype/forms"/>
  </ds:schemaRefs>
</ds:datastoreItem>
</file>

<file path=customXml/itemProps5.xml><?xml version="1.0" encoding="utf-8"?>
<ds:datastoreItem xmlns:ds="http://schemas.openxmlformats.org/officeDocument/2006/customXml" ds:itemID="{0C470683-4A9F-41E6-8D77-2C85614378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14002</Words>
  <Characters>79814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2023-03-06T16:22:00Z</dcterms:created>
  <dcterms:modified xsi:type="dcterms:W3CDTF">2023-03-06T16:22:00Z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2fcb3b65-4cea-4afd-927f-fe1bd2f73b25</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2023-03-06T16:22:48Z</vt:lpwstr>
  </property>
  <property fmtid="{D5CDD505-2E9C-101B-9397-08002B2CF9AE}" pid="8" name="MSIP_Label_6155a89b-0f08-4a93-8ea2-8a916d6643b5_SiteId">
    <vt:lpwstr>19caa9e9-04ff-43fa-885f-d77fac387903</vt:lpwstr>
  </property>
</Properties>
</file>