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10E21" w:rsidP="00410E21" w14:paraId="43A8D964" w14:textId="77777777">
      <w:pPr>
        <w:jc w:val="center"/>
      </w:pPr>
      <w:r>
        <w:t>UNITED STATES OF AMERICA</w:t>
      </w:r>
    </w:p>
    <w:p w:rsidR="00410E21" w:rsidP="00410E21" w14:paraId="3FA8A506" w14:textId="77777777">
      <w:pPr>
        <w:jc w:val="center"/>
      </w:pPr>
      <w:r>
        <w:t>FEDERAL ENERGY REGULATORY COMMISSION</w:t>
      </w:r>
    </w:p>
    <w:p w:rsidR="00410E21" w:rsidRPr="00B82494" w:rsidP="00410E21" w14:paraId="43CFACE6" w14:textId="77777777">
      <w:pPr>
        <w:tabs>
          <w:tab w:val="center" w:pos="4680"/>
        </w:tabs>
        <w:autoSpaceDE w:val="0"/>
        <w:autoSpaceDN w:val="0"/>
        <w:adjustRightInd w:val="0"/>
        <w:jc w:val="center"/>
        <w:rPr>
          <w:szCs w:val="26"/>
        </w:rPr>
      </w:pPr>
    </w:p>
    <w:p w:rsidR="00410E21" w:rsidRPr="00B82494" w:rsidP="00410E21" w14:paraId="1128C59B" w14:textId="7E59D46C">
      <w:pPr>
        <w:tabs>
          <w:tab w:val="center" w:pos="4680"/>
        </w:tabs>
        <w:autoSpaceDE w:val="0"/>
        <w:autoSpaceDN w:val="0"/>
        <w:adjustRightInd w:val="0"/>
        <w:jc w:val="center"/>
        <w:rPr>
          <w:szCs w:val="26"/>
        </w:rPr>
      </w:pPr>
      <w:r w:rsidRPr="00B82494">
        <w:rPr>
          <w:szCs w:val="26"/>
        </w:rPr>
        <w:t xml:space="preserve">[Docket No. </w:t>
      </w:r>
      <w:r w:rsidR="00CD3495">
        <w:rPr>
          <w:szCs w:val="26"/>
        </w:rPr>
        <w:t>RD23</w:t>
      </w:r>
      <w:r w:rsidR="00DC5E9F">
        <w:rPr>
          <w:szCs w:val="26"/>
        </w:rPr>
        <w:t>-1</w:t>
      </w:r>
      <w:r w:rsidR="00CD3495">
        <w:rPr>
          <w:szCs w:val="26"/>
        </w:rPr>
        <w:t>-</w:t>
      </w:r>
      <w:r w:rsidR="00DC5E9F">
        <w:rPr>
          <w:szCs w:val="26"/>
        </w:rPr>
        <w:t>000</w:t>
      </w:r>
      <w:r w:rsidRPr="00B82494">
        <w:rPr>
          <w:szCs w:val="26"/>
        </w:rPr>
        <w:t>]</w:t>
      </w:r>
    </w:p>
    <w:p w:rsidR="00410E21" w:rsidRPr="00B82494" w:rsidP="00410E21" w14:paraId="64317AD0" w14:textId="77777777">
      <w:pPr>
        <w:tabs>
          <w:tab w:val="center" w:pos="4680"/>
        </w:tabs>
        <w:autoSpaceDE w:val="0"/>
        <w:autoSpaceDN w:val="0"/>
        <w:adjustRightInd w:val="0"/>
        <w:jc w:val="center"/>
        <w:rPr>
          <w:szCs w:val="26"/>
        </w:rPr>
      </w:pPr>
    </w:p>
    <w:p w:rsidR="00410E21" w:rsidRPr="00B82494" w:rsidP="00410E21" w14:paraId="59415D8B" w14:textId="77777777">
      <w:pPr>
        <w:tabs>
          <w:tab w:val="center" w:pos="4680"/>
        </w:tabs>
        <w:autoSpaceDE w:val="0"/>
        <w:autoSpaceDN w:val="0"/>
        <w:adjustRightInd w:val="0"/>
        <w:jc w:val="center"/>
        <w:rPr>
          <w:szCs w:val="26"/>
        </w:rPr>
      </w:pPr>
      <w:bookmarkStart w:id="0" w:name="_Hlk116892600"/>
      <w:r w:rsidRPr="00B82494">
        <w:rPr>
          <w:szCs w:val="26"/>
        </w:rPr>
        <w:t xml:space="preserve">COMMISSION INFORMATION COLLECTION ACTIVITIES </w:t>
      </w:r>
    </w:p>
    <w:p w:rsidR="00410E21" w:rsidRPr="00B82494" w:rsidP="00410E21" w14:paraId="3BAE917C" w14:textId="5FC1A67A">
      <w:pPr>
        <w:tabs>
          <w:tab w:val="center" w:pos="4680"/>
        </w:tabs>
        <w:autoSpaceDE w:val="0"/>
        <w:autoSpaceDN w:val="0"/>
        <w:adjustRightInd w:val="0"/>
        <w:jc w:val="center"/>
        <w:rPr>
          <w:szCs w:val="26"/>
        </w:rPr>
      </w:pPr>
      <w:r w:rsidRPr="00B82494">
        <w:rPr>
          <w:szCs w:val="26"/>
        </w:rPr>
        <w:t>(FERC-</w:t>
      </w:r>
      <w:r w:rsidR="00D872AA">
        <w:rPr>
          <w:szCs w:val="26"/>
        </w:rPr>
        <w:t>725</w:t>
      </w:r>
      <w:r w:rsidR="00DC5E9F">
        <w:rPr>
          <w:szCs w:val="26"/>
        </w:rPr>
        <w:t>S</w:t>
      </w:r>
      <w:r w:rsidRPr="00B82494">
        <w:rPr>
          <w:szCs w:val="26"/>
        </w:rPr>
        <w:t>);</w:t>
      </w:r>
    </w:p>
    <w:p w:rsidR="00410E21" w:rsidRPr="00B82494" w:rsidP="00410E21" w14:paraId="331022C8" w14:textId="77777777">
      <w:pPr>
        <w:tabs>
          <w:tab w:val="center" w:pos="4680"/>
        </w:tabs>
        <w:autoSpaceDE w:val="0"/>
        <w:autoSpaceDN w:val="0"/>
        <w:adjustRightInd w:val="0"/>
        <w:jc w:val="center"/>
      </w:pPr>
      <w:r>
        <w:t>COMMENT REQUEST; EXTENSION</w:t>
      </w:r>
    </w:p>
    <w:bookmarkEnd w:id="0"/>
    <w:p w:rsidR="00410E21" w:rsidRPr="00B82494" w:rsidP="00410E21" w14:paraId="0D13193E" w14:textId="77777777">
      <w:pPr>
        <w:tabs>
          <w:tab w:val="center" w:pos="4680"/>
        </w:tabs>
        <w:autoSpaceDE w:val="0"/>
        <w:autoSpaceDN w:val="0"/>
        <w:adjustRightInd w:val="0"/>
        <w:jc w:val="center"/>
      </w:pPr>
    </w:p>
    <w:p w:rsidR="00410E21" w:rsidRPr="00B82494" w:rsidP="00410E21" w14:paraId="30BC170C" w14:textId="77777777">
      <w:pPr>
        <w:tabs>
          <w:tab w:val="center" w:pos="4680"/>
        </w:tabs>
        <w:autoSpaceDE w:val="0"/>
        <w:autoSpaceDN w:val="0"/>
        <w:adjustRightInd w:val="0"/>
        <w:jc w:val="center"/>
        <w:rPr>
          <w:szCs w:val="26"/>
        </w:rPr>
      </w:pPr>
      <w:r w:rsidRPr="00B82494">
        <w:rPr>
          <w:szCs w:val="26"/>
        </w:rPr>
        <w:t>(Date)</w:t>
      </w:r>
    </w:p>
    <w:p w:rsidR="00410E21" w:rsidRPr="00B82494" w:rsidP="00410E21" w14:paraId="3ACCF1B0" w14:textId="77777777">
      <w:pPr>
        <w:tabs>
          <w:tab w:val="center" w:pos="4680"/>
        </w:tabs>
        <w:autoSpaceDE w:val="0"/>
        <w:autoSpaceDN w:val="0"/>
        <w:adjustRightInd w:val="0"/>
        <w:jc w:val="center"/>
        <w:rPr>
          <w:szCs w:val="26"/>
        </w:rPr>
      </w:pPr>
    </w:p>
    <w:p w:rsidR="00410E21" w:rsidRPr="00B82494" w:rsidP="00410E21" w14:paraId="6360CDF8" w14:textId="77777777">
      <w:pPr>
        <w:spacing w:line="480" w:lineRule="auto"/>
        <w:rPr>
          <w:szCs w:val="26"/>
        </w:rPr>
      </w:pPr>
      <w:r w:rsidRPr="00B82494">
        <w:rPr>
          <w:b/>
          <w:szCs w:val="26"/>
        </w:rPr>
        <w:t>AGENCY:</w:t>
      </w:r>
      <w:r w:rsidRPr="00B82494">
        <w:rPr>
          <w:szCs w:val="26"/>
        </w:rPr>
        <w:t xml:space="preserve">  Federal Energy Regulatory Commission</w:t>
      </w:r>
    </w:p>
    <w:p w:rsidR="00410E21" w:rsidRPr="00B82494" w:rsidP="00410E21" w14:paraId="13CA858D" w14:textId="77777777">
      <w:pPr>
        <w:spacing w:line="480" w:lineRule="auto"/>
        <w:rPr>
          <w:szCs w:val="26"/>
        </w:rPr>
      </w:pPr>
      <w:r w:rsidRPr="00B82494">
        <w:rPr>
          <w:b/>
          <w:szCs w:val="26"/>
        </w:rPr>
        <w:t>ACTION:</w:t>
      </w:r>
      <w:r w:rsidRPr="00B82494">
        <w:rPr>
          <w:szCs w:val="26"/>
        </w:rPr>
        <w:t xml:space="preserve">  Notice of information collection and request for comments.</w:t>
      </w:r>
    </w:p>
    <w:p w:rsidR="007327B0" w:rsidRPr="007327B0" w:rsidP="007327B0" w14:paraId="31ED2055" w14:textId="77777777">
      <w:pPr>
        <w:spacing w:line="480" w:lineRule="auto"/>
        <w:rPr>
          <w:i/>
          <w:iCs/>
        </w:rPr>
      </w:pPr>
      <w:r w:rsidRPr="00B82494">
        <w:rPr>
          <w:b/>
          <w:bCs/>
          <w:szCs w:val="26"/>
        </w:rPr>
        <w:t>SUMMARY:</w:t>
      </w:r>
      <w:r w:rsidRPr="00B82494">
        <w:rPr>
          <w:szCs w:val="26"/>
        </w:rPr>
        <w:t xml:space="preserve">  In compliance with the requirements of the Paperwork Reduction Act of 1995, the Federal Energy Regulatory Commission (Commission or FERC) is soliciting public comment on the requirements and burden of the information collection</w:t>
      </w:r>
      <w:r w:rsidR="00D872AA">
        <w:rPr>
          <w:szCs w:val="26"/>
        </w:rPr>
        <w:t xml:space="preserve"> FERC 725</w:t>
      </w:r>
      <w:r w:rsidR="00DC5E9F">
        <w:rPr>
          <w:szCs w:val="26"/>
        </w:rPr>
        <w:t>S</w:t>
      </w:r>
      <w:r w:rsidRPr="00B82494">
        <w:rPr>
          <w:szCs w:val="26"/>
        </w:rPr>
        <w:t xml:space="preserve"> </w:t>
      </w:r>
      <w:r w:rsidR="00D872AA">
        <w:rPr>
          <w:szCs w:val="26"/>
        </w:rPr>
        <w:t xml:space="preserve">- </w:t>
      </w:r>
      <w:r w:rsidRPr="007327B0">
        <w:rPr>
          <w:i/>
          <w:iCs/>
        </w:rPr>
        <w:t xml:space="preserve">Mandatory Reliability Standards: Emergency Preparedness </w:t>
      </w:r>
    </w:p>
    <w:p w:rsidR="00410E21" w:rsidRPr="00B82494" w:rsidP="007327B0" w14:paraId="5B723F9F" w14:textId="152E23FF">
      <w:pPr>
        <w:spacing w:line="480" w:lineRule="auto"/>
        <w:rPr>
          <w:szCs w:val="26"/>
        </w:rPr>
      </w:pPr>
      <w:r w:rsidRPr="007327B0">
        <w:rPr>
          <w:i/>
          <w:iCs/>
        </w:rPr>
        <w:t>and Operations (EOP) Reliability Standards</w:t>
      </w:r>
      <w:r w:rsidR="00D872AA">
        <w:rPr>
          <w:i/>
          <w:iCs/>
        </w:rPr>
        <w:t xml:space="preserve">. </w:t>
      </w:r>
      <w:r w:rsidRPr="00253DC4">
        <w:t> </w:t>
      </w:r>
      <w:r w:rsidR="00797C53">
        <w:t xml:space="preserve"> </w:t>
      </w:r>
    </w:p>
    <w:p w:rsidR="00410E21" w:rsidRPr="00253DC4" w:rsidP="00410E21" w14:paraId="48FFA8F4" w14:textId="77777777">
      <w:pPr>
        <w:spacing w:line="480" w:lineRule="auto"/>
      </w:pPr>
      <w:r w:rsidRPr="00253DC4">
        <w:rPr>
          <w:b/>
        </w:rPr>
        <w:t>DATES:</w:t>
      </w:r>
      <w:r w:rsidRPr="00253DC4">
        <w:t xml:space="preserve">  Comments on the collection of information are due </w:t>
      </w:r>
      <w:r w:rsidRPr="00253DC4">
        <w:rPr>
          <w:b/>
        </w:rPr>
        <w:t>[Insert date 30 days after date of publication in the Federal Register]</w:t>
      </w:r>
      <w:r w:rsidRPr="00253DC4">
        <w:rPr>
          <w:bCs/>
        </w:rPr>
        <w:t>.</w:t>
      </w:r>
      <w:r w:rsidRPr="00253DC4">
        <w:t xml:space="preserve">  </w:t>
      </w:r>
    </w:p>
    <w:p w:rsidR="007E5F46" w:rsidRPr="007E5F46" w:rsidP="007E5F46" w14:paraId="7D3042DD" w14:textId="77777777">
      <w:pPr>
        <w:spacing w:line="480" w:lineRule="auto"/>
      </w:pPr>
      <w:r w:rsidRPr="00253DC4">
        <w:rPr>
          <w:b/>
        </w:rPr>
        <w:t>ADDRESSES:</w:t>
      </w:r>
      <w:r w:rsidRPr="00253DC4">
        <w:t xml:space="preserve">  </w:t>
      </w:r>
      <w:r w:rsidRPr="00253DC4">
        <w:rPr>
          <w:iCs/>
        </w:rPr>
        <w:t>Send written comments on FERC-</w:t>
      </w:r>
      <w:r w:rsidR="00BB6F9D">
        <w:rPr>
          <w:iCs/>
        </w:rPr>
        <w:t>725S</w:t>
      </w:r>
      <w:r>
        <w:rPr>
          <w:iCs/>
        </w:rPr>
        <w:t xml:space="preserve"> (identified by Docket No. </w:t>
      </w:r>
      <w:r>
        <w:rPr>
          <w:iCs/>
        </w:rPr>
        <w:t>RD</w:t>
      </w:r>
      <w:r>
        <w:rPr>
          <w:iCs/>
        </w:rPr>
        <w:t>23-</w:t>
      </w:r>
      <w:r>
        <w:rPr>
          <w:iCs/>
        </w:rPr>
        <w:t>1</w:t>
      </w:r>
      <w:r>
        <w:rPr>
          <w:iCs/>
        </w:rPr>
        <w:t>-000)</w:t>
      </w:r>
      <w:r w:rsidRPr="00253DC4">
        <w:rPr>
          <w:iCs/>
        </w:rPr>
        <w:t xml:space="preserve"> to the Office of Management and Budget (OMB) through </w:t>
      </w:r>
      <w:hyperlink r:id="rId8" w:history="1">
        <w:r w:rsidRPr="00253DC4">
          <w:rPr>
            <w:color w:val="0000FF"/>
            <w:u w:val="single"/>
          </w:rPr>
          <w:t>www.reginfo.gov/public/do/PRAMain</w:t>
        </w:r>
      </w:hyperlink>
      <w:r w:rsidRPr="00253DC4">
        <w:t>,</w:t>
      </w:r>
      <w:r w:rsidRPr="00253DC4">
        <w:rPr>
          <w:iCs/>
        </w:rPr>
        <w:t xml:space="preserve"> Attention:  Federal Energy Regulatory Commission Desk Officer.  Please identify the OMB Control Number </w:t>
      </w:r>
      <w:r w:rsidRPr="00A22B29" w:rsidR="00D872AA">
        <w:t>1902-02</w:t>
      </w:r>
      <w:r>
        <w:t xml:space="preserve">70 </w:t>
      </w:r>
      <w:r w:rsidRPr="00253DC4">
        <w:t>(</w:t>
      </w:r>
      <w:r w:rsidRPr="007E5F46">
        <w:t xml:space="preserve">Mandatory Reliability Standards: Emergency Preparedness </w:t>
      </w:r>
    </w:p>
    <w:p w:rsidR="00410E21" w:rsidRPr="00CE29E3" w:rsidP="007E5F46" w14:paraId="13016B97" w14:textId="3F820A10">
      <w:pPr>
        <w:spacing w:line="480" w:lineRule="auto"/>
        <w:rPr>
          <w:b/>
        </w:rPr>
      </w:pPr>
      <w:r w:rsidRPr="007E5F46">
        <w:t>and Operations (EOP) Reliability Standards</w:t>
      </w:r>
      <w:r w:rsidRPr="00253DC4">
        <w:t>) in the subject line.</w:t>
      </w:r>
      <w:r w:rsidRPr="00253DC4">
        <w:rPr>
          <w:iCs/>
        </w:rPr>
        <w:t xml:space="preserve">  Your comments </w:t>
      </w:r>
      <w:r w:rsidRPr="00253DC4">
        <w:t>should be sent within 30 days of publication of this notice in the Federal Register.</w:t>
      </w:r>
    </w:p>
    <w:p w:rsidR="00410E21" w:rsidRPr="00253DC4" w:rsidP="00410E21" w14:paraId="38893641" w14:textId="16632FC6">
      <w:pPr>
        <w:spacing w:line="480" w:lineRule="auto"/>
        <w:ind w:firstLine="720"/>
      </w:pPr>
      <w:r w:rsidRPr="00253DC4">
        <w:t xml:space="preserve">Please submit copies of your comments (identified by Docket No. </w:t>
      </w:r>
      <w:r w:rsidR="007E5F46">
        <w:t>RD</w:t>
      </w:r>
      <w:r w:rsidRPr="00253DC4">
        <w:t>2</w:t>
      </w:r>
      <w:r>
        <w:t>3</w:t>
      </w:r>
      <w:r w:rsidRPr="00253DC4">
        <w:t>-</w:t>
      </w:r>
      <w:r w:rsidR="007E5F46">
        <w:t>1</w:t>
      </w:r>
      <w:r w:rsidRPr="00253DC4">
        <w:t>-000 and FERC-</w:t>
      </w:r>
      <w:r w:rsidR="00D872AA">
        <w:t>725</w:t>
      </w:r>
      <w:r w:rsidR="007E5F46">
        <w:t>S</w:t>
      </w:r>
      <w:r w:rsidRPr="00253DC4">
        <w:t xml:space="preserve">) to the Commission as noted below.  Electronic filing through </w:t>
      </w:r>
      <w:hyperlink r:id="rId9" w:history="1">
        <w:r w:rsidRPr="00241302">
          <w:rPr>
            <w:rStyle w:val="Hyperlink"/>
          </w:rPr>
          <w:t>https://www.ferc.gov</w:t>
        </w:r>
      </w:hyperlink>
      <w:r w:rsidRPr="00253DC4">
        <w:t xml:space="preserve"> is preferred.</w:t>
      </w:r>
    </w:p>
    <w:p w:rsidR="00410E21" w:rsidRPr="00253DC4" w:rsidP="00410E21" w14:paraId="02F33083" w14:textId="77777777">
      <w:pPr>
        <w:numPr>
          <w:ilvl w:val="0"/>
          <w:numId w:val="1"/>
        </w:numPr>
        <w:spacing w:line="480" w:lineRule="auto"/>
      </w:pPr>
      <w:r w:rsidRPr="00253DC4">
        <w:t xml:space="preserve">Electronic Filing:  Documents must be filed in acceptable native applications and print-to-PDF, but not in scanned or picture format. </w:t>
      </w:r>
    </w:p>
    <w:p w:rsidR="00410E21" w:rsidRPr="00253DC4" w:rsidP="00410E21" w14:paraId="4698BD59" w14:textId="77777777">
      <w:pPr>
        <w:numPr>
          <w:ilvl w:val="0"/>
          <w:numId w:val="1"/>
        </w:numPr>
        <w:spacing w:line="480" w:lineRule="auto"/>
      </w:pPr>
      <w:r w:rsidRPr="00253DC4">
        <w:t>For those unable to file electronically, comments may be filed by USPS mail or by hand (including courier) delivery:</w:t>
      </w:r>
    </w:p>
    <w:p w:rsidR="00410E21" w:rsidRPr="00253DC4" w:rsidP="00410E21" w14:paraId="6CA4DC2B" w14:textId="77777777">
      <w:pPr>
        <w:numPr>
          <w:ilvl w:val="2"/>
          <w:numId w:val="1"/>
        </w:numPr>
        <w:spacing w:line="480" w:lineRule="auto"/>
      </w:pPr>
      <w:r w:rsidRPr="00253DC4">
        <w:t>Mail via U.S. Postal Service only, addressed to:  Federal Energy Regulatory Commission, Secretary of the Commission, 888 First Street, N.E., Washington, DC 20426.</w:t>
      </w:r>
    </w:p>
    <w:p w:rsidR="00410E21" w:rsidRPr="00253DC4" w:rsidP="00410E21" w14:paraId="0B9F507D" w14:textId="77777777">
      <w:pPr>
        <w:numPr>
          <w:ilvl w:val="2"/>
          <w:numId w:val="1"/>
        </w:numPr>
        <w:spacing w:line="480" w:lineRule="auto"/>
      </w:pPr>
      <w:r w:rsidRPr="00253DC4">
        <w:t>Hand (including courier) delivery to:  Federal Energy Regulatory Commission, 12225 Wilkins Avenue, Rockville, MD 20852.</w:t>
      </w:r>
    </w:p>
    <w:p w:rsidR="007E5F46" w:rsidRPr="007E5F46" w:rsidP="007E5F46" w14:paraId="2A910F47" w14:textId="77777777">
      <w:pPr>
        <w:spacing w:line="480" w:lineRule="auto"/>
      </w:pPr>
      <w:r w:rsidRPr="00253DC4">
        <w:t>Please reference the specific collection number(s) (FERC-</w:t>
      </w:r>
      <w:r w:rsidR="00A65133">
        <w:t>725</w:t>
      </w:r>
      <w:r>
        <w:t>S</w:t>
      </w:r>
      <w:r w:rsidRPr="00253DC4">
        <w:t>) and/or title(s) (</w:t>
      </w:r>
      <w:r w:rsidRPr="007E5F46">
        <w:t xml:space="preserve">Mandatory Reliability Standards: Emergency Preparedness </w:t>
      </w:r>
    </w:p>
    <w:p w:rsidR="00410E21" w:rsidRPr="00253DC4" w:rsidP="007E5F46" w14:paraId="79DF906A" w14:textId="1A03D0B7">
      <w:pPr>
        <w:spacing w:line="480" w:lineRule="auto"/>
      </w:pPr>
      <w:r w:rsidRPr="007E5F46">
        <w:t>and Operations (EOP) Reliability Standards</w:t>
      </w:r>
      <w:r w:rsidRPr="00253DC4">
        <w:t>) in your comments.</w:t>
      </w:r>
    </w:p>
    <w:p w:rsidR="00410E21" w:rsidRPr="00253DC4" w:rsidP="00410E21" w14:paraId="10B43DE1" w14:textId="77777777">
      <w:pPr>
        <w:spacing w:line="480" w:lineRule="auto"/>
      </w:pPr>
      <w:r w:rsidRPr="00253DC4">
        <w:rPr>
          <w:i/>
        </w:rPr>
        <w:t xml:space="preserve">Instructions:  </w:t>
      </w:r>
      <w:r w:rsidRPr="00253DC4">
        <w:t xml:space="preserve">OMB submissions must be formatted and filed in accordance with submission guidelines at:  </w:t>
      </w:r>
      <w:hyperlink r:id="rId8" w:history="1">
        <w:r w:rsidRPr="00253DC4">
          <w:rPr>
            <w:color w:val="0000FF"/>
            <w:u w:val="single"/>
          </w:rPr>
          <w:t>www.reginfo.gov/public/do/PRAMain</w:t>
        </w:r>
      </w:hyperlink>
      <w:r w:rsidRPr="00253DC4">
        <w:t xml:space="preserve">.  Using the search function under the “Currently Under Review field,” select “Federal Energy Regulatory Commission,” click “submit,” and select “comment” to the right of the subject collection.  FERC submissions must be formatted and filed in accordance with submission guidelines at:  </w:t>
      </w:r>
      <w:hyperlink r:id="rId9" w:history="1">
        <w:r w:rsidRPr="007C522F">
          <w:rPr>
            <w:rStyle w:val="Hyperlink"/>
          </w:rPr>
          <w:t>https://www.ferc.gov</w:t>
        </w:r>
      </w:hyperlink>
      <w:r w:rsidRPr="00253DC4">
        <w:t xml:space="preserve">.  For user assistance, contact FERC Online Support by e-mail at </w:t>
      </w:r>
      <w:hyperlink r:id="rId10" w:history="1">
        <w:r w:rsidRPr="00253DC4">
          <w:rPr>
            <w:color w:val="0000FF"/>
            <w:u w:val="single"/>
          </w:rPr>
          <w:t>ferconlinesupport@ferc.gov</w:t>
        </w:r>
      </w:hyperlink>
      <w:r w:rsidRPr="00253DC4">
        <w:t>, or by phone at (866) 208-3676 (toll-free).</w:t>
      </w:r>
    </w:p>
    <w:p w:rsidR="00410E21" w:rsidRPr="00253DC4" w:rsidP="00410E21" w14:paraId="6DB68E84" w14:textId="77777777">
      <w:pPr>
        <w:spacing w:line="480" w:lineRule="auto"/>
      </w:pPr>
      <w:r w:rsidRPr="00253DC4">
        <w:rPr>
          <w:i/>
        </w:rPr>
        <w:t>Docket:</w:t>
      </w:r>
      <w:r w:rsidRPr="00253DC4">
        <w:t xml:space="preserve">  Users interested in receiving automatic notification of activity in this docket or in viewing/downloading comments and issuances in this docket may do so at </w:t>
      </w:r>
      <w:hyperlink r:id="rId9" w:history="1">
        <w:r w:rsidRPr="007C522F">
          <w:rPr>
            <w:rStyle w:val="Hyperlink"/>
          </w:rPr>
          <w:t>https://www.ferc.gov</w:t>
        </w:r>
      </w:hyperlink>
      <w:r w:rsidRPr="00253DC4">
        <w:t xml:space="preserve">. </w:t>
      </w:r>
    </w:p>
    <w:p w:rsidR="00410E21" w:rsidRPr="00253DC4" w:rsidP="00410E21" w14:paraId="0F865D7C" w14:textId="77777777">
      <w:pPr>
        <w:spacing w:line="480" w:lineRule="auto"/>
      </w:pPr>
      <w:r w:rsidRPr="00253DC4">
        <w:rPr>
          <w:b/>
        </w:rPr>
        <w:t>FOR FURTHER INFORMATION:</w:t>
      </w:r>
      <w:r w:rsidRPr="00253DC4">
        <w:t xml:space="preserve">  Ellen Brown may be reached by e-mail at </w:t>
      </w:r>
      <w:hyperlink r:id="rId11" w:history="1">
        <w:r w:rsidRPr="00253DC4">
          <w:rPr>
            <w:color w:val="0000FF"/>
            <w:u w:val="single"/>
          </w:rPr>
          <w:t>DataClearance@FERC.gov</w:t>
        </w:r>
      </w:hyperlink>
      <w:r w:rsidRPr="00253DC4">
        <w:t xml:space="preserve"> and telephone at (202) 502-8663.</w:t>
      </w:r>
    </w:p>
    <w:p w:rsidR="00D872AA" w:rsidRPr="00853ABC" w:rsidP="00D872AA" w14:paraId="4EA9FA77" w14:textId="77777777">
      <w:pPr>
        <w:tabs>
          <w:tab w:val="left" w:pos="7880"/>
        </w:tabs>
        <w:spacing w:line="480" w:lineRule="auto"/>
      </w:pPr>
      <w:r w:rsidRPr="001C3703">
        <w:rPr>
          <w:b/>
        </w:rPr>
        <w:t>SUPPLEMENTARY INFORMATION:</w:t>
      </w:r>
      <w:r>
        <w:t xml:space="preserve">  </w:t>
      </w:r>
    </w:p>
    <w:p w:rsidR="00C646EE" w:rsidRPr="007E5F46" w:rsidP="00C646EE" w14:paraId="0003E0BB" w14:textId="26279F64">
      <w:pPr>
        <w:spacing w:line="480" w:lineRule="auto"/>
      </w:pPr>
      <w:r>
        <w:rPr>
          <w:i/>
        </w:rPr>
        <w:t xml:space="preserve">Title: </w:t>
      </w:r>
      <w:r w:rsidRPr="00B511DA">
        <w:t>FERC-</w:t>
      </w:r>
      <w:r>
        <w:t>725</w:t>
      </w:r>
      <w:r>
        <w:t>S</w:t>
      </w:r>
      <w:r w:rsidRPr="00A22B29">
        <w:t xml:space="preserve"> (</w:t>
      </w:r>
      <w:r w:rsidRPr="007E5F46">
        <w:t xml:space="preserve">Mandatory Reliability Standards: Emergency Preparedness </w:t>
      </w:r>
    </w:p>
    <w:p w:rsidR="00D872AA" w:rsidRPr="00A22B29" w:rsidP="00C646EE" w14:paraId="69FA8304" w14:textId="2FD10BD9">
      <w:pPr>
        <w:spacing w:line="480" w:lineRule="auto"/>
      </w:pPr>
      <w:r w:rsidRPr="007E5F46">
        <w:t>and Operations (EOP) Reliability Standards</w:t>
      </w:r>
      <w:r w:rsidRPr="00A22B29">
        <w:t>)</w:t>
      </w:r>
    </w:p>
    <w:p w:rsidR="00D872AA" w:rsidRPr="00A22B29" w:rsidP="00D872AA" w14:paraId="4A811DD9" w14:textId="4361AD57">
      <w:pPr>
        <w:spacing w:line="480" w:lineRule="auto"/>
      </w:pPr>
      <w:r w:rsidRPr="00A22B29">
        <w:rPr>
          <w:i/>
        </w:rPr>
        <w:t>OMB Control No.:</w:t>
      </w:r>
      <w:r w:rsidRPr="00A22B29">
        <w:t xml:space="preserve"> 1902-02</w:t>
      </w:r>
      <w:r w:rsidR="007E5F46">
        <w:t>70</w:t>
      </w:r>
    </w:p>
    <w:p w:rsidR="00D872AA" w:rsidRPr="00A22B29" w:rsidP="00D872AA" w14:paraId="5662EF2A" w14:textId="179E9016">
      <w:pPr>
        <w:spacing w:line="480" w:lineRule="auto"/>
      </w:pPr>
      <w:r w:rsidRPr="00A22B29">
        <w:rPr>
          <w:i/>
        </w:rPr>
        <w:t>Type of Request:</w:t>
      </w:r>
      <w:r w:rsidRPr="00A22B29">
        <w:t xml:space="preserve"> </w:t>
      </w:r>
      <w:r w:rsidR="00C646EE">
        <w:t>Revision</w:t>
      </w:r>
      <w:r w:rsidRPr="00A22B29">
        <w:t xml:space="preserve"> of the FERC-</w:t>
      </w:r>
      <w:r>
        <w:t>725</w:t>
      </w:r>
      <w:r w:rsidR="00C646EE">
        <w:t>S</w:t>
      </w:r>
      <w:r w:rsidRPr="00A22B29">
        <w:t xml:space="preserve"> information collection requirements with changes to the current reporting and recordkeeping requirements. </w:t>
      </w:r>
    </w:p>
    <w:p w:rsidR="00A63DF5" w:rsidRPr="00C76D03" w:rsidP="00803115" w14:paraId="699CF059" w14:textId="08182BBE">
      <w:pPr>
        <w:pStyle w:val="FERCparanumber"/>
        <w:numPr>
          <w:ilvl w:val="0"/>
          <w:numId w:val="0"/>
        </w:numPr>
        <w:spacing w:line="480" w:lineRule="auto"/>
        <w:rPr>
          <w:i/>
          <w:iCs/>
        </w:rPr>
      </w:pPr>
      <w:r w:rsidRPr="21714973">
        <w:rPr>
          <w:i/>
          <w:iCs/>
        </w:rPr>
        <w:t>Abstract:</w:t>
      </w:r>
      <w:r w:rsidRPr="00797C53" w:rsidR="00797C53">
        <w:t xml:space="preserve"> </w:t>
      </w:r>
      <w:r w:rsidR="00797C53">
        <w:t xml:space="preserve">On </w:t>
      </w:r>
      <w:r w:rsidRPr="000774DA" w:rsidR="00797C53">
        <w:t>Mar</w:t>
      </w:r>
      <w:r w:rsidR="00797C53">
        <w:t>ch</w:t>
      </w:r>
      <w:r w:rsidRPr="000774DA" w:rsidR="00797C53">
        <w:t xml:space="preserve"> </w:t>
      </w:r>
      <w:r w:rsidR="00797C53">
        <w:t>10</w:t>
      </w:r>
      <w:r w:rsidRPr="000774DA" w:rsidR="00797C53">
        <w:t>, 2023</w:t>
      </w:r>
      <w:r w:rsidR="00797C53">
        <w:t xml:space="preserve"> the Commission published an order in Docket No. RD23-1-000 that approved Extreme Cold Weather Reliability </w:t>
      </w:r>
      <w:r w:rsidR="00311BC7">
        <w:t>Standards EOP-011-3 and EOP-12-1, which were submitted by the North American Electric Corporation (NERC)</w:t>
      </w:r>
      <w:r w:rsidR="00A47D9A">
        <w:t>.</w:t>
      </w:r>
      <w:r>
        <w:rPr>
          <w:rStyle w:val="FootnoteReference"/>
        </w:rPr>
        <w:footnoteReference w:id="3"/>
      </w:r>
      <w:r w:rsidR="00A47D9A">
        <w:t xml:space="preserve"> The order included a 60-day notice in the Federal Register and received no comments. </w:t>
      </w:r>
      <w:r w:rsidRPr="00C76D03" w:rsidR="00C76D03">
        <w:t>T</w:t>
      </w:r>
      <w:r w:rsidR="00A47D9A">
        <w:t>he order modifies the</w:t>
      </w:r>
      <w:r w:rsidR="00F36859">
        <w:t xml:space="preserve"> FERC 725S Info</w:t>
      </w:r>
      <w:r w:rsidR="005865B3">
        <w:t>rmation Collection</w:t>
      </w:r>
      <w:r w:rsidR="00A47D9A">
        <w:t xml:space="preserve"> </w:t>
      </w:r>
      <w:r w:rsidR="00C76D03">
        <w:t>and</w:t>
      </w:r>
      <w:r w:rsidR="00BA432B">
        <w:t xml:space="preserve"> direct</w:t>
      </w:r>
      <w:r w:rsidR="00B37E3A">
        <w:t>ed NERC to modify Reliability Standard EOP</w:t>
      </w:r>
      <w:r w:rsidR="00E60BEA">
        <w:t>-</w:t>
      </w:r>
      <w:r>
        <w:t>012-1.</w:t>
      </w:r>
    </w:p>
    <w:p w:rsidR="00E64E9B" w:rsidP="00803115" w14:paraId="5F8B3B5A" w14:textId="44BD6C9C">
      <w:pPr>
        <w:pStyle w:val="FERCparanumber"/>
        <w:numPr>
          <w:ilvl w:val="0"/>
          <w:numId w:val="0"/>
        </w:numPr>
        <w:spacing w:line="480" w:lineRule="auto"/>
      </w:pPr>
      <w:r w:rsidRPr="004F4940">
        <w:t>The collection is currently approved by OMB and contains Reliability Standards EOP-010-1, EOP-011-1, EOP-004-4, EOP 005-3, EOP-006-3, EOP-008-2 (Table 1).  In</w:t>
      </w:r>
      <w:r w:rsidR="005865B3">
        <w:t xml:space="preserve"> the order,</w:t>
      </w:r>
      <w:r w:rsidRPr="004F4940">
        <w:t xml:space="preserve"> Docket No. RD23-1-000, the Commission proposes to replace the current OMB </w:t>
      </w:r>
      <w:r w:rsidRPr="004F4940">
        <w:t>approved Reliability Standard EOP-011-1</w:t>
      </w:r>
      <w:r>
        <w:rPr>
          <w:rStyle w:val="FootnoteReference"/>
        </w:rPr>
        <w:footnoteReference w:id="4"/>
      </w:r>
      <w:r w:rsidRPr="004F4940">
        <w:t xml:space="preserve"> with Reliability Standard EOP-011-3 (Table 2) and add a new information collection line item for Reliability Standard EOP-012-1 (Table 3).</w:t>
      </w:r>
    </w:p>
    <w:p w:rsidR="00C83C47" w:rsidRPr="004F4940" w:rsidP="00803115" w14:paraId="015008C8" w14:textId="77777777">
      <w:pPr>
        <w:pStyle w:val="FERCparanumber"/>
        <w:numPr>
          <w:ilvl w:val="0"/>
          <w:numId w:val="0"/>
        </w:numPr>
        <w:spacing w:line="480" w:lineRule="auto"/>
      </w:pPr>
      <w:r w:rsidRPr="004F4940">
        <w:t>The Reliability Standard EOP-011-3 modifications transfer Requirements R7 and R8 to Reliability Standard EOP-012-1, as described below.  For Reliability Standard EOP-011-3, transmission operators and to a much lesser extent, balancing authorities, still have a one-time cost to modify existing operating plans based on revisions to Reliability Standard EOP-011-3 (Requirements R1 and R2) and to mitigate operating emergencies related to cold weather conditions.  Additionally, reliability coordinators will need to review the modified operating plans of the transmission operators.  In year three and ongoing, the transmission operator and reliability coordinator estimates are lower to reflect lower paperwork burden for upkeep and review of the operating plans for emergencies based on the modified Reliability Standard EOP-011-3 to ensure that the new requirements are in place and that applicable entities are following those plans.</w:t>
      </w:r>
    </w:p>
    <w:p w:rsidR="009E248F" w:rsidP="00803115" w14:paraId="3C5DD218" w14:textId="6A30D38E">
      <w:pPr>
        <w:pStyle w:val="FERCparanumber"/>
        <w:numPr>
          <w:ilvl w:val="0"/>
          <w:numId w:val="0"/>
        </w:numPr>
        <w:spacing w:line="480" w:lineRule="auto"/>
      </w:pPr>
      <w:r w:rsidRPr="004F4940">
        <w:t xml:space="preserve">The new Reliability Standard EOP-012-1, which is applicable to 1,107 generator owners and 981 generator operators, contains several new requirements and two requirements </w:t>
      </w:r>
      <w:r w:rsidRPr="004F4940">
        <w:t>from Reliability Standard EOP-011-2 that have been moved to Reliability Standard EOP-012-1.  In year three and ongoing, the estimates are lower to reflect that the implementation plan(s) to mitigate the reliability effects of extreme cold weather conditions on generating units are in place and that entities are familiar with the EOP-012-1 requirements.</w:t>
      </w:r>
    </w:p>
    <w:p w:rsidR="00D872AA" w:rsidP="00D872AA" w14:paraId="775BCBFC" w14:textId="77777777">
      <w:pPr>
        <w:spacing w:line="480" w:lineRule="auto"/>
        <w:rPr>
          <w:bCs/>
        </w:rPr>
      </w:pPr>
      <w:r w:rsidRPr="003D25C9">
        <w:rPr>
          <w:bCs/>
          <w:i/>
        </w:rPr>
        <w:t xml:space="preserve">Type of Respondent: </w:t>
      </w:r>
      <w:r w:rsidRPr="00863194">
        <w:rPr>
          <w:bCs/>
        </w:rPr>
        <w:t xml:space="preserve">Balancing Authority (BA),Transmission Operations (TOP) and Reliability Coordinators (RC). </w:t>
      </w:r>
    </w:p>
    <w:p w:rsidR="00D872AA" w:rsidRPr="00CB1515" w:rsidP="00D872AA" w14:paraId="17AD763D" w14:textId="77777777">
      <w:pPr>
        <w:spacing w:line="480" w:lineRule="auto"/>
        <w:rPr>
          <w:sz w:val="24"/>
          <w:highlight w:val="cyan"/>
        </w:rPr>
      </w:pPr>
      <w:r w:rsidRPr="004E2C78">
        <w:rPr>
          <w:i/>
        </w:rPr>
        <w:t>Estimate of Annual Burden</w:t>
      </w:r>
      <w:r>
        <w:rPr>
          <w:i/>
        </w:rPr>
        <w:t>:</w:t>
      </w:r>
      <w:r>
        <w:rPr>
          <w:rStyle w:val="FootnoteReference"/>
          <w:i/>
        </w:rPr>
        <w:footnoteReference w:id="5"/>
      </w:r>
      <w:r w:rsidRPr="003D25C9">
        <w:t xml:space="preserve"> The Commission estimates the total annual burden and cost</w:t>
      </w:r>
      <w:r>
        <w:t xml:space="preserve"> </w:t>
      </w:r>
      <w:r w:rsidRPr="003D25C9">
        <w:t xml:space="preserve">for this information collection in the table below.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4"/>
        <w:gridCol w:w="1447"/>
        <w:gridCol w:w="1359"/>
        <w:gridCol w:w="1249"/>
        <w:gridCol w:w="1134"/>
        <w:gridCol w:w="1318"/>
        <w:gridCol w:w="1359"/>
      </w:tblGrid>
      <w:tr w14:paraId="603C0D47" w14:textId="77777777" w:rsidTr="00C76D03">
        <w:tblPrEx>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jc w:val="righ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DC02DE" w:rsidRPr="004F4940" w:rsidP="00C76D03" w14:paraId="5D2E9CA3" w14:textId="77777777">
            <w:pPr>
              <w:pStyle w:val="FERCparanumber"/>
              <w:numPr>
                <w:ilvl w:val="0"/>
                <w:numId w:val="0"/>
              </w:numPr>
              <w:spacing w:before="240"/>
              <w:jc w:val="center"/>
              <w:rPr>
                <w:b/>
                <w:bCs/>
              </w:rPr>
            </w:pPr>
            <w:r w:rsidRPr="004F4940">
              <w:rPr>
                <w:b/>
                <w:bCs/>
              </w:rPr>
              <w:t>Table 1: Current costs and burden related to FERC-725S (1902-0270)</w:t>
            </w:r>
          </w:p>
        </w:tc>
      </w:tr>
      <w:tr w14:paraId="1FBCEF69" w14:textId="77777777" w:rsidTr="00C76D03">
        <w:tblPrEx>
          <w:tblW w:w="5000" w:type="pct"/>
          <w:jc w:val="right"/>
          <w:tblLook w:val="01E0"/>
        </w:tblPrEx>
        <w:trPr>
          <w:cantSplit/>
          <w:jc w:val="right"/>
        </w:trPr>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DC02DE" w:rsidRPr="004F4940" w:rsidP="00C76D03" w14:paraId="7AD6447E" w14:textId="77777777">
            <w:pPr>
              <w:rPr>
                <w:b/>
                <w:sz w:val="24"/>
                <w:szCs w:val="20"/>
              </w:rPr>
            </w:pPr>
            <w:r w:rsidRPr="004F4940">
              <w:rPr>
                <w:b/>
                <w:sz w:val="24"/>
                <w:szCs w:val="20"/>
              </w:rPr>
              <w:t>Reliability Standard and Associated Requirement</w:t>
            </w:r>
          </w:p>
        </w:tc>
        <w:tc>
          <w:tcPr>
            <w:tcW w:w="764"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C02DE" w:rsidRPr="004F4940" w:rsidP="00C76D03" w14:paraId="090E7E9A" w14:textId="77777777">
            <w:pPr>
              <w:rPr>
                <w:b/>
                <w:sz w:val="24"/>
                <w:szCs w:val="20"/>
              </w:rPr>
            </w:pPr>
            <w:r w:rsidRPr="004F4940">
              <w:rPr>
                <w:b/>
                <w:sz w:val="24"/>
                <w:szCs w:val="20"/>
              </w:rPr>
              <w:t>Number of Respondents</w:t>
            </w:r>
            <w:r w:rsidRPr="004F4940">
              <w:rPr>
                <w:b/>
                <w:sz w:val="24"/>
                <w:szCs w:val="20"/>
              </w:rPr>
              <w:br/>
              <w:t>(1)</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C02DE" w:rsidRPr="004F4940" w:rsidP="00C76D03" w14:paraId="0C1B91EC" w14:textId="77777777">
            <w:pPr>
              <w:rPr>
                <w:b/>
                <w:sz w:val="24"/>
                <w:szCs w:val="20"/>
              </w:rPr>
            </w:pPr>
            <w:r w:rsidRPr="004F4940">
              <w:rPr>
                <w:b/>
                <w:sz w:val="24"/>
                <w:szCs w:val="20"/>
              </w:rPr>
              <w:t>Annual Number of Responses per Respondent</w:t>
            </w:r>
          </w:p>
          <w:p w:rsidR="00DC02DE" w:rsidRPr="004F4940" w:rsidP="00C76D03" w14:paraId="18B9B226" w14:textId="77777777">
            <w:pPr>
              <w:rPr>
                <w:b/>
                <w:sz w:val="24"/>
                <w:szCs w:val="20"/>
              </w:rPr>
            </w:pPr>
            <w:r w:rsidRPr="004F4940">
              <w:rPr>
                <w:b/>
                <w:sz w:val="24"/>
                <w:szCs w:val="20"/>
              </w:rPr>
              <w:t>(2)</w:t>
            </w:r>
          </w:p>
        </w:tc>
        <w:tc>
          <w:tcPr>
            <w:tcW w:w="809"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C02DE" w:rsidRPr="004F4940" w:rsidP="00C76D03" w14:paraId="26F4241D" w14:textId="77777777">
            <w:pPr>
              <w:rPr>
                <w:b/>
                <w:sz w:val="24"/>
                <w:szCs w:val="20"/>
              </w:rPr>
            </w:pPr>
            <w:r w:rsidRPr="004F4940">
              <w:rPr>
                <w:b/>
                <w:sz w:val="24"/>
                <w:szCs w:val="20"/>
              </w:rPr>
              <w:t>Total Number of Responses (1)*(2)=(3)</w:t>
            </w:r>
          </w:p>
        </w:tc>
        <w:tc>
          <w:tcPr>
            <w:tcW w:w="663"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C02DE" w:rsidRPr="004F4940" w:rsidP="00C76D03" w14:paraId="7F1A2ADF" w14:textId="77777777">
            <w:pPr>
              <w:rPr>
                <w:b/>
                <w:sz w:val="24"/>
                <w:szCs w:val="20"/>
              </w:rPr>
            </w:pPr>
            <w:r w:rsidRPr="004F4940">
              <w:rPr>
                <w:b/>
                <w:sz w:val="24"/>
                <w:szCs w:val="20"/>
              </w:rPr>
              <w:t>Average Burden &amp; Cost Per Response</w:t>
            </w:r>
          </w:p>
          <w:p w:rsidR="00DC02DE" w:rsidRPr="004F4940" w:rsidP="00C76D03" w14:paraId="29EBB203" w14:textId="77777777">
            <w:pPr>
              <w:rPr>
                <w:b/>
                <w:sz w:val="24"/>
                <w:szCs w:val="20"/>
              </w:rPr>
            </w:pPr>
            <w:r w:rsidRPr="004F4940">
              <w:rPr>
                <w:b/>
                <w:sz w:val="24"/>
                <w:szCs w:val="20"/>
              </w:rPr>
              <w:t>(4)</w:t>
            </w:r>
          </w:p>
        </w:tc>
        <w:tc>
          <w:tcPr>
            <w:tcW w:w="696"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C02DE" w:rsidRPr="004F4940" w:rsidP="00C76D03" w14:paraId="5218E073" w14:textId="77777777">
            <w:pPr>
              <w:rPr>
                <w:b/>
                <w:sz w:val="24"/>
                <w:szCs w:val="20"/>
              </w:rPr>
            </w:pPr>
            <w:r w:rsidRPr="004F4940">
              <w:rPr>
                <w:b/>
                <w:sz w:val="24"/>
                <w:szCs w:val="20"/>
              </w:rPr>
              <w:t>Total Annual Burden &amp; Total Annual Cost</w:t>
            </w:r>
          </w:p>
          <w:p w:rsidR="00DC02DE" w:rsidRPr="004F4940" w:rsidP="00C76D03" w14:paraId="1F6780EF" w14:textId="77777777">
            <w:pPr>
              <w:rPr>
                <w:b/>
                <w:sz w:val="24"/>
                <w:szCs w:val="20"/>
              </w:rPr>
            </w:pPr>
            <w:r w:rsidRPr="004F4940">
              <w:rPr>
                <w:b/>
                <w:sz w:val="24"/>
                <w:szCs w:val="20"/>
              </w:rPr>
              <w:t>(3)*(4)=(5)</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DC02DE" w:rsidRPr="004F4940" w:rsidP="00C76D03" w14:paraId="60CA0C8A" w14:textId="77777777">
            <w:pPr>
              <w:rPr>
                <w:b/>
                <w:sz w:val="24"/>
                <w:szCs w:val="20"/>
              </w:rPr>
            </w:pPr>
            <w:r w:rsidRPr="004F4940">
              <w:rPr>
                <w:b/>
                <w:sz w:val="24"/>
                <w:szCs w:val="20"/>
              </w:rPr>
              <w:t>Cost per Respondent</w:t>
            </w:r>
          </w:p>
          <w:p w:rsidR="00DC02DE" w:rsidRPr="004F4940" w:rsidP="00C76D03" w14:paraId="4250016B" w14:textId="77777777">
            <w:pPr>
              <w:rPr>
                <w:b/>
                <w:sz w:val="24"/>
                <w:szCs w:val="20"/>
              </w:rPr>
            </w:pPr>
            <w:r w:rsidRPr="004F4940">
              <w:rPr>
                <w:b/>
                <w:sz w:val="24"/>
                <w:szCs w:val="20"/>
              </w:rPr>
              <w:t xml:space="preserve"> ($)</w:t>
            </w:r>
          </w:p>
          <w:p w:rsidR="00DC02DE" w:rsidRPr="004F4940" w:rsidP="00C76D03" w14:paraId="1253464F" w14:textId="77777777">
            <w:pPr>
              <w:rPr>
                <w:b/>
                <w:sz w:val="24"/>
                <w:szCs w:val="20"/>
              </w:rPr>
            </w:pPr>
            <w:r w:rsidRPr="004F4940">
              <w:rPr>
                <w:b/>
                <w:sz w:val="24"/>
                <w:szCs w:val="20"/>
              </w:rPr>
              <w:t>(5)÷(1)</w:t>
            </w:r>
          </w:p>
        </w:tc>
      </w:tr>
      <w:tr w14:paraId="3DF794C1" w14:textId="77777777" w:rsidTr="00C76D03">
        <w:tblPrEx>
          <w:tblW w:w="5000" w:type="pct"/>
          <w:jc w:val="right"/>
          <w:tblLook w:val="01E0"/>
        </w:tblPrEx>
        <w:trPr>
          <w:cantSplit/>
          <w:jc w:val="right"/>
        </w:trPr>
        <w:tc>
          <w:tcPr>
            <w:tcW w:w="78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C02DE" w:rsidRPr="004F4940" w:rsidP="00C76D03" w14:paraId="2E395727" w14:textId="77777777">
            <w:pPr>
              <w:rPr>
                <w:b/>
              </w:rPr>
            </w:pPr>
            <w:r w:rsidRPr="004F4940">
              <w:rPr>
                <w:b/>
              </w:rPr>
              <w:t>EOP-010-1</w:t>
            </w:r>
          </w:p>
        </w:tc>
        <w:tc>
          <w:tcPr>
            <w:tcW w:w="4217"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02DE" w:rsidRPr="004F4940" w:rsidP="00C76D03" w14:paraId="68D13BFF" w14:textId="77777777"/>
        </w:tc>
      </w:tr>
      <w:tr w14:paraId="59834427" w14:textId="77777777" w:rsidTr="00C76D03">
        <w:tblPrEx>
          <w:tblW w:w="5000" w:type="pct"/>
          <w:jc w:val="right"/>
          <w:tblLook w:val="01E0"/>
        </w:tblPrEx>
        <w:trPr>
          <w:cantSplit/>
          <w:jc w:val="right"/>
        </w:trPr>
        <w:tc>
          <w:tcPr>
            <w:tcW w:w="783" w:type="pct"/>
            <w:tcBorders>
              <w:top w:val="single" w:sz="4" w:space="0" w:color="auto"/>
              <w:left w:val="single" w:sz="4" w:space="0" w:color="auto"/>
              <w:bottom w:val="single" w:sz="4" w:space="0" w:color="auto"/>
              <w:right w:val="single" w:sz="4" w:space="0" w:color="auto"/>
            </w:tcBorders>
            <w:hideMark/>
          </w:tcPr>
          <w:p w:rsidR="00DC02DE" w:rsidRPr="004F4940" w:rsidP="00C76D03" w14:paraId="5E129843" w14:textId="77777777"/>
        </w:tc>
        <w:tc>
          <w:tcPr>
            <w:tcW w:w="764" w:type="pct"/>
            <w:tcBorders>
              <w:top w:val="single" w:sz="4" w:space="0" w:color="auto"/>
              <w:left w:val="single" w:sz="4" w:space="0" w:color="auto"/>
              <w:bottom w:val="single" w:sz="4" w:space="0" w:color="auto"/>
              <w:right w:val="single" w:sz="4" w:space="0" w:color="auto"/>
            </w:tcBorders>
            <w:hideMark/>
          </w:tcPr>
          <w:p w:rsidR="00DC02DE" w:rsidRPr="004F4940" w:rsidP="00C76D03" w14:paraId="0A682E9D" w14:textId="77777777">
            <w:r w:rsidRPr="004F4940">
              <w:t>181</w:t>
            </w:r>
          </w:p>
        </w:tc>
        <w:tc>
          <w:tcPr>
            <w:tcW w:w="568" w:type="pct"/>
            <w:tcBorders>
              <w:top w:val="single" w:sz="4" w:space="0" w:color="auto"/>
              <w:left w:val="single" w:sz="4" w:space="0" w:color="auto"/>
              <w:bottom w:val="single" w:sz="4" w:space="0" w:color="auto"/>
              <w:right w:val="single" w:sz="4" w:space="0" w:color="auto"/>
            </w:tcBorders>
            <w:hideMark/>
          </w:tcPr>
          <w:p w:rsidR="00DC02DE" w:rsidRPr="004F4940" w:rsidP="00C76D03" w14:paraId="59D10291" w14:textId="77777777">
            <w:r w:rsidRPr="004F4940">
              <w:t>1</w:t>
            </w:r>
          </w:p>
        </w:tc>
        <w:tc>
          <w:tcPr>
            <w:tcW w:w="809" w:type="pct"/>
            <w:tcBorders>
              <w:top w:val="single" w:sz="4" w:space="0" w:color="auto"/>
              <w:left w:val="single" w:sz="4" w:space="0" w:color="auto"/>
              <w:bottom w:val="single" w:sz="4" w:space="0" w:color="auto"/>
              <w:right w:val="single" w:sz="4" w:space="0" w:color="auto"/>
            </w:tcBorders>
            <w:hideMark/>
          </w:tcPr>
          <w:p w:rsidR="00DC02DE" w:rsidRPr="004F4940" w:rsidP="00C76D03" w14:paraId="425C6418" w14:textId="77777777">
            <w:r w:rsidRPr="004F4940">
              <w:t>181</w:t>
            </w:r>
          </w:p>
        </w:tc>
        <w:tc>
          <w:tcPr>
            <w:tcW w:w="663" w:type="pct"/>
            <w:tcBorders>
              <w:top w:val="single" w:sz="4" w:space="0" w:color="auto"/>
              <w:left w:val="single" w:sz="4" w:space="0" w:color="auto"/>
              <w:bottom w:val="single" w:sz="4" w:space="0" w:color="auto"/>
              <w:right w:val="single" w:sz="4" w:space="0" w:color="auto"/>
            </w:tcBorders>
            <w:hideMark/>
          </w:tcPr>
          <w:p w:rsidR="00DC02DE" w:rsidRPr="004F4940" w:rsidP="00C76D03" w14:paraId="6D78CA60" w14:textId="77777777">
            <w:r w:rsidRPr="004F4940">
              <w:t>20 hrs.;</w:t>
            </w:r>
          </w:p>
          <w:p w:rsidR="00DC02DE" w:rsidRPr="004F4940" w:rsidP="00C76D03" w14:paraId="4DF8C706" w14:textId="77777777">
            <w:r w:rsidRPr="004F4940">
              <w:t>$1,660</w:t>
            </w:r>
          </w:p>
        </w:tc>
        <w:tc>
          <w:tcPr>
            <w:tcW w:w="696" w:type="pct"/>
            <w:tcBorders>
              <w:top w:val="single" w:sz="4" w:space="0" w:color="auto"/>
              <w:left w:val="single" w:sz="4" w:space="0" w:color="auto"/>
              <w:bottom w:val="single" w:sz="4" w:space="0" w:color="auto"/>
              <w:right w:val="single" w:sz="4" w:space="0" w:color="auto"/>
            </w:tcBorders>
            <w:hideMark/>
          </w:tcPr>
          <w:p w:rsidR="00DC02DE" w:rsidRPr="004F4940" w:rsidP="00C76D03" w14:paraId="5BF81EA6" w14:textId="77777777">
            <w:r w:rsidRPr="004F4940">
              <w:t xml:space="preserve">3,620 hrs.; $300,460 </w:t>
            </w:r>
          </w:p>
        </w:tc>
        <w:tc>
          <w:tcPr>
            <w:tcW w:w="718" w:type="pct"/>
            <w:tcBorders>
              <w:top w:val="single" w:sz="4" w:space="0" w:color="auto"/>
              <w:left w:val="single" w:sz="4" w:space="0" w:color="auto"/>
              <w:bottom w:val="single" w:sz="4" w:space="0" w:color="auto"/>
              <w:right w:val="single" w:sz="4" w:space="0" w:color="auto"/>
            </w:tcBorders>
            <w:hideMark/>
          </w:tcPr>
          <w:p w:rsidR="00DC02DE" w:rsidRPr="004F4940" w:rsidP="00C76D03" w14:paraId="58BCAE9B" w14:textId="77777777">
            <w:r w:rsidRPr="004F4940">
              <w:t>$1,660</w:t>
            </w:r>
          </w:p>
        </w:tc>
      </w:tr>
      <w:tr w14:paraId="445AA67F" w14:textId="77777777" w:rsidTr="00C76D03">
        <w:tblPrEx>
          <w:tblW w:w="5000" w:type="pct"/>
          <w:jc w:val="right"/>
          <w:tblLook w:val="01E0"/>
        </w:tblPrEx>
        <w:trPr>
          <w:cantSplit/>
          <w:jc w:val="right"/>
        </w:trPr>
        <w:tc>
          <w:tcPr>
            <w:tcW w:w="78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C02DE" w:rsidRPr="004F4940" w:rsidP="00C76D03" w14:paraId="1BDA6FD3" w14:textId="77777777">
            <w:r w:rsidRPr="004F4940">
              <w:rPr>
                <w:b/>
              </w:rPr>
              <w:t>EOP-011-1</w:t>
            </w:r>
          </w:p>
        </w:tc>
        <w:tc>
          <w:tcPr>
            <w:tcW w:w="76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C02DE" w:rsidRPr="004F4940" w:rsidP="00C76D03" w14:paraId="2600BB75" w14:textId="77777777"/>
        </w:tc>
        <w:tc>
          <w:tcPr>
            <w:tcW w:w="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C02DE" w:rsidRPr="004F4940" w:rsidP="00C76D03" w14:paraId="05244E20" w14:textId="77777777"/>
        </w:tc>
        <w:tc>
          <w:tcPr>
            <w:tcW w:w="8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C02DE" w:rsidRPr="004F4940" w:rsidP="00C76D03" w14:paraId="5CD5D433" w14:textId="77777777"/>
        </w:tc>
        <w:tc>
          <w:tcPr>
            <w:tcW w:w="66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C02DE" w:rsidRPr="004F4940" w:rsidP="00C76D03" w14:paraId="123A99AC" w14:textId="77777777"/>
        </w:tc>
        <w:tc>
          <w:tcPr>
            <w:tcW w:w="6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C02DE" w:rsidRPr="004F4940" w:rsidP="00C76D03" w14:paraId="6D261999" w14:textId="77777777"/>
        </w:tc>
        <w:tc>
          <w:tcPr>
            <w:tcW w:w="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C02DE" w:rsidRPr="004F4940" w:rsidP="00C76D03" w14:paraId="69B0F2AC" w14:textId="77777777"/>
        </w:tc>
      </w:tr>
      <w:tr w14:paraId="60C58A30" w14:textId="77777777" w:rsidTr="00C76D03">
        <w:tblPrEx>
          <w:tblW w:w="5000" w:type="pct"/>
          <w:jc w:val="right"/>
          <w:tblLook w:val="01E0"/>
        </w:tblPrEx>
        <w:trPr>
          <w:cantSplit/>
          <w:jc w:val="right"/>
        </w:trPr>
        <w:tc>
          <w:tcPr>
            <w:tcW w:w="783" w:type="pct"/>
            <w:tcBorders>
              <w:top w:val="single" w:sz="4" w:space="0" w:color="auto"/>
              <w:left w:val="single" w:sz="4" w:space="0" w:color="auto"/>
              <w:bottom w:val="single" w:sz="4" w:space="0" w:color="auto"/>
              <w:right w:val="single" w:sz="4" w:space="0" w:color="auto"/>
            </w:tcBorders>
            <w:hideMark/>
          </w:tcPr>
          <w:p w:rsidR="00DC02DE" w:rsidRPr="004F4940" w:rsidP="00C76D03" w14:paraId="64B23332" w14:textId="77777777"/>
        </w:tc>
        <w:tc>
          <w:tcPr>
            <w:tcW w:w="764" w:type="pct"/>
            <w:tcBorders>
              <w:top w:val="single" w:sz="4" w:space="0" w:color="auto"/>
              <w:left w:val="single" w:sz="4" w:space="0" w:color="auto"/>
              <w:bottom w:val="single" w:sz="4" w:space="0" w:color="auto"/>
              <w:right w:val="single" w:sz="4" w:space="0" w:color="auto"/>
            </w:tcBorders>
            <w:hideMark/>
          </w:tcPr>
          <w:p w:rsidR="00DC02DE" w:rsidRPr="004F4940" w:rsidP="00C76D03" w14:paraId="2362F5EF" w14:textId="77777777">
            <w:r w:rsidRPr="004F4940">
              <w:t>12</w:t>
            </w:r>
          </w:p>
        </w:tc>
        <w:tc>
          <w:tcPr>
            <w:tcW w:w="568" w:type="pct"/>
            <w:tcBorders>
              <w:top w:val="single" w:sz="4" w:space="0" w:color="auto"/>
              <w:left w:val="single" w:sz="4" w:space="0" w:color="auto"/>
              <w:bottom w:val="single" w:sz="4" w:space="0" w:color="auto"/>
              <w:right w:val="single" w:sz="4" w:space="0" w:color="auto"/>
            </w:tcBorders>
            <w:hideMark/>
          </w:tcPr>
          <w:p w:rsidR="00DC02DE" w:rsidRPr="004F4940" w:rsidP="00C76D03" w14:paraId="26819377" w14:textId="77777777">
            <w:r w:rsidRPr="004F4940">
              <w:t>1</w:t>
            </w:r>
          </w:p>
        </w:tc>
        <w:tc>
          <w:tcPr>
            <w:tcW w:w="809" w:type="pct"/>
            <w:tcBorders>
              <w:top w:val="single" w:sz="4" w:space="0" w:color="auto"/>
              <w:left w:val="single" w:sz="4" w:space="0" w:color="auto"/>
              <w:bottom w:val="single" w:sz="4" w:space="0" w:color="auto"/>
              <w:right w:val="single" w:sz="4" w:space="0" w:color="auto"/>
            </w:tcBorders>
            <w:hideMark/>
          </w:tcPr>
          <w:p w:rsidR="00DC02DE" w:rsidRPr="004F4940" w:rsidP="00C76D03" w14:paraId="5402F433" w14:textId="77777777">
            <w:r w:rsidRPr="004F4940">
              <w:t>12</w:t>
            </w:r>
          </w:p>
        </w:tc>
        <w:tc>
          <w:tcPr>
            <w:tcW w:w="663" w:type="pct"/>
            <w:tcBorders>
              <w:top w:val="single" w:sz="4" w:space="0" w:color="auto"/>
              <w:left w:val="single" w:sz="4" w:space="0" w:color="auto"/>
              <w:bottom w:val="single" w:sz="4" w:space="0" w:color="auto"/>
              <w:right w:val="single" w:sz="4" w:space="0" w:color="auto"/>
            </w:tcBorders>
            <w:hideMark/>
          </w:tcPr>
          <w:p w:rsidR="00DC02DE" w:rsidRPr="004F4940" w:rsidP="00C76D03" w14:paraId="105F3CAB" w14:textId="77777777">
            <w:r w:rsidRPr="004F4940">
              <w:t xml:space="preserve">1,500 hrs.; </w:t>
            </w:r>
          </w:p>
          <w:p w:rsidR="00DC02DE" w:rsidRPr="004F4940" w:rsidP="00C76D03" w14:paraId="30A7346E" w14:textId="77777777">
            <w:r w:rsidRPr="004F4940">
              <w:t>$124,500</w:t>
            </w:r>
          </w:p>
        </w:tc>
        <w:tc>
          <w:tcPr>
            <w:tcW w:w="696" w:type="pct"/>
            <w:tcBorders>
              <w:top w:val="single" w:sz="4" w:space="0" w:color="auto"/>
              <w:left w:val="single" w:sz="4" w:space="0" w:color="auto"/>
              <w:bottom w:val="single" w:sz="4" w:space="0" w:color="auto"/>
              <w:right w:val="single" w:sz="4" w:space="0" w:color="auto"/>
            </w:tcBorders>
            <w:hideMark/>
          </w:tcPr>
          <w:p w:rsidR="00DC02DE" w:rsidRPr="004F4940" w:rsidP="00C76D03" w14:paraId="19931E4E" w14:textId="77777777">
            <w:r w:rsidRPr="004F4940">
              <w:t>18,000 hrs.;</w:t>
            </w:r>
          </w:p>
          <w:p w:rsidR="00DC02DE" w:rsidRPr="004F4940" w:rsidP="00C76D03" w14:paraId="3BFE4E9C" w14:textId="77777777">
            <w:r w:rsidRPr="004F4940">
              <w:t>$1,494,000</w:t>
            </w:r>
          </w:p>
        </w:tc>
        <w:tc>
          <w:tcPr>
            <w:tcW w:w="718" w:type="pct"/>
            <w:tcBorders>
              <w:top w:val="single" w:sz="4" w:space="0" w:color="auto"/>
              <w:left w:val="single" w:sz="4" w:space="0" w:color="auto"/>
              <w:bottom w:val="single" w:sz="4" w:space="0" w:color="auto"/>
              <w:right w:val="single" w:sz="4" w:space="0" w:color="auto"/>
            </w:tcBorders>
            <w:hideMark/>
          </w:tcPr>
          <w:p w:rsidR="00DC02DE" w:rsidRPr="004F4940" w:rsidP="00C76D03" w14:paraId="261A79F6" w14:textId="77777777">
            <w:r w:rsidRPr="004F4940">
              <w:t>$124,500</w:t>
            </w:r>
          </w:p>
        </w:tc>
      </w:tr>
      <w:tr w14:paraId="2BC8B9D7" w14:textId="77777777" w:rsidTr="00C76D03">
        <w:tblPrEx>
          <w:tblW w:w="5000" w:type="pct"/>
          <w:jc w:val="right"/>
          <w:tblLook w:val="01E0"/>
        </w:tblPrEx>
        <w:trPr>
          <w:cantSplit/>
          <w:jc w:val="right"/>
        </w:trPr>
        <w:tc>
          <w:tcPr>
            <w:tcW w:w="78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C02DE" w:rsidRPr="004F4940" w:rsidP="00C76D03" w14:paraId="155339A5" w14:textId="77777777">
            <w:pPr>
              <w:rPr>
                <w:b/>
              </w:rPr>
            </w:pPr>
            <w:r w:rsidRPr="004F4940">
              <w:rPr>
                <w:b/>
              </w:rPr>
              <w:t>EOP-004-4, EOP-005-3,  EOP-006-3, EOP-008-2</w:t>
            </w:r>
          </w:p>
        </w:tc>
        <w:tc>
          <w:tcPr>
            <w:tcW w:w="76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C02DE" w:rsidRPr="004F4940" w:rsidP="00C76D03" w14:paraId="34D71921" w14:textId="77777777">
            <w:pPr>
              <w:rPr>
                <w:b/>
              </w:rPr>
            </w:pPr>
          </w:p>
        </w:tc>
        <w:tc>
          <w:tcPr>
            <w:tcW w:w="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C02DE" w:rsidRPr="004F4940" w:rsidP="00C76D03" w14:paraId="3AEBC494" w14:textId="77777777"/>
        </w:tc>
        <w:tc>
          <w:tcPr>
            <w:tcW w:w="8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C02DE" w:rsidRPr="004F4940" w:rsidP="00C76D03" w14:paraId="01E14773" w14:textId="77777777"/>
        </w:tc>
        <w:tc>
          <w:tcPr>
            <w:tcW w:w="66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C02DE" w:rsidRPr="004F4940" w:rsidP="00C76D03" w14:paraId="3A7EA68C" w14:textId="77777777"/>
        </w:tc>
        <w:tc>
          <w:tcPr>
            <w:tcW w:w="6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C02DE" w:rsidRPr="004F4940" w:rsidP="00C76D03" w14:paraId="27C8234D" w14:textId="77777777"/>
        </w:tc>
        <w:tc>
          <w:tcPr>
            <w:tcW w:w="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C02DE" w:rsidRPr="004F4940" w:rsidP="00C76D03" w14:paraId="43FF14AB" w14:textId="77777777"/>
        </w:tc>
      </w:tr>
      <w:tr w14:paraId="494AA8E9" w14:textId="77777777" w:rsidTr="00C76D03">
        <w:tblPrEx>
          <w:tblW w:w="5000" w:type="pct"/>
          <w:jc w:val="right"/>
          <w:tblLook w:val="01E0"/>
        </w:tblPrEx>
        <w:trPr>
          <w:cantSplit/>
          <w:jc w:val="right"/>
        </w:trPr>
        <w:tc>
          <w:tcPr>
            <w:tcW w:w="783" w:type="pct"/>
            <w:tcBorders>
              <w:top w:val="single" w:sz="4" w:space="0" w:color="auto"/>
              <w:left w:val="single" w:sz="4" w:space="0" w:color="auto"/>
              <w:bottom w:val="single" w:sz="4" w:space="0" w:color="auto"/>
              <w:right w:val="single" w:sz="4" w:space="0" w:color="auto"/>
            </w:tcBorders>
          </w:tcPr>
          <w:p w:rsidR="00DC02DE" w:rsidRPr="004F4940" w:rsidP="00C76D03" w14:paraId="4E8E3F27" w14:textId="77777777"/>
        </w:tc>
        <w:tc>
          <w:tcPr>
            <w:tcW w:w="764" w:type="pct"/>
            <w:tcBorders>
              <w:top w:val="single" w:sz="4" w:space="0" w:color="auto"/>
              <w:left w:val="single" w:sz="4" w:space="0" w:color="auto"/>
              <w:bottom w:val="single" w:sz="4" w:space="0" w:color="auto"/>
              <w:right w:val="single" w:sz="4" w:space="0" w:color="auto"/>
            </w:tcBorders>
            <w:hideMark/>
          </w:tcPr>
          <w:p w:rsidR="00DC02DE" w:rsidRPr="004F4940" w:rsidP="00C76D03" w14:paraId="42199109" w14:textId="77777777">
            <w:r w:rsidRPr="004F4940">
              <w:t>280</w:t>
            </w:r>
          </w:p>
        </w:tc>
        <w:tc>
          <w:tcPr>
            <w:tcW w:w="568" w:type="pct"/>
            <w:tcBorders>
              <w:top w:val="single" w:sz="4" w:space="0" w:color="auto"/>
              <w:left w:val="single" w:sz="4" w:space="0" w:color="auto"/>
              <w:bottom w:val="single" w:sz="4" w:space="0" w:color="auto"/>
              <w:right w:val="single" w:sz="4" w:space="0" w:color="auto"/>
            </w:tcBorders>
            <w:hideMark/>
          </w:tcPr>
          <w:p w:rsidR="00DC02DE" w:rsidRPr="004F4940" w:rsidP="00C76D03" w14:paraId="69DDE640" w14:textId="77777777">
            <w:r w:rsidRPr="004F4940">
              <w:t>1</w:t>
            </w:r>
          </w:p>
        </w:tc>
        <w:tc>
          <w:tcPr>
            <w:tcW w:w="809" w:type="pct"/>
            <w:tcBorders>
              <w:top w:val="single" w:sz="4" w:space="0" w:color="auto"/>
              <w:left w:val="single" w:sz="4" w:space="0" w:color="auto"/>
              <w:bottom w:val="single" w:sz="4" w:space="0" w:color="auto"/>
              <w:right w:val="single" w:sz="4" w:space="0" w:color="auto"/>
            </w:tcBorders>
            <w:hideMark/>
          </w:tcPr>
          <w:p w:rsidR="00DC02DE" w:rsidRPr="004F4940" w:rsidP="00C76D03" w14:paraId="00D7193E" w14:textId="77777777">
            <w:r w:rsidRPr="004F4940">
              <w:t>280</w:t>
            </w:r>
          </w:p>
        </w:tc>
        <w:tc>
          <w:tcPr>
            <w:tcW w:w="663" w:type="pct"/>
            <w:tcBorders>
              <w:top w:val="single" w:sz="4" w:space="0" w:color="auto"/>
              <w:left w:val="single" w:sz="4" w:space="0" w:color="auto"/>
              <w:bottom w:val="single" w:sz="4" w:space="0" w:color="auto"/>
              <w:right w:val="single" w:sz="4" w:space="0" w:color="auto"/>
            </w:tcBorders>
            <w:hideMark/>
          </w:tcPr>
          <w:p w:rsidR="00DC02DE" w:rsidRPr="004F4940" w:rsidP="00C76D03" w14:paraId="56F019E4" w14:textId="77777777">
            <w:r w:rsidRPr="004F4940">
              <w:t>250.58</w:t>
            </w:r>
            <w:r>
              <w:footnoteReference w:id="6"/>
            </w:r>
            <w:r w:rsidRPr="004F4940">
              <w:t xml:space="preserve"> hrs.;</w:t>
            </w:r>
          </w:p>
          <w:p w:rsidR="00DC02DE" w:rsidRPr="004F4940" w:rsidP="00C76D03" w14:paraId="541E2CC6" w14:textId="77777777">
            <w:r w:rsidRPr="004F4940">
              <w:t>$20,798</w:t>
            </w:r>
          </w:p>
        </w:tc>
        <w:tc>
          <w:tcPr>
            <w:tcW w:w="696" w:type="pct"/>
            <w:tcBorders>
              <w:top w:val="single" w:sz="4" w:space="0" w:color="auto"/>
              <w:left w:val="single" w:sz="4" w:space="0" w:color="auto"/>
              <w:bottom w:val="single" w:sz="4" w:space="0" w:color="auto"/>
              <w:right w:val="single" w:sz="4" w:space="0" w:color="auto"/>
            </w:tcBorders>
            <w:hideMark/>
          </w:tcPr>
          <w:p w:rsidR="00DC02DE" w:rsidRPr="004F4940" w:rsidP="00C76D03" w14:paraId="24A89148" w14:textId="77777777">
            <w:r w:rsidRPr="004F4940">
              <w:t xml:space="preserve">70,162.4 hrs.; </w:t>
            </w:r>
          </w:p>
          <w:p w:rsidR="00DC02DE" w:rsidRPr="004F4940" w:rsidP="00C76D03" w14:paraId="71DA3977" w14:textId="77777777">
            <w:r w:rsidRPr="004F4940">
              <w:t>$5,234,440</w:t>
            </w:r>
          </w:p>
        </w:tc>
        <w:tc>
          <w:tcPr>
            <w:tcW w:w="718" w:type="pct"/>
            <w:tcBorders>
              <w:top w:val="single" w:sz="4" w:space="0" w:color="auto"/>
              <w:left w:val="single" w:sz="4" w:space="0" w:color="auto"/>
              <w:bottom w:val="single" w:sz="4" w:space="0" w:color="auto"/>
              <w:right w:val="single" w:sz="4" w:space="0" w:color="auto"/>
            </w:tcBorders>
          </w:tcPr>
          <w:p w:rsidR="00DC02DE" w:rsidRPr="004F4940" w:rsidP="00C76D03" w14:paraId="5BDB80EA" w14:textId="77777777"/>
          <w:p w:rsidR="00DC02DE" w:rsidRPr="004F4940" w:rsidP="00C76D03" w14:paraId="0EED866C" w14:textId="77777777">
            <w:r w:rsidRPr="004F4940">
              <w:t>$20,798</w:t>
            </w:r>
          </w:p>
        </w:tc>
      </w:tr>
      <w:tr w14:paraId="2E84840B" w14:textId="77777777" w:rsidTr="00C76D03">
        <w:tblPrEx>
          <w:tblW w:w="5000" w:type="pct"/>
          <w:jc w:val="right"/>
          <w:tblLook w:val="01E0"/>
        </w:tblPrEx>
        <w:trPr>
          <w:cantSplit/>
          <w:jc w:val="right"/>
        </w:trPr>
        <w:tc>
          <w:tcPr>
            <w:tcW w:w="783" w:type="pct"/>
            <w:tcBorders>
              <w:top w:val="single" w:sz="4" w:space="0" w:color="auto"/>
              <w:left w:val="single" w:sz="4" w:space="0" w:color="auto"/>
              <w:bottom w:val="single" w:sz="4" w:space="0" w:color="auto"/>
              <w:right w:val="single" w:sz="4" w:space="0" w:color="auto"/>
            </w:tcBorders>
            <w:hideMark/>
          </w:tcPr>
          <w:p w:rsidR="00DC02DE" w:rsidRPr="004F4940" w:rsidP="00C76D03" w14:paraId="503EDE04" w14:textId="77777777">
            <w:pPr>
              <w:rPr>
                <w:b/>
              </w:rPr>
            </w:pPr>
            <w:r w:rsidRPr="004F4940">
              <w:rPr>
                <w:b/>
              </w:rPr>
              <w:t>Total EOP</w:t>
            </w:r>
          </w:p>
        </w:tc>
        <w:tc>
          <w:tcPr>
            <w:tcW w:w="76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C02DE" w:rsidRPr="004F4940" w:rsidP="00C76D03" w14:paraId="16D82476" w14:textId="77777777">
            <w:pPr>
              <w:rPr>
                <w:b/>
                <w:bCs/>
              </w:rPr>
            </w:pPr>
            <w:r w:rsidRPr="004F4940">
              <w:rPr>
                <w:b/>
                <w:bCs/>
              </w:rPr>
              <w:t>473</w:t>
            </w:r>
          </w:p>
        </w:tc>
        <w:tc>
          <w:tcPr>
            <w:tcW w:w="568" w:type="pct"/>
            <w:tcBorders>
              <w:top w:val="single" w:sz="4" w:space="0" w:color="auto"/>
              <w:left w:val="single" w:sz="4" w:space="0" w:color="auto"/>
              <w:bottom w:val="single" w:sz="4" w:space="0" w:color="auto"/>
              <w:right w:val="single" w:sz="4" w:space="0" w:color="auto"/>
            </w:tcBorders>
          </w:tcPr>
          <w:p w:rsidR="00DC02DE" w:rsidRPr="004F4940" w:rsidP="00C76D03" w14:paraId="7CFB70A5" w14:textId="77777777">
            <w:pPr>
              <w:rPr>
                <w:b/>
                <w:bCs/>
              </w:rPr>
            </w:pPr>
          </w:p>
        </w:tc>
        <w:tc>
          <w:tcPr>
            <w:tcW w:w="80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C02DE" w:rsidRPr="004F4940" w:rsidP="00C76D03" w14:paraId="551D6978" w14:textId="77777777">
            <w:pPr>
              <w:rPr>
                <w:b/>
                <w:bCs/>
              </w:rPr>
            </w:pPr>
          </w:p>
          <w:p w:rsidR="00DC02DE" w:rsidRPr="004F4940" w:rsidP="00C76D03" w14:paraId="6464006D" w14:textId="77777777">
            <w:pPr>
              <w:rPr>
                <w:b/>
                <w:bCs/>
              </w:rPr>
            </w:pPr>
          </w:p>
        </w:tc>
        <w:tc>
          <w:tcPr>
            <w:tcW w:w="663" w:type="pct"/>
            <w:tcBorders>
              <w:top w:val="single" w:sz="4" w:space="0" w:color="auto"/>
              <w:left w:val="single" w:sz="4" w:space="0" w:color="auto"/>
              <w:bottom w:val="single" w:sz="4" w:space="0" w:color="auto"/>
              <w:right w:val="single" w:sz="4" w:space="0" w:color="auto"/>
            </w:tcBorders>
          </w:tcPr>
          <w:p w:rsidR="00DC02DE" w:rsidRPr="004F4940" w:rsidP="00C76D03" w14:paraId="6B713BA6" w14:textId="77777777">
            <w:pPr>
              <w:rPr>
                <w:b/>
                <w:bCs/>
              </w:rPr>
            </w:pPr>
          </w:p>
        </w:tc>
        <w:tc>
          <w:tcPr>
            <w:tcW w:w="6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C02DE" w:rsidRPr="004F4940" w:rsidP="00C76D03" w14:paraId="720A3847" w14:textId="77777777">
            <w:pPr>
              <w:rPr>
                <w:b/>
                <w:bCs/>
              </w:rPr>
            </w:pPr>
            <w:r w:rsidRPr="004F4940">
              <w:rPr>
                <w:b/>
                <w:bCs/>
              </w:rPr>
              <w:t>91,782 hrs.;</w:t>
            </w:r>
          </w:p>
          <w:p w:rsidR="00DC02DE" w:rsidRPr="004F4940" w:rsidP="00C76D03" w14:paraId="0D1DE811" w14:textId="77777777">
            <w:pPr>
              <w:rPr>
                <w:b/>
                <w:bCs/>
              </w:rPr>
            </w:pPr>
            <w:r w:rsidRPr="004F4940">
              <w:rPr>
                <w:b/>
                <w:bCs/>
              </w:rPr>
              <w:t>$7,028,900</w:t>
            </w:r>
          </w:p>
        </w:tc>
        <w:tc>
          <w:tcPr>
            <w:tcW w:w="718" w:type="pct"/>
            <w:tcBorders>
              <w:top w:val="single" w:sz="4" w:space="0" w:color="auto"/>
              <w:left w:val="single" w:sz="4" w:space="0" w:color="auto"/>
              <w:bottom w:val="single" w:sz="4" w:space="0" w:color="auto"/>
              <w:right w:val="single" w:sz="4" w:space="0" w:color="auto"/>
            </w:tcBorders>
          </w:tcPr>
          <w:p w:rsidR="00DC02DE" w:rsidRPr="004F4940" w:rsidP="00C76D03" w14:paraId="4F5C99C9" w14:textId="77777777"/>
        </w:tc>
      </w:tr>
    </w:tbl>
    <w:p w:rsidR="00D872AA" w:rsidP="00D872AA" w14:paraId="334F61C8" w14:textId="17EE85F4">
      <w:pPr>
        <w:spacing w:after="160" w:line="259" w:lineRule="auto"/>
      </w:pPr>
    </w:p>
    <w:tbl>
      <w:tblPr>
        <w:tblStyle w:val="TableGrid"/>
        <w:tblW w:w="0" w:type="auto"/>
        <w:tblLook w:val="04A0"/>
      </w:tblPr>
      <w:tblGrid>
        <w:gridCol w:w="1675"/>
        <w:gridCol w:w="1141"/>
        <w:gridCol w:w="1358"/>
        <w:gridCol w:w="1404"/>
        <w:gridCol w:w="1536"/>
        <w:gridCol w:w="2236"/>
      </w:tblGrid>
      <w:tr w14:paraId="51A3451D" w14:textId="77777777" w:rsidTr="00C76D03">
        <w:tblPrEx>
          <w:tblW w:w="0" w:type="auto"/>
          <w:tblLook w:val="04A0"/>
        </w:tblPrEx>
        <w:tc>
          <w:tcPr>
            <w:tcW w:w="9350" w:type="dxa"/>
            <w:gridSpan w:val="6"/>
            <w:shd w:val="clear" w:color="auto" w:fill="D9D9D9" w:themeFill="background1" w:themeFillShade="D9"/>
          </w:tcPr>
          <w:p w:rsidR="00EA3E23" w:rsidRPr="004F4940" w:rsidP="00C76D03" w14:paraId="4CC23620" w14:textId="77777777">
            <w:pPr>
              <w:pStyle w:val="FERCparanumber"/>
              <w:numPr>
                <w:ilvl w:val="0"/>
                <w:numId w:val="0"/>
              </w:numPr>
              <w:suppressLineNumbers/>
              <w:spacing w:before="240"/>
              <w:jc w:val="center"/>
              <w:rPr>
                <w:b/>
              </w:rPr>
            </w:pPr>
            <w:bookmarkStart w:id="1" w:name="_Hlk120790206"/>
            <w:r w:rsidRPr="004F4940">
              <w:rPr>
                <w:b/>
              </w:rPr>
              <w:t>Table 2: Proposed Changes Due to Final Rule in Docket No. RD23-1-000</w:t>
            </w:r>
          </w:p>
        </w:tc>
      </w:tr>
      <w:tr w14:paraId="5DF2D454" w14:textId="77777777" w:rsidTr="00C76D03">
        <w:tblPrEx>
          <w:tblW w:w="0" w:type="auto"/>
          <w:tblLook w:val="04A0"/>
        </w:tblPrEx>
        <w:tc>
          <w:tcPr>
            <w:tcW w:w="1675" w:type="dxa"/>
            <w:shd w:val="clear" w:color="auto" w:fill="FFFFFF" w:themeFill="background1"/>
            <w:vAlign w:val="bottom"/>
          </w:tcPr>
          <w:p w:rsidR="00EA3E23" w:rsidRPr="004F4940" w:rsidP="00C76D03" w14:paraId="7F9F3B0E" w14:textId="77777777">
            <w:pPr>
              <w:pStyle w:val="FERCparanumber"/>
              <w:numPr>
                <w:ilvl w:val="0"/>
                <w:numId w:val="0"/>
              </w:numPr>
              <w:suppressLineNumbers/>
              <w:spacing w:after="0"/>
              <w:rPr>
                <w:b/>
              </w:rPr>
            </w:pPr>
            <w:r w:rsidRPr="004F4940">
              <w:rPr>
                <w:b/>
              </w:rPr>
              <w:t>Reliability Standard &amp; Requirement</w:t>
            </w:r>
          </w:p>
        </w:tc>
        <w:tc>
          <w:tcPr>
            <w:tcW w:w="1141" w:type="dxa"/>
            <w:shd w:val="clear" w:color="auto" w:fill="FFFFFF" w:themeFill="background1"/>
            <w:vAlign w:val="bottom"/>
          </w:tcPr>
          <w:p w:rsidR="00EA3E23" w:rsidRPr="004F4940" w:rsidP="00C76D03" w14:paraId="1AA979E8" w14:textId="77777777">
            <w:pPr>
              <w:pStyle w:val="FERCparanumber"/>
              <w:numPr>
                <w:ilvl w:val="0"/>
                <w:numId w:val="0"/>
              </w:numPr>
              <w:suppressLineNumbers/>
              <w:rPr>
                <w:b/>
              </w:rPr>
            </w:pPr>
            <w:r w:rsidRPr="004F4940">
              <w:rPr>
                <w:b/>
              </w:rPr>
              <w:t>Type</w:t>
            </w:r>
            <w:r>
              <w:rPr>
                <w:b/>
                <w:vertAlign w:val="superscript"/>
              </w:rPr>
              <w:footnoteReference w:id="7"/>
            </w:r>
            <w:r w:rsidRPr="004F4940">
              <w:rPr>
                <w:b/>
              </w:rPr>
              <w:t xml:space="preserve"> and Number of Entity</w:t>
            </w:r>
          </w:p>
          <w:p w:rsidR="00EA3E23" w:rsidRPr="004F4940" w:rsidP="00C76D03" w14:paraId="72B66975" w14:textId="77777777">
            <w:pPr>
              <w:pStyle w:val="FERCparanumber"/>
              <w:numPr>
                <w:ilvl w:val="0"/>
                <w:numId w:val="0"/>
              </w:numPr>
              <w:suppressLineNumbers/>
              <w:rPr>
                <w:b/>
              </w:rPr>
            </w:pPr>
            <w:r w:rsidRPr="004F4940">
              <w:t>(1)</w:t>
            </w:r>
          </w:p>
        </w:tc>
        <w:tc>
          <w:tcPr>
            <w:tcW w:w="1358" w:type="dxa"/>
            <w:shd w:val="clear" w:color="auto" w:fill="FFFFFF" w:themeFill="background1"/>
            <w:vAlign w:val="bottom"/>
          </w:tcPr>
          <w:p w:rsidR="00EA3E23" w:rsidRPr="004F4940" w:rsidP="00C76D03" w14:paraId="5AF8A5D6" w14:textId="77777777">
            <w:pPr>
              <w:pStyle w:val="FERCparanumber"/>
              <w:numPr>
                <w:ilvl w:val="0"/>
                <w:numId w:val="0"/>
              </w:numPr>
              <w:suppressLineNumbers/>
              <w:rPr>
                <w:b/>
              </w:rPr>
            </w:pPr>
            <w:r w:rsidRPr="004F4940">
              <w:rPr>
                <w:b/>
              </w:rPr>
              <w:t>Number of Annual Responses  Per Entity</w:t>
            </w:r>
          </w:p>
          <w:p w:rsidR="00EA3E23" w:rsidRPr="004F4940" w:rsidP="00C76D03" w14:paraId="0FFEF828" w14:textId="77777777">
            <w:pPr>
              <w:pStyle w:val="FERCparanumber"/>
              <w:numPr>
                <w:ilvl w:val="0"/>
                <w:numId w:val="0"/>
              </w:numPr>
              <w:suppressLineNumbers/>
              <w:rPr>
                <w:b/>
              </w:rPr>
            </w:pPr>
            <w:r w:rsidRPr="004F4940">
              <w:rPr>
                <w:b/>
              </w:rPr>
              <w:t>(</w:t>
            </w:r>
            <w:r w:rsidRPr="004F4940">
              <w:t>2)</w:t>
            </w:r>
          </w:p>
        </w:tc>
        <w:tc>
          <w:tcPr>
            <w:tcW w:w="1404" w:type="dxa"/>
            <w:shd w:val="clear" w:color="auto" w:fill="FFFFFF" w:themeFill="background1"/>
            <w:vAlign w:val="bottom"/>
          </w:tcPr>
          <w:p w:rsidR="00EA3E23" w:rsidRPr="004F4940" w:rsidP="00C76D03" w14:paraId="4382E235" w14:textId="77777777">
            <w:pPr>
              <w:pStyle w:val="FERCparanumber"/>
              <w:numPr>
                <w:ilvl w:val="0"/>
                <w:numId w:val="0"/>
              </w:numPr>
              <w:suppressLineNumbers/>
              <w:rPr>
                <w:b/>
              </w:rPr>
            </w:pPr>
            <w:r w:rsidRPr="004F4940">
              <w:rPr>
                <w:b/>
              </w:rPr>
              <w:t>Total Number of Responses</w:t>
            </w:r>
          </w:p>
          <w:p w:rsidR="00EA3E23" w:rsidRPr="004F4940" w:rsidP="00C76D03" w14:paraId="0F2CF6A1" w14:textId="77777777">
            <w:pPr>
              <w:pStyle w:val="FERCparanumber"/>
              <w:numPr>
                <w:ilvl w:val="0"/>
                <w:numId w:val="0"/>
              </w:numPr>
              <w:suppressLineNumbers/>
              <w:rPr>
                <w:b/>
              </w:rPr>
            </w:pPr>
            <w:r w:rsidRPr="004F4940">
              <w:rPr>
                <w:b/>
              </w:rPr>
              <w:t>(1)*(2)=(3)</w:t>
            </w:r>
          </w:p>
        </w:tc>
        <w:tc>
          <w:tcPr>
            <w:tcW w:w="1536" w:type="dxa"/>
            <w:shd w:val="clear" w:color="auto" w:fill="FFFFFF" w:themeFill="background1"/>
            <w:vAlign w:val="bottom"/>
          </w:tcPr>
          <w:p w:rsidR="00EA3E23" w:rsidRPr="004F4940" w:rsidP="00C76D03" w14:paraId="4AFE3D21" w14:textId="77777777">
            <w:pPr>
              <w:pStyle w:val="FERCparanumber"/>
              <w:numPr>
                <w:ilvl w:val="0"/>
                <w:numId w:val="0"/>
              </w:numPr>
              <w:suppressLineNumbers/>
              <w:rPr>
                <w:b/>
              </w:rPr>
            </w:pPr>
            <w:r w:rsidRPr="004F4940">
              <w:rPr>
                <w:b/>
              </w:rPr>
              <w:t>Average Number of Burden Hours per Response</w:t>
            </w:r>
            <w:r>
              <w:rPr>
                <w:vertAlign w:val="superscript"/>
              </w:rPr>
              <w:footnoteReference w:id="8"/>
            </w:r>
          </w:p>
          <w:p w:rsidR="00EA3E23" w:rsidRPr="004F4940" w:rsidP="00C76D03" w14:paraId="167BEF23" w14:textId="77777777">
            <w:pPr>
              <w:pStyle w:val="FERCparanumber"/>
              <w:numPr>
                <w:ilvl w:val="0"/>
                <w:numId w:val="0"/>
              </w:numPr>
              <w:suppressLineNumbers/>
              <w:rPr>
                <w:b/>
              </w:rPr>
            </w:pPr>
            <w:r w:rsidRPr="004F4940">
              <w:rPr>
                <w:b/>
              </w:rPr>
              <w:t>(4)</w:t>
            </w:r>
          </w:p>
        </w:tc>
        <w:tc>
          <w:tcPr>
            <w:tcW w:w="2236" w:type="dxa"/>
            <w:shd w:val="clear" w:color="auto" w:fill="FFFFFF" w:themeFill="background1"/>
            <w:vAlign w:val="bottom"/>
          </w:tcPr>
          <w:p w:rsidR="00EA3E23" w:rsidRPr="004F4940" w:rsidP="00C76D03" w14:paraId="2B91C485" w14:textId="77777777">
            <w:pPr>
              <w:pStyle w:val="FERCparanumber"/>
              <w:numPr>
                <w:ilvl w:val="0"/>
                <w:numId w:val="0"/>
              </w:numPr>
              <w:suppressLineNumbers/>
              <w:rPr>
                <w:b/>
              </w:rPr>
            </w:pPr>
            <w:r w:rsidRPr="004F4940">
              <w:rPr>
                <w:b/>
              </w:rPr>
              <w:t>Total Burden Hours</w:t>
            </w:r>
          </w:p>
          <w:p w:rsidR="00EA3E23" w:rsidRPr="004F4940" w:rsidP="00C76D03" w14:paraId="122CDBA4" w14:textId="77777777">
            <w:pPr>
              <w:pStyle w:val="FERCparanumber"/>
              <w:numPr>
                <w:ilvl w:val="0"/>
                <w:numId w:val="0"/>
              </w:numPr>
              <w:suppressLineNumbers/>
              <w:rPr>
                <w:b/>
              </w:rPr>
            </w:pPr>
            <w:r w:rsidRPr="004F4940">
              <w:rPr>
                <w:b/>
              </w:rPr>
              <w:t>(3)*(4)=(5)</w:t>
            </w:r>
          </w:p>
        </w:tc>
      </w:tr>
      <w:tr w14:paraId="73A57061" w14:textId="77777777" w:rsidTr="00C76D03">
        <w:tblPrEx>
          <w:tblW w:w="0" w:type="auto"/>
          <w:tblLook w:val="04A0"/>
        </w:tblPrEx>
        <w:tc>
          <w:tcPr>
            <w:tcW w:w="9350" w:type="dxa"/>
            <w:gridSpan w:val="6"/>
            <w:shd w:val="clear" w:color="auto" w:fill="D9D9D9" w:themeFill="background1" w:themeFillShade="D9"/>
          </w:tcPr>
          <w:p w:rsidR="00EA3E23" w:rsidRPr="004F4940" w:rsidP="00C76D03" w14:paraId="47C88BBB" w14:textId="77777777">
            <w:pPr>
              <w:pStyle w:val="FERCparanumber"/>
              <w:numPr>
                <w:ilvl w:val="0"/>
                <w:numId w:val="0"/>
              </w:numPr>
              <w:suppressLineNumbers/>
              <w:spacing w:before="240"/>
              <w:jc w:val="center"/>
              <w:rPr>
                <w:b/>
              </w:rPr>
            </w:pPr>
            <w:r w:rsidRPr="004F4940">
              <w:rPr>
                <w:b/>
              </w:rPr>
              <w:t>FERC-725S – Proposed estimates due to RD23-1 for EOP-011-3</w:t>
            </w:r>
          </w:p>
        </w:tc>
      </w:tr>
      <w:tr w14:paraId="080158B8" w14:textId="77777777" w:rsidTr="00C76D03">
        <w:tblPrEx>
          <w:tblW w:w="0" w:type="auto"/>
          <w:tblLook w:val="04A0"/>
        </w:tblPrEx>
        <w:tc>
          <w:tcPr>
            <w:tcW w:w="9350" w:type="dxa"/>
            <w:gridSpan w:val="6"/>
            <w:shd w:val="clear" w:color="auto" w:fill="D9D9D9" w:themeFill="background1" w:themeFillShade="D9"/>
          </w:tcPr>
          <w:p w:rsidR="00EA3E23" w:rsidRPr="004F4940" w:rsidP="00C76D03" w14:paraId="2CD52536" w14:textId="77777777">
            <w:pPr>
              <w:pStyle w:val="FERCparanumber"/>
              <w:numPr>
                <w:ilvl w:val="0"/>
                <w:numId w:val="0"/>
              </w:numPr>
              <w:suppressLineNumbers/>
              <w:spacing w:before="240"/>
              <w:jc w:val="center"/>
              <w:rPr>
                <w:b/>
              </w:rPr>
            </w:pPr>
            <w:r w:rsidRPr="004F4940">
              <w:rPr>
                <w:b/>
              </w:rPr>
              <w:t>One Time Estimate - Years 1 and 2 EOP-011-3</w:t>
            </w:r>
          </w:p>
        </w:tc>
      </w:tr>
      <w:tr w14:paraId="536FC9BE" w14:textId="77777777" w:rsidTr="00C76D03">
        <w:tblPrEx>
          <w:tblW w:w="0" w:type="auto"/>
          <w:tblLook w:val="04A0"/>
        </w:tblPrEx>
        <w:trPr>
          <w:trHeight w:val="260"/>
        </w:trPr>
        <w:tc>
          <w:tcPr>
            <w:tcW w:w="1675" w:type="dxa"/>
            <w:shd w:val="clear" w:color="auto" w:fill="FFFFFF" w:themeFill="background1"/>
          </w:tcPr>
          <w:p w:rsidR="00EA3E23" w:rsidRPr="004F4940" w:rsidP="00C76D03" w14:paraId="36B544FD" w14:textId="77777777">
            <w:pPr>
              <w:pStyle w:val="FERCparanumber"/>
              <w:numPr>
                <w:ilvl w:val="0"/>
                <w:numId w:val="0"/>
              </w:numPr>
              <w:suppressLineNumbers/>
              <w:rPr>
                <w:b/>
              </w:rPr>
            </w:pPr>
            <w:r w:rsidRPr="004F4940">
              <w:t>EOP-011-3</w:t>
            </w:r>
          </w:p>
        </w:tc>
        <w:tc>
          <w:tcPr>
            <w:tcW w:w="1141" w:type="dxa"/>
            <w:shd w:val="clear" w:color="auto" w:fill="FFFFFF" w:themeFill="background1"/>
          </w:tcPr>
          <w:p w:rsidR="00EA3E23" w:rsidRPr="004F4940" w:rsidP="00C76D03" w14:paraId="632475F3" w14:textId="77777777">
            <w:pPr>
              <w:pStyle w:val="FERCparanumber"/>
              <w:numPr>
                <w:ilvl w:val="0"/>
                <w:numId w:val="0"/>
              </w:numPr>
              <w:suppressLineNumbers/>
              <w:rPr>
                <w:b/>
              </w:rPr>
            </w:pPr>
            <w:r w:rsidRPr="004F4940">
              <w:t>168 (TOP)</w:t>
            </w:r>
          </w:p>
        </w:tc>
        <w:tc>
          <w:tcPr>
            <w:tcW w:w="1358" w:type="dxa"/>
            <w:shd w:val="clear" w:color="auto" w:fill="FFFFFF" w:themeFill="background1"/>
          </w:tcPr>
          <w:p w:rsidR="00EA3E23" w:rsidRPr="004F4940" w:rsidP="00C76D03" w14:paraId="08CDD588" w14:textId="77777777">
            <w:pPr>
              <w:pStyle w:val="FERCparanumber"/>
              <w:numPr>
                <w:ilvl w:val="0"/>
                <w:numId w:val="0"/>
              </w:numPr>
              <w:suppressLineNumbers/>
              <w:rPr>
                <w:b/>
              </w:rPr>
            </w:pPr>
            <w:r w:rsidRPr="004F4940">
              <w:t>1</w:t>
            </w:r>
          </w:p>
        </w:tc>
        <w:tc>
          <w:tcPr>
            <w:tcW w:w="1404" w:type="dxa"/>
            <w:shd w:val="clear" w:color="auto" w:fill="FFFFFF" w:themeFill="background1"/>
          </w:tcPr>
          <w:p w:rsidR="00EA3E23" w:rsidRPr="004F4940" w:rsidP="00C76D03" w14:paraId="5B85653F" w14:textId="77777777">
            <w:pPr>
              <w:pStyle w:val="FERCparanumber"/>
              <w:numPr>
                <w:ilvl w:val="0"/>
                <w:numId w:val="0"/>
              </w:numPr>
              <w:suppressLineNumbers/>
              <w:rPr>
                <w:b/>
              </w:rPr>
            </w:pPr>
            <w:r w:rsidRPr="004F4940">
              <w:t>168</w:t>
            </w:r>
          </w:p>
        </w:tc>
        <w:tc>
          <w:tcPr>
            <w:tcW w:w="1536" w:type="dxa"/>
            <w:shd w:val="clear" w:color="auto" w:fill="FFFFFF" w:themeFill="background1"/>
          </w:tcPr>
          <w:p w:rsidR="00EA3E23" w:rsidRPr="004F4940" w:rsidP="00C76D03" w14:paraId="278A0D7C" w14:textId="77777777">
            <w:pPr>
              <w:pStyle w:val="FERCparanumber"/>
              <w:numPr>
                <w:ilvl w:val="0"/>
                <w:numId w:val="0"/>
              </w:numPr>
              <w:suppressLineNumbers/>
            </w:pPr>
            <w:r w:rsidRPr="004F4940">
              <w:t>60 hrs.</w:t>
            </w:r>
          </w:p>
          <w:p w:rsidR="00EA3E23" w:rsidRPr="004F4940" w:rsidP="00C76D03" w14:paraId="76342197" w14:textId="77777777">
            <w:pPr>
              <w:pStyle w:val="FERCparanumber"/>
              <w:numPr>
                <w:ilvl w:val="0"/>
                <w:numId w:val="0"/>
              </w:numPr>
              <w:suppressLineNumbers/>
              <w:rPr>
                <w:b/>
              </w:rPr>
            </w:pPr>
            <w:r w:rsidRPr="004F4940">
              <w:t>$3,893.40</w:t>
            </w:r>
          </w:p>
        </w:tc>
        <w:tc>
          <w:tcPr>
            <w:tcW w:w="2236" w:type="dxa"/>
            <w:shd w:val="clear" w:color="auto" w:fill="FFFFFF" w:themeFill="background1"/>
          </w:tcPr>
          <w:p w:rsidR="00EA3E23" w:rsidRPr="004F4940" w:rsidP="00C76D03" w14:paraId="48F98C00" w14:textId="77777777">
            <w:pPr>
              <w:pStyle w:val="FERCparanumber"/>
              <w:numPr>
                <w:ilvl w:val="0"/>
                <w:numId w:val="0"/>
              </w:numPr>
              <w:suppressLineNumbers/>
            </w:pPr>
            <w:r w:rsidRPr="004F4940">
              <w:t>10,080 hrs.</w:t>
            </w:r>
          </w:p>
          <w:p w:rsidR="00EA3E23" w:rsidRPr="004F4940" w:rsidP="00C76D03" w14:paraId="287CB671" w14:textId="77777777">
            <w:pPr>
              <w:pStyle w:val="FERCparanumber"/>
              <w:numPr>
                <w:ilvl w:val="0"/>
                <w:numId w:val="0"/>
              </w:numPr>
              <w:suppressLineNumbers/>
              <w:rPr>
                <w:b/>
              </w:rPr>
            </w:pPr>
            <w:r w:rsidRPr="004F4940">
              <w:t>$654,091.2</w:t>
            </w:r>
          </w:p>
        </w:tc>
      </w:tr>
      <w:tr w14:paraId="0D49F95A" w14:textId="77777777" w:rsidTr="00C76D03">
        <w:tblPrEx>
          <w:tblW w:w="0" w:type="auto"/>
          <w:tblLook w:val="04A0"/>
        </w:tblPrEx>
        <w:trPr>
          <w:trHeight w:val="256"/>
        </w:trPr>
        <w:tc>
          <w:tcPr>
            <w:tcW w:w="1675" w:type="dxa"/>
            <w:shd w:val="clear" w:color="auto" w:fill="FFFFFF" w:themeFill="background1"/>
          </w:tcPr>
          <w:p w:rsidR="00EA3E23" w:rsidRPr="004F4940" w:rsidP="00C76D03" w14:paraId="029B5CD0" w14:textId="77777777">
            <w:pPr>
              <w:pStyle w:val="FERCparanumber"/>
              <w:numPr>
                <w:ilvl w:val="0"/>
                <w:numId w:val="0"/>
              </w:numPr>
              <w:suppressLineNumbers/>
              <w:rPr>
                <w:b/>
              </w:rPr>
            </w:pPr>
            <w:r w:rsidRPr="004F4940">
              <w:t>EOP-011-3</w:t>
            </w:r>
            <w:r>
              <w:rPr>
                <w:b/>
                <w:vertAlign w:val="superscript"/>
              </w:rPr>
              <w:footnoteReference w:id="9"/>
            </w:r>
          </w:p>
        </w:tc>
        <w:tc>
          <w:tcPr>
            <w:tcW w:w="1141" w:type="dxa"/>
            <w:shd w:val="clear" w:color="auto" w:fill="FFFFFF" w:themeFill="background1"/>
          </w:tcPr>
          <w:p w:rsidR="00EA3E23" w:rsidRPr="004F4940" w:rsidP="00C76D03" w14:paraId="1D44426D" w14:textId="77777777">
            <w:pPr>
              <w:pStyle w:val="FERCparanumber"/>
              <w:numPr>
                <w:ilvl w:val="0"/>
                <w:numId w:val="0"/>
              </w:numPr>
              <w:suppressLineNumbers/>
              <w:rPr>
                <w:b/>
              </w:rPr>
            </w:pPr>
            <w:r w:rsidRPr="004F4940">
              <w:t>98 (BA)</w:t>
            </w:r>
          </w:p>
        </w:tc>
        <w:tc>
          <w:tcPr>
            <w:tcW w:w="1358" w:type="dxa"/>
            <w:shd w:val="clear" w:color="auto" w:fill="FFFFFF" w:themeFill="background1"/>
          </w:tcPr>
          <w:p w:rsidR="00EA3E23" w:rsidRPr="004F4940" w:rsidP="00C76D03" w14:paraId="5EB4FF2E" w14:textId="77777777">
            <w:pPr>
              <w:pStyle w:val="FERCparanumber"/>
              <w:numPr>
                <w:ilvl w:val="0"/>
                <w:numId w:val="0"/>
              </w:numPr>
              <w:suppressLineNumbers/>
              <w:rPr>
                <w:b/>
              </w:rPr>
            </w:pPr>
            <w:r w:rsidRPr="004F4940">
              <w:t>1</w:t>
            </w:r>
          </w:p>
        </w:tc>
        <w:tc>
          <w:tcPr>
            <w:tcW w:w="1404" w:type="dxa"/>
            <w:shd w:val="clear" w:color="auto" w:fill="FFFFFF" w:themeFill="background1"/>
          </w:tcPr>
          <w:p w:rsidR="00EA3E23" w:rsidRPr="004F4940" w:rsidP="00C76D03" w14:paraId="60AE5F4D" w14:textId="77777777">
            <w:pPr>
              <w:pStyle w:val="FERCparanumber"/>
              <w:numPr>
                <w:ilvl w:val="0"/>
                <w:numId w:val="0"/>
              </w:numPr>
              <w:suppressLineNumbers/>
              <w:rPr>
                <w:b/>
              </w:rPr>
            </w:pPr>
            <w:r w:rsidRPr="004F4940">
              <w:t>98</w:t>
            </w:r>
          </w:p>
        </w:tc>
        <w:tc>
          <w:tcPr>
            <w:tcW w:w="1536" w:type="dxa"/>
            <w:shd w:val="clear" w:color="auto" w:fill="FFFFFF" w:themeFill="background1"/>
          </w:tcPr>
          <w:p w:rsidR="00EA3E23" w:rsidRPr="004F4940" w:rsidP="00C76D03" w14:paraId="1C8AF3C7" w14:textId="77777777">
            <w:pPr>
              <w:pStyle w:val="FERCparanumber"/>
              <w:numPr>
                <w:ilvl w:val="0"/>
                <w:numId w:val="0"/>
              </w:numPr>
              <w:suppressLineNumbers/>
              <w:rPr>
                <w:bCs/>
              </w:rPr>
            </w:pPr>
            <w:r w:rsidRPr="004F4940">
              <w:rPr>
                <w:bCs/>
              </w:rPr>
              <w:t>6 hrs.</w:t>
            </w:r>
          </w:p>
          <w:p w:rsidR="00EA3E23" w:rsidRPr="004F4940" w:rsidP="00C76D03" w14:paraId="19B6D4DD" w14:textId="77777777">
            <w:pPr>
              <w:pStyle w:val="FERCparanumber"/>
              <w:numPr>
                <w:ilvl w:val="0"/>
                <w:numId w:val="0"/>
              </w:numPr>
              <w:suppressLineNumbers/>
              <w:rPr>
                <w:bCs/>
              </w:rPr>
            </w:pPr>
            <w:r w:rsidRPr="004F4940">
              <w:rPr>
                <w:bCs/>
              </w:rPr>
              <w:t>$389.34</w:t>
            </w:r>
          </w:p>
        </w:tc>
        <w:tc>
          <w:tcPr>
            <w:tcW w:w="2236" w:type="dxa"/>
            <w:shd w:val="clear" w:color="auto" w:fill="FFFFFF" w:themeFill="background1"/>
          </w:tcPr>
          <w:p w:rsidR="00EA3E23" w:rsidRPr="004F4940" w:rsidP="00C76D03" w14:paraId="1610E546" w14:textId="77777777">
            <w:pPr>
              <w:pStyle w:val="FERCparanumber"/>
              <w:numPr>
                <w:ilvl w:val="0"/>
                <w:numId w:val="0"/>
              </w:numPr>
              <w:suppressLineNumbers/>
              <w:rPr>
                <w:bCs/>
              </w:rPr>
            </w:pPr>
            <w:r w:rsidRPr="004F4940">
              <w:rPr>
                <w:bCs/>
              </w:rPr>
              <w:t>588 hrs.</w:t>
            </w:r>
          </w:p>
          <w:p w:rsidR="00EA3E23" w:rsidRPr="004F4940" w:rsidP="00C76D03" w14:paraId="213870BE" w14:textId="77777777">
            <w:pPr>
              <w:pStyle w:val="FERCparanumber"/>
              <w:numPr>
                <w:ilvl w:val="0"/>
                <w:numId w:val="0"/>
              </w:numPr>
              <w:suppressLineNumbers/>
              <w:rPr>
                <w:bCs/>
              </w:rPr>
            </w:pPr>
            <w:r w:rsidRPr="004F4940">
              <w:rPr>
                <w:bCs/>
              </w:rPr>
              <w:t>$38,155.32</w:t>
            </w:r>
          </w:p>
        </w:tc>
      </w:tr>
      <w:tr w14:paraId="49B1F958" w14:textId="77777777" w:rsidTr="00C76D03">
        <w:tblPrEx>
          <w:tblW w:w="0" w:type="auto"/>
          <w:tblLook w:val="04A0"/>
        </w:tblPrEx>
        <w:trPr>
          <w:trHeight w:val="256"/>
        </w:trPr>
        <w:tc>
          <w:tcPr>
            <w:tcW w:w="1675" w:type="dxa"/>
            <w:shd w:val="clear" w:color="auto" w:fill="FFFFFF" w:themeFill="background1"/>
          </w:tcPr>
          <w:p w:rsidR="00EA3E23" w:rsidRPr="004F4940" w:rsidP="00C76D03" w14:paraId="69EF9A61" w14:textId="77777777">
            <w:pPr>
              <w:pStyle w:val="FERCparanumber"/>
              <w:numPr>
                <w:ilvl w:val="0"/>
                <w:numId w:val="0"/>
              </w:numPr>
              <w:suppressLineNumbers/>
              <w:rPr>
                <w:b/>
              </w:rPr>
            </w:pPr>
            <w:r w:rsidRPr="004F4940">
              <w:t>EOP-011-3</w:t>
            </w:r>
            <w:r>
              <w:rPr>
                <w:b/>
                <w:vertAlign w:val="superscript"/>
              </w:rPr>
              <w:footnoteReference w:id="10"/>
            </w:r>
          </w:p>
        </w:tc>
        <w:tc>
          <w:tcPr>
            <w:tcW w:w="1141" w:type="dxa"/>
            <w:shd w:val="clear" w:color="auto" w:fill="FFFFFF" w:themeFill="background1"/>
          </w:tcPr>
          <w:p w:rsidR="00EA3E23" w:rsidRPr="004F4940" w:rsidP="00C76D03" w14:paraId="28026D48" w14:textId="77777777">
            <w:pPr>
              <w:pStyle w:val="FERCparanumber"/>
              <w:numPr>
                <w:ilvl w:val="0"/>
                <w:numId w:val="0"/>
              </w:numPr>
              <w:suppressLineNumbers/>
              <w:rPr>
                <w:b/>
              </w:rPr>
            </w:pPr>
            <w:r w:rsidRPr="004F4940">
              <w:t>12 (RC)</w:t>
            </w:r>
          </w:p>
        </w:tc>
        <w:tc>
          <w:tcPr>
            <w:tcW w:w="1358" w:type="dxa"/>
            <w:shd w:val="clear" w:color="auto" w:fill="FFFFFF" w:themeFill="background1"/>
          </w:tcPr>
          <w:p w:rsidR="00EA3E23" w:rsidRPr="004F4940" w:rsidP="00C76D03" w14:paraId="0027282B" w14:textId="77777777">
            <w:pPr>
              <w:pStyle w:val="FERCparanumber"/>
              <w:numPr>
                <w:ilvl w:val="0"/>
                <w:numId w:val="0"/>
              </w:numPr>
              <w:suppressLineNumbers/>
              <w:rPr>
                <w:b/>
              </w:rPr>
            </w:pPr>
            <w:r w:rsidRPr="004F4940">
              <w:t>1</w:t>
            </w:r>
          </w:p>
        </w:tc>
        <w:tc>
          <w:tcPr>
            <w:tcW w:w="1404" w:type="dxa"/>
            <w:shd w:val="clear" w:color="auto" w:fill="FFFFFF" w:themeFill="background1"/>
          </w:tcPr>
          <w:p w:rsidR="00EA3E23" w:rsidRPr="004F4940" w:rsidP="00C76D03" w14:paraId="793CB842" w14:textId="77777777">
            <w:pPr>
              <w:pStyle w:val="FERCparanumber"/>
              <w:numPr>
                <w:ilvl w:val="0"/>
                <w:numId w:val="0"/>
              </w:numPr>
              <w:suppressLineNumbers/>
              <w:rPr>
                <w:b/>
              </w:rPr>
            </w:pPr>
            <w:r w:rsidRPr="004F4940">
              <w:t>12</w:t>
            </w:r>
          </w:p>
        </w:tc>
        <w:tc>
          <w:tcPr>
            <w:tcW w:w="1536" w:type="dxa"/>
            <w:shd w:val="clear" w:color="auto" w:fill="FFFFFF" w:themeFill="background1"/>
          </w:tcPr>
          <w:p w:rsidR="00EA3E23" w:rsidRPr="004F4940" w:rsidP="00C76D03" w14:paraId="2975B67D" w14:textId="77777777">
            <w:pPr>
              <w:pStyle w:val="FERCparanumber"/>
              <w:numPr>
                <w:ilvl w:val="0"/>
                <w:numId w:val="0"/>
              </w:numPr>
              <w:suppressLineNumbers/>
              <w:rPr>
                <w:bCs/>
              </w:rPr>
            </w:pPr>
            <w:r w:rsidRPr="004F4940">
              <w:rPr>
                <w:bCs/>
              </w:rPr>
              <w:t>28 hrs.</w:t>
            </w:r>
          </w:p>
          <w:p w:rsidR="00EA3E23" w:rsidRPr="004F4940" w:rsidP="00C76D03" w14:paraId="23E69AAD" w14:textId="77777777">
            <w:pPr>
              <w:pStyle w:val="FERCparanumber"/>
              <w:numPr>
                <w:ilvl w:val="0"/>
                <w:numId w:val="0"/>
              </w:numPr>
              <w:suppressLineNumbers/>
              <w:rPr>
                <w:b/>
              </w:rPr>
            </w:pPr>
            <w:r w:rsidRPr="004F4940">
              <w:rPr>
                <w:bCs/>
              </w:rPr>
              <w:t>$1,816.92</w:t>
            </w:r>
          </w:p>
        </w:tc>
        <w:tc>
          <w:tcPr>
            <w:tcW w:w="2236" w:type="dxa"/>
            <w:shd w:val="clear" w:color="auto" w:fill="FFFFFF" w:themeFill="background1"/>
          </w:tcPr>
          <w:p w:rsidR="00EA3E23" w:rsidRPr="004F4940" w:rsidP="00C76D03" w14:paraId="60C89A57" w14:textId="77777777">
            <w:pPr>
              <w:pStyle w:val="FERCparanumber"/>
              <w:numPr>
                <w:ilvl w:val="0"/>
                <w:numId w:val="0"/>
              </w:numPr>
              <w:suppressLineNumbers/>
              <w:rPr>
                <w:bCs/>
              </w:rPr>
            </w:pPr>
            <w:r w:rsidRPr="004F4940">
              <w:rPr>
                <w:bCs/>
              </w:rPr>
              <w:t>336 hrs.</w:t>
            </w:r>
          </w:p>
          <w:p w:rsidR="00EA3E23" w:rsidRPr="004F4940" w:rsidP="00C76D03" w14:paraId="0AD5DDFD" w14:textId="77777777">
            <w:pPr>
              <w:pStyle w:val="FERCparanumber"/>
              <w:numPr>
                <w:ilvl w:val="0"/>
                <w:numId w:val="0"/>
              </w:numPr>
              <w:suppressLineNumbers/>
              <w:rPr>
                <w:bCs/>
              </w:rPr>
            </w:pPr>
            <w:r w:rsidRPr="004F4940">
              <w:rPr>
                <w:bCs/>
              </w:rPr>
              <w:t>$21,803.04</w:t>
            </w:r>
          </w:p>
        </w:tc>
      </w:tr>
      <w:tr w14:paraId="0A8A4B8A" w14:textId="77777777" w:rsidTr="00C76D03">
        <w:tblPrEx>
          <w:tblW w:w="0" w:type="auto"/>
          <w:tblLook w:val="04A0"/>
        </w:tblPrEx>
        <w:trPr>
          <w:trHeight w:val="256"/>
        </w:trPr>
        <w:tc>
          <w:tcPr>
            <w:tcW w:w="1675" w:type="dxa"/>
            <w:shd w:val="clear" w:color="auto" w:fill="FFFFFF" w:themeFill="background1"/>
          </w:tcPr>
          <w:p w:rsidR="00EA3E23" w:rsidRPr="004F4940" w:rsidP="00C76D03" w14:paraId="4BB774EB" w14:textId="77777777">
            <w:pPr>
              <w:pStyle w:val="FERCparanumber"/>
              <w:numPr>
                <w:ilvl w:val="0"/>
                <w:numId w:val="0"/>
              </w:numPr>
              <w:suppressLineNumbers/>
              <w:spacing w:after="0"/>
              <w:rPr>
                <w:b/>
                <w:bCs/>
              </w:rPr>
            </w:pPr>
            <w:r w:rsidRPr="004F4940">
              <w:rPr>
                <w:b/>
                <w:bCs/>
              </w:rPr>
              <w:t>Sub-total of EOP-011-3 (One time)</w:t>
            </w:r>
          </w:p>
        </w:tc>
        <w:tc>
          <w:tcPr>
            <w:tcW w:w="1141" w:type="dxa"/>
            <w:shd w:val="clear" w:color="auto" w:fill="FFFFFF" w:themeFill="background1"/>
          </w:tcPr>
          <w:p w:rsidR="00EA3E23" w:rsidRPr="004F4940" w:rsidP="00C76D03" w14:paraId="580D2DF1" w14:textId="77777777">
            <w:pPr>
              <w:pStyle w:val="FERCparanumber"/>
              <w:numPr>
                <w:ilvl w:val="0"/>
                <w:numId w:val="0"/>
              </w:numPr>
              <w:suppressLineNumbers/>
              <w:spacing w:after="0"/>
            </w:pPr>
          </w:p>
        </w:tc>
        <w:tc>
          <w:tcPr>
            <w:tcW w:w="1358" w:type="dxa"/>
            <w:shd w:val="clear" w:color="auto" w:fill="FFFFFF" w:themeFill="background1"/>
          </w:tcPr>
          <w:p w:rsidR="00EA3E23" w:rsidRPr="004F4940" w:rsidP="00C76D03" w14:paraId="0CA856D6" w14:textId="77777777">
            <w:pPr>
              <w:pStyle w:val="FERCparanumber"/>
              <w:numPr>
                <w:ilvl w:val="0"/>
                <w:numId w:val="0"/>
              </w:numPr>
              <w:suppressLineNumbers/>
              <w:spacing w:after="0"/>
            </w:pPr>
          </w:p>
        </w:tc>
        <w:tc>
          <w:tcPr>
            <w:tcW w:w="1404" w:type="dxa"/>
            <w:shd w:val="clear" w:color="auto" w:fill="FFFFFF" w:themeFill="background1"/>
          </w:tcPr>
          <w:p w:rsidR="00EA3E23" w:rsidRPr="004F4940" w:rsidP="00C76D03" w14:paraId="311812E1" w14:textId="77777777">
            <w:pPr>
              <w:pStyle w:val="FERCparanumber"/>
              <w:numPr>
                <w:ilvl w:val="0"/>
                <w:numId w:val="0"/>
              </w:numPr>
              <w:suppressLineNumbers/>
              <w:spacing w:after="0"/>
            </w:pPr>
            <w:r w:rsidRPr="004F4940">
              <w:t>278</w:t>
            </w:r>
          </w:p>
        </w:tc>
        <w:tc>
          <w:tcPr>
            <w:tcW w:w="1536" w:type="dxa"/>
            <w:shd w:val="clear" w:color="auto" w:fill="FFFFFF" w:themeFill="background1"/>
          </w:tcPr>
          <w:p w:rsidR="00EA3E23" w:rsidRPr="004F4940" w:rsidP="00C76D03" w14:paraId="039911FE" w14:textId="77777777">
            <w:pPr>
              <w:pStyle w:val="FERCparanumber"/>
              <w:numPr>
                <w:ilvl w:val="0"/>
                <w:numId w:val="0"/>
              </w:numPr>
              <w:suppressLineNumbers/>
              <w:spacing w:after="0"/>
              <w:rPr>
                <w:b/>
              </w:rPr>
            </w:pPr>
          </w:p>
        </w:tc>
        <w:tc>
          <w:tcPr>
            <w:tcW w:w="2236" w:type="dxa"/>
            <w:shd w:val="clear" w:color="auto" w:fill="FFFFFF" w:themeFill="background1"/>
          </w:tcPr>
          <w:p w:rsidR="00EA3E23" w:rsidRPr="004F4940" w:rsidP="00C76D03" w14:paraId="2253DEFE" w14:textId="77777777">
            <w:pPr>
              <w:pStyle w:val="FERCparanumber"/>
              <w:numPr>
                <w:ilvl w:val="0"/>
                <w:numId w:val="0"/>
              </w:numPr>
              <w:suppressLineNumbers/>
              <w:spacing w:after="0"/>
              <w:rPr>
                <w:b/>
              </w:rPr>
            </w:pPr>
            <w:r w:rsidRPr="004F4940">
              <w:rPr>
                <w:b/>
              </w:rPr>
              <w:t>11,004 hrs.</w:t>
            </w:r>
          </w:p>
          <w:p w:rsidR="00EA3E23" w:rsidRPr="004F4940" w:rsidP="00C76D03" w14:paraId="069E8613" w14:textId="77777777">
            <w:pPr>
              <w:pStyle w:val="FERCparanumber"/>
              <w:numPr>
                <w:ilvl w:val="0"/>
                <w:numId w:val="0"/>
              </w:numPr>
              <w:suppressLineNumbers/>
              <w:spacing w:after="0"/>
              <w:rPr>
                <w:b/>
              </w:rPr>
            </w:pPr>
            <w:r w:rsidRPr="004F4940">
              <w:rPr>
                <w:b/>
              </w:rPr>
              <w:t>$714,049.56</w:t>
            </w:r>
          </w:p>
        </w:tc>
      </w:tr>
      <w:tr w14:paraId="41D1B8FF" w14:textId="77777777" w:rsidTr="00C76D03">
        <w:tblPrEx>
          <w:tblW w:w="0" w:type="auto"/>
          <w:tblLook w:val="04A0"/>
        </w:tblPrEx>
        <w:trPr>
          <w:trHeight w:val="256"/>
        </w:trPr>
        <w:tc>
          <w:tcPr>
            <w:tcW w:w="9350" w:type="dxa"/>
            <w:gridSpan w:val="6"/>
            <w:shd w:val="clear" w:color="auto" w:fill="D9D9D9" w:themeFill="background1" w:themeFillShade="D9"/>
          </w:tcPr>
          <w:p w:rsidR="00EA3E23" w:rsidRPr="004F4940" w:rsidP="00C76D03" w14:paraId="7680AF4B" w14:textId="77777777">
            <w:pPr>
              <w:pStyle w:val="FERCparanumber"/>
              <w:numPr>
                <w:ilvl w:val="0"/>
                <w:numId w:val="0"/>
              </w:numPr>
              <w:suppressLineNumbers/>
              <w:spacing w:before="240"/>
              <w:jc w:val="center"/>
              <w:rPr>
                <w:b/>
              </w:rPr>
            </w:pPr>
            <w:r w:rsidRPr="004F4940">
              <w:rPr>
                <w:b/>
                <w:bCs/>
              </w:rPr>
              <w:t xml:space="preserve">Ongoing Estimate – Year 3 ongoing </w:t>
            </w:r>
            <w:r w:rsidRPr="004F4940">
              <w:rPr>
                <w:b/>
              </w:rPr>
              <w:t>EOP-011-3</w:t>
            </w:r>
          </w:p>
        </w:tc>
      </w:tr>
      <w:tr w14:paraId="24832F9F" w14:textId="77777777" w:rsidTr="00C76D03">
        <w:tblPrEx>
          <w:tblW w:w="0" w:type="auto"/>
          <w:tblLook w:val="04A0"/>
        </w:tblPrEx>
        <w:trPr>
          <w:trHeight w:val="256"/>
        </w:trPr>
        <w:tc>
          <w:tcPr>
            <w:tcW w:w="1675" w:type="dxa"/>
            <w:shd w:val="clear" w:color="auto" w:fill="FFFFFF" w:themeFill="background1"/>
          </w:tcPr>
          <w:p w:rsidR="00EA3E23" w:rsidRPr="004F4940" w:rsidP="00C76D03" w14:paraId="25B2E614" w14:textId="77777777">
            <w:pPr>
              <w:pStyle w:val="FERCparanumber"/>
              <w:numPr>
                <w:ilvl w:val="0"/>
                <w:numId w:val="0"/>
              </w:numPr>
              <w:suppressLineNumbers/>
              <w:rPr>
                <w:b/>
              </w:rPr>
            </w:pPr>
            <w:r w:rsidRPr="004F4940">
              <w:t>EOP-011-3</w:t>
            </w:r>
            <w:r>
              <w:rPr>
                <w:b/>
                <w:vertAlign w:val="superscript"/>
              </w:rPr>
              <w:footnoteReference w:id="11"/>
            </w:r>
          </w:p>
        </w:tc>
        <w:tc>
          <w:tcPr>
            <w:tcW w:w="1141" w:type="dxa"/>
            <w:shd w:val="clear" w:color="auto" w:fill="FFFFFF" w:themeFill="background1"/>
          </w:tcPr>
          <w:p w:rsidR="00EA3E23" w:rsidRPr="004F4940" w:rsidP="00C76D03" w14:paraId="5B316621" w14:textId="77777777">
            <w:pPr>
              <w:pStyle w:val="FERCparanumber"/>
              <w:numPr>
                <w:ilvl w:val="0"/>
                <w:numId w:val="0"/>
              </w:numPr>
              <w:suppressLineNumbers/>
              <w:rPr>
                <w:b/>
              </w:rPr>
            </w:pPr>
            <w:r w:rsidRPr="004F4940">
              <w:t>168 (TOP)</w:t>
            </w:r>
          </w:p>
        </w:tc>
        <w:tc>
          <w:tcPr>
            <w:tcW w:w="1358" w:type="dxa"/>
            <w:shd w:val="clear" w:color="auto" w:fill="FFFFFF" w:themeFill="background1"/>
          </w:tcPr>
          <w:p w:rsidR="00EA3E23" w:rsidRPr="004F4940" w:rsidP="00C76D03" w14:paraId="1127EA2A" w14:textId="77777777">
            <w:pPr>
              <w:pStyle w:val="FERCparanumber"/>
              <w:numPr>
                <w:ilvl w:val="0"/>
                <w:numId w:val="0"/>
              </w:numPr>
              <w:suppressLineNumbers/>
              <w:rPr>
                <w:b/>
              </w:rPr>
            </w:pPr>
            <w:r w:rsidRPr="004F4940">
              <w:t>1</w:t>
            </w:r>
          </w:p>
        </w:tc>
        <w:tc>
          <w:tcPr>
            <w:tcW w:w="1404" w:type="dxa"/>
            <w:shd w:val="clear" w:color="auto" w:fill="FFFFFF" w:themeFill="background1"/>
          </w:tcPr>
          <w:p w:rsidR="00EA3E23" w:rsidRPr="004F4940" w:rsidP="00C76D03" w14:paraId="434F0F7F" w14:textId="77777777">
            <w:pPr>
              <w:pStyle w:val="FERCparanumber"/>
              <w:numPr>
                <w:ilvl w:val="0"/>
                <w:numId w:val="0"/>
              </w:numPr>
              <w:suppressLineNumbers/>
              <w:rPr>
                <w:b/>
              </w:rPr>
            </w:pPr>
            <w:r w:rsidRPr="004F4940">
              <w:t>168</w:t>
            </w:r>
          </w:p>
        </w:tc>
        <w:tc>
          <w:tcPr>
            <w:tcW w:w="1536" w:type="dxa"/>
            <w:shd w:val="clear" w:color="auto" w:fill="FFFFFF" w:themeFill="background1"/>
          </w:tcPr>
          <w:p w:rsidR="00EA3E23" w:rsidRPr="004F4940" w:rsidP="00C76D03" w14:paraId="4B12447E" w14:textId="77777777">
            <w:pPr>
              <w:pStyle w:val="FERCparanumber"/>
              <w:numPr>
                <w:ilvl w:val="0"/>
                <w:numId w:val="0"/>
              </w:numPr>
              <w:suppressLineNumbers/>
              <w:rPr>
                <w:bCs/>
              </w:rPr>
            </w:pPr>
            <w:r w:rsidRPr="004F4940">
              <w:rPr>
                <w:bCs/>
              </w:rPr>
              <w:t>10 hrs.</w:t>
            </w:r>
          </w:p>
          <w:p w:rsidR="00EA3E23" w:rsidRPr="004F4940" w:rsidP="00C76D03" w14:paraId="16DA68F2" w14:textId="77777777">
            <w:pPr>
              <w:pStyle w:val="FERCparanumber"/>
              <w:numPr>
                <w:ilvl w:val="0"/>
                <w:numId w:val="0"/>
              </w:numPr>
              <w:suppressLineNumbers/>
              <w:rPr>
                <w:bCs/>
              </w:rPr>
            </w:pPr>
            <w:r w:rsidRPr="004F4940">
              <w:rPr>
                <w:bCs/>
              </w:rPr>
              <w:t>$648.90</w:t>
            </w:r>
          </w:p>
        </w:tc>
        <w:tc>
          <w:tcPr>
            <w:tcW w:w="2236" w:type="dxa"/>
            <w:shd w:val="clear" w:color="auto" w:fill="FFFFFF" w:themeFill="background1"/>
          </w:tcPr>
          <w:p w:rsidR="00EA3E23" w:rsidRPr="004F4940" w:rsidP="00C76D03" w14:paraId="53F8D737" w14:textId="77777777">
            <w:pPr>
              <w:pStyle w:val="FERCparanumber"/>
              <w:numPr>
                <w:ilvl w:val="0"/>
                <w:numId w:val="0"/>
              </w:numPr>
              <w:suppressLineNumbers/>
              <w:rPr>
                <w:bCs/>
              </w:rPr>
            </w:pPr>
            <w:r w:rsidRPr="004F4940">
              <w:rPr>
                <w:bCs/>
              </w:rPr>
              <w:t>1,680 hrs.</w:t>
            </w:r>
          </w:p>
          <w:p w:rsidR="00EA3E23" w:rsidRPr="004F4940" w:rsidP="00C76D03" w14:paraId="0C6547E1" w14:textId="77777777">
            <w:pPr>
              <w:pStyle w:val="FERCparanumber"/>
              <w:numPr>
                <w:ilvl w:val="0"/>
                <w:numId w:val="0"/>
              </w:numPr>
              <w:suppressLineNumbers/>
              <w:rPr>
                <w:bCs/>
              </w:rPr>
            </w:pPr>
            <w:r w:rsidRPr="004F4940">
              <w:rPr>
                <w:bCs/>
              </w:rPr>
              <w:t>$109,015.20</w:t>
            </w:r>
          </w:p>
        </w:tc>
      </w:tr>
      <w:tr w14:paraId="484E3624" w14:textId="77777777" w:rsidTr="00C76D03">
        <w:tblPrEx>
          <w:tblW w:w="0" w:type="auto"/>
          <w:tblLook w:val="04A0"/>
        </w:tblPrEx>
        <w:trPr>
          <w:trHeight w:val="256"/>
        </w:trPr>
        <w:tc>
          <w:tcPr>
            <w:tcW w:w="1675" w:type="dxa"/>
            <w:shd w:val="clear" w:color="auto" w:fill="FFFFFF" w:themeFill="background1"/>
          </w:tcPr>
          <w:p w:rsidR="00EA3E23" w:rsidRPr="004F4940" w:rsidP="00C76D03" w14:paraId="57C6B908" w14:textId="77777777">
            <w:pPr>
              <w:pStyle w:val="FERCparanumber"/>
              <w:numPr>
                <w:ilvl w:val="0"/>
                <w:numId w:val="0"/>
              </w:numPr>
              <w:suppressLineNumbers/>
              <w:rPr>
                <w:b/>
              </w:rPr>
            </w:pPr>
            <w:r w:rsidRPr="004F4940">
              <w:t>EOP-011-3</w:t>
            </w:r>
            <w:r>
              <w:rPr>
                <w:b/>
                <w:vertAlign w:val="superscript"/>
              </w:rPr>
              <w:footnoteReference w:id="12"/>
            </w:r>
          </w:p>
        </w:tc>
        <w:tc>
          <w:tcPr>
            <w:tcW w:w="1141" w:type="dxa"/>
            <w:shd w:val="clear" w:color="auto" w:fill="FFFFFF" w:themeFill="background1"/>
          </w:tcPr>
          <w:p w:rsidR="00EA3E23" w:rsidRPr="004F4940" w:rsidP="00C76D03" w14:paraId="7DB552AD" w14:textId="77777777">
            <w:pPr>
              <w:pStyle w:val="FERCparanumber"/>
              <w:numPr>
                <w:ilvl w:val="0"/>
                <w:numId w:val="0"/>
              </w:numPr>
              <w:suppressLineNumbers/>
              <w:rPr>
                <w:b/>
              </w:rPr>
            </w:pPr>
            <w:r w:rsidRPr="004F4940">
              <w:t>98 (BA)</w:t>
            </w:r>
          </w:p>
        </w:tc>
        <w:tc>
          <w:tcPr>
            <w:tcW w:w="1358" w:type="dxa"/>
            <w:shd w:val="clear" w:color="auto" w:fill="FFFFFF" w:themeFill="background1"/>
          </w:tcPr>
          <w:p w:rsidR="00EA3E23" w:rsidRPr="004F4940" w:rsidP="00C76D03" w14:paraId="3031B0D5" w14:textId="77777777">
            <w:pPr>
              <w:pStyle w:val="FERCparanumber"/>
              <w:numPr>
                <w:ilvl w:val="0"/>
                <w:numId w:val="0"/>
              </w:numPr>
              <w:suppressLineNumbers/>
              <w:rPr>
                <w:b/>
              </w:rPr>
            </w:pPr>
            <w:r w:rsidRPr="004F4940">
              <w:t>1</w:t>
            </w:r>
          </w:p>
        </w:tc>
        <w:tc>
          <w:tcPr>
            <w:tcW w:w="1404" w:type="dxa"/>
            <w:shd w:val="clear" w:color="auto" w:fill="FFFFFF" w:themeFill="background1"/>
          </w:tcPr>
          <w:p w:rsidR="00EA3E23" w:rsidRPr="004F4940" w:rsidP="00C76D03" w14:paraId="7D59AA20" w14:textId="77777777">
            <w:pPr>
              <w:pStyle w:val="FERCparanumber"/>
              <w:numPr>
                <w:ilvl w:val="0"/>
                <w:numId w:val="0"/>
              </w:numPr>
              <w:suppressLineNumbers/>
              <w:rPr>
                <w:b/>
              </w:rPr>
            </w:pPr>
            <w:r w:rsidRPr="004F4940">
              <w:t>98</w:t>
            </w:r>
          </w:p>
        </w:tc>
        <w:tc>
          <w:tcPr>
            <w:tcW w:w="1536" w:type="dxa"/>
            <w:shd w:val="clear" w:color="auto" w:fill="FFFFFF" w:themeFill="background1"/>
          </w:tcPr>
          <w:p w:rsidR="00EA3E23" w:rsidRPr="004F4940" w:rsidP="00C76D03" w14:paraId="73E08A27" w14:textId="77777777">
            <w:pPr>
              <w:pStyle w:val="FERCparanumber"/>
              <w:numPr>
                <w:ilvl w:val="0"/>
                <w:numId w:val="0"/>
              </w:numPr>
              <w:suppressLineNumbers/>
              <w:rPr>
                <w:bCs/>
              </w:rPr>
            </w:pPr>
            <w:r w:rsidRPr="004F4940">
              <w:rPr>
                <w:bCs/>
              </w:rPr>
              <w:t>10 hrs.</w:t>
            </w:r>
          </w:p>
          <w:p w:rsidR="00EA3E23" w:rsidRPr="004F4940" w:rsidP="00C76D03" w14:paraId="0820F62E" w14:textId="77777777">
            <w:pPr>
              <w:pStyle w:val="FERCparanumber"/>
              <w:numPr>
                <w:ilvl w:val="0"/>
                <w:numId w:val="0"/>
              </w:numPr>
              <w:suppressLineNumbers/>
              <w:rPr>
                <w:bCs/>
              </w:rPr>
            </w:pPr>
            <w:r w:rsidRPr="004F4940">
              <w:rPr>
                <w:bCs/>
              </w:rPr>
              <w:t>$648.90</w:t>
            </w:r>
          </w:p>
        </w:tc>
        <w:tc>
          <w:tcPr>
            <w:tcW w:w="2236" w:type="dxa"/>
            <w:shd w:val="clear" w:color="auto" w:fill="FFFFFF" w:themeFill="background1"/>
          </w:tcPr>
          <w:p w:rsidR="00EA3E23" w:rsidRPr="004F4940" w:rsidP="00C76D03" w14:paraId="7390E77F" w14:textId="77777777">
            <w:pPr>
              <w:pStyle w:val="FERCparanumber"/>
              <w:numPr>
                <w:ilvl w:val="0"/>
                <w:numId w:val="0"/>
              </w:numPr>
              <w:suppressLineNumbers/>
              <w:rPr>
                <w:bCs/>
              </w:rPr>
            </w:pPr>
            <w:r w:rsidRPr="004F4940">
              <w:rPr>
                <w:bCs/>
              </w:rPr>
              <w:t>980 hrs.</w:t>
            </w:r>
          </w:p>
          <w:p w:rsidR="00EA3E23" w:rsidRPr="004F4940" w:rsidP="00C76D03" w14:paraId="190DFA76" w14:textId="77777777">
            <w:pPr>
              <w:pStyle w:val="FERCparanumber"/>
              <w:numPr>
                <w:ilvl w:val="0"/>
                <w:numId w:val="0"/>
              </w:numPr>
              <w:suppressLineNumbers/>
              <w:rPr>
                <w:bCs/>
              </w:rPr>
            </w:pPr>
            <w:r w:rsidRPr="004F4940">
              <w:rPr>
                <w:bCs/>
              </w:rPr>
              <w:t>$63,592.20</w:t>
            </w:r>
          </w:p>
        </w:tc>
      </w:tr>
      <w:tr w14:paraId="2BE1297C" w14:textId="77777777" w:rsidTr="00C76D03">
        <w:tblPrEx>
          <w:tblW w:w="0" w:type="auto"/>
          <w:tblLook w:val="04A0"/>
        </w:tblPrEx>
        <w:trPr>
          <w:trHeight w:val="256"/>
        </w:trPr>
        <w:tc>
          <w:tcPr>
            <w:tcW w:w="1675" w:type="dxa"/>
            <w:shd w:val="clear" w:color="auto" w:fill="FFFFFF" w:themeFill="background1"/>
          </w:tcPr>
          <w:p w:rsidR="00EA3E23" w:rsidRPr="004F4940" w:rsidP="00C76D03" w14:paraId="7B7FE289" w14:textId="77777777">
            <w:pPr>
              <w:pStyle w:val="FERCparanumber"/>
              <w:numPr>
                <w:ilvl w:val="0"/>
                <w:numId w:val="0"/>
              </w:numPr>
              <w:suppressLineNumbers/>
              <w:rPr>
                <w:b/>
              </w:rPr>
            </w:pPr>
            <w:r w:rsidRPr="004F4940">
              <w:t>EOP-011-3</w:t>
            </w:r>
            <w:r>
              <w:rPr>
                <w:b/>
                <w:vertAlign w:val="superscript"/>
              </w:rPr>
              <w:footnoteReference w:id="13"/>
            </w:r>
          </w:p>
        </w:tc>
        <w:tc>
          <w:tcPr>
            <w:tcW w:w="1141" w:type="dxa"/>
            <w:shd w:val="clear" w:color="auto" w:fill="FFFFFF" w:themeFill="background1"/>
          </w:tcPr>
          <w:p w:rsidR="00EA3E23" w:rsidRPr="004F4940" w:rsidP="00C76D03" w14:paraId="74228B57" w14:textId="77777777">
            <w:pPr>
              <w:pStyle w:val="FERCparanumber"/>
              <w:numPr>
                <w:ilvl w:val="0"/>
                <w:numId w:val="0"/>
              </w:numPr>
              <w:suppressLineNumbers/>
              <w:rPr>
                <w:b/>
              </w:rPr>
            </w:pPr>
            <w:r w:rsidRPr="004F4940">
              <w:t>12 (RC)</w:t>
            </w:r>
          </w:p>
        </w:tc>
        <w:tc>
          <w:tcPr>
            <w:tcW w:w="1358" w:type="dxa"/>
            <w:shd w:val="clear" w:color="auto" w:fill="FFFFFF" w:themeFill="background1"/>
          </w:tcPr>
          <w:p w:rsidR="00EA3E23" w:rsidRPr="004F4940" w:rsidP="00C76D03" w14:paraId="6C488642" w14:textId="77777777">
            <w:pPr>
              <w:pStyle w:val="FERCparanumber"/>
              <w:numPr>
                <w:ilvl w:val="0"/>
                <w:numId w:val="0"/>
              </w:numPr>
              <w:suppressLineNumbers/>
              <w:rPr>
                <w:b/>
              </w:rPr>
            </w:pPr>
            <w:r w:rsidRPr="004F4940">
              <w:t>1</w:t>
            </w:r>
          </w:p>
        </w:tc>
        <w:tc>
          <w:tcPr>
            <w:tcW w:w="1404" w:type="dxa"/>
            <w:shd w:val="clear" w:color="auto" w:fill="FFFFFF" w:themeFill="background1"/>
          </w:tcPr>
          <w:p w:rsidR="00EA3E23" w:rsidRPr="004F4940" w:rsidP="00C76D03" w14:paraId="35538358" w14:textId="77777777">
            <w:pPr>
              <w:pStyle w:val="FERCparanumber"/>
              <w:numPr>
                <w:ilvl w:val="0"/>
                <w:numId w:val="0"/>
              </w:numPr>
              <w:suppressLineNumbers/>
              <w:rPr>
                <w:b/>
              </w:rPr>
            </w:pPr>
            <w:r w:rsidRPr="004F4940">
              <w:t>12</w:t>
            </w:r>
          </w:p>
        </w:tc>
        <w:tc>
          <w:tcPr>
            <w:tcW w:w="1536" w:type="dxa"/>
            <w:shd w:val="clear" w:color="auto" w:fill="FFFFFF" w:themeFill="background1"/>
          </w:tcPr>
          <w:p w:rsidR="00EA3E23" w:rsidRPr="004F4940" w:rsidP="00C76D03" w14:paraId="5FE29A10" w14:textId="77777777">
            <w:pPr>
              <w:pStyle w:val="FERCparanumber"/>
              <w:numPr>
                <w:ilvl w:val="0"/>
                <w:numId w:val="0"/>
              </w:numPr>
              <w:suppressLineNumbers/>
              <w:rPr>
                <w:bCs/>
              </w:rPr>
            </w:pPr>
            <w:r w:rsidRPr="004F4940">
              <w:rPr>
                <w:bCs/>
              </w:rPr>
              <w:t>14 hrs.</w:t>
            </w:r>
          </w:p>
          <w:p w:rsidR="00EA3E23" w:rsidRPr="004F4940" w:rsidP="00C76D03" w14:paraId="133D4283" w14:textId="77777777">
            <w:pPr>
              <w:pStyle w:val="FERCparanumber"/>
              <w:numPr>
                <w:ilvl w:val="0"/>
                <w:numId w:val="0"/>
              </w:numPr>
              <w:suppressLineNumbers/>
              <w:rPr>
                <w:bCs/>
              </w:rPr>
            </w:pPr>
            <w:r w:rsidRPr="004F4940">
              <w:rPr>
                <w:bCs/>
              </w:rPr>
              <w:t>$908.46</w:t>
            </w:r>
          </w:p>
        </w:tc>
        <w:tc>
          <w:tcPr>
            <w:tcW w:w="2236" w:type="dxa"/>
            <w:shd w:val="clear" w:color="auto" w:fill="FFFFFF" w:themeFill="background1"/>
          </w:tcPr>
          <w:p w:rsidR="00EA3E23" w:rsidRPr="004F4940" w:rsidP="00C76D03" w14:paraId="302D683E" w14:textId="77777777">
            <w:pPr>
              <w:pStyle w:val="FERCparanumber"/>
              <w:numPr>
                <w:ilvl w:val="0"/>
                <w:numId w:val="0"/>
              </w:numPr>
              <w:suppressLineNumbers/>
              <w:rPr>
                <w:bCs/>
              </w:rPr>
            </w:pPr>
            <w:r w:rsidRPr="004F4940">
              <w:rPr>
                <w:bCs/>
              </w:rPr>
              <w:t>168 hrs.</w:t>
            </w:r>
          </w:p>
          <w:p w:rsidR="00EA3E23" w:rsidRPr="004F4940" w:rsidP="00C76D03" w14:paraId="5904E565" w14:textId="77777777">
            <w:pPr>
              <w:pStyle w:val="FERCparanumber"/>
              <w:numPr>
                <w:ilvl w:val="0"/>
                <w:numId w:val="0"/>
              </w:numPr>
              <w:suppressLineNumbers/>
              <w:rPr>
                <w:bCs/>
              </w:rPr>
            </w:pPr>
            <w:r w:rsidRPr="004F4940">
              <w:rPr>
                <w:bCs/>
              </w:rPr>
              <w:t>$10,901.52</w:t>
            </w:r>
          </w:p>
        </w:tc>
      </w:tr>
      <w:tr w14:paraId="7628F0DA" w14:textId="77777777" w:rsidTr="00C76D03">
        <w:tblPrEx>
          <w:tblW w:w="0" w:type="auto"/>
          <w:tblLook w:val="04A0"/>
        </w:tblPrEx>
        <w:trPr>
          <w:trHeight w:val="256"/>
        </w:trPr>
        <w:tc>
          <w:tcPr>
            <w:tcW w:w="1675" w:type="dxa"/>
            <w:shd w:val="clear" w:color="auto" w:fill="FFFFFF" w:themeFill="background1"/>
          </w:tcPr>
          <w:p w:rsidR="00EA3E23" w:rsidRPr="004F4940" w:rsidP="00C76D03" w14:paraId="7801530F" w14:textId="77777777">
            <w:pPr>
              <w:pStyle w:val="FERCparanumber"/>
              <w:numPr>
                <w:ilvl w:val="0"/>
                <w:numId w:val="0"/>
              </w:numPr>
              <w:suppressLineNumbers/>
              <w:spacing w:after="0"/>
              <w:rPr>
                <w:b/>
              </w:rPr>
            </w:pPr>
            <w:r w:rsidRPr="004F4940">
              <w:rPr>
                <w:b/>
              </w:rPr>
              <w:t>Sub-Total of EOP-011-3 (ongoing)</w:t>
            </w:r>
          </w:p>
        </w:tc>
        <w:tc>
          <w:tcPr>
            <w:tcW w:w="1141" w:type="dxa"/>
            <w:shd w:val="clear" w:color="auto" w:fill="FFFFFF" w:themeFill="background1"/>
          </w:tcPr>
          <w:p w:rsidR="00EA3E23" w:rsidRPr="004F4940" w:rsidP="00C76D03" w14:paraId="65DC5E8F" w14:textId="77777777">
            <w:pPr>
              <w:pStyle w:val="FERCparanumber"/>
              <w:numPr>
                <w:ilvl w:val="0"/>
                <w:numId w:val="0"/>
              </w:numPr>
              <w:suppressLineNumbers/>
              <w:rPr>
                <w:b/>
              </w:rPr>
            </w:pPr>
          </w:p>
        </w:tc>
        <w:tc>
          <w:tcPr>
            <w:tcW w:w="1358" w:type="dxa"/>
            <w:shd w:val="clear" w:color="auto" w:fill="FFFFFF" w:themeFill="background1"/>
          </w:tcPr>
          <w:p w:rsidR="00EA3E23" w:rsidRPr="004F4940" w:rsidP="00C76D03" w14:paraId="52247462" w14:textId="77777777">
            <w:pPr>
              <w:pStyle w:val="FERCparanumber"/>
              <w:numPr>
                <w:ilvl w:val="0"/>
                <w:numId w:val="0"/>
              </w:numPr>
              <w:suppressLineNumbers/>
              <w:rPr>
                <w:b/>
              </w:rPr>
            </w:pPr>
          </w:p>
        </w:tc>
        <w:tc>
          <w:tcPr>
            <w:tcW w:w="1404" w:type="dxa"/>
            <w:shd w:val="clear" w:color="auto" w:fill="FFFFFF" w:themeFill="background1"/>
          </w:tcPr>
          <w:p w:rsidR="00EA3E23" w:rsidRPr="004F4940" w:rsidP="00C76D03" w14:paraId="5B91A4AC" w14:textId="77777777">
            <w:pPr>
              <w:pStyle w:val="FERCparanumber"/>
              <w:numPr>
                <w:ilvl w:val="0"/>
                <w:numId w:val="0"/>
              </w:numPr>
              <w:suppressLineNumbers/>
              <w:rPr>
                <w:bCs/>
              </w:rPr>
            </w:pPr>
            <w:r w:rsidRPr="004F4940">
              <w:rPr>
                <w:bCs/>
              </w:rPr>
              <w:t>278</w:t>
            </w:r>
          </w:p>
        </w:tc>
        <w:tc>
          <w:tcPr>
            <w:tcW w:w="1536" w:type="dxa"/>
            <w:shd w:val="clear" w:color="auto" w:fill="FFFFFF" w:themeFill="background1"/>
          </w:tcPr>
          <w:p w:rsidR="00EA3E23" w:rsidRPr="004F4940" w:rsidP="00C76D03" w14:paraId="7D6748DA" w14:textId="77777777">
            <w:pPr>
              <w:pStyle w:val="FERCparanumber"/>
              <w:numPr>
                <w:ilvl w:val="0"/>
                <w:numId w:val="0"/>
              </w:numPr>
              <w:suppressLineNumbers/>
              <w:rPr>
                <w:b/>
              </w:rPr>
            </w:pPr>
          </w:p>
        </w:tc>
        <w:tc>
          <w:tcPr>
            <w:tcW w:w="2236" w:type="dxa"/>
            <w:shd w:val="clear" w:color="auto" w:fill="FFFFFF" w:themeFill="background1"/>
          </w:tcPr>
          <w:p w:rsidR="00EA3E23" w:rsidRPr="004F4940" w:rsidP="00C76D03" w14:paraId="7E62C263" w14:textId="77777777">
            <w:pPr>
              <w:pStyle w:val="FERCparanumber"/>
              <w:numPr>
                <w:ilvl w:val="0"/>
                <w:numId w:val="0"/>
              </w:numPr>
              <w:suppressLineNumbers/>
              <w:rPr>
                <w:bCs/>
              </w:rPr>
            </w:pPr>
            <w:r w:rsidRPr="004F4940">
              <w:rPr>
                <w:bCs/>
              </w:rPr>
              <w:t>2,828</w:t>
            </w:r>
          </w:p>
          <w:p w:rsidR="00EA3E23" w:rsidRPr="004F4940" w:rsidP="00C76D03" w14:paraId="2DC83F16" w14:textId="77777777">
            <w:pPr>
              <w:pStyle w:val="FERCparanumber"/>
              <w:numPr>
                <w:ilvl w:val="0"/>
                <w:numId w:val="0"/>
              </w:numPr>
              <w:suppressLineNumbers/>
              <w:rPr>
                <w:bCs/>
              </w:rPr>
            </w:pPr>
            <w:r w:rsidRPr="004F4940">
              <w:rPr>
                <w:bCs/>
              </w:rPr>
              <w:t>$183,508.92</w:t>
            </w:r>
          </w:p>
        </w:tc>
      </w:tr>
      <w:tr w14:paraId="3C6459C1" w14:textId="77777777" w:rsidTr="00C76D03">
        <w:tblPrEx>
          <w:tblW w:w="0" w:type="auto"/>
          <w:tblLook w:val="04A0"/>
        </w:tblPrEx>
        <w:trPr>
          <w:trHeight w:val="1682"/>
        </w:trPr>
        <w:tc>
          <w:tcPr>
            <w:tcW w:w="1675" w:type="dxa"/>
            <w:shd w:val="clear" w:color="auto" w:fill="FFFFFF" w:themeFill="background1"/>
          </w:tcPr>
          <w:p w:rsidR="00EA3E23" w:rsidRPr="004F4940" w:rsidP="00C76D03" w14:paraId="1BACCE70" w14:textId="77777777">
            <w:pPr>
              <w:pStyle w:val="FERCparanumber"/>
              <w:numPr>
                <w:ilvl w:val="0"/>
                <w:numId w:val="0"/>
              </w:numPr>
              <w:suppressLineNumbers/>
              <w:spacing w:after="0"/>
              <w:rPr>
                <w:b/>
              </w:rPr>
            </w:pPr>
            <w:r w:rsidRPr="004F4940">
              <w:rPr>
                <w:b/>
              </w:rPr>
              <w:t>Sub-Total of ongoing burden averaged over three years</w:t>
            </w:r>
          </w:p>
        </w:tc>
        <w:tc>
          <w:tcPr>
            <w:tcW w:w="1141" w:type="dxa"/>
            <w:shd w:val="clear" w:color="auto" w:fill="FFFFFF" w:themeFill="background1"/>
          </w:tcPr>
          <w:p w:rsidR="00EA3E23" w:rsidRPr="004F4940" w:rsidP="00C76D03" w14:paraId="4F786040" w14:textId="77777777">
            <w:pPr>
              <w:pStyle w:val="FERCparanumber"/>
              <w:numPr>
                <w:ilvl w:val="0"/>
                <w:numId w:val="0"/>
              </w:numPr>
              <w:suppressLineNumbers/>
              <w:rPr>
                <w:b/>
              </w:rPr>
            </w:pPr>
          </w:p>
        </w:tc>
        <w:tc>
          <w:tcPr>
            <w:tcW w:w="1358" w:type="dxa"/>
            <w:shd w:val="clear" w:color="auto" w:fill="FFFFFF" w:themeFill="background1"/>
          </w:tcPr>
          <w:p w:rsidR="00EA3E23" w:rsidRPr="004F4940" w:rsidP="00C76D03" w14:paraId="58114E9E" w14:textId="77777777">
            <w:pPr>
              <w:pStyle w:val="FERCparanumber"/>
              <w:numPr>
                <w:ilvl w:val="0"/>
                <w:numId w:val="0"/>
              </w:numPr>
              <w:suppressLineNumbers/>
              <w:rPr>
                <w:b/>
              </w:rPr>
            </w:pPr>
          </w:p>
        </w:tc>
        <w:tc>
          <w:tcPr>
            <w:tcW w:w="1404" w:type="dxa"/>
            <w:shd w:val="clear" w:color="auto" w:fill="FFFFFF" w:themeFill="background1"/>
          </w:tcPr>
          <w:p w:rsidR="00EA3E23" w:rsidRPr="004F4940" w:rsidP="00C76D03" w14:paraId="2B01D54C" w14:textId="77777777">
            <w:pPr>
              <w:pStyle w:val="FERCparanumber"/>
              <w:numPr>
                <w:ilvl w:val="0"/>
                <w:numId w:val="0"/>
              </w:numPr>
              <w:suppressLineNumbers/>
              <w:rPr>
                <w:bCs/>
              </w:rPr>
            </w:pPr>
            <w:r w:rsidRPr="004F4940">
              <w:rPr>
                <w:bCs/>
              </w:rPr>
              <w:t>92.67 (rounded)</w:t>
            </w:r>
          </w:p>
        </w:tc>
        <w:tc>
          <w:tcPr>
            <w:tcW w:w="1536" w:type="dxa"/>
            <w:shd w:val="clear" w:color="auto" w:fill="FFFFFF" w:themeFill="background1"/>
          </w:tcPr>
          <w:p w:rsidR="00EA3E23" w:rsidRPr="004F4940" w:rsidP="00C76D03" w14:paraId="00608C8B" w14:textId="77777777">
            <w:pPr>
              <w:pStyle w:val="FERCparanumber"/>
              <w:numPr>
                <w:ilvl w:val="0"/>
                <w:numId w:val="0"/>
              </w:numPr>
              <w:suppressLineNumbers/>
              <w:rPr>
                <w:b/>
              </w:rPr>
            </w:pPr>
          </w:p>
        </w:tc>
        <w:tc>
          <w:tcPr>
            <w:tcW w:w="2236" w:type="dxa"/>
            <w:shd w:val="clear" w:color="auto" w:fill="FFFFFF" w:themeFill="background1"/>
          </w:tcPr>
          <w:p w:rsidR="00EA3E23" w:rsidRPr="004F4940" w:rsidP="00C76D03" w14:paraId="12FC725C" w14:textId="77777777">
            <w:pPr>
              <w:pStyle w:val="FERCparanumber"/>
              <w:numPr>
                <w:ilvl w:val="0"/>
                <w:numId w:val="0"/>
              </w:numPr>
              <w:suppressLineNumbers/>
              <w:rPr>
                <w:bCs/>
              </w:rPr>
            </w:pPr>
            <w:r w:rsidRPr="004F4940">
              <w:rPr>
                <w:bCs/>
              </w:rPr>
              <w:t>942.67 hrs. (rounded)</w:t>
            </w:r>
          </w:p>
          <w:p w:rsidR="00EA3E23" w:rsidRPr="004F4940" w:rsidP="00C76D03" w14:paraId="79BC004C" w14:textId="77777777">
            <w:pPr>
              <w:pStyle w:val="FERCparanumber"/>
              <w:numPr>
                <w:ilvl w:val="0"/>
                <w:numId w:val="0"/>
              </w:numPr>
              <w:suppressLineNumbers/>
              <w:rPr>
                <w:b/>
              </w:rPr>
            </w:pPr>
            <w:r w:rsidRPr="004F4940">
              <w:rPr>
                <w:bCs/>
              </w:rPr>
              <w:t>$61,169.64</w:t>
            </w:r>
          </w:p>
        </w:tc>
      </w:tr>
      <w:tr w14:paraId="6CC1731B" w14:textId="77777777" w:rsidTr="00C76D03">
        <w:tblPrEx>
          <w:tblW w:w="0" w:type="auto"/>
          <w:tblLook w:val="04A0"/>
        </w:tblPrEx>
        <w:trPr>
          <w:trHeight w:val="256"/>
        </w:trPr>
        <w:tc>
          <w:tcPr>
            <w:tcW w:w="1675" w:type="dxa"/>
            <w:shd w:val="clear" w:color="auto" w:fill="FFFFFF" w:themeFill="background1"/>
          </w:tcPr>
          <w:p w:rsidR="00EA3E23" w:rsidRPr="004F4940" w:rsidP="00C76D03" w14:paraId="70D40D9D" w14:textId="77777777">
            <w:pPr>
              <w:pStyle w:val="FERCparanumber"/>
              <w:numPr>
                <w:ilvl w:val="0"/>
                <w:numId w:val="0"/>
              </w:numPr>
              <w:suppressLineNumbers/>
              <w:spacing w:before="240"/>
              <w:rPr>
                <w:b/>
              </w:rPr>
            </w:pPr>
            <w:r w:rsidRPr="004F4940">
              <w:rPr>
                <w:b/>
              </w:rPr>
              <w:t>Proposed Total Burden Estimate of EOP-011-3</w:t>
            </w:r>
          </w:p>
        </w:tc>
        <w:tc>
          <w:tcPr>
            <w:tcW w:w="1141" w:type="dxa"/>
            <w:shd w:val="clear" w:color="auto" w:fill="FFFFFF" w:themeFill="background1"/>
          </w:tcPr>
          <w:p w:rsidR="00EA3E23" w:rsidRPr="004F4940" w:rsidP="00C76D03" w14:paraId="121B2B56" w14:textId="77777777">
            <w:pPr>
              <w:pStyle w:val="FERCparanumber"/>
              <w:numPr>
                <w:ilvl w:val="0"/>
                <w:numId w:val="0"/>
              </w:numPr>
              <w:suppressLineNumbers/>
              <w:spacing w:before="240"/>
              <w:rPr>
                <w:b/>
              </w:rPr>
            </w:pPr>
          </w:p>
        </w:tc>
        <w:tc>
          <w:tcPr>
            <w:tcW w:w="1358" w:type="dxa"/>
            <w:shd w:val="clear" w:color="auto" w:fill="FFFFFF" w:themeFill="background1"/>
          </w:tcPr>
          <w:p w:rsidR="00EA3E23" w:rsidRPr="004F4940" w:rsidP="00C76D03" w14:paraId="375A39EA" w14:textId="77777777">
            <w:pPr>
              <w:pStyle w:val="FERCparanumber"/>
              <w:numPr>
                <w:ilvl w:val="0"/>
                <w:numId w:val="0"/>
              </w:numPr>
              <w:suppressLineNumbers/>
              <w:spacing w:before="240"/>
              <w:rPr>
                <w:b/>
              </w:rPr>
            </w:pPr>
          </w:p>
        </w:tc>
        <w:tc>
          <w:tcPr>
            <w:tcW w:w="1404" w:type="dxa"/>
            <w:shd w:val="clear" w:color="auto" w:fill="FFFFFF" w:themeFill="background1"/>
          </w:tcPr>
          <w:p w:rsidR="00EA3E23" w:rsidRPr="004F4940" w:rsidP="00C76D03" w14:paraId="1B6C9E47" w14:textId="77777777">
            <w:pPr>
              <w:pStyle w:val="FERCparanumber"/>
              <w:numPr>
                <w:ilvl w:val="0"/>
                <w:numId w:val="0"/>
              </w:numPr>
              <w:suppressLineNumbers/>
              <w:spacing w:before="240"/>
              <w:rPr>
                <w:b/>
              </w:rPr>
            </w:pPr>
            <w:r w:rsidRPr="004F4940">
              <w:rPr>
                <w:b/>
              </w:rPr>
              <w:t>370.67</w:t>
            </w:r>
          </w:p>
        </w:tc>
        <w:tc>
          <w:tcPr>
            <w:tcW w:w="1536" w:type="dxa"/>
            <w:shd w:val="clear" w:color="auto" w:fill="FFFFFF" w:themeFill="background1"/>
          </w:tcPr>
          <w:p w:rsidR="00EA3E23" w:rsidRPr="004F4940" w:rsidP="00C76D03" w14:paraId="3100BC39" w14:textId="77777777">
            <w:pPr>
              <w:pStyle w:val="FERCparanumber"/>
              <w:numPr>
                <w:ilvl w:val="0"/>
                <w:numId w:val="0"/>
              </w:numPr>
              <w:suppressLineNumbers/>
              <w:spacing w:before="240"/>
              <w:rPr>
                <w:bCs/>
              </w:rPr>
            </w:pPr>
          </w:p>
        </w:tc>
        <w:tc>
          <w:tcPr>
            <w:tcW w:w="2236" w:type="dxa"/>
            <w:shd w:val="clear" w:color="auto" w:fill="FFFFFF" w:themeFill="background1"/>
          </w:tcPr>
          <w:p w:rsidR="00EA3E23" w:rsidRPr="004F4940" w:rsidP="00C76D03" w14:paraId="0441938E" w14:textId="77777777">
            <w:pPr>
              <w:pStyle w:val="FERCparanumber"/>
              <w:numPr>
                <w:ilvl w:val="0"/>
                <w:numId w:val="0"/>
              </w:numPr>
              <w:suppressLineNumbers/>
              <w:spacing w:before="240"/>
              <w:rPr>
                <w:b/>
              </w:rPr>
            </w:pPr>
            <w:r w:rsidRPr="004F4940">
              <w:rPr>
                <w:b/>
              </w:rPr>
              <w:t>11,946.67 hrs.</w:t>
            </w:r>
          </w:p>
          <w:p w:rsidR="00EA3E23" w:rsidRPr="004F4940" w:rsidP="00C76D03" w14:paraId="62C64E94" w14:textId="77777777">
            <w:pPr>
              <w:pStyle w:val="FERCparanumber"/>
              <w:numPr>
                <w:ilvl w:val="0"/>
                <w:numId w:val="0"/>
              </w:numPr>
              <w:suppressLineNumbers/>
              <w:spacing w:before="240"/>
              <w:rPr>
                <w:bCs/>
              </w:rPr>
            </w:pPr>
            <w:r w:rsidRPr="004F4940">
              <w:rPr>
                <w:b/>
              </w:rPr>
              <w:t>$775,219.42</w:t>
            </w:r>
            <w:r w:rsidRPr="004F4940">
              <w:rPr>
                <w:bCs/>
              </w:rPr>
              <w:t xml:space="preserve"> (rounded)</w:t>
            </w:r>
          </w:p>
        </w:tc>
      </w:tr>
      <w:bookmarkEnd w:id="1"/>
    </w:tbl>
    <w:p w:rsidR="00EA3E23" w:rsidP="00D872AA" w14:paraId="34959E42" w14:textId="33B5E626">
      <w:pPr>
        <w:spacing w:after="160" w:line="259" w:lineRule="auto"/>
      </w:pPr>
    </w:p>
    <w:tbl>
      <w:tblPr>
        <w:tblStyle w:val="TableGrid"/>
        <w:tblW w:w="0" w:type="auto"/>
        <w:tblLook w:val="04A0"/>
      </w:tblPr>
      <w:tblGrid>
        <w:gridCol w:w="1675"/>
        <w:gridCol w:w="1141"/>
        <w:gridCol w:w="1358"/>
        <w:gridCol w:w="1404"/>
        <w:gridCol w:w="1614"/>
        <w:gridCol w:w="2158"/>
      </w:tblGrid>
      <w:tr w14:paraId="05878F7A" w14:textId="77777777" w:rsidTr="00C76D03">
        <w:tblPrEx>
          <w:tblW w:w="0" w:type="auto"/>
          <w:tblLook w:val="04A0"/>
        </w:tblPrEx>
        <w:tc>
          <w:tcPr>
            <w:tcW w:w="9350" w:type="dxa"/>
            <w:gridSpan w:val="6"/>
            <w:shd w:val="clear" w:color="auto" w:fill="D9D9D9" w:themeFill="background1" w:themeFillShade="D9"/>
          </w:tcPr>
          <w:p w:rsidR="009838AD" w:rsidRPr="004F4940" w:rsidP="00C76D03" w14:paraId="174D24C0" w14:textId="77777777">
            <w:pPr>
              <w:spacing w:before="240" w:after="160" w:line="259" w:lineRule="auto"/>
              <w:jc w:val="center"/>
              <w:rPr>
                <w:b/>
              </w:rPr>
            </w:pPr>
            <w:r w:rsidRPr="004F4940">
              <w:rPr>
                <w:b/>
              </w:rPr>
              <w:t>Table 3: Proposed Changes Due to Final Rule in Docket No. RD23-1-000 for EOP-012-1</w:t>
            </w:r>
          </w:p>
        </w:tc>
      </w:tr>
      <w:tr w14:paraId="3FD14A18" w14:textId="77777777" w:rsidTr="00C76D03">
        <w:tblPrEx>
          <w:tblW w:w="0" w:type="auto"/>
          <w:tblLook w:val="04A0"/>
        </w:tblPrEx>
        <w:tc>
          <w:tcPr>
            <w:tcW w:w="1638" w:type="dxa"/>
            <w:shd w:val="clear" w:color="auto" w:fill="FFFFFF" w:themeFill="background1"/>
            <w:vAlign w:val="bottom"/>
          </w:tcPr>
          <w:p w:rsidR="009838AD" w:rsidRPr="004F4940" w:rsidP="00C76D03" w14:paraId="3C97F7DD" w14:textId="77777777">
            <w:pPr>
              <w:spacing w:before="240" w:after="160" w:line="259" w:lineRule="auto"/>
              <w:rPr>
                <w:b/>
              </w:rPr>
            </w:pPr>
            <w:r w:rsidRPr="004F4940">
              <w:rPr>
                <w:b/>
              </w:rPr>
              <w:t>Reliability Standard &amp; Requirement</w:t>
            </w:r>
          </w:p>
        </w:tc>
        <w:tc>
          <w:tcPr>
            <w:tcW w:w="1117" w:type="dxa"/>
            <w:shd w:val="clear" w:color="auto" w:fill="FFFFFF" w:themeFill="background1"/>
            <w:vAlign w:val="bottom"/>
          </w:tcPr>
          <w:p w:rsidR="009838AD" w:rsidRPr="004F4940" w:rsidP="00C76D03" w14:paraId="2D0CAA22" w14:textId="77777777">
            <w:pPr>
              <w:spacing w:before="240" w:after="160" w:line="259" w:lineRule="auto"/>
              <w:rPr>
                <w:b/>
              </w:rPr>
            </w:pPr>
            <w:r w:rsidRPr="004F4940">
              <w:rPr>
                <w:b/>
              </w:rPr>
              <w:t>Type and Number of Entity</w:t>
            </w:r>
          </w:p>
          <w:p w:rsidR="009838AD" w:rsidRPr="004F4940" w:rsidP="00C76D03" w14:paraId="59E7B3D1" w14:textId="77777777">
            <w:pPr>
              <w:spacing w:before="240" w:after="160" w:line="259" w:lineRule="auto"/>
              <w:rPr>
                <w:b/>
              </w:rPr>
            </w:pPr>
            <w:r w:rsidRPr="004F4940">
              <w:t>(1)</w:t>
            </w:r>
          </w:p>
        </w:tc>
        <w:tc>
          <w:tcPr>
            <w:tcW w:w="1328" w:type="dxa"/>
            <w:shd w:val="clear" w:color="auto" w:fill="FFFFFF" w:themeFill="background1"/>
            <w:vAlign w:val="bottom"/>
          </w:tcPr>
          <w:p w:rsidR="009838AD" w:rsidRPr="004F4940" w:rsidP="00C76D03" w14:paraId="28EA2E1F" w14:textId="77777777">
            <w:pPr>
              <w:spacing w:before="240" w:after="160" w:line="259" w:lineRule="auto"/>
              <w:rPr>
                <w:b/>
              </w:rPr>
            </w:pPr>
            <w:r w:rsidRPr="004F4940">
              <w:rPr>
                <w:b/>
              </w:rPr>
              <w:t>Number of Annual Responses  Per Entity</w:t>
            </w:r>
          </w:p>
          <w:p w:rsidR="009838AD" w:rsidRPr="004F4940" w:rsidP="00C76D03" w14:paraId="3AF822E5" w14:textId="77777777">
            <w:pPr>
              <w:spacing w:before="240" w:after="160" w:line="259" w:lineRule="auto"/>
              <w:rPr>
                <w:b/>
              </w:rPr>
            </w:pPr>
            <w:r w:rsidRPr="004F4940">
              <w:rPr>
                <w:b/>
              </w:rPr>
              <w:t>(</w:t>
            </w:r>
            <w:r w:rsidRPr="004F4940">
              <w:t>2)</w:t>
            </w:r>
          </w:p>
        </w:tc>
        <w:tc>
          <w:tcPr>
            <w:tcW w:w="1373" w:type="dxa"/>
            <w:shd w:val="clear" w:color="auto" w:fill="FFFFFF" w:themeFill="background1"/>
            <w:vAlign w:val="bottom"/>
          </w:tcPr>
          <w:p w:rsidR="009838AD" w:rsidRPr="004F4940" w:rsidP="00C76D03" w14:paraId="5C5F778B" w14:textId="77777777">
            <w:pPr>
              <w:spacing w:before="240" w:after="160" w:line="259" w:lineRule="auto"/>
              <w:rPr>
                <w:b/>
              </w:rPr>
            </w:pPr>
            <w:r w:rsidRPr="004F4940">
              <w:rPr>
                <w:b/>
              </w:rPr>
              <w:t>Total Number of Responses</w:t>
            </w:r>
          </w:p>
          <w:p w:rsidR="009838AD" w:rsidRPr="004F4940" w:rsidP="00C76D03" w14:paraId="5579ECDB" w14:textId="77777777">
            <w:pPr>
              <w:spacing w:before="240" w:after="160" w:line="259" w:lineRule="auto"/>
              <w:rPr>
                <w:b/>
              </w:rPr>
            </w:pPr>
            <w:r w:rsidRPr="004F4940">
              <w:rPr>
                <w:b/>
              </w:rPr>
              <w:t>(1)*(2)=(3)</w:t>
            </w:r>
          </w:p>
        </w:tc>
        <w:tc>
          <w:tcPr>
            <w:tcW w:w="1659" w:type="dxa"/>
            <w:shd w:val="clear" w:color="auto" w:fill="FFFFFF" w:themeFill="background1"/>
            <w:vAlign w:val="bottom"/>
          </w:tcPr>
          <w:p w:rsidR="009838AD" w:rsidRPr="004F4940" w:rsidP="00C76D03" w14:paraId="418073D6" w14:textId="77777777">
            <w:pPr>
              <w:spacing w:before="240" w:after="160" w:line="259" w:lineRule="auto"/>
              <w:rPr>
                <w:b/>
              </w:rPr>
            </w:pPr>
            <w:r w:rsidRPr="004F4940">
              <w:rPr>
                <w:b/>
              </w:rPr>
              <w:t>Average Number of Burden Hours per Response</w:t>
            </w:r>
            <w:r>
              <w:rPr>
                <w:rStyle w:val="FootnoteReference"/>
              </w:rPr>
              <w:footnoteReference w:id="14"/>
            </w:r>
          </w:p>
          <w:p w:rsidR="009838AD" w:rsidRPr="004F4940" w:rsidP="00C76D03" w14:paraId="77E8B041" w14:textId="77777777">
            <w:pPr>
              <w:spacing w:before="240" w:after="160" w:line="259" w:lineRule="auto"/>
              <w:rPr>
                <w:b/>
              </w:rPr>
            </w:pPr>
            <w:r w:rsidRPr="004F4940">
              <w:rPr>
                <w:b/>
              </w:rPr>
              <w:t>(4)</w:t>
            </w:r>
          </w:p>
        </w:tc>
        <w:tc>
          <w:tcPr>
            <w:tcW w:w="2235" w:type="dxa"/>
            <w:shd w:val="clear" w:color="auto" w:fill="FFFFFF" w:themeFill="background1"/>
            <w:vAlign w:val="bottom"/>
          </w:tcPr>
          <w:p w:rsidR="009838AD" w:rsidRPr="004F4940" w:rsidP="00C76D03" w14:paraId="34BEB3D0" w14:textId="77777777">
            <w:pPr>
              <w:spacing w:before="240" w:after="160" w:line="259" w:lineRule="auto"/>
              <w:rPr>
                <w:b/>
              </w:rPr>
            </w:pPr>
            <w:r w:rsidRPr="004F4940">
              <w:rPr>
                <w:b/>
              </w:rPr>
              <w:t>Total Burden Hours</w:t>
            </w:r>
          </w:p>
          <w:p w:rsidR="009838AD" w:rsidRPr="004F4940" w:rsidP="00C76D03" w14:paraId="1304F254" w14:textId="77777777">
            <w:pPr>
              <w:spacing w:before="240" w:after="160" w:line="259" w:lineRule="auto"/>
              <w:rPr>
                <w:b/>
              </w:rPr>
            </w:pPr>
            <w:r w:rsidRPr="004F4940">
              <w:rPr>
                <w:b/>
              </w:rPr>
              <w:t>(3)*(4)=(5)</w:t>
            </w:r>
          </w:p>
        </w:tc>
      </w:tr>
      <w:tr w14:paraId="381EEB0D" w14:textId="77777777" w:rsidTr="00C76D03">
        <w:tblPrEx>
          <w:tblW w:w="0" w:type="auto"/>
          <w:tblLook w:val="04A0"/>
        </w:tblPrEx>
        <w:tc>
          <w:tcPr>
            <w:tcW w:w="9350" w:type="dxa"/>
            <w:gridSpan w:val="6"/>
            <w:shd w:val="clear" w:color="auto" w:fill="D9D9D9" w:themeFill="background1" w:themeFillShade="D9"/>
          </w:tcPr>
          <w:p w:rsidR="009838AD" w:rsidRPr="004F4940" w:rsidP="00C76D03" w14:paraId="5B1462CB" w14:textId="77777777">
            <w:pPr>
              <w:spacing w:before="240" w:after="160" w:line="259" w:lineRule="auto"/>
              <w:jc w:val="center"/>
              <w:rPr>
                <w:b/>
              </w:rPr>
            </w:pPr>
            <w:r w:rsidRPr="004F4940">
              <w:rPr>
                <w:b/>
              </w:rPr>
              <w:t>FERC-725S</w:t>
            </w:r>
          </w:p>
        </w:tc>
      </w:tr>
      <w:tr w14:paraId="56B2B88D" w14:textId="77777777" w:rsidTr="00C76D03">
        <w:tblPrEx>
          <w:tblW w:w="0" w:type="auto"/>
          <w:tblLook w:val="04A0"/>
        </w:tblPrEx>
        <w:tc>
          <w:tcPr>
            <w:tcW w:w="9350" w:type="dxa"/>
            <w:gridSpan w:val="6"/>
            <w:shd w:val="clear" w:color="auto" w:fill="D9D9D9" w:themeFill="background1" w:themeFillShade="D9"/>
          </w:tcPr>
          <w:p w:rsidR="009838AD" w:rsidRPr="004F4940" w:rsidP="00C76D03" w14:paraId="152C1B61" w14:textId="77777777">
            <w:pPr>
              <w:jc w:val="center"/>
              <w:rPr>
                <w:b/>
              </w:rPr>
            </w:pPr>
          </w:p>
          <w:p w:rsidR="009838AD" w:rsidRPr="004F4940" w:rsidP="00C76D03" w14:paraId="582320EB" w14:textId="77777777">
            <w:pPr>
              <w:spacing w:after="240"/>
              <w:jc w:val="center"/>
              <w:rPr>
                <w:b/>
              </w:rPr>
            </w:pPr>
            <w:r w:rsidRPr="004F4940">
              <w:rPr>
                <w:b/>
              </w:rPr>
              <w:t>One Time Estimate - Years 1 and 2 EOP-012-1</w:t>
            </w:r>
          </w:p>
        </w:tc>
      </w:tr>
      <w:tr w14:paraId="692E0A00" w14:textId="77777777" w:rsidTr="00C76D03">
        <w:tblPrEx>
          <w:tblW w:w="0" w:type="auto"/>
          <w:tblLook w:val="04A0"/>
        </w:tblPrEx>
        <w:tc>
          <w:tcPr>
            <w:tcW w:w="1638" w:type="dxa"/>
          </w:tcPr>
          <w:p w:rsidR="009838AD" w:rsidRPr="004F4940" w:rsidP="00C76D03" w14:paraId="215EE99E" w14:textId="77777777">
            <w:pPr>
              <w:spacing w:after="160" w:line="259" w:lineRule="auto"/>
            </w:pPr>
            <w:r w:rsidRPr="004F4940">
              <w:t>EOP-012-1</w:t>
            </w:r>
            <w:r>
              <w:rPr>
                <w:rStyle w:val="FootnoteReference"/>
              </w:rPr>
              <w:footnoteReference w:id="15"/>
            </w:r>
          </w:p>
        </w:tc>
        <w:tc>
          <w:tcPr>
            <w:tcW w:w="1117" w:type="dxa"/>
          </w:tcPr>
          <w:p w:rsidR="009838AD" w:rsidRPr="004F4940" w:rsidP="00C76D03" w14:paraId="5135178E" w14:textId="77777777">
            <w:pPr>
              <w:spacing w:after="160" w:line="259" w:lineRule="auto"/>
            </w:pPr>
            <w:r w:rsidRPr="004F4940">
              <w:t xml:space="preserve">1,107 </w:t>
            </w:r>
            <w:r w:rsidRPr="004F4940">
              <w:t>(GO)</w:t>
            </w:r>
          </w:p>
        </w:tc>
        <w:tc>
          <w:tcPr>
            <w:tcW w:w="1328" w:type="dxa"/>
          </w:tcPr>
          <w:p w:rsidR="009838AD" w:rsidRPr="004F4940" w:rsidP="00C76D03" w14:paraId="7CD59586" w14:textId="77777777">
            <w:pPr>
              <w:spacing w:after="160" w:line="259" w:lineRule="auto"/>
            </w:pPr>
            <w:r w:rsidRPr="004F4940">
              <w:t>1</w:t>
            </w:r>
          </w:p>
        </w:tc>
        <w:tc>
          <w:tcPr>
            <w:tcW w:w="1373" w:type="dxa"/>
          </w:tcPr>
          <w:p w:rsidR="009838AD" w:rsidRPr="004F4940" w:rsidP="00C76D03" w14:paraId="28D627F2" w14:textId="77777777">
            <w:pPr>
              <w:spacing w:after="160" w:line="259" w:lineRule="auto"/>
            </w:pPr>
            <w:r w:rsidRPr="004F4940">
              <w:t>1,107</w:t>
            </w:r>
          </w:p>
        </w:tc>
        <w:tc>
          <w:tcPr>
            <w:tcW w:w="1659" w:type="dxa"/>
          </w:tcPr>
          <w:p w:rsidR="009838AD" w:rsidRPr="004F4940" w:rsidP="00C76D03" w14:paraId="3AC748E7" w14:textId="77777777">
            <w:pPr>
              <w:spacing w:after="160" w:line="259" w:lineRule="auto"/>
            </w:pPr>
            <w:r w:rsidRPr="004F4940">
              <w:t>150 hrs.</w:t>
            </w:r>
          </w:p>
          <w:p w:rsidR="009838AD" w:rsidRPr="004F4940" w:rsidP="00C76D03" w14:paraId="0A44A588" w14:textId="77777777">
            <w:pPr>
              <w:spacing w:after="160" w:line="259" w:lineRule="auto"/>
            </w:pPr>
            <w:r w:rsidRPr="004F4940">
              <w:t>$9,733.50</w:t>
            </w:r>
          </w:p>
        </w:tc>
        <w:tc>
          <w:tcPr>
            <w:tcW w:w="2235" w:type="dxa"/>
          </w:tcPr>
          <w:p w:rsidR="009838AD" w:rsidRPr="004F4940" w:rsidP="00C76D03" w14:paraId="068EFD32" w14:textId="77777777">
            <w:pPr>
              <w:spacing w:after="160" w:line="259" w:lineRule="auto"/>
            </w:pPr>
            <w:r w:rsidRPr="004F4940">
              <w:t>166,050 hrs.</w:t>
            </w:r>
          </w:p>
          <w:p w:rsidR="009838AD" w:rsidRPr="004F4940" w:rsidP="00C76D03" w14:paraId="36940FC7" w14:textId="77777777">
            <w:pPr>
              <w:spacing w:after="160" w:line="259" w:lineRule="auto"/>
            </w:pPr>
            <w:r w:rsidRPr="004F4940">
              <w:t>$10,774,984.50</w:t>
            </w:r>
          </w:p>
        </w:tc>
      </w:tr>
      <w:tr w14:paraId="2DF67A37" w14:textId="77777777" w:rsidTr="00C76D03">
        <w:tblPrEx>
          <w:tblW w:w="0" w:type="auto"/>
          <w:tblLook w:val="04A0"/>
        </w:tblPrEx>
        <w:trPr>
          <w:trHeight w:val="800"/>
        </w:trPr>
        <w:tc>
          <w:tcPr>
            <w:tcW w:w="1638" w:type="dxa"/>
          </w:tcPr>
          <w:p w:rsidR="009838AD" w:rsidRPr="004F4940" w:rsidP="00C76D03" w14:paraId="2642917F" w14:textId="77777777">
            <w:pPr>
              <w:spacing w:after="160" w:line="259" w:lineRule="auto"/>
            </w:pPr>
            <w:r w:rsidRPr="004F4940">
              <w:t>EOP-012-1</w:t>
            </w:r>
          </w:p>
        </w:tc>
        <w:tc>
          <w:tcPr>
            <w:tcW w:w="1117" w:type="dxa"/>
          </w:tcPr>
          <w:p w:rsidR="009838AD" w:rsidRPr="004F4940" w:rsidP="00C76D03" w14:paraId="62D47366" w14:textId="77777777">
            <w:pPr>
              <w:spacing w:after="160" w:line="259" w:lineRule="auto"/>
            </w:pPr>
            <w:r w:rsidRPr="004F4940">
              <w:t xml:space="preserve">981 (GOP) </w:t>
            </w:r>
          </w:p>
        </w:tc>
        <w:tc>
          <w:tcPr>
            <w:tcW w:w="1328" w:type="dxa"/>
          </w:tcPr>
          <w:p w:rsidR="009838AD" w:rsidRPr="004F4940" w:rsidP="00C76D03" w14:paraId="0B5C0E16" w14:textId="77777777">
            <w:pPr>
              <w:spacing w:after="160" w:line="259" w:lineRule="auto"/>
            </w:pPr>
            <w:r w:rsidRPr="004F4940">
              <w:t>1</w:t>
            </w:r>
          </w:p>
        </w:tc>
        <w:tc>
          <w:tcPr>
            <w:tcW w:w="1373" w:type="dxa"/>
          </w:tcPr>
          <w:p w:rsidR="009838AD" w:rsidRPr="004F4940" w:rsidP="00C76D03" w14:paraId="65952966" w14:textId="77777777">
            <w:pPr>
              <w:spacing w:after="160" w:line="259" w:lineRule="auto"/>
            </w:pPr>
            <w:r w:rsidRPr="004F4940">
              <w:t>981</w:t>
            </w:r>
          </w:p>
        </w:tc>
        <w:tc>
          <w:tcPr>
            <w:tcW w:w="1659" w:type="dxa"/>
          </w:tcPr>
          <w:p w:rsidR="009838AD" w:rsidRPr="004F4940" w:rsidP="00C76D03" w14:paraId="26620BDE" w14:textId="77777777">
            <w:pPr>
              <w:spacing w:after="160" w:line="259" w:lineRule="auto"/>
            </w:pPr>
            <w:r w:rsidRPr="004F4940">
              <w:t>10 hrs.</w:t>
            </w:r>
          </w:p>
          <w:p w:rsidR="009838AD" w:rsidRPr="004F4940" w:rsidP="00C76D03" w14:paraId="1A6E0703" w14:textId="77777777">
            <w:pPr>
              <w:spacing w:after="160" w:line="259" w:lineRule="auto"/>
            </w:pPr>
            <w:r w:rsidRPr="004F4940">
              <w:t>$</w:t>
            </w:r>
            <w:r w:rsidRPr="004F4940">
              <w:rPr>
                <w:bCs/>
              </w:rPr>
              <w:t>648.90</w:t>
            </w:r>
          </w:p>
        </w:tc>
        <w:tc>
          <w:tcPr>
            <w:tcW w:w="2235" w:type="dxa"/>
          </w:tcPr>
          <w:p w:rsidR="009838AD" w:rsidRPr="004F4940" w:rsidP="00C76D03" w14:paraId="0A0FBCE2" w14:textId="77777777">
            <w:pPr>
              <w:spacing w:after="160" w:line="259" w:lineRule="auto"/>
            </w:pPr>
            <w:r w:rsidRPr="004F4940">
              <w:t>9,810 hrs.</w:t>
            </w:r>
          </w:p>
          <w:p w:rsidR="009838AD" w:rsidRPr="004F4940" w:rsidP="00C76D03" w14:paraId="18CDE5D2" w14:textId="77777777">
            <w:pPr>
              <w:spacing w:after="160" w:line="259" w:lineRule="auto"/>
            </w:pPr>
            <w:r w:rsidRPr="004F4940">
              <w:t>$636,570.90</w:t>
            </w:r>
          </w:p>
        </w:tc>
      </w:tr>
      <w:tr w14:paraId="2F989D5E" w14:textId="77777777" w:rsidTr="00C76D03">
        <w:tblPrEx>
          <w:tblW w:w="0" w:type="auto"/>
          <w:tblLook w:val="04A0"/>
        </w:tblPrEx>
        <w:trPr>
          <w:trHeight w:val="98"/>
        </w:trPr>
        <w:tc>
          <w:tcPr>
            <w:tcW w:w="1638" w:type="dxa"/>
          </w:tcPr>
          <w:p w:rsidR="009838AD" w:rsidRPr="004F4940" w:rsidP="00C76D03" w14:paraId="63BB4A0C" w14:textId="77777777">
            <w:pPr>
              <w:rPr>
                <w:b/>
                <w:bCs/>
              </w:rPr>
            </w:pPr>
            <w:r w:rsidRPr="004F4940">
              <w:rPr>
                <w:b/>
                <w:bCs/>
              </w:rPr>
              <w:t>Sub-Total for EOP-012-1 (one-time)</w:t>
            </w:r>
          </w:p>
        </w:tc>
        <w:tc>
          <w:tcPr>
            <w:tcW w:w="1117" w:type="dxa"/>
          </w:tcPr>
          <w:p w:rsidR="009838AD" w:rsidRPr="004F4940" w:rsidP="00C76D03" w14:paraId="2314A5CC" w14:textId="77777777"/>
        </w:tc>
        <w:tc>
          <w:tcPr>
            <w:tcW w:w="1328" w:type="dxa"/>
          </w:tcPr>
          <w:p w:rsidR="009838AD" w:rsidRPr="004F4940" w:rsidP="00C76D03" w14:paraId="6A294B1D" w14:textId="77777777"/>
        </w:tc>
        <w:tc>
          <w:tcPr>
            <w:tcW w:w="1373" w:type="dxa"/>
          </w:tcPr>
          <w:p w:rsidR="009838AD" w:rsidRPr="004F4940" w:rsidP="00C76D03" w14:paraId="4D3386BA" w14:textId="77777777">
            <w:r w:rsidRPr="004F4940">
              <w:t>2,088</w:t>
            </w:r>
          </w:p>
        </w:tc>
        <w:tc>
          <w:tcPr>
            <w:tcW w:w="1659" w:type="dxa"/>
          </w:tcPr>
          <w:p w:rsidR="009838AD" w:rsidRPr="004F4940" w:rsidP="00C76D03" w14:paraId="4CC47CB0" w14:textId="77777777">
            <w:pPr>
              <w:spacing w:after="160" w:line="259" w:lineRule="auto"/>
            </w:pPr>
            <w:r w:rsidRPr="004F4940">
              <w:t>160 hrs.</w:t>
            </w:r>
          </w:p>
          <w:p w:rsidR="009838AD" w:rsidRPr="004F4940" w:rsidP="00C76D03" w14:paraId="28F05417" w14:textId="77777777">
            <w:pPr>
              <w:spacing w:after="160" w:line="259" w:lineRule="auto"/>
            </w:pPr>
            <w:r w:rsidRPr="004F4940">
              <w:t>$10,382.40</w:t>
            </w:r>
          </w:p>
          <w:p w:rsidR="009838AD" w:rsidRPr="004F4940" w:rsidP="00C76D03" w14:paraId="26D6BC44" w14:textId="77777777"/>
        </w:tc>
        <w:tc>
          <w:tcPr>
            <w:tcW w:w="2235" w:type="dxa"/>
          </w:tcPr>
          <w:p w:rsidR="009838AD" w:rsidRPr="004F4940" w:rsidP="00C76D03" w14:paraId="1701423D" w14:textId="77777777">
            <w:pPr>
              <w:spacing w:after="160" w:line="259" w:lineRule="auto"/>
            </w:pPr>
            <w:r w:rsidRPr="004F4940">
              <w:t>175,860 hrs.</w:t>
            </w:r>
          </w:p>
          <w:p w:rsidR="009838AD" w:rsidRPr="004F4940" w:rsidP="00C76D03" w14:paraId="2656E738" w14:textId="77777777">
            <w:pPr>
              <w:spacing w:after="160" w:line="259" w:lineRule="auto"/>
            </w:pPr>
            <w:r w:rsidRPr="004F4940">
              <w:t>$11,411,555.40</w:t>
            </w:r>
          </w:p>
          <w:p w:rsidR="009838AD" w:rsidRPr="004F4940" w:rsidP="00C76D03" w14:paraId="6EF106A3" w14:textId="77777777">
            <w:pPr>
              <w:spacing w:after="160" w:line="259" w:lineRule="auto"/>
            </w:pPr>
          </w:p>
        </w:tc>
      </w:tr>
      <w:tr w14:paraId="1E6333EA" w14:textId="77777777" w:rsidTr="00C76D03">
        <w:tblPrEx>
          <w:tblW w:w="0" w:type="auto"/>
          <w:tblLook w:val="04A0"/>
        </w:tblPrEx>
        <w:tc>
          <w:tcPr>
            <w:tcW w:w="9350" w:type="dxa"/>
            <w:gridSpan w:val="6"/>
            <w:shd w:val="clear" w:color="auto" w:fill="D9D9D9" w:themeFill="background1" w:themeFillShade="D9"/>
          </w:tcPr>
          <w:p w:rsidR="009838AD" w:rsidRPr="004F4940" w:rsidP="00C76D03" w14:paraId="0CD9E642" w14:textId="77777777">
            <w:pPr>
              <w:spacing w:before="240" w:after="240"/>
              <w:jc w:val="center"/>
              <w:rPr>
                <w:b/>
                <w:bCs/>
              </w:rPr>
            </w:pPr>
            <w:r w:rsidRPr="004F4940">
              <w:rPr>
                <w:b/>
                <w:bCs/>
              </w:rPr>
              <w:t xml:space="preserve">Ongoing Estimate – Year 3 ongoing </w:t>
            </w:r>
            <w:r w:rsidRPr="004F4940">
              <w:rPr>
                <w:b/>
              </w:rPr>
              <w:t>EOP-012-1</w:t>
            </w:r>
          </w:p>
        </w:tc>
      </w:tr>
      <w:tr w14:paraId="7275A611" w14:textId="77777777" w:rsidTr="00C76D03">
        <w:tblPrEx>
          <w:tblW w:w="0" w:type="auto"/>
          <w:tblLook w:val="04A0"/>
        </w:tblPrEx>
        <w:tc>
          <w:tcPr>
            <w:tcW w:w="1638" w:type="dxa"/>
          </w:tcPr>
          <w:p w:rsidR="009838AD" w:rsidRPr="004F4940" w:rsidP="00C76D03" w14:paraId="5ECB6BDA" w14:textId="77777777">
            <w:r w:rsidRPr="004F4940">
              <w:t>EOP-012-1</w:t>
            </w:r>
          </w:p>
        </w:tc>
        <w:tc>
          <w:tcPr>
            <w:tcW w:w="1117" w:type="dxa"/>
          </w:tcPr>
          <w:p w:rsidR="009838AD" w:rsidRPr="004F4940" w:rsidP="00C76D03" w14:paraId="3CF56DDA" w14:textId="77777777">
            <w:r w:rsidRPr="004F4940">
              <w:t>1,107 (GO)</w:t>
            </w:r>
          </w:p>
        </w:tc>
        <w:tc>
          <w:tcPr>
            <w:tcW w:w="1328" w:type="dxa"/>
          </w:tcPr>
          <w:p w:rsidR="009838AD" w:rsidRPr="004F4940" w:rsidP="00C76D03" w14:paraId="2E840E00" w14:textId="77777777">
            <w:r w:rsidRPr="004F4940">
              <w:t>1</w:t>
            </w:r>
          </w:p>
        </w:tc>
        <w:tc>
          <w:tcPr>
            <w:tcW w:w="1373" w:type="dxa"/>
          </w:tcPr>
          <w:p w:rsidR="009838AD" w:rsidRPr="004F4940" w:rsidP="00C76D03" w14:paraId="1B19EC9F" w14:textId="77777777">
            <w:r w:rsidRPr="004F4940">
              <w:t>1,107</w:t>
            </w:r>
          </w:p>
        </w:tc>
        <w:tc>
          <w:tcPr>
            <w:tcW w:w="1659" w:type="dxa"/>
          </w:tcPr>
          <w:p w:rsidR="009838AD" w:rsidRPr="004F4940" w:rsidP="00C76D03" w14:paraId="4C974256" w14:textId="77777777">
            <w:pPr>
              <w:spacing w:after="160" w:line="259" w:lineRule="auto"/>
            </w:pPr>
            <w:r w:rsidRPr="004F4940">
              <w:t>40 hrs.</w:t>
            </w:r>
          </w:p>
          <w:p w:rsidR="009838AD" w:rsidRPr="004F4940" w:rsidP="00C76D03" w14:paraId="61D8CE62" w14:textId="77777777">
            <w:pPr>
              <w:spacing w:after="160" w:line="259" w:lineRule="auto"/>
            </w:pPr>
            <w:r w:rsidRPr="004F4940">
              <w:t>$ 2,595.60</w:t>
            </w:r>
          </w:p>
        </w:tc>
        <w:tc>
          <w:tcPr>
            <w:tcW w:w="2235" w:type="dxa"/>
          </w:tcPr>
          <w:p w:rsidR="009838AD" w:rsidRPr="004F4940" w:rsidP="00C76D03" w14:paraId="55726A14" w14:textId="77777777">
            <w:pPr>
              <w:spacing w:after="160" w:line="259" w:lineRule="auto"/>
            </w:pPr>
            <w:r w:rsidRPr="004F4940">
              <w:t>40,680 hrs.</w:t>
            </w:r>
          </w:p>
          <w:p w:rsidR="009838AD" w:rsidRPr="004F4940" w:rsidP="00C76D03" w14:paraId="215C715C" w14:textId="77777777">
            <w:pPr>
              <w:spacing w:after="160" w:line="259" w:lineRule="auto"/>
            </w:pPr>
            <w:r w:rsidRPr="004F4940">
              <w:t>$ 2,639,725.20</w:t>
            </w:r>
          </w:p>
        </w:tc>
      </w:tr>
      <w:tr w14:paraId="2BB8E695" w14:textId="77777777" w:rsidTr="00C76D03">
        <w:tblPrEx>
          <w:tblW w:w="0" w:type="auto"/>
          <w:tblLook w:val="04A0"/>
        </w:tblPrEx>
        <w:tc>
          <w:tcPr>
            <w:tcW w:w="1638" w:type="dxa"/>
          </w:tcPr>
          <w:p w:rsidR="009838AD" w:rsidRPr="004F4940" w:rsidP="00C76D03" w14:paraId="2670DD9A" w14:textId="77777777">
            <w:r w:rsidRPr="004F4940">
              <w:t>EOP-012-1</w:t>
            </w:r>
          </w:p>
        </w:tc>
        <w:tc>
          <w:tcPr>
            <w:tcW w:w="1117" w:type="dxa"/>
          </w:tcPr>
          <w:p w:rsidR="009838AD" w:rsidRPr="004F4940" w:rsidP="00C76D03" w14:paraId="52F22780" w14:textId="77777777">
            <w:r w:rsidRPr="004F4940">
              <w:t>981</w:t>
            </w:r>
            <w:r>
              <w:t xml:space="preserve"> </w:t>
            </w:r>
            <w:r w:rsidRPr="004F4940">
              <w:t xml:space="preserve">(GOP) </w:t>
            </w:r>
          </w:p>
        </w:tc>
        <w:tc>
          <w:tcPr>
            <w:tcW w:w="1328" w:type="dxa"/>
          </w:tcPr>
          <w:p w:rsidR="009838AD" w:rsidRPr="004F4940" w:rsidP="00C76D03" w14:paraId="2EE22913" w14:textId="77777777">
            <w:r w:rsidRPr="004F4940">
              <w:t>1</w:t>
            </w:r>
          </w:p>
        </w:tc>
        <w:tc>
          <w:tcPr>
            <w:tcW w:w="1373" w:type="dxa"/>
          </w:tcPr>
          <w:p w:rsidR="009838AD" w:rsidRPr="004F4940" w:rsidP="00C76D03" w14:paraId="354E93FF" w14:textId="77777777">
            <w:r w:rsidRPr="004F4940">
              <w:t>981</w:t>
            </w:r>
          </w:p>
        </w:tc>
        <w:tc>
          <w:tcPr>
            <w:tcW w:w="1659" w:type="dxa"/>
          </w:tcPr>
          <w:p w:rsidR="009838AD" w:rsidRPr="004F4940" w:rsidP="00C76D03" w14:paraId="22906C2A" w14:textId="77777777">
            <w:pPr>
              <w:spacing w:after="160" w:line="259" w:lineRule="auto"/>
            </w:pPr>
            <w:r w:rsidRPr="004F4940">
              <w:t>10 hrs.</w:t>
            </w:r>
          </w:p>
          <w:p w:rsidR="009838AD" w:rsidRPr="004F4940" w:rsidP="00C76D03" w14:paraId="19924886" w14:textId="77777777">
            <w:pPr>
              <w:spacing w:after="160" w:line="259" w:lineRule="auto"/>
            </w:pPr>
            <w:r w:rsidRPr="004F4940">
              <w:t>$</w:t>
            </w:r>
            <w:r w:rsidRPr="004F4940">
              <w:rPr>
                <w:bCs/>
              </w:rPr>
              <w:t>648.90</w:t>
            </w:r>
          </w:p>
        </w:tc>
        <w:tc>
          <w:tcPr>
            <w:tcW w:w="2235" w:type="dxa"/>
          </w:tcPr>
          <w:p w:rsidR="009838AD" w:rsidRPr="004F4940" w:rsidP="00C76D03" w14:paraId="1BF4F82D" w14:textId="77777777">
            <w:pPr>
              <w:spacing w:after="160" w:line="259" w:lineRule="auto"/>
            </w:pPr>
            <w:r w:rsidRPr="004F4940">
              <w:t>9,810 hrs.</w:t>
            </w:r>
          </w:p>
          <w:p w:rsidR="009838AD" w:rsidRPr="004F4940" w:rsidP="00C76D03" w14:paraId="1FE1925E" w14:textId="77777777">
            <w:pPr>
              <w:spacing w:after="160" w:line="259" w:lineRule="auto"/>
            </w:pPr>
            <w:r w:rsidRPr="004F4940">
              <w:t>$ 636,570.90</w:t>
            </w:r>
          </w:p>
        </w:tc>
      </w:tr>
      <w:tr w14:paraId="5016A965" w14:textId="77777777" w:rsidTr="00C76D03">
        <w:tblPrEx>
          <w:tblW w:w="0" w:type="auto"/>
          <w:tblLook w:val="04A0"/>
        </w:tblPrEx>
        <w:tc>
          <w:tcPr>
            <w:tcW w:w="1638" w:type="dxa"/>
          </w:tcPr>
          <w:p w:rsidR="009838AD" w:rsidRPr="004F4940" w:rsidP="00C76D03" w14:paraId="6F72B213" w14:textId="77777777">
            <w:pPr>
              <w:spacing w:after="160" w:line="259" w:lineRule="auto"/>
              <w:rPr>
                <w:b/>
              </w:rPr>
            </w:pPr>
            <w:r w:rsidRPr="004F4940">
              <w:rPr>
                <w:b/>
              </w:rPr>
              <w:t>Sub-Total for EOP-012-1 (ongoing)</w:t>
            </w:r>
          </w:p>
        </w:tc>
        <w:tc>
          <w:tcPr>
            <w:tcW w:w="1117" w:type="dxa"/>
          </w:tcPr>
          <w:p w:rsidR="009838AD" w:rsidRPr="004F4940" w:rsidP="00C76D03" w14:paraId="1E267BD7" w14:textId="77777777">
            <w:pPr>
              <w:spacing w:after="160" w:line="259" w:lineRule="auto"/>
              <w:rPr>
                <w:b/>
              </w:rPr>
            </w:pPr>
          </w:p>
        </w:tc>
        <w:tc>
          <w:tcPr>
            <w:tcW w:w="1328" w:type="dxa"/>
          </w:tcPr>
          <w:p w:rsidR="009838AD" w:rsidRPr="004F4940" w:rsidP="00C76D03" w14:paraId="4569A12D" w14:textId="77777777">
            <w:pPr>
              <w:spacing w:after="160" w:line="259" w:lineRule="auto"/>
            </w:pPr>
          </w:p>
        </w:tc>
        <w:tc>
          <w:tcPr>
            <w:tcW w:w="1373" w:type="dxa"/>
          </w:tcPr>
          <w:p w:rsidR="009838AD" w:rsidRPr="004F4940" w:rsidP="00C76D03" w14:paraId="00590C6D" w14:textId="77777777">
            <w:pPr>
              <w:spacing w:after="160" w:line="259" w:lineRule="auto"/>
              <w:rPr>
                <w:bCs/>
              </w:rPr>
            </w:pPr>
            <w:r w:rsidRPr="004F4940">
              <w:rPr>
                <w:bCs/>
              </w:rPr>
              <w:t>2,088</w:t>
            </w:r>
          </w:p>
        </w:tc>
        <w:tc>
          <w:tcPr>
            <w:tcW w:w="1659" w:type="dxa"/>
          </w:tcPr>
          <w:p w:rsidR="009838AD" w:rsidRPr="004F4940" w:rsidP="00C76D03" w14:paraId="733E533D" w14:textId="77777777">
            <w:pPr>
              <w:spacing w:after="160" w:line="259" w:lineRule="auto"/>
            </w:pPr>
            <w:r w:rsidRPr="004F4940">
              <w:t>50 hrs.</w:t>
            </w:r>
          </w:p>
          <w:p w:rsidR="009838AD" w:rsidRPr="004F4940" w:rsidP="00C76D03" w14:paraId="390C3A5B" w14:textId="77777777">
            <w:pPr>
              <w:spacing w:after="160" w:line="259" w:lineRule="auto"/>
            </w:pPr>
            <w:r w:rsidRPr="004F4940">
              <w:t>$ 3,244.50</w:t>
            </w:r>
          </w:p>
        </w:tc>
        <w:tc>
          <w:tcPr>
            <w:tcW w:w="2235" w:type="dxa"/>
          </w:tcPr>
          <w:p w:rsidR="009838AD" w:rsidRPr="004F4940" w:rsidP="00C76D03" w14:paraId="25278C34" w14:textId="77777777">
            <w:pPr>
              <w:spacing w:after="160" w:line="259" w:lineRule="auto"/>
              <w:rPr>
                <w:bCs/>
              </w:rPr>
            </w:pPr>
            <w:r w:rsidRPr="004F4940">
              <w:rPr>
                <w:bCs/>
              </w:rPr>
              <w:t>50,490 hrs.</w:t>
            </w:r>
          </w:p>
          <w:p w:rsidR="009838AD" w:rsidRPr="004F4940" w:rsidP="00C76D03" w14:paraId="793A63E1" w14:textId="77777777">
            <w:pPr>
              <w:spacing w:after="160" w:line="259" w:lineRule="auto"/>
              <w:rPr>
                <w:b/>
              </w:rPr>
            </w:pPr>
            <w:r w:rsidRPr="004F4940">
              <w:rPr>
                <w:bCs/>
              </w:rPr>
              <w:t>$</w:t>
            </w:r>
            <w:r w:rsidRPr="004F4940">
              <w:t xml:space="preserve"> </w:t>
            </w:r>
            <w:r w:rsidRPr="004F4940">
              <w:rPr>
                <w:bCs/>
              </w:rPr>
              <w:t>3,276,296.10</w:t>
            </w:r>
          </w:p>
        </w:tc>
      </w:tr>
      <w:tr w14:paraId="30E861E0" w14:textId="77777777" w:rsidTr="00C76D03">
        <w:tblPrEx>
          <w:tblW w:w="0" w:type="auto"/>
          <w:tblLook w:val="04A0"/>
        </w:tblPrEx>
        <w:tc>
          <w:tcPr>
            <w:tcW w:w="1638" w:type="dxa"/>
          </w:tcPr>
          <w:p w:rsidR="009838AD" w:rsidRPr="004F4940" w:rsidP="00C76D03" w14:paraId="106D6EDF" w14:textId="77777777">
            <w:pPr>
              <w:rPr>
                <w:b/>
              </w:rPr>
            </w:pPr>
            <w:r w:rsidRPr="004F4940">
              <w:rPr>
                <w:b/>
              </w:rPr>
              <w:t>Sub-Total of ongoing burden averaged over three years</w:t>
            </w:r>
          </w:p>
        </w:tc>
        <w:tc>
          <w:tcPr>
            <w:tcW w:w="1117" w:type="dxa"/>
          </w:tcPr>
          <w:p w:rsidR="009838AD" w:rsidRPr="004F4940" w:rsidP="00C76D03" w14:paraId="5143190F" w14:textId="77777777">
            <w:pPr>
              <w:rPr>
                <w:b/>
              </w:rPr>
            </w:pPr>
          </w:p>
        </w:tc>
        <w:tc>
          <w:tcPr>
            <w:tcW w:w="1328" w:type="dxa"/>
          </w:tcPr>
          <w:p w:rsidR="009838AD" w:rsidRPr="004F4940" w:rsidP="00C76D03" w14:paraId="16252932" w14:textId="77777777"/>
        </w:tc>
        <w:tc>
          <w:tcPr>
            <w:tcW w:w="1373" w:type="dxa"/>
          </w:tcPr>
          <w:p w:rsidR="009838AD" w:rsidRPr="004F4940" w:rsidP="00C76D03" w14:paraId="2AAA275A" w14:textId="77777777">
            <w:pPr>
              <w:rPr>
                <w:bCs/>
              </w:rPr>
            </w:pPr>
            <w:r w:rsidRPr="004F4940">
              <w:rPr>
                <w:bCs/>
              </w:rPr>
              <w:t>696</w:t>
            </w:r>
          </w:p>
        </w:tc>
        <w:tc>
          <w:tcPr>
            <w:tcW w:w="1659" w:type="dxa"/>
          </w:tcPr>
          <w:p w:rsidR="009838AD" w:rsidRPr="004F4940" w:rsidP="00C76D03" w14:paraId="5CB46669" w14:textId="77777777"/>
        </w:tc>
        <w:tc>
          <w:tcPr>
            <w:tcW w:w="2235" w:type="dxa"/>
          </w:tcPr>
          <w:p w:rsidR="009838AD" w:rsidRPr="004F4940" w:rsidP="00C76D03" w14:paraId="0FC9A543" w14:textId="77777777">
            <w:pPr>
              <w:rPr>
                <w:bCs/>
              </w:rPr>
            </w:pPr>
            <w:r w:rsidRPr="004F4940">
              <w:rPr>
                <w:bCs/>
              </w:rPr>
              <w:t>16,830 hrs.</w:t>
            </w:r>
          </w:p>
          <w:p w:rsidR="009838AD" w:rsidRPr="004F4940" w:rsidP="00C76D03" w14:paraId="45D5AA05" w14:textId="77777777">
            <w:pPr>
              <w:rPr>
                <w:b/>
              </w:rPr>
            </w:pPr>
            <w:r w:rsidRPr="004F4940">
              <w:rPr>
                <w:bCs/>
              </w:rPr>
              <w:t>$1,092,098.70</w:t>
            </w:r>
          </w:p>
        </w:tc>
      </w:tr>
      <w:tr w14:paraId="3C7A212B" w14:textId="77777777" w:rsidTr="00C76D03">
        <w:tblPrEx>
          <w:tblW w:w="0" w:type="auto"/>
          <w:tblLook w:val="04A0"/>
        </w:tblPrEx>
        <w:tc>
          <w:tcPr>
            <w:tcW w:w="1638" w:type="dxa"/>
          </w:tcPr>
          <w:p w:rsidR="009838AD" w:rsidRPr="004F4940" w:rsidP="00C76D03" w14:paraId="5DFFA2F8" w14:textId="77777777">
            <w:pPr>
              <w:rPr>
                <w:b/>
              </w:rPr>
            </w:pPr>
            <w:r w:rsidRPr="004F4940">
              <w:rPr>
                <w:b/>
              </w:rPr>
              <w:t>Proposed Total Burden Estimate of EOP-012-1</w:t>
            </w:r>
          </w:p>
        </w:tc>
        <w:tc>
          <w:tcPr>
            <w:tcW w:w="1117" w:type="dxa"/>
          </w:tcPr>
          <w:p w:rsidR="009838AD" w:rsidRPr="004F4940" w:rsidP="00C76D03" w14:paraId="331BE0B5" w14:textId="77777777">
            <w:pPr>
              <w:rPr>
                <w:b/>
              </w:rPr>
            </w:pPr>
          </w:p>
        </w:tc>
        <w:tc>
          <w:tcPr>
            <w:tcW w:w="1328" w:type="dxa"/>
          </w:tcPr>
          <w:p w:rsidR="009838AD" w:rsidRPr="004F4940" w:rsidP="00C76D03" w14:paraId="4F8846B6" w14:textId="77777777"/>
        </w:tc>
        <w:tc>
          <w:tcPr>
            <w:tcW w:w="1373" w:type="dxa"/>
          </w:tcPr>
          <w:p w:rsidR="009838AD" w:rsidRPr="004F4940" w:rsidP="00C76D03" w14:paraId="3A0D8E7B" w14:textId="77777777">
            <w:pPr>
              <w:rPr>
                <w:b/>
              </w:rPr>
            </w:pPr>
            <w:r w:rsidRPr="004F4940">
              <w:rPr>
                <w:b/>
              </w:rPr>
              <w:t>2,784</w:t>
            </w:r>
          </w:p>
        </w:tc>
        <w:tc>
          <w:tcPr>
            <w:tcW w:w="1659" w:type="dxa"/>
          </w:tcPr>
          <w:p w:rsidR="009838AD" w:rsidRPr="004F4940" w:rsidP="00C76D03" w14:paraId="351FE0C5" w14:textId="77777777">
            <w:pPr>
              <w:rPr>
                <w:b/>
              </w:rPr>
            </w:pPr>
          </w:p>
        </w:tc>
        <w:tc>
          <w:tcPr>
            <w:tcW w:w="2235" w:type="dxa"/>
          </w:tcPr>
          <w:p w:rsidR="009838AD" w:rsidRPr="004F4940" w:rsidP="00C76D03" w14:paraId="22FEC879" w14:textId="77777777">
            <w:pPr>
              <w:rPr>
                <w:b/>
              </w:rPr>
            </w:pPr>
            <w:r w:rsidRPr="004F4940">
              <w:rPr>
                <w:b/>
              </w:rPr>
              <w:t>192,690 hrs.</w:t>
            </w:r>
          </w:p>
          <w:p w:rsidR="009838AD" w:rsidRPr="004F4940" w:rsidP="00C76D03" w14:paraId="235D9ACF" w14:textId="77777777">
            <w:pPr>
              <w:rPr>
                <w:b/>
              </w:rPr>
            </w:pPr>
            <w:r w:rsidRPr="004F4940">
              <w:rPr>
                <w:b/>
              </w:rPr>
              <w:t>$12,503,654.10</w:t>
            </w:r>
          </w:p>
          <w:p w:rsidR="009838AD" w:rsidRPr="004F4940" w:rsidP="00C76D03" w14:paraId="5908AA4D" w14:textId="77777777">
            <w:pPr>
              <w:rPr>
                <w:b/>
              </w:rPr>
            </w:pPr>
          </w:p>
        </w:tc>
      </w:tr>
    </w:tbl>
    <w:p w:rsidR="009838AD" w:rsidP="00D872AA" w14:paraId="644B14D9" w14:textId="77777777">
      <w:pPr>
        <w:spacing w:after="160" w:line="259" w:lineRule="auto"/>
      </w:pPr>
    </w:p>
    <w:p w:rsidR="005865B3" w:rsidP="00D872AA" w14:paraId="7DDE9E02" w14:textId="77777777">
      <w:pPr>
        <w:spacing w:after="160" w:line="259" w:lineRule="auto"/>
      </w:pPr>
    </w:p>
    <w:p w:rsidR="00D872AA" w:rsidP="00D872AA" w14:paraId="0766F6EC" w14:textId="77777777">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w:t>
      </w:r>
      <w:r>
        <w:t xml:space="preserve">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D872AA" w:rsidP="00D872AA" w14:paraId="141B773B" w14:textId="77777777"/>
    <w:p w:rsidR="00D872AA" w:rsidP="00D872AA" w14:paraId="7CB9CE73" w14:textId="77777777"/>
    <w:p w:rsidR="00D872AA" w:rsidRPr="002946DC" w:rsidP="00D872AA" w14:paraId="7F31FE92" w14:textId="77777777">
      <w:pPr>
        <w:ind w:firstLine="2174"/>
        <w:jc w:val="center"/>
      </w:pPr>
      <w:r w:rsidRPr="002946DC">
        <w:t>Kimberly D. Bose,</w:t>
      </w:r>
    </w:p>
    <w:p w:rsidR="00D872AA" w:rsidRPr="002946DC" w:rsidP="00D872AA" w14:paraId="3C001D5A" w14:textId="77777777">
      <w:pPr>
        <w:ind w:firstLine="2174"/>
        <w:jc w:val="center"/>
      </w:pPr>
      <w:r w:rsidRPr="002946DC">
        <w:t>Secretary.</w:t>
      </w:r>
    </w:p>
    <w:p w:rsidR="00D872AA" w:rsidP="00D872AA" w14:paraId="6B72D857" w14:textId="77777777"/>
    <w:p w:rsidR="003E13EA" w14:paraId="699D9483" w14:textId="77777777"/>
    <w:sectPr>
      <w:head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26F49" w:rsidP="00D872AA" w14:paraId="1A2A5C4D" w14:textId="77777777">
      <w:r>
        <w:separator/>
      </w:r>
    </w:p>
  </w:footnote>
  <w:footnote w:type="continuationSeparator" w:id="1">
    <w:p w:rsidR="00926F49" w:rsidP="00D872AA" w14:paraId="02DD5ECC" w14:textId="77777777">
      <w:r>
        <w:continuationSeparator/>
      </w:r>
    </w:p>
  </w:footnote>
  <w:footnote w:type="continuationNotice" w:id="2">
    <w:p w:rsidR="00926F49" w14:paraId="345A01AC" w14:textId="77777777"/>
  </w:footnote>
  <w:footnote w:id="3">
    <w:p w:rsidR="002C7AD2" w14:paraId="41531789" w14:textId="49D1FDDF">
      <w:pPr>
        <w:pStyle w:val="FootnoteText"/>
      </w:pPr>
      <w:r>
        <w:rPr>
          <w:rStyle w:val="FootnoteReference"/>
        </w:rPr>
        <w:footnoteRef/>
      </w:r>
      <w:r>
        <w:t xml:space="preserve"> </w:t>
      </w:r>
      <w:r w:rsidRPr="00C76D03" w:rsidR="00B46CC0">
        <w:rPr>
          <w:sz w:val="26"/>
          <w:szCs w:val="26"/>
        </w:rPr>
        <w:t>88 FR 14994</w:t>
      </w:r>
    </w:p>
  </w:footnote>
  <w:footnote w:id="4">
    <w:p w:rsidR="00E64E9B" w:rsidRPr="004F4940" w:rsidP="00E64E9B" w14:paraId="33FA408A" w14:textId="77777777">
      <w:pPr>
        <w:pStyle w:val="FootnoteText"/>
      </w:pPr>
      <w:r w:rsidRPr="004F4940">
        <w:rPr>
          <w:rStyle w:val="FootnoteReference"/>
        </w:rPr>
        <w:footnoteRef/>
      </w:r>
      <w:r w:rsidRPr="004F4940">
        <w:t xml:space="preserve"> </w:t>
      </w:r>
      <w:r w:rsidRPr="009B6BA4">
        <w:rPr>
          <w:sz w:val="26"/>
          <w:szCs w:val="26"/>
        </w:rPr>
        <w:t xml:space="preserve">The currently OMB approved FERC-725S includes the burden related to Reliability Standard EOP-011-1.  Reliability Standard EOP-011-1 was superseded by Reliability Standard EOP-011-2, which was approved by the Commission in Docket </w:t>
      </w:r>
      <w:r w:rsidRPr="009B6BA4">
        <w:rPr>
          <w:sz w:val="26"/>
          <w:szCs w:val="26"/>
        </w:rPr>
        <w:br/>
        <w:t xml:space="preserve">No. RD21-5-000 (issued August 24, 2021).  Reliability Standard EOP-011-3, as noted </w:t>
      </w:r>
      <w:r w:rsidRPr="009B6BA4">
        <w:rPr>
          <w:sz w:val="26"/>
          <w:szCs w:val="26"/>
        </w:rPr>
        <w:br/>
        <w:t>in Docket No. RD23-1-000, will supersede Reliability Standard EOP-011-2; thus, the burdens resulting from Reliability Standard EOP-011-3 will be reflected in the FERC-725S information collection.</w:t>
      </w:r>
    </w:p>
  </w:footnote>
  <w:footnote w:id="5">
    <w:p w:rsidR="00D872AA" w:rsidRPr="008E145A" w:rsidP="00D872AA" w14:paraId="1BDD7F17" w14:textId="77777777">
      <w:pPr>
        <w:pStyle w:val="FootnoteText"/>
        <w:rPr>
          <w:sz w:val="26"/>
          <w:szCs w:val="26"/>
        </w:rPr>
      </w:pPr>
      <w:r w:rsidRPr="006536D8">
        <w:rPr>
          <w:rStyle w:val="FootnoteReference"/>
        </w:rPr>
        <w:footnoteRef/>
      </w:r>
      <w:r w:rsidRPr="006536D8">
        <w:rPr>
          <w:sz w:val="26"/>
          <w:szCs w:val="26"/>
        </w:rPr>
        <w:t xml:space="preserve"> </w:t>
      </w:r>
      <w:r w:rsidRPr="009B6BA4">
        <w:rPr>
          <w:sz w:val="26"/>
          <w:szCs w:val="26"/>
        </w:rPr>
        <w:t>“Burden”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6">
    <w:p w:rsidR="00DC02DE" w:rsidRPr="004F4940" w:rsidP="00DC02DE" w14:paraId="2CCA7389" w14:textId="77777777">
      <w:pPr>
        <w:pStyle w:val="FootnoteText"/>
      </w:pPr>
      <w:r w:rsidRPr="004F4940">
        <w:rPr>
          <w:rStyle w:val="FootnoteReference"/>
        </w:rPr>
        <w:footnoteRef/>
      </w:r>
      <w:r w:rsidRPr="004F4940">
        <w:t xml:space="preserve"> </w:t>
      </w:r>
      <w:r w:rsidRPr="009B6BA4">
        <w:rPr>
          <w:sz w:val="26"/>
          <w:szCs w:val="26"/>
        </w:rPr>
        <w:t>Burden hours per response may also include any methods for improvement not limited to trainings, drills, simulations, testing, etc.</w:t>
      </w:r>
    </w:p>
  </w:footnote>
  <w:footnote w:id="7">
    <w:p w:rsidR="00EA3E23" w:rsidRPr="004F4940" w:rsidP="00EA3E23" w14:paraId="5469CFDD" w14:textId="77777777">
      <w:pPr>
        <w:pStyle w:val="FootnoteText"/>
      </w:pPr>
      <w:r w:rsidRPr="004F4940">
        <w:rPr>
          <w:rStyle w:val="FootnoteReference"/>
        </w:rPr>
        <w:footnoteRef/>
      </w:r>
      <w:r w:rsidRPr="004F4940">
        <w:t xml:space="preserve"> </w:t>
      </w:r>
      <w:r w:rsidRPr="009B6BA4">
        <w:rPr>
          <w:sz w:val="26"/>
          <w:szCs w:val="26"/>
        </w:rPr>
        <w:t>TOP=Transmission Operator, BA=Balancing Authority, GO=Generator Owner, GOP=Generator Operator and RC=Reliability Coordinator.</w:t>
      </w:r>
    </w:p>
  </w:footnote>
  <w:footnote w:id="8">
    <w:p w:rsidR="00EA3E23" w:rsidRPr="004F4940" w:rsidP="00EA3E23" w14:paraId="7A583144" w14:textId="77777777">
      <w:pPr>
        <w:pStyle w:val="FootnoteText"/>
      </w:pPr>
      <w:r w:rsidRPr="004F4940">
        <w:rPr>
          <w:rStyle w:val="FootnoteReference"/>
        </w:rPr>
        <w:footnoteRef/>
      </w:r>
      <w:r w:rsidRPr="004F4940">
        <w:t xml:space="preserve"> </w:t>
      </w:r>
      <w:r w:rsidRPr="009B6BA4">
        <w:rPr>
          <w:sz w:val="26"/>
          <w:szCs w:val="26"/>
        </w:rPr>
        <w:t>The estimated hourly cost (salary plus benefits) is a combination based on the Bureau of Labor Statistics (BLS), as of 2022, for 75% of the average of an Electrical Engineer (17-2071) - $77.02, mechanical engineers (17-2141) - $67.79.  $77.02 + $67.79/2 = 72.405 x .75 = 54.303 ($</w:t>
      </w:r>
      <w:r w:rsidRPr="009B6BA4">
        <w:rPr>
          <w:b/>
          <w:bCs/>
          <w:sz w:val="26"/>
          <w:szCs w:val="26"/>
        </w:rPr>
        <w:t>54.30</w:t>
      </w:r>
      <w:r w:rsidRPr="009B6BA4">
        <w:rPr>
          <w:sz w:val="26"/>
          <w:szCs w:val="26"/>
        </w:rPr>
        <w:t xml:space="preserve">-rounded) </w:t>
      </w:r>
      <w:r w:rsidRPr="009B6BA4">
        <w:rPr>
          <w:b/>
          <w:bCs/>
          <w:sz w:val="26"/>
          <w:szCs w:val="26"/>
        </w:rPr>
        <w:t>($54.30/hour)</w:t>
      </w:r>
      <w:r w:rsidRPr="009B6BA4">
        <w:rPr>
          <w:sz w:val="26"/>
          <w:szCs w:val="26"/>
        </w:rPr>
        <w:t xml:space="preserve"> and 25% of an Information and Record Clerk (43-4199) $42.35 x .25% = 10.5875 </w:t>
      </w:r>
      <w:r w:rsidRPr="009B6BA4">
        <w:rPr>
          <w:b/>
          <w:bCs/>
          <w:sz w:val="26"/>
          <w:szCs w:val="26"/>
        </w:rPr>
        <w:t>($10.59</w:t>
      </w:r>
      <w:r w:rsidRPr="009B6BA4">
        <w:rPr>
          <w:sz w:val="26"/>
          <w:szCs w:val="26"/>
        </w:rPr>
        <w:t xml:space="preserve"> rounded) ($10.59/hour), for a total ($54.30+$10.59 = $</w:t>
      </w:r>
      <w:r w:rsidRPr="009B6BA4">
        <w:rPr>
          <w:b/>
          <w:bCs/>
          <w:sz w:val="26"/>
          <w:szCs w:val="26"/>
        </w:rPr>
        <w:t>64.89/hour</w:t>
      </w:r>
      <w:r w:rsidRPr="009B6BA4">
        <w:rPr>
          <w:sz w:val="26"/>
          <w:szCs w:val="26"/>
        </w:rPr>
        <w:t>).</w:t>
      </w:r>
    </w:p>
  </w:footnote>
  <w:footnote w:id="9">
    <w:p w:rsidR="00EA3E23" w:rsidRPr="004F4940" w:rsidP="00EA3E23" w14:paraId="2466F1B2" w14:textId="77777777">
      <w:pPr>
        <w:pStyle w:val="FootnoteText"/>
      </w:pPr>
      <w:r w:rsidRPr="004F4940">
        <w:rPr>
          <w:rStyle w:val="FootnoteReference"/>
        </w:rPr>
        <w:footnoteRef/>
      </w:r>
      <w:r w:rsidRPr="004F4940">
        <w:t xml:space="preserve"> </w:t>
      </w:r>
      <w:r w:rsidRPr="009B6BA4">
        <w:rPr>
          <w:sz w:val="26"/>
          <w:szCs w:val="26"/>
        </w:rPr>
        <w:t>Reduce the estimate for balancing authorities from EOP-011-2 down from previous 60 hours to 6 hours for EOP-011-3.</w:t>
      </w:r>
    </w:p>
  </w:footnote>
  <w:footnote w:id="10">
    <w:p w:rsidR="00EA3E23" w:rsidRPr="004F4940" w:rsidP="00EA3E23" w14:paraId="1C52F409" w14:textId="77777777">
      <w:pPr>
        <w:pStyle w:val="FootnoteText"/>
      </w:pPr>
      <w:r w:rsidRPr="004F4940">
        <w:rPr>
          <w:rStyle w:val="FootnoteReference"/>
        </w:rPr>
        <w:footnoteRef/>
      </w:r>
      <w:r w:rsidRPr="004F4940">
        <w:t xml:space="preserve"> </w:t>
      </w:r>
      <w:r w:rsidRPr="009B6BA4">
        <w:rPr>
          <w:sz w:val="26"/>
          <w:szCs w:val="26"/>
        </w:rPr>
        <w:t>Reduce the estimate for reliability coordinators from EOP-011-2 down from previous 40 hours to 28 hours for EOP-011-3.</w:t>
      </w:r>
    </w:p>
  </w:footnote>
  <w:footnote w:id="11">
    <w:p w:rsidR="00EA3E23" w:rsidRPr="004F4940" w:rsidP="00EA3E23" w14:paraId="3568C3DA" w14:textId="77777777">
      <w:pPr>
        <w:pStyle w:val="FootnoteText"/>
      </w:pPr>
      <w:r w:rsidRPr="004F4940">
        <w:rPr>
          <w:rStyle w:val="FootnoteReference"/>
        </w:rPr>
        <w:footnoteRef/>
      </w:r>
      <w:r w:rsidRPr="004F4940">
        <w:t xml:space="preserve"> </w:t>
      </w:r>
      <w:r w:rsidRPr="009B6BA4">
        <w:rPr>
          <w:sz w:val="26"/>
          <w:szCs w:val="26"/>
        </w:rPr>
        <w:t>Reduce the estimate for transmission operators from EOP-011-2 down from previous 50 hours to 10 hours for EOP-011-3.</w:t>
      </w:r>
    </w:p>
  </w:footnote>
  <w:footnote w:id="12">
    <w:p w:rsidR="00EA3E23" w:rsidRPr="004F4940" w:rsidP="00EA3E23" w14:paraId="0F2E6015" w14:textId="77777777">
      <w:pPr>
        <w:pStyle w:val="FootnoteText"/>
      </w:pPr>
      <w:r w:rsidRPr="004F4940">
        <w:rPr>
          <w:rStyle w:val="FootnoteReference"/>
        </w:rPr>
        <w:footnoteRef/>
      </w:r>
      <w:r w:rsidRPr="004F4940">
        <w:t xml:space="preserve"> </w:t>
      </w:r>
      <w:r w:rsidRPr="009B6BA4">
        <w:rPr>
          <w:sz w:val="26"/>
          <w:szCs w:val="26"/>
        </w:rPr>
        <w:t>Reduce the estimate for balancing authorities from EOP-011-2 down from previous 50 hours to 10 hours for EOP-011-3.</w:t>
      </w:r>
    </w:p>
  </w:footnote>
  <w:footnote w:id="13">
    <w:p w:rsidR="00EA3E23" w:rsidRPr="004F4940" w:rsidP="00EA3E23" w14:paraId="0128CFF6" w14:textId="77777777">
      <w:pPr>
        <w:pStyle w:val="FootnoteText"/>
      </w:pPr>
      <w:r w:rsidRPr="004F4940">
        <w:rPr>
          <w:rStyle w:val="FootnoteReference"/>
        </w:rPr>
        <w:footnoteRef/>
      </w:r>
      <w:r w:rsidRPr="004F4940">
        <w:t xml:space="preserve"> </w:t>
      </w:r>
      <w:r w:rsidRPr="009B6BA4">
        <w:rPr>
          <w:sz w:val="26"/>
          <w:szCs w:val="26"/>
        </w:rPr>
        <w:t>Reduce the estimate for reliability coordinators from EOP-011-2 down from previous 20 hours to 14 hours for EOP-011-3.</w:t>
      </w:r>
    </w:p>
  </w:footnote>
  <w:footnote w:id="14">
    <w:p w:rsidR="009838AD" w:rsidRPr="004F4940" w:rsidP="009838AD" w14:paraId="34573641" w14:textId="77777777">
      <w:pPr>
        <w:pStyle w:val="FootnoteText"/>
      </w:pPr>
      <w:r w:rsidRPr="004F4940">
        <w:rPr>
          <w:rStyle w:val="FootnoteReference"/>
        </w:rPr>
        <w:footnoteRef/>
      </w:r>
      <w:r w:rsidRPr="004F4940">
        <w:t xml:space="preserve"> </w:t>
      </w:r>
      <w:r w:rsidRPr="009B6BA4">
        <w:rPr>
          <w:sz w:val="26"/>
          <w:szCs w:val="26"/>
        </w:rPr>
        <w:t>The estimated hourly cost (salary plus benefits) is a combination based on the Bureau of Labor Statistics (BLS), as of 2022, for 75% of the average of an Electrical Engineer (17-2071) - $77.02, mechanical engineers (17-2141) - $67.79.  $77.02 + $67.79/2 = 72.405 x .75 = 54.303 ($</w:t>
      </w:r>
      <w:r w:rsidRPr="009B6BA4">
        <w:rPr>
          <w:b/>
          <w:bCs/>
          <w:sz w:val="26"/>
          <w:szCs w:val="26"/>
        </w:rPr>
        <w:t>54.30</w:t>
      </w:r>
      <w:r w:rsidRPr="009B6BA4">
        <w:rPr>
          <w:sz w:val="26"/>
          <w:szCs w:val="26"/>
        </w:rPr>
        <w:t xml:space="preserve">-rounded) </w:t>
      </w:r>
      <w:r w:rsidRPr="009B6BA4">
        <w:rPr>
          <w:b/>
          <w:bCs/>
          <w:sz w:val="26"/>
          <w:szCs w:val="26"/>
        </w:rPr>
        <w:t>($54.30/hour)</w:t>
      </w:r>
      <w:r w:rsidRPr="009B6BA4">
        <w:rPr>
          <w:sz w:val="26"/>
          <w:szCs w:val="26"/>
        </w:rPr>
        <w:t xml:space="preserve"> and 25% percent of </w:t>
      </w:r>
      <w:r w:rsidRPr="009B6BA4">
        <w:rPr>
          <w:sz w:val="26"/>
          <w:szCs w:val="26"/>
        </w:rPr>
        <w:br/>
        <w:t xml:space="preserve">an Information and Record Clerk (43-4199) $42.35 x .25% = 10.5875 </w:t>
      </w:r>
      <w:r w:rsidRPr="009B6BA4">
        <w:rPr>
          <w:b/>
          <w:bCs/>
          <w:sz w:val="26"/>
          <w:szCs w:val="26"/>
        </w:rPr>
        <w:t>($10.59</w:t>
      </w:r>
      <w:r w:rsidRPr="009B6BA4">
        <w:rPr>
          <w:sz w:val="26"/>
          <w:szCs w:val="26"/>
        </w:rPr>
        <w:t xml:space="preserve"> rounded) ($10.59/hour), for a total ($54.30+$10.59 = $</w:t>
      </w:r>
      <w:r w:rsidRPr="009B6BA4">
        <w:rPr>
          <w:b/>
          <w:bCs/>
          <w:sz w:val="26"/>
          <w:szCs w:val="26"/>
        </w:rPr>
        <w:t>64.89/hour</w:t>
      </w:r>
      <w:r w:rsidRPr="009B6BA4">
        <w:rPr>
          <w:sz w:val="26"/>
          <w:szCs w:val="26"/>
        </w:rPr>
        <w:t>).</w:t>
      </w:r>
    </w:p>
  </w:footnote>
  <w:footnote w:id="15">
    <w:p w:rsidR="009838AD" w:rsidP="009838AD" w14:paraId="10C927F8" w14:textId="77777777">
      <w:pPr>
        <w:pStyle w:val="FootnoteText"/>
      </w:pPr>
      <w:r w:rsidRPr="004F4940">
        <w:rPr>
          <w:rStyle w:val="FootnoteReference"/>
        </w:rPr>
        <w:footnoteRef/>
      </w:r>
      <w:r w:rsidRPr="004F4940">
        <w:t xml:space="preserve"> </w:t>
      </w:r>
      <w:r w:rsidRPr="009B6BA4">
        <w:rPr>
          <w:sz w:val="26"/>
          <w:szCs w:val="26"/>
        </w:rPr>
        <w:t>The estimates for the generator owner and generator operator are being moved from the current EOP-011-2 to the new EOP-012-1.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10386639"/>
      <w:docPartObj>
        <w:docPartGallery w:val="Page Numbers (Top of Page)"/>
        <w:docPartUnique/>
      </w:docPartObj>
    </w:sdtPr>
    <w:sdtEndPr>
      <w:rPr>
        <w:noProof/>
      </w:rPr>
    </w:sdtEndPr>
    <w:sdtContent>
      <w:p w:rsidR="00B51AA3" w14:paraId="2D2C4351" w14:textId="4989368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B51AA3" w14:paraId="355AD9E1" w14:textId="106070C1">
    <w:pPr>
      <w:pStyle w:val="Header"/>
    </w:pPr>
    <w:r>
      <w:t>Docket No. RD23-1-000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
    <w:nsid w:val="7D3B09D3"/>
    <w:multiLevelType w:val="hybridMultilevel"/>
    <w:tmpl w:val="7DB4ECAC"/>
    <w:lvl w:ilvl="0">
      <w:start w:val="1"/>
      <w:numFmt w:val="decimal"/>
      <w:pStyle w:val="FERCparanumber"/>
      <w:lvlText w:val="%1."/>
      <w:lvlJc w:val="left"/>
      <w:pPr>
        <w:tabs>
          <w:tab w:val="num" w:pos="720"/>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21"/>
    <w:rsid w:val="000774DA"/>
    <w:rsid w:val="000C6A0A"/>
    <w:rsid w:val="00143012"/>
    <w:rsid w:val="00173C97"/>
    <w:rsid w:val="001856CE"/>
    <w:rsid w:val="001C3703"/>
    <w:rsid w:val="00241302"/>
    <w:rsid w:val="00253DC4"/>
    <w:rsid w:val="002946DC"/>
    <w:rsid w:val="002A6BC3"/>
    <w:rsid w:val="002C379D"/>
    <w:rsid w:val="002C7AD2"/>
    <w:rsid w:val="002D2AAD"/>
    <w:rsid w:val="002F35F4"/>
    <w:rsid w:val="002F6620"/>
    <w:rsid w:val="00311BC7"/>
    <w:rsid w:val="00362B8A"/>
    <w:rsid w:val="00393B1C"/>
    <w:rsid w:val="003A6BC5"/>
    <w:rsid w:val="003B7842"/>
    <w:rsid w:val="003D25C9"/>
    <w:rsid w:val="003E13EA"/>
    <w:rsid w:val="00410E21"/>
    <w:rsid w:val="00430E6F"/>
    <w:rsid w:val="004E2C78"/>
    <w:rsid w:val="004F4940"/>
    <w:rsid w:val="00506F30"/>
    <w:rsid w:val="00530E80"/>
    <w:rsid w:val="00531FCB"/>
    <w:rsid w:val="005413D3"/>
    <w:rsid w:val="00581EF0"/>
    <w:rsid w:val="005865B3"/>
    <w:rsid w:val="005C5DB8"/>
    <w:rsid w:val="005D273E"/>
    <w:rsid w:val="005F6D9E"/>
    <w:rsid w:val="006536D8"/>
    <w:rsid w:val="00694979"/>
    <w:rsid w:val="006A69D0"/>
    <w:rsid w:val="007223C8"/>
    <w:rsid w:val="007327B0"/>
    <w:rsid w:val="00740A66"/>
    <w:rsid w:val="00775240"/>
    <w:rsid w:val="00797C53"/>
    <w:rsid w:val="007C522F"/>
    <w:rsid w:val="007E5F46"/>
    <w:rsid w:val="007F5203"/>
    <w:rsid w:val="0080129D"/>
    <w:rsid w:val="00803115"/>
    <w:rsid w:val="00853ABC"/>
    <w:rsid w:val="00857165"/>
    <w:rsid w:val="00863194"/>
    <w:rsid w:val="0088271C"/>
    <w:rsid w:val="008E145A"/>
    <w:rsid w:val="00926F49"/>
    <w:rsid w:val="00974468"/>
    <w:rsid w:val="009838AD"/>
    <w:rsid w:val="009B6BA4"/>
    <w:rsid w:val="009E248F"/>
    <w:rsid w:val="00A01832"/>
    <w:rsid w:val="00A22B29"/>
    <w:rsid w:val="00A47D9A"/>
    <w:rsid w:val="00A63DF5"/>
    <w:rsid w:val="00A65133"/>
    <w:rsid w:val="00AD7586"/>
    <w:rsid w:val="00AF5402"/>
    <w:rsid w:val="00B03223"/>
    <w:rsid w:val="00B37061"/>
    <w:rsid w:val="00B37E3A"/>
    <w:rsid w:val="00B46CC0"/>
    <w:rsid w:val="00B511DA"/>
    <w:rsid w:val="00B51AA3"/>
    <w:rsid w:val="00B82494"/>
    <w:rsid w:val="00BA432B"/>
    <w:rsid w:val="00BA6102"/>
    <w:rsid w:val="00BB6F9D"/>
    <w:rsid w:val="00C507D9"/>
    <w:rsid w:val="00C646EE"/>
    <w:rsid w:val="00C70CAD"/>
    <w:rsid w:val="00C76D03"/>
    <w:rsid w:val="00C83C47"/>
    <w:rsid w:val="00CB1515"/>
    <w:rsid w:val="00CC0804"/>
    <w:rsid w:val="00CD3495"/>
    <w:rsid w:val="00CE29E3"/>
    <w:rsid w:val="00D22986"/>
    <w:rsid w:val="00D32D24"/>
    <w:rsid w:val="00D611F3"/>
    <w:rsid w:val="00D872AA"/>
    <w:rsid w:val="00DC02DE"/>
    <w:rsid w:val="00DC5E9F"/>
    <w:rsid w:val="00DD5D14"/>
    <w:rsid w:val="00DF132C"/>
    <w:rsid w:val="00E0514F"/>
    <w:rsid w:val="00E2468B"/>
    <w:rsid w:val="00E60BEA"/>
    <w:rsid w:val="00E64E9B"/>
    <w:rsid w:val="00EA3E23"/>
    <w:rsid w:val="00EB2E7E"/>
    <w:rsid w:val="00EE3144"/>
    <w:rsid w:val="00F36859"/>
    <w:rsid w:val="217149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EEAE28"/>
  <w15:chartTrackingRefBased/>
  <w15:docId w15:val="{1E966F5B-0005-414F-BE85-6130BC1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E21"/>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0E21"/>
    <w:rPr>
      <w:color w:val="0000FF"/>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qFormat/>
    <w:rsid w:val="00D872AA"/>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
    <w:uiPriority w:val="99"/>
    <w:rsid w:val="00D872AA"/>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MRP Char,fn Char,fn1 Char"/>
    <w:basedOn w:val="DefaultParagraphFont"/>
    <w:link w:val="FootnoteText"/>
    <w:uiPriority w:val="99"/>
    <w:rsid w:val="00D872AA"/>
    <w:rPr>
      <w:rFonts w:ascii="Times New Roman" w:eastAsia="Times New Roman" w:hAnsi="Times New Roman" w:cs="Times New Roman"/>
      <w:szCs w:val="20"/>
    </w:rPr>
  </w:style>
  <w:style w:type="paragraph" w:customStyle="1" w:styleId="FERCparanumber">
    <w:name w:val="FERC paranumber"/>
    <w:basedOn w:val="Normal"/>
    <w:link w:val="FERCparanumberChar"/>
    <w:qFormat/>
    <w:rsid w:val="00E64E9B"/>
    <w:pPr>
      <w:numPr>
        <w:numId w:val="2"/>
      </w:numPr>
      <w:spacing w:after="260"/>
    </w:pPr>
    <w:rPr>
      <w:rFonts w:eastAsiaTheme="minorHAnsi"/>
      <w:szCs w:val="22"/>
    </w:rPr>
  </w:style>
  <w:style w:type="character" w:customStyle="1" w:styleId="FERCparanumberChar">
    <w:name w:val="FERC paranumber Char"/>
    <w:basedOn w:val="DefaultParagraphFont"/>
    <w:link w:val="FERCparanumber"/>
    <w:rsid w:val="00E64E9B"/>
    <w:rPr>
      <w:rFonts w:ascii="Times New Roman" w:hAnsi="Times New Roman" w:cs="Times New Roman"/>
      <w:sz w:val="26"/>
    </w:rPr>
  </w:style>
  <w:style w:type="table" w:styleId="TableGrid">
    <w:name w:val="Table Grid"/>
    <w:basedOn w:val="TableNormal"/>
    <w:uiPriority w:val="39"/>
    <w:rsid w:val="00EA3E2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514F"/>
    <w:rPr>
      <w:sz w:val="16"/>
      <w:szCs w:val="16"/>
    </w:rPr>
  </w:style>
  <w:style w:type="paragraph" w:styleId="CommentText">
    <w:name w:val="annotation text"/>
    <w:basedOn w:val="Normal"/>
    <w:link w:val="CommentTextChar"/>
    <w:uiPriority w:val="99"/>
    <w:unhideWhenUsed/>
    <w:rsid w:val="00E0514F"/>
    <w:rPr>
      <w:sz w:val="20"/>
      <w:szCs w:val="20"/>
    </w:rPr>
  </w:style>
  <w:style w:type="character" w:customStyle="1" w:styleId="CommentTextChar">
    <w:name w:val="Comment Text Char"/>
    <w:basedOn w:val="DefaultParagraphFont"/>
    <w:link w:val="CommentText"/>
    <w:uiPriority w:val="99"/>
    <w:rsid w:val="00E051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514F"/>
    <w:rPr>
      <w:b/>
      <w:bCs/>
    </w:rPr>
  </w:style>
  <w:style w:type="character" w:customStyle="1" w:styleId="CommentSubjectChar">
    <w:name w:val="Comment Subject Char"/>
    <w:basedOn w:val="CommentTextChar"/>
    <w:link w:val="CommentSubject"/>
    <w:uiPriority w:val="99"/>
    <w:semiHidden/>
    <w:rsid w:val="00E0514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A6102"/>
    <w:pPr>
      <w:tabs>
        <w:tab w:val="center" w:pos="4680"/>
        <w:tab w:val="right" w:pos="9360"/>
      </w:tabs>
    </w:pPr>
  </w:style>
  <w:style w:type="character" w:customStyle="1" w:styleId="HeaderChar">
    <w:name w:val="Header Char"/>
    <w:basedOn w:val="DefaultParagraphFont"/>
    <w:link w:val="Header"/>
    <w:uiPriority w:val="99"/>
    <w:rsid w:val="00BA6102"/>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A6102"/>
    <w:pPr>
      <w:tabs>
        <w:tab w:val="center" w:pos="4680"/>
        <w:tab w:val="right" w:pos="9360"/>
      </w:tabs>
    </w:pPr>
  </w:style>
  <w:style w:type="character" w:customStyle="1" w:styleId="FooterChar">
    <w:name w:val="Footer Char"/>
    <w:basedOn w:val="DefaultParagraphFont"/>
    <w:link w:val="Footer"/>
    <w:uiPriority w:val="99"/>
    <w:rsid w:val="00BA6102"/>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ferconlinesupport@ferc.gov" TargetMode="External" /><Relationship Id="rId11" Type="http://schemas.openxmlformats.org/officeDocument/2006/relationships/hyperlink" Target="mailto:DataClearance@FERC.gov"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www.reginfo.gov/public/do/PRAMain" TargetMode="External" /><Relationship Id="rId9" Type="http://schemas.openxmlformats.org/officeDocument/2006/relationships/hyperlink" Target="https://www.fer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3" ma:contentTypeDescription="Create a new document." ma:contentTypeScope="" ma:versionID="7010ecebb87f544f498b764781a18605">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1c56056e4e4a02b5dcf955ef79a612c0"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SharedWithUsers xmlns="5a7c6213-c3f8-4376-93f2-dc58e5c51d54">
      <UserInfo>
        <DisplayName>Ellen Brown</DisplayName>
        <AccountId>565</AccountId>
        <AccountType/>
      </UserInfo>
      <UserInfo>
        <DisplayName>Jean Sonneman</DisplayName>
        <AccountId>551</AccountId>
        <AccountType/>
      </UserInfo>
      <UserInfo>
        <DisplayName>Kayla Williams</DisplayName>
        <AccountId>55</AccountId>
        <AccountType/>
      </UserInfo>
    </SharedWithUsers>
  </documentManagement>
</p:properties>
</file>

<file path=customXml/itemProps1.xml><?xml version="1.0" encoding="utf-8"?>
<ds:datastoreItem xmlns:ds="http://schemas.openxmlformats.org/officeDocument/2006/customXml" ds:itemID="{B5ABBC8D-C97F-4C32-A56E-FE3137F95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63E9B-D50D-48FC-B35D-D6A3D6BCB295}">
  <ds:schemaRefs>
    <ds:schemaRef ds:uri="http://schemas.microsoft.com/sharepoint/v3/contenttype/forms"/>
  </ds:schemaRefs>
</ds:datastoreItem>
</file>

<file path=customXml/itemProps3.xml><?xml version="1.0" encoding="utf-8"?>
<ds:datastoreItem xmlns:ds="http://schemas.openxmlformats.org/officeDocument/2006/customXml" ds:itemID="{38056818-B5B2-4A2C-83EF-9AD80F7478E1}">
  <ds:schemaRefs>
    <ds:schemaRef ds:uri="http://schemas.openxmlformats.org/package/2006/metadata/core-properties"/>
    <ds:schemaRef ds:uri="http://purl.org/dc/terms/"/>
    <ds:schemaRef ds:uri="e029e753-062b-49ce-baa7-feb352134f8f"/>
    <ds:schemaRef ds:uri="5a7c6213-c3f8-4376-93f2-dc58e5c51d54"/>
    <ds:schemaRef ds:uri="http://schemas.microsoft.com/office/2006/documentManagement/types"/>
    <ds:schemaRef ds:uri="http://schemas.microsoft.com/office/2006/metadata/properties"/>
    <ds:schemaRef ds:uri="http://purl.org/dc/elements/1.1/"/>
    <ds:schemaRef ds:uri="d6eefc7d-9817-4fa6-84d5-3bc009be21b8"/>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1477</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2</cp:revision>
  <dcterms:created xsi:type="dcterms:W3CDTF">2023-05-10T16:11:00Z</dcterms:created>
  <dcterms:modified xsi:type="dcterms:W3CDTF">2023-05-10T16:11:00Z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1434db8f-dfcc-45c2-931a-1ba95769fc37</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2023-03-23T16:25:49Z</vt:lpwstr>
  </property>
  <property fmtid="{D5CDD505-2E9C-101B-9397-08002B2CF9AE}" pid="10" name="MSIP_Label_6155a89b-0f08-4a93-8ea2-8a916d6643b5_SiteId">
    <vt:lpwstr>19caa9e9-04ff-43fa-885f-d77fac387903</vt:lpwstr>
  </property>
</Properties>
</file>